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C627FA">
      <w:pPr>
        <w:pStyle w:val="40"/>
        <w:ind w:firstLine="0" w:firstLineChars="0"/>
        <w:jc w:val="center"/>
        <w:rPr>
          <w:rFonts w:hint="eastAsia" w:ascii="宋体" w:hAnsi="宋体"/>
          <w:b/>
          <w:color w:val="auto"/>
          <w:sz w:val="56"/>
          <w:szCs w:val="56"/>
          <w:highlight w:val="none"/>
        </w:rPr>
      </w:pPr>
    </w:p>
    <w:p w14:paraId="2FD4335E">
      <w:pPr>
        <w:pStyle w:val="40"/>
        <w:ind w:firstLine="0" w:firstLineChars="0"/>
        <w:jc w:val="center"/>
        <w:rPr>
          <w:rFonts w:hint="eastAsia" w:ascii="宋体" w:hAnsi="宋体" w:eastAsia="宋体"/>
          <w:b/>
          <w:color w:val="auto"/>
          <w:sz w:val="52"/>
          <w:szCs w:val="52"/>
          <w:highlight w:val="none"/>
          <w:lang w:eastAsia="zh-CN"/>
        </w:rPr>
      </w:pPr>
      <w:r>
        <w:rPr>
          <w:rFonts w:hint="eastAsia" w:ascii="宋体" w:hAnsi="宋体"/>
          <w:b/>
          <w:color w:val="auto"/>
          <w:sz w:val="52"/>
          <w:szCs w:val="52"/>
          <w:highlight w:val="none"/>
          <w:lang w:eastAsia="zh-CN"/>
        </w:rPr>
        <w:t>金华市博物馆邵飘萍旧居展陈提升项目</w:t>
      </w:r>
    </w:p>
    <w:p w14:paraId="15107B41">
      <w:pPr>
        <w:spacing w:before="120" w:beforeLines="50" w:line="360" w:lineRule="auto"/>
        <w:ind w:firstLine="1044"/>
        <w:jc w:val="center"/>
        <w:rPr>
          <w:rFonts w:ascii="宋体" w:hAnsi="宋体"/>
          <w:b/>
          <w:color w:val="auto"/>
          <w:sz w:val="52"/>
          <w:szCs w:val="52"/>
          <w:highlight w:val="none"/>
        </w:rPr>
      </w:pPr>
    </w:p>
    <w:p w14:paraId="68CA6FCA">
      <w:pPr>
        <w:pStyle w:val="31"/>
        <w:ind w:left="560" w:hanging="560"/>
        <w:rPr>
          <w:rFonts w:hint="eastAsia" w:eastAsia="宋体"/>
          <w:color w:val="auto"/>
          <w:highlight w:val="none"/>
          <w:lang w:eastAsia="zh-CN"/>
        </w:rPr>
      </w:pPr>
      <w:r>
        <w:rPr>
          <w:rFonts w:hint="eastAsia" w:ascii="宋体" w:hAnsi="宋体"/>
          <w:b/>
          <w:color w:val="auto"/>
          <w:sz w:val="56"/>
          <w:szCs w:val="56"/>
          <w:highlight w:val="none"/>
          <w:lang w:val="en-US" w:eastAsia="zh-CN"/>
        </w:rPr>
        <w:t xml:space="preserve"> </w:t>
      </w:r>
    </w:p>
    <w:p w14:paraId="126FA447">
      <w:pPr>
        <w:spacing w:before="120" w:beforeLines="50" w:line="360" w:lineRule="auto"/>
        <w:jc w:val="center"/>
        <w:rPr>
          <w:rFonts w:ascii="宋体" w:hAnsi="宋体" w:cs="宋体"/>
          <w:b/>
          <w:color w:val="auto"/>
          <w:spacing w:val="44"/>
          <w:sz w:val="84"/>
          <w:szCs w:val="84"/>
          <w:highlight w:val="none"/>
        </w:rPr>
      </w:pPr>
      <w:r>
        <w:rPr>
          <w:rFonts w:hint="eastAsia" w:ascii="宋体" w:hAnsi="宋体" w:cs="宋体"/>
          <w:b/>
          <w:color w:val="auto"/>
          <w:spacing w:val="44"/>
          <w:sz w:val="84"/>
          <w:szCs w:val="84"/>
          <w:highlight w:val="none"/>
        </w:rPr>
        <w:t>公开招标文件</w:t>
      </w:r>
    </w:p>
    <w:p w14:paraId="6C1310D1">
      <w:pPr>
        <w:pStyle w:val="24"/>
        <w:snapToGrid w:val="0"/>
        <w:spacing w:beforeLines="0" w:afterLines="0" w:line="360" w:lineRule="auto"/>
        <w:jc w:val="center"/>
        <w:rPr>
          <w:rFonts w:hint="default" w:hAnsi="宋体"/>
          <w:b/>
          <w:color w:val="auto"/>
          <w:sz w:val="40"/>
          <w:szCs w:val="72"/>
          <w:highlight w:val="none"/>
        </w:rPr>
      </w:pPr>
      <w:r>
        <w:rPr>
          <w:rFonts w:hAnsi="宋体"/>
          <w:b/>
          <w:color w:val="auto"/>
          <w:sz w:val="40"/>
          <w:szCs w:val="72"/>
          <w:highlight w:val="none"/>
        </w:rPr>
        <w:t>（政采云电子标</w:t>
      </w:r>
      <w:r>
        <w:rPr>
          <w:rFonts w:hint="eastAsia" w:hAnsi="宋体"/>
          <w:b/>
          <w:color w:val="auto"/>
          <w:sz w:val="40"/>
          <w:szCs w:val="72"/>
          <w:highlight w:val="none"/>
          <w:lang w:eastAsia="zh-CN"/>
        </w:rPr>
        <w:t>，</w:t>
      </w:r>
      <w:r>
        <w:rPr>
          <w:rFonts w:hint="eastAsia" w:hAnsi="宋体"/>
          <w:b/>
          <w:color w:val="auto"/>
          <w:sz w:val="40"/>
          <w:szCs w:val="72"/>
          <w:highlight w:val="none"/>
          <w:lang w:val="en-US" w:eastAsia="zh-CN"/>
        </w:rPr>
        <w:t>专门面向中小企业</w:t>
      </w:r>
      <w:r>
        <w:rPr>
          <w:rFonts w:hAnsi="宋体"/>
          <w:b/>
          <w:color w:val="auto"/>
          <w:sz w:val="40"/>
          <w:szCs w:val="72"/>
          <w:highlight w:val="none"/>
        </w:rPr>
        <w:t>）</w:t>
      </w:r>
    </w:p>
    <w:p w14:paraId="7DDF9A68">
      <w:pPr>
        <w:pStyle w:val="183"/>
        <w:ind w:firstLine="480"/>
        <w:rPr>
          <w:color w:val="auto"/>
          <w:highlight w:val="none"/>
        </w:rPr>
      </w:pPr>
    </w:p>
    <w:p w14:paraId="678F2090">
      <w:pPr>
        <w:pStyle w:val="183"/>
        <w:ind w:firstLine="480"/>
        <w:rPr>
          <w:color w:val="auto"/>
          <w:highlight w:val="none"/>
        </w:rPr>
      </w:pPr>
    </w:p>
    <w:p w14:paraId="49EB021A">
      <w:pPr>
        <w:pStyle w:val="183"/>
        <w:ind w:firstLine="480"/>
        <w:rPr>
          <w:color w:val="auto"/>
          <w:highlight w:val="none"/>
        </w:rPr>
      </w:pPr>
    </w:p>
    <w:p w14:paraId="21A2785C">
      <w:pPr>
        <w:pStyle w:val="24"/>
        <w:snapToGrid w:val="0"/>
        <w:spacing w:beforeLines="0" w:afterLines="0" w:line="360" w:lineRule="auto"/>
        <w:ind w:firstLine="1134" w:firstLineChars="353"/>
        <w:rPr>
          <w:rFonts w:hint="default" w:hAnsi="宋体"/>
          <w:b/>
          <w:color w:val="auto"/>
          <w:sz w:val="32"/>
          <w:szCs w:val="52"/>
          <w:highlight w:val="none"/>
        </w:rPr>
      </w:pPr>
    </w:p>
    <w:p w14:paraId="61451C35">
      <w:pPr>
        <w:pStyle w:val="24"/>
        <w:snapToGrid w:val="0"/>
        <w:spacing w:beforeLines="0" w:afterLines="0" w:line="360" w:lineRule="auto"/>
        <w:ind w:firstLine="1134" w:firstLineChars="353"/>
        <w:rPr>
          <w:rFonts w:hint="default" w:hAnsi="宋体"/>
          <w:b/>
          <w:color w:val="auto"/>
          <w:sz w:val="32"/>
          <w:szCs w:val="52"/>
          <w:highlight w:val="none"/>
        </w:rPr>
      </w:pPr>
    </w:p>
    <w:p w14:paraId="08849DA8">
      <w:pPr>
        <w:pStyle w:val="24"/>
        <w:snapToGrid w:val="0"/>
        <w:spacing w:beforeLines="0" w:afterLines="0" w:line="360" w:lineRule="auto"/>
        <w:ind w:firstLine="1134" w:firstLineChars="353"/>
        <w:rPr>
          <w:rFonts w:hint="eastAsia" w:hAnsi="宋体" w:eastAsia="宋体"/>
          <w:b/>
          <w:color w:val="auto"/>
          <w:sz w:val="32"/>
          <w:szCs w:val="52"/>
          <w:highlight w:val="none"/>
          <w:lang w:eastAsia="zh-CN"/>
        </w:rPr>
      </w:pPr>
      <w:r>
        <w:rPr>
          <w:rFonts w:hAnsi="宋体"/>
          <w:b/>
          <w:color w:val="auto"/>
          <w:sz w:val="32"/>
          <w:szCs w:val="52"/>
          <w:highlight w:val="none"/>
        </w:rPr>
        <w:t>项目编号：</w:t>
      </w:r>
      <w:r>
        <w:rPr>
          <w:rFonts w:hint="eastAsia" w:hAnsi="宋体"/>
          <w:b/>
          <w:color w:val="auto"/>
          <w:sz w:val="32"/>
          <w:szCs w:val="52"/>
          <w:highlight w:val="none"/>
          <w:lang w:eastAsia="zh-CN"/>
        </w:rPr>
        <w:t>WQ2024272-ZFCG072</w:t>
      </w:r>
    </w:p>
    <w:p w14:paraId="528A2EBC">
      <w:pPr>
        <w:pStyle w:val="24"/>
        <w:snapToGrid w:val="0"/>
        <w:spacing w:beforeLines="0" w:afterLines="0" w:line="360" w:lineRule="auto"/>
        <w:ind w:firstLine="1134" w:firstLineChars="353"/>
        <w:rPr>
          <w:rFonts w:hint="eastAsia" w:hAnsi="宋体" w:eastAsia="宋体"/>
          <w:b/>
          <w:color w:val="auto"/>
          <w:sz w:val="32"/>
          <w:szCs w:val="52"/>
          <w:highlight w:val="none"/>
          <w:lang w:eastAsia="zh-CN"/>
        </w:rPr>
      </w:pPr>
      <w:r>
        <w:rPr>
          <w:rFonts w:hAnsi="宋体"/>
          <w:b/>
          <w:color w:val="auto"/>
          <w:sz w:val="32"/>
          <w:szCs w:val="52"/>
          <w:highlight w:val="none"/>
        </w:rPr>
        <w:t>采购单位：</w:t>
      </w:r>
      <w:r>
        <w:rPr>
          <w:rFonts w:hint="eastAsia" w:hAnsi="宋体"/>
          <w:b/>
          <w:color w:val="auto"/>
          <w:sz w:val="32"/>
          <w:szCs w:val="52"/>
          <w:highlight w:val="none"/>
          <w:lang w:eastAsia="zh-CN"/>
        </w:rPr>
        <w:t>金华市博物馆</w:t>
      </w:r>
    </w:p>
    <w:p w14:paraId="1543DFCC">
      <w:pPr>
        <w:pStyle w:val="24"/>
        <w:snapToGrid w:val="0"/>
        <w:spacing w:beforeLines="0" w:afterLines="0" w:line="360" w:lineRule="auto"/>
        <w:ind w:firstLine="1134" w:firstLineChars="353"/>
        <w:rPr>
          <w:rFonts w:hint="default" w:hAnsi="宋体"/>
          <w:b/>
          <w:color w:val="auto"/>
          <w:sz w:val="32"/>
          <w:szCs w:val="52"/>
          <w:highlight w:val="none"/>
        </w:rPr>
      </w:pPr>
      <w:r>
        <w:rPr>
          <w:rFonts w:hAnsi="宋体"/>
          <w:b/>
          <w:color w:val="auto"/>
          <w:sz w:val="32"/>
          <w:szCs w:val="52"/>
          <w:highlight w:val="none"/>
        </w:rPr>
        <w:t>代理机构：金华市万全招标代理有限公司</w:t>
      </w:r>
    </w:p>
    <w:p w14:paraId="256392C8">
      <w:pPr>
        <w:snapToGrid w:val="0"/>
        <w:spacing w:before="120" w:beforeLines="50" w:line="360" w:lineRule="auto"/>
        <w:ind w:left="384" w:leftChars="183" w:firstLine="4599" w:firstLineChars="1607"/>
        <w:jc w:val="right"/>
        <w:rPr>
          <w:rFonts w:ascii="宋体" w:hAnsi="宋体"/>
          <w:b/>
          <w:bCs/>
          <w:color w:val="auto"/>
          <w:w w:val="95"/>
          <w:sz w:val="30"/>
          <w:szCs w:val="30"/>
          <w:highlight w:val="none"/>
        </w:rPr>
      </w:pPr>
    </w:p>
    <w:p w14:paraId="6AD57A84">
      <w:pPr>
        <w:snapToGrid w:val="0"/>
        <w:spacing w:before="120" w:beforeLines="50" w:line="360" w:lineRule="auto"/>
        <w:ind w:left="384" w:leftChars="183" w:firstLine="4599" w:firstLineChars="1607"/>
        <w:jc w:val="right"/>
        <w:rPr>
          <w:rFonts w:ascii="宋体" w:hAnsi="宋体"/>
          <w:b/>
          <w:bCs/>
          <w:color w:val="auto"/>
          <w:w w:val="95"/>
          <w:sz w:val="30"/>
          <w:szCs w:val="30"/>
          <w:highlight w:val="none"/>
        </w:rPr>
      </w:pPr>
    </w:p>
    <w:p w14:paraId="17018CEE">
      <w:pPr>
        <w:pStyle w:val="40"/>
        <w:ind w:firstLine="210"/>
        <w:rPr>
          <w:color w:val="auto"/>
          <w:highlight w:val="none"/>
        </w:rPr>
      </w:pPr>
    </w:p>
    <w:p w14:paraId="7E08FFD4">
      <w:pPr>
        <w:snapToGrid w:val="0"/>
        <w:spacing w:before="120" w:beforeLines="50" w:line="360" w:lineRule="auto"/>
        <w:ind w:left="384" w:leftChars="183" w:firstLine="5162" w:firstLineChars="1607"/>
        <w:jc w:val="center"/>
        <w:rPr>
          <w:rFonts w:ascii="宋体" w:hAnsi="宋体"/>
          <w:color w:val="auto"/>
          <w:sz w:val="32"/>
          <w:szCs w:val="21"/>
          <w:highlight w:val="none"/>
        </w:rPr>
      </w:pPr>
      <w:r>
        <w:rPr>
          <w:rFonts w:hint="eastAsia" w:ascii="宋体" w:hAnsi="宋体"/>
          <w:b/>
          <w:bCs/>
          <w:color w:val="auto"/>
          <w:sz w:val="32"/>
          <w:szCs w:val="32"/>
          <w:highlight w:val="none"/>
        </w:rPr>
        <w:t>2024年</w:t>
      </w:r>
      <w:r>
        <w:rPr>
          <w:rFonts w:hint="eastAsia" w:ascii="宋体" w:hAnsi="宋体"/>
          <w:b/>
          <w:bCs/>
          <w:color w:val="auto"/>
          <w:sz w:val="32"/>
          <w:szCs w:val="32"/>
          <w:highlight w:val="none"/>
          <w:lang w:val="en-US" w:eastAsia="zh-CN"/>
        </w:rPr>
        <w:t>8</w:t>
      </w:r>
      <w:r>
        <w:rPr>
          <w:rFonts w:hint="eastAsia" w:ascii="宋体" w:hAnsi="宋体"/>
          <w:b/>
          <w:bCs/>
          <w:color w:val="auto"/>
          <w:sz w:val="32"/>
          <w:szCs w:val="32"/>
          <w:highlight w:val="none"/>
        </w:rPr>
        <w:t>月</w:t>
      </w:r>
    </w:p>
    <w:p w14:paraId="51496E8F">
      <w:pPr>
        <w:pStyle w:val="24"/>
        <w:tabs>
          <w:tab w:val="left" w:pos="1397"/>
          <w:tab w:val="center" w:pos="4563"/>
        </w:tabs>
        <w:spacing w:beforeLines="0" w:afterLines="0" w:line="360" w:lineRule="auto"/>
        <w:ind w:firstLine="883"/>
        <w:jc w:val="left"/>
        <w:rPr>
          <w:rFonts w:hint="default" w:hAnsi="宋体" w:cs="宋体"/>
          <w:b/>
          <w:color w:val="auto"/>
          <w:sz w:val="44"/>
          <w:szCs w:val="44"/>
          <w:highlight w:val="none"/>
        </w:rPr>
        <w:sectPr>
          <w:headerReference r:id="rId4" w:type="first"/>
          <w:footerReference r:id="rId5" w:type="first"/>
          <w:headerReference r:id="rId3" w:type="default"/>
          <w:pgSz w:w="11906" w:h="16838"/>
          <w:pgMar w:top="1474" w:right="1417" w:bottom="1247" w:left="1418" w:header="851" w:footer="567" w:gutter="0"/>
          <w:pgNumType w:start="1"/>
          <w:cols w:space="720" w:num="1"/>
          <w:titlePg/>
          <w:docGrid w:linePitch="312" w:charSpace="0"/>
        </w:sectPr>
      </w:pPr>
    </w:p>
    <w:p w14:paraId="36DF5163">
      <w:pPr>
        <w:pStyle w:val="24"/>
        <w:tabs>
          <w:tab w:val="left" w:pos="1397"/>
          <w:tab w:val="center" w:pos="4563"/>
        </w:tabs>
        <w:spacing w:beforeLines="0" w:afterLines="0" w:line="360" w:lineRule="auto"/>
        <w:ind w:firstLine="883"/>
        <w:jc w:val="left"/>
        <w:rPr>
          <w:rFonts w:hint="default" w:hAnsi="宋体" w:cs="宋体"/>
          <w:b/>
          <w:color w:val="auto"/>
          <w:sz w:val="44"/>
          <w:szCs w:val="44"/>
          <w:highlight w:val="none"/>
        </w:rPr>
      </w:pPr>
      <w:r>
        <w:rPr>
          <w:rFonts w:hint="default" w:hAnsi="宋体" w:cs="宋体"/>
          <w:b/>
          <w:color w:val="auto"/>
          <w:sz w:val="44"/>
          <w:szCs w:val="44"/>
          <w:highlight w:val="none"/>
        </w:rPr>
        <w:tab/>
      </w:r>
      <w:r>
        <w:rPr>
          <w:rFonts w:hint="default" w:hAnsi="宋体" w:cs="宋体"/>
          <w:b/>
          <w:color w:val="auto"/>
          <w:sz w:val="44"/>
          <w:szCs w:val="44"/>
          <w:highlight w:val="none"/>
        </w:rPr>
        <w:tab/>
      </w:r>
      <w:r>
        <w:rPr>
          <w:rFonts w:hAnsi="宋体" w:cs="宋体"/>
          <w:b/>
          <w:color w:val="auto"/>
          <w:sz w:val="44"/>
          <w:szCs w:val="44"/>
          <w:highlight w:val="none"/>
        </w:rPr>
        <w:t>目   录</w:t>
      </w:r>
    </w:p>
    <w:p w14:paraId="6979A453">
      <w:pPr>
        <w:pStyle w:val="24"/>
        <w:spacing w:beforeLines="0" w:afterLines="0" w:line="360" w:lineRule="auto"/>
        <w:ind w:firstLine="2200" w:firstLineChars="500"/>
        <w:jc w:val="left"/>
        <w:rPr>
          <w:rFonts w:hint="default" w:ascii="创艺简标宋" w:hAnsi="宋体" w:eastAsia="创艺简标宋"/>
          <w:color w:val="auto"/>
          <w:sz w:val="44"/>
          <w:szCs w:val="44"/>
          <w:highlight w:val="none"/>
        </w:rPr>
      </w:pPr>
    </w:p>
    <w:p w14:paraId="4BDD4600">
      <w:pPr>
        <w:spacing w:before="120" w:beforeLines="50" w:line="480" w:lineRule="exact"/>
        <w:ind w:left="181" w:leftChars="86" w:firstLine="2400" w:firstLineChars="800"/>
        <w:jc w:val="left"/>
        <w:rPr>
          <w:rFonts w:ascii="宋体" w:hAnsi="宋体"/>
          <w:color w:val="auto"/>
          <w:sz w:val="30"/>
          <w:szCs w:val="20"/>
          <w:highlight w:val="none"/>
        </w:rPr>
      </w:pPr>
      <w:r>
        <w:rPr>
          <w:rFonts w:hint="eastAsia" w:ascii="宋体" w:hAnsi="宋体"/>
          <w:color w:val="auto"/>
          <w:sz w:val="30"/>
          <w:highlight w:val="none"/>
        </w:rPr>
        <w:t>第一章 公开招标公告</w:t>
      </w:r>
    </w:p>
    <w:p w14:paraId="309AD837">
      <w:pPr>
        <w:spacing w:before="120" w:beforeLines="50" w:line="480" w:lineRule="exact"/>
        <w:ind w:left="181" w:leftChars="86" w:firstLine="2400" w:firstLineChars="800"/>
        <w:jc w:val="left"/>
        <w:rPr>
          <w:rFonts w:ascii="宋体" w:hAnsi="宋体"/>
          <w:color w:val="auto"/>
          <w:sz w:val="30"/>
          <w:szCs w:val="20"/>
          <w:highlight w:val="none"/>
        </w:rPr>
      </w:pPr>
      <w:r>
        <w:rPr>
          <w:rFonts w:hint="eastAsia" w:ascii="宋体" w:hAnsi="宋体"/>
          <w:color w:val="auto"/>
          <w:sz w:val="30"/>
          <w:highlight w:val="none"/>
        </w:rPr>
        <w:t>第二章 招标项目需求</w:t>
      </w:r>
    </w:p>
    <w:p w14:paraId="398D07B8">
      <w:pPr>
        <w:spacing w:before="120" w:beforeLines="50" w:line="480" w:lineRule="exact"/>
        <w:ind w:left="181" w:leftChars="86" w:firstLine="2400" w:firstLineChars="800"/>
        <w:jc w:val="left"/>
        <w:rPr>
          <w:rFonts w:ascii="宋体" w:hAnsi="宋体"/>
          <w:color w:val="auto"/>
          <w:sz w:val="30"/>
          <w:highlight w:val="none"/>
        </w:rPr>
      </w:pPr>
      <w:r>
        <w:rPr>
          <w:rFonts w:hint="eastAsia" w:ascii="宋体" w:hAnsi="宋体"/>
          <w:color w:val="auto"/>
          <w:sz w:val="30"/>
          <w:highlight w:val="none"/>
        </w:rPr>
        <w:t>第三章 投标人须知</w:t>
      </w:r>
    </w:p>
    <w:p w14:paraId="7A1B6861">
      <w:pPr>
        <w:spacing w:before="120" w:beforeLines="50" w:line="480" w:lineRule="exact"/>
        <w:ind w:left="181" w:leftChars="86" w:firstLine="2400" w:firstLineChars="800"/>
        <w:jc w:val="left"/>
        <w:rPr>
          <w:rFonts w:ascii="宋体" w:hAnsi="宋体"/>
          <w:color w:val="auto"/>
          <w:sz w:val="30"/>
          <w:highlight w:val="none"/>
        </w:rPr>
      </w:pPr>
      <w:r>
        <w:rPr>
          <w:rFonts w:hint="eastAsia" w:ascii="宋体" w:hAnsi="宋体"/>
          <w:color w:val="auto"/>
          <w:sz w:val="30"/>
          <w:highlight w:val="none"/>
        </w:rPr>
        <w:t>第四章 政府采购政策功能相关说明</w:t>
      </w:r>
    </w:p>
    <w:p w14:paraId="59155B93">
      <w:pPr>
        <w:spacing w:before="120" w:beforeLines="50" w:line="480" w:lineRule="exact"/>
        <w:ind w:left="181" w:leftChars="86" w:firstLine="2400" w:firstLineChars="800"/>
        <w:jc w:val="left"/>
        <w:rPr>
          <w:rFonts w:ascii="宋体" w:hAnsi="宋体"/>
          <w:color w:val="auto"/>
          <w:sz w:val="30"/>
          <w:highlight w:val="none"/>
        </w:rPr>
      </w:pPr>
      <w:r>
        <w:rPr>
          <w:rFonts w:hint="eastAsia" w:ascii="宋体" w:hAnsi="宋体"/>
          <w:color w:val="auto"/>
          <w:sz w:val="30"/>
          <w:highlight w:val="none"/>
        </w:rPr>
        <w:t>第五章 评标办法及评分标准</w:t>
      </w:r>
    </w:p>
    <w:p w14:paraId="3A7C68F6">
      <w:pPr>
        <w:spacing w:before="120" w:beforeLines="50" w:line="480" w:lineRule="exact"/>
        <w:ind w:left="181" w:leftChars="86" w:firstLine="2400" w:firstLineChars="800"/>
        <w:jc w:val="left"/>
        <w:rPr>
          <w:rFonts w:ascii="宋体" w:hAnsi="宋体"/>
          <w:color w:val="auto"/>
          <w:sz w:val="30"/>
          <w:highlight w:val="none"/>
        </w:rPr>
      </w:pPr>
      <w:r>
        <w:rPr>
          <w:rFonts w:hint="eastAsia" w:ascii="宋体" w:hAnsi="宋体"/>
          <w:color w:val="auto"/>
          <w:sz w:val="30"/>
          <w:highlight w:val="none"/>
        </w:rPr>
        <w:t>第六章 采购合同（范本）</w:t>
      </w:r>
    </w:p>
    <w:p w14:paraId="60C73A24">
      <w:pPr>
        <w:spacing w:before="120" w:beforeLines="50" w:line="480" w:lineRule="exact"/>
        <w:ind w:left="181" w:leftChars="86" w:firstLine="2400" w:firstLineChars="800"/>
        <w:jc w:val="left"/>
        <w:rPr>
          <w:rFonts w:ascii="宋体" w:hAnsi="宋体"/>
          <w:color w:val="auto"/>
          <w:sz w:val="30"/>
          <w:highlight w:val="none"/>
        </w:rPr>
      </w:pPr>
      <w:r>
        <w:rPr>
          <w:rFonts w:hint="eastAsia" w:ascii="宋体" w:hAnsi="宋体"/>
          <w:color w:val="auto"/>
          <w:sz w:val="30"/>
          <w:highlight w:val="none"/>
        </w:rPr>
        <w:t>第七章 投标文件格式（部分）</w:t>
      </w:r>
    </w:p>
    <w:p w14:paraId="3808068E">
      <w:pPr>
        <w:pStyle w:val="12"/>
        <w:ind w:firstLine="480"/>
        <w:rPr>
          <w:color w:val="auto"/>
          <w:highlight w:val="none"/>
        </w:rPr>
      </w:pPr>
    </w:p>
    <w:p w14:paraId="77F4127D">
      <w:pPr>
        <w:spacing w:before="120" w:beforeLines="50" w:line="480" w:lineRule="exact"/>
        <w:ind w:firstLine="600"/>
        <w:rPr>
          <w:rFonts w:ascii="宋体" w:hAnsi="宋体"/>
          <w:color w:val="auto"/>
          <w:sz w:val="30"/>
          <w:highlight w:val="none"/>
        </w:rPr>
      </w:pPr>
    </w:p>
    <w:p w14:paraId="4B96E55F">
      <w:pPr>
        <w:pStyle w:val="40"/>
        <w:ind w:firstLine="300"/>
        <w:rPr>
          <w:rFonts w:ascii="宋体" w:hAnsi="宋体"/>
          <w:color w:val="auto"/>
          <w:sz w:val="30"/>
          <w:highlight w:val="none"/>
        </w:rPr>
      </w:pPr>
    </w:p>
    <w:p w14:paraId="25A6D864">
      <w:pPr>
        <w:ind w:firstLine="480"/>
        <w:rPr>
          <w:color w:val="auto"/>
          <w:highlight w:val="none"/>
        </w:rPr>
      </w:pPr>
    </w:p>
    <w:p w14:paraId="4A620FBF">
      <w:pPr>
        <w:pStyle w:val="183"/>
        <w:ind w:firstLine="600"/>
        <w:rPr>
          <w:rFonts w:ascii="宋体" w:hAnsi="宋体"/>
          <w:color w:val="auto"/>
          <w:sz w:val="30"/>
          <w:szCs w:val="20"/>
          <w:highlight w:val="none"/>
        </w:rPr>
      </w:pPr>
    </w:p>
    <w:p w14:paraId="2F7BDD7E">
      <w:pPr>
        <w:spacing w:line="360" w:lineRule="auto"/>
        <w:ind w:firstLine="480"/>
        <w:rPr>
          <w:rFonts w:ascii="宋体" w:hAnsi="宋体" w:cs="宋体"/>
          <w:b/>
          <w:bCs/>
          <w:color w:val="auto"/>
          <w:sz w:val="30"/>
          <w:highlight w:val="none"/>
        </w:rPr>
      </w:pPr>
      <w:r>
        <w:rPr>
          <w:rFonts w:hint="eastAsia" w:ascii="宋体" w:hAnsi="宋体" w:cs="宋体"/>
          <w:b/>
          <w:bCs/>
          <w:color w:val="auto"/>
          <w:sz w:val="30"/>
          <w:highlight w:val="none"/>
        </w:rPr>
        <w:t>温馨提示：</w:t>
      </w:r>
    </w:p>
    <w:p w14:paraId="0757D9E4">
      <w:pPr>
        <w:spacing w:line="360" w:lineRule="auto"/>
        <w:ind w:firstLine="602"/>
        <w:rPr>
          <w:rFonts w:ascii="宋体" w:hAnsi="宋体" w:cs="宋体"/>
          <w:b/>
          <w:bCs/>
          <w:color w:val="auto"/>
          <w:sz w:val="30"/>
          <w:highlight w:val="none"/>
        </w:rPr>
      </w:pPr>
      <w:r>
        <w:rPr>
          <w:rFonts w:hint="eastAsia" w:ascii="宋体" w:hAnsi="宋体" w:cs="宋体"/>
          <w:b/>
          <w:bCs/>
          <w:color w:val="auto"/>
          <w:sz w:val="30"/>
          <w:highlight w:val="none"/>
        </w:rPr>
        <w:t>1.参加本项目的各供应商可按采购文件要求的信用记录查询网站预先查询企业信用情况。</w:t>
      </w:r>
    </w:p>
    <w:p w14:paraId="44F2A388">
      <w:pPr>
        <w:spacing w:line="360" w:lineRule="auto"/>
        <w:ind w:firstLine="596" w:firstLineChars="198"/>
        <w:rPr>
          <w:rFonts w:ascii="宋体" w:hAnsi="宋体" w:cs="宋体"/>
          <w:b/>
          <w:bCs/>
          <w:color w:val="auto"/>
          <w:sz w:val="30"/>
          <w:highlight w:val="none"/>
        </w:rPr>
      </w:pPr>
      <w:r>
        <w:rPr>
          <w:rFonts w:hint="eastAsia" w:ascii="宋体" w:hAnsi="宋体" w:cs="宋体"/>
          <w:b/>
          <w:bCs/>
          <w:color w:val="auto"/>
          <w:sz w:val="30"/>
          <w:highlight w:val="none"/>
        </w:rPr>
        <w:t>2.未在浙江政府采购网注册成为正式供应商的企业请尽快在浙江政府采购网“供应商注册”版块注册成为正式供应商，否则影响后续中标合同的上传。</w:t>
      </w:r>
    </w:p>
    <w:p w14:paraId="5ADBE9A9">
      <w:pPr>
        <w:spacing w:line="360" w:lineRule="auto"/>
        <w:ind w:firstLine="480"/>
        <w:jc w:val="center"/>
        <w:rPr>
          <w:bCs/>
          <w:color w:val="auto"/>
          <w:szCs w:val="21"/>
          <w:highlight w:val="none"/>
        </w:rPr>
      </w:pPr>
    </w:p>
    <w:p w14:paraId="064C5784">
      <w:pPr>
        <w:spacing w:line="360" w:lineRule="auto"/>
        <w:ind w:firstLine="480"/>
        <w:jc w:val="center"/>
        <w:rPr>
          <w:bCs/>
          <w:color w:val="auto"/>
          <w:szCs w:val="21"/>
          <w:highlight w:val="none"/>
        </w:rPr>
      </w:pPr>
    </w:p>
    <w:p w14:paraId="7F676882">
      <w:pPr>
        <w:spacing w:line="360" w:lineRule="auto"/>
        <w:rPr>
          <w:bCs/>
          <w:color w:val="auto"/>
          <w:szCs w:val="21"/>
          <w:highlight w:val="none"/>
          <w:u w:val="single"/>
        </w:rPr>
      </w:pPr>
    </w:p>
    <w:p w14:paraId="1439714D">
      <w:pPr>
        <w:spacing w:line="360" w:lineRule="auto"/>
        <w:rPr>
          <w:bCs/>
          <w:color w:val="auto"/>
          <w:szCs w:val="21"/>
          <w:highlight w:val="none"/>
          <w:u w:val="single"/>
        </w:rPr>
      </w:pPr>
      <w:r>
        <w:rPr>
          <w:rFonts w:hint="eastAsia"/>
          <w:bCs/>
          <w:color w:val="auto"/>
          <w:szCs w:val="21"/>
          <w:highlight w:val="none"/>
          <w:u w:val="single"/>
        </w:rPr>
        <w:t xml:space="preserve">                                                                                      </w:t>
      </w:r>
    </w:p>
    <w:p w14:paraId="08605309">
      <w:pPr>
        <w:spacing w:line="360" w:lineRule="auto"/>
        <w:ind w:firstLine="480"/>
        <w:jc w:val="center"/>
        <w:rPr>
          <w:bCs/>
          <w:color w:val="auto"/>
          <w:szCs w:val="21"/>
          <w:highlight w:val="none"/>
        </w:rPr>
      </w:pPr>
      <w:r>
        <w:rPr>
          <w:rFonts w:hint="eastAsia"/>
          <w:bCs/>
          <w:color w:val="auto"/>
          <w:szCs w:val="21"/>
          <w:highlight w:val="none"/>
        </w:rPr>
        <w:t>招标文件制作：方晓琳                       代理公司内部审核：吴贵兰</w:t>
      </w:r>
    </w:p>
    <w:p w14:paraId="0C9323BB">
      <w:pPr>
        <w:pStyle w:val="26"/>
        <w:ind w:firstLine="482" w:firstLineChars="200"/>
        <w:rPr>
          <w:rFonts w:ascii="宋体" w:cs="宋体"/>
          <w:b w:val="0"/>
          <w:bCs w:val="0"/>
          <w:color w:val="auto"/>
          <w:highlight w:val="none"/>
        </w:rPr>
      </w:pPr>
      <w:r>
        <w:rPr>
          <w:color w:val="auto"/>
          <w:highlight w:val="none"/>
        </w:rPr>
        <w:br w:type="page"/>
      </w:r>
    </w:p>
    <w:p w14:paraId="194D80DC">
      <w:pPr>
        <w:pStyle w:val="24"/>
        <w:numPr>
          <w:ilvl w:val="0"/>
          <w:numId w:val="6"/>
        </w:numPr>
        <w:snapToGrid w:val="0"/>
        <w:spacing w:before="120" w:after="120" w:line="240" w:lineRule="auto"/>
        <w:jc w:val="center"/>
        <w:outlineLvl w:val="0"/>
        <w:rPr>
          <w:rFonts w:hint="default" w:hAnsi="宋体" w:cs="宋体"/>
          <w:b/>
          <w:color w:val="auto"/>
          <w:sz w:val="30"/>
          <w:szCs w:val="30"/>
          <w:highlight w:val="none"/>
        </w:rPr>
      </w:pPr>
      <w:r>
        <w:rPr>
          <w:rFonts w:hAnsi="宋体" w:cs="宋体"/>
          <w:b/>
          <w:color w:val="auto"/>
          <w:sz w:val="30"/>
          <w:szCs w:val="30"/>
          <w:highlight w:val="none"/>
        </w:rPr>
        <w:t xml:space="preserve"> 公开招标公告</w:t>
      </w:r>
    </w:p>
    <w:p w14:paraId="6D477045">
      <w:pPr>
        <w:pStyle w:val="12"/>
        <w:ind w:firstLine="480"/>
        <w:rPr>
          <w:color w:val="auto"/>
          <w:highlight w:val="none"/>
        </w:rPr>
      </w:pPr>
    </w:p>
    <w:p w14:paraId="7022256E">
      <w:pPr>
        <w:pBdr>
          <w:top w:val="single" w:color="auto" w:sz="4" w:space="1"/>
          <w:left w:val="single" w:color="auto" w:sz="4" w:space="0"/>
          <w:bottom w:val="single" w:color="auto" w:sz="4" w:space="1"/>
          <w:right w:val="single" w:color="auto" w:sz="4" w:space="4"/>
        </w:pBdr>
        <w:spacing w:line="440" w:lineRule="exact"/>
        <w:ind w:firstLine="482"/>
        <w:jc w:val="center"/>
        <w:rPr>
          <w:rFonts w:ascii="宋体" w:hAnsi="宋体" w:cs="宋体"/>
          <w:b/>
          <w:color w:val="auto"/>
          <w:sz w:val="24"/>
          <w:highlight w:val="none"/>
        </w:rPr>
      </w:pPr>
    </w:p>
    <w:p w14:paraId="1BE9C440">
      <w:pPr>
        <w:pBdr>
          <w:top w:val="single" w:color="auto" w:sz="4" w:space="1"/>
          <w:left w:val="single" w:color="auto" w:sz="4" w:space="0"/>
          <w:bottom w:val="single" w:color="auto" w:sz="4" w:space="1"/>
          <w:right w:val="single" w:color="auto" w:sz="4" w:space="4"/>
        </w:pBdr>
        <w:spacing w:line="440" w:lineRule="exact"/>
        <w:ind w:firstLine="602"/>
        <w:jc w:val="center"/>
        <w:rPr>
          <w:rFonts w:ascii="宋体" w:hAnsi="宋体" w:cs="宋体"/>
          <w:b/>
          <w:color w:val="auto"/>
          <w:sz w:val="30"/>
          <w:szCs w:val="30"/>
          <w:highlight w:val="none"/>
        </w:rPr>
      </w:pPr>
      <w:r>
        <w:rPr>
          <w:rFonts w:hint="eastAsia" w:ascii="宋体" w:hAnsi="宋体" w:cs="宋体"/>
          <w:b/>
          <w:color w:val="auto"/>
          <w:sz w:val="30"/>
          <w:szCs w:val="30"/>
          <w:highlight w:val="none"/>
        </w:rPr>
        <w:t xml:space="preserve">项 目 概 况 </w:t>
      </w:r>
    </w:p>
    <w:p w14:paraId="279D4D76">
      <w:pPr>
        <w:pBdr>
          <w:top w:val="single" w:color="auto" w:sz="4" w:space="1"/>
          <w:left w:val="single" w:color="auto" w:sz="4" w:space="0"/>
          <w:bottom w:val="single" w:color="auto" w:sz="4" w:space="1"/>
          <w:right w:val="single" w:color="auto" w:sz="4" w:space="4"/>
        </w:pBdr>
        <w:spacing w:line="440" w:lineRule="exact"/>
        <w:ind w:firstLine="482"/>
        <w:jc w:val="center"/>
        <w:rPr>
          <w:rFonts w:ascii="宋体" w:hAnsi="宋体" w:cs="宋体"/>
          <w:b/>
          <w:color w:val="auto"/>
          <w:sz w:val="24"/>
          <w:highlight w:val="none"/>
        </w:rPr>
      </w:pPr>
    </w:p>
    <w:p w14:paraId="35F326E5">
      <w:pPr>
        <w:pBdr>
          <w:top w:val="single" w:color="auto" w:sz="4" w:space="1"/>
          <w:left w:val="single" w:color="auto" w:sz="4" w:space="0"/>
          <w:bottom w:val="single" w:color="auto" w:sz="4" w:space="1"/>
          <w:right w:val="single" w:color="auto" w:sz="4" w:space="4"/>
        </w:pBdr>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经金华市本级政府采购计划书</w:t>
      </w:r>
      <w:r>
        <w:rPr>
          <w:rFonts w:ascii="宋体" w:hAnsi="宋体" w:eastAsia="宋体" w:cs="宋体"/>
          <w:color w:val="auto"/>
          <w:sz w:val="24"/>
          <w:szCs w:val="24"/>
          <w:highlight w:val="none"/>
        </w:rPr>
        <w:t>临[2024]3361</w:t>
      </w:r>
      <w:r>
        <w:rPr>
          <w:rFonts w:hint="eastAsia" w:ascii="宋体" w:hAnsi="宋体" w:cs="宋体"/>
          <w:bCs/>
          <w:color w:val="auto"/>
          <w:sz w:val="24"/>
          <w:highlight w:val="none"/>
        </w:rPr>
        <w:t>号批准，</w:t>
      </w:r>
      <w:r>
        <w:rPr>
          <w:rFonts w:hint="eastAsia" w:ascii="宋体" w:hAnsi="宋体" w:cs="宋体"/>
          <w:bCs/>
          <w:color w:val="auto"/>
          <w:sz w:val="24"/>
          <w:highlight w:val="none"/>
          <w:lang w:eastAsia="zh-CN"/>
        </w:rPr>
        <w:t>金华市博物馆邵飘萍旧居展陈提升项目</w:t>
      </w:r>
      <w:r>
        <w:rPr>
          <w:rFonts w:hint="eastAsia" w:ascii="宋体" w:hAnsi="宋体" w:cs="宋体"/>
          <w:bCs/>
          <w:color w:val="auto"/>
          <w:sz w:val="24"/>
          <w:highlight w:val="none"/>
        </w:rPr>
        <w:t>的潜在投标人应在浙江政府采购网（http：//zfcg.czt.zj.gov.cn）获取（下载）招标文件，并于</w:t>
      </w:r>
      <w:r>
        <w:rPr>
          <w:rFonts w:hint="eastAsia" w:ascii="宋体" w:hAnsi="宋体" w:cs="宋体"/>
          <w:bCs/>
          <w:color w:val="auto"/>
          <w:sz w:val="24"/>
          <w:highlight w:val="none"/>
        </w:rPr>
        <w:t>2024年</w:t>
      </w:r>
      <w:r>
        <w:rPr>
          <w:rFonts w:hint="eastAsia" w:ascii="宋体" w:hAnsi="宋体" w:cs="宋体"/>
          <w:bCs/>
          <w:color w:val="auto"/>
          <w:sz w:val="24"/>
          <w:highlight w:val="none"/>
          <w:lang w:val="en-US" w:eastAsia="zh-CN"/>
        </w:rPr>
        <w:t>9</w:t>
      </w:r>
      <w:r>
        <w:rPr>
          <w:rFonts w:hint="eastAsia" w:ascii="宋体" w:hAnsi="宋体" w:cs="宋体"/>
          <w:bCs/>
          <w:color w:val="auto"/>
          <w:sz w:val="24"/>
          <w:highlight w:val="none"/>
        </w:rPr>
        <w:t>月</w:t>
      </w:r>
      <w:r>
        <w:rPr>
          <w:rFonts w:hint="eastAsia" w:ascii="宋体" w:hAnsi="宋体" w:cs="宋体"/>
          <w:bCs/>
          <w:color w:val="auto"/>
          <w:sz w:val="24"/>
          <w:highlight w:val="none"/>
          <w:lang w:val="en-US" w:eastAsia="zh-CN"/>
        </w:rPr>
        <w:t>9</w:t>
      </w:r>
      <w:r>
        <w:rPr>
          <w:rFonts w:hint="eastAsia" w:ascii="宋体" w:hAnsi="宋体" w:cs="宋体"/>
          <w:bCs/>
          <w:color w:val="auto"/>
          <w:sz w:val="24"/>
          <w:highlight w:val="none"/>
        </w:rPr>
        <w:t>日</w:t>
      </w:r>
      <w:r>
        <w:rPr>
          <w:rFonts w:hint="eastAsia" w:ascii="宋体" w:hAnsi="宋体" w:cs="宋体"/>
          <w:bCs/>
          <w:color w:val="auto"/>
          <w:sz w:val="24"/>
          <w:highlight w:val="none"/>
          <w:lang w:val="en-US" w:eastAsia="zh-CN"/>
        </w:rPr>
        <w:t>14</w:t>
      </w: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0</w:t>
      </w:r>
      <w:r>
        <w:rPr>
          <w:rFonts w:hint="eastAsia" w:ascii="宋体" w:hAnsi="宋体" w:cs="宋体"/>
          <w:bCs/>
          <w:color w:val="auto"/>
          <w:sz w:val="24"/>
          <w:highlight w:val="none"/>
        </w:rPr>
        <w:t>0</w:t>
      </w:r>
      <w:r>
        <w:rPr>
          <w:rFonts w:hint="eastAsia" w:ascii="宋体" w:hAnsi="宋体" w:cs="宋体"/>
          <w:bCs/>
          <w:color w:val="auto"/>
          <w:sz w:val="24"/>
          <w:highlight w:val="none"/>
        </w:rPr>
        <w:t>（北京时间）前递交（上传）投标文件。</w:t>
      </w:r>
    </w:p>
    <w:p w14:paraId="7E23768C">
      <w:pPr>
        <w:pBdr>
          <w:top w:val="single" w:color="auto" w:sz="4" w:space="1"/>
          <w:left w:val="single" w:color="auto" w:sz="4" w:space="0"/>
          <w:bottom w:val="single" w:color="auto" w:sz="4" w:space="1"/>
          <w:right w:val="single" w:color="auto" w:sz="4" w:space="4"/>
        </w:pBdr>
        <w:spacing w:line="440" w:lineRule="exact"/>
        <w:ind w:firstLine="480" w:firstLineChars="200"/>
        <w:rPr>
          <w:rFonts w:ascii="宋体" w:hAnsi="宋体" w:cs="宋体"/>
          <w:bCs/>
          <w:color w:val="auto"/>
          <w:sz w:val="24"/>
          <w:highlight w:val="none"/>
        </w:rPr>
      </w:pPr>
    </w:p>
    <w:p w14:paraId="310CD414">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outlineLvl w:val="1"/>
        <w:rPr>
          <w:rFonts w:hint="eastAsia" w:ascii="宋体" w:hAnsi="宋体" w:cs="Arial"/>
          <w:b/>
          <w:color w:val="auto"/>
          <w:kern w:val="1"/>
          <w:sz w:val="24"/>
          <w:highlight w:val="none"/>
        </w:rPr>
      </w:pPr>
      <w:r>
        <w:rPr>
          <w:rFonts w:hint="eastAsia" w:ascii="宋体" w:hAnsi="宋体" w:cs="Arial"/>
          <w:b/>
          <w:color w:val="auto"/>
          <w:kern w:val="1"/>
          <w:sz w:val="24"/>
          <w:highlight w:val="none"/>
        </w:rPr>
        <w:t>一、项目基本情况</w:t>
      </w:r>
    </w:p>
    <w:p w14:paraId="5B7DF9A1">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（一）项目编号：</w:t>
      </w:r>
      <w:r>
        <w:rPr>
          <w:rFonts w:hint="eastAsia" w:ascii="宋体" w:hAnsi="宋体" w:cs="宋体"/>
          <w:bCs/>
          <w:color w:val="auto"/>
          <w:sz w:val="24"/>
          <w:highlight w:val="none"/>
          <w:lang w:eastAsia="zh-CN"/>
        </w:rPr>
        <w:t>WQ2024272-ZFCG072</w:t>
      </w:r>
    </w:p>
    <w:p w14:paraId="54A29EB5">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（二）项目名称：</w:t>
      </w:r>
      <w:r>
        <w:rPr>
          <w:rFonts w:hint="eastAsia" w:ascii="宋体" w:hAnsi="宋体" w:cs="宋体"/>
          <w:bCs/>
          <w:color w:val="auto"/>
          <w:sz w:val="24"/>
          <w:highlight w:val="none"/>
          <w:lang w:eastAsia="zh-CN"/>
        </w:rPr>
        <w:t>金华市博物馆邵飘萍旧居展陈提升项目</w:t>
      </w:r>
    </w:p>
    <w:p w14:paraId="38FC738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（三）预算金额（元）：</w:t>
      </w:r>
      <w:r>
        <w:rPr>
          <w:rFonts w:hint="eastAsia" w:ascii="宋体" w:hAnsi="宋体" w:cs="宋体"/>
          <w:bCs/>
          <w:color w:val="auto"/>
          <w:sz w:val="24"/>
          <w:highlight w:val="none"/>
          <w:lang w:eastAsia="zh-CN"/>
        </w:rPr>
        <w:t>907100</w:t>
      </w:r>
    </w:p>
    <w:p w14:paraId="3E35B4F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（四）最高限价（元）：</w:t>
      </w:r>
      <w:r>
        <w:rPr>
          <w:rFonts w:hint="eastAsia" w:ascii="宋体" w:hAnsi="宋体" w:cs="宋体"/>
          <w:bCs/>
          <w:color w:val="auto"/>
          <w:sz w:val="24"/>
          <w:highlight w:val="none"/>
          <w:lang w:eastAsia="zh-CN"/>
        </w:rPr>
        <w:t>907100</w:t>
      </w:r>
    </w:p>
    <w:p w14:paraId="3733CD1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（五）采购需求：</w:t>
      </w:r>
    </w:p>
    <w:p w14:paraId="59BE7DF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标项一</w:t>
      </w:r>
    </w:p>
    <w:p w14:paraId="1552BC2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标项名称：</w:t>
      </w:r>
      <w:r>
        <w:rPr>
          <w:rFonts w:hint="eastAsia" w:ascii="宋体" w:hAnsi="宋体" w:cs="宋体"/>
          <w:bCs/>
          <w:color w:val="auto"/>
          <w:sz w:val="24"/>
          <w:highlight w:val="none"/>
          <w:lang w:eastAsia="zh-CN"/>
        </w:rPr>
        <w:t>金华市博物馆邵飘萍旧居展陈提升项目</w:t>
      </w:r>
    </w:p>
    <w:p w14:paraId="06249C3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bCs/>
          <w:color w:val="auto"/>
          <w:sz w:val="22"/>
          <w:szCs w:val="22"/>
          <w:highlight w:val="none"/>
        </w:rPr>
      </w:pPr>
      <w:r>
        <w:rPr>
          <w:rFonts w:hint="eastAsia" w:ascii="宋体" w:hAnsi="宋体" w:cs="宋体"/>
          <w:bCs/>
          <w:color w:val="auto"/>
          <w:sz w:val="24"/>
          <w:highlight w:val="none"/>
        </w:rPr>
        <w:t>数量：1项</w:t>
      </w:r>
    </w:p>
    <w:p w14:paraId="64B1031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预算金额（元）：</w:t>
      </w:r>
      <w:r>
        <w:rPr>
          <w:rFonts w:hint="eastAsia" w:ascii="宋体" w:hAnsi="宋体" w:cs="宋体"/>
          <w:bCs/>
          <w:color w:val="auto"/>
          <w:sz w:val="24"/>
          <w:highlight w:val="none"/>
          <w:lang w:eastAsia="zh-CN"/>
        </w:rPr>
        <w:t>907100</w:t>
      </w:r>
    </w:p>
    <w:p w14:paraId="0749770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简要规格描述或项目基本概况介绍、用途：</w:t>
      </w:r>
      <w:r>
        <w:rPr>
          <w:rFonts w:hint="eastAsia" w:ascii="宋体" w:hAnsi="宋体" w:cs="宋体"/>
          <w:bCs/>
          <w:color w:val="auto"/>
          <w:sz w:val="24"/>
          <w:highlight w:val="none"/>
          <w:lang w:eastAsia="zh-CN"/>
        </w:rPr>
        <w:t>邵飘萍旧居位于金华古渡公园内，占地面积</w:t>
      </w:r>
      <w:r>
        <w:rPr>
          <w:rFonts w:hint="eastAsia" w:ascii="宋体" w:hAnsi="宋体" w:cs="宋体"/>
          <w:bCs/>
          <w:color w:val="auto"/>
          <w:sz w:val="24"/>
          <w:highlight w:val="none"/>
          <w:lang w:val="en-US" w:eastAsia="zh-CN"/>
        </w:rPr>
        <w:t>150平方米，建筑保存了民国时期的民居原貌</w:t>
      </w:r>
      <w:r>
        <w:rPr>
          <w:rFonts w:hint="eastAsia" w:ascii="宋体" w:hAnsi="宋体" w:cs="宋体"/>
          <w:bCs/>
          <w:color w:val="auto"/>
          <w:sz w:val="24"/>
          <w:highlight w:val="none"/>
        </w:rPr>
        <w:t>。</w:t>
      </w:r>
      <w:r>
        <w:rPr>
          <w:rFonts w:hint="eastAsia" w:ascii="宋体" w:hAnsi="宋体" w:cs="宋体"/>
          <w:bCs/>
          <w:color w:val="auto"/>
          <w:sz w:val="24"/>
          <w:highlight w:val="none"/>
          <w:lang w:eastAsia="zh-CN"/>
        </w:rPr>
        <w:t>为配合</w:t>
      </w:r>
      <w:r>
        <w:rPr>
          <w:rFonts w:hint="eastAsia" w:ascii="宋体" w:hAnsi="宋体" w:cs="宋体"/>
          <w:bCs/>
          <w:color w:val="auto"/>
          <w:sz w:val="24"/>
          <w:highlight w:val="none"/>
          <w:lang w:val="en-US" w:eastAsia="zh-CN"/>
        </w:rPr>
        <w:t>邵飘萍红色新闻文化教育基地项目建设，拟对邵飘萍旧居展陈进行提升。</w:t>
      </w:r>
      <w:r>
        <w:rPr>
          <w:rFonts w:hint="eastAsia" w:ascii="宋体" w:hAnsi="宋体" w:cs="宋体"/>
          <w:bCs/>
          <w:color w:val="auto"/>
          <w:sz w:val="24"/>
          <w:highlight w:val="none"/>
        </w:rPr>
        <w:t>具体要求见第二章招标项目需求。</w:t>
      </w:r>
    </w:p>
    <w:p w14:paraId="63AC799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（六）合同履约期限：</w:t>
      </w:r>
      <w:r>
        <w:rPr>
          <w:rFonts w:hint="eastAsia" w:ascii="宋体" w:hAnsi="宋体" w:cs="宋体"/>
          <w:bCs/>
          <w:color w:val="auto"/>
          <w:sz w:val="24"/>
          <w:highlight w:val="none"/>
          <w:lang w:bidi="ar"/>
        </w:rPr>
        <w:t>合同签订之日起至所有合同义务履约完毕为止</w:t>
      </w:r>
      <w:r>
        <w:rPr>
          <w:rFonts w:hint="eastAsia" w:ascii="宋体" w:hAnsi="宋体" w:cs="宋体"/>
          <w:bCs/>
          <w:color w:val="auto"/>
          <w:sz w:val="24"/>
          <w:highlight w:val="none"/>
          <w:lang w:eastAsia="zh-CN" w:bidi="ar"/>
        </w:rPr>
        <w:t>（</w:t>
      </w:r>
      <w:r>
        <w:rPr>
          <w:rFonts w:hint="eastAsia" w:ascii="宋体" w:hAnsi="宋体" w:cs="宋体"/>
          <w:bCs/>
          <w:color w:val="auto"/>
          <w:sz w:val="24"/>
          <w:highlight w:val="none"/>
          <w:lang w:val="en-US" w:eastAsia="zh-CN" w:bidi="ar"/>
        </w:rPr>
        <w:t>建设工期及质保期内均为合同履约期限</w:t>
      </w:r>
      <w:r>
        <w:rPr>
          <w:rFonts w:hint="eastAsia" w:ascii="宋体" w:hAnsi="宋体" w:cs="宋体"/>
          <w:bCs/>
          <w:color w:val="auto"/>
          <w:sz w:val="24"/>
          <w:highlight w:val="none"/>
          <w:lang w:eastAsia="zh-CN" w:bidi="ar"/>
        </w:rPr>
        <w:t>）</w:t>
      </w:r>
      <w:r>
        <w:rPr>
          <w:rFonts w:hint="eastAsia" w:ascii="宋体" w:hAnsi="宋体" w:cs="宋体"/>
          <w:bCs/>
          <w:color w:val="auto"/>
          <w:sz w:val="24"/>
          <w:highlight w:val="none"/>
          <w:lang w:bidi="ar"/>
        </w:rPr>
        <w:t>。</w:t>
      </w:r>
    </w:p>
    <w:p w14:paraId="66F7A20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（七）本项目</w:t>
      </w:r>
      <w:r>
        <w:rPr>
          <w:rFonts w:hint="eastAsia" w:ascii="宋体" w:hAnsi="宋体" w:cs="宋体"/>
          <w:bCs/>
          <w:color w:val="auto"/>
          <w:sz w:val="24"/>
          <w:highlight w:val="none"/>
          <w:lang w:val="en-US" w:eastAsia="zh-CN"/>
        </w:rPr>
        <w:t>不</w:t>
      </w:r>
      <w:r>
        <w:rPr>
          <w:rFonts w:hint="eastAsia" w:ascii="宋体" w:hAnsi="宋体" w:cs="宋体"/>
          <w:bCs/>
          <w:color w:val="auto"/>
          <w:sz w:val="24"/>
          <w:highlight w:val="none"/>
        </w:rPr>
        <w:t>接受联合体形式参加投标。</w:t>
      </w:r>
    </w:p>
    <w:p w14:paraId="4F8EA065">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outlineLvl w:val="1"/>
        <w:rPr>
          <w:rFonts w:hint="eastAsia" w:ascii="宋体" w:hAnsi="宋体" w:cs="Arial"/>
          <w:b/>
          <w:color w:val="auto"/>
          <w:kern w:val="1"/>
          <w:sz w:val="24"/>
          <w:highlight w:val="none"/>
        </w:rPr>
      </w:pPr>
      <w:r>
        <w:rPr>
          <w:rFonts w:hint="eastAsia" w:ascii="宋体" w:hAnsi="宋体" w:cs="Arial"/>
          <w:b/>
          <w:color w:val="auto"/>
          <w:kern w:val="1"/>
          <w:sz w:val="24"/>
          <w:highlight w:val="none"/>
        </w:rPr>
        <w:t>二、申请人的资格要求：</w:t>
      </w:r>
    </w:p>
    <w:p w14:paraId="2B48A12B">
      <w:pPr>
        <w:pStyle w:val="26"/>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cs="宋体"/>
          <w:b w:val="0"/>
          <w:bCs w:val="0"/>
          <w:color w:val="auto"/>
          <w:highlight w:val="none"/>
        </w:rPr>
      </w:pPr>
      <w:r>
        <w:rPr>
          <w:rFonts w:hint="eastAsia" w:ascii="宋体" w:cs="宋体"/>
          <w:b w:val="0"/>
          <w:bCs w:val="0"/>
          <w:color w:val="auto"/>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332B585C">
      <w:pPr>
        <w:pStyle w:val="26"/>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cs="宋体"/>
          <w:b w:val="0"/>
          <w:bCs w:val="0"/>
          <w:color w:val="auto"/>
          <w:highlight w:val="none"/>
        </w:rPr>
      </w:pPr>
      <w:r>
        <w:rPr>
          <w:rFonts w:hint="eastAsia" w:ascii="宋体" w:cs="宋体"/>
          <w:b w:val="0"/>
          <w:bCs w:val="0"/>
          <w:color w:val="auto"/>
          <w:highlight w:val="none"/>
        </w:rPr>
        <w:t>2.落实政府采购政策需满足的资格要求：专门面向中小企业</w:t>
      </w:r>
      <w:r>
        <w:rPr>
          <w:rFonts w:hint="eastAsia" w:ascii="宋体" w:cs="宋体"/>
          <w:b w:val="0"/>
          <w:bCs w:val="0"/>
          <w:color w:val="auto"/>
          <w:highlight w:val="none"/>
          <w:lang w:val="en-US" w:eastAsia="zh-CN"/>
        </w:rPr>
        <w:t>采购</w:t>
      </w:r>
      <w:r>
        <w:rPr>
          <w:rFonts w:hint="eastAsia" w:ascii="宋体" w:cs="宋体"/>
          <w:b w:val="0"/>
          <w:bCs w:val="0"/>
          <w:color w:val="auto"/>
          <w:highlight w:val="none"/>
        </w:rPr>
        <w:t>，即所有服务全部由符合政策要求的中小企业承接（提供中小企业声明函。残疾人福利性单位和监狱企业视同中小</w:t>
      </w:r>
      <w:r>
        <w:rPr>
          <w:rFonts w:hint="eastAsia" w:ascii="宋体" w:cs="宋体"/>
          <w:b w:val="0"/>
          <w:bCs w:val="0"/>
          <w:color w:val="auto"/>
          <w:highlight w:val="none"/>
          <w:lang w:val="en-US" w:eastAsia="zh-CN"/>
        </w:rPr>
        <w:t>微</w:t>
      </w:r>
      <w:r>
        <w:rPr>
          <w:rFonts w:hint="eastAsia" w:ascii="宋体" w:cs="宋体"/>
          <w:b w:val="0"/>
          <w:bCs w:val="0"/>
          <w:color w:val="auto"/>
          <w:highlight w:val="none"/>
        </w:rPr>
        <w:t>企业，提供承诺函或相关依据。本项目所属行业为“其他未列明行业”。从业人员300人以下的为中小微型企业。其中，从业人员100人及以上的为中型企业；从业人员10人及以上的为小型企业；从业人员10人以下的为微型企业）。</w:t>
      </w:r>
    </w:p>
    <w:p w14:paraId="27E19E31">
      <w:pPr>
        <w:pStyle w:val="26"/>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cs="宋体"/>
          <w:b w:val="0"/>
          <w:bCs w:val="0"/>
          <w:color w:val="auto"/>
          <w:highlight w:val="none"/>
        </w:rPr>
      </w:pPr>
      <w:r>
        <w:rPr>
          <w:rFonts w:hint="eastAsia" w:ascii="宋体" w:cs="宋体"/>
          <w:b w:val="0"/>
          <w:bCs w:val="0"/>
          <w:color w:val="auto"/>
          <w:highlight w:val="none"/>
          <w:lang w:val="en-US" w:eastAsia="zh-CN"/>
        </w:rPr>
        <w:t>3.</w:t>
      </w:r>
      <w:r>
        <w:rPr>
          <w:rFonts w:hint="eastAsia" w:ascii="宋体" w:cs="宋体"/>
          <w:b w:val="0"/>
          <w:bCs w:val="0"/>
          <w:color w:val="auto"/>
          <w:highlight w:val="none"/>
        </w:rPr>
        <w:t>本项目的特定资格要求：无。</w:t>
      </w:r>
    </w:p>
    <w:p w14:paraId="29A65C59">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outlineLvl w:val="1"/>
        <w:rPr>
          <w:rFonts w:ascii="宋体" w:hAnsi="宋体" w:cs="宋体"/>
          <w:b/>
          <w:color w:val="auto"/>
          <w:sz w:val="24"/>
          <w:highlight w:val="none"/>
        </w:rPr>
      </w:pPr>
      <w:r>
        <w:rPr>
          <w:rFonts w:hint="eastAsia" w:ascii="宋体" w:hAnsi="宋体" w:cs="宋体"/>
          <w:b/>
          <w:color w:val="auto"/>
          <w:sz w:val="24"/>
          <w:highlight w:val="none"/>
        </w:rPr>
        <w:t xml:space="preserve">三、获取采购文件： </w:t>
      </w:r>
    </w:p>
    <w:p w14:paraId="17CFE26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（一）时间：公告发布之日起至</w:t>
      </w:r>
      <w:r>
        <w:rPr>
          <w:rFonts w:hint="eastAsia" w:ascii="宋体" w:hAnsi="宋体" w:cs="宋体"/>
          <w:bCs/>
          <w:color w:val="auto"/>
          <w:sz w:val="24"/>
          <w:highlight w:val="none"/>
        </w:rPr>
        <w:t>2024年</w:t>
      </w:r>
      <w:r>
        <w:rPr>
          <w:rFonts w:hint="eastAsia" w:ascii="宋体" w:hAnsi="宋体" w:cs="宋体"/>
          <w:bCs/>
          <w:color w:val="auto"/>
          <w:sz w:val="24"/>
          <w:highlight w:val="none"/>
          <w:lang w:val="en-US" w:eastAsia="zh-CN"/>
        </w:rPr>
        <w:t>9</w:t>
      </w:r>
      <w:r>
        <w:rPr>
          <w:rFonts w:hint="eastAsia" w:ascii="宋体" w:hAnsi="宋体" w:cs="宋体"/>
          <w:bCs/>
          <w:color w:val="auto"/>
          <w:sz w:val="24"/>
          <w:highlight w:val="none"/>
        </w:rPr>
        <w:t>月</w:t>
      </w:r>
      <w:r>
        <w:rPr>
          <w:rFonts w:hint="eastAsia" w:ascii="宋体" w:hAnsi="宋体" w:cs="宋体"/>
          <w:bCs/>
          <w:color w:val="auto"/>
          <w:sz w:val="24"/>
          <w:highlight w:val="none"/>
          <w:lang w:val="en-US" w:eastAsia="zh-CN"/>
        </w:rPr>
        <w:t>9</w:t>
      </w:r>
      <w:r>
        <w:rPr>
          <w:rFonts w:hint="eastAsia" w:ascii="宋体" w:hAnsi="宋体" w:cs="宋体"/>
          <w:bCs/>
          <w:color w:val="auto"/>
          <w:sz w:val="24"/>
          <w:highlight w:val="none"/>
        </w:rPr>
        <w:t>日投标截止时间前</w:t>
      </w:r>
      <w:r>
        <w:rPr>
          <w:rFonts w:hint="eastAsia" w:ascii="宋体" w:hAnsi="宋体" w:cs="宋体"/>
          <w:bCs/>
          <w:color w:val="auto"/>
          <w:sz w:val="24"/>
          <w:highlight w:val="none"/>
        </w:rPr>
        <w:t>，每天上午00:00至12:00 ，下午12:00至23:59（北京时间，线上获取法定节假日均可，线下获取文件法定节假日除外）。</w:t>
      </w:r>
    </w:p>
    <w:p w14:paraId="1023CF1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 xml:space="preserve">（二）地点（网址）：浙江政府采购网（http：//zfcg.czt.zj.gov.cn）。 </w:t>
      </w:r>
    </w:p>
    <w:p w14:paraId="3EA0A67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三）方式：供应商登录政采云平台https://www.zcygov.cn/在线申请获取采购文件（进入“项目采购”应用，在获取采购文件菜单中选择项目，申请获取采购文件）。供应商只有在“政府采购云平台”完成获取采购文件申请并下载了采购文件后才视作依法获取采购文件（法律法规所指的供应商获取采购文件时间以供应商完成获取采购文件申请后下载采购文件的时间为准）。供应商获取采购文件前应先完成“政府采购</w:t>
      </w:r>
      <w:bookmarkStart w:id="29" w:name="_GoBack"/>
      <w:bookmarkEnd w:id="29"/>
      <w:r>
        <w:rPr>
          <w:rFonts w:hint="eastAsia" w:ascii="宋体" w:hAnsi="宋体" w:cs="宋体"/>
          <w:bCs/>
          <w:color w:val="auto"/>
          <w:sz w:val="24"/>
          <w:highlight w:val="none"/>
        </w:rPr>
        <w:t>云平台”的账号注册（注册咨询电话：95763；注册流程见网址：https://middle.zcygov.cn/v-settle-front/registry）。供应商应当按照公告规定的方式获取采购文件。未按照公告规定的方式获取采购文件的，不得对采购文件提起质疑、投诉。如未在“政采云”系统内完成相关流程，引起的投标无效责任由供应商自行承担。同时，供应商在参加投标前应随时关注项目的更正公告情况，因供应商未及时查看项目变更情况造成无效投标的责任由供应商自行承担。</w:t>
      </w:r>
    </w:p>
    <w:p w14:paraId="1344CCE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本项目为在线电子招、投标项目，不再提供纸质版采购文件。</w:t>
      </w:r>
    </w:p>
    <w:p w14:paraId="3CDFC9D1">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outlineLvl w:val="1"/>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2C0AA3C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（一）提交投标文件截止时间：2024年</w:t>
      </w:r>
      <w:r>
        <w:rPr>
          <w:rFonts w:hint="eastAsia" w:ascii="宋体" w:hAnsi="宋体" w:cs="宋体"/>
          <w:bCs/>
          <w:color w:val="auto"/>
          <w:sz w:val="24"/>
          <w:highlight w:val="none"/>
          <w:lang w:val="en-US" w:eastAsia="zh-CN"/>
        </w:rPr>
        <w:t>9</w:t>
      </w:r>
      <w:r>
        <w:rPr>
          <w:rFonts w:hint="eastAsia" w:ascii="宋体" w:hAnsi="宋体" w:cs="宋体"/>
          <w:bCs/>
          <w:color w:val="auto"/>
          <w:sz w:val="24"/>
          <w:highlight w:val="none"/>
        </w:rPr>
        <w:t>月</w:t>
      </w:r>
      <w:r>
        <w:rPr>
          <w:rFonts w:hint="eastAsia" w:ascii="宋体" w:hAnsi="宋体" w:cs="宋体"/>
          <w:bCs/>
          <w:color w:val="auto"/>
          <w:sz w:val="24"/>
          <w:highlight w:val="none"/>
          <w:lang w:val="en-US" w:eastAsia="zh-CN"/>
        </w:rPr>
        <w:t>9</w:t>
      </w:r>
      <w:r>
        <w:rPr>
          <w:rFonts w:hint="eastAsia" w:ascii="宋体" w:hAnsi="宋体" w:cs="宋体"/>
          <w:bCs/>
          <w:color w:val="auto"/>
          <w:sz w:val="24"/>
          <w:highlight w:val="none"/>
        </w:rPr>
        <w:t>日</w:t>
      </w:r>
      <w:r>
        <w:rPr>
          <w:rFonts w:hint="eastAsia" w:ascii="宋体" w:hAnsi="宋体" w:cs="宋体"/>
          <w:bCs/>
          <w:color w:val="auto"/>
          <w:sz w:val="24"/>
          <w:highlight w:val="none"/>
          <w:lang w:val="en-US" w:eastAsia="zh-CN"/>
        </w:rPr>
        <w:t>14</w:t>
      </w: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0</w:t>
      </w:r>
      <w:r>
        <w:rPr>
          <w:rFonts w:hint="eastAsia" w:ascii="宋体" w:hAnsi="宋体" w:cs="宋体"/>
          <w:bCs/>
          <w:color w:val="auto"/>
          <w:sz w:val="24"/>
          <w:highlight w:val="none"/>
        </w:rPr>
        <w:t>0（北京时间）</w:t>
      </w:r>
    </w:p>
    <w:p w14:paraId="4770F09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（二）投标地点（网址）：“政采云投标客户端”（本项目采用在线投标方式，供应商须在投标截止时间前按规定上传</w:t>
      </w:r>
      <w:r>
        <w:rPr>
          <w:rFonts w:hint="eastAsia" w:ascii="宋体" w:hAnsi="宋体" w:cs="宋体"/>
          <w:color w:val="auto"/>
          <w:sz w:val="24"/>
          <w:highlight w:val="none"/>
        </w:rPr>
        <w:t>加密的</w:t>
      </w:r>
      <w:r>
        <w:rPr>
          <w:rFonts w:hint="eastAsia" w:ascii="宋体" w:hAnsi="宋体" w:cs="宋体"/>
          <w:bCs/>
          <w:color w:val="auto"/>
          <w:sz w:val="24"/>
          <w:highlight w:val="none"/>
        </w:rPr>
        <w:t>投标文件至政采云平台）</w:t>
      </w:r>
    </w:p>
    <w:p w14:paraId="0FC4342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（三）开标时间：2024年</w:t>
      </w:r>
      <w:r>
        <w:rPr>
          <w:rFonts w:hint="eastAsia" w:ascii="宋体" w:hAnsi="宋体" w:cs="宋体"/>
          <w:bCs/>
          <w:color w:val="auto"/>
          <w:sz w:val="24"/>
          <w:highlight w:val="none"/>
          <w:lang w:val="en-US" w:eastAsia="zh-CN"/>
        </w:rPr>
        <w:t>9</w:t>
      </w:r>
      <w:r>
        <w:rPr>
          <w:rFonts w:hint="eastAsia" w:ascii="宋体" w:hAnsi="宋体" w:cs="宋体"/>
          <w:bCs/>
          <w:color w:val="auto"/>
          <w:sz w:val="24"/>
          <w:highlight w:val="none"/>
        </w:rPr>
        <w:t>月</w:t>
      </w:r>
      <w:r>
        <w:rPr>
          <w:rFonts w:hint="eastAsia" w:ascii="宋体" w:hAnsi="宋体" w:cs="宋体"/>
          <w:bCs/>
          <w:color w:val="auto"/>
          <w:sz w:val="24"/>
          <w:highlight w:val="none"/>
          <w:lang w:val="en-US" w:eastAsia="zh-CN"/>
        </w:rPr>
        <w:t>9</w:t>
      </w:r>
      <w:r>
        <w:rPr>
          <w:rFonts w:hint="eastAsia" w:ascii="宋体" w:hAnsi="宋体" w:cs="宋体"/>
          <w:bCs/>
          <w:color w:val="auto"/>
          <w:sz w:val="24"/>
          <w:highlight w:val="none"/>
        </w:rPr>
        <w:t>日</w:t>
      </w:r>
      <w:r>
        <w:rPr>
          <w:rFonts w:hint="eastAsia" w:ascii="宋体" w:hAnsi="宋体" w:cs="宋体"/>
          <w:bCs/>
          <w:color w:val="auto"/>
          <w:sz w:val="24"/>
          <w:highlight w:val="none"/>
          <w:lang w:val="en-US" w:eastAsia="zh-CN"/>
        </w:rPr>
        <w:t>14</w:t>
      </w: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0</w:t>
      </w:r>
      <w:r>
        <w:rPr>
          <w:rFonts w:hint="eastAsia" w:ascii="宋体" w:hAnsi="宋体" w:cs="宋体"/>
          <w:bCs/>
          <w:color w:val="auto"/>
          <w:sz w:val="24"/>
          <w:highlight w:val="none"/>
        </w:rPr>
        <w:t>0（北京时间）</w:t>
      </w:r>
    </w:p>
    <w:p w14:paraId="39B1BD9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（四）开标地点（网址）：“政采云投标客户端”开标大厅（本项目采用在线解密开启投标文件，供应商自行关注政采云平台开标评标过程及结果）</w:t>
      </w:r>
    </w:p>
    <w:p w14:paraId="0DB40432">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outlineLvl w:val="1"/>
        <w:rPr>
          <w:rFonts w:hint="eastAsia" w:ascii="宋体" w:hAnsi="宋体" w:cs="宋体"/>
          <w:b/>
          <w:color w:val="auto"/>
          <w:sz w:val="24"/>
          <w:highlight w:val="none"/>
        </w:rPr>
      </w:pPr>
      <w:r>
        <w:rPr>
          <w:rFonts w:hint="eastAsia" w:ascii="宋体" w:hAnsi="宋体" w:cs="宋体"/>
          <w:b/>
          <w:color w:val="auto"/>
          <w:sz w:val="24"/>
          <w:highlight w:val="none"/>
        </w:rPr>
        <w:t xml:space="preserve">五、公告期限 </w:t>
      </w:r>
    </w:p>
    <w:p w14:paraId="51189D5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自本公告发布之日起5个工作日。</w:t>
      </w:r>
    </w:p>
    <w:p w14:paraId="4CF7C562">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outlineLvl w:val="1"/>
        <w:rPr>
          <w:rFonts w:ascii="宋体" w:hAnsi="宋体" w:cs="宋体"/>
          <w:b/>
          <w:color w:val="auto"/>
          <w:sz w:val="24"/>
          <w:highlight w:val="none"/>
        </w:rPr>
      </w:pPr>
      <w:r>
        <w:rPr>
          <w:rFonts w:hint="eastAsia" w:ascii="宋体" w:hAnsi="宋体" w:cs="宋体"/>
          <w:b/>
          <w:color w:val="auto"/>
          <w:sz w:val="24"/>
          <w:highlight w:val="none"/>
        </w:rPr>
        <w:t>六、其他补充事宜</w:t>
      </w:r>
    </w:p>
    <w:p w14:paraId="163F54D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p w14:paraId="33C1C94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4E47DE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824F173">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outlineLvl w:val="1"/>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539201C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1.采购人信息</w:t>
      </w:r>
    </w:p>
    <w:p w14:paraId="21727EA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名    称：</w:t>
      </w:r>
      <w:r>
        <w:rPr>
          <w:rFonts w:hint="eastAsia" w:ascii="宋体" w:hAnsi="宋体" w:cs="宋体"/>
          <w:bCs/>
          <w:color w:val="auto"/>
          <w:sz w:val="24"/>
          <w:highlight w:val="none"/>
          <w:lang w:eastAsia="zh-CN"/>
        </w:rPr>
        <w:t>金华市博物馆</w:t>
      </w:r>
    </w:p>
    <w:p w14:paraId="3C5EB43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 xml:space="preserve">地    址：金华市将军路51号 </w:t>
      </w:r>
    </w:p>
    <w:p w14:paraId="69BBB52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项目联系人（询问）：王女士</w:t>
      </w:r>
    </w:p>
    <w:p w14:paraId="1EC9C1F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项目联系方式（询问）：</w:t>
      </w:r>
      <w:r>
        <w:rPr>
          <w:rFonts w:hint="eastAsia" w:ascii="宋体" w:hAnsi="宋体" w:cs="宋体"/>
          <w:bCs/>
          <w:color w:val="auto"/>
          <w:sz w:val="24"/>
          <w:highlight w:val="none"/>
          <w:lang w:val="en-US" w:eastAsia="zh-CN"/>
        </w:rPr>
        <w:t>0579-82323806</w:t>
      </w:r>
    </w:p>
    <w:p w14:paraId="4C185E3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rPr>
        <w:t>质疑联系人：徐女士</w:t>
      </w:r>
      <w:r>
        <w:rPr>
          <w:rFonts w:hint="eastAsia" w:ascii="宋体" w:hAnsi="宋体" w:cs="宋体"/>
          <w:bCs/>
          <w:color w:val="auto"/>
          <w:sz w:val="24"/>
          <w:highlight w:val="none"/>
          <w:lang w:val="en-US" w:eastAsia="zh-CN"/>
        </w:rPr>
        <w:t xml:space="preserve"> </w:t>
      </w:r>
    </w:p>
    <w:p w14:paraId="5ABFF55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质疑联系方式：0579-82310137</w:t>
      </w:r>
      <w:r>
        <w:rPr>
          <w:rFonts w:hint="eastAsia" w:ascii="宋体" w:hAnsi="宋体" w:cs="宋体"/>
          <w:bCs/>
          <w:color w:val="auto"/>
          <w:sz w:val="24"/>
          <w:highlight w:val="none"/>
          <w:lang w:val="en-US" w:eastAsia="zh-CN"/>
        </w:rPr>
        <w:t xml:space="preserve"> </w:t>
      </w:r>
    </w:p>
    <w:p w14:paraId="79287AD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 xml:space="preserve">2.采购代理机构信息 </w:t>
      </w:r>
    </w:p>
    <w:p w14:paraId="47EEFD4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 xml:space="preserve">名    称：金华市万全招标代理有限公司 </w:t>
      </w:r>
    </w:p>
    <w:p w14:paraId="0910A96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地    址：金华市玉泉东路288号3楼</w:t>
      </w:r>
    </w:p>
    <w:p w14:paraId="285EAE5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 xml:space="preserve">项目联系人（询问）：方晓琳 </w:t>
      </w:r>
      <w:r>
        <w:rPr>
          <w:rFonts w:hint="eastAsia" w:ascii="宋体" w:hAnsi="宋体" w:cs="宋体"/>
          <w:color w:val="auto"/>
          <w:sz w:val="24"/>
          <w:highlight w:val="none"/>
        </w:rPr>
        <w:t xml:space="preserve">  </w:t>
      </w:r>
      <w:r>
        <w:rPr>
          <w:rFonts w:hint="eastAsia" w:ascii="宋体" w:hAnsi="宋体" w:cs="宋体"/>
          <w:bCs/>
          <w:color w:val="auto"/>
          <w:sz w:val="24"/>
          <w:highlight w:val="none"/>
        </w:rPr>
        <w:t xml:space="preserve">           </w:t>
      </w:r>
    </w:p>
    <w:p w14:paraId="3C83CF1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 xml:space="preserve">项目联系方式（询问）：0579-82583379 </w:t>
      </w:r>
    </w:p>
    <w:p w14:paraId="5F7282F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质疑联系人：</w:t>
      </w:r>
      <w:r>
        <w:rPr>
          <w:rFonts w:hint="eastAsia" w:ascii="宋体" w:hAnsi="宋体" w:cs="宋体"/>
          <w:color w:val="auto"/>
          <w:sz w:val="24"/>
          <w:highlight w:val="none"/>
        </w:rPr>
        <w:t>吴贵兰</w:t>
      </w:r>
      <w:r>
        <w:rPr>
          <w:rFonts w:hint="eastAsia" w:ascii="宋体" w:hAnsi="宋体" w:cs="宋体"/>
          <w:bCs/>
          <w:color w:val="auto"/>
          <w:sz w:val="24"/>
          <w:highlight w:val="none"/>
        </w:rPr>
        <w:t xml:space="preserve">          </w:t>
      </w:r>
    </w:p>
    <w:p w14:paraId="502DB17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 xml:space="preserve">质疑联系方式：0579-82583380    </w:t>
      </w:r>
    </w:p>
    <w:p w14:paraId="48E3676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3.同级政府采购监督管理部门            </w:t>
      </w:r>
    </w:p>
    <w:p w14:paraId="24C40FA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名    称：金华市财政局政府采购监管处             </w:t>
      </w:r>
    </w:p>
    <w:p w14:paraId="40974BC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地    址：金华市双龙南街801号财政局510办公室            </w:t>
      </w:r>
    </w:p>
    <w:p w14:paraId="025289E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联 系 人：徐老师           </w:t>
      </w:r>
    </w:p>
    <w:p w14:paraId="45FBB56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监督投诉电话：0579-82468735</w:t>
      </w:r>
    </w:p>
    <w:p w14:paraId="6923816E">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ascii="宋体" w:hAnsi="宋体" w:cs="宋体"/>
          <w:bCs/>
          <w:color w:val="auto"/>
          <w:sz w:val="24"/>
          <w:highlight w:val="none"/>
        </w:rPr>
      </w:pPr>
      <w:r>
        <w:rPr>
          <w:rFonts w:hint="eastAsia" w:ascii="宋体" w:hAnsi="宋体" w:cs="宋体"/>
          <w:b/>
          <w:bCs/>
          <w:color w:val="auto"/>
          <w:sz w:val="24"/>
          <w:highlight w:val="none"/>
        </w:rPr>
        <w:t>八、电子标系统咨询：</w:t>
      </w:r>
      <w:r>
        <w:rPr>
          <w:rFonts w:hint="eastAsia" w:ascii="宋体" w:hAnsi="宋体" w:cs="宋体"/>
          <w:bCs/>
          <w:color w:val="auto"/>
          <w:sz w:val="24"/>
          <w:highlight w:val="none"/>
        </w:rPr>
        <w:t>若对项目采购电子交易系统操作有疑问，可登录政采云（https://www.zcygov.cn/），点击右侧咨询小采，获取采小蜜智能服务管家帮助，或拨打政采云服务热线95763获取热线服务帮助。CA问题联系电话（人工）：汇信CA 400-888-4636；天谷CA 400-087-8198。</w:t>
      </w:r>
    </w:p>
    <w:p w14:paraId="47D52A41">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九、政府采购金融服务提示：</w:t>
      </w:r>
    </w:p>
    <w:p w14:paraId="403B62B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为扩大政府采购金融服务面，除政采云网上金融服务合作银行外，金华市范围增加线下合作银行两家，具体信息如下：</w:t>
      </w:r>
    </w:p>
    <w:p w14:paraId="795745D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 xml:space="preserve">金华银行文创支行     联系人：姜峰    </w:t>
      </w:r>
    </w:p>
    <w:p w14:paraId="550D066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联系电话：13905792828/0579-82479020</w:t>
      </w:r>
    </w:p>
    <w:p w14:paraId="4BAE86E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 xml:space="preserve">浙商银行金华分行     联系人：朱晨祥  </w:t>
      </w:r>
    </w:p>
    <w:p w14:paraId="7AA064E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 xml:space="preserve">联系电话：15857978811/0579-82999581  </w:t>
      </w:r>
    </w:p>
    <w:p w14:paraId="393B62A6">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ascii="宋体" w:hAnsi="宋体" w:cs="宋体"/>
          <w:bCs/>
          <w:color w:val="auto"/>
          <w:sz w:val="24"/>
          <w:highlight w:val="none"/>
        </w:rPr>
      </w:pPr>
      <w:r>
        <w:rPr>
          <w:rFonts w:hint="eastAsia" w:ascii="宋体" w:hAnsi="宋体" w:cs="宋体"/>
          <w:b/>
          <w:color w:val="auto"/>
          <w:sz w:val="24"/>
          <w:highlight w:val="none"/>
        </w:rPr>
        <w:t>十、企业信用融资：</w:t>
      </w:r>
      <w:r>
        <w:rPr>
          <w:rFonts w:hint="eastAsia" w:ascii="宋体" w:hAnsi="宋体" w:cs="宋体"/>
          <w:bCs/>
          <w:color w:val="auto"/>
          <w:sz w:val="24"/>
          <w:highlight w:val="none"/>
        </w:rPr>
        <w:t>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网的中小企业信用融资栏目了解相关信息。供应商可以通过浙江政府采购网（https://zfcg. czt.zj. gov.cn/）首页的“浙江政采贷”模块进入申请，还可以通过政府采购云平台（https://www.zcygov.cn/）首页的“金融服务”模块进入申请。</w:t>
      </w:r>
    </w:p>
    <w:p w14:paraId="605C929F">
      <w:pPr>
        <w:spacing w:line="440" w:lineRule="exact"/>
        <w:ind w:firstLine="600"/>
        <w:rPr>
          <w:color w:val="auto"/>
          <w:highlight w:val="none"/>
        </w:rPr>
      </w:pPr>
      <w:r>
        <w:rPr>
          <w:rFonts w:ascii="黑体" w:hAnsi="宋体" w:eastAsia="黑体"/>
          <w:color w:val="auto"/>
          <w:sz w:val="30"/>
          <w:szCs w:val="30"/>
          <w:highlight w:val="none"/>
        </w:rPr>
        <w:br w:type="page"/>
      </w:r>
    </w:p>
    <w:p w14:paraId="25FFD7D1">
      <w:pPr>
        <w:pStyle w:val="24"/>
        <w:numPr>
          <w:ilvl w:val="0"/>
          <w:numId w:val="6"/>
        </w:numPr>
        <w:snapToGrid w:val="0"/>
        <w:spacing w:before="120" w:after="120" w:line="240" w:lineRule="auto"/>
        <w:jc w:val="center"/>
        <w:outlineLvl w:val="0"/>
        <w:rPr>
          <w:rFonts w:hint="default" w:hAnsi="宋体" w:cs="宋体"/>
          <w:b/>
          <w:color w:val="auto"/>
          <w:sz w:val="30"/>
          <w:szCs w:val="30"/>
          <w:highlight w:val="none"/>
        </w:rPr>
      </w:pPr>
      <w:r>
        <w:rPr>
          <w:rFonts w:hAnsi="宋体" w:cs="宋体"/>
          <w:b/>
          <w:color w:val="auto"/>
          <w:sz w:val="30"/>
          <w:szCs w:val="30"/>
          <w:highlight w:val="none"/>
        </w:rPr>
        <w:t>招标项目需求</w:t>
      </w:r>
    </w:p>
    <w:p w14:paraId="7CA9C2C3">
      <w:pPr>
        <w:widowControl/>
        <w:shd w:val="clear" w:color="auto" w:fill="FFFFFF"/>
        <w:spacing w:line="400" w:lineRule="exact"/>
        <w:ind w:firstLine="600" w:firstLineChars="200"/>
        <w:jc w:val="center"/>
        <w:rPr>
          <w:rFonts w:ascii="黑体" w:hAnsi="宋体" w:eastAsia="黑体"/>
          <w:color w:val="auto"/>
          <w:sz w:val="30"/>
          <w:szCs w:val="30"/>
          <w:highlight w:val="none"/>
        </w:rPr>
      </w:pPr>
    </w:p>
    <w:p w14:paraId="74A4606D">
      <w:pPr>
        <w:pStyle w:val="40"/>
        <w:keepNext w:val="0"/>
        <w:keepLines w:val="0"/>
        <w:pageBreakBefore w:val="0"/>
        <w:widowControl w:val="0"/>
        <w:kinsoku/>
        <w:wordWrap/>
        <w:overflowPunct/>
        <w:topLinePunct w:val="0"/>
        <w:autoSpaceDE/>
        <w:autoSpaceDN/>
        <w:bidi w:val="0"/>
        <w:adjustRightInd/>
        <w:snapToGrid/>
        <w:spacing w:after="0"/>
        <w:ind w:firstLine="210"/>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一、项目概况</w:t>
      </w:r>
    </w:p>
    <w:p w14:paraId="63B7EECB">
      <w:pPr>
        <w:pStyle w:val="4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为配合打造“中国青年记者始业教育基地”和古渡公园项目建设,市文旅局下达启动邵飘萍旧居展陈提升项目的指示。对邵飘萍旧居进行展陈提升,形式以图文版面、沉浸式复原场景为主。</w:t>
      </w:r>
      <w:r>
        <w:rPr>
          <w:rFonts w:hint="eastAsia" w:ascii="宋体" w:hAnsi="宋体" w:cs="宋体"/>
          <w:color w:val="auto"/>
          <w:sz w:val="24"/>
          <w:szCs w:val="24"/>
          <w:highlight w:val="none"/>
          <w:lang w:val="en-US" w:eastAsia="zh-CN"/>
        </w:rPr>
        <w:t>平面图详见附件1，为了解现场</w:t>
      </w:r>
      <w:r>
        <w:rPr>
          <w:rFonts w:hint="eastAsia" w:ascii="宋体" w:hAnsi="宋体" w:eastAsia="宋体" w:cs="宋体"/>
          <w:color w:val="auto"/>
          <w:sz w:val="24"/>
          <w:szCs w:val="24"/>
          <w:highlight w:val="none"/>
          <w:lang w:val="en-US" w:eastAsia="zh-CN"/>
        </w:rPr>
        <w:t>建议投标人现场勘察（采购人不统一组织）。</w:t>
      </w:r>
    </w:p>
    <w:p w14:paraId="1AC0682A">
      <w:pPr>
        <w:pStyle w:val="40"/>
        <w:keepNext w:val="0"/>
        <w:keepLines w:val="0"/>
        <w:pageBreakBefore w:val="0"/>
        <w:widowControl w:val="0"/>
        <w:kinsoku/>
        <w:wordWrap/>
        <w:overflowPunct/>
        <w:topLinePunct w:val="0"/>
        <w:autoSpaceDE/>
        <w:autoSpaceDN/>
        <w:bidi w:val="0"/>
        <w:adjustRightInd/>
        <w:snapToGrid/>
        <w:spacing w:after="0"/>
        <w:ind w:firstLine="210"/>
        <w:textAlignment w:val="auto"/>
        <w:rPr>
          <w:rFonts w:hint="default"/>
          <w:b/>
          <w:bCs/>
          <w:color w:val="auto"/>
          <w:sz w:val="24"/>
          <w:szCs w:val="24"/>
          <w:highlight w:val="none"/>
          <w:lang w:val="en-US" w:eastAsia="zh-CN"/>
        </w:rPr>
      </w:pPr>
      <w:r>
        <w:rPr>
          <w:rFonts w:hint="eastAsia"/>
          <w:b/>
          <w:bCs/>
          <w:color w:val="auto"/>
          <w:sz w:val="24"/>
          <w:szCs w:val="24"/>
          <w:highlight w:val="none"/>
          <w:lang w:val="en-US" w:eastAsia="zh-CN"/>
        </w:rPr>
        <w:t xml:space="preserve">二、项目清单 </w:t>
      </w:r>
    </w:p>
    <w:p w14:paraId="4D9BBAF2">
      <w:pPr>
        <w:pStyle w:val="40"/>
        <w:keepNext w:val="0"/>
        <w:keepLines w:val="0"/>
        <w:pageBreakBefore w:val="0"/>
        <w:widowControl w:val="0"/>
        <w:kinsoku/>
        <w:wordWrap/>
        <w:overflowPunct/>
        <w:topLinePunct w:val="0"/>
        <w:autoSpaceDE/>
        <w:autoSpaceDN/>
        <w:bidi w:val="0"/>
        <w:adjustRightInd/>
        <w:snapToGrid/>
        <w:spacing w:after="0"/>
        <w:ind w:firstLine="210"/>
        <w:textAlignment w:val="auto"/>
        <w:rPr>
          <w:rFonts w:hint="eastAsia"/>
          <w:b/>
          <w:bCs/>
          <w:color w:val="auto"/>
          <w:sz w:val="24"/>
          <w:szCs w:val="24"/>
          <w:highlight w:val="none"/>
          <w:u w:val="single"/>
          <w:lang w:val="en-US" w:eastAsia="zh-CN"/>
        </w:rPr>
      </w:pPr>
      <w:r>
        <w:rPr>
          <w:rFonts w:hint="eastAsia"/>
          <w:b/>
          <w:bCs/>
          <w:color w:val="auto"/>
          <w:sz w:val="24"/>
          <w:szCs w:val="24"/>
          <w:highlight w:val="none"/>
          <w:lang w:val="en-US" w:eastAsia="zh-CN"/>
        </w:rPr>
        <w:t>（一）</w:t>
      </w:r>
      <w:r>
        <w:rPr>
          <w:rFonts w:hint="eastAsia"/>
          <w:b/>
          <w:bCs/>
          <w:color w:val="auto"/>
          <w:sz w:val="24"/>
          <w:szCs w:val="24"/>
          <w:highlight w:val="none"/>
          <w:u w:val="none"/>
          <w:lang w:val="en-US" w:eastAsia="zh-CN"/>
        </w:rPr>
        <w:t>需求清单及主要服务要求</w:t>
      </w:r>
    </w:p>
    <w:tbl>
      <w:tblPr>
        <w:tblStyle w:val="42"/>
        <w:tblW w:w="91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80"/>
        <w:gridCol w:w="1267"/>
        <w:gridCol w:w="4622"/>
        <w:gridCol w:w="1080"/>
        <w:gridCol w:w="1080"/>
      </w:tblGrid>
      <w:tr w14:paraId="6EFD0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1080" w:type="dxa"/>
            <w:shd w:val="clear" w:color="auto" w:fill="auto"/>
            <w:noWrap/>
            <w:vAlign w:val="center"/>
          </w:tcPr>
          <w:p w14:paraId="6761490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267" w:type="dxa"/>
            <w:shd w:val="clear" w:color="auto" w:fill="auto"/>
            <w:noWrap/>
            <w:vAlign w:val="center"/>
          </w:tcPr>
          <w:p w14:paraId="38D9E63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sz w:val="24"/>
                <w:szCs w:val="24"/>
                <w:highlight w:val="none"/>
                <w:u w:val="none"/>
                <w:lang w:val="en-US" w:eastAsia="zh-CN"/>
              </w:rPr>
              <w:t>服务项</w:t>
            </w:r>
          </w:p>
        </w:tc>
        <w:tc>
          <w:tcPr>
            <w:tcW w:w="4622" w:type="dxa"/>
            <w:shd w:val="clear" w:color="auto" w:fill="auto"/>
            <w:noWrap/>
            <w:vAlign w:val="center"/>
          </w:tcPr>
          <w:p w14:paraId="0BF5F76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sz w:val="24"/>
                <w:szCs w:val="24"/>
                <w:highlight w:val="none"/>
                <w:u w:val="none"/>
                <w:lang w:val="en-US" w:eastAsia="zh-CN"/>
              </w:rPr>
              <w:t>服务</w:t>
            </w:r>
            <w:r>
              <w:rPr>
                <w:rFonts w:hint="eastAsia" w:ascii="宋体" w:hAnsi="宋体" w:eastAsia="宋体" w:cs="宋体"/>
                <w:b/>
                <w:bCs/>
                <w:i w:val="0"/>
                <w:iCs w:val="0"/>
                <w:color w:val="auto"/>
                <w:kern w:val="0"/>
                <w:sz w:val="24"/>
                <w:szCs w:val="24"/>
                <w:highlight w:val="none"/>
                <w:u w:val="none"/>
                <w:lang w:val="en-US" w:eastAsia="zh-CN" w:bidi="ar"/>
              </w:rPr>
              <w:t>内容</w:t>
            </w:r>
          </w:p>
        </w:tc>
        <w:tc>
          <w:tcPr>
            <w:tcW w:w="1080" w:type="dxa"/>
            <w:shd w:val="clear" w:color="auto" w:fill="auto"/>
            <w:noWrap/>
            <w:vAlign w:val="center"/>
          </w:tcPr>
          <w:p w14:paraId="5596FF4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1080" w:type="dxa"/>
            <w:shd w:val="clear" w:color="auto" w:fill="auto"/>
            <w:noWrap/>
            <w:vAlign w:val="center"/>
          </w:tcPr>
          <w:p w14:paraId="1F99476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w:t>
            </w:r>
          </w:p>
        </w:tc>
      </w:tr>
      <w:tr w14:paraId="2E40B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vMerge w:val="restart"/>
            <w:shd w:val="clear" w:color="auto" w:fill="auto"/>
            <w:noWrap/>
            <w:vAlign w:val="center"/>
          </w:tcPr>
          <w:p w14:paraId="7E80BDA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1</w:t>
            </w:r>
          </w:p>
        </w:tc>
        <w:tc>
          <w:tcPr>
            <w:tcW w:w="1267" w:type="dxa"/>
            <w:vMerge w:val="restart"/>
            <w:shd w:val="clear" w:color="auto" w:fill="FFFFFF"/>
            <w:vAlign w:val="center"/>
          </w:tcPr>
          <w:p w14:paraId="11FBE18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基础设施</w:t>
            </w:r>
            <w:r>
              <w:rPr>
                <w:rFonts w:hint="eastAsia" w:ascii="宋体" w:hAnsi="宋体" w:cs="宋体"/>
                <w:i w:val="0"/>
                <w:iCs w:val="0"/>
                <w:color w:val="auto"/>
                <w:kern w:val="0"/>
                <w:sz w:val="24"/>
                <w:szCs w:val="24"/>
                <w:highlight w:val="none"/>
                <w:u w:val="none"/>
                <w:lang w:val="en-US" w:eastAsia="zh-CN" w:bidi="ar"/>
              </w:rPr>
              <w:t>提升</w:t>
            </w:r>
          </w:p>
        </w:tc>
        <w:tc>
          <w:tcPr>
            <w:tcW w:w="4622" w:type="dxa"/>
            <w:shd w:val="clear" w:color="auto" w:fill="FFFFFF"/>
            <w:vAlign w:val="center"/>
          </w:tcPr>
          <w:p w14:paraId="735B795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原展陈拆除清运</w:t>
            </w:r>
          </w:p>
        </w:tc>
        <w:tc>
          <w:tcPr>
            <w:tcW w:w="1080" w:type="dxa"/>
            <w:shd w:val="clear" w:color="auto" w:fill="FFFFFF"/>
            <w:vAlign w:val="center"/>
          </w:tcPr>
          <w:p w14:paraId="5CD87DA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150</w:t>
            </w:r>
          </w:p>
        </w:tc>
        <w:tc>
          <w:tcPr>
            <w:tcW w:w="1080" w:type="dxa"/>
            <w:shd w:val="clear" w:color="auto" w:fill="FFFFFF"/>
            <w:vAlign w:val="center"/>
          </w:tcPr>
          <w:p w14:paraId="5CBCE75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平方米</w:t>
            </w:r>
          </w:p>
        </w:tc>
      </w:tr>
      <w:tr w14:paraId="3CB67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vMerge w:val="continue"/>
            <w:shd w:val="clear" w:color="auto" w:fill="auto"/>
            <w:noWrap/>
            <w:vAlign w:val="center"/>
          </w:tcPr>
          <w:p w14:paraId="6250755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p>
        </w:tc>
        <w:tc>
          <w:tcPr>
            <w:tcW w:w="1267" w:type="dxa"/>
            <w:vMerge w:val="continue"/>
            <w:shd w:val="clear" w:color="auto" w:fill="FFFFFF"/>
            <w:vAlign w:val="center"/>
          </w:tcPr>
          <w:p w14:paraId="0AD27C0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p>
        </w:tc>
        <w:tc>
          <w:tcPr>
            <w:tcW w:w="4622" w:type="dxa"/>
            <w:shd w:val="clear" w:color="auto" w:fill="FFFFFF"/>
            <w:vAlign w:val="center"/>
          </w:tcPr>
          <w:p w14:paraId="4D59F90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原正面标牌更新</w:t>
            </w:r>
          </w:p>
        </w:tc>
        <w:tc>
          <w:tcPr>
            <w:tcW w:w="1080" w:type="dxa"/>
            <w:shd w:val="clear" w:color="auto" w:fill="FFFFFF"/>
            <w:vAlign w:val="center"/>
          </w:tcPr>
          <w:p w14:paraId="754EE93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080" w:type="dxa"/>
            <w:shd w:val="clear" w:color="auto" w:fill="FFFFFF"/>
            <w:vAlign w:val="center"/>
          </w:tcPr>
          <w:p w14:paraId="1317E96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r>
      <w:tr w14:paraId="46B50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vMerge w:val="continue"/>
            <w:shd w:val="clear" w:color="auto" w:fill="auto"/>
            <w:noWrap/>
            <w:vAlign w:val="center"/>
          </w:tcPr>
          <w:p w14:paraId="6754CE5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p>
        </w:tc>
        <w:tc>
          <w:tcPr>
            <w:tcW w:w="1267" w:type="dxa"/>
            <w:vMerge w:val="continue"/>
            <w:shd w:val="clear" w:color="auto" w:fill="FFFFFF"/>
            <w:vAlign w:val="center"/>
          </w:tcPr>
          <w:p w14:paraId="0FC87802">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sz w:val="24"/>
                <w:szCs w:val="24"/>
                <w:highlight w:val="none"/>
                <w:u w:val="none"/>
              </w:rPr>
            </w:pPr>
          </w:p>
        </w:tc>
        <w:tc>
          <w:tcPr>
            <w:tcW w:w="4622" w:type="dxa"/>
            <w:shd w:val="clear" w:color="auto" w:fill="FFFFFF"/>
            <w:vAlign w:val="center"/>
          </w:tcPr>
          <w:p w14:paraId="5EE1FBC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原管线整理套管、新增管线</w:t>
            </w:r>
          </w:p>
        </w:tc>
        <w:tc>
          <w:tcPr>
            <w:tcW w:w="1080" w:type="dxa"/>
            <w:shd w:val="clear" w:color="auto" w:fill="FFFFFF"/>
            <w:vAlign w:val="center"/>
          </w:tcPr>
          <w:p w14:paraId="07F66FC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150</w:t>
            </w:r>
          </w:p>
        </w:tc>
        <w:tc>
          <w:tcPr>
            <w:tcW w:w="1080" w:type="dxa"/>
            <w:shd w:val="clear" w:color="auto" w:fill="FFFFFF"/>
            <w:vAlign w:val="center"/>
          </w:tcPr>
          <w:p w14:paraId="44FADDF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平方米</w:t>
            </w:r>
          </w:p>
        </w:tc>
      </w:tr>
      <w:tr w14:paraId="217D7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vMerge w:val="continue"/>
            <w:shd w:val="clear" w:color="auto" w:fill="auto"/>
            <w:noWrap/>
            <w:vAlign w:val="center"/>
          </w:tcPr>
          <w:p w14:paraId="1D5EAE2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p>
        </w:tc>
        <w:tc>
          <w:tcPr>
            <w:tcW w:w="1267" w:type="dxa"/>
            <w:vMerge w:val="continue"/>
            <w:shd w:val="clear" w:color="auto" w:fill="FFFFFF"/>
            <w:vAlign w:val="center"/>
          </w:tcPr>
          <w:p w14:paraId="522570D7">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sz w:val="24"/>
                <w:szCs w:val="24"/>
                <w:highlight w:val="none"/>
                <w:u w:val="none"/>
              </w:rPr>
            </w:pPr>
          </w:p>
        </w:tc>
        <w:tc>
          <w:tcPr>
            <w:tcW w:w="4622" w:type="dxa"/>
            <w:shd w:val="clear" w:color="auto" w:fill="FFFFFF"/>
            <w:vAlign w:val="center"/>
          </w:tcPr>
          <w:p w14:paraId="6973171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天井清理，新增绿化造景</w:t>
            </w:r>
          </w:p>
        </w:tc>
        <w:tc>
          <w:tcPr>
            <w:tcW w:w="1080" w:type="dxa"/>
            <w:shd w:val="clear" w:color="auto" w:fill="FFFFFF"/>
            <w:vAlign w:val="center"/>
          </w:tcPr>
          <w:p w14:paraId="67F71C6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080" w:type="dxa"/>
            <w:shd w:val="clear" w:color="auto" w:fill="FFFFFF"/>
            <w:vAlign w:val="center"/>
          </w:tcPr>
          <w:p w14:paraId="1C2F893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r>
      <w:tr w14:paraId="6B124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vMerge w:val="continue"/>
            <w:shd w:val="clear" w:color="auto" w:fill="auto"/>
            <w:noWrap/>
            <w:vAlign w:val="center"/>
          </w:tcPr>
          <w:p w14:paraId="7182323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p>
        </w:tc>
        <w:tc>
          <w:tcPr>
            <w:tcW w:w="1267" w:type="dxa"/>
            <w:vMerge w:val="continue"/>
            <w:shd w:val="clear" w:color="auto" w:fill="FFFFFF"/>
            <w:vAlign w:val="center"/>
          </w:tcPr>
          <w:p w14:paraId="12F05AFB">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sz w:val="24"/>
                <w:szCs w:val="24"/>
                <w:highlight w:val="none"/>
                <w:u w:val="none"/>
              </w:rPr>
            </w:pPr>
          </w:p>
        </w:tc>
        <w:tc>
          <w:tcPr>
            <w:tcW w:w="4622" w:type="dxa"/>
            <w:shd w:val="clear" w:color="auto" w:fill="FFFFFF"/>
            <w:vAlign w:val="center"/>
          </w:tcPr>
          <w:p w14:paraId="7A44CC9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新增室内指示标识系统</w:t>
            </w:r>
          </w:p>
        </w:tc>
        <w:tc>
          <w:tcPr>
            <w:tcW w:w="1080" w:type="dxa"/>
            <w:shd w:val="clear" w:color="auto" w:fill="FFFFFF"/>
            <w:vAlign w:val="center"/>
          </w:tcPr>
          <w:p w14:paraId="5E456EC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080" w:type="dxa"/>
            <w:shd w:val="clear" w:color="auto" w:fill="FFFFFF"/>
            <w:vAlign w:val="center"/>
          </w:tcPr>
          <w:p w14:paraId="007C099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r>
      <w:tr w14:paraId="07D9F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vMerge w:val="continue"/>
            <w:shd w:val="clear" w:color="auto" w:fill="auto"/>
            <w:noWrap/>
            <w:vAlign w:val="center"/>
          </w:tcPr>
          <w:p w14:paraId="77BB579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p>
        </w:tc>
        <w:tc>
          <w:tcPr>
            <w:tcW w:w="1267" w:type="dxa"/>
            <w:vMerge w:val="continue"/>
            <w:shd w:val="clear" w:color="auto" w:fill="FFFFFF"/>
            <w:vAlign w:val="center"/>
          </w:tcPr>
          <w:p w14:paraId="382364F4">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sz w:val="24"/>
                <w:szCs w:val="24"/>
                <w:highlight w:val="none"/>
                <w:u w:val="none"/>
              </w:rPr>
            </w:pPr>
          </w:p>
        </w:tc>
        <w:tc>
          <w:tcPr>
            <w:tcW w:w="4622" w:type="dxa"/>
            <w:shd w:val="clear" w:color="auto" w:fill="FFFFFF"/>
            <w:vAlign w:val="center"/>
          </w:tcPr>
          <w:p w14:paraId="0B5E6B6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消防及安防设施提升</w:t>
            </w:r>
          </w:p>
        </w:tc>
        <w:tc>
          <w:tcPr>
            <w:tcW w:w="1080" w:type="dxa"/>
            <w:shd w:val="clear" w:color="auto" w:fill="FFFFFF"/>
            <w:vAlign w:val="center"/>
          </w:tcPr>
          <w:p w14:paraId="5BC1825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1080" w:type="dxa"/>
            <w:shd w:val="clear" w:color="auto" w:fill="FFFFFF"/>
            <w:vAlign w:val="center"/>
          </w:tcPr>
          <w:p w14:paraId="753EFBC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项</w:t>
            </w:r>
          </w:p>
        </w:tc>
      </w:tr>
      <w:tr w14:paraId="55A8D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vMerge w:val="continue"/>
            <w:shd w:val="clear" w:color="auto" w:fill="auto"/>
            <w:noWrap/>
            <w:vAlign w:val="center"/>
          </w:tcPr>
          <w:p w14:paraId="1805140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p>
        </w:tc>
        <w:tc>
          <w:tcPr>
            <w:tcW w:w="1267" w:type="dxa"/>
            <w:vMerge w:val="continue"/>
            <w:shd w:val="clear" w:color="auto" w:fill="FFFFFF"/>
            <w:vAlign w:val="center"/>
          </w:tcPr>
          <w:p w14:paraId="5628E102">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sz w:val="24"/>
                <w:szCs w:val="24"/>
                <w:highlight w:val="none"/>
                <w:u w:val="none"/>
              </w:rPr>
            </w:pPr>
          </w:p>
        </w:tc>
        <w:tc>
          <w:tcPr>
            <w:tcW w:w="4622" w:type="dxa"/>
            <w:shd w:val="clear" w:color="auto" w:fill="auto"/>
            <w:vAlign w:val="center"/>
          </w:tcPr>
          <w:p w14:paraId="45424F2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铺设木地板</w:t>
            </w:r>
          </w:p>
        </w:tc>
        <w:tc>
          <w:tcPr>
            <w:tcW w:w="1080" w:type="dxa"/>
            <w:shd w:val="clear" w:color="auto" w:fill="auto"/>
            <w:vAlign w:val="center"/>
          </w:tcPr>
          <w:p w14:paraId="383D027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150</w:t>
            </w:r>
          </w:p>
        </w:tc>
        <w:tc>
          <w:tcPr>
            <w:tcW w:w="1080" w:type="dxa"/>
            <w:shd w:val="clear" w:color="auto" w:fill="auto"/>
            <w:vAlign w:val="center"/>
          </w:tcPr>
          <w:p w14:paraId="47F4CCE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平方米</w:t>
            </w:r>
          </w:p>
        </w:tc>
      </w:tr>
      <w:tr w14:paraId="6C67D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vMerge w:val="continue"/>
            <w:shd w:val="clear" w:color="auto" w:fill="auto"/>
            <w:noWrap/>
            <w:vAlign w:val="center"/>
          </w:tcPr>
          <w:p w14:paraId="4BFF00B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p>
        </w:tc>
        <w:tc>
          <w:tcPr>
            <w:tcW w:w="1267" w:type="dxa"/>
            <w:vMerge w:val="continue"/>
            <w:shd w:val="clear" w:color="auto" w:fill="auto"/>
            <w:vAlign w:val="center"/>
          </w:tcPr>
          <w:p w14:paraId="13D0C8F4">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auto"/>
                <w:sz w:val="24"/>
                <w:szCs w:val="24"/>
                <w:highlight w:val="none"/>
                <w:u w:val="none"/>
              </w:rPr>
            </w:pPr>
          </w:p>
        </w:tc>
        <w:tc>
          <w:tcPr>
            <w:tcW w:w="4622" w:type="dxa"/>
            <w:shd w:val="clear" w:color="auto" w:fill="auto"/>
            <w:vAlign w:val="center"/>
          </w:tcPr>
          <w:p w14:paraId="244D39C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照明灯光</w:t>
            </w:r>
          </w:p>
        </w:tc>
        <w:tc>
          <w:tcPr>
            <w:tcW w:w="1080" w:type="dxa"/>
            <w:shd w:val="clear" w:color="auto" w:fill="auto"/>
            <w:vAlign w:val="center"/>
          </w:tcPr>
          <w:p w14:paraId="0201A75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080" w:type="dxa"/>
            <w:shd w:val="clear" w:color="auto" w:fill="auto"/>
            <w:vAlign w:val="center"/>
          </w:tcPr>
          <w:p w14:paraId="7A3EB72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r>
      <w:tr w14:paraId="6D528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shd w:val="clear" w:color="auto" w:fill="auto"/>
            <w:noWrap/>
            <w:vAlign w:val="center"/>
          </w:tcPr>
          <w:p w14:paraId="49D6398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2</w:t>
            </w:r>
          </w:p>
        </w:tc>
        <w:tc>
          <w:tcPr>
            <w:tcW w:w="1267" w:type="dxa"/>
            <w:shd w:val="clear" w:color="auto" w:fill="FFFFFF"/>
            <w:vAlign w:val="center"/>
          </w:tcPr>
          <w:p w14:paraId="37C94F9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游客休闲区</w:t>
            </w:r>
          </w:p>
        </w:tc>
        <w:tc>
          <w:tcPr>
            <w:tcW w:w="4622" w:type="dxa"/>
            <w:shd w:val="clear" w:color="auto" w:fill="FFFFFF"/>
            <w:vAlign w:val="center"/>
          </w:tcPr>
          <w:p w14:paraId="2463831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天井一侧新增游客休息阅读区</w:t>
            </w:r>
          </w:p>
        </w:tc>
        <w:tc>
          <w:tcPr>
            <w:tcW w:w="1080" w:type="dxa"/>
            <w:shd w:val="clear" w:color="auto" w:fill="FFFFFF"/>
            <w:vAlign w:val="center"/>
          </w:tcPr>
          <w:p w14:paraId="21FF12F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1080" w:type="dxa"/>
            <w:shd w:val="clear" w:color="auto" w:fill="FFFFFF"/>
            <w:vAlign w:val="center"/>
          </w:tcPr>
          <w:p w14:paraId="19840D6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平方米</w:t>
            </w:r>
          </w:p>
        </w:tc>
      </w:tr>
      <w:tr w14:paraId="1C264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shd w:val="clear" w:color="auto" w:fill="auto"/>
            <w:noWrap/>
            <w:vAlign w:val="center"/>
          </w:tcPr>
          <w:p w14:paraId="7064922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3</w:t>
            </w:r>
          </w:p>
        </w:tc>
        <w:tc>
          <w:tcPr>
            <w:tcW w:w="1267" w:type="dxa"/>
            <w:shd w:val="clear" w:color="auto" w:fill="FFFFFF"/>
            <w:vAlign w:val="center"/>
          </w:tcPr>
          <w:p w14:paraId="6FFEC14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管理用区</w:t>
            </w:r>
          </w:p>
        </w:tc>
        <w:tc>
          <w:tcPr>
            <w:tcW w:w="4622" w:type="dxa"/>
            <w:shd w:val="clear" w:color="auto" w:fill="FFFFFF"/>
            <w:vAlign w:val="center"/>
          </w:tcPr>
          <w:p w14:paraId="0A379B2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楼梯下隔断作为管理用区</w:t>
            </w:r>
          </w:p>
        </w:tc>
        <w:tc>
          <w:tcPr>
            <w:tcW w:w="1080" w:type="dxa"/>
            <w:shd w:val="clear" w:color="auto" w:fill="FFFFFF"/>
            <w:vAlign w:val="center"/>
          </w:tcPr>
          <w:p w14:paraId="12D04E6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080" w:type="dxa"/>
            <w:shd w:val="clear" w:color="auto" w:fill="FFFFFF"/>
            <w:vAlign w:val="center"/>
          </w:tcPr>
          <w:p w14:paraId="1967808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平方米</w:t>
            </w:r>
          </w:p>
        </w:tc>
      </w:tr>
      <w:tr w14:paraId="330DA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shd w:val="clear" w:color="auto" w:fill="auto"/>
            <w:noWrap/>
            <w:vAlign w:val="center"/>
          </w:tcPr>
          <w:p w14:paraId="3EBE238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4</w:t>
            </w:r>
          </w:p>
        </w:tc>
        <w:tc>
          <w:tcPr>
            <w:tcW w:w="1267" w:type="dxa"/>
            <w:shd w:val="clear" w:color="auto" w:fill="FFFFFF"/>
            <w:vAlign w:val="center"/>
          </w:tcPr>
          <w:p w14:paraId="64E8AA6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序厅</w:t>
            </w:r>
          </w:p>
        </w:tc>
        <w:tc>
          <w:tcPr>
            <w:tcW w:w="4622" w:type="dxa"/>
            <w:shd w:val="clear" w:color="auto" w:fill="FFFFFF"/>
            <w:vAlign w:val="center"/>
          </w:tcPr>
          <w:p w14:paraId="510EB5D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展示邵飘萍人物简介、文保单位建筑简介</w:t>
            </w:r>
          </w:p>
        </w:tc>
        <w:tc>
          <w:tcPr>
            <w:tcW w:w="1080" w:type="dxa"/>
            <w:shd w:val="clear" w:color="auto" w:fill="FFFFFF"/>
            <w:vAlign w:val="center"/>
          </w:tcPr>
          <w:p w14:paraId="1289DB4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w:t>
            </w:r>
          </w:p>
        </w:tc>
        <w:tc>
          <w:tcPr>
            <w:tcW w:w="1080" w:type="dxa"/>
            <w:shd w:val="clear" w:color="auto" w:fill="FFFFFF"/>
            <w:vAlign w:val="center"/>
          </w:tcPr>
          <w:p w14:paraId="3CCC543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平方米</w:t>
            </w:r>
          </w:p>
        </w:tc>
      </w:tr>
      <w:tr w14:paraId="24857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shd w:val="clear" w:color="auto" w:fill="auto"/>
            <w:noWrap/>
            <w:vAlign w:val="center"/>
          </w:tcPr>
          <w:p w14:paraId="1B72B62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5</w:t>
            </w:r>
          </w:p>
        </w:tc>
        <w:tc>
          <w:tcPr>
            <w:tcW w:w="1267" w:type="dxa"/>
            <w:shd w:val="clear" w:color="auto" w:fill="FFFFFF"/>
            <w:vAlign w:val="center"/>
          </w:tcPr>
          <w:p w14:paraId="6B65AB1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第一单元邵飘萍生平</w:t>
            </w:r>
          </w:p>
        </w:tc>
        <w:tc>
          <w:tcPr>
            <w:tcW w:w="4622" w:type="dxa"/>
            <w:shd w:val="clear" w:color="auto" w:fill="FFFFFF"/>
            <w:vAlign w:val="center"/>
          </w:tcPr>
          <w:p w14:paraId="60375DF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以图文版面结合实物展品、纪录片播放等形式展示邵飘萍生平</w:t>
            </w:r>
          </w:p>
        </w:tc>
        <w:tc>
          <w:tcPr>
            <w:tcW w:w="1080" w:type="dxa"/>
            <w:shd w:val="clear" w:color="auto" w:fill="FFFFFF"/>
            <w:vAlign w:val="center"/>
          </w:tcPr>
          <w:p w14:paraId="28BECFF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1080" w:type="dxa"/>
            <w:shd w:val="clear" w:color="auto" w:fill="FFFFFF"/>
            <w:vAlign w:val="center"/>
          </w:tcPr>
          <w:p w14:paraId="31B0945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平方米</w:t>
            </w:r>
          </w:p>
        </w:tc>
      </w:tr>
      <w:tr w14:paraId="021EF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shd w:val="clear" w:color="auto" w:fill="auto"/>
            <w:noWrap/>
            <w:vAlign w:val="center"/>
          </w:tcPr>
          <w:p w14:paraId="1A61143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6</w:t>
            </w:r>
          </w:p>
        </w:tc>
        <w:tc>
          <w:tcPr>
            <w:tcW w:w="1267" w:type="dxa"/>
            <w:shd w:val="clear" w:color="auto" w:fill="FFFFFF"/>
            <w:vAlign w:val="center"/>
          </w:tcPr>
          <w:p w14:paraId="53C537F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第二单元邵飘萍与金华</w:t>
            </w:r>
          </w:p>
        </w:tc>
        <w:tc>
          <w:tcPr>
            <w:tcW w:w="4622" w:type="dxa"/>
            <w:shd w:val="clear" w:color="auto" w:fill="FFFFFF"/>
            <w:vAlign w:val="center"/>
          </w:tcPr>
          <w:p w14:paraId="3707B34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以创作画及互动设施展示邵飘萍与金华的故事</w:t>
            </w:r>
          </w:p>
        </w:tc>
        <w:tc>
          <w:tcPr>
            <w:tcW w:w="1080" w:type="dxa"/>
            <w:shd w:val="clear" w:color="auto" w:fill="FFFFFF"/>
            <w:vAlign w:val="center"/>
          </w:tcPr>
          <w:p w14:paraId="3930BC9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080" w:type="dxa"/>
            <w:shd w:val="clear" w:color="auto" w:fill="FFFFFF"/>
            <w:vAlign w:val="center"/>
          </w:tcPr>
          <w:p w14:paraId="40E860B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平方米</w:t>
            </w:r>
          </w:p>
        </w:tc>
      </w:tr>
      <w:tr w14:paraId="24E5D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shd w:val="clear" w:color="auto" w:fill="auto"/>
            <w:noWrap/>
            <w:vAlign w:val="center"/>
          </w:tcPr>
          <w:p w14:paraId="117FA04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7</w:t>
            </w:r>
          </w:p>
        </w:tc>
        <w:tc>
          <w:tcPr>
            <w:tcW w:w="1267" w:type="dxa"/>
            <w:shd w:val="clear" w:color="auto" w:fill="auto"/>
            <w:noWrap/>
            <w:vAlign w:val="center"/>
          </w:tcPr>
          <w:p w14:paraId="7B4B2DF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第三单元中堂复原</w:t>
            </w:r>
          </w:p>
        </w:tc>
        <w:tc>
          <w:tcPr>
            <w:tcW w:w="4622" w:type="dxa"/>
            <w:shd w:val="clear" w:color="auto" w:fill="FFFFFF"/>
            <w:vAlign w:val="center"/>
          </w:tcPr>
          <w:p w14:paraId="4814191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1、复原清末民初金华乡绅家中的中堂复原场景</w:t>
            </w:r>
          </w:p>
          <w:p w14:paraId="28C5EBA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2、搭配对应软装，提升氛围感</w:t>
            </w:r>
          </w:p>
        </w:tc>
        <w:tc>
          <w:tcPr>
            <w:tcW w:w="1080" w:type="dxa"/>
            <w:shd w:val="clear" w:color="auto" w:fill="auto"/>
            <w:noWrap/>
            <w:vAlign w:val="center"/>
          </w:tcPr>
          <w:p w14:paraId="55D10DF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21</w:t>
            </w:r>
          </w:p>
        </w:tc>
        <w:tc>
          <w:tcPr>
            <w:tcW w:w="1080" w:type="dxa"/>
            <w:shd w:val="clear" w:color="auto" w:fill="auto"/>
            <w:noWrap/>
            <w:vAlign w:val="center"/>
          </w:tcPr>
          <w:p w14:paraId="3AE4601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平方米</w:t>
            </w:r>
          </w:p>
        </w:tc>
      </w:tr>
      <w:tr w14:paraId="49A8F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shd w:val="clear" w:color="auto" w:fill="auto"/>
            <w:noWrap/>
            <w:vAlign w:val="center"/>
          </w:tcPr>
          <w:p w14:paraId="5AFFD95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8</w:t>
            </w:r>
          </w:p>
        </w:tc>
        <w:tc>
          <w:tcPr>
            <w:tcW w:w="1267" w:type="dxa"/>
            <w:shd w:val="clear" w:color="auto" w:fill="auto"/>
            <w:noWrap/>
            <w:vAlign w:val="center"/>
          </w:tcPr>
          <w:p w14:paraId="06E00D8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第三单元</w:t>
            </w:r>
            <w:r>
              <w:rPr>
                <w:rFonts w:hint="eastAsia" w:ascii="宋体" w:hAnsi="宋体" w:cs="宋体"/>
                <w:i w:val="0"/>
                <w:iCs w:val="0"/>
                <w:color w:val="auto"/>
                <w:kern w:val="0"/>
                <w:sz w:val="24"/>
                <w:szCs w:val="24"/>
                <w:highlight w:val="none"/>
                <w:u w:val="none"/>
                <w:lang w:val="en-US" w:eastAsia="zh-CN" w:bidi="ar"/>
              </w:rPr>
              <w:t>卧</w:t>
            </w:r>
            <w:r>
              <w:rPr>
                <w:rFonts w:hint="eastAsia" w:ascii="宋体" w:hAnsi="宋体" w:eastAsia="宋体" w:cs="宋体"/>
                <w:i w:val="0"/>
                <w:iCs w:val="0"/>
                <w:color w:val="auto"/>
                <w:kern w:val="0"/>
                <w:sz w:val="24"/>
                <w:szCs w:val="24"/>
                <w:highlight w:val="none"/>
                <w:u w:val="none"/>
                <w:lang w:val="en-US" w:eastAsia="zh-CN" w:bidi="ar"/>
              </w:rPr>
              <w:t>房复原</w:t>
            </w:r>
          </w:p>
        </w:tc>
        <w:tc>
          <w:tcPr>
            <w:tcW w:w="4622" w:type="dxa"/>
            <w:shd w:val="clear" w:color="auto" w:fill="FFFFFF"/>
            <w:vAlign w:val="center"/>
          </w:tcPr>
          <w:p w14:paraId="4C356C3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1、复原清末民初金华乡绅家中的卧房场景</w:t>
            </w:r>
          </w:p>
          <w:p w14:paraId="696A549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2、搭配对应软装，提升氛围感</w:t>
            </w:r>
          </w:p>
          <w:p w14:paraId="6AFD03E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3、对应邵飘萍家底殷实，海派留学小资风格</w:t>
            </w:r>
          </w:p>
        </w:tc>
        <w:tc>
          <w:tcPr>
            <w:tcW w:w="1080" w:type="dxa"/>
            <w:shd w:val="clear" w:color="auto" w:fill="auto"/>
            <w:noWrap/>
            <w:vAlign w:val="center"/>
          </w:tcPr>
          <w:p w14:paraId="18C184B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1080" w:type="dxa"/>
            <w:shd w:val="clear" w:color="auto" w:fill="auto"/>
            <w:noWrap/>
            <w:vAlign w:val="center"/>
          </w:tcPr>
          <w:p w14:paraId="086DCE1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平方米</w:t>
            </w:r>
          </w:p>
        </w:tc>
      </w:tr>
      <w:tr w14:paraId="0E472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shd w:val="clear" w:color="auto" w:fill="auto"/>
            <w:noWrap/>
            <w:vAlign w:val="center"/>
          </w:tcPr>
          <w:p w14:paraId="7EA8112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9</w:t>
            </w:r>
          </w:p>
        </w:tc>
        <w:tc>
          <w:tcPr>
            <w:tcW w:w="1267" w:type="dxa"/>
            <w:shd w:val="clear" w:color="auto" w:fill="auto"/>
            <w:noWrap/>
            <w:vAlign w:val="center"/>
          </w:tcPr>
          <w:p w14:paraId="2BE3CE5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第三单元</w:t>
            </w:r>
            <w:r>
              <w:rPr>
                <w:rFonts w:hint="eastAsia" w:ascii="宋体" w:hAnsi="宋体" w:cs="宋体"/>
                <w:i w:val="0"/>
                <w:iCs w:val="0"/>
                <w:color w:val="auto"/>
                <w:kern w:val="0"/>
                <w:sz w:val="24"/>
                <w:szCs w:val="24"/>
                <w:highlight w:val="none"/>
                <w:u w:val="none"/>
                <w:lang w:val="en-US" w:eastAsia="zh-CN" w:bidi="ar"/>
              </w:rPr>
              <w:t>书</w:t>
            </w:r>
            <w:r>
              <w:rPr>
                <w:rFonts w:hint="eastAsia" w:ascii="宋体" w:hAnsi="宋体" w:eastAsia="宋体" w:cs="宋体"/>
                <w:i w:val="0"/>
                <w:iCs w:val="0"/>
                <w:color w:val="auto"/>
                <w:kern w:val="0"/>
                <w:sz w:val="24"/>
                <w:szCs w:val="24"/>
                <w:highlight w:val="none"/>
                <w:u w:val="none"/>
                <w:lang w:val="en-US" w:eastAsia="zh-CN" w:bidi="ar"/>
              </w:rPr>
              <w:t>房复原</w:t>
            </w:r>
          </w:p>
        </w:tc>
        <w:tc>
          <w:tcPr>
            <w:tcW w:w="4622" w:type="dxa"/>
            <w:shd w:val="clear" w:color="auto" w:fill="FFFFFF"/>
            <w:vAlign w:val="center"/>
          </w:tcPr>
          <w:p w14:paraId="010A660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1、复原清末民初金华乡绅家中的书房复原场景</w:t>
            </w:r>
          </w:p>
          <w:p w14:paraId="699B114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2、搭配对应软装，提升氛围感</w:t>
            </w:r>
          </w:p>
          <w:p w14:paraId="1719488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3、对应邵飘萍为记者属性搭配工作布景</w:t>
            </w:r>
          </w:p>
        </w:tc>
        <w:tc>
          <w:tcPr>
            <w:tcW w:w="1080" w:type="dxa"/>
            <w:shd w:val="clear" w:color="auto" w:fill="auto"/>
            <w:noWrap/>
            <w:vAlign w:val="center"/>
          </w:tcPr>
          <w:p w14:paraId="2CAFC5B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18</w:t>
            </w:r>
          </w:p>
        </w:tc>
        <w:tc>
          <w:tcPr>
            <w:tcW w:w="1080" w:type="dxa"/>
            <w:shd w:val="clear" w:color="auto" w:fill="auto"/>
            <w:noWrap/>
            <w:vAlign w:val="center"/>
          </w:tcPr>
          <w:p w14:paraId="2D26623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平方米</w:t>
            </w:r>
          </w:p>
        </w:tc>
      </w:tr>
      <w:tr w14:paraId="396E4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shd w:val="clear" w:color="auto" w:fill="auto"/>
            <w:noWrap/>
            <w:vAlign w:val="center"/>
          </w:tcPr>
          <w:p w14:paraId="6DC5BBB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10</w:t>
            </w:r>
          </w:p>
        </w:tc>
        <w:tc>
          <w:tcPr>
            <w:tcW w:w="1267" w:type="dxa"/>
            <w:shd w:val="clear" w:color="auto" w:fill="auto"/>
            <w:vAlign w:val="center"/>
          </w:tcPr>
          <w:p w14:paraId="0794522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展陈灯光</w:t>
            </w:r>
          </w:p>
        </w:tc>
        <w:tc>
          <w:tcPr>
            <w:tcW w:w="4622" w:type="dxa"/>
            <w:shd w:val="clear" w:color="auto" w:fill="auto"/>
            <w:vAlign w:val="center"/>
          </w:tcPr>
          <w:p w14:paraId="2480A2F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专业展陈射灯及轨道</w:t>
            </w:r>
          </w:p>
        </w:tc>
        <w:tc>
          <w:tcPr>
            <w:tcW w:w="1080" w:type="dxa"/>
            <w:shd w:val="clear" w:color="auto" w:fill="auto"/>
            <w:vAlign w:val="center"/>
          </w:tcPr>
          <w:p w14:paraId="02EBF91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080" w:type="dxa"/>
            <w:shd w:val="clear" w:color="auto" w:fill="auto"/>
            <w:vAlign w:val="center"/>
          </w:tcPr>
          <w:p w14:paraId="3CA62A5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r>
      <w:tr w14:paraId="69622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shd w:val="clear" w:color="auto" w:fill="auto"/>
            <w:noWrap/>
            <w:vAlign w:val="center"/>
          </w:tcPr>
          <w:p w14:paraId="6146EB5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11</w:t>
            </w:r>
          </w:p>
        </w:tc>
        <w:tc>
          <w:tcPr>
            <w:tcW w:w="1267" w:type="dxa"/>
            <w:shd w:val="clear" w:color="auto" w:fill="auto"/>
            <w:noWrap/>
            <w:vAlign w:val="center"/>
          </w:tcPr>
          <w:p w14:paraId="01FCD2C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场景复原灯光</w:t>
            </w:r>
          </w:p>
        </w:tc>
        <w:tc>
          <w:tcPr>
            <w:tcW w:w="4622" w:type="dxa"/>
            <w:shd w:val="clear" w:color="auto" w:fill="auto"/>
            <w:vAlign w:val="center"/>
          </w:tcPr>
          <w:p w14:paraId="3A79AB7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民国复原风格灯具</w:t>
            </w:r>
          </w:p>
        </w:tc>
        <w:tc>
          <w:tcPr>
            <w:tcW w:w="1080" w:type="dxa"/>
            <w:shd w:val="clear" w:color="auto" w:fill="auto"/>
            <w:noWrap/>
            <w:vAlign w:val="center"/>
          </w:tcPr>
          <w:p w14:paraId="63F6081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080" w:type="dxa"/>
            <w:shd w:val="clear" w:color="auto" w:fill="auto"/>
            <w:noWrap/>
            <w:vAlign w:val="center"/>
          </w:tcPr>
          <w:p w14:paraId="5CC6FFC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r>
      <w:tr w14:paraId="58E48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shd w:val="clear" w:color="auto" w:fill="auto"/>
            <w:noWrap/>
            <w:vAlign w:val="center"/>
          </w:tcPr>
          <w:p w14:paraId="3B6927B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12</w:t>
            </w:r>
          </w:p>
        </w:tc>
        <w:tc>
          <w:tcPr>
            <w:tcW w:w="1267" w:type="dxa"/>
            <w:shd w:val="clear" w:color="auto" w:fill="auto"/>
            <w:noWrap/>
            <w:vAlign w:val="center"/>
          </w:tcPr>
          <w:p w14:paraId="5F27C4B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图文展板</w:t>
            </w:r>
          </w:p>
        </w:tc>
        <w:tc>
          <w:tcPr>
            <w:tcW w:w="4622" w:type="dxa"/>
            <w:shd w:val="clear" w:color="auto" w:fill="auto"/>
            <w:vAlign w:val="center"/>
          </w:tcPr>
          <w:p w14:paraId="0101024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80" w:type="dxa"/>
            <w:shd w:val="clear" w:color="auto" w:fill="auto"/>
            <w:noWrap/>
            <w:vAlign w:val="center"/>
          </w:tcPr>
          <w:p w14:paraId="2D391D9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w:t>
            </w:r>
          </w:p>
        </w:tc>
        <w:tc>
          <w:tcPr>
            <w:tcW w:w="1080" w:type="dxa"/>
            <w:shd w:val="clear" w:color="auto" w:fill="auto"/>
            <w:noWrap/>
            <w:vAlign w:val="center"/>
          </w:tcPr>
          <w:p w14:paraId="74FE771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项</w:t>
            </w:r>
          </w:p>
        </w:tc>
      </w:tr>
      <w:tr w14:paraId="20E65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shd w:val="clear" w:color="auto" w:fill="auto"/>
            <w:noWrap/>
            <w:vAlign w:val="center"/>
          </w:tcPr>
          <w:p w14:paraId="6BCBAA3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13</w:t>
            </w:r>
          </w:p>
        </w:tc>
        <w:tc>
          <w:tcPr>
            <w:tcW w:w="1267" w:type="dxa"/>
            <w:shd w:val="clear" w:color="auto" w:fill="auto"/>
            <w:noWrap/>
            <w:vAlign w:val="center"/>
          </w:tcPr>
          <w:p w14:paraId="6E4548D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内容服务</w:t>
            </w:r>
          </w:p>
        </w:tc>
        <w:tc>
          <w:tcPr>
            <w:tcW w:w="4622" w:type="dxa"/>
            <w:shd w:val="clear" w:color="auto" w:fill="auto"/>
            <w:vAlign w:val="center"/>
          </w:tcPr>
          <w:p w14:paraId="24E4361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资料收集、文本</w:t>
            </w:r>
            <w:r>
              <w:rPr>
                <w:rFonts w:hint="eastAsia" w:ascii="宋体" w:hAnsi="宋体" w:cs="宋体"/>
                <w:i w:val="0"/>
                <w:iCs w:val="0"/>
                <w:color w:val="auto"/>
                <w:kern w:val="0"/>
                <w:sz w:val="24"/>
                <w:szCs w:val="24"/>
                <w:highlight w:val="none"/>
                <w:u w:val="none"/>
                <w:lang w:val="en-US" w:eastAsia="zh-CN" w:bidi="ar"/>
              </w:rPr>
              <w:t>修改细化、专家论证审核</w:t>
            </w:r>
            <w:r>
              <w:rPr>
                <w:rFonts w:hint="eastAsia" w:ascii="宋体" w:hAnsi="宋体" w:eastAsia="宋体" w:cs="宋体"/>
                <w:i w:val="0"/>
                <w:iCs w:val="0"/>
                <w:color w:val="auto"/>
                <w:kern w:val="0"/>
                <w:sz w:val="24"/>
                <w:szCs w:val="24"/>
                <w:highlight w:val="none"/>
                <w:u w:val="none"/>
                <w:lang w:val="en-US" w:eastAsia="zh-CN" w:bidi="ar"/>
              </w:rPr>
              <w:t>、部分英文翻译等服务</w:t>
            </w:r>
          </w:p>
        </w:tc>
        <w:tc>
          <w:tcPr>
            <w:tcW w:w="1080" w:type="dxa"/>
            <w:shd w:val="clear" w:color="auto" w:fill="auto"/>
            <w:noWrap/>
            <w:vAlign w:val="center"/>
          </w:tcPr>
          <w:p w14:paraId="1DC1424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080" w:type="dxa"/>
            <w:shd w:val="clear" w:color="auto" w:fill="auto"/>
            <w:noWrap/>
            <w:vAlign w:val="center"/>
          </w:tcPr>
          <w:p w14:paraId="51CEFAF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r>
      <w:tr w14:paraId="527E8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shd w:val="clear" w:color="auto" w:fill="auto"/>
            <w:noWrap/>
            <w:vAlign w:val="center"/>
          </w:tcPr>
          <w:p w14:paraId="783C479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14</w:t>
            </w:r>
          </w:p>
        </w:tc>
        <w:tc>
          <w:tcPr>
            <w:tcW w:w="1267" w:type="dxa"/>
            <w:shd w:val="clear" w:color="auto" w:fill="auto"/>
            <w:noWrap/>
            <w:vAlign w:val="center"/>
          </w:tcPr>
          <w:p w14:paraId="177AB33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设计服务</w:t>
            </w:r>
          </w:p>
        </w:tc>
        <w:tc>
          <w:tcPr>
            <w:tcW w:w="4622" w:type="dxa"/>
            <w:shd w:val="clear" w:color="auto" w:fill="auto"/>
            <w:vAlign w:val="center"/>
          </w:tcPr>
          <w:p w14:paraId="2950C23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深化设计服务</w:t>
            </w:r>
          </w:p>
        </w:tc>
        <w:tc>
          <w:tcPr>
            <w:tcW w:w="1080" w:type="dxa"/>
            <w:shd w:val="clear" w:color="auto" w:fill="auto"/>
            <w:noWrap/>
            <w:vAlign w:val="center"/>
          </w:tcPr>
          <w:p w14:paraId="775FB89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080" w:type="dxa"/>
            <w:shd w:val="clear" w:color="auto" w:fill="auto"/>
            <w:noWrap/>
            <w:vAlign w:val="center"/>
          </w:tcPr>
          <w:p w14:paraId="4C5C5D5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r>
      <w:tr w14:paraId="25B02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29" w:type="dxa"/>
            <w:gridSpan w:val="5"/>
            <w:shd w:val="clear" w:color="auto" w:fill="auto"/>
            <w:noWrap/>
            <w:vAlign w:val="center"/>
          </w:tcPr>
          <w:p w14:paraId="514E5179">
            <w:pPr>
              <w:keepNext w:val="0"/>
              <w:keepLines w:val="0"/>
              <w:pageBreakBefore w:val="0"/>
              <w:widowControl w:val="0"/>
              <w:numPr>
                <w:ilvl w:val="0"/>
                <w:numId w:val="0"/>
              </w:numPr>
              <w:tabs>
                <w:tab w:val="left" w:pos="709"/>
              </w:tabs>
              <w:kinsoku/>
              <w:wordWrap/>
              <w:overflowPunct/>
              <w:topLinePunct w:val="0"/>
              <w:autoSpaceDE/>
              <w:autoSpaceDN/>
              <w:bidi w:val="0"/>
              <w:adjustRightInd/>
              <w:snapToGrid/>
              <w:spacing w:line="240" w:lineRule="auto"/>
              <w:jc w:val="left"/>
              <w:rPr>
                <w:rFonts w:hint="eastAsia" w:ascii="宋体" w:hAnsi="宋体" w:eastAsia="宋体" w:cs="宋体"/>
                <w:b/>
                <w:color w:val="auto"/>
                <w:kern w:val="2"/>
                <w:sz w:val="24"/>
                <w:szCs w:val="24"/>
                <w:highlight w:val="none"/>
                <w:u w:val="none"/>
                <w:lang w:val="en-US" w:eastAsia="zh-CN" w:bidi="ar"/>
              </w:rPr>
            </w:pPr>
            <w:bookmarkStart w:id="0" w:name="_Toc131019393"/>
            <w:bookmarkStart w:id="1" w:name="_Toc129731218"/>
            <w:r>
              <w:rPr>
                <w:rFonts w:hint="eastAsia" w:ascii="宋体" w:hAnsi="宋体" w:eastAsia="宋体" w:cs="宋体"/>
                <w:b/>
                <w:color w:val="auto"/>
                <w:kern w:val="2"/>
                <w:sz w:val="24"/>
                <w:szCs w:val="24"/>
                <w:highlight w:val="none"/>
                <w:u w:val="none"/>
                <w:lang w:val="en-US" w:eastAsia="zh-CN" w:bidi="ar"/>
              </w:rPr>
              <w:t xml:space="preserve">注： </w:t>
            </w:r>
          </w:p>
          <w:p w14:paraId="59762080">
            <w:pPr>
              <w:keepNext w:val="0"/>
              <w:keepLines w:val="0"/>
              <w:pageBreakBefore w:val="0"/>
              <w:widowControl w:val="0"/>
              <w:numPr>
                <w:ilvl w:val="0"/>
                <w:numId w:val="0"/>
              </w:numPr>
              <w:tabs>
                <w:tab w:val="left" w:pos="709"/>
              </w:tabs>
              <w:kinsoku/>
              <w:wordWrap/>
              <w:overflowPunct/>
              <w:topLinePunct w:val="0"/>
              <w:autoSpaceDE/>
              <w:autoSpaceDN/>
              <w:bidi w:val="0"/>
              <w:adjustRightInd/>
              <w:snapToGrid/>
              <w:spacing w:line="240" w:lineRule="auto"/>
              <w:jc w:val="left"/>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u w:val="none"/>
                <w:lang w:val="en-US" w:eastAsia="zh-CN" w:bidi="ar"/>
              </w:rPr>
              <w:t>1.上述清单所列为采购人的基本内容，投标人视情况增加或完善内容。</w:t>
            </w:r>
          </w:p>
          <w:p w14:paraId="4839A112">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u w:val="none"/>
                <w:lang w:val="en-US" w:eastAsia="zh-CN" w:bidi="ar"/>
              </w:rPr>
              <w:t>2.“项目清单”中，单位按“项”的须在设计时按需充分考虑数量及内容，并在投标方案中明确内容及数量、规格等。</w:t>
            </w:r>
          </w:p>
          <w:p w14:paraId="1FBC5A8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2"/>
                <w:sz w:val="24"/>
                <w:szCs w:val="24"/>
                <w:highlight w:val="none"/>
                <w:u w:val="none"/>
                <w:lang w:val="en-US" w:eastAsia="zh-CN" w:bidi="ar"/>
              </w:rPr>
              <w:t>3.</w:t>
            </w:r>
            <w:r>
              <w:rPr>
                <w:rFonts w:hint="default" w:ascii="宋体" w:hAnsi="宋体" w:eastAsia="宋体" w:cs="宋体"/>
                <w:color w:val="auto"/>
                <w:kern w:val="2"/>
                <w:sz w:val="24"/>
                <w:szCs w:val="24"/>
                <w:highlight w:val="none"/>
                <w:u w:val="none"/>
                <w:lang w:val="en-US" w:eastAsia="zh-CN" w:bidi="ar"/>
              </w:rPr>
              <w:t>实际工程量以</w:t>
            </w:r>
            <w:r>
              <w:rPr>
                <w:rFonts w:hint="eastAsia" w:ascii="宋体" w:hAnsi="宋体" w:eastAsia="宋体" w:cs="宋体"/>
                <w:color w:val="auto"/>
                <w:kern w:val="2"/>
                <w:sz w:val="24"/>
                <w:szCs w:val="24"/>
                <w:highlight w:val="none"/>
                <w:u w:val="none"/>
                <w:lang w:val="en-US" w:eastAsia="zh-CN" w:bidi="ar"/>
              </w:rPr>
              <w:t>各投标人</w:t>
            </w:r>
            <w:r>
              <w:rPr>
                <w:rFonts w:hint="default" w:ascii="宋体" w:hAnsi="宋体" w:eastAsia="宋体" w:cs="宋体"/>
                <w:color w:val="auto"/>
                <w:kern w:val="2"/>
                <w:sz w:val="24"/>
                <w:szCs w:val="24"/>
                <w:highlight w:val="none"/>
                <w:u w:val="none"/>
                <w:lang w:val="en-US" w:eastAsia="zh-CN" w:bidi="ar"/>
              </w:rPr>
              <w:t>方案</w:t>
            </w:r>
            <w:r>
              <w:rPr>
                <w:rFonts w:hint="eastAsia" w:ascii="宋体" w:hAnsi="宋体" w:eastAsia="宋体" w:cs="宋体"/>
                <w:color w:val="auto"/>
                <w:kern w:val="2"/>
                <w:sz w:val="24"/>
                <w:szCs w:val="24"/>
                <w:highlight w:val="none"/>
                <w:u w:val="none"/>
                <w:lang w:val="en-US" w:eastAsia="zh-CN" w:bidi="ar"/>
              </w:rPr>
              <w:t>及设计</w:t>
            </w:r>
            <w:r>
              <w:rPr>
                <w:rFonts w:hint="default" w:ascii="宋体" w:hAnsi="宋体" w:eastAsia="宋体" w:cs="宋体"/>
                <w:color w:val="auto"/>
                <w:kern w:val="2"/>
                <w:sz w:val="24"/>
                <w:szCs w:val="24"/>
                <w:highlight w:val="none"/>
                <w:u w:val="none"/>
                <w:lang w:val="en-US" w:eastAsia="zh-CN" w:bidi="ar"/>
              </w:rPr>
              <w:t>初稿为准，由</w:t>
            </w:r>
            <w:r>
              <w:rPr>
                <w:rFonts w:hint="eastAsia" w:ascii="宋体" w:hAnsi="宋体" w:eastAsia="宋体" w:cs="宋体"/>
                <w:color w:val="auto"/>
                <w:kern w:val="2"/>
                <w:sz w:val="24"/>
                <w:szCs w:val="24"/>
                <w:highlight w:val="none"/>
                <w:u w:val="none"/>
                <w:lang w:val="en-US" w:eastAsia="zh-CN" w:bidi="ar"/>
              </w:rPr>
              <w:t>投标人</w:t>
            </w:r>
            <w:r>
              <w:rPr>
                <w:rFonts w:hint="default" w:ascii="宋体" w:hAnsi="宋体" w:eastAsia="宋体" w:cs="宋体"/>
                <w:color w:val="auto"/>
                <w:kern w:val="2"/>
                <w:sz w:val="24"/>
                <w:szCs w:val="24"/>
                <w:highlight w:val="none"/>
                <w:u w:val="none"/>
                <w:lang w:val="en-US" w:eastAsia="zh-CN" w:bidi="ar"/>
              </w:rPr>
              <w:t>提供</w:t>
            </w:r>
            <w:r>
              <w:rPr>
                <w:rFonts w:hint="eastAsia" w:ascii="宋体" w:hAnsi="宋体" w:eastAsia="宋体" w:cs="宋体"/>
                <w:color w:val="auto"/>
                <w:kern w:val="2"/>
                <w:sz w:val="24"/>
                <w:szCs w:val="24"/>
                <w:highlight w:val="none"/>
                <w:u w:val="none"/>
                <w:lang w:val="en-US" w:eastAsia="zh-CN" w:bidi="ar"/>
              </w:rPr>
              <w:t>详细的</w:t>
            </w:r>
            <w:r>
              <w:rPr>
                <w:rFonts w:hint="default" w:ascii="宋体" w:hAnsi="宋体" w:eastAsia="宋体" w:cs="宋体"/>
                <w:color w:val="auto"/>
                <w:kern w:val="2"/>
                <w:sz w:val="24"/>
                <w:szCs w:val="24"/>
                <w:highlight w:val="none"/>
                <w:u w:val="none"/>
                <w:lang w:val="en-US" w:eastAsia="zh-CN" w:bidi="ar"/>
              </w:rPr>
              <w:t xml:space="preserve">项目清单及报价。 </w:t>
            </w:r>
          </w:p>
        </w:tc>
      </w:tr>
    </w:tbl>
    <w:p w14:paraId="020D8D1D">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w:t>
      </w:r>
      <w:bookmarkEnd w:id="0"/>
      <w:bookmarkEnd w:id="1"/>
      <w:r>
        <w:rPr>
          <w:rFonts w:hint="eastAsia" w:ascii="宋体" w:hAnsi="宋体" w:eastAsia="宋体" w:cs="宋体"/>
          <w:b/>
          <w:bCs/>
          <w:color w:val="auto"/>
          <w:sz w:val="24"/>
          <w:szCs w:val="24"/>
          <w:highlight w:val="none"/>
          <w:lang w:val="en-US" w:eastAsia="zh-CN"/>
        </w:rPr>
        <w:t>设计原则</w:t>
      </w:r>
    </w:p>
    <w:p w14:paraId="7B63A624">
      <w:pPr>
        <w:pageBreakBefore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2"/>
          <w:sz w:val="24"/>
          <w:szCs w:val="24"/>
          <w:highlight w:val="none"/>
          <w:lang w:val="en-US" w:eastAsia="zh-CN" w:bidi="ar-SA"/>
        </w:rPr>
        <w:t>（一）</w:t>
      </w:r>
      <w:r>
        <w:rPr>
          <w:rFonts w:hint="eastAsia" w:ascii="宋体" w:hAnsi="宋体" w:eastAsia="宋体" w:cs="宋体"/>
          <w:color w:val="auto"/>
          <w:sz w:val="24"/>
          <w:szCs w:val="24"/>
          <w:highlight w:val="none"/>
          <w:lang w:eastAsia="zh-CN"/>
        </w:rPr>
        <w:t>遵循</w:t>
      </w:r>
      <w:r>
        <w:rPr>
          <w:rFonts w:hint="eastAsia" w:ascii="宋体" w:hAnsi="宋体" w:eastAsia="宋体" w:cs="宋体"/>
          <w:color w:val="auto"/>
          <w:sz w:val="24"/>
          <w:szCs w:val="24"/>
          <w:highlight w:val="none"/>
        </w:rPr>
        <w:t>新时代文物工作的22字工作方针，即“保护第一、加强管理、挖掘价值、有效利用、让文物活起来”。</w:t>
      </w:r>
    </w:p>
    <w:p w14:paraId="446FBA6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（二）总体设计构思新颖，创造亮点空间。</w:t>
      </w:r>
    </w:p>
    <w:p w14:paraId="53559740">
      <w:pPr>
        <w:pStyle w:val="4"/>
        <w:pageBreakBefore w:val="0"/>
        <w:numPr>
          <w:ilvl w:val="0"/>
          <w:numId w:val="0"/>
        </w:numPr>
        <w:kinsoku/>
        <w:wordWrap/>
        <w:overflowPunct/>
        <w:topLinePunct w:val="0"/>
        <w:autoSpaceDE/>
        <w:autoSpaceDN/>
        <w:bidi w:val="0"/>
        <w:adjustRightInd/>
        <w:snapToGrid/>
        <w:spacing w:before="0" w:after="0" w:line="440" w:lineRule="exact"/>
        <w:ind w:left="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（三）整体设计风格与原文保单位建筑本体协调统一，空间和展陈设计具有庄重感和设计感，突出重点，打造亮点。</w:t>
      </w:r>
    </w:p>
    <w:p w14:paraId="6225D0C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（四）按照展陈设计的审美标准合理布置空间效果，运用现代科技手段完美呈现点、线、面、色、光的结合表达，丰富创意效果，体现创意思想和内涵。</w:t>
      </w:r>
    </w:p>
    <w:p w14:paraId="1D70B3E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（五）充分考虑空间的实用性、互动性及教育性。</w:t>
      </w:r>
    </w:p>
    <w:p w14:paraId="4669D30A">
      <w:pPr>
        <w:pageBreakBefore w:val="0"/>
        <w:widowControl/>
        <w:numPr>
          <w:ilvl w:val="0"/>
          <w:numId w:val="0"/>
        </w:numPr>
        <w:kinsoku/>
        <w:wordWrap/>
        <w:overflowPunct/>
        <w:topLinePunct w:val="0"/>
        <w:autoSpaceDE/>
        <w:autoSpaceDN/>
        <w:bidi w:val="0"/>
        <w:adjustRightInd/>
        <w:snapToGrid/>
        <w:spacing w:line="440" w:lineRule="exact"/>
        <w:ind w:left="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（六）充分考虑选取材料的防潮、防腐及防火性能。</w:t>
      </w:r>
    </w:p>
    <w:p w14:paraId="4948132E">
      <w:pPr>
        <w:keepNext w:val="0"/>
        <w:keepLines w:val="0"/>
        <w:pageBreakBefore w:val="0"/>
        <w:widowControl w:val="0"/>
        <w:tabs>
          <w:tab w:val="left" w:pos="3780"/>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供应商需在</w:t>
      </w:r>
      <w:r>
        <w:rPr>
          <w:rFonts w:hint="eastAsia" w:ascii="宋体" w:hAnsi="宋体" w:eastAsia="宋体" w:cs="宋体"/>
          <w:color w:val="auto"/>
          <w:sz w:val="24"/>
          <w:szCs w:val="24"/>
          <w:highlight w:val="none"/>
          <w:lang w:val="en-US" w:eastAsia="zh-CN"/>
        </w:rPr>
        <w:t>布展</w:t>
      </w:r>
      <w:r>
        <w:rPr>
          <w:rFonts w:hint="eastAsia" w:ascii="宋体" w:hAnsi="宋体" w:eastAsia="宋体" w:cs="宋体"/>
          <w:color w:val="auto"/>
          <w:sz w:val="24"/>
          <w:szCs w:val="24"/>
          <w:highlight w:val="none"/>
        </w:rPr>
        <w:t>前及时与采购人协商设计方案，组织施工制作布展。</w:t>
      </w:r>
    </w:p>
    <w:p w14:paraId="61E61293">
      <w:pPr>
        <w:keepNext w:val="0"/>
        <w:keepLines w:val="0"/>
        <w:pageBreakBefore w:val="0"/>
        <w:widowControl w:val="0"/>
        <w:kinsoku/>
        <w:wordWrap/>
        <w:overflowPunct/>
        <w:topLinePunct w:val="0"/>
        <w:autoSpaceDE/>
        <w:autoSpaceDN/>
        <w:bidi w:val="0"/>
        <w:adjustRightInd/>
        <w:snapToGrid/>
        <w:spacing w:line="440" w:lineRule="exact"/>
        <w:ind w:leftChars="0" w:firstLine="482" w:firstLineChars="200"/>
        <w:textAlignment w:val="auto"/>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四、策划、设计要求</w:t>
      </w:r>
    </w:p>
    <w:p w14:paraId="0032F392">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480" w:firstLineChars="200"/>
        <w:jc w:val="both"/>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本</w:t>
      </w:r>
      <w:r>
        <w:rPr>
          <w:rFonts w:hint="eastAsia" w:ascii="宋体" w:hAnsi="宋体" w:eastAsia="宋体" w:cs="宋体"/>
          <w:b w:val="0"/>
          <w:bCs w:val="0"/>
          <w:color w:val="auto"/>
          <w:sz w:val="24"/>
          <w:szCs w:val="24"/>
          <w:highlight w:val="none"/>
          <w:u w:val="none"/>
          <w:lang w:eastAsia="zh-CN"/>
        </w:rPr>
        <w:t>项目要求</w:t>
      </w:r>
      <w:r>
        <w:rPr>
          <w:rFonts w:hint="eastAsia" w:ascii="宋体" w:hAnsi="宋体" w:eastAsia="宋体" w:cs="宋体"/>
          <w:b w:val="0"/>
          <w:bCs w:val="0"/>
          <w:color w:val="auto"/>
          <w:sz w:val="24"/>
          <w:szCs w:val="24"/>
          <w:highlight w:val="none"/>
          <w:u w:val="none"/>
          <w:lang w:val="en-US" w:eastAsia="zh-CN"/>
        </w:rPr>
        <w:t>运用现代展示手段对展陈内容、形式和空间布局进行全面改造和提升，</w:t>
      </w:r>
      <w:r>
        <w:rPr>
          <w:rFonts w:hint="eastAsia" w:ascii="宋体" w:hAnsi="宋体" w:eastAsia="宋体" w:cs="宋体"/>
          <w:color w:val="auto"/>
          <w:sz w:val="24"/>
          <w:szCs w:val="24"/>
          <w:highlight w:val="none"/>
          <w:u w:val="none"/>
        </w:rPr>
        <w:t>主要包括但不限于</w:t>
      </w:r>
      <w:r>
        <w:rPr>
          <w:rFonts w:hint="eastAsia" w:ascii="宋体" w:hAnsi="宋体" w:eastAsia="宋体" w:cs="宋体"/>
          <w:color w:val="auto"/>
          <w:sz w:val="24"/>
          <w:szCs w:val="24"/>
          <w:highlight w:val="none"/>
          <w:u w:val="none"/>
          <w:lang w:eastAsia="zh-CN"/>
        </w:rPr>
        <w:t>以下内容：</w:t>
      </w:r>
    </w:p>
    <w:p w14:paraId="13B80E0B">
      <w:pPr>
        <w:pageBreakBefore w:val="0"/>
        <w:numPr>
          <w:ilvl w:val="0"/>
          <w:numId w:val="0"/>
        </w:numPr>
        <w:kinsoku/>
        <w:wordWrap/>
        <w:overflowPunct/>
        <w:topLinePunct w:val="0"/>
        <w:autoSpaceDE/>
        <w:autoSpaceDN/>
        <w:bidi w:val="0"/>
        <w:adjustRightInd/>
        <w:snapToGrid/>
        <w:spacing w:line="440" w:lineRule="exact"/>
        <w:ind w:leftChars="0" w:firstLine="480" w:firstLineChars="200"/>
        <w:jc w:val="both"/>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1.重新设计空间布局和版面，增加艺术和多媒体展示，突出重点，打造亮点。</w:t>
      </w:r>
    </w:p>
    <w:p w14:paraId="62A60FCA">
      <w:pPr>
        <w:pageBreakBefore w:val="0"/>
        <w:numPr>
          <w:ilvl w:val="0"/>
          <w:numId w:val="0"/>
        </w:numPr>
        <w:kinsoku/>
        <w:wordWrap/>
        <w:overflowPunct/>
        <w:topLinePunct w:val="0"/>
        <w:autoSpaceDE/>
        <w:autoSpaceDN/>
        <w:bidi w:val="0"/>
        <w:adjustRightInd/>
        <w:snapToGrid/>
        <w:spacing w:line="440" w:lineRule="exact"/>
        <w:ind w:leftChars="0" w:firstLine="480" w:firstLineChars="200"/>
        <w:jc w:val="both"/>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2.合理改造原展厅布局和参观路线。设计需充分考虑如何有效利用空间，运用新的展示方式和手段，在原展厅面积基本不变的基础上增加新的展陈内容。</w:t>
      </w:r>
    </w:p>
    <w:p w14:paraId="699C798B">
      <w:pPr>
        <w:pageBreakBefore w:val="0"/>
        <w:kinsoku/>
        <w:wordWrap/>
        <w:overflowPunct/>
        <w:topLinePunct w:val="0"/>
        <w:autoSpaceDE/>
        <w:autoSpaceDN/>
        <w:bidi w:val="0"/>
        <w:adjustRightInd/>
        <w:snapToGrid/>
        <w:spacing w:line="440" w:lineRule="exact"/>
        <w:ind w:left="0" w:leftChars="0" w:firstLine="480" w:firstLineChars="200"/>
        <w:jc w:val="both"/>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3.根据邵飘萍旧居展陈主题和特色，以艺术创作等</w:t>
      </w:r>
      <w:r>
        <w:rPr>
          <w:rFonts w:hint="eastAsia" w:ascii="宋体" w:hAnsi="宋体" w:eastAsia="宋体" w:cs="宋体"/>
          <w:b w:val="0"/>
          <w:bCs w:val="0"/>
          <w:color w:val="auto"/>
          <w:sz w:val="24"/>
          <w:szCs w:val="24"/>
          <w:highlight w:val="none"/>
          <w:u w:val="none"/>
          <w:lang w:eastAsia="zh-CN"/>
        </w:rPr>
        <w:t>多种展示</w:t>
      </w:r>
      <w:r>
        <w:rPr>
          <w:rFonts w:hint="eastAsia" w:ascii="宋体" w:hAnsi="宋体" w:eastAsia="宋体" w:cs="宋体"/>
          <w:b w:val="0"/>
          <w:bCs w:val="0"/>
          <w:color w:val="auto"/>
          <w:sz w:val="24"/>
          <w:szCs w:val="24"/>
          <w:highlight w:val="none"/>
          <w:u w:val="none"/>
          <w:lang w:val="en-US" w:eastAsia="zh-CN"/>
        </w:rPr>
        <w:t>形式设计打造展厅，进一步升华主题，给参观者以震撼和启迪。</w:t>
      </w:r>
    </w:p>
    <w:p w14:paraId="0D3D195B">
      <w:pPr>
        <w:pageBreakBefore w:val="0"/>
        <w:kinsoku/>
        <w:wordWrap/>
        <w:overflowPunct/>
        <w:topLinePunct w:val="0"/>
        <w:autoSpaceDE/>
        <w:autoSpaceDN/>
        <w:bidi w:val="0"/>
        <w:adjustRightInd/>
        <w:snapToGrid/>
        <w:spacing w:line="440" w:lineRule="exact"/>
        <w:ind w:left="0" w:leftChars="0" w:firstLine="480" w:firstLineChars="200"/>
        <w:jc w:val="both"/>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4.根据内容大纲设计各部分重点展示内容的展陈形式。通过新技术和展陈手段设计场景、多媒体、艺术创作、</w:t>
      </w:r>
      <w:r>
        <w:rPr>
          <w:rFonts w:hint="eastAsia" w:ascii="宋体" w:hAnsi="宋体" w:eastAsia="宋体" w:cs="宋体"/>
          <w:b w:val="0"/>
          <w:bCs w:val="0"/>
          <w:color w:val="auto"/>
          <w:sz w:val="24"/>
          <w:szCs w:val="24"/>
          <w:highlight w:val="none"/>
          <w:u w:val="none"/>
        </w:rPr>
        <w:t>互动体验</w:t>
      </w:r>
      <w:r>
        <w:rPr>
          <w:rFonts w:hint="eastAsia" w:ascii="宋体" w:hAnsi="宋体" w:eastAsia="宋体" w:cs="宋体"/>
          <w:b w:val="0"/>
          <w:bCs w:val="0"/>
          <w:color w:val="auto"/>
          <w:sz w:val="24"/>
          <w:szCs w:val="24"/>
          <w:highlight w:val="none"/>
          <w:u w:val="none"/>
          <w:lang w:val="en-US" w:eastAsia="zh-CN"/>
        </w:rPr>
        <w:t>等形式，既要庄重大气，又要突出重点和亮点。</w:t>
      </w:r>
    </w:p>
    <w:p w14:paraId="025AE367">
      <w:pPr>
        <w:pageBreakBefore w:val="0"/>
        <w:kinsoku/>
        <w:wordWrap/>
        <w:overflowPunct/>
        <w:topLinePunct w:val="0"/>
        <w:autoSpaceDE/>
        <w:autoSpaceDN/>
        <w:bidi w:val="0"/>
        <w:adjustRightInd/>
        <w:snapToGrid/>
        <w:spacing w:line="440" w:lineRule="exact"/>
        <w:ind w:left="0" w:leftChars="0" w:firstLine="480" w:firstLineChars="200"/>
        <w:jc w:val="both"/>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5.合理规划展线，设计科学、动线流畅，结合展览内容和展厅特点，扬长避短，在符合消防安全的基础上体现邵飘萍旧居特色。</w:t>
      </w:r>
    </w:p>
    <w:p w14:paraId="2E466DAC">
      <w:pPr>
        <w:pageBreakBefore w:val="0"/>
        <w:kinsoku/>
        <w:wordWrap/>
        <w:overflowPunct/>
        <w:topLinePunct w:val="0"/>
        <w:autoSpaceDE/>
        <w:autoSpaceDN/>
        <w:bidi w:val="0"/>
        <w:adjustRightInd/>
        <w:snapToGrid/>
        <w:spacing w:line="440" w:lineRule="exact"/>
        <w:ind w:left="0" w:leftChars="0" w:firstLine="480" w:firstLineChars="200"/>
        <w:jc w:val="both"/>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6.整体设计基本延续原基本陈列风格并有创新，展板主材材质、工艺等优于原展板质量，符合采购人使用要求和标准。</w:t>
      </w:r>
    </w:p>
    <w:p w14:paraId="111990E8">
      <w:pPr>
        <w:pageBreakBefore w:val="0"/>
        <w:kinsoku/>
        <w:wordWrap/>
        <w:overflowPunct/>
        <w:topLinePunct w:val="0"/>
        <w:autoSpaceDE/>
        <w:autoSpaceDN/>
        <w:bidi w:val="0"/>
        <w:adjustRightInd/>
        <w:snapToGrid/>
        <w:spacing w:line="440" w:lineRule="exact"/>
        <w:ind w:left="0" w:leftChars="0" w:firstLine="480" w:firstLineChars="200"/>
        <w:jc w:val="both"/>
        <w:textAlignment w:val="auto"/>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sz w:val="24"/>
          <w:szCs w:val="24"/>
          <w:highlight w:val="none"/>
          <w:u w:val="none"/>
          <w:lang w:val="en-US" w:eastAsia="zh-CN"/>
        </w:rPr>
        <w:t>7.</w:t>
      </w:r>
      <w:r>
        <w:rPr>
          <w:rFonts w:hint="eastAsia" w:ascii="宋体" w:hAnsi="宋体" w:eastAsia="宋体" w:cs="宋体"/>
          <w:b w:val="0"/>
          <w:bCs w:val="0"/>
          <w:color w:val="auto"/>
          <w:sz w:val="24"/>
          <w:szCs w:val="24"/>
          <w:highlight w:val="none"/>
          <w:u w:val="none"/>
          <w:lang w:eastAsia="zh-CN"/>
        </w:rPr>
        <w:t>项目</w:t>
      </w:r>
      <w:r>
        <w:rPr>
          <w:rFonts w:hint="eastAsia" w:ascii="宋体" w:hAnsi="宋体" w:eastAsia="宋体" w:cs="宋体"/>
          <w:b w:val="0"/>
          <w:bCs w:val="0"/>
          <w:color w:val="auto"/>
          <w:kern w:val="2"/>
          <w:sz w:val="24"/>
          <w:szCs w:val="24"/>
          <w:highlight w:val="none"/>
          <w:u w:val="none"/>
          <w:lang w:val="en-US" w:eastAsia="zh-CN" w:bidi="ar-SA"/>
        </w:rPr>
        <w:t>设计主要包括设计方案效果图、中标方案的修改完善，文字脚本的编写，空间设计方案，深化设计方案，施工图设计，预算等。</w:t>
      </w:r>
    </w:p>
    <w:p w14:paraId="2AF32F82">
      <w:pPr>
        <w:pageBreakBefore w:val="0"/>
        <w:numPr>
          <w:ilvl w:val="0"/>
          <w:numId w:val="0"/>
        </w:numPr>
        <w:kinsoku/>
        <w:wordWrap/>
        <w:overflowPunct/>
        <w:topLinePunct w:val="0"/>
        <w:autoSpaceDE/>
        <w:autoSpaceDN/>
        <w:bidi w:val="0"/>
        <w:adjustRightInd/>
        <w:snapToGrid/>
        <w:spacing w:line="440" w:lineRule="exact"/>
        <w:ind w:left="0" w:leftChars="0" w:firstLine="480" w:firstLineChars="200"/>
        <w:jc w:val="both"/>
        <w:textAlignment w:val="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lang w:val="en-US" w:eastAsia="zh-CN"/>
        </w:rPr>
        <w:t>8.</w:t>
      </w:r>
      <w:r>
        <w:rPr>
          <w:rFonts w:hint="eastAsia" w:ascii="宋体" w:hAnsi="宋体" w:eastAsia="宋体" w:cs="宋体"/>
          <w:color w:val="auto"/>
          <w:sz w:val="24"/>
          <w:szCs w:val="24"/>
          <w:highlight w:val="none"/>
          <w:u w:val="none"/>
        </w:rPr>
        <w:t>室内布展</w:t>
      </w:r>
      <w:r>
        <w:rPr>
          <w:rFonts w:hint="eastAsia" w:ascii="宋体" w:hAnsi="宋体" w:eastAsia="宋体" w:cs="宋体"/>
          <w:color w:val="auto"/>
          <w:sz w:val="24"/>
          <w:szCs w:val="24"/>
          <w:highlight w:val="none"/>
          <w:u w:val="none"/>
          <w:lang w:eastAsia="zh-CN"/>
        </w:rPr>
        <w:t>设计及</w:t>
      </w:r>
      <w:r>
        <w:rPr>
          <w:rFonts w:hint="eastAsia" w:ascii="宋体" w:hAnsi="宋体" w:eastAsia="宋体" w:cs="宋体"/>
          <w:color w:val="auto"/>
          <w:sz w:val="24"/>
          <w:szCs w:val="24"/>
          <w:highlight w:val="none"/>
          <w:u w:val="none"/>
        </w:rPr>
        <w:t>装饰</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展厅内搭建、分割、墙、柱</w:t>
      </w:r>
      <w:r>
        <w:rPr>
          <w:rFonts w:hint="eastAsia" w:ascii="宋体" w:hAnsi="宋体" w:eastAsia="宋体" w:cs="宋体"/>
          <w:color w:val="auto"/>
          <w:sz w:val="24"/>
          <w:szCs w:val="24"/>
          <w:highlight w:val="none"/>
          <w:u w:val="none"/>
          <w:lang w:eastAsia="zh-CN"/>
        </w:rPr>
        <w:t>、吊顶</w:t>
      </w:r>
      <w:r>
        <w:rPr>
          <w:rFonts w:hint="eastAsia" w:ascii="宋体" w:hAnsi="宋体" w:eastAsia="宋体" w:cs="宋体"/>
          <w:color w:val="auto"/>
          <w:sz w:val="24"/>
          <w:szCs w:val="24"/>
          <w:highlight w:val="none"/>
          <w:u w:val="none"/>
        </w:rPr>
        <w:t>等处理，墙面布展、文字图片展板设计</w:t>
      </w:r>
      <w:r>
        <w:rPr>
          <w:rFonts w:hint="eastAsia" w:ascii="宋体" w:hAnsi="宋体" w:eastAsia="宋体" w:cs="宋体"/>
          <w:color w:val="auto"/>
          <w:sz w:val="24"/>
          <w:szCs w:val="24"/>
          <w:highlight w:val="none"/>
          <w:u w:val="none"/>
          <w:lang w:eastAsia="zh-CN"/>
        </w:rPr>
        <w:t>，艺术创作</w:t>
      </w:r>
      <w:r>
        <w:rPr>
          <w:rFonts w:hint="eastAsia" w:ascii="宋体" w:hAnsi="宋体" w:eastAsia="宋体" w:cs="宋体"/>
          <w:color w:val="auto"/>
          <w:sz w:val="24"/>
          <w:szCs w:val="24"/>
          <w:highlight w:val="none"/>
          <w:u w:val="none"/>
        </w:rPr>
        <w:t>设计</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展陈内容设计制作及安装</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专业艺术创作及各类展厅用品定制</w:t>
      </w:r>
      <w:r>
        <w:rPr>
          <w:rFonts w:hint="eastAsia" w:ascii="宋体" w:hAnsi="宋体" w:eastAsia="宋体" w:cs="宋体"/>
          <w:color w:val="auto"/>
          <w:sz w:val="24"/>
          <w:szCs w:val="24"/>
          <w:highlight w:val="none"/>
          <w:u w:val="none"/>
          <w:lang w:eastAsia="zh-CN"/>
        </w:rPr>
        <w:t>，灯光、展柜、地面、留言墙等与展览相关类目的设计及改造。</w:t>
      </w:r>
    </w:p>
    <w:p w14:paraId="42FC6C3E">
      <w:pPr>
        <w:pageBreakBefore w:val="0"/>
        <w:numPr>
          <w:ilvl w:val="0"/>
          <w:numId w:val="0"/>
        </w:numPr>
        <w:kinsoku/>
        <w:wordWrap/>
        <w:overflowPunct/>
        <w:topLinePunct w:val="0"/>
        <w:autoSpaceDE/>
        <w:autoSpaceDN/>
        <w:bidi w:val="0"/>
        <w:adjustRightInd/>
        <w:snapToGrid/>
        <w:spacing w:line="440" w:lineRule="exact"/>
        <w:ind w:left="0" w:leftChars="0" w:firstLine="480" w:firstLineChars="200"/>
        <w:jc w:val="both"/>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9.</w:t>
      </w:r>
      <w:r>
        <w:rPr>
          <w:rFonts w:hint="eastAsia" w:ascii="宋体" w:hAnsi="宋体" w:eastAsia="宋体" w:cs="宋体"/>
          <w:color w:val="auto"/>
          <w:sz w:val="24"/>
          <w:szCs w:val="24"/>
          <w:highlight w:val="none"/>
          <w:u w:val="none"/>
        </w:rPr>
        <w:t>展厅配套多媒体设备安装及软件制作，多媒体素材展示内容的设计</w:t>
      </w:r>
      <w:r>
        <w:rPr>
          <w:rFonts w:hint="eastAsia" w:ascii="宋体" w:hAnsi="宋体" w:eastAsia="宋体" w:cs="宋体"/>
          <w:color w:val="auto"/>
          <w:sz w:val="24"/>
          <w:szCs w:val="24"/>
          <w:highlight w:val="none"/>
          <w:u w:val="none"/>
          <w:lang w:eastAsia="zh-CN"/>
        </w:rPr>
        <w:t>制作</w:t>
      </w:r>
      <w:r>
        <w:rPr>
          <w:rFonts w:hint="eastAsia" w:ascii="宋体" w:hAnsi="宋体" w:eastAsia="宋体" w:cs="宋体"/>
          <w:b w:val="0"/>
          <w:bCs w:val="0"/>
          <w:color w:val="auto"/>
          <w:sz w:val="24"/>
          <w:szCs w:val="24"/>
          <w:highlight w:val="none"/>
          <w:u w:val="none"/>
          <w:lang w:val="en-US" w:eastAsia="zh-CN"/>
        </w:rPr>
        <w:t>及多媒体其它相关工作。</w:t>
      </w:r>
    </w:p>
    <w:p w14:paraId="08B8F465">
      <w:pPr>
        <w:pStyle w:val="4"/>
        <w:pageBreakBefore w:val="0"/>
        <w:numPr>
          <w:ilvl w:val="0"/>
          <w:numId w:val="0"/>
        </w:numPr>
        <w:kinsoku/>
        <w:wordWrap/>
        <w:overflowPunct/>
        <w:topLinePunct w:val="0"/>
        <w:autoSpaceDE/>
        <w:autoSpaceDN/>
        <w:bidi w:val="0"/>
        <w:adjustRightInd/>
        <w:snapToGrid/>
        <w:spacing w:before="0" w:after="0" w:line="440" w:lineRule="exact"/>
        <w:ind w:left="0" w:leftChars="0" w:firstLine="480" w:firstLineChars="200"/>
        <w:jc w:val="both"/>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10.项目有关的图片、影片等资料进行精修，达到要求的像素和清晰度。</w:t>
      </w:r>
    </w:p>
    <w:p w14:paraId="54C458D9">
      <w:pPr>
        <w:pageBreakBefore w:val="0"/>
        <w:numPr>
          <w:ilvl w:val="0"/>
          <w:numId w:val="0"/>
        </w:numPr>
        <w:kinsoku/>
        <w:wordWrap/>
        <w:overflowPunct/>
        <w:topLinePunct w:val="0"/>
        <w:autoSpaceDE/>
        <w:autoSpaceDN/>
        <w:bidi w:val="0"/>
        <w:adjustRightInd/>
        <w:snapToGrid/>
        <w:spacing w:line="440" w:lineRule="exact"/>
        <w:ind w:left="0" w:leftChars="0" w:firstLine="480" w:firstLineChars="200"/>
        <w:jc w:val="both"/>
        <w:textAlignment w:val="auto"/>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11.实现采购人提供的视频素材的剪辑、点播、轮播等功能。</w:t>
      </w:r>
    </w:p>
    <w:p w14:paraId="6729567A">
      <w:pPr>
        <w:pageBreakBefore w:val="0"/>
        <w:numPr>
          <w:ilvl w:val="0"/>
          <w:numId w:val="0"/>
        </w:numPr>
        <w:kinsoku/>
        <w:wordWrap/>
        <w:overflowPunct/>
        <w:topLinePunct w:val="0"/>
        <w:autoSpaceDE/>
        <w:autoSpaceDN/>
        <w:bidi w:val="0"/>
        <w:adjustRightInd/>
        <w:snapToGrid/>
        <w:spacing w:line="440" w:lineRule="exact"/>
        <w:ind w:left="0" w:leftChars="0" w:firstLine="480" w:firstLineChars="200"/>
        <w:jc w:val="both"/>
        <w:textAlignment w:val="auto"/>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12.主材、装修等系列</w:t>
      </w:r>
      <w:r>
        <w:rPr>
          <w:rFonts w:hint="eastAsia" w:ascii="宋体" w:hAnsi="宋体" w:eastAsia="宋体" w:cs="宋体"/>
          <w:b w:val="0"/>
          <w:bCs w:val="0"/>
          <w:color w:val="auto"/>
          <w:sz w:val="24"/>
          <w:szCs w:val="24"/>
          <w:highlight w:val="none"/>
          <w:u w:val="none"/>
          <w:lang w:val="en-US" w:eastAsia="zh-CN"/>
        </w:rPr>
        <w:t>材料、硬件设备</w:t>
      </w:r>
      <w:r>
        <w:rPr>
          <w:rFonts w:hint="eastAsia" w:ascii="宋体" w:hAnsi="宋体" w:eastAsia="宋体" w:cs="宋体"/>
          <w:b w:val="0"/>
          <w:bCs w:val="0"/>
          <w:color w:val="auto"/>
          <w:kern w:val="2"/>
          <w:sz w:val="24"/>
          <w:szCs w:val="24"/>
          <w:highlight w:val="none"/>
          <w:u w:val="none"/>
          <w:lang w:val="en-US" w:eastAsia="zh-CN" w:bidi="ar-SA"/>
        </w:rPr>
        <w:t>要充分考虑防潮、防腐和防火性能。投标时提供板材、地板、吊顶等设计主材样品。</w:t>
      </w:r>
    </w:p>
    <w:p w14:paraId="48BAAE13">
      <w:pPr>
        <w:pageBreakBefore w:val="0"/>
        <w:numPr>
          <w:ilvl w:val="0"/>
          <w:numId w:val="0"/>
        </w:numPr>
        <w:kinsoku/>
        <w:wordWrap/>
        <w:overflowPunct/>
        <w:topLinePunct w:val="0"/>
        <w:autoSpaceDE/>
        <w:autoSpaceDN/>
        <w:bidi w:val="0"/>
        <w:adjustRightInd/>
        <w:snapToGrid/>
        <w:spacing w:line="440" w:lineRule="exact"/>
        <w:ind w:left="0" w:leftChars="0" w:firstLine="480" w:firstLineChars="200"/>
        <w:jc w:val="both"/>
        <w:textAlignment w:val="auto"/>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13.成交方案须根据采购人需求再进行设计方案的完善修改，直至深化完毕。</w:t>
      </w:r>
    </w:p>
    <w:p w14:paraId="587CF613">
      <w:pPr>
        <w:pageBreakBefore w:val="0"/>
        <w:widowControl/>
        <w:numPr>
          <w:ilvl w:val="0"/>
          <w:numId w:val="0"/>
        </w:numPr>
        <w:kinsoku/>
        <w:wordWrap/>
        <w:overflowPunct/>
        <w:topLinePunct w:val="0"/>
        <w:autoSpaceDE/>
        <w:autoSpaceDN/>
        <w:bidi w:val="0"/>
        <w:adjustRightInd/>
        <w:snapToGrid/>
        <w:spacing w:line="440" w:lineRule="exact"/>
        <w:ind w:left="0" w:leftChars="0" w:firstLine="480" w:firstLineChars="200"/>
        <w:jc w:val="both"/>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u w:val="none"/>
          <w:lang w:val="en-US" w:eastAsia="zh-CN"/>
        </w:rPr>
        <w:t>14.项目质保期要求不少于1年</w:t>
      </w:r>
      <w:r>
        <w:rPr>
          <w:rFonts w:hint="eastAsia" w:ascii="宋体" w:hAnsi="宋体" w:eastAsia="宋体" w:cs="宋体"/>
          <w:color w:val="auto"/>
          <w:sz w:val="24"/>
          <w:szCs w:val="24"/>
          <w:highlight w:val="none"/>
          <w:u w:val="none"/>
        </w:rPr>
        <w:t>。</w:t>
      </w:r>
      <w:r>
        <w:rPr>
          <w:rFonts w:hint="eastAsia" w:ascii="宋体" w:hAnsi="宋体" w:eastAsia="宋体" w:cs="宋体"/>
          <w:b w:val="0"/>
          <w:bCs w:val="0"/>
          <w:color w:val="auto"/>
          <w:kern w:val="2"/>
          <w:sz w:val="24"/>
          <w:szCs w:val="24"/>
          <w:highlight w:val="none"/>
          <w:u w:val="none"/>
          <w:lang w:val="en-US" w:eastAsia="zh-CN" w:bidi="ar-SA"/>
        </w:rPr>
        <w:t>服务期内24小时随时响应。采购人有大型活动需积极配合前期维保和现场保障。</w:t>
      </w:r>
    </w:p>
    <w:p w14:paraId="15634CBE">
      <w:pPr>
        <w:keepNext w:val="0"/>
        <w:keepLines w:val="0"/>
        <w:pageBreakBefore w:val="0"/>
        <w:widowControl w:val="0"/>
        <w:kinsoku/>
        <w:wordWrap/>
        <w:overflowPunct/>
        <w:topLinePunct w:val="0"/>
        <w:bidi w:val="0"/>
        <w:spacing w:line="440" w:lineRule="exact"/>
        <w:ind w:firstLine="482" w:firstLineChars="200"/>
        <w:textAlignment w:val="auto"/>
        <w:outlineLvl w:val="1"/>
        <w:rPr>
          <w:rFonts w:hint="eastAsia" w:ascii="宋体" w:hAnsi="宋体" w:eastAsia="宋体" w:cs="宋体"/>
          <w:b/>
          <w:color w:val="auto"/>
          <w:kern w:val="1"/>
          <w:sz w:val="24"/>
          <w:szCs w:val="24"/>
          <w:highlight w:val="none"/>
          <w:lang w:val="en-US" w:eastAsia="zh-CN"/>
        </w:rPr>
      </w:pPr>
      <w:r>
        <w:rPr>
          <w:rFonts w:hint="eastAsia" w:ascii="宋体" w:hAnsi="宋体" w:eastAsia="宋体" w:cs="宋体"/>
          <w:b/>
          <w:bCs/>
          <w:color w:val="auto"/>
          <w:sz w:val="24"/>
          <w:szCs w:val="24"/>
          <w:highlight w:val="none"/>
          <w:lang w:val="en-US" w:eastAsia="zh-CN"/>
        </w:rPr>
        <w:t>五、实施</w:t>
      </w:r>
      <w:r>
        <w:rPr>
          <w:rFonts w:hint="eastAsia" w:ascii="宋体" w:hAnsi="宋体" w:eastAsia="宋体" w:cs="宋体"/>
          <w:b/>
          <w:color w:val="auto"/>
          <w:kern w:val="1"/>
          <w:sz w:val="24"/>
          <w:szCs w:val="24"/>
          <w:highlight w:val="none"/>
          <w:lang w:val="en-US" w:eastAsia="zh-CN"/>
        </w:rPr>
        <w:t xml:space="preserve">要求 </w:t>
      </w:r>
    </w:p>
    <w:p w14:paraId="78BD1DE9">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（一）参与本次投标活动的供应商应对邵飘萍旧居有一定了解，熟悉地理位置及现场条件等，在成交后不得以未考虑到实际场地因素调整其报价或对需求的响应内容。</w:t>
      </w:r>
    </w:p>
    <w:p w14:paraId="43CA03FB">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（二）供应商根据现场条件，按照展厅要求制定具体施工方案。</w:t>
      </w:r>
    </w:p>
    <w:p w14:paraId="71C22DA7">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lang w:val="en-US" w:eastAsia="zh-CN"/>
        </w:rPr>
        <w:t>（三）</w:t>
      </w:r>
      <w:r>
        <w:rPr>
          <w:rFonts w:hint="eastAsia" w:ascii="宋体" w:hAnsi="宋体" w:eastAsia="宋体" w:cs="宋体"/>
          <w:b w:val="0"/>
          <w:bCs/>
          <w:color w:val="auto"/>
          <w:sz w:val="24"/>
          <w:szCs w:val="24"/>
          <w:highlight w:val="none"/>
          <w:vertAlign w:val="baseline"/>
          <w:lang w:val="en-US" w:eastAsia="zh-CN"/>
        </w:rPr>
        <w:t>中标人全面负责其施工场地的安全管理，保障所有进入施工场地的人员的安全。施工场地发生的人身伤害、安全事故，由中标人全部负责。</w:t>
      </w:r>
    </w:p>
    <w:p w14:paraId="4EE1A26F">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lang w:val="en-US" w:eastAsia="zh-CN"/>
        </w:rPr>
        <w:t>（四）</w:t>
      </w:r>
      <w:r>
        <w:rPr>
          <w:rFonts w:hint="eastAsia" w:ascii="宋体" w:hAnsi="宋体" w:eastAsia="宋体" w:cs="宋体"/>
          <w:b w:val="0"/>
          <w:bCs/>
          <w:color w:val="auto"/>
          <w:sz w:val="24"/>
          <w:szCs w:val="24"/>
          <w:highlight w:val="none"/>
          <w:vertAlign w:val="baseline"/>
          <w:lang w:val="en-US" w:eastAsia="zh-CN"/>
        </w:rPr>
        <w:t>中标人须负责施工现场的消防安全工作，严格落实消防措施。工地现场及时清除易燃、可燃物品，配置消防器材，落实专人监护，保证现场的消防安全。</w:t>
      </w:r>
    </w:p>
    <w:p w14:paraId="4C33BD1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lang w:val="en-US" w:eastAsia="zh-CN"/>
        </w:rPr>
        <w:t>（五）</w:t>
      </w:r>
      <w:r>
        <w:rPr>
          <w:rFonts w:hint="eastAsia" w:ascii="宋体" w:hAnsi="宋体" w:eastAsia="宋体" w:cs="宋体"/>
          <w:b w:val="0"/>
          <w:bCs/>
          <w:color w:val="auto"/>
          <w:sz w:val="24"/>
          <w:szCs w:val="24"/>
          <w:highlight w:val="none"/>
          <w:vertAlign w:val="baseline"/>
          <w:lang w:val="en-US" w:eastAsia="zh-CN"/>
        </w:rPr>
        <w:t>中标人施工过程中需服从需求方及场地管理方的相关规定，配合处理与当地政府、相关管理部门的协调工作。</w:t>
      </w:r>
    </w:p>
    <w:p w14:paraId="20E00D77">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strike w:val="0"/>
          <w:dstrike w:val="0"/>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lang w:val="en-US" w:eastAsia="zh-CN"/>
        </w:rPr>
        <w:t>（六）</w:t>
      </w:r>
      <w:r>
        <w:rPr>
          <w:rFonts w:hint="eastAsia" w:ascii="宋体" w:hAnsi="宋体" w:eastAsia="宋体" w:cs="宋体"/>
          <w:b w:val="0"/>
          <w:bCs/>
          <w:strike w:val="0"/>
          <w:dstrike w:val="0"/>
          <w:color w:val="auto"/>
          <w:sz w:val="24"/>
          <w:szCs w:val="24"/>
          <w:highlight w:val="none"/>
          <w:vertAlign w:val="baseline"/>
          <w:lang w:val="en-US" w:eastAsia="zh-CN"/>
        </w:rPr>
        <w:t>供应商应为本项目拟派相应的人员，对项目的设计、制作、实施内容进行全程服务。</w:t>
      </w:r>
    </w:p>
    <w:p w14:paraId="3FAEF6DD">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（七）</w:t>
      </w:r>
      <w:r>
        <w:rPr>
          <w:rFonts w:hint="eastAsia" w:ascii="宋体" w:hAnsi="宋体" w:eastAsia="宋体" w:cs="宋体"/>
          <w:b w:val="0"/>
          <w:bCs w:val="0"/>
          <w:color w:val="auto"/>
          <w:sz w:val="24"/>
          <w:szCs w:val="24"/>
          <w:highlight w:val="none"/>
          <w:lang w:val="en-US" w:eastAsia="zh-CN"/>
        </w:rPr>
        <w:t>本项目为全包交钥匙工程，包括前期需求了解、方案策划、全流程方案设计、深化设计、制作布置以及相关材料的供应，施工</w:t>
      </w:r>
      <w:r>
        <w:rPr>
          <w:rFonts w:hint="eastAsia" w:ascii="宋体" w:hAnsi="宋体" w:eastAsia="宋体" w:cs="宋体"/>
          <w:b w:val="0"/>
          <w:bCs/>
          <w:color w:val="auto"/>
          <w:sz w:val="24"/>
          <w:szCs w:val="24"/>
          <w:highlight w:val="none"/>
          <w:vertAlign w:val="baseline"/>
          <w:lang w:val="en-US" w:eastAsia="zh-CN"/>
        </w:rPr>
        <w:t>（含设备材料的采购、</w:t>
      </w:r>
      <w:r>
        <w:rPr>
          <w:rFonts w:hint="eastAsia" w:ascii="宋体" w:hAnsi="宋体" w:eastAsia="宋体" w:cs="宋体"/>
          <w:b w:val="0"/>
          <w:bCs w:val="0"/>
          <w:color w:val="auto"/>
          <w:sz w:val="24"/>
          <w:szCs w:val="24"/>
          <w:highlight w:val="none"/>
          <w:lang w:val="en-US" w:eastAsia="zh-CN"/>
        </w:rPr>
        <w:t>运输装卸、</w:t>
      </w:r>
      <w:r>
        <w:rPr>
          <w:rFonts w:hint="eastAsia" w:ascii="宋体" w:hAnsi="宋体" w:eastAsia="宋体" w:cs="宋体"/>
          <w:b w:val="0"/>
          <w:bCs/>
          <w:color w:val="auto"/>
          <w:sz w:val="24"/>
          <w:szCs w:val="24"/>
          <w:highlight w:val="none"/>
          <w:vertAlign w:val="baseline"/>
          <w:lang w:val="en-US" w:eastAsia="zh-CN"/>
        </w:rPr>
        <w:t>装修、安装等）及保修</w:t>
      </w:r>
      <w:r>
        <w:rPr>
          <w:rFonts w:hint="eastAsia" w:ascii="宋体" w:hAnsi="宋体" w:eastAsia="宋体" w:cs="宋体"/>
          <w:b w:val="0"/>
          <w:bCs w:val="0"/>
          <w:color w:val="auto"/>
          <w:sz w:val="24"/>
          <w:szCs w:val="24"/>
          <w:highlight w:val="none"/>
          <w:lang w:val="en-US" w:eastAsia="zh-CN"/>
        </w:rPr>
        <w:t>，布展、安装、调试，直至项目验收通过为止。</w:t>
      </w:r>
    </w:p>
    <w:p w14:paraId="40D20D91">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（八）其他：</w:t>
      </w:r>
    </w:p>
    <w:p w14:paraId="1847D0F8">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1.中标人必须严格按照采购人的要求进行设计、制作、安装和维护，中标人的设计制作须满足采购人要求。</w:t>
      </w:r>
    </w:p>
    <w:p w14:paraId="5CB179F4">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2.采购人对中标人提供的版面内容有权提出修改意见，服务单位应根据采购人的要求进行修改，并不得因此增加结算费用。</w:t>
      </w:r>
    </w:p>
    <w:p w14:paraId="5BA3F187">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3.所有制作内容必须在正式印制前向采购人提交设计定稿，经采购人修改认定后提交定稿由采购人确认。采购人可要求中标人提供设计实景效果图。</w:t>
      </w:r>
    </w:p>
    <w:p w14:paraId="2C91A0FB">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4.所有制作内容印制要求图片画像清晰、色彩均匀，内文和标题印刷要求字体清晰，无重影、叠影和模糊现象；需要安装的项目，除上述印制要求外，还要求安装端正、美观、安全、牢固。</w:t>
      </w:r>
    </w:p>
    <w:p w14:paraId="5E8141F4">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5.未经采购人同意，中标人除制作物料外，不得将本项目的所有设计工作内容分包和转包给第三方。</w:t>
      </w:r>
    </w:p>
    <w:p w14:paraId="6E1CB412">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6.中标人在为采购人提供服务和安装服务时，要确保安装的设备安全、牢固及安装工作人员的安全保障及发生意外的一切费用。工作完成后应按要求及时清理现场工作。</w:t>
      </w:r>
    </w:p>
    <w:p w14:paraId="63321873">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7.中标人应保证人员、设备、物资严格按照采购人的时限、质量、数量要求按时按质按数到位，并按采购人要求进行现场布置。物资质量按照采购人的标准来制作。</w:t>
      </w:r>
    </w:p>
    <w:p w14:paraId="26DB459E">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8.中标人在活动期间需配合采购人提出的活动要求，根据采购人需要在现场安排人力。所产生的人员费用由中标人承担。</w:t>
      </w:r>
    </w:p>
    <w:p w14:paraId="2D5FC6C7">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hint="eastAsia" w:ascii="宋体" w:hAnsi="宋体" w:eastAsia="宋体" w:cs="宋体"/>
          <w:b/>
          <w:color w:val="auto"/>
          <w:kern w:val="1"/>
          <w:sz w:val="24"/>
          <w:szCs w:val="24"/>
          <w:highlight w:val="none"/>
        </w:rPr>
      </w:pPr>
      <w:r>
        <w:rPr>
          <w:rFonts w:hint="eastAsia" w:ascii="宋体" w:hAnsi="宋体" w:eastAsia="宋体" w:cs="宋体"/>
          <w:b/>
          <w:bCs w:val="0"/>
          <w:color w:val="auto"/>
          <w:sz w:val="24"/>
          <w:szCs w:val="24"/>
          <w:highlight w:val="none"/>
          <w:vertAlign w:val="baseline"/>
          <w:lang w:val="en-US" w:eastAsia="zh-CN"/>
        </w:rPr>
        <w:t>六、展陈提升所需</w:t>
      </w:r>
      <w:r>
        <w:rPr>
          <w:rFonts w:hint="eastAsia" w:ascii="宋体" w:hAnsi="宋体" w:eastAsia="宋体" w:cs="宋体"/>
          <w:b/>
          <w:color w:val="auto"/>
          <w:kern w:val="1"/>
          <w:sz w:val="24"/>
          <w:szCs w:val="24"/>
          <w:highlight w:val="none"/>
        </w:rPr>
        <w:t>材料供应要求</w:t>
      </w:r>
    </w:p>
    <w:p w14:paraId="1CC37F02">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一）本项目服务范围内的展陈提升所需材料均由中标人根据设计方案和国家有关规定的具体要求进行采购、运输、检验、保管。所有材料须有产品合格证和质量保证书，符合节能、环保要求和国家规定的技术标准。主要材料，中标人应在采购前向采购人送样或经采购人确认，未经采购人将不予支付。</w:t>
      </w:r>
    </w:p>
    <w:p w14:paraId="6835E5CA">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（二）由中标人采购的主要材料，当中标人选定产品质量达不到设计要求（或效果要求）和预期质量目标时，采购人保留更换的权利，费用不增加。</w:t>
      </w:r>
    </w:p>
    <w:p w14:paraId="4120455E">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val="0"/>
          <w:color w:val="auto"/>
          <w:sz w:val="24"/>
          <w:szCs w:val="24"/>
          <w:highlight w:val="none"/>
          <w:vertAlign w:val="baseline"/>
          <w:lang w:val="en-US" w:eastAsia="zh-CN"/>
        </w:rPr>
      </w:pPr>
      <w:r>
        <w:rPr>
          <w:rFonts w:hint="eastAsia" w:ascii="宋体" w:hAnsi="宋体" w:eastAsia="宋体" w:cs="宋体"/>
          <w:b/>
          <w:bCs w:val="0"/>
          <w:color w:val="auto"/>
          <w:sz w:val="24"/>
          <w:szCs w:val="24"/>
          <w:highlight w:val="none"/>
          <w:vertAlign w:val="baseline"/>
          <w:lang w:val="en-US" w:eastAsia="zh-CN"/>
        </w:rPr>
        <w:t>七、施工要求</w:t>
      </w:r>
    </w:p>
    <w:p w14:paraId="16304066">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（一）每个主题展施工质量要求一次性验收合格。</w:t>
      </w:r>
    </w:p>
    <w:p w14:paraId="5381D632">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（二）中标人须无条件接受采购人、质量监督管理部门的质量检查和管理，共同把握好质量关。</w:t>
      </w:r>
    </w:p>
    <w:p w14:paraId="0774CE59">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（三）中标人的设计得到采购人的确认后，方可进入下一步的制作施工。</w:t>
      </w:r>
    </w:p>
    <w:p w14:paraId="505AA2C3">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四）中标人施工（制作）完成的布展必须达到采购文件和设计要求的展示效果，如不能达到，在采购人允许的一定时间内进行修改、完善，使其达到对展示效果的承诺，所涉及的费用由中标人负责。若经修改、完善后仍不能达到要求，采购人有权另行指定施工单位完成此内容，所发生的费用由中标人承担。</w:t>
      </w:r>
    </w:p>
    <w:p w14:paraId="0C439BF0">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（五）隐蔽工程经采购人验收合格后方可进入下道工序施工（制作）。</w:t>
      </w:r>
    </w:p>
    <w:p w14:paraId="34DEA6EF">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（六）未尽的技术条件及要求均按国家标准和行业标准执行。</w:t>
      </w:r>
    </w:p>
    <w:p w14:paraId="3C53A31D">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val="0"/>
          <w:color w:val="auto"/>
          <w:sz w:val="24"/>
          <w:szCs w:val="24"/>
          <w:highlight w:val="none"/>
          <w:vertAlign w:val="baseline"/>
          <w:lang w:val="en-US" w:eastAsia="zh-CN"/>
        </w:rPr>
      </w:pPr>
      <w:r>
        <w:rPr>
          <w:rFonts w:hint="eastAsia" w:ascii="宋体" w:hAnsi="宋体" w:eastAsia="宋体" w:cs="宋体"/>
          <w:b/>
          <w:bCs w:val="0"/>
          <w:color w:val="auto"/>
          <w:sz w:val="24"/>
          <w:szCs w:val="24"/>
          <w:highlight w:val="none"/>
          <w:vertAlign w:val="baseline"/>
          <w:lang w:val="en-US" w:eastAsia="zh-CN"/>
        </w:rPr>
        <w:t>八、商务要求</w:t>
      </w:r>
    </w:p>
    <w:p w14:paraId="43BA32E0">
      <w:pPr>
        <w:keepNext w:val="0"/>
        <w:keepLines w:val="0"/>
        <w:pageBreakBefore w:val="0"/>
        <w:widowControl w:val="0"/>
        <w:shd w:val="clear" w:color="auto" w:fill="FFFFFF"/>
        <w:kinsoku/>
        <w:wordWrap/>
        <w:overflowPunct/>
        <w:topLinePunct w:val="0"/>
        <w:bidi w:val="0"/>
        <w:snapToGrid w:val="0"/>
        <w:spacing w:line="440" w:lineRule="exact"/>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lang w:val="en-US" w:eastAsia="zh-CN"/>
        </w:rPr>
        <w:t>（一）</w:t>
      </w:r>
      <w:r>
        <w:rPr>
          <w:rFonts w:hint="eastAsia" w:ascii="宋体" w:hAnsi="宋体" w:eastAsia="宋体" w:cs="宋体"/>
          <w:b/>
          <w:bCs/>
          <w:color w:val="auto"/>
          <w:sz w:val="24"/>
          <w:szCs w:val="24"/>
          <w:highlight w:val="none"/>
        </w:rPr>
        <w:t>合同签订</w:t>
      </w:r>
    </w:p>
    <w:p w14:paraId="4BE179C2">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jc w:val="both"/>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中标单位在中标通知书</w:t>
      </w:r>
      <w:r>
        <w:rPr>
          <w:rFonts w:hint="eastAsia" w:ascii="宋体" w:hAnsi="宋体" w:eastAsia="宋体" w:cs="宋体"/>
          <w:b w:val="0"/>
          <w:bCs/>
          <w:color w:val="auto"/>
          <w:sz w:val="24"/>
          <w:szCs w:val="24"/>
          <w:highlight w:val="none"/>
          <w:vertAlign w:val="baseline"/>
          <w:lang w:val="en-US" w:eastAsia="zh-CN"/>
        </w:rPr>
        <w:t>发出</w:t>
      </w:r>
      <w:r>
        <w:rPr>
          <w:rFonts w:hint="eastAsia" w:ascii="宋体" w:hAnsi="宋体" w:eastAsia="宋体" w:cs="宋体"/>
          <w:color w:val="auto"/>
          <w:kern w:val="0"/>
          <w:sz w:val="24"/>
          <w:szCs w:val="24"/>
          <w:highlight w:val="none"/>
          <w:lang w:bidi="ar"/>
        </w:rPr>
        <w:t>后20日内尽快与采购人签订采购合同。无故不签订合同的，采购人可直接确定排名第二的候选人为中标单位或重新组织采购。</w:t>
      </w:r>
    </w:p>
    <w:p w14:paraId="13ADD759">
      <w:pPr>
        <w:keepNext w:val="0"/>
        <w:keepLines w:val="0"/>
        <w:pageBreakBefore w:val="0"/>
        <w:widowControl w:val="0"/>
        <w:shd w:val="clear" w:color="auto" w:fill="FFFFFF"/>
        <w:kinsoku/>
        <w:wordWrap/>
        <w:overflowPunct/>
        <w:topLinePunct w:val="0"/>
        <w:bidi w:val="0"/>
        <w:snapToGrid w:val="0"/>
        <w:spacing w:line="440" w:lineRule="exact"/>
        <w:ind w:firstLine="482" w:firstLineChars="200"/>
        <w:jc w:val="both"/>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（二）工期要求</w:t>
      </w:r>
    </w:p>
    <w:p w14:paraId="02F42AF7">
      <w:pPr>
        <w:keepNext w:val="0"/>
        <w:keepLines w:val="0"/>
        <w:pageBreakBefore w:val="0"/>
        <w:widowControl w:val="0"/>
        <w:shd w:val="clear" w:color="auto" w:fill="FFFFFF"/>
        <w:kinsoku/>
        <w:wordWrap/>
        <w:overflowPunct/>
        <w:topLinePunct w:val="0"/>
        <w:bidi w:val="0"/>
        <w:snapToGrid w:val="0"/>
        <w:spacing w:line="440" w:lineRule="exact"/>
        <w:ind w:firstLine="480" w:firstLineChars="200"/>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中标单位</w:t>
      </w:r>
      <w:r>
        <w:rPr>
          <w:rFonts w:hint="eastAsia" w:ascii="宋体" w:hAnsi="宋体" w:eastAsia="宋体" w:cs="宋体"/>
          <w:color w:val="auto"/>
          <w:kern w:val="0"/>
          <w:sz w:val="24"/>
          <w:szCs w:val="24"/>
          <w:highlight w:val="none"/>
          <w:lang w:val="en-US" w:eastAsia="zh-CN" w:bidi="ar"/>
        </w:rPr>
        <w:t>在合同签订后</w:t>
      </w:r>
      <w:r>
        <w:rPr>
          <w:rFonts w:hint="eastAsia" w:ascii="宋体" w:hAnsi="宋体" w:eastAsia="宋体" w:cs="宋体"/>
          <w:color w:val="auto"/>
          <w:kern w:val="0"/>
          <w:sz w:val="24"/>
          <w:szCs w:val="24"/>
          <w:highlight w:val="none"/>
          <w:u w:val="single"/>
          <w:lang w:val="en-US" w:eastAsia="zh-CN" w:bidi="ar"/>
        </w:rPr>
        <w:t>60</w:t>
      </w:r>
      <w:r>
        <w:rPr>
          <w:rFonts w:hint="eastAsia" w:ascii="宋体" w:hAnsi="宋体" w:eastAsia="宋体" w:cs="宋体"/>
          <w:color w:val="auto"/>
          <w:kern w:val="0"/>
          <w:sz w:val="24"/>
          <w:szCs w:val="24"/>
          <w:highlight w:val="none"/>
          <w:lang w:val="en-US" w:eastAsia="zh-CN" w:bidi="ar"/>
        </w:rPr>
        <w:t>日内完成项目所有工作内容并经采购人验收合格。</w:t>
      </w:r>
    </w:p>
    <w:p w14:paraId="60DE75ED">
      <w:pPr>
        <w:keepNext w:val="0"/>
        <w:keepLines w:val="0"/>
        <w:pageBreakBefore w:val="0"/>
        <w:widowControl w:val="0"/>
        <w:shd w:val="clear" w:color="auto" w:fill="FFFFFF"/>
        <w:kinsoku/>
        <w:wordWrap/>
        <w:overflowPunct/>
        <w:topLinePunct w:val="0"/>
        <w:bidi w:val="0"/>
        <w:snapToGrid w:val="0"/>
        <w:spacing w:line="440" w:lineRule="exact"/>
        <w:ind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验收标准</w:t>
      </w:r>
    </w:p>
    <w:p w14:paraId="4FFDE971">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jc w:val="both"/>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1.供应商应随时接受采购人、监理人所进行的安全、质量的监督和检查。供应商应为此类监督、检查提供方便。</w:t>
      </w:r>
    </w:p>
    <w:p w14:paraId="7E7189A1">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jc w:val="both"/>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2.供应商委托第三方对施工质量进行检查、检验、检测和试验时，应在取得采购人同意后以书面形式通知采购人。</w:t>
      </w:r>
    </w:p>
    <w:p w14:paraId="4E3DB04A">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jc w:val="both"/>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3.供应商应遵守施工质量管理的有关规定，负有对其操作人员进行培训、考核、图纸交底、技术交底、操作规程交底、安全程序交底和质量标准交底，及消除事故隐患的责任。</w:t>
      </w:r>
    </w:p>
    <w:p w14:paraId="3348AFBE">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jc w:val="both"/>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4.供应商应按照设计文件、施工标准和合同约定，负责编写施工试验和检测方案，对工程物资（包括建筑构配件）进行检查、检验、检测和试验，不合格的不得使用。并有义务自费修复和（或）更换不合格的工程物资，因此造成竣工日期延误的，由供应商负责。</w:t>
      </w:r>
    </w:p>
    <w:p w14:paraId="21EA10F9">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jc w:val="both"/>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5.供应商的施工应符合合同约定的质量标准。施工质量评定以合同中约定的质量检验评定标准为依据。对不符合质量标准的施工部位，供应商应自费修复、返工、更换等。因此造成竣工日期延误的，由供应商负责。</w:t>
      </w:r>
    </w:p>
    <w:p w14:paraId="713FEF3C">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jc w:val="both"/>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6.本项目施工符合《建筑工程施工质量验收统一标准》（GB-50300-2013）“合格”标准。布展设计达到采购人对展馆的定位、设计、施工、布展等要求，整体一次性通过竣工验收。</w:t>
      </w:r>
    </w:p>
    <w:p w14:paraId="7CB56617">
      <w:pPr>
        <w:keepNext w:val="0"/>
        <w:keepLines w:val="0"/>
        <w:pageBreakBefore w:val="0"/>
        <w:widowControl w:val="0"/>
        <w:shd w:val="clear" w:color="auto" w:fill="FFFFFF"/>
        <w:kinsoku/>
        <w:wordWrap/>
        <w:overflowPunct/>
        <w:topLinePunct w:val="0"/>
        <w:bidi w:val="0"/>
        <w:snapToGrid w:val="0"/>
        <w:spacing w:line="440" w:lineRule="exact"/>
        <w:ind w:firstLine="480" w:firstLineChars="200"/>
        <w:jc w:val="both"/>
        <w:textAlignment w:val="auto"/>
        <w:rPr>
          <w:rFonts w:hint="eastAsia" w:ascii="宋体" w:hAnsi="宋体" w:eastAsia="宋体" w:cs="宋体"/>
          <w:b/>
          <w:bCs/>
          <w:color w:val="auto"/>
          <w:sz w:val="24"/>
          <w:szCs w:val="24"/>
          <w:highlight w:val="none"/>
          <w:lang w:eastAsia="zh-CN"/>
        </w:rPr>
      </w:pPr>
      <w:r>
        <w:rPr>
          <w:rFonts w:hint="eastAsia" w:ascii="宋体" w:hAnsi="宋体"/>
          <w:color w:val="auto"/>
          <w:sz w:val="24"/>
          <w:highlight w:val="none"/>
        </w:rPr>
        <w:t>★</w:t>
      </w: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付款方式</w:t>
      </w:r>
    </w:p>
    <w:p w14:paraId="30B82F45">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lang w:val="en-US" w:eastAsia="zh-CN"/>
        </w:rPr>
        <w:t>1.</w:t>
      </w:r>
      <w:r>
        <w:rPr>
          <w:rFonts w:hint="eastAsia" w:ascii="宋体" w:hAnsi="宋体" w:eastAsia="宋体" w:cs="宋体"/>
          <w:bCs/>
          <w:color w:val="auto"/>
          <w:kern w:val="0"/>
          <w:sz w:val="24"/>
          <w:szCs w:val="24"/>
          <w:highlight w:val="none"/>
          <w:lang w:eastAsia="zh-CN"/>
        </w:rPr>
        <w:t>合同签订后7个工作日内，采购人向</w:t>
      </w:r>
      <w:r>
        <w:rPr>
          <w:rFonts w:hint="eastAsia" w:ascii="宋体" w:hAnsi="宋体" w:eastAsia="宋体" w:cs="宋体"/>
          <w:color w:val="auto"/>
          <w:kern w:val="0"/>
          <w:sz w:val="24"/>
          <w:szCs w:val="24"/>
          <w:highlight w:val="none"/>
          <w:lang w:val="en-US" w:eastAsia="zh-CN" w:bidi="ar"/>
        </w:rPr>
        <w:t>中标人</w:t>
      </w:r>
      <w:r>
        <w:rPr>
          <w:rFonts w:hint="eastAsia" w:ascii="宋体" w:hAnsi="宋体" w:eastAsia="宋体" w:cs="宋体"/>
          <w:bCs/>
          <w:color w:val="auto"/>
          <w:kern w:val="0"/>
          <w:sz w:val="24"/>
          <w:szCs w:val="24"/>
          <w:highlight w:val="none"/>
          <w:lang w:eastAsia="zh-CN"/>
        </w:rPr>
        <w:t>支付合同款项的</w:t>
      </w:r>
      <w:r>
        <w:rPr>
          <w:rFonts w:hint="eastAsia" w:ascii="宋体" w:hAnsi="宋体" w:eastAsia="宋体" w:cs="宋体"/>
          <w:bCs/>
          <w:color w:val="auto"/>
          <w:kern w:val="0"/>
          <w:sz w:val="24"/>
          <w:szCs w:val="24"/>
          <w:highlight w:val="none"/>
          <w:lang w:val="en-US" w:eastAsia="zh-CN"/>
        </w:rPr>
        <w:t>40</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lang w:val="en-US" w:eastAsia="zh-CN"/>
        </w:rPr>
        <w:t>为预付款（但不超过2024年度预算资金24.9万元）</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lang w:val="en-US" w:eastAsia="zh-CN"/>
        </w:rPr>
        <w:t>项目完成并经验收合格且2025年资金到位后</w:t>
      </w:r>
      <w:r>
        <w:rPr>
          <w:rFonts w:hint="eastAsia" w:ascii="宋体" w:hAnsi="宋体" w:eastAsia="宋体" w:cs="宋体"/>
          <w:bCs/>
          <w:color w:val="auto"/>
          <w:kern w:val="0"/>
          <w:sz w:val="24"/>
          <w:szCs w:val="24"/>
          <w:highlight w:val="none"/>
          <w:lang w:eastAsia="zh-CN"/>
        </w:rPr>
        <w:t>支付</w:t>
      </w:r>
      <w:r>
        <w:rPr>
          <w:rFonts w:hint="eastAsia" w:ascii="宋体" w:hAnsi="宋体" w:eastAsia="宋体" w:cs="宋体"/>
          <w:bCs/>
          <w:color w:val="auto"/>
          <w:kern w:val="0"/>
          <w:sz w:val="24"/>
          <w:szCs w:val="24"/>
          <w:highlight w:val="none"/>
          <w:lang w:val="en-US" w:eastAsia="zh-CN"/>
        </w:rPr>
        <w:t>剩余款项</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bidi="ar"/>
        </w:rPr>
        <w:t>中标人</w:t>
      </w:r>
      <w:r>
        <w:rPr>
          <w:rFonts w:hint="eastAsia" w:ascii="宋体" w:hAnsi="宋体" w:eastAsia="宋体" w:cs="宋体"/>
          <w:bCs/>
          <w:color w:val="auto"/>
          <w:kern w:val="0"/>
          <w:sz w:val="24"/>
          <w:szCs w:val="24"/>
          <w:highlight w:val="none"/>
          <w:lang w:eastAsia="zh-CN"/>
        </w:rPr>
        <w:t>随付款进度提供发票。</w:t>
      </w:r>
    </w:p>
    <w:p w14:paraId="0FC7F677">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lang w:val="en-US" w:eastAsia="zh-CN"/>
        </w:rPr>
        <w:t>2.</w:t>
      </w:r>
      <w:r>
        <w:rPr>
          <w:rFonts w:hint="eastAsia" w:ascii="宋体" w:hAnsi="宋体" w:eastAsia="宋体" w:cs="宋体"/>
          <w:bCs/>
          <w:color w:val="auto"/>
          <w:kern w:val="0"/>
          <w:sz w:val="24"/>
          <w:szCs w:val="24"/>
          <w:highlight w:val="none"/>
          <w:lang w:eastAsia="zh-CN"/>
        </w:rPr>
        <w:t>政府采购合同履行中，采购人需追加与合同标的相同的货物、工程或者服务的，在不改变合同其他条款的前提下，可以与供应商协商签订补充合同，但所有补充合同的采购金额不得超过原合同采购金额的百分之十。</w:t>
      </w:r>
    </w:p>
    <w:p w14:paraId="3DE32FC5">
      <w:pPr>
        <w:keepNext w:val="0"/>
        <w:keepLines w:val="0"/>
        <w:pageBreakBefore w:val="0"/>
        <w:kinsoku/>
        <w:wordWrap/>
        <w:overflowPunct/>
        <w:topLinePunct w:val="0"/>
        <w:bidi w:val="0"/>
        <w:snapToGrid/>
        <w:spacing w:line="360" w:lineRule="auto"/>
        <w:textAlignment w:val="auto"/>
        <w:rPr>
          <w:rFonts w:hint="default"/>
          <w:b/>
          <w:bCs/>
          <w:color w:val="auto"/>
          <w:sz w:val="24"/>
          <w:szCs w:val="24"/>
          <w:highlight w:val="none"/>
          <w:lang w:val="en-US" w:eastAsia="zh-CN"/>
        </w:rPr>
      </w:pPr>
      <w:r>
        <w:rPr>
          <w:rFonts w:ascii="宋体" w:hAnsi="宋体" w:cs="宋体"/>
          <w:b/>
          <w:color w:val="auto"/>
          <w:szCs w:val="21"/>
          <w:highlight w:val="none"/>
        </w:rPr>
        <w:br w:type="page"/>
      </w:r>
    </w:p>
    <w:p w14:paraId="0073574B">
      <w:pPr>
        <w:rPr>
          <w:rFonts w:hint="default"/>
          <w:b/>
          <w:bCs/>
          <w:color w:val="auto"/>
          <w:sz w:val="24"/>
          <w:szCs w:val="24"/>
          <w:highlight w:val="none"/>
          <w:lang w:val="en-US" w:eastAsia="zh-CN"/>
        </w:rPr>
      </w:pPr>
    </w:p>
    <w:p w14:paraId="45C9C842">
      <w:pPr>
        <w:rPr>
          <w:rFonts w:hint="default" w:hAnsi="宋体" w:cs="宋体"/>
          <w:b/>
          <w:color w:val="auto"/>
          <w:sz w:val="30"/>
          <w:szCs w:val="30"/>
          <w:highlight w:val="none"/>
        </w:rPr>
      </w:pPr>
    </w:p>
    <w:p w14:paraId="4DAF7619">
      <w:pPr>
        <w:pStyle w:val="24"/>
        <w:numPr>
          <w:ilvl w:val="0"/>
          <w:numId w:val="6"/>
        </w:numPr>
        <w:snapToGrid w:val="0"/>
        <w:spacing w:beforeLines="0" w:afterLines="0" w:line="360" w:lineRule="auto"/>
        <w:jc w:val="center"/>
        <w:outlineLvl w:val="0"/>
        <w:rPr>
          <w:rFonts w:hint="default" w:hAnsi="宋体" w:cs="宋体"/>
          <w:b/>
          <w:color w:val="auto"/>
          <w:sz w:val="30"/>
          <w:szCs w:val="30"/>
          <w:highlight w:val="none"/>
        </w:rPr>
      </w:pPr>
      <w:r>
        <w:rPr>
          <w:rFonts w:hAnsi="宋体" w:cs="宋体"/>
          <w:b/>
          <w:color w:val="auto"/>
          <w:sz w:val="30"/>
          <w:szCs w:val="30"/>
          <w:highlight w:val="none"/>
        </w:rPr>
        <w:t>投标人须知</w:t>
      </w:r>
    </w:p>
    <w:p w14:paraId="6A45CF66">
      <w:pPr>
        <w:snapToGrid w:val="0"/>
        <w:spacing w:before="120" w:beforeLines="50" w:after="120" w:afterLines="50"/>
        <w:ind w:left="238"/>
        <w:jc w:val="center"/>
        <w:rPr>
          <w:rFonts w:ascii="黑体" w:hAnsi="宋体" w:eastAsia="黑体"/>
          <w:color w:val="auto"/>
          <w:sz w:val="24"/>
          <w:highlight w:val="none"/>
        </w:rPr>
      </w:pPr>
      <w:r>
        <w:rPr>
          <w:rFonts w:hint="eastAsia" w:ascii="黑体" w:hAnsi="宋体" w:eastAsia="黑体"/>
          <w:color w:val="auto"/>
          <w:sz w:val="24"/>
          <w:highlight w:val="none"/>
        </w:rPr>
        <w:t>前附表</w:t>
      </w:r>
    </w:p>
    <w:tbl>
      <w:tblPr>
        <w:tblStyle w:val="42"/>
        <w:tblW w:w="972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57" w:type="dxa"/>
          <w:left w:w="108" w:type="dxa"/>
          <w:bottom w:w="57" w:type="dxa"/>
          <w:right w:w="108" w:type="dxa"/>
        </w:tblCellMar>
      </w:tblPr>
      <w:tblGrid>
        <w:gridCol w:w="894"/>
        <w:gridCol w:w="1814"/>
        <w:gridCol w:w="7014"/>
      </w:tblGrid>
      <w:tr w14:paraId="2BF1BE1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894" w:type="dxa"/>
            <w:vAlign w:val="center"/>
          </w:tcPr>
          <w:p w14:paraId="5DCC176E">
            <w:pPr>
              <w:jc w:val="center"/>
              <w:rPr>
                <w:rFonts w:ascii="宋体" w:hAnsi="宋体" w:cs="宋体"/>
                <w:color w:val="auto"/>
                <w:sz w:val="24"/>
                <w:highlight w:val="none"/>
              </w:rPr>
            </w:pPr>
            <w:r>
              <w:rPr>
                <w:rFonts w:hint="eastAsia" w:ascii="宋体" w:hAnsi="宋体" w:cs="宋体"/>
                <w:color w:val="auto"/>
                <w:sz w:val="24"/>
                <w:highlight w:val="none"/>
              </w:rPr>
              <w:t>序号</w:t>
            </w:r>
          </w:p>
        </w:tc>
        <w:tc>
          <w:tcPr>
            <w:tcW w:w="1814" w:type="dxa"/>
            <w:vAlign w:val="center"/>
          </w:tcPr>
          <w:p w14:paraId="70124627">
            <w:pPr>
              <w:jc w:val="center"/>
              <w:rPr>
                <w:rFonts w:ascii="宋体" w:hAnsi="宋体" w:cs="宋体"/>
                <w:color w:val="auto"/>
                <w:sz w:val="24"/>
                <w:highlight w:val="none"/>
              </w:rPr>
            </w:pPr>
            <w:r>
              <w:rPr>
                <w:rFonts w:hint="eastAsia" w:ascii="宋体" w:hAnsi="宋体" w:cs="宋体"/>
                <w:color w:val="auto"/>
                <w:sz w:val="24"/>
                <w:highlight w:val="none"/>
              </w:rPr>
              <w:t>内容</w:t>
            </w:r>
          </w:p>
        </w:tc>
        <w:tc>
          <w:tcPr>
            <w:tcW w:w="7014" w:type="dxa"/>
            <w:vAlign w:val="center"/>
          </w:tcPr>
          <w:p w14:paraId="5C27F759">
            <w:pPr>
              <w:jc w:val="center"/>
              <w:rPr>
                <w:rFonts w:ascii="宋体" w:hAnsi="宋体" w:cs="宋体"/>
                <w:color w:val="auto"/>
                <w:sz w:val="24"/>
                <w:highlight w:val="none"/>
              </w:rPr>
            </w:pPr>
            <w:r>
              <w:rPr>
                <w:rFonts w:hint="eastAsia" w:ascii="宋体" w:hAnsi="宋体" w:cs="宋体"/>
                <w:color w:val="auto"/>
                <w:sz w:val="24"/>
                <w:highlight w:val="none"/>
              </w:rPr>
              <w:t>说明与要求</w:t>
            </w:r>
          </w:p>
        </w:tc>
      </w:tr>
      <w:tr w14:paraId="770EF6D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894" w:type="dxa"/>
            <w:vAlign w:val="center"/>
          </w:tcPr>
          <w:p w14:paraId="562E157A">
            <w:pPr>
              <w:autoSpaceDE w:val="0"/>
              <w:autoSpaceDN w:val="0"/>
              <w:adjustRightInd w:val="0"/>
              <w:snapToGrid w:val="0"/>
              <w:jc w:val="center"/>
              <w:rPr>
                <w:rFonts w:ascii="宋体" w:hAnsi="宋体" w:cs="宋体"/>
                <w:color w:val="auto"/>
                <w:sz w:val="24"/>
                <w:highlight w:val="none"/>
                <w:lang w:val="zh-CN"/>
              </w:rPr>
            </w:pPr>
            <w:r>
              <w:rPr>
                <w:rFonts w:hint="eastAsia" w:ascii="宋体" w:hAnsi="宋体" w:cs="宋体"/>
                <w:color w:val="auto"/>
                <w:sz w:val="24"/>
                <w:highlight w:val="none"/>
                <w:lang w:val="zh-CN"/>
              </w:rPr>
              <w:t>1</w:t>
            </w:r>
          </w:p>
        </w:tc>
        <w:tc>
          <w:tcPr>
            <w:tcW w:w="1814" w:type="dxa"/>
            <w:vAlign w:val="center"/>
          </w:tcPr>
          <w:p w14:paraId="17413B99">
            <w:pPr>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7014" w:type="dxa"/>
            <w:vAlign w:val="center"/>
          </w:tcPr>
          <w:p w14:paraId="1FC4CAC7">
            <w:pP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金华市博物馆邵飘萍旧居展陈提升项目</w:t>
            </w:r>
          </w:p>
        </w:tc>
      </w:tr>
      <w:tr w14:paraId="5729253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894" w:type="dxa"/>
            <w:vAlign w:val="center"/>
          </w:tcPr>
          <w:p w14:paraId="60BAEE67">
            <w:pPr>
              <w:autoSpaceDE w:val="0"/>
              <w:autoSpaceDN w:val="0"/>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2</w:t>
            </w:r>
          </w:p>
        </w:tc>
        <w:tc>
          <w:tcPr>
            <w:tcW w:w="1814" w:type="dxa"/>
            <w:vAlign w:val="center"/>
          </w:tcPr>
          <w:p w14:paraId="47896400">
            <w:pPr>
              <w:jc w:val="center"/>
              <w:rPr>
                <w:rFonts w:ascii="宋体" w:hAnsi="宋体" w:cs="宋体"/>
                <w:color w:val="auto"/>
                <w:sz w:val="24"/>
                <w:highlight w:val="none"/>
              </w:rPr>
            </w:pPr>
            <w:r>
              <w:rPr>
                <w:rFonts w:hint="eastAsia" w:ascii="宋体" w:hAnsi="宋体" w:cs="宋体"/>
                <w:color w:val="auto"/>
                <w:sz w:val="24"/>
                <w:highlight w:val="none"/>
              </w:rPr>
              <w:t>招标内容</w:t>
            </w:r>
          </w:p>
        </w:tc>
        <w:tc>
          <w:tcPr>
            <w:tcW w:w="7014" w:type="dxa"/>
            <w:vAlign w:val="center"/>
          </w:tcPr>
          <w:p w14:paraId="2C82B48D">
            <w:pPr>
              <w:rPr>
                <w:rFonts w:ascii="宋体" w:hAnsi="宋体" w:cs="宋体"/>
                <w:color w:val="auto"/>
                <w:sz w:val="24"/>
                <w:highlight w:val="none"/>
              </w:rPr>
            </w:pPr>
            <w:r>
              <w:rPr>
                <w:rFonts w:hint="eastAsia" w:ascii="宋体" w:hAnsi="宋体" w:cs="宋体"/>
                <w:color w:val="auto"/>
                <w:sz w:val="24"/>
                <w:highlight w:val="none"/>
              </w:rPr>
              <w:t>见第二章招标项目需求</w:t>
            </w:r>
          </w:p>
        </w:tc>
      </w:tr>
      <w:tr w14:paraId="4506E93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894" w:type="dxa"/>
            <w:vAlign w:val="center"/>
          </w:tcPr>
          <w:p w14:paraId="232249F7">
            <w:pPr>
              <w:autoSpaceDE w:val="0"/>
              <w:autoSpaceDN w:val="0"/>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3</w:t>
            </w:r>
          </w:p>
        </w:tc>
        <w:tc>
          <w:tcPr>
            <w:tcW w:w="1814" w:type="dxa"/>
            <w:vAlign w:val="center"/>
          </w:tcPr>
          <w:p w14:paraId="622CD03F">
            <w:pPr>
              <w:jc w:val="center"/>
              <w:rPr>
                <w:rFonts w:ascii="宋体" w:hAnsi="宋体" w:cs="宋体"/>
                <w:color w:val="auto"/>
                <w:sz w:val="24"/>
                <w:highlight w:val="none"/>
              </w:rPr>
            </w:pPr>
            <w:r>
              <w:rPr>
                <w:rFonts w:hint="eastAsia" w:ascii="宋体" w:hAnsi="宋体" w:cs="宋体"/>
                <w:color w:val="auto"/>
                <w:sz w:val="24"/>
                <w:highlight w:val="none"/>
              </w:rPr>
              <w:t>资金来源及采购计划书号</w:t>
            </w:r>
          </w:p>
        </w:tc>
        <w:tc>
          <w:tcPr>
            <w:tcW w:w="7014" w:type="dxa"/>
            <w:vAlign w:val="center"/>
          </w:tcPr>
          <w:p w14:paraId="25148715">
            <w:pPr>
              <w:pStyle w:val="12"/>
              <w:ind w:left="0" w:leftChars="0" w:firstLine="0" w:firstLineChars="0"/>
              <w:rPr>
                <w:rFonts w:ascii="宋体" w:hAnsi="宋体" w:cs="宋体"/>
                <w:color w:val="auto"/>
                <w:sz w:val="24"/>
                <w:highlight w:val="none"/>
              </w:rPr>
            </w:pPr>
            <w:r>
              <w:rPr>
                <w:rFonts w:hint="eastAsia" w:ascii="宋体" w:hAnsi="宋体" w:cs="宋体"/>
                <w:color w:val="auto"/>
                <w:sz w:val="24"/>
                <w:highlight w:val="none"/>
              </w:rPr>
              <w:t>财政性资金</w:t>
            </w:r>
          </w:p>
          <w:p w14:paraId="307F0D6F">
            <w:pPr>
              <w:pStyle w:val="12"/>
              <w:ind w:left="0" w:leftChars="0" w:firstLine="0" w:firstLineChars="0"/>
              <w:rPr>
                <w:rFonts w:ascii="宋体" w:hAnsi="宋体" w:cs="宋体"/>
                <w:color w:val="auto"/>
                <w:sz w:val="24"/>
                <w:highlight w:val="none"/>
              </w:rPr>
            </w:pPr>
            <w:r>
              <w:rPr>
                <w:rFonts w:hint="eastAsia" w:ascii="宋体" w:hAnsi="宋体" w:cs="宋体"/>
                <w:color w:val="auto"/>
                <w:sz w:val="24"/>
                <w:highlight w:val="none"/>
              </w:rPr>
              <w:t>金华市本级政府采购计划书</w:t>
            </w:r>
            <w:r>
              <w:rPr>
                <w:rFonts w:ascii="宋体" w:hAnsi="宋体" w:eastAsia="宋体" w:cs="宋体"/>
                <w:color w:val="auto"/>
                <w:sz w:val="24"/>
                <w:szCs w:val="24"/>
                <w:highlight w:val="none"/>
              </w:rPr>
              <w:t>临[2024]3361号</w:t>
            </w:r>
          </w:p>
        </w:tc>
      </w:tr>
      <w:tr w14:paraId="7FB609F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894" w:type="dxa"/>
            <w:vAlign w:val="center"/>
          </w:tcPr>
          <w:p w14:paraId="0093C078">
            <w:pPr>
              <w:autoSpaceDE w:val="0"/>
              <w:autoSpaceDN w:val="0"/>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4</w:t>
            </w:r>
          </w:p>
        </w:tc>
        <w:tc>
          <w:tcPr>
            <w:tcW w:w="1814" w:type="dxa"/>
            <w:vAlign w:val="center"/>
          </w:tcPr>
          <w:p w14:paraId="016A0E30">
            <w:pPr>
              <w:adjustRightInd w:val="0"/>
              <w:snapToGrid w:val="0"/>
              <w:spacing w:line="276" w:lineRule="auto"/>
              <w:jc w:val="center"/>
              <w:rPr>
                <w:rFonts w:ascii="宋体" w:hAnsi="宋体" w:cs="宋体"/>
                <w:color w:val="auto"/>
                <w:sz w:val="24"/>
                <w:highlight w:val="none"/>
              </w:rPr>
            </w:pPr>
            <w:r>
              <w:rPr>
                <w:rFonts w:hint="eastAsia" w:ascii="宋体" w:hAnsi="宋体" w:cs="宋体"/>
                <w:color w:val="auto"/>
                <w:sz w:val="24"/>
                <w:highlight w:val="none"/>
              </w:rPr>
              <w:t>政策扶持</w:t>
            </w:r>
          </w:p>
        </w:tc>
        <w:tc>
          <w:tcPr>
            <w:tcW w:w="7014" w:type="dxa"/>
            <w:vAlign w:val="center"/>
          </w:tcPr>
          <w:p w14:paraId="6F0F3FC9">
            <w:pPr>
              <w:pStyle w:val="12"/>
              <w:keepNext w:val="0"/>
              <w:keepLines w:val="0"/>
              <w:pageBreakBefore w:val="0"/>
              <w:widowControl w:val="0"/>
              <w:kinsoku/>
              <w:wordWrap/>
              <w:overflowPunct/>
              <w:topLinePunct w:val="0"/>
              <w:autoSpaceDE/>
              <w:autoSpaceDN/>
              <w:bidi w:val="0"/>
              <w:adjustRightInd/>
              <w:snapToGrid/>
              <w:ind w:firstLine="0"/>
              <w:textAlignment w:val="auto"/>
              <w:rPr>
                <w:rFonts w:ascii="宋体" w:hAnsi="宋体" w:cs="宋体"/>
                <w:color w:val="auto"/>
                <w:sz w:val="24"/>
                <w:highlight w:val="none"/>
              </w:rPr>
            </w:pPr>
            <w:r>
              <w:rPr>
                <w:rFonts w:hint="eastAsia" w:ascii="宋体" w:hAnsi="宋体" w:cs="宋体"/>
                <w:color w:val="auto"/>
                <w:sz w:val="24"/>
                <w:highlight w:val="none"/>
              </w:rPr>
              <w:t>1.扶持中小企业（监狱企业、残疾人福利性单位）：</w:t>
            </w:r>
          </w:p>
          <w:p w14:paraId="7A8EBBD6">
            <w:pPr>
              <w:pStyle w:val="12"/>
              <w:keepNext w:val="0"/>
              <w:keepLines w:val="0"/>
              <w:pageBreakBefore w:val="0"/>
              <w:widowControl w:val="0"/>
              <w:kinsoku/>
              <w:wordWrap/>
              <w:overflowPunct/>
              <w:topLinePunct w:val="0"/>
              <w:autoSpaceDE/>
              <w:autoSpaceDN/>
              <w:bidi w:val="0"/>
              <w:adjustRightInd/>
              <w:snapToGrid/>
              <w:ind w:firstLine="0"/>
              <w:textAlignment w:val="auto"/>
              <w:rPr>
                <w:rFonts w:ascii="宋体" w:hAnsi="宋体" w:cs="宋体"/>
                <w:color w:val="auto"/>
                <w:sz w:val="24"/>
                <w:highlight w:val="none"/>
              </w:rPr>
            </w:pPr>
            <w:r>
              <w:rPr>
                <w:rFonts w:hint="eastAsia" w:ascii="宋体" w:hAnsi="宋体" w:cs="宋体"/>
                <w:color w:val="auto"/>
                <w:sz w:val="24"/>
                <w:highlight w:val="none"/>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14:paraId="308A6D1F">
            <w:pPr>
              <w:pStyle w:val="12"/>
              <w:keepNext w:val="0"/>
              <w:keepLines w:val="0"/>
              <w:pageBreakBefore w:val="0"/>
              <w:widowControl w:val="0"/>
              <w:kinsoku/>
              <w:wordWrap/>
              <w:overflowPunct/>
              <w:topLinePunct w:val="0"/>
              <w:autoSpaceDE/>
              <w:autoSpaceDN/>
              <w:bidi w:val="0"/>
              <w:adjustRightInd/>
              <w:snapToGrid/>
              <w:ind w:firstLine="0"/>
              <w:textAlignment w:val="auto"/>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（1）项目预算：</w:t>
            </w:r>
            <w:r>
              <w:rPr>
                <w:rFonts w:hint="eastAsia" w:ascii="宋体" w:hAnsi="宋体" w:cs="宋体"/>
                <w:color w:val="auto"/>
                <w:sz w:val="24"/>
                <w:highlight w:val="none"/>
                <w:u w:val="single"/>
                <w:lang w:eastAsia="zh-CN"/>
              </w:rPr>
              <w:t>907100</w:t>
            </w:r>
            <w:r>
              <w:rPr>
                <w:rFonts w:hint="eastAsia" w:ascii="宋体" w:hAnsi="宋体" w:cs="宋体"/>
                <w:color w:val="auto"/>
                <w:sz w:val="24"/>
                <w:highlight w:val="none"/>
                <w:u w:val="single"/>
              </w:rPr>
              <w:t>元</w:t>
            </w:r>
          </w:p>
          <w:p w14:paraId="5BB7B397">
            <w:pPr>
              <w:pStyle w:val="12"/>
              <w:keepNext w:val="0"/>
              <w:keepLines w:val="0"/>
              <w:pageBreakBefore w:val="0"/>
              <w:widowControl w:val="0"/>
              <w:kinsoku/>
              <w:wordWrap/>
              <w:overflowPunct/>
              <w:topLinePunct w:val="0"/>
              <w:autoSpaceDE/>
              <w:autoSpaceDN/>
              <w:bidi w:val="0"/>
              <w:adjustRightInd/>
              <w:snapToGrid/>
              <w:ind w:firstLine="0"/>
              <w:textAlignment w:val="auto"/>
              <w:rPr>
                <w:rFonts w:ascii="宋体" w:hAnsi="宋体" w:cs="宋体"/>
                <w:color w:val="auto"/>
                <w:sz w:val="24"/>
                <w:highlight w:val="none"/>
              </w:rPr>
            </w:pPr>
            <w:r>
              <w:rPr>
                <w:rFonts w:hint="eastAsia" w:ascii="宋体" w:hAnsi="宋体" w:cs="宋体"/>
                <w:color w:val="auto"/>
                <w:sz w:val="24"/>
                <w:highlight w:val="none"/>
              </w:rPr>
              <w:t>（2）项目属性：</w:t>
            </w:r>
            <w:r>
              <w:rPr>
                <w:rFonts w:hint="eastAsia" w:ascii="宋体" w:hAnsi="宋体" w:cs="宋体"/>
                <w:b/>
                <w:bCs/>
                <w:color w:val="auto"/>
                <w:sz w:val="24"/>
                <w:highlight w:val="none"/>
                <w:u w:val="single"/>
              </w:rPr>
              <w:t>②服务类</w:t>
            </w:r>
            <w:r>
              <w:rPr>
                <w:rFonts w:hint="eastAsia" w:ascii="宋体" w:hAnsi="宋体" w:cs="宋体"/>
                <w:color w:val="auto"/>
                <w:sz w:val="24"/>
                <w:highlight w:val="none"/>
              </w:rPr>
              <w:t>（①货物类/②服务类/③工程类）</w:t>
            </w:r>
          </w:p>
          <w:p w14:paraId="394BF179">
            <w:pPr>
              <w:pStyle w:val="12"/>
              <w:keepNext w:val="0"/>
              <w:keepLines w:val="0"/>
              <w:pageBreakBefore w:val="0"/>
              <w:widowControl w:val="0"/>
              <w:kinsoku/>
              <w:wordWrap/>
              <w:overflowPunct/>
              <w:topLinePunct w:val="0"/>
              <w:autoSpaceDE/>
              <w:autoSpaceDN/>
              <w:bidi w:val="0"/>
              <w:adjustRightInd/>
              <w:snapToGrid/>
              <w:ind w:firstLine="0"/>
              <w:textAlignment w:val="auto"/>
              <w:rPr>
                <w:rFonts w:ascii="宋体" w:hAnsi="宋体" w:cs="宋体"/>
                <w:color w:val="auto"/>
                <w:sz w:val="24"/>
                <w:highlight w:val="none"/>
                <w:u w:val="single"/>
              </w:rPr>
            </w:pPr>
            <w:r>
              <w:rPr>
                <w:rFonts w:hint="eastAsia" w:ascii="宋体" w:hAnsi="宋体" w:cs="宋体"/>
                <w:color w:val="auto"/>
                <w:sz w:val="24"/>
                <w:highlight w:val="none"/>
              </w:rPr>
              <w:t>（3）项目对应的中小企业划分标准所属行业：其他未列明行业【</w:t>
            </w:r>
            <w:r>
              <w:rPr>
                <w:rFonts w:hint="eastAsia" w:ascii="宋体" w:hAnsi="宋体" w:cs="宋体"/>
                <w:color w:val="auto"/>
                <w:kern w:val="0"/>
                <w:sz w:val="24"/>
                <w:highlight w:val="none"/>
              </w:rPr>
              <w:t>从业人员300人以下的为中小微型企业。其中，从业人员100人及以上的为中型企业；从业人员10人及以上的为小型企业；从业人员10人以下的为微型企业</w:t>
            </w:r>
            <w:r>
              <w:rPr>
                <w:rFonts w:hint="eastAsia" w:ascii="宋体" w:hAnsi="宋体" w:cs="宋体"/>
                <w:color w:val="auto"/>
                <w:sz w:val="24"/>
                <w:highlight w:val="none"/>
              </w:rPr>
              <w:t>】。</w:t>
            </w:r>
          </w:p>
          <w:p w14:paraId="3F28E886">
            <w:pPr>
              <w:pStyle w:val="12"/>
              <w:keepNext w:val="0"/>
              <w:keepLines w:val="0"/>
              <w:pageBreakBefore w:val="0"/>
              <w:widowControl w:val="0"/>
              <w:kinsoku/>
              <w:wordWrap/>
              <w:overflowPunct/>
              <w:topLinePunct w:val="0"/>
              <w:autoSpaceDE/>
              <w:autoSpaceDN/>
              <w:bidi w:val="0"/>
              <w:adjustRightInd/>
              <w:snapToGrid/>
              <w:ind w:firstLine="0"/>
              <w:textAlignment w:val="auto"/>
              <w:rPr>
                <w:rFonts w:ascii="宋体" w:hAnsi="宋体" w:cs="宋体"/>
                <w:color w:val="auto"/>
                <w:sz w:val="24"/>
                <w:highlight w:val="none"/>
              </w:rPr>
            </w:pPr>
            <w:r>
              <w:rPr>
                <w:rFonts w:hint="eastAsia" w:ascii="宋体" w:hAnsi="宋体" w:cs="宋体"/>
                <w:color w:val="auto"/>
                <w:sz w:val="24"/>
                <w:highlight w:val="none"/>
              </w:rPr>
              <w:t>（具体根据《中小企业划型标准规定》执行。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14:paraId="1309E3E9">
            <w:pPr>
              <w:pStyle w:val="12"/>
              <w:keepNext w:val="0"/>
              <w:keepLines w:val="0"/>
              <w:pageBreakBefore w:val="0"/>
              <w:widowControl w:val="0"/>
              <w:kinsoku/>
              <w:wordWrap/>
              <w:overflowPunct/>
              <w:topLinePunct w:val="0"/>
              <w:autoSpaceDE/>
              <w:autoSpaceDN/>
              <w:bidi w:val="0"/>
              <w:adjustRightInd/>
              <w:snapToGrid/>
              <w:ind w:firstLine="0"/>
              <w:textAlignment w:val="auto"/>
              <w:rPr>
                <w:rFonts w:ascii="宋体" w:hAnsi="宋体" w:cs="宋体"/>
                <w:color w:val="auto"/>
                <w:sz w:val="24"/>
                <w:highlight w:val="none"/>
              </w:rPr>
            </w:pPr>
            <w:r>
              <w:rPr>
                <w:rFonts w:hint="eastAsia" w:ascii="宋体" w:hAnsi="宋体" w:cs="宋体"/>
                <w:color w:val="auto"/>
                <w:sz w:val="24"/>
                <w:highlight w:val="none"/>
              </w:rPr>
              <w:t>（4）本项目</w:t>
            </w:r>
            <w:r>
              <w:rPr>
                <w:rFonts w:hint="eastAsia" w:ascii="宋体" w:hAnsi="宋体" w:cs="宋体"/>
                <w:b/>
                <w:bCs/>
                <w:color w:val="auto"/>
                <w:sz w:val="24"/>
                <w:highlight w:val="none"/>
                <w:u w:val="single"/>
              </w:rPr>
              <w:t xml:space="preserve"> 是</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（是/否）属于预留份额专门面向中小企业采购的项目。</w:t>
            </w:r>
          </w:p>
          <w:p w14:paraId="6601B009">
            <w:pPr>
              <w:pStyle w:val="12"/>
              <w:keepNext w:val="0"/>
              <w:keepLines w:val="0"/>
              <w:pageBreakBefore w:val="0"/>
              <w:widowControl w:val="0"/>
              <w:kinsoku/>
              <w:wordWrap/>
              <w:overflowPunct/>
              <w:topLinePunct w:val="0"/>
              <w:autoSpaceDE/>
              <w:autoSpaceDN/>
              <w:bidi w:val="0"/>
              <w:adjustRightInd/>
              <w:snapToGrid/>
              <w:ind w:firstLine="0"/>
              <w:textAlignment w:val="auto"/>
              <w:rPr>
                <w:rFonts w:ascii="宋体" w:hAnsi="宋体" w:cs="宋体"/>
                <w:color w:val="auto"/>
                <w:sz w:val="24"/>
                <w:highlight w:val="none"/>
              </w:rPr>
            </w:pPr>
            <w:r>
              <w:rPr>
                <w:rFonts w:hint="eastAsia" w:ascii="宋体" w:hAnsi="宋体" w:cs="宋体"/>
                <w:color w:val="auto"/>
                <w:sz w:val="24"/>
                <w:highlight w:val="none"/>
              </w:rPr>
              <w:t>（5）上述第4项中确定为“是”的采购项目，预留份额通过</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rPr>
              <w:t>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措施进行：</w:t>
            </w:r>
          </w:p>
          <w:p w14:paraId="3353C8CF">
            <w:pPr>
              <w:pStyle w:val="12"/>
              <w:keepNext w:val="0"/>
              <w:keepLines w:val="0"/>
              <w:pageBreakBefore w:val="0"/>
              <w:widowControl w:val="0"/>
              <w:kinsoku/>
              <w:wordWrap/>
              <w:overflowPunct/>
              <w:topLinePunct w:val="0"/>
              <w:autoSpaceDE/>
              <w:autoSpaceDN/>
              <w:bidi w:val="0"/>
              <w:adjustRightInd/>
              <w:snapToGrid/>
              <w:ind w:firstLine="0"/>
              <w:textAlignment w:val="auto"/>
              <w:rPr>
                <w:rFonts w:ascii="宋体" w:hAnsi="宋体" w:cs="宋体"/>
                <w:color w:val="auto"/>
                <w:sz w:val="24"/>
                <w:highlight w:val="none"/>
              </w:rPr>
            </w:pPr>
            <w:r>
              <w:rPr>
                <w:rFonts w:hint="eastAsia" w:ascii="宋体" w:hAnsi="宋体" w:cs="宋体"/>
                <w:color w:val="auto"/>
                <w:sz w:val="24"/>
                <w:highlight w:val="none"/>
              </w:rPr>
              <w:t xml:space="preserve">①将采购项目整体或者设置采购包专门面向中小企业采购； </w:t>
            </w:r>
          </w:p>
          <w:p w14:paraId="39B63DBC">
            <w:pPr>
              <w:pStyle w:val="12"/>
              <w:keepNext w:val="0"/>
              <w:keepLines w:val="0"/>
              <w:pageBreakBefore w:val="0"/>
              <w:widowControl w:val="0"/>
              <w:kinsoku/>
              <w:wordWrap/>
              <w:overflowPunct/>
              <w:topLinePunct w:val="0"/>
              <w:autoSpaceDE/>
              <w:autoSpaceDN/>
              <w:bidi w:val="0"/>
              <w:adjustRightInd/>
              <w:snapToGrid/>
              <w:ind w:firstLine="0"/>
              <w:textAlignment w:val="auto"/>
              <w:rPr>
                <w:rFonts w:ascii="宋体" w:hAnsi="宋体" w:cs="宋体"/>
                <w:color w:val="auto"/>
                <w:sz w:val="24"/>
                <w:highlight w:val="none"/>
              </w:rPr>
            </w:pPr>
            <w:r>
              <w:rPr>
                <w:rFonts w:hint="eastAsia" w:ascii="宋体" w:hAnsi="宋体" w:cs="宋体"/>
                <w:color w:val="auto"/>
                <w:sz w:val="24"/>
                <w:highlight w:val="none"/>
              </w:rPr>
              <w:t>②要求供应商以联合体形式参加采购活动，且联合体中中小企业承担的部分达到</w:t>
            </w:r>
            <w:r>
              <w:rPr>
                <w:rFonts w:hint="eastAsia" w:ascii="宋体" w:hAnsi="宋体" w:cs="宋体"/>
                <w:color w:val="auto"/>
                <w:sz w:val="24"/>
                <w:highlight w:val="none"/>
                <w:u w:val="single"/>
              </w:rPr>
              <w:t> / </w:t>
            </w:r>
            <w:r>
              <w:rPr>
                <w:rFonts w:hint="eastAsia" w:ascii="宋体" w:hAnsi="宋体" w:cs="宋体"/>
                <w:color w:val="auto"/>
                <w:sz w:val="24"/>
                <w:highlight w:val="none"/>
              </w:rPr>
              <w:t xml:space="preserve">（比例）； </w:t>
            </w:r>
          </w:p>
          <w:p w14:paraId="128BB273">
            <w:pPr>
              <w:pStyle w:val="12"/>
              <w:keepNext w:val="0"/>
              <w:keepLines w:val="0"/>
              <w:pageBreakBefore w:val="0"/>
              <w:widowControl w:val="0"/>
              <w:kinsoku/>
              <w:wordWrap/>
              <w:overflowPunct/>
              <w:topLinePunct w:val="0"/>
              <w:autoSpaceDE/>
              <w:autoSpaceDN/>
              <w:bidi w:val="0"/>
              <w:adjustRightInd/>
              <w:snapToGrid/>
              <w:ind w:firstLine="0"/>
              <w:textAlignment w:val="auto"/>
              <w:rPr>
                <w:rFonts w:ascii="宋体" w:hAnsi="宋体" w:cs="宋体"/>
                <w:color w:val="auto"/>
                <w:sz w:val="24"/>
                <w:highlight w:val="none"/>
              </w:rPr>
            </w:pPr>
            <w:r>
              <w:rPr>
                <w:rFonts w:hint="eastAsia" w:ascii="宋体" w:hAnsi="宋体" w:cs="宋体"/>
                <w:color w:val="auto"/>
                <w:sz w:val="24"/>
                <w:highlight w:val="none"/>
              </w:rPr>
              <w:t>③要求获得采购合同的供应商将采购项目中的</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（比例）分包给一家或者多家中小企业。</w:t>
            </w:r>
          </w:p>
          <w:p w14:paraId="75FAD4E2">
            <w:pPr>
              <w:pStyle w:val="12"/>
              <w:keepNext w:val="0"/>
              <w:keepLines w:val="0"/>
              <w:pageBreakBefore w:val="0"/>
              <w:widowControl w:val="0"/>
              <w:kinsoku/>
              <w:wordWrap/>
              <w:overflowPunct/>
              <w:topLinePunct w:val="0"/>
              <w:autoSpaceDE/>
              <w:autoSpaceDN/>
              <w:bidi w:val="0"/>
              <w:adjustRightInd/>
              <w:snapToGrid/>
              <w:ind w:firstLine="0"/>
              <w:textAlignment w:val="auto"/>
              <w:rPr>
                <w:rFonts w:ascii="宋体" w:hAnsi="宋体" w:cs="宋体"/>
                <w:color w:val="auto"/>
                <w:sz w:val="24"/>
                <w:highlight w:val="none"/>
              </w:rPr>
            </w:pPr>
            <w:r>
              <w:rPr>
                <w:rFonts w:hint="eastAsia" w:ascii="宋体" w:hAnsi="宋体" w:cs="宋体"/>
                <w:color w:val="auto"/>
                <w:sz w:val="24"/>
                <w:highlight w:val="none"/>
              </w:rPr>
              <w:t>（6）对于经主管预算单位统筹后未预留份额专门面向中小企业采购的采购项目，以及预留份额项目中的非预留部分采购包，对小微企业报价给予</w:t>
            </w:r>
            <w:r>
              <w:rPr>
                <w:rFonts w:hint="eastAsia" w:ascii="宋体" w:hAnsi="宋体" w:cs="宋体"/>
                <w:b/>
                <w:bCs/>
                <w:color w:val="auto"/>
                <w:sz w:val="24"/>
                <w:highlight w:val="none"/>
                <w:u w:val="single"/>
              </w:rPr>
              <w:t>10</w:t>
            </w:r>
            <w:r>
              <w:rPr>
                <w:rFonts w:hint="eastAsia" w:ascii="宋体" w:hAnsi="宋体" w:cs="宋体"/>
                <w:b/>
                <w:bCs/>
                <w:color w:val="auto"/>
                <w:sz w:val="24"/>
                <w:highlight w:val="none"/>
              </w:rPr>
              <w:t>%</w:t>
            </w:r>
            <w:r>
              <w:rPr>
                <w:rFonts w:hint="eastAsia" w:ascii="宋体" w:hAnsi="宋体" w:cs="宋体"/>
                <w:color w:val="auto"/>
                <w:sz w:val="24"/>
                <w:highlight w:val="none"/>
              </w:rPr>
              <w:t xml:space="preserve">的扣除，用扣除后的价格参加评审。 </w:t>
            </w:r>
          </w:p>
          <w:p w14:paraId="4BE1641F">
            <w:pPr>
              <w:pStyle w:val="12"/>
              <w:keepNext w:val="0"/>
              <w:keepLines w:val="0"/>
              <w:pageBreakBefore w:val="0"/>
              <w:widowControl w:val="0"/>
              <w:kinsoku/>
              <w:wordWrap/>
              <w:overflowPunct/>
              <w:topLinePunct w:val="0"/>
              <w:autoSpaceDE/>
              <w:autoSpaceDN/>
              <w:bidi w:val="0"/>
              <w:adjustRightInd/>
              <w:snapToGrid/>
              <w:ind w:firstLine="0"/>
              <w:textAlignment w:val="auto"/>
              <w:rPr>
                <w:rFonts w:ascii="宋体" w:hAnsi="宋体" w:cs="宋体"/>
                <w:color w:val="auto"/>
                <w:sz w:val="24"/>
                <w:highlight w:val="none"/>
              </w:rPr>
            </w:pPr>
            <w:r>
              <w:rPr>
                <w:rFonts w:hint="eastAsia" w:ascii="宋体" w:hAnsi="宋体" w:cs="宋体"/>
                <w:color w:val="auto"/>
                <w:sz w:val="24"/>
                <w:highlight w:val="none"/>
              </w:rPr>
              <w:t>对于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ascii="宋体" w:hAnsi="宋体" w:cs="宋体"/>
                <w:b/>
                <w:bCs/>
                <w:color w:val="auto"/>
                <w:sz w:val="24"/>
                <w:highlight w:val="none"/>
                <w:u w:val="single"/>
              </w:rPr>
              <w:t>4</w:t>
            </w:r>
            <w:r>
              <w:rPr>
                <w:rFonts w:hint="eastAsia" w:ascii="宋体" w:hAnsi="宋体" w:cs="宋体"/>
                <w:b/>
                <w:bCs/>
                <w:color w:val="auto"/>
                <w:sz w:val="24"/>
                <w:highlight w:val="none"/>
              </w:rPr>
              <w:t>%</w:t>
            </w:r>
            <w:r>
              <w:rPr>
                <w:rFonts w:hint="eastAsia" w:ascii="宋体" w:hAnsi="宋体" w:cs="宋体"/>
                <w:color w:val="auto"/>
                <w:sz w:val="24"/>
                <w:highlight w:val="none"/>
              </w:rPr>
              <w:t>的扣除，用扣除后的价格参加评审。</w:t>
            </w:r>
          </w:p>
          <w:p w14:paraId="4C823ECB">
            <w:pPr>
              <w:pStyle w:val="12"/>
              <w:keepNext w:val="0"/>
              <w:keepLines w:val="0"/>
              <w:pageBreakBefore w:val="0"/>
              <w:widowControl w:val="0"/>
              <w:kinsoku/>
              <w:wordWrap/>
              <w:overflowPunct/>
              <w:topLinePunct w:val="0"/>
              <w:autoSpaceDE/>
              <w:autoSpaceDN/>
              <w:bidi w:val="0"/>
              <w:adjustRightInd/>
              <w:snapToGrid/>
              <w:ind w:firstLine="0"/>
              <w:textAlignment w:val="auto"/>
              <w:rPr>
                <w:rFonts w:ascii="宋体" w:hAnsi="宋体" w:cs="宋体"/>
                <w:b/>
                <w:bCs/>
                <w:color w:val="auto"/>
                <w:sz w:val="24"/>
                <w:highlight w:val="none"/>
              </w:rPr>
            </w:pPr>
            <w:r>
              <w:rPr>
                <w:rFonts w:hint="eastAsia" w:ascii="宋体" w:hAnsi="宋体" w:cs="宋体"/>
                <w:b/>
                <w:bCs/>
                <w:color w:val="auto"/>
                <w:sz w:val="24"/>
                <w:highlight w:val="none"/>
              </w:rPr>
              <w:t>专门面向中小企业采购的项目或者标项，不再执行价格评审优惠的扶持政策。</w:t>
            </w:r>
          </w:p>
          <w:p w14:paraId="1BFE0C93">
            <w:pPr>
              <w:pStyle w:val="12"/>
              <w:keepNext w:val="0"/>
              <w:keepLines w:val="0"/>
              <w:pageBreakBefore w:val="0"/>
              <w:widowControl w:val="0"/>
              <w:kinsoku/>
              <w:wordWrap/>
              <w:overflowPunct/>
              <w:topLinePunct w:val="0"/>
              <w:autoSpaceDE/>
              <w:autoSpaceDN/>
              <w:bidi w:val="0"/>
              <w:adjustRightInd/>
              <w:snapToGrid/>
              <w:ind w:firstLine="0"/>
              <w:textAlignment w:val="auto"/>
              <w:rPr>
                <w:rFonts w:ascii="宋体" w:hAnsi="宋体" w:cs="宋体"/>
                <w:color w:val="auto"/>
                <w:sz w:val="24"/>
                <w:highlight w:val="none"/>
              </w:rPr>
            </w:pPr>
            <w:r>
              <w:rPr>
                <w:rFonts w:hint="eastAsia" w:ascii="宋体" w:hAnsi="宋体" w:cs="宋体"/>
                <w:color w:val="auto"/>
                <w:sz w:val="24"/>
                <w:highlight w:val="none"/>
              </w:rPr>
              <w:t>2.节能产品、环境标志产品的强制采购政策</w:t>
            </w:r>
          </w:p>
          <w:p w14:paraId="0D031D79">
            <w:pPr>
              <w:pStyle w:val="12"/>
              <w:keepNext w:val="0"/>
              <w:keepLines w:val="0"/>
              <w:pageBreakBefore w:val="0"/>
              <w:widowControl w:val="0"/>
              <w:kinsoku/>
              <w:wordWrap/>
              <w:overflowPunct/>
              <w:topLinePunct w:val="0"/>
              <w:autoSpaceDE/>
              <w:autoSpaceDN/>
              <w:bidi w:val="0"/>
              <w:adjustRightInd/>
              <w:snapToGrid/>
              <w:ind w:firstLine="0"/>
              <w:textAlignment w:val="auto"/>
              <w:rPr>
                <w:rFonts w:ascii="宋体" w:hAnsi="宋体" w:cs="宋体"/>
                <w:color w:val="auto"/>
                <w:sz w:val="24"/>
                <w:highlight w:val="none"/>
              </w:rPr>
            </w:pPr>
            <w:r>
              <w:rPr>
                <w:rFonts w:hint="eastAsia" w:ascii="宋体" w:hAnsi="宋体" w:cs="宋体"/>
                <w:color w:val="auto"/>
                <w:sz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人提供的产品应具有国家确定的认证机构出具的、处于有效期之内的节能产品、环境标志产品认证证书，并在投标文件中提供该产品节能产品、环境标志产品认证证书，否则无效。（注：本项目执行最新政府采购节能产品、环境标志产品品目清单。）</w:t>
            </w:r>
          </w:p>
          <w:p w14:paraId="51B3AEE3">
            <w:pPr>
              <w:pStyle w:val="12"/>
              <w:keepNext w:val="0"/>
              <w:keepLines w:val="0"/>
              <w:pageBreakBefore w:val="0"/>
              <w:widowControl w:val="0"/>
              <w:kinsoku/>
              <w:wordWrap/>
              <w:overflowPunct/>
              <w:topLinePunct w:val="0"/>
              <w:autoSpaceDE/>
              <w:autoSpaceDN/>
              <w:bidi w:val="0"/>
              <w:adjustRightInd/>
              <w:snapToGrid/>
              <w:ind w:firstLine="0"/>
              <w:textAlignment w:val="auto"/>
              <w:rPr>
                <w:rFonts w:ascii="宋体" w:hAnsi="宋体" w:cs="宋体"/>
                <w:color w:val="auto"/>
                <w:sz w:val="24"/>
                <w:highlight w:val="none"/>
              </w:rPr>
            </w:pPr>
            <w:r>
              <w:rPr>
                <w:rFonts w:hint="eastAsia" w:ascii="宋体" w:hAnsi="宋体" w:cs="宋体"/>
                <w:color w:val="auto"/>
                <w:sz w:val="24"/>
                <w:highlight w:val="none"/>
              </w:rPr>
              <w:t>3.节能产品、环境标志产品的优先采购政策</w:t>
            </w:r>
          </w:p>
          <w:p w14:paraId="6E86F8E3">
            <w:pPr>
              <w:pStyle w:val="12"/>
              <w:keepNext w:val="0"/>
              <w:keepLines w:val="0"/>
              <w:pageBreakBefore w:val="0"/>
              <w:widowControl w:val="0"/>
              <w:kinsoku/>
              <w:wordWrap/>
              <w:overflowPunct/>
              <w:topLinePunct w:val="0"/>
              <w:autoSpaceDE/>
              <w:autoSpaceDN/>
              <w:bidi w:val="0"/>
              <w:adjustRightInd/>
              <w:snapToGrid/>
              <w:ind w:firstLine="0"/>
              <w:textAlignment w:val="auto"/>
              <w:rPr>
                <w:rFonts w:ascii="宋体" w:hAnsi="宋体" w:cs="宋体"/>
                <w:color w:val="auto"/>
                <w:sz w:val="24"/>
                <w:highlight w:val="none"/>
              </w:rPr>
            </w:pPr>
            <w:r>
              <w:rPr>
                <w:rFonts w:hint="eastAsia" w:ascii="宋体" w:hAnsi="宋体" w:cs="宋体"/>
                <w:color w:val="auto"/>
                <w:sz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投标人提供的产品应具有国家确定的认证机构出具的、处于有效期之内的节能产品、环境标志产品认证证书，并在投标文件中提供该产品节能产品、环境标志产品认证证书（注：本项目执行最新政府采购节能产品、环境标志产品品目清单）。</w:t>
            </w:r>
          </w:p>
        </w:tc>
      </w:tr>
      <w:tr w14:paraId="273D840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894" w:type="dxa"/>
            <w:vAlign w:val="center"/>
          </w:tcPr>
          <w:p w14:paraId="23E5FCB3">
            <w:pPr>
              <w:autoSpaceDE w:val="0"/>
              <w:autoSpaceDN w:val="0"/>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5</w:t>
            </w:r>
          </w:p>
        </w:tc>
        <w:tc>
          <w:tcPr>
            <w:tcW w:w="1814" w:type="dxa"/>
            <w:vAlign w:val="center"/>
          </w:tcPr>
          <w:p w14:paraId="2450EEFC">
            <w:pPr>
              <w:adjustRightInd w:val="0"/>
              <w:snapToGrid w:val="0"/>
              <w:spacing w:line="276" w:lineRule="auto"/>
              <w:ind w:right="-82"/>
              <w:jc w:val="center"/>
              <w:rPr>
                <w:rFonts w:ascii="宋体" w:hAnsi="宋体" w:cs="宋体"/>
                <w:color w:val="auto"/>
                <w:sz w:val="24"/>
                <w:highlight w:val="none"/>
              </w:rPr>
            </w:pPr>
            <w:r>
              <w:rPr>
                <w:rFonts w:hint="eastAsia" w:ascii="宋体" w:hAnsi="宋体" w:cs="宋体"/>
                <w:color w:val="auto"/>
                <w:sz w:val="24"/>
                <w:highlight w:val="none"/>
              </w:rPr>
              <w:t>节能产品</w:t>
            </w:r>
          </w:p>
        </w:tc>
        <w:tc>
          <w:tcPr>
            <w:tcW w:w="7014" w:type="dxa"/>
            <w:vAlign w:val="center"/>
          </w:tcPr>
          <w:p w14:paraId="0A5FAD98">
            <w:pPr>
              <w:adjustRightInd w:val="0"/>
              <w:snapToGrid w:val="0"/>
              <w:spacing w:line="276" w:lineRule="auto"/>
              <w:ind w:right="-82"/>
              <w:rPr>
                <w:rFonts w:ascii="宋体" w:hAnsi="宋体" w:cs="宋体"/>
                <w:color w:val="auto"/>
                <w:sz w:val="24"/>
                <w:highlight w:val="none"/>
              </w:rPr>
            </w:pPr>
            <w:r>
              <w:rPr>
                <w:rFonts w:hint="eastAsia" w:ascii="宋体" w:hAnsi="宋体" w:cs="宋体"/>
                <w:color w:val="auto"/>
                <w:sz w:val="24"/>
                <w:highlight w:val="none"/>
              </w:rPr>
              <w:t>不适用</w:t>
            </w:r>
          </w:p>
        </w:tc>
      </w:tr>
      <w:tr w14:paraId="406931A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894" w:type="dxa"/>
            <w:vAlign w:val="center"/>
          </w:tcPr>
          <w:p w14:paraId="192B1A66">
            <w:pPr>
              <w:autoSpaceDE w:val="0"/>
              <w:autoSpaceDN w:val="0"/>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6</w:t>
            </w:r>
          </w:p>
        </w:tc>
        <w:tc>
          <w:tcPr>
            <w:tcW w:w="1814" w:type="dxa"/>
            <w:vAlign w:val="center"/>
          </w:tcPr>
          <w:p w14:paraId="7C96E81E">
            <w:pPr>
              <w:adjustRightInd w:val="0"/>
              <w:snapToGrid w:val="0"/>
              <w:spacing w:line="276" w:lineRule="auto"/>
              <w:ind w:right="-82"/>
              <w:jc w:val="center"/>
              <w:rPr>
                <w:rFonts w:ascii="宋体" w:hAnsi="宋体" w:cs="宋体"/>
                <w:color w:val="auto"/>
                <w:sz w:val="24"/>
                <w:highlight w:val="none"/>
              </w:rPr>
            </w:pPr>
            <w:r>
              <w:rPr>
                <w:rFonts w:hint="eastAsia" w:ascii="宋体" w:hAnsi="宋体" w:cs="宋体"/>
                <w:color w:val="auto"/>
                <w:sz w:val="24"/>
                <w:highlight w:val="none"/>
              </w:rPr>
              <w:t>环境标志产品</w:t>
            </w:r>
          </w:p>
        </w:tc>
        <w:tc>
          <w:tcPr>
            <w:tcW w:w="7014" w:type="dxa"/>
            <w:vAlign w:val="center"/>
          </w:tcPr>
          <w:p w14:paraId="3908FFD1">
            <w:pPr>
              <w:adjustRightInd w:val="0"/>
              <w:snapToGrid w:val="0"/>
              <w:spacing w:line="276" w:lineRule="auto"/>
              <w:ind w:right="-82"/>
              <w:rPr>
                <w:rFonts w:ascii="宋体" w:hAnsi="宋体" w:cs="宋体"/>
                <w:color w:val="auto"/>
                <w:sz w:val="24"/>
                <w:highlight w:val="none"/>
              </w:rPr>
            </w:pPr>
            <w:r>
              <w:rPr>
                <w:rFonts w:hint="eastAsia" w:ascii="宋体" w:hAnsi="宋体" w:cs="宋体"/>
                <w:color w:val="auto"/>
                <w:sz w:val="24"/>
                <w:highlight w:val="none"/>
              </w:rPr>
              <w:t>不适用</w:t>
            </w:r>
          </w:p>
        </w:tc>
      </w:tr>
      <w:tr w14:paraId="4B1DE24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46" w:hRule="atLeast"/>
          <w:jc w:val="center"/>
        </w:trPr>
        <w:tc>
          <w:tcPr>
            <w:tcW w:w="894" w:type="dxa"/>
            <w:vAlign w:val="center"/>
          </w:tcPr>
          <w:p w14:paraId="149C5D9A">
            <w:pPr>
              <w:autoSpaceDE w:val="0"/>
              <w:autoSpaceDN w:val="0"/>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7</w:t>
            </w:r>
          </w:p>
        </w:tc>
        <w:tc>
          <w:tcPr>
            <w:tcW w:w="1814" w:type="dxa"/>
            <w:vAlign w:val="center"/>
          </w:tcPr>
          <w:p w14:paraId="01DB9466">
            <w:pPr>
              <w:adjustRightInd w:val="0"/>
              <w:snapToGrid w:val="0"/>
              <w:spacing w:line="276" w:lineRule="auto"/>
              <w:jc w:val="center"/>
              <w:rPr>
                <w:rFonts w:ascii="宋体" w:hAnsi="宋体" w:cs="宋体"/>
                <w:color w:val="auto"/>
                <w:sz w:val="24"/>
                <w:highlight w:val="none"/>
              </w:rPr>
            </w:pPr>
            <w:r>
              <w:rPr>
                <w:rFonts w:hint="eastAsia" w:ascii="宋体" w:hAnsi="宋体" w:cs="宋体"/>
                <w:color w:val="auto"/>
                <w:sz w:val="24"/>
                <w:highlight w:val="none"/>
              </w:rPr>
              <w:t>是否允许采购进口产品</w:t>
            </w:r>
          </w:p>
        </w:tc>
        <w:tc>
          <w:tcPr>
            <w:tcW w:w="7014" w:type="dxa"/>
            <w:vAlign w:val="center"/>
          </w:tcPr>
          <w:p w14:paraId="4A60411B">
            <w:pPr>
              <w:spacing w:line="276" w:lineRule="auto"/>
              <w:rPr>
                <w:rFonts w:ascii="宋体" w:hAnsi="宋体" w:cs="宋体"/>
                <w:color w:val="auto"/>
                <w:sz w:val="24"/>
                <w:highlight w:val="none"/>
              </w:rPr>
            </w:pPr>
            <w:r>
              <w:rPr>
                <w:rFonts w:hint="eastAsia" w:ascii="宋体" w:hAnsi="宋体" w:cs="宋体"/>
                <w:color w:val="auto"/>
                <w:sz w:val="24"/>
                <w:highlight w:val="none"/>
              </w:rPr>
              <w:t>本项目不允许采购进口产品。</w:t>
            </w:r>
          </w:p>
        </w:tc>
      </w:tr>
      <w:tr w14:paraId="4BB5712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894" w:type="dxa"/>
            <w:vAlign w:val="center"/>
          </w:tcPr>
          <w:p w14:paraId="399DCC58">
            <w:pPr>
              <w:autoSpaceDE w:val="0"/>
              <w:autoSpaceDN w:val="0"/>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8</w:t>
            </w:r>
          </w:p>
        </w:tc>
        <w:tc>
          <w:tcPr>
            <w:tcW w:w="1814" w:type="dxa"/>
            <w:vAlign w:val="center"/>
          </w:tcPr>
          <w:p w14:paraId="11837844">
            <w:pPr>
              <w:adjustRightInd w:val="0"/>
              <w:snapToGrid w:val="0"/>
              <w:spacing w:line="276" w:lineRule="auto"/>
              <w:jc w:val="center"/>
              <w:rPr>
                <w:rFonts w:ascii="宋体" w:hAnsi="宋体" w:cs="宋体"/>
                <w:color w:val="auto"/>
                <w:sz w:val="24"/>
                <w:highlight w:val="none"/>
              </w:rPr>
            </w:pPr>
            <w:r>
              <w:rPr>
                <w:rFonts w:hint="eastAsia" w:ascii="宋体" w:hAnsi="宋体" w:cs="宋体"/>
                <w:color w:val="auto"/>
                <w:sz w:val="24"/>
                <w:highlight w:val="none"/>
              </w:rPr>
              <w:t>转包</w:t>
            </w:r>
          </w:p>
        </w:tc>
        <w:tc>
          <w:tcPr>
            <w:tcW w:w="7014" w:type="dxa"/>
            <w:vAlign w:val="center"/>
          </w:tcPr>
          <w:p w14:paraId="14BDBE31">
            <w:pPr>
              <w:snapToGrid w:val="0"/>
              <w:spacing w:line="276" w:lineRule="auto"/>
              <w:rPr>
                <w:rFonts w:ascii="宋体" w:hAnsi="宋体" w:cs="宋体"/>
                <w:color w:val="auto"/>
                <w:sz w:val="24"/>
                <w:highlight w:val="none"/>
              </w:rPr>
            </w:pPr>
            <w:r>
              <w:rPr>
                <w:rFonts w:hint="eastAsia"/>
                <w:color w:val="auto"/>
                <w:sz w:val="24"/>
                <w:highlight w:val="none"/>
              </w:rPr>
              <w:t>不同意转包。</w:t>
            </w:r>
          </w:p>
        </w:tc>
      </w:tr>
      <w:tr w14:paraId="5314C30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441" w:hRule="atLeast"/>
          <w:jc w:val="center"/>
        </w:trPr>
        <w:tc>
          <w:tcPr>
            <w:tcW w:w="894" w:type="dxa"/>
            <w:vAlign w:val="center"/>
          </w:tcPr>
          <w:p w14:paraId="41D4FBB0">
            <w:pPr>
              <w:autoSpaceDE w:val="0"/>
              <w:autoSpaceDN w:val="0"/>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9</w:t>
            </w:r>
          </w:p>
        </w:tc>
        <w:tc>
          <w:tcPr>
            <w:tcW w:w="1814" w:type="dxa"/>
            <w:vAlign w:val="center"/>
          </w:tcPr>
          <w:p w14:paraId="47BF4E06">
            <w:pPr>
              <w:adjustRightInd w:val="0"/>
              <w:snapToGrid w:val="0"/>
              <w:spacing w:line="276" w:lineRule="auto"/>
              <w:jc w:val="center"/>
              <w:rPr>
                <w:rFonts w:ascii="宋体" w:hAnsi="宋体" w:cs="宋体"/>
                <w:color w:val="auto"/>
                <w:sz w:val="24"/>
                <w:highlight w:val="none"/>
              </w:rPr>
            </w:pPr>
            <w:r>
              <w:rPr>
                <w:rFonts w:hint="eastAsia" w:ascii="宋体" w:hAnsi="宋体" w:cs="宋体"/>
                <w:color w:val="auto"/>
                <w:sz w:val="24"/>
                <w:highlight w:val="none"/>
              </w:rPr>
              <w:t>分包</w:t>
            </w:r>
          </w:p>
        </w:tc>
        <w:tc>
          <w:tcPr>
            <w:tcW w:w="7014" w:type="dxa"/>
            <w:vAlign w:val="center"/>
          </w:tcPr>
          <w:p w14:paraId="49CF631A">
            <w:pPr>
              <w:spacing w:line="276" w:lineRule="auto"/>
              <w:rPr>
                <w:rFonts w:ascii="宋体" w:hAnsi="宋体" w:cs="宋体"/>
                <w:color w:val="auto"/>
                <w:sz w:val="24"/>
                <w:highlight w:val="none"/>
              </w:rPr>
            </w:pPr>
            <w:r>
              <w:rPr>
                <w:rFonts w:ascii="宋体" w:hAnsi="宋体" w:cs="宋体"/>
                <w:color w:val="auto"/>
                <w:sz w:val="24"/>
                <w:highlight w:val="none"/>
              </w:rPr>
              <w:t>同意将非主体、非关键性的工作分包。当分包份额占到合同总金额100%时，视为转包。此情况根据《中华人民共和国政府采购法实施条例》（国务院令第658号）文件第七十二条规定，将依照政府采购法第七十七条第一款的规定追究相应法律责任。</w:t>
            </w:r>
          </w:p>
          <w:p w14:paraId="7B85D2A4">
            <w:pPr>
              <w:spacing w:line="276" w:lineRule="auto"/>
              <w:rPr>
                <w:color w:val="auto"/>
                <w:highlight w:val="none"/>
              </w:rPr>
            </w:pPr>
            <w:r>
              <w:rPr>
                <w:rFonts w:ascii="宋体" w:hAnsi="宋体" w:cs="宋体"/>
                <w:color w:val="auto"/>
                <w:sz w:val="24"/>
                <w:highlight w:val="none"/>
              </w:rPr>
              <w:t xml:space="preserve">依据政府采购促进中小企业发展管理办法规定享受扶持政策获得政府采购合同的，小微企业不得将合同分包给大中型企业，中型企业不得将合同分包给大型企业。 </w:t>
            </w:r>
          </w:p>
        </w:tc>
      </w:tr>
      <w:tr w14:paraId="15EC738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894" w:type="dxa"/>
            <w:vAlign w:val="center"/>
          </w:tcPr>
          <w:p w14:paraId="183D8A8A">
            <w:pPr>
              <w:autoSpaceDE w:val="0"/>
              <w:autoSpaceDN w:val="0"/>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10</w:t>
            </w:r>
          </w:p>
        </w:tc>
        <w:tc>
          <w:tcPr>
            <w:tcW w:w="1814" w:type="dxa"/>
            <w:vAlign w:val="center"/>
          </w:tcPr>
          <w:p w14:paraId="6FED59A1">
            <w:pPr>
              <w:adjustRightInd w:val="0"/>
              <w:snapToGrid w:val="0"/>
              <w:spacing w:line="276" w:lineRule="auto"/>
              <w:jc w:val="center"/>
              <w:rPr>
                <w:rFonts w:ascii="宋体" w:hAnsi="宋体" w:cs="宋体"/>
                <w:color w:val="auto"/>
                <w:sz w:val="24"/>
                <w:highlight w:val="none"/>
              </w:rPr>
            </w:pPr>
            <w:r>
              <w:rPr>
                <w:rFonts w:hint="eastAsia" w:ascii="宋体" w:hAnsi="宋体" w:cs="宋体"/>
                <w:color w:val="auto"/>
                <w:sz w:val="24"/>
                <w:highlight w:val="none"/>
              </w:rPr>
              <w:t>开标前答疑会或现场考察</w:t>
            </w:r>
          </w:p>
        </w:tc>
        <w:tc>
          <w:tcPr>
            <w:tcW w:w="7014" w:type="dxa"/>
            <w:vAlign w:val="center"/>
          </w:tcPr>
          <w:p w14:paraId="5F5E2082">
            <w:pPr>
              <w:spacing w:line="276" w:lineRule="auto"/>
              <w:rPr>
                <w:rFonts w:ascii="宋体" w:hAnsi="宋体" w:cs="宋体"/>
                <w:color w:val="auto"/>
                <w:sz w:val="24"/>
                <w:highlight w:val="none"/>
              </w:rPr>
            </w:pPr>
            <w:r>
              <w:rPr>
                <w:rFonts w:hint="eastAsia" w:ascii="宋体" w:hAnsi="宋体" w:cs="宋体"/>
                <w:color w:val="auto"/>
                <w:sz w:val="24"/>
                <w:highlight w:val="none"/>
              </w:rPr>
              <w:t>不组织。供应商如有需要可自行前往踏勘，联系方式见招标公告</w:t>
            </w:r>
            <w:r>
              <w:rPr>
                <w:rFonts w:hint="eastAsia" w:ascii="宋体" w:hAnsi="宋体" w:cs="宋体"/>
                <w:color w:val="auto"/>
                <w:sz w:val="24"/>
                <w:highlight w:val="none"/>
                <w:lang w:val="en-US" w:eastAsia="zh-CN"/>
              </w:rPr>
              <w:t>采购单位联系人</w:t>
            </w:r>
            <w:r>
              <w:rPr>
                <w:rFonts w:hint="eastAsia" w:ascii="宋体" w:hAnsi="宋体" w:cs="宋体"/>
                <w:color w:val="auto"/>
                <w:sz w:val="24"/>
                <w:highlight w:val="none"/>
              </w:rPr>
              <w:t>。</w:t>
            </w:r>
          </w:p>
        </w:tc>
      </w:tr>
      <w:tr w14:paraId="69265D5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894" w:type="dxa"/>
            <w:vAlign w:val="center"/>
          </w:tcPr>
          <w:p w14:paraId="3B9AE3E4">
            <w:pPr>
              <w:autoSpaceDE w:val="0"/>
              <w:autoSpaceDN w:val="0"/>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11</w:t>
            </w:r>
          </w:p>
        </w:tc>
        <w:tc>
          <w:tcPr>
            <w:tcW w:w="1814" w:type="dxa"/>
            <w:vAlign w:val="center"/>
          </w:tcPr>
          <w:p w14:paraId="36AFB8C9">
            <w:pPr>
              <w:adjustRightInd w:val="0"/>
              <w:snapToGrid w:val="0"/>
              <w:spacing w:line="276" w:lineRule="auto"/>
              <w:jc w:val="center"/>
              <w:rPr>
                <w:rFonts w:ascii="宋体" w:hAnsi="宋体" w:cs="宋体"/>
                <w:color w:val="auto"/>
                <w:sz w:val="24"/>
                <w:highlight w:val="none"/>
              </w:rPr>
            </w:pPr>
            <w:r>
              <w:rPr>
                <w:rFonts w:hint="eastAsia" w:ascii="宋体" w:hAnsi="宋体" w:cs="宋体"/>
                <w:color w:val="auto"/>
                <w:sz w:val="24"/>
                <w:highlight w:val="none"/>
              </w:rPr>
              <w:t>样品提供</w:t>
            </w:r>
          </w:p>
        </w:tc>
        <w:tc>
          <w:tcPr>
            <w:tcW w:w="7014" w:type="dxa"/>
            <w:vAlign w:val="center"/>
          </w:tcPr>
          <w:p w14:paraId="06BF0647">
            <w:pPr>
              <w:spacing w:line="276" w:lineRule="auto"/>
              <w:rPr>
                <w:rFonts w:ascii="宋体" w:hAnsi="宋体" w:cs="宋体"/>
                <w:color w:val="auto"/>
                <w:kern w:val="28"/>
                <w:sz w:val="24"/>
                <w:highlight w:val="none"/>
              </w:rPr>
            </w:pPr>
            <w:r>
              <w:rPr>
                <w:rFonts w:hint="eastAsia" w:ascii="宋体" w:hAnsi="宋体" w:cs="宋体"/>
                <w:color w:val="auto"/>
                <w:sz w:val="24"/>
                <w:highlight w:val="none"/>
              </w:rPr>
              <w:t>不要求提供。</w:t>
            </w:r>
          </w:p>
        </w:tc>
      </w:tr>
      <w:tr w14:paraId="274CE23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894" w:type="dxa"/>
            <w:vAlign w:val="center"/>
          </w:tcPr>
          <w:p w14:paraId="1B90446B">
            <w:pPr>
              <w:autoSpaceDE w:val="0"/>
              <w:autoSpaceDN w:val="0"/>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12</w:t>
            </w:r>
          </w:p>
        </w:tc>
        <w:tc>
          <w:tcPr>
            <w:tcW w:w="1814" w:type="dxa"/>
            <w:vAlign w:val="center"/>
          </w:tcPr>
          <w:p w14:paraId="0F1B1118">
            <w:pPr>
              <w:adjustRightInd w:val="0"/>
              <w:snapToGrid w:val="0"/>
              <w:spacing w:line="276" w:lineRule="auto"/>
              <w:jc w:val="center"/>
              <w:rPr>
                <w:rFonts w:ascii="宋体" w:hAnsi="宋体" w:cs="宋体"/>
                <w:color w:val="auto"/>
                <w:sz w:val="24"/>
                <w:highlight w:val="none"/>
              </w:rPr>
            </w:pPr>
            <w:r>
              <w:rPr>
                <w:rFonts w:hint="eastAsia" w:ascii="宋体" w:hAnsi="宋体" w:cs="宋体"/>
                <w:color w:val="auto"/>
                <w:sz w:val="24"/>
                <w:highlight w:val="none"/>
              </w:rPr>
              <w:t>方案讲解/演示</w:t>
            </w:r>
          </w:p>
        </w:tc>
        <w:tc>
          <w:tcPr>
            <w:tcW w:w="7014" w:type="dxa"/>
            <w:vAlign w:val="center"/>
          </w:tcPr>
          <w:p w14:paraId="7AA47242">
            <w:pPr>
              <w:snapToGrid w:val="0"/>
              <w:spacing w:line="276" w:lineRule="auto"/>
              <w:rPr>
                <w:rFonts w:ascii="宋体" w:hAnsi="宋体" w:cs="宋体"/>
                <w:color w:val="auto"/>
                <w:sz w:val="24"/>
                <w:highlight w:val="none"/>
              </w:rPr>
            </w:pPr>
            <w:r>
              <w:rPr>
                <w:rFonts w:hint="eastAsia" w:ascii="宋体" w:hAnsi="宋体" w:cs="宋体"/>
                <w:snapToGrid w:val="0"/>
                <w:color w:val="auto"/>
                <w:sz w:val="24"/>
                <w:highlight w:val="none"/>
              </w:rPr>
              <w:t>不</w:t>
            </w:r>
            <w:r>
              <w:rPr>
                <w:rFonts w:hint="eastAsia" w:ascii="宋体" w:hAnsi="宋体" w:cs="宋体"/>
                <w:color w:val="auto"/>
                <w:sz w:val="24"/>
                <w:highlight w:val="none"/>
              </w:rPr>
              <w:t>需要。</w:t>
            </w:r>
          </w:p>
        </w:tc>
      </w:tr>
      <w:tr w14:paraId="4555F4C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894" w:type="dxa"/>
            <w:vAlign w:val="center"/>
          </w:tcPr>
          <w:p w14:paraId="4DDCD37E">
            <w:pPr>
              <w:autoSpaceDE w:val="0"/>
              <w:autoSpaceDN w:val="0"/>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13</w:t>
            </w:r>
          </w:p>
        </w:tc>
        <w:tc>
          <w:tcPr>
            <w:tcW w:w="1814" w:type="dxa"/>
            <w:vAlign w:val="center"/>
          </w:tcPr>
          <w:p w14:paraId="3A70E638">
            <w:pPr>
              <w:adjustRightInd w:val="0"/>
              <w:jc w:val="center"/>
              <w:rPr>
                <w:rFonts w:ascii="宋体" w:hAnsi="宋体" w:cs="宋体"/>
                <w:color w:val="auto"/>
                <w:sz w:val="24"/>
                <w:highlight w:val="none"/>
              </w:rPr>
            </w:pPr>
            <w:r>
              <w:rPr>
                <w:rFonts w:hint="eastAsia" w:ascii="宋体" w:hAnsi="宋体" w:cs="宋体"/>
                <w:color w:val="auto"/>
                <w:sz w:val="24"/>
                <w:highlight w:val="none"/>
              </w:rPr>
              <w:t>履约担保</w:t>
            </w:r>
          </w:p>
        </w:tc>
        <w:tc>
          <w:tcPr>
            <w:tcW w:w="7014" w:type="dxa"/>
            <w:vAlign w:val="center"/>
          </w:tcPr>
          <w:p w14:paraId="6755DE7D">
            <w:pPr>
              <w:rPr>
                <w:rFonts w:ascii="宋体" w:hAnsi="宋体" w:cs="宋体"/>
                <w:color w:val="auto"/>
                <w:sz w:val="24"/>
                <w:highlight w:val="none"/>
              </w:rPr>
            </w:pPr>
            <w:r>
              <w:rPr>
                <w:rFonts w:hint="eastAsia" w:ascii="宋体" w:hAnsi="宋体" w:cs="宋体"/>
                <w:snapToGrid w:val="0"/>
                <w:color w:val="auto"/>
                <w:sz w:val="24"/>
                <w:highlight w:val="none"/>
              </w:rPr>
              <w:t>不需要。</w:t>
            </w:r>
          </w:p>
        </w:tc>
      </w:tr>
      <w:tr w14:paraId="10DCD6B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894" w:type="dxa"/>
            <w:vAlign w:val="center"/>
          </w:tcPr>
          <w:p w14:paraId="14711858">
            <w:pPr>
              <w:autoSpaceDE w:val="0"/>
              <w:autoSpaceDN w:val="0"/>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14</w:t>
            </w:r>
          </w:p>
        </w:tc>
        <w:tc>
          <w:tcPr>
            <w:tcW w:w="1814" w:type="dxa"/>
            <w:vAlign w:val="center"/>
          </w:tcPr>
          <w:p w14:paraId="14FE3264">
            <w:pPr>
              <w:adjustRightInd w:val="0"/>
              <w:snapToGrid w:val="0"/>
              <w:jc w:val="center"/>
              <w:rPr>
                <w:rFonts w:ascii="宋体" w:hAnsi="宋体" w:cs="宋体"/>
                <w:snapToGrid w:val="0"/>
                <w:color w:val="auto"/>
                <w:sz w:val="24"/>
                <w:highlight w:val="none"/>
              </w:rPr>
            </w:pPr>
            <w:r>
              <w:rPr>
                <w:rFonts w:hint="eastAsia" w:ascii="宋体" w:hAnsi="宋体" w:cs="宋体"/>
                <w:snapToGrid w:val="0"/>
                <w:color w:val="auto"/>
                <w:sz w:val="24"/>
                <w:highlight w:val="none"/>
              </w:rPr>
              <w:t>投标文件</w:t>
            </w:r>
          </w:p>
          <w:p w14:paraId="6C042F3F">
            <w:pPr>
              <w:adjustRightInd w:val="0"/>
              <w:snapToGrid w:val="0"/>
              <w:jc w:val="center"/>
              <w:rPr>
                <w:rFonts w:ascii="宋体" w:hAnsi="宋体" w:cs="宋体"/>
                <w:color w:val="auto"/>
                <w:sz w:val="24"/>
                <w:highlight w:val="none"/>
              </w:rPr>
            </w:pPr>
            <w:r>
              <w:rPr>
                <w:rFonts w:hint="eastAsia" w:ascii="宋体" w:hAnsi="宋体" w:cs="宋体"/>
                <w:snapToGrid w:val="0"/>
                <w:color w:val="auto"/>
                <w:sz w:val="24"/>
                <w:highlight w:val="none"/>
              </w:rPr>
              <w:t>的形式</w:t>
            </w:r>
          </w:p>
        </w:tc>
        <w:tc>
          <w:tcPr>
            <w:tcW w:w="7014" w:type="dxa"/>
            <w:vAlign w:val="center"/>
          </w:tcPr>
          <w:p w14:paraId="1EBBA913">
            <w:pPr>
              <w:rPr>
                <w:rFonts w:ascii="宋体" w:hAnsi="宋体" w:cs="宋体"/>
                <w:snapToGrid w:val="0"/>
                <w:color w:val="auto"/>
                <w:sz w:val="24"/>
                <w:highlight w:val="none"/>
              </w:rPr>
            </w:pPr>
            <w:r>
              <w:rPr>
                <w:rFonts w:hint="eastAsia" w:ascii="宋体" w:hAnsi="宋体" w:cs="宋体"/>
                <w:snapToGrid w:val="0"/>
                <w:color w:val="auto"/>
                <w:sz w:val="24"/>
                <w:highlight w:val="none"/>
              </w:rPr>
              <w:t>投标人应准备电子投标文件</w:t>
            </w:r>
          </w:p>
          <w:p w14:paraId="5DFA0806">
            <w:pPr>
              <w:rPr>
                <w:rFonts w:ascii="宋体" w:hAnsi="宋体" w:cs="宋体"/>
                <w:color w:val="auto"/>
                <w:sz w:val="24"/>
                <w:highlight w:val="none"/>
              </w:rPr>
            </w:pPr>
            <w:r>
              <w:rPr>
                <w:rFonts w:hint="eastAsia" w:ascii="宋体" w:hAnsi="宋体" w:cs="宋体"/>
                <w:snapToGrid w:val="0"/>
                <w:color w:val="auto"/>
                <w:sz w:val="24"/>
                <w:highlight w:val="none"/>
              </w:rPr>
              <w:t>电子投标文件是指通过“政采云电子交易客户端”完成投标文件编制后生成并加密的数据电文形式的电子加密投标文件。</w:t>
            </w:r>
          </w:p>
        </w:tc>
      </w:tr>
      <w:tr w14:paraId="0594074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894" w:type="dxa"/>
            <w:vAlign w:val="center"/>
          </w:tcPr>
          <w:p w14:paraId="68A3C601">
            <w:pPr>
              <w:autoSpaceDE w:val="0"/>
              <w:autoSpaceDN w:val="0"/>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15</w:t>
            </w:r>
          </w:p>
        </w:tc>
        <w:tc>
          <w:tcPr>
            <w:tcW w:w="1814" w:type="dxa"/>
            <w:vAlign w:val="center"/>
          </w:tcPr>
          <w:p w14:paraId="60BCA002">
            <w:pPr>
              <w:adjustRightInd w:val="0"/>
              <w:snapToGrid w:val="0"/>
              <w:jc w:val="center"/>
              <w:rPr>
                <w:rFonts w:ascii="宋体" w:hAnsi="宋体" w:cs="宋体"/>
                <w:snapToGrid w:val="0"/>
                <w:color w:val="auto"/>
                <w:sz w:val="24"/>
                <w:highlight w:val="none"/>
              </w:rPr>
            </w:pPr>
            <w:r>
              <w:rPr>
                <w:rFonts w:hint="eastAsia" w:ascii="宋体" w:hAnsi="宋体" w:cs="宋体"/>
                <w:snapToGrid w:val="0"/>
                <w:color w:val="auto"/>
                <w:sz w:val="24"/>
                <w:highlight w:val="none"/>
              </w:rPr>
              <w:t>投标文件</w:t>
            </w:r>
          </w:p>
          <w:p w14:paraId="4E814E5A">
            <w:pPr>
              <w:adjustRightInd w:val="0"/>
              <w:snapToGrid w:val="0"/>
              <w:jc w:val="center"/>
              <w:rPr>
                <w:rFonts w:ascii="宋体" w:hAnsi="宋体" w:cs="宋体"/>
                <w:snapToGrid w:val="0"/>
                <w:color w:val="auto"/>
                <w:sz w:val="24"/>
                <w:highlight w:val="none"/>
              </w:rPr>
            </w:pPr>
            <w:r>
              <w:rPr>
                <w:rFonts w:hint="eastAsia" w:ascii="宋体" w:hAnsi="宋体" w:cs="宋体"/>
                <w:snapToGrid w:val="0"/>
                <w:color w:val="auto"/>
                <w:sz w:val="24"/>
                <w:highlight w:val="none"/>
              </w:rPr>
              <w:t>的编制</w:t>
            </w:r>
          </w:p>
        </w:tc>
        <w:tc>
          <w:tcPr>
            <w:tcW w:w="7014" w:type="dxa"/>
            <w:vAlign w:val="center"/>
          </w:tcPr>
          <w:p w14:paraId="099371C5">
            <w:pPr>
              <w:rPr>
                <w:rFonts w:ascii="宋体" w:hAnsi="宋体" w:cs="宋体"/>
                <w:snapToGrid w:val="0"/>
                <w:color w:val="auto"/>
                <w:sz w:val="24"/>
                <w:highlight w:val="none"/>
              </w:rPr>
            </w:pPr>
            <w:r>
              <w:rPr>
                <w:rFonts w:hint="eastAsia" w:ascii="宋体" w:hAnsi="宋体" w:cs="宋体"/>
                <w:snapToGrid w:val="0"/>
                <w:color w:val="auto"/>
                <w:sz w:val="24"/>
                <w:highlight w:val="none"/>
              </w:rPr>
              <w:t>投标人应先安装“政采云电子交易客户端”，并按照本招标文件和“政府采购云平台”的要求，通过“政采云电子交易客户端”编制并加密投标文件。</w:t>
            </w:r>
          </w:p>
        </w:tc>
      </w:tr>
      <w:tr w14:paraId="0C2FEAC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894" w:type="dxa"/>
            <w:vAlign w:val="center"/>
          </w:tcPr>
          <w:p w14:paraId="038D818E">
            <w:pPr>
              <w:autoSpaceDE w:val="0"/>
              <w:autoSpaceDN w:val="0"/>
              <w:adjustRightInd w:val="0"/>
              <w:snapToGrid w:val="0"/>
              <w:jc w:val="center"/>
              <w:rPr>
                <w:rFonts w:ascii="宋体" w:hAnsi="宋体" w:cs="宋体"/>
                <w:color w:val="auto"/>
                <w:sz w:val="24"/>
                <w:highlight w:val="none"/>
              </w:rPr>
            </w:pPr>
            <w:r>
              <w:rPr>
                <w:rFonts w:hint="eastAsia" w:ascii="宋体" w:hAnsi="宋体" w:cs="宋体"/>
                <w:color w:val="auto"/>
                <w:sz w:val="24"/>
                <w:highlight w:val="none"/>
                <w:lang w:val="zh-CN"/>
              </w:rPr>
              <w:t>1</w:t>
            </w:r>
            <w:r>
              <w:rPr>
                <w:rFonts w:hint="eastAsia" w:ascii="宋体" w:hAnsi="宋体" w:cs="宋体"/>
                <w:color w:val="auto"/>
                <w:sz w:val="24"/>
                <w:highlight w:val="none"/>
              </w:rPr>
              <w:t>6</w:t>
            </w:r>
          </w:p>
        </w:tc>
        <w:tc>
          <w:tcPr>
            <w:tcW w:w="1814" w:type="dxa"/>
            <w:vAlign w:val="center"/>
          </w:tcPr>
          <w:p w14:paraId="299CCF43">
            <w:pPr>
              <w:adjustRightInd w:val="0"/>
              <w:snapToGrid w:val="0"/>
              <w:jc w:val="center"/>
              <w:rPr>
                <w:rFonts w:ascii="宋体" w:hAnsi="宋体" w:cs="宋体"/>
                <w:snapToGrid w:val="0"/>
                <w:color w:val="auto"/>
                <w:sz w:val="24"/>
                <w:highlight w:val="none"/>
              </w:rPr>
            </w:pPr>
            <w:r>
              <w:rPr>
                <w:rFonts w:hint="eastAsia" w:ascii="宋体" w:hAnsi="宋体" w:cs="宋体"/>
                <w:snapToGrid w:val="0"/>
                <w:color w:val="auto"/>
                <w:sz w:val="24"/>
                <w:highlight w:val="none"/>
              </w:rPr>
              <w:t>投标文件</w:t>
            </w:r>
          </w:p>
          <w:p w14:paraId="7E75C6A3">
            <w:pPr>
              <w:adjustRightInd w:val="0"/>
              <w:snapToGrid w:val="0"/>
              <w:jc w:val="center"/>
              <w:rPr>
                <w:rFonts w:ascii="宋体" w:hAnsi="宋体" w:cs="宋体"/>
                <w:snapToGrid w:val="0"/>
                <w:color w:val="auto"/>
                <w:sz w:val="24"/>
                <w:highlight w:val="none"/>
              </w:rPr>
            </w:pPr>
            <w:r>
              <w:rPr>
                <w:rFonts w:hint="eastAsia" w:ascii="宋体" w:hAnsi="宋体" w:cs="宋体"/>
                <w:snapToGrid w:val="0"/>
                <w:color w:val="auto"/>
                <w:sz w:val="24"/>
                <w:highlight w:val="none"/>
              </w:rPr>
              <w:t>的组成</w:t>
            </w:r>
          </w:p>
        </w:tc>
        <w:tc>
          <w:tcPr>
            <w:tcW w:w="7014" w:type="dxa"/>
            <w:vAlign w:val="center"/>
          </w:tcPr>
          <w:p w14:paraId="4F30ECEE">
            <w:pPr>
              <w:rPr>
                <w:rFonts w:ascii="宋体" w:hAnsi="宋体" w:cs="宋体"/>
                <w:snapToGrid w:val="0"/>
                <w:color w:val="auto"/>
                <w:sz w:val="24"/>
                <w:highlight w:val="none"/>
              </w:rPr>
            </w:pPr>
            <w:r>
              <w:rPr>
                <w:rFonts w:hint="eastAsia" w:ascii="宋体" w:hAnsi="宋体" w:cs="宋体"/>
                <w:bCs/>
                <w:snapToGrid w:val="0"/>
                <w:color w:val="auto"/>
                <w:sz w:val="24"/>
                <w:highlight w:val="none"/>
              </w:rPr>
              <w:t>由“资格文件 ”“商务技术文件”和“报价文件”三个部分组成。</w:t>
            </w:r>
            <w:r>
              <w:rPr>
                <w:rFonts w:hint="eastAsia" w:ascii="宋体" w:hAnsi="宋体" w:cs="宋体"/>
                <w:b/>
                <w:bCs w:val="0"/>
                <w:snapToGrid w:val="0"/>
                <w:color w:val="auto"/>
                <w:sz w:val="24"/>
                <w:highlight w:val="none"/>
              </w:rPr>
              <w:t>“资格文件”、“商务技术文件”</w:t>
            </w:r>
            <w:r>
              <w:rPr>
                <w:rFonts w:hint="eastAsia" w:ascii="宋体" w:hAnsi="宋体" w:cs="宋体"/>
                <w:b/>
                <w:bCs w:val="0"/>
                <w:snapToGrid w:val="0"/>
                <w:color w:val="auto"/>
                <w:sz w:val="24"/>
                <w:highlight w:val="none"/>
                <w:lang w:eastAsia="zh-CN"/>
              </w:rPr>
              <w:t>中不得包含报价信息，否则为无效投标</w:t>
            </w:r>
          </w:p>
        </w:tc>
      </w:tr>
      <w:tr w14:paraId="18F495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894" w:type="dxa"/>
            <w:vAlign w:val="center"/>
          </w:tcPr>
          <w:p w14:paraId="6055A5C2">
            <w:pPr>
              <w:widowControl/>
              <w:tabs>
                <w:tab w:val="left" w:pos="420"/>
                <w:tab w:val="left" w:pos="1145"/>
              </w:tabs>
              <w:jc w:val="center"/>
              <w:rPr>
                <w:rFonts w:ascii="宋体" w:hAnsi="宋体" w:cs="宋体"/>
                <w:color w:val="auto"/>
                <w:sz w:val="24"/>
                <w:highlight w:val="none"/>
                <w:lang w:val="zh-CN"/>
              </w:rPr>
            </w:pPr>
            <w:r>
              <w:rPr>
                <w:rFonts w:hint="eastAsia" w:ascii="宋体" w:hAnsi="宋体" w:cs="宋体"/>
                <w:color w:val="auto"/>
                <w:sz w:val="24"/>
                <w:highlight w:val="none"/>
              </w:rPr>
              <w:t>17</w:t>
            </w:r>
          </w:p>
        </w:tc>
        <w:tc>
          <w:tcPr>
            <w:tcW w:w="1814" w:type="dxa"/>
            <w:vAlign w:val="center"/>
          </w:tcPr>
          <w:p w14:paraId="545559C3">
            <w:pPr>
              <w:adjustRightInd w:val="0"/>
              <w:snapToGrid w:val="0"/>
              <w:jc w:val="center"/>
              <w:rPr>
                <w:rFonts w:ascii="宋体" w:hAnsi="宋体" w:cs="宋体"/>
                <w:snapToGrid w:val="0"/>
                <w:color w:val="auto"/>
                <w:sz w:val="24"/>
                <w:highlight w:val="none"/>
              </w:rPr>
            </w:pPr>
            <w:r>
              <w:rPr>
                <w:rFonts w:hint="eastAsia" w:ascii="宋体" w:hAnsi="宋体" w:cs="宋体"/>
                <w:snapToGrid w:val="0"/>
                <w:color w:val="auto"/>
                <w:sz w:val="24"/>
                <w:highlight w:val="none"/>
              </w:rPr>
              <w:t>投标文件</w:t>
            </w:r>
          </w:p>
          <w:p w14:paraId="0BEFB5E9">
            <w:pPr>
              <w:adjustRightInd w:val="0"/>
              <w:snapToGrid w:val="0"/>
              <w:jc w:val="center"/>
              <w:rPr>
                <w:rFonts w:ascii="宋体" w:hAnsi="宋体" w:cs="宋体"/>
                <w:snapToGrid w:val="0"/>
                <w:color w:val="auto"/>
                <w:sz w:val="24"/>
                <w:highlight w:val="none"/>
              </w:rPr>
            </w:pPr>
            <w:r>
              <w:rPr>
                <w:rFonts w:hint="eastAsia" w:ascii="宋体" w:hAnsi="宋体" w:cs="宋体"/>
                <w:snapToGrid w:val="0"/>
                <w:color w:val="auto"/>
                <w:sz w:val="24"/>
                <w:highlight w:val="none"/>
              </w:rPr>
              <w:t>的盖章</w:t>
            </w:r>
          </w:p>
        </w:tc>
        <w:tc>
          <w:tcPr>
            <w:tcW w:w="7014" w:type="dxa"/>
            <w:vAlign w:val="center"/>
          </w:tcPr>
          <w:p w14:paraId="2CDEC33A">
            <w:pPr>
              <w:rPr>
                <w:rFonts w:ascii="宋体" w:hAnsi="宋体" w:cs="宋体"/>
                <w:snapToGrid w:val="0"/>
                <w:color w:val="auto"/>
                <w:sz w:val="24"/>
                <w:highlight w:val="none"/>
              </w:rPr>
            </w:pPr>
            <w:r>
              <w:rPr>
                <w:rFonts w:hint="eastAsia" w:ascii="宋体" w:hAnsi="宋体" w:cs="宋体"/>
                <w:snapToGrid w:val="0"/>
                <w:color w:val="auto"/>
                <w:sz w:val="24"/>
                <w:highlight w:val="none"/>
              </w:rPr>
              <w:t>投标文件中所涉及的加盖公章均采用CA电子签章。</w:t>
            </w:r>
          </w:p>
        </w:tc>
      </w:tr>
      <w:tr w14:paraId="469DCA2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894" w:type="dxa"/>
            <w:vAlign w:val="center"/>
          </w:tcPr>
          <w:p w14:paraId="567772F8">
            <w:pPr>
              <w:widowControl/>
              <w:tabs>
                <w:tab w:val="left" w:pos="420"/>
                <w:tab w:val="left" w:pos="1145"/>
              </w:tabs>
              <w:jc w:val="center"/>
              <w:rPr>
                <w:rFonts w:ascii="宋体" w:hAnsi="宋体" w:cs="宋体"/>
                <w:color w:val="auto"/>
                <w:sz w:val="24"/>
                <w:highlight w:val="none"/>
                <w:lang w:val="zh-CN"/>
              </w:rPr>
            </w:pPr>
            <w:r>
              <w:rPr>
                <w:rFonts w:hint="eastAsia" w:ascii="宋体" w:hAnsi="宋体" w:cs="宋体"/>
                <w:color w:val="auto"/>
                <w:sz w:val="24"/>
                <w:highlight w:val="none"/>
              </w:rPr>
              <w:t>18</w:t>
            </w:r>
          </w:p>
        </w:tc>
        <w:tc>
          <w:tcPr>
            <w:tcW w:w="1814" w:type="dxa"/>
            <w:vAlign w:val="center"/>
          </w:tcPr>
          <w:p w14:paraId="0338FF2F">
            <w:pPr>
              <w:adjustRightInd w:val="0"/>
              <w:snapToGrid w:val="0"/>
              <w:jc w:val="center"/>
              <w:rPr>
                <w:rFonts w:ascii="宋体" w:hAnsi="宋体" w:cs="宋体"/>
                <w:snapToGrid w:val="0"/>
                <w:color w:val="auto"/>
                <w:sz w:val="24"/>
                <w:highlight w:val="none"/>
              </w:rPr>
            </w:pPr>
            <w:r>
              <w:rPr>
                <w:rFonts w:hint="eastAsia" w:ascii="宋体" w:hAnsi="宋体" w:cs="宋体"/>
                <w:snapToGrid w:val="0"/>
                <w:color w:val="auto"/>
                <w:sz w:val="24"/>
                <w:highlight w:val="none"/>
              </w:rPr>
              <w:t>法定代表人或其授权代表签字或盖章</w:t>
            </w:r>
          </w:p>
        </w:tc>
        <w:tc>
          <w:tcPr>
            <w:tcW w:w="7014" w:type="dxa"/>
            <w:vAlign w:val="center"/>
          </w:tcPr>
          <w:p w14:paraId="612159C2">
            <w:pPr>
              <w:rPr>
                <w:rFonts w:ascii="宋体" w:hAnsi="宋体" w:cs="宋体"/>
                <w:snapToGrid w:val="0"/>
                <w:color w:val="auto"/>
                <w:sz w:val="24"/>
                <w:highlight w:val="none"/>
              </w:rPr>
            </w:pPr>
            <w:r>
              <w:rPr>
                <w:rFonts w:hint="eastAsia" w:ascii="宋体" w:hAnsi="宋体" w:cs="宋体"/>
                <w:snapToGrid w:val="0"/>
                <w:color w:val="auto"/>
                <w:sz w:val="24"/>
                <w:highlight w:val="none"/>
              </w:rPr>
              <w:t>本招标文件所涉及的法定代表人或其授权代表签字或盖章的内容，如果投标单位没有法定代表人电子签章，涉及到法定代表人或其授权代表签字或盖章的内容，投标单位可以线下签字或盖章后扫描上传。</w:t>
            </w:r>
          </w:p>
        </w:tc>
      </w:tr>
      <w:tr w14:paraId="5D27833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46" w:hRule="atLeast"/>
          <w:jc w:val="center"/>
        </w:trPr>
        <w:tc>
          <w:tcPr>
            <w:tcW w:w="894" w:type="dxa"/>
            <w:vAlign w:val="center"/>
          </w:tcPr>
          <w:p w14:paraId="3508E2BB">
            <w:pPr>
              <w:widowControl/>
              <w:tabs>
                <w:tab w:val="left" w:pos="420"/>
                <w:tab w:val="left" w:pos="1145"/>
              </w:tabs>
              <w:jc w:val="center"/>
              <w:rPr>
                <w:rFonts w:ascii="宋体" w:hAnsi="宋体" w:cs="宋体"/>
                <w:color w:val="auto"/>
                <w:sz w:val="24"/>
                <w:highlight w:val="none"/>
              </w:rPr>
            </w:pPr>
            <w:r>
              <w:rPr>
                <w:rFonts w:hint="eastAsia" w:ascii="宋体" w:hAnsi="宋体" w:cs="宋体"/>
                <w:color w:val="auto"/>
                <w:sz w:val="24"/>
                <w:highlight w:val="none"/>
              </w:rPr>
              <w:t>19</w:t>
            </w:r>
          </w:p>
        </w:tc>
        <w:tc>
          <w:tcPr>
            <w:tcW w:w="1814" w:type="dxa"/>
            <w:vAlign w:val="center"/>
          </w:tcPr>
          <w:p w14:paraId="3FF613A9">
            <w:pPr>
              <w:jc w:val="center"/>
              <w:rPr>
                <w:rFonts w:ascii="宋体" w:hAnsi="宋体" w:cs="宋体"/>
                <w:snapToGrid w:val="0"/>
                <w:color w:val="auto"/>
                <w:sz w:val="24"/>
                <w:highlight w:val="none"/>
              </w:rPr>
            </w:pPr>
            <w:r>
              <w:rPr>
                <w:rFonts w:hint="eastAsia" w:ascii="宋体" w:hAnsi="宋体" w:cs="宋体"/>
                <w:snapToGrid w:val="0"/>
                <w:color w:val="auto"/>
                <w:sz w:val="24"/>
                <w:highlight w:val="none"/>
              </w:rPr>
              <w:t>投标文件份数</w:t>
            </w:r>
          </w:p>
        </w:tc>
        <w:tc>
          <w:tcPr>
            <w:tcW w:w="7014" w:type="dxa"/>
            <w:vAlign w:val="center"/>
          </w:tcPr>
          <w:p w14:paraId="433056AA">
            <w:pPr>
              <w:rPr>
                <w:rFonts w:ascii="宋体" w:hAnsi="宋体" w:cs="宋体"/>
                <w:snapToGrid w:val="0"/>
                <w:color w:val="auto"/>
                <w:sz w:val="24"/>
                <w:highlight w:val="none"/>
              </w:rPr>
            </w:pPr>
            <w:r>
              <w:rPr>
                <w:rFonts w:hint="eastAsia" w:ascii="宋体" w:hAnsi="宋体" w:cs="宋体"/>
                <w:snapToGrid w:val="0"/>
                <w:color w:val="auto"/>
                <w:sz w:val="24"/>
                <w:highlight w:val="none"/>
              </w:rPr>
              <w:t>1.电子加密投标文件在线上传递交一份。</w:t>
            </w:r>
          </w:p>
          <w:p w14:paraId="37C7C990">
            <w:pPr>
              <w:rPr>
                <w:rFonts w:ascii="宋体" w:hAnsi="宋体" w:cs="宋体"/>
                <w:snapToGrid w:val="0"/>
                <w:color w:val="auto"/>
                <w:sz w:val="24"/>
                <w:highlight w:val="none"/>
              </w:rPr>
            </w:pPr>
            <w:r>
              <w:rPr>
                <w:rFonts w:hint="eastAsia" w:ascii="宋体" w:hAnsi="宋体" w:cs="宋体"/>
                <w:snapToGrid w:val="0"/>
                <w:color w:val="auto"/>
                <w:sz w:val="24"/>
                <w:highlight w:val="none"/>
              </w:rPr>
              <w:t>2.中标人在评标结束3个工作日内向采购代理机构递交与政采云系统上传文件一致的完整（“资格文件”“商务技术文件”和“报价文件”）纸质投标文件三套（需装订好），供采购人项目存档用。</w:t>
            </w:r>
          </w:p>
          <w:p w14:paraId="58831855">
            <w:pPr>
              <w:rPr>
                <w:rFonts w:ascii="宋体" w:hAnsi="宋体" w:cs="宋体"/>
                <w:snapToGrid w:val="0"/>
                <w:color w:val="auto"/>
                <w:sz w:val="24"/>
                <w:highlight w:val="none"/>
              </w:rPr>
            </w:pPr>
            <w:r>
              <w:rPr>
                <w:rFonts w:hint="eastAsia" w:ascii="宋体" w:hAnsi="宋体" w:cs="宋体"/>
                <w:b/>
                <w:bCs/>
                <w:snapToGrid w:val="0"/>
                <w:color w:val="auto"/>
                <w:sz w:val="24"/>
                <w:highlight w:val="none"/>
              </w:rPr>
              <w:t>纸质投标文件邮寄或递交至代理机构现场。收件信息如下：接收单位：金华市万全招标代理有限公司，地址：金华市玉泉东路288号3楼，接收人：潘艳萍，电话：13285899972。</w:t>
            </w:r>
          </w:p>
        </w:tc>
      </w:tr>
      <w:tr w14:paraId="290BC7F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56" w:hRule="atLeast"/>
          <w:jc w:val="center"/>
        </w:trPr>
        <w:tc>
          <w:tcPr>
            <w:tcW w:w="894" w:type="dxa"/>
            <w:vAlign w:val="center"/>
          </w:tcPr>
          <w:p w14:paraId="71BB5BEE">
            <w:pPr>
              <w:widowControl/>
              <w:tabs>
                <w:tab w:val="left" w:pos="420"/>
                <w:tab w:val="left" w:pos="1145"/>
              </w:tabs>
              <w:jc w:val="center"/>
              <w:rPr>
                <w:rFonts w:ascii="宋体" w:hAnsi="宋体" w:cs="宋体"/>
                <w:color w:val="auto"/>
                <w:sz w:val="24"/>
                <w:highlight w:val="none"/>
              </w:rPr>
            </w:pPr>
            <w:r>
              <w:rPr>
                <w:rFonts w:hint="eastAsia" w:ascii="宋体" w:hAnsi="宋体" w:cs="宋体"/>
                <w:color w:val="auto"/>
                <w:sz w:val="24"/>
                <w:highlight w:val="none"/>
              </w:rPr>
              <w:t>20</w:t>
            </w:r>
          </w:p>
        </w:tc>
        <w:tc>
          <w:tcPr>
            <w:tcW w:w="1814" w:type="dxa"/>
            <w:vAlign w:val="center"/>
          </w:tcPr>
          <w:p w14:paraId="4B2B45CD">
            <w:pPr>
              <w:adjustRightInd w:val="0"/>
              <w:snapToGrid w:val="0"/>
              <w:jc w:val="center"/>
              <w:rPr>
                <w:rFonts w:ascii="宋体" w:hAnsi="宋体" w:cs="宋体"/>
                <w:snapToGrid w:val="0"/>
                <w:color w:val="auto"/>
                <w:sz w:val="24"/>
                <w:highlight w:val="none"/>
              </w:rPr>
            </w:pPr>
            <w:r>
              <w:rPr>
                <w:rFonts w:hint="eastAsia" w:ascii="宋体" w:hAnsi="宋体" w:cs="宋体"/>
                <w:snapToGrid w:val="0"/>
                <w:color w:val="auto"/>
                <w:sz w:val="24"/>
                <w:highlight w:val="none"/>
              </w:rPr>
              <w:t>投标文件的</w:t>
            </w:r>
          </w:p>
          <w:p w14:paraId="179FC25B">
            <w:pPr>
              <w:adjustRightInd w:val="0"/>
              <w:snapToGrid w:val="0"/>
              <w:jc w:val="center"/>
              <w:rPr>
                <w:rFonts w:ascii="宋体" w:hAnsi="宋体" w:cs="宋体"/>
                <w:snapToGrid w:val="0"/>
                <w:color w:val="auto"/>
                <w:sz w:val="24"/>
                <w:highlight w:val="none"/>
              </w:rPr>
            </w:pPr>
            <w:r>
              <w:rPr>
                <w:rFonts w:hint="eastAsia" w:ascii="宋体" w:hAnsi="宋体" w:cs="宋体"/>
                <w:snapToGrid w:val="0"/>
                <w:color w:val="auto"/>
                <w:sz w:val="24"/>
                <w:highlight w:val="none"/>
              </w:rPr>
              <w:t>上传和递交</w:t>
            </w:r>
          </w:p>
        </w:tc>
        <w:tc>
          <w:tcPr>
            <w:tcW w:w="7014" w:type="dxa"/>
            <w:vAlign w:val="center"/>
          </w:tcPr>
          <w:p w14:paraId="0F0B8192">
            <w:pPr>
              <w:rPr>
                <w:rFonts w:ascii="宋体" w:hAnsi="宋体" w:cs="宋体"/>
                <w:snapToGrid w:val="0"/>
                <w:color w:val="auto"/>
                <w:sz w:val="24"/>
                <w:highlight w:val="none"/>
              </w:rPr>
            </w:pPr>
            <w:r>
              <w:rPr>
                <w:rFonts w:hint="eastAsia" w:ascii="宋体" w:hAnsi="宋体" w:cs="宋体"/>
                <w:snapToGrid w:val="0"/>
                <w:color w:val="auto"/>
                <w:sz w:val="24"/>
                <w:highlight w:val="none"/>
              </w:rPr>
              <w:t>本项目通过“政府采购云平台（www.zcygov.cn）”实行在线投标响应（电子投标），投标人应当在投标截止时间前，将生成的“电子加密投标文件”</w:t>
            </w:r>
            <w:r>
              <w:rPr>
                <w:rFonts w:hint="eastAsia" w:ascii="宋体" w:hAnsi="宋体" w:cs="宋体"/>
                <w:snapToGrid w:val="0"/>
                <w:color w:val="auto"/>
                <w:sz w:val="24"/>
                <w:highlight w:val="none"/>
                <w:lang w:eastAsia="zh-CN"/>
              </w:rPr>
              <w:t>：</w:t>
            </w:r>
            <w:r>
              <w:rPr>
                <w:rFonts w:hint="eastAsia" w:ascii="宋体" w:hAnsi="宋体" w:cs="宋体"/>
                <w:b/>
                <w:bCs/>
                <w:snapToGrid w:val="0"/>
                <w:color w:val="auto"/>
                <w:sz w:val="24"/>
                <w:highlight w:val="none"/>
                <w:lang w:eastAsia="zh-CN"/>
              </w:rPr>
              <w:t>资格文件、商务技术文件、报价文件三部分分别上传递交至“政府采购云平台”（资格文件、商务技术文件中不得包含报价信息，否则为无效投标）</w:t>
            </w:r>
            <w:r>
              <w:rPr>
                <w:rFonts w:hint="eastAsia" w:ascii="宋体" w:hAnsi="宋体" w:cs="宋体"/>
                <w:b/>
                <w:bCs/>
                <w:snapToGrid w:val="0"/>
                <w:color w:val="auto"/>
                <w:sz w:val="24"/>
                <w:highlight w:val="none"/>
              </w:rPr>
              <w:t>。</w:t>
            </w:r>
          </w:p>
          <w:p w14:paraId="37115FFA">
            <w:pPr>
              <w:rPr>
                <w:rFonts w:ascii="宋体" w:hAnsi="宋体" w:cs="宋体"/>
                <w:snapToGrid w:val="0"/>
                <w:color w:val="auto"/>
                <w:sz w:val="24"/>
                <w:highlight w:val="none"/>
              </w:rPr>
            </w:pPr>
            <w:r>
              <w:rPr>
                <w:rFonts w:hint="eastAsia" w:ascii="宋体" w:hAnsi="宋体" w:cs="宋体"/>
                <w:snapToGrid w:val="0"/>
                <w:color w:val="auto"/>
                <w:sz w:val="24"/>
                <w:highlight w:val="none"/>
              </w:rPr>
              <w:t>“电子加密投标文件”的上传、递交：</w:t>
            </w:r>
          </w:p>
          <w:p w14:paraId="33499D86">
            <w:pPr>
              <w:rPr>
                <w:rFonts w:ascii="宋体" w:hAnsi="宋体" w:cs="宋体"/>
                <w:snapToGrid w:val="0"/>
                <w:color w:val="auto"/>
                <w:sz w:val="24"/>
                <w:highlight w:val="none"/>
              </w:rPr>
            </w:pPr>
            <w:r>
              <w:rPr>
                <w:rFonts w:hint="eastAsia" w:ascii="宋体" w:hAnsi="宋体" w:cs="宋体"/>
                <w:snapToGrid w:val="0"/>
                <w:color w:val="auto"/>
                <w:sz w:val="24"/>
                <w:highlight w:val="none"/>
              </w:rPr>
              <w:t>a.投标人应在投标截止时间前将“电子加密投标文件”成功上传递交至“政府采购云平台”，否则投标无效。</w:t>
            </w:r>
          </w:p>
          <w:p w14:paraId="746F5BF0">
            <w:pPr>
              <w:rPr>
                <w:rFonts w:ascii="宋体" w:hAnsi="宋体" w:cs="宋体"/>
                <w:snapToGrid w:val="0"/>
                <w:color w:val="auto"/>
                <w:sz w:val="24"/>
                <w:highlight w:val="none"/>
              </w:rPr>
            </w:pPr>
            <w:r>
              <w:rPr>
                <w:rFonts w:hint="eastAsia" w:ascii="宋体" w:hAnsi="宋体" w:cs="宋体"/>
                <w:snapToGrid w:val="0"/>
                <w:color w:val="auto"/>
                <w:sz w:val="24"/>
                <w:highlight w:val="none"/>
              </w:rPr>
              <w:t>b.“电子加密投标文件”成功上传递交后，供应商可自行打印投标文件接收回执。</w:t>
            </w:r>
          </w:p>
        </w:tc>
      </w:tr>
      <w:tr w14:paraId="6870B48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894" w:type="dxa"/>
            <w:vAlign w:val="center"/>
          </w:tcPr>
          <w:p w14:paraId="01763A91">
            <w:pPr>
              <w:widowControl/>
              <w:tabs>
                <w:tab w:val="left" w:pos="420"/>
                <w:tab w:val="left" w:pos="1145"/>
              </w:tabs>
              <w:jc w:val="center"/>
              <w:rPr>
                <w:rFonts w:ascii="宋体" w:hAnsi="宋体" w:cs="宋体"/>
                <w:color w:val="auto"/>
                <w:sz w:val="24"/>
                <w:highlight w:val="none"/>
              </w:rPr>
            </w:pPr>
            <w:r>
              <w:rPr>
                <w:rFonts w:hint="eastAsia" w:ascii="宋体" w:hAnsi="宋体" w:cs="宋体"/>
                <w:color w:val="auto"/>
                <w:sz w:val="24"/>
                <w:highlight w:val="none"/>
              </w:rPr>
              <w:t>21</w:t>
            </w:r>
          </w:p>
        </w:tc>
        <w:tc>
          <w:tcPr>
            <w:tcW w:w="1814" w:type="dxa"/>
            <w:vAlign w:val="center"/>
          </w:tcPr>
          <w:p w14:paraId="5B264E4A">
            <w:pPr>
              <w:adjustRightInd w:val="0"/>
              <w:snapToGrid w:val="0"/>
              <w:jc w:val="center"/>
              <w:rPr>
                <w:rFonts w:ascii="宋体" w:hAnsi="宋体" w:cs="宋体"/>
                <w:snapToGrid w:val="0"/>
                <w:color w:val="auto"/>
                <w:sz w:val="24"/>
                <w:highlight w:val="none"/>
              </w:rPr>
            </w:pPr>
            <w:r>
              <w:rPr>
                <w:rFonts w:hint="eastAsia" w:ascii="宋体" w:hAnsi="宋体" w:cs="宋体"/>
                <w:snapToGrid w:val="0"/>
                <w:color w:val="auto"/>
                <w:sz w:val="24"/>
                <w:highlight w:val="none"/>
              </w:rPr>
              <w:t>投标文件</w:t>
            </w:r>
          </w:p>
          <w:p w14:paraId="65DDB3C6">
            <w:pPr>
              <w:adjustRightInd w:val="0"/>
              <w:snapToGrid w:val="0"/>
              <w:jc w:val="center"/>
              <w:rPr>
                <w:rFonts w:ascii="宋体" w:hAnsi="宋体" w:cs="宋体"/>
                <w:snapToGrid w:val="0"/>
                <w:color w:val="auto"/>
                <w:sz w:val="24"/>
                <w:highlight w:val="none"/>
              </w:rPr>
            </w:pPr>
            <w:r>
              <w:rPr>
                <w:rFonts w:hint="eastAsia" w:ascii="宋体" w:hAnsi="宋体" w:cs="宋体"/>
                <w:snapToGrid w:val="0"/>
                <w:color w:val="auto"/>
                <w:sz w:val="24"/>
                <w:highlight w:val="none"/>
              </w:rPr>
              <w:t>加密解密</w:t>
            </w:r>
          </w:p>
        </w:tc>
        <w:tc>
          <w:tcPr>
            <w:tcW w:w="7014" w:type="dxa"/>
            <w:vAlign w:val="center"/>
          </w:tcPr>
          <w:p w14:paraId="3F0A2EB9">
            <w:pPr>
              <w:rPr>
                <w:rFonts w:ascii="宋体" w:hAnsi="宋体" w:cs="宋体"/>
                <w:snapToGrid w:val="0"/>
                <w:color w:val="auto"/>
                <w:sz w:val="24"/>
                <w:highlight w:val="none"/>
              </w:rPr>
            </w:pPr>
            <w:r>
              <w:rPr>
                <w:rFonts w:hint="eastAsia" w:ascii="宋体" w:hAnsi="宋体" w:cs="宋体"/>
                <w:snapToGrid w:val="0"/>
                <w:color w:val="auto"/>
                <w:sz w:val="24"/>
                <w:highlight w:val="none"/>
              </w:rPr>
              <w:t>1.开标后，采购组织机构将向各投标人发出“电子加密投标文件”的解密通知，各投标人代表应当在接到解密通知后30分钟内自行完成“电子加密投标文件”的在线解密。</w:t>
            </w:r>
          </w:p>
          <w:p w14:paraId="257546F0">
            <w:pPr>
              <w:rPr>
                <w:rFonts w:ascii="宋体" w:hAnsi="宋体" w:cs="宋体"/>
                <w:snapToGrid w:val="0"/>
                <w:color w:val="auto"/>
                <w:sz w:val="24"/>
                <w:highlight w:val="none"/>
              </w:rPr>
            </w:pPr>
            <w:r>
              <w:rPr>
                <w:rFonts w:hint="eastAsia" w:ascii="宋体" w:hAnsi="宋体" w:cs="宋体"/>
                <w:snapToGrid w:val="0"/>
                <w:color w:val="auto"/>
                <w:sz w:val="24"/>
                <w:highlight w:val="none"/>
              </w:rPr>
              <w:t>2.通过“政府采购云平台”成功上传递交的“电子加密投标文件”无法按时解密的，其投标文件按拒收处理。</w:t>
            </w:r>
          </w:p>
        </w:tc>
      </w:tr>
      <w:tr w14:paraId="24C1A0B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894" w:type="dxa"/>
            <w:vAlign w:val="center"/>
          </w:tcPr>
          <w:p w14:paraId="5AE230E4">
            <w:pPr>
              <w:widowControl/>
              <w:tabs>
                <w:tab w:val="left" w:pos="420"/>
                <w:tab w:val="left" w:pos="1145"/>
              </w:tabs>
              <w:jc w:val="center"/>
              <w:rPr>
                <w:rFonts w:ascii="宋体" w:hAnsi="宋体" w:cs="宋体"/>
                <w:color w:val="auto"/>
                <w:sz w:val="24"/>
                <w:highlight w:val="none"/>
              </w:rPr>
            </w:pPr>
            <w:r>
              <w:rPr>
                <w:rFonts w:hint="eastAsia" w:ascii="宋体" w:hAnsi="宋体" w:cs="宋体"/>
                <w:color w:val="auto"/>
                <w:sz w:val="24"/>
                <w:highlight w:val="none"/>
              </w:rPr>
              <w:t>22</w:t>
            </w:r>
          </w:p>
        </w:tc>
        <w:tc>
          <w:tcPr>
            <w:tcW w:w="1814" w:type="dxa"/>
            <w:vAlign w:val="center"/>
          </w:tcPr>
          <w:p w14:paraId="681E0E5F">
            <w:pPr>
              <w:adjustRightInd w:val="0"/>
              <w:jc w:val="center"/>
              <w:rPr>
                <w:rFonts w:ascii="宋体" w:hAnsi="宋体" w:cs="宋体"/>
                <w:snapToGrid w:val="0"/>
                <w:color w:val="auto"/>
                <w:sz w:val="24"/>
                <w:highlight w:val="none"/>
              </w:rPr>
            </w:pPr>
            <w:r>
              <w:rPr>
                <w:rFonts w:hint="eastAsia" w:ascii="宋体" w:hAnsi="宋体" w:cs="宋体"/>
                <w:color w:val="auto"/>
                <w:sz w:val="24"/>
                <w:highlight w:val="none"/>
              </w:rPr>
              <w:t>是否允许递交备选投标方案</w:t>
            </w:r>
          </w:p>
        </w:tc>
        <w:tc>
          <w:tcPr>
            <w:tcW w:w="7014" w:type="dxa"/>
            <w:vAlign w:val="center"/>
          </w:tcPr>
          <w:p w14:paraId="1260B036">
            <w:pPr>
              <w:rPr>
                <w:rFonts w:ascii="宋体" w:hAnsi="宋体" w:cs="宋体"/>
                <w:snapToGrid w:val="0"/>
                <w:color w:val="auto"/>
                <w:sz w:val="24"/>
                <w:highlight w:val="none"/>
              </w:rPr>
            </w:pPr>
            <w:r>
              <w:rPr>
                <w:rFonts w:hint="eastAsia" w:ascii="宋体" w:hAnsi="宋体" w:cs="宋体"/>
                <w:snapToGrid w:val="0"/>
                <w:color w:val="auto"/>
                <w:sz w:val="24"/>
                <w:highlight w:val="none"/>
              </w:rPr>
              <w:t>不允许</w:t>
            </w:r>
          </w:p>
        </w:tc>
      </w:tr>
      <w:tr w14:paraId="33DF1EF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90" w:hRule="atLeast"/>
          <w:jc w:val="center"/>
        </w:trPr>
        <w:tc>
          <w:tcPr>
            <w:tcW w:w="894" w:type="dxa"/>
            <w:vAlign w:val="center"/>
          </w:tcPr>
          <w:p w14:paraId="26ACB2C2">
            <w:pPr>
              <w:widowControl/>
              <w:tabs>
                <w:tab w:val="left" w:pos="420"/>
                <w:tab w:val="left" w:pos="1145"/>
              </w:tabs>
              <w:jc w:val="center"/>
              <w:rPr>
                <w:rFonts w:ascii="宋体" w:hAnsi="宋体" w:cs="宋体"/>
                <w:color w:val="auto"/>
                <w:sz w:val="24"/>
                <w:highlight w:val="none"/>
              </w:rPr>
            </w:pPr>
            <w:r>
              <w:rPr>
                <w:rFonts w:hint="eastAsia" w:ascii="宋体" w:hAnsi="宋体" w:cs="宋体"/>
                <w:color w:val="auto"/>
                <w:sz w:val="24"/>
                <w:highlight w:val="none"/>
              </w:rPr>
              <w:t>23</w:t>
            </w:r>
          </w:p>
        </w:tc>
        <w:tc>
          <w:tcPr>
            <w:tcW w:w="1814" w:type="dxa"/>
            <w:vAlign w:val="center"/>
          </w:tcPr>
          <w:p w14:paraId="1EDB8CCB">
            <w:pPr>
              <w:jc w:val="center"/>
              <w:rPr>
                <w:rFonts w:ascii="宋体" w:hAnsi="宋体" w:cs="宋体"/>
                <w:color w:val="auto"/>
                <w:sz w:val="24"/>
                <w:highlight w:val="none"/>
              </w:rPr>
            </w:pPr>
            <w:r>
              <w:rPr>
                <w:rFonts w:hint="eastAsia" w:ascii="宋体" w:hAnsi="宋体" w:cs="宋体"/>
                <w:color w:val="auto"/>
                <w:sz w:val="24"/>
                <w:highlight w:val="none"/>
              </w:rPr>
              <w:t>评审委员会的</w:t>
            </w:r>
          </w:p>
          <w:p w14:paraId="6A04F1FF">
            <w:pPr>
              <w:jc w:val="center"/>
              <w:rPr>
                <w:rFonts w:ascii="宋体" w:hAnsi="宋体" w:cs="宋体"/>
                <w:color w:val="auto"/>
                <w:sz w:val="24"/>
                <w:highlight w:val="none"/>
              </w:rPr>
            </w:pPr>
            <w:r>
              <w:rPr>
                <w:rFonts w:hint="eastAsia" w:ascii="宋体" w:hAnsi="宋体" w:cs="宋体"/>
                <w:color w:val="auto"/>
                <w:sz w:val="24"/>
                <w:highlight w:val="none"/>
              </w:rPr>
              <w:t>组建</w:t>
            </w:r>
          </w:p>
        </w:tc>
        <w:tc>
          <w:tcPr>
            <w:tcW w:w="7014" w:type="dxa"/>
            <w:vAlign w:val="center"/>
          </w:tcPr>
          <w:p w14:paraId="7FC40B8A">
            <w:pPr>
              <w:rPr>
                <w:rFonts w:ascii="宋体" w:hAnsi="宋体" w:cs="宋体"/>
                <w:snapToGrid w:val="0"/>
                <w:color w:val="auto"/>
                <w:sz w:val="24"/>
                <w:highlight w:val="none"/>
              </w:rPr>
            </w:pPr>
            <w:r>
              <w:rPr>
                <w:rFonts w:hint="eastAsia" w:ascii="宋体" w:hAnsi="宋体" w:cs="宋体"/>
                <w:color w:val="auto"/>
                <w:sz w:val="24"/>
                <w:highlight w:val="none"/>
              </w:rPr>
              <w:t>评审委员会构成：由采购人代表以及有关技术、经济等方面的专家组成，成员为5人及以上单数，其中技术、经济类专家不得少于总人数的2/3；评标专家确定方式：按相关规定从专家库中抽取。</w:t>
            </w:r>
          </w:p>
        </w:tc>
      </w:tr>
      <w:tr w14:paraId="1297CEC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894" w:type="dxa"/>
            <w:vAlign w:val="center"/>
          </w:tcPr>
          <w:p w14:paraId="71150D2F">
            <w:pPr>
              <w:widowControl/>
              <w:tabs>
                <w:tab w:val="left" w:pos="420"/>
                <w:tab w:val="left" w:pos="1145"/>
              </w:tabs>
              <w:jc w:val="center"/>
              <w:rPr>
                <w:rFonts w:ascii="宋体" w:hAnsi="宋体" w:cs="宋体"/>
                <w:color w:val="auto"/>
                <w:sz w:val="24"/>
                <w:highlight w:val="none"/>
              </w:rPr>
            </w:pPr>
            <w:r>
              <w:rPr>
                <w:rFonts w:hint="eastAsia" w:ascii="宋体" w:hAnsi="宋体" w:cs="宋体"/>
                <w:color w:val="auto"/>
                <w:sz w:val="24"/>
                <w:highlight w:val="none"/>
              </w:rPr>
              <w:t>24</w:t>
            </w:r>
          </w:p>
        </w:tc>
        <w:tc>
          <w:tcPr>
            <w:tcW w:w="1814" w:type="dxa"/>
            <w:vAlign w:val="center"/>
          </w:tcPr>
          <w:p w14:paraId="27E71C8B">
            <w:pPr>
              <w:adjustRightInd w:val="0"/>
              <w:jc w:val="center"/>
              <w:rPr>
                <w:rFonts w:ascii="宋体" w:hAnsi="宋体" w:cs="宋体"/>
                <w:color w:val="auto"/>
                <w:sz w:val="24"/>
                <w:highlight w:val="none"/>
              </w:rPr>
            </w:pPr>
            <w:r>
              <w:rPr>
                <w:rFonts w:hint="eastAsia" w:ascii="宋体" w:hAnsi="宋体" w:cs="宋体"/>
                <w:color w:val="auto"/>
                <w:sz w:val="24"/>
                <w:highlight w:val="none"/>
              </w:rPr>
              <w:t>政府采购</w:t>
            </w:r>
          </w:p>
          <w:p w14:paraId="2B3C65C2">
            <w:pPr>
              <w:adjustRightInd w:val="0"/>
              <w:jc w:val="center"/>
              <w:rPr>
                <w:rFonts w:ascii="宋体" w:hAnsi="宋体" w:cs="宋体"/>
                <w:color w:val="auto"/>
                <w:sz w:val="24"/>
                <w:highlight w:val="none"/>
              </w:rPr>
            </w:pPr>
            <w:r>
              <w:rPr>
                <w:rFonts w:hint="eastAsia" w:ascii="宋体" w:hAnsi="宋体" w:cs="宋体"/>
                <w:color w:val="auto"/>
                <w:sz w:val="24"/>
                <w:highlight w:val="none"/>
              </w:rPr>
              <w:t>扶持政策</w:t>
            </w:r>
          </w:p>
        </w:tc>
        <w:tc>
          <w:tcPr>
            <w:tcW w:w="7014" w:type="dxa"/>
            <w:vAlign w:val="center"/>
          </w:tcPr>
          <w:p w14:paraId="346345F6">
            <w:pPr>
              <w:rPr>
                <w:rFonts w:ascii="宋体" w:hAnsi="宋体" w:cs="宋体"/>
                <w:color w:val="auto"/>
                <w:sz w:val="24"/>
                <w:highlight w:val="none"/>
              </w:rPr>
            </w:pPr>
            <w:r>
              <w:rPr>
                <w:rFonts w:hint="eastAsia" w:ascii="宋体" w:hAnsi="宋体" w:cs="宋体"/>
                <w:color w:val="auto"/>
                <w:sz w:val="24"/>
                <w:highlight w:val="none"/>
              </w:rPr>
              <w:t>详见第四章政府采购政策功能相关说明</w:t>
            </w:r>
          </w:p>
        </w:tc>
      </w:tr>
      <w:tr w14:paraId="0D65900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90" w:hRule="atLeast"/>
          <w:jc w:val="center"/>
        </w:trPr>
        <w:tc>
          <w:tcPr>
            <w:tcW w:w="894" w:type="dxa"/>
            <w:vAlign w:val="center"/>
          </w:tcPr>
          <w:p w14:paraId="3D42C565">
            <w:pPr>
              <w:widowControl/>
              <w:tabs>
                <w:tab w:val="left" w:pos="420"/>
                <w:tab w:val="left" w:pos="1145"/>
              </w:tabs>
              <w:jc w:val="center"/>
              <w:rPr>
                <w:rFonts w:ascii="宋体" w:hAnsi="宋体" w:cs="宋体"/>
                <w:color w:val="auto"/>
                <w:sz w:val="24"/>
                <w:highlight w:val="none"/>
              </w:rPr>
            </w:pPr>
            <w:r>
              <w:rPr>
                <w:rFonts w:hint="eastAsia" w:ascii="宋体" w:hAnsi="宋体" w:cs="宋体"/>
                <w:color w:val="auto"/>
                <w:sz w:val="24"/>
                <w:highlight w:val="none"/>
              </w:rPr>
              <w:t>25</w:t>
            </w:r>
          </w:p>
        </w:tc>
        <w:tc>
          <w:tcPr>
            <w:tcW w:w="1814" w:type="dxa"/>
            <w:vAlign w:val="center"/>
          </w:tcPr>
          <w:p w14:paraId="6C4ED365">
            <w:pPr>
              <w:jc w:val="center"/>
              <w:rPr>
                <w:rFonts w:ascii="宋体" w:hAnsi="宋体" w:cs="宋体"/>
                <w:color w:val="auto"/>
                <w:sz w:val="24"/>
                <w:highlight w:val="none"/>
              </w:rPr>
            </w:pPr>
            <w:r>
              <w:rPr>
                <w:rFonts w:hint="eastAsia" w:ascii="宋体" w:hAnsi="宋体" w:cs="宋体"/>
                <w:color w:val="auto"/>
                <w:sz w:val="24"/>
                <w:highlight w:val="none"/>
              </w:rPr>
              <w:t>投标人</w:t>
            </w:r>
          </w:p>
          <w:p w14:paraId="5B4DB84D">
            <w:pPr>
              <w:jc w:val="center"/>
              <w:rPr>
                <w:rFonts w:ascii="宋体" w:hAnsi="宋体" w:cs="宋体"/>
                <w:color w:val="auto"/>
                <w:sz w:val="24"/>
                <w:highlight w:val="none"/>
              </w:rPr>
            </w:pPr>
            <w:r>
              <w:rPr>
                <w:rFonts w:hint="eastAsia" w:ascii="宋体" w:hAnsi="宋体" w:cs="宋体"/>
                <w:color w:val="auto"/>
                <w:sz w:val="24"/>
                <w:highlight w:val="none"/>
              </w:rPr>
              <w:t>信用查询</w:t>
            </w:r>
          </w:p>
        </w:tc>
        <w:tc>
          <w:tcPr>
            <w:tcW w:w="7014" w:type="dxa"/>
            <w:vAlign w:val="center"/>
          </w:tcPr>
          <w:p w14:paraId="6CF0CBC8">
            <w:pPr>
              <w:pStyle w:val="37"/>
              <w:adjustRightInd w:val="0"/>
              <w:snapToGrid w:val="0"/>
              <w:jc w:val="left"/>
              <w:rPr>
                <w:rFonts w:ascii="宋体" w:hAnsi="宋体" w:cs="宋体"/>
                <w:color w:val="auto"/>
                <w:highlight w:val="none"/>
              </w:rPr>
            </w:pPr>
            <w:r>
              <w:rPr>
                <w:rFonts w:hint="eastAsia" w:ascii="宋体" w:hAnsi="宋体" w:cs="宋体"/>
                <w:color w:val="auto"/>
                <w:highlight w:val="none"/>
              </w:rPr>
              <w:t>信用记录查询：</w:t>
            </w:r>
          </w:p>
          <w:p w14:paraId="24FB698B">
            <w:pPr>
              <w:pStyle w:val="37"/>
              <w:adjustRightInd w:val="0"/>
              <w:snapToGrid w:val="0"/>
              <w:ind w:firstLine="480" w:firstLineChars="200"/>
              <w:rPr>
                <w:rFonts w:ascii="宋体" w:hAnsi="宋体" w:cs="宋体"/>
                <w:color w:val="auto"/>
                <w:highlight w:val="none"/>
              </w:rPr>
            </w:pPr>
            <w:r>
              <w:rPr>
                <w:rFonts w:hint="eastAsia" w:ascii="宋体" w:hAnsi="宋体" w:cs="宋体"/>
                <w:color w:val="auto"/>
                <w:highlight w:val="none"/>
              </w:rPr>
              <w:t>根据《关于在政府采购活动中查询及使用信用记录有关问题的通知》（财库[2016]125号）要求，采购代理机构会对供应商信用记录进行查询并甄别。</w:t>
            </w:r>
          </w:p>
          <w:p w14:paraId="7554E005">
            <w:pPr>
              <w:pStyle w:val="37"/>
              <w:adjustRightInd w:val="0"/>
              <w:snapToGrid w:val="0"/>
              <w:ind w:firstLine="480" w:firstLineChars="200"/>
              <w:rPr>
                <w:rFonts w:ascii="宋体" w:hAnsi="宋体" w:cs="宋体"/>
                <w:color w:val="auto"/>
                <w:highlight w:val="none"/>
              </w:rPr>
            </w:pPr>
            <w:r>
              <w:rPr>
                <w:rFonts w:hint="eastAsia" w:ascii="宋体" w:hAnsi="宋体" w:cs="宋体"/>
                <w:color w:val="auto"/>
                <w:highlight w:val="none"/>
              </w:rPr>
              <w:t>1.信用信息查询截止时点：提交投标文件（投标文件）截止时间前3年内；</w:t>
            </w:r>
          </w:p>
          <w:p w14:paraId="00EE989E">
            <w:pPr>
              <w:pStyle w:val="37"/>
              <w:adjustRightInd w:val="0"/>
              <w:snapToGrid w:val="0"/>
              <w:ind w:firstLine="480" w:firstLineChars="200"/>
              <w:rPr>
                <w:rFonts w:ascii="宋体" w:hAnsi="宋体" w:cs="宋体"/>
                <w:color w:val="auto"/>
                <w:highlight w:val="none"/>
              </w:rPr>
            </w:pPr>
            <w:r>
              <w:rPr>
                <w:rFonts w:hint="eastAsia" w:ascii="宋体" w:hAnsi="宋体" w:cs="宋体"/>
                <w:color w:val="auto"/>
                <w:highlight w:val="none"/>
              </w:rPr>
              <w:t>2.查询渠道：</w:t>
            </w:r>
          </w:p>
          <w:p w14:paraId="06CA8896">
            <w:pPr>
              <w:pStyle w:val="37"/>
              <w:adjustRightInd w:val="0"/>
              <w:snapToGrid w:val="0"/>
              <w:ind w:firstLine="480" w:firstLineChars="200"/>
              <w:rPr>
                <w:rFonts w:ascii="宋体" w:hAnsi="宋体" w:cs="宋体"/>
                <w:color w:val="auto"/>
                <w:highlight w:val="none"/>
              </w:rPr>
            </w:pPr>
            <w:r>
              <w:rPr>
                <w:rFonts w:hint="eastAsia" w:ascii="宋体" w:hAnsi="宋体" w:cs="宋体"/>
                <w:color w:val="auto"/>
                <w:highlight w:val="none"/>
              </w:rPr>
              <w:t>信用中国（www.creditchina.gov.cn）；</w:t>
            </w:r>
          </w:p>
          <w:p w14:paraId="23BC1273">
            <w:pPr>
              <w:pStyle w:val="37"/>
              <w:adjustRightInd w:val="0"/>
              <w:snapToGrid w:val="0"/>
              <w:ind w:firstLine="480" w:firstLineChars="200"/>
              <w:rPr>
                <w:rFonts w:ascii="宋体" w:hAnsi="宋体" w:cs="宋体"/>
                <w:color w:val="auto"/>
                <w:highlight w:val="none"/>
              </w:rPr>
            </w:pPr>
            <w:r>
              <w:rPr>
                <w:rFonts w:hint="eastAsia" w:ascii="宋体" w:hAnsi="宋体" w:cs="宋体"/>
                <w:color w:val="auto"/>
                <w:highlight w:val="none"/>
              </w:rPr>
              <w:t>中国政府采购网（www.ccgp.gov.cn）；</w:t>
            </w:r>
          </w:p>
          <w:p w14:paraId="7A62B3F6">
            <w:pPr>
              <w:pStyle w:val="37"/>
              <w:adjustRightInd w:val="0"/>
              <w:snapToGrid w:val="0"/>
              <w:ind w:firstLine="480" w:firstLineChars="200"/>
              <w:rPr>
                <w:rFonts w:ascii="宋体" w:hAnsi="宋体" w:cs="宋体"/>
                <w:color w:val="auto"/>
                <w:highlight w:val="none"/>
              </w:rPr>
            </w:pPr>
            <w:r>
              <w:rPr>
                <w:rFonts w:hint="eastAsia" w:ascii="宋体" w:hAnsi="宋体" w:cs="宋体"/>
                <w:color w:val="auto"/>
                <w:highlight w:val="none"/>
              </w:rPr>
              <w:t>3.信用信息查询记录和证据留存具体方式：采购代理机构经办人和监督人员将查询网页打印、签字与其他招标文件一并保存；</w:t>
            </w:r>
          </w:p>
          <w:p w14:paraId="45363258">
            <w:pPr>
              <w:pStyle w:val="37"/>
              <w:adjustRightInd w:val="0"/>
              <w:snapToGrid w:val="0"/>
              <w:ind w:firstLine="480" w:firstLineChars="200"/>
              <w:rPr>
                <w:rFonts w:ascii="宋体" w:hAnsi="宋体" w:cs="宋体"/>
                <w:color w:val="auto"/>
                <w:highlight w:val="none"/>
              </w:rPr>
            </w:pPr>
            <w:r>
              <w:rPr>
                <w:rFonts w:hint="eastAsia" w:ascii="宋体" w:hAnsi="宋体" w:cs="宋体"/>
                <w:color w:val="auto"/>
                <w:highlight w:val="none"/>
              </w:rPr>
              <w:t>4.信用信息的使用规则：被列入失信被执行人、重大税收违法失信主体、政府采购严重违法失信行为记录名单及其它不符合《中华人民共和国政府采购法》第二十二条规定条件的，其投标将被拒绝。</w:t>
            </w:r>
          </w:p>
          <w:p w14:paraId="63EE37C1">
            <w:pPr>
              <w:pStyle w:val="37"/>
              <w:adjustRightInd w:val="0"/>
              <w:snapToGrid w:val="0"/>
              <w:ind w:firstLine="480" w:firstLineChars="200"/>
              <w:rPr>
                <w:rFonts w:ascii="宋体" w:hAnsi="宋体" w:cs="宋体"/>
                <w:color w:val="auto"/>
                <w:highlight w:val="none"/>
              </w:rPr>
            </w:pPr>
            <w:r>
              <w:rPr>
                <w:rFonts w:hint="eastAsia" w:ascii="宋体" w:hAnsi="宋体" w:cs="宋体"/>
                <w:color w:val="auto"/>
                <w:highlight w:val="none"/>
              </w:rPr>
              <w:t>5.联合体成员任意一方存在不良信用记录的，视同联合体存在不良信用记录。</w:t>
            </w:r>
          </w:p>
        </w:tc>
      </w:tr>
      <w:tr w14:paraId="5BA0AE3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894" w:type="dxa"/>
            <w:vAlign w:val="center"/>
          </w:tcPr>
          <w:p w14:paraId="6BDBE579">
            <w:pPr>
              <w:widowControl/>
              <w:tabs>
                <w:tab w:val="left" w:pos="420"/>
                <w:tab w:val="left" w:pos="1145"/>
              </w:tabs>
              <w:jc w:val="center"/>
              <w:rPr>
                <w:rFonts w:ascii="宋体" w:hAnsi="宋体" w:cs="宋体"/>
                <w:color w:val="auto"/>
                <w:sz w:val="24"/>
                <w:highlight w:val="none"/>
              </w:rPr>
            </w:pPr>
            <w:r>
              <w:rPr>
                <w:rFonts w:hint="eastAsia" w:ascii="宋体" w:hAnsi="宋体" w:cs="宋体"/>
                <w:color w:val="auto"/>
                <w:sz w:val="24"/>
                <w:highlight w:val="none"/>
              </w:rPr>
              <w:t>26</w:t>
            </w:r>
          </w:p>
        </w:tc>
        <w:tc>
          <w:tcPr>
            <w:tcW w:w="1814" w:type="dxa"/>
            <w:vAlign w:val="center"/>
          </w:tcPr>
          <w:p w14:paraId="21735543">
            <w:pPr>
              <w:jc w:val="center"/>
              <w:rPr>
                <w:rFonts w:ascii="宋体" w:hAnsi="宋体" w:cs="宋体"/>
                <w:color w:val="auto"/>
                <w:sz w:val="24"/>
                <w:highlight w:val="none"/>
              </w:rPr>
            </w:pPr>
            <w:r>
              <w:rPr>
                <w:rFonts w:hint="eastAsia" w:ascii="宋体" w:hAnsi="宋体" w:cs="宋体"/>
                <w:color w:val="auto"/>
                <w:sz w:val="24"/>
                <w:highlight w:val="none"/>
              </w:rPr>
              <w:t>合同备案</w:t>
            </w:r>
          </w:p>
        </w:tc>
        <w:tc>
          <w:tcPr>
            <w:tcW w:w="7014" w:type="dxa"/>
            <w:vAlign w:val="center"/>
          </w:tcPr>
          <w:p w14:paraId="21A4FC19">
            <w:pPr>
              <w:rPr>
                <w:rFonts w:ascii="宋体" w:hAnsi="宋体" w:cs="宋体"/>
                <w:color w:val="auto"/>
                <w:highlight w:val="none"/>
              </w:rPr>
            </w:pPr>
            <w:r>
              <w:rPr>
                <w:rFonts w:hint="eastAsia" w:ascii="宋体" w:hAnsi="宋体" w:cs="宋体"/>
                <w:color w:val="auto"/>
                <w:sz w:val="24"/>
                <w:highlight w:val="none"/>
              </w:rPr>
              <w:t>中标人与采购人签订合同后，2个工作日内将合同原件送至采购代理机构上传浙江政府采购网政采云平台备案，并在浙江政府采购网予以公告。</w:t>
            </w:r>
          </w:p>
        </w:tc>
      </w:tr>
      <w:tr w14:paraId="1C9300C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894" w:type="dxa"/>
            <w:vAlign w:val="center"/>
          </w:tcPr>
          <w:p w14:paraId="56F1739E">
            <w:pPr>
              <w:widowControl/>
              <w:tabs>
                <w:tab w:val="left" w:pos="420"/>
                <w:tab w:val="left" w:pos="1145"/>
              </w:tabs>
              <w:jc w:val="center"/>
              <w:rPr>
                <w:rFonts w:ascii="宋体" w:hAnsi="宋体" w:cs="宋体"/>
                <w:color w:val="auto"/>
                <w:sz w:val="24"/>
                <w:highlight w:val="none"/>
              </w:rPr>
            </w:pPr>
            <w:r>
              <w:rPr>
                <w:rFonts w:hint="eastAsia" w:ascii="宋体" w:hAnsi="宋体" w:cs="宋体"/>
                <w:color w:val="auto"/>
                <w:sz w:val="24"/>
                <w:highlight w:val="none"/>
              </w:rPr>
              <w:t>27</w:t>
            </w:r>
          </w:p>
        </w:tc>
        <w:tc>
          <w:tcPr>
            <w:tcW w:w="1814" w:type="dxa"/>
            <w:vAlign w:val="center"/>
          </w:tcPr>
          <w:p w14:paraId="48A31082">
            <w:pPr>
              <w:jc w:val="center"/>
              <w:rPr>
                <w:rFonts w:ascii="宋体" w:hAnsi="宋体" w:cs="宋体"/>
                <w:color w:val="auto"/>
                <w:sz w:val="24"/>
                <w:highlight w:val="none"/>
              </w:rPr>
            </w:pPr>
            <w:r>
              <w:rPr>
                <w:rFonts w:hint="eastAsia" w:ascii="宋体" w:hAnsi="宋体" w:cs="宋体"/>
                <w:color w:val="auto"/>
                <w:sz w:val="24"/>
                <w:highlight w:val="none"/>
              </w:rPr>
              <w:t>合同履约管理</w:t>
            </w:r>
          </w:p>
        </w:tc>
        <w:tc>
          <w:tcPr>
            <w:tcW w:w="7014" w:type="dxa"/>
            <w:vAlign w:val="center"/>
          </w:tcPr>
          <w:p w14:paraId="1F0AB289">
            <w:pPr>
              <w:rPr>
                <w:rFonts w:ascii="宋体" w:hAnsi="宋体" w:cs="宋体"/>
                <w:color w:val="auto"/>
                <w:sz w:val="24"/>
                <w:highlight w:val="none"/>
              </w:rPr>
            </w:pPr>
            <w:r>
              <w:rPr>
                <w:rFonts w:hint="eastAsia" w:ascii="宋体" w:hAnsi="宋体" w:cs="宋体"/>
                <w:color w:val="auto"/>
                <w:sz w:val="24"/>
                <w:highlight w:val="none"/>
              </w:rPr>
              <w:t>1.合同签订后，采购人依法加强对合同履约进行管理，并在中标单位服务、项目验收等重要关节，如实填写《合同验收报告》，并及时向同级财政部门报告验收过程中遇到的问题。</w:t>
            </w:r>
          </w:p>
          <w:p w14:paraId="18AA58D7">
            <w:pPr>
              <w:rPr>
                <w:rFonts w:ascii="宋体" w:hAnsi="宋体" w:cs="宋体"/>
                <w:color w:val="auto"/>
                <w:sz w:val="24"/>
                <w:highlight w:val="none"/>
              </w:rPr>
            </w:pPr>
            <w:r>
              <w:rPr>
                <w:rFonts w:hint="eastAsia" w:ascii="宋体" w:hAnsi="宋体" w:cs="宋体"/>
                <w:b/>
                <w:bCs/>
                <w:color w:val="auto"/>
                <w:sz w:val="24"/>
                <w:highlight w:val="none"/>
              </w:rPr>
              <w:t>2.验收合格后将验收报告上传政采云系统公开公告（也可将验收报告发送至代理机构77254778@qq.com邮箱，由代理机构上传后公告）。</w:t>
            </w:r>
          </w:p>
        </w:tc>
      </w:tr>
      <w:tr w14:paraId="71F1859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894" w:type="dxa"/>
            <w:vAlign w:val="center"/>
          </w:tcPr>
          <w:p w14:paraId="43F88C93">
            <w:pPr>
              <w:widowControl/>
              <w:tabs>
                <w:tab w:val="left" w:pos="420"/>
                <w:tab w:val="left" w:pos="1145"/>
              </w:tabs>
              <w:jc w:val="center"/>
              <w:rPr>
                <w:rFonts w:ascii="宋体" w:hAnsi="宋体" w:cs="宋体"/>
                <w:color w:val="auto"/>
                <w:sz w:val="24"/>
                <w:highlight w:val="none"/>
              </w:rPr>
            </w:pPr>
            <w:r>
              <w:rPr>
                <w:rFonts w:hint="eastAsia" w:ascii="宋体" w:hAnsi="宋体" w:cs="宋体"/>
                <w:color w:val="auto"/>
                <w:sz w:val="24"/>
                <w:highlight w:val="none"/>
              </w:rPr>
              <w:t>28</w:t>
            </w:r>
          </w:p>
        </w:tc>
        <w:tc>
          <w:tcPr>
            <w:tcW w:w="1814" w:type="dxa"/>
            <w:vAlign w:val="center"/>
          </w:tcPr>
          <w:p w14:paraId="727BDF51">
            <w:pPr>
              <w:jc w:val="center"/>
              <w:rPr>
                <w:rFonts w:ascii="宋体" w:hAnsi="宋体" w:cs="宋体"/>
                <w:color w:val="auto"/>
                <w:sz w:val="24"/>
                <w:highlight w:val="none"/>
              </w:rPr>
            </w:pPr>
            <w:r>
              <w:rPr>
                <w:rFonts w:hint="eastAsia" w:ascii="宋体" w:hAnsi="宋体" w:cs="宋体"/>
                <w:color w:val="auto"/>
                <w:sz w:val="24"/>
                <w:highlight w:val="none"/>
              </w:rPr>
              <w:t>相关费用</w:t>
            </w:r>
          </w:p>
        </w:tc>
        <w:tc>
          <w:tcPr>
            <w:tcW w:w="7014" w:type="dxa"/>
            <w:vAlign w:val="center"/>
          </w:tcPr>
          <w:p w14:paraId="1CD37212">
            <w:pPr>
              <w:rPr>
                <w:rFonts w:ascii="宋体" w:hAnsi="宋体" w:cs="宋体"/>
                <w:color w:val="auto"/>
                <w:sz w:val="24"/>
                <w:highlight w:val="none"/>
              </w:rPr>
            </w:pPr>
            <w:r>
              <w:rPr>
                <w:rFonts w:hint="eastAsia" w:ascii="宋体" w:hAnsi="宋体" w:cs="宋体"/>
                <w:color w:val="auto"/>
                <w:sz w:val="24"/>
                <w:highlight w:val="none"/>
              </w:rPr>
              <w:t>1.投标人自行承担投标过程中产生的费用。无论何种因素导致采购项目延期开标、废标（流标）、投标人未中标、项目终止采购的，采购人与采购机构均不承担供应商投标费用。</w:t>
            </w:r>
          </w:p>
          <w:p w14:paraId="49C45E51">
            <w:pPr>
              <w:rPr>
                <w:rFonts w:ascii="宋体" w:hAnsi="宋体" w:cs="宋体"/>
                <w:color w:val="auto"/>
                <w:sz w:val="24"/>
                <w:highlight w:val="none"/>
              </w:rPr>
            </w:pPr>
            <w:r>
              <w:rPr>
                <w:rFonts w:hint="eastAsia" w:ascii="宋体" w:hAnsi="宋体" w:cs="宋体"/>
                <w:color w:val="auto"/>
                <w:sz w:val="24"/>
                <w:highlight w:val="none"/>
              </w:rPr>
              <w:t>2.投标人在投标、合同履行过程中必须做好安全保障工作，不因项目实施而危及自身及第三方人员、财产安全。若发生任何安全事故，由中标人自行承担一切责任并赔偿损失。</w:t>
            </w:r>
          </w:p>
          <w:p w14:paraId="5DD4E511">
            <w:pPr>
              <w:rPr>
                <w:rFonts w:ascii="宋体" w:hAnsi="宋体" w:cs="宋体"/>
                <w:color w:val="auto"/>
                <w:sz w:val="24"/>
                <w:highlight w:val="none"/>
              </w:rPr>
            </w:pPr>
            <w:r>
              <w:rPr>
                <w:rFonts w:hint="eastAsia" w:ascii="宋体" w:hAnsi="宋体" w:cs="宋体"/>
                <w:color w:val="auto"/>
                <w:sz w:val="24"/>
                <w:highlight w:val="none"/>
              </w:rPr>
              <w:t>3.本项目代理服务费</w:t>
            </w:r>
            <w:r>
              <w:rPr>
                <w:rFonts w:hint="eastAsia" w:ascii="宋体" w:hAnsi="宋体" w:cs="宋体"/>
                <w:color w:val="auto"/>
                <w:sz w:val="24"/>
                <w:highlight w:val="none"/>
                <w:lang w:val="en-US" w:eastAsia="zh-CN"/>
              </w:rPr>
              <w:t>按照</w:t>
            </w:r>
            <w:r>
              <w:rPr>
                <w:rFonts w:hint="eastAsia" w:ascii="宋体" w:hAnsi="宋体" w:cs="宋体"/>
                <w:color w:val="auto"/>
                <w:sz w:val="24"/>
                <w:highlight w:val="none"/>
              </w:rPr>
              <w:t>《招标代理服务收费管理暂行办法》（计价格〔2002〕1980号）收费标准计收，由代理机构向中标单位收取，收取时间为领取中标通知书前。供应商可通过电汇、转账方式交至以下银行账号：0188990019001294，收款单位（户名）：金华市万全招标代理有限公司，开户银行：金华银行营业部。</w:t>
            </w:r>
          </w:p>
          <w:p w14:paraId="03694A07">
            <w:pPr>
              <w:rPr>
                <w:rFonts w:ascii="宋体" w:hAnsi="宋体" w:cs="宋体"/>
                <w:color w:val="auto"/>
                <w:sz w:val="24"/>
                <w:highlight w:val="none"/>
              </w:rPr>
            </w:pPr>
            <w:r>
              <w:rPr>
                <w:rFonts w:hint="eastAsia" w:ascii="宋体" w:hAnsi="宋体" w:cs="宋体"/>
                <w:color w:val="auto"/>
                <w:sz w:val="24"/>
                <w:highlight w:val="none"/>
              </w:rPr>
              <w:t>4.根据《浙江省财政厅关于明确政府采购保证金管理工作的通知》（浙财采监〔2019〕5号）文件，因中标人原因放弃中标资格或因中标人违反政府采购相关规定被取消中标资格，重新组织招标的，须正常向代理机构支付代理服务费。</w:t>
            </w:r>
          </w:p>
        </w:tc>
      </w:tr>
      <w:tr w14:paraId="25CC2DC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894" w:type="dxa"/>
            <w:vAlign w:val="center"/>
          </w:tcPr>
          <w:p w14:paraId="7A9F2DC1">
            <w:pPr>
              <w:widowControl/>
              <w:tabs>
                <w:tab w:val="left" w:pos="420"/>
                <w:tab w:val="left" w:pos="1145"/>
              </w:tabs>
              <w:jc w:val="center"/>
              <w:rPr>
                <w:rFonts w:ascii="宋体" w:hAnsi="宋体" w:cs="宋体"/>
                <w:color w:val="auto"/>
                <w:sz w:val="24"/>
                <w:highlight w:val="none"/>
              </w:rPr>
            </w:pPr>
            <w:r>
              <w:rPr>
                <w:rFonts w:hint="eastAsia" w:ascii="宋体" w:hAnsi="宋体" w:cs="宋体"/>
                <w:color w:val="auto"/>
                <w:sz w:val="24"/>
                <w:highlight w:val="none"/>
              </w:rPr>
              <w:t>29</w:t>
            </w:r>
          </w:p>
        </w:tc>
        <w:tc>
          <w:tcPr>
            <w:tcW w:w="1814" w:type="dxa"/>
            <w:vAlign w:val="center"/>
          </w:tcPr>
          <w:p w14:paraId="04463CD8">
            <w:pPr>
              <w:jc w:val="center"/>
              <w:rPr>
                <w:rFonts w:ascii="宋体" w:hAnsi="宋体" w:cs="宋体"/>
                <w:color w:val="auto"/>
                <w:sz w:val="24"/>
                <w:highlight w:val="none"/>
              </w:rPr>
            </w:pPr>
            <w:r>
              <w:rPr>
                <w:rFonts w:hint="eastAsia" w:ascii="宋体" w:hAnsi="宋体" w:cs="宋体"/>
                <w:color w:val="auto"/>
                <w:sz w:val="24"/>
                <w:highlight w:val="none"/>
              </w:rPr>
              <w:t>解释权</w:t>
            </w:r>
          </w:p>
        </w:tc>
        <w:tc>
          <w:tcPr>
            <w:tcW w:w="7014" w:type="dxa"/>
            <w:vAlign w:val="center"/>
          </w:tcPr>
          <w:p w14:paraId="577F3378">
            <w:pPr>
              <w:rPr>
                <w:rFonts w:ascii="宋体" w:hAnsi="宋体" w:cs="宋体"/>
                <w:color w:val="auto"/>
                <w:sz w:val="24"/>
                <w:highlight w:val="none"/>
              </w:rPr>
            </w:pPr>
            <w:r>
              <w:rPr>
                <w:rFonts w:hint="eastAsia" w:ascii="宋体" w:hAnsi="宋体" w:cs="宋体"/>
                <w:color w:val="auto"/>
                <w:sz w:val="24"/>
                <w:highlight w:val="none"/>
              </w:rPr>
              <w:t>构成本招标文件的各个组成文件应互为解释，互为说明；如有不明确或不一致，按招标公告、招标需求、投标人须知、评标办法、投标文件格式的先后顺序解释；同一文件中就同一事项的约定不一致的，以逻辑顺序在后者为准；同一文件不同版本之间有不一致的，以形成时间在后者为准。按本款前述约定仍不能形成结论的，由代理机构或采购人负责解释。</w:t>
            </w:r>
          </w:p>
        </w:tc>
      </w:tr>
      <w:tr w14:paraId="428E01B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894" w:type="dxa"/>
            <w:vAlign w:val="center"/>
          </w:tcPr>
          <w:p w14:paraId="32DF2E84">
            <w:pPr>
              <w:widowControl/>
              <w:tabs>
                <w:tab w:val="left" w:pos="420"/>
                <w:tab w:val="left" w:pos="1145"/>
              </w:tabs>
              <w:jc w:val="center"/>
              <w:rPr>
                <w:rFonts w:ascii="宋体" w:hAnsi="宋体" w:cs="宋体"/>
                <w:color w:val="auto"/>
                <w:sz w:val="24"/>
                <w:highlight w:val="none"/>
              </w:rPr>
            </w:pPr>
            <w:r>
              <w:rPr>
                <w:rFonts w:hint="eastAsia" w:ascii="宋体" w:hAnsi="宋体" w:cs="宋体"/>
                <w:color w:val="auto"/>
                <w:sz w:val="24"/>
                <w:highlight w:val="none"/>
              </w:rPr>
              <w:t>30</w:t>
            </w:r>
          </w:p>
        </w:tc>
        <w:tc>
          <w:tcPr>
            <w:tcW w:w="1814" w:type="dxa"/>
            <w:vAlign w:val="center"/>
          </w:tcPr>
          <w:p w14:paraId="38CE36CF">
            <w:pPr>
              <w:jc w:val="center"/>
              <w:rPr>
                <w:rFonts w:ascii="宋体" w:hAnsi="宋体" w:cs="宋体"/>
                <w:color w:val="auto"/>
                <w:sz w:val="24"/>
                <w:highlight w:val="none"/>
              </w:rPr>
            </w:pPr>
            <w:r>
              <w:rPr>
                <w:rFonts w:hint="eastAsia" w:ascii="宋体" w:hAnsi="宋体" w:cs="宋体"/>
                <w:color w:val="auto"/>
                <w:sz w:val="24"/>
                <w:highlight w:val="none"/>
              </w:rPr>
              <w:t>投标有效期</w:t>
            </w:r>
          </w:p>
        </w:tc>
        <w:tc>
          <w:tcPr>
            <w:tcW w:w="7014" w:type="dxa"/>
            <w:vAlign w:val="center"/>
          </w:tcPr>
          <w:p w14:paraId="1288A101">
            <w:pPr>
              <w:rPr>
                <w:rFonts w:ascii="宋体" w:hAnsi="宋体" w:cs="宋体"/>
                <w:color w:val="auto"/>
                <w:sz w:val="24"/>
                <w:highlight w:val="none"/>
              </w:rPr>
            </w:pPr>
            <w:r>
              <w:rPr>
                <w:rFonts w:hint="eastAsia" w:ascii="宋体" w:hAnsi="宋体" w:cs="宋体"/>
                <w:color w:val="auto"/>
                <w:sz w:val="24"/>
                <w:highlight w:val="none"/>
              </w:rPr>
              <w:t>提交投标文件截止时间起90天。</w:t>
            </w:r>
          </w:p>
        </w:tc>
      </w:tr>
      <w:tr w14:paraId="127456E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894" w:type="dxa"/>
            <w:vAlign w:val="center"/>
          </w:tcPr>
          <w:p w14:paraId="74E889EE">
            <w:pPr>
              <w:widowControl/>
              <w:tabs>
                <w:tab w:val="left" w:pos="420"/>
                <w:tab w:val="left" w:pos="1145"/>
              </w:tabs>
              <w:jc w:val="center"/>
              <w:rPr>
                <w:rFonts w:ascii="宋体" w:hAnsi="宋体" w:cs="宋体"/>
                <w:color w:val="auto"/>
                <w:sz w:val="24"/>
                <w:highlight w:val="none"/>
              </w:rPr>
            </w:pPr>
            <w:r>
              <w:rPr>
                <w:rFonts w:hint="eastAsia" w:ascii="宋体" w:hAnsi="宋体" w:cs="宋体"/>
                <w:color w:val="auto"/>
                <w:sz w:val="24"/>
                <w:highlight w:val="none"/>
              </w:rPr>
              <w:t>31</w:t>
            </w:r>
          </w:p>
        </w:tc>
        <w:tc>
          <w:tcPr>
            <w:tcW w:w="1814" w:type="dxa"/>
            <w:vAlign w:val="center"/>
          </w:tcPr>
          <w:p w14:paraId="1D51FA73">
            <w:pPr>
              <w:jc w:val="center"/>
              <w:rPr>
                <w:rFonts w:ascii="宋体" w:hAnsi="宋体" w:cs="宋体"/>
                <w:color w:val="auto"/>
                <w:sz w:val="24"/>
                <w:highlight w:val="none"/>
              </w:rPr>
            </w:pPr>
            <w:r>
              <w:rPr>
                <w:rFonts w:hint="eastAsia" w:ascii="宋体" w:hAnsi="宋体" w:cs="宋体"/>
                <w:color w:val="auto"/>
                <w:sz w:val="24"/>
                <w:highlight w:val="none"/>
              </w:rPr>
              <w:t>注意事项</w:t>
            </w:r>
          </w:p>
        </w:tc>
        <w:tc>
          <w:tcPr>
            <w:tcW w:w="7014" w:type="dxa"/>
            <w:vAlign w:val="center"/>
          </w:tcPr>
          <w:p w14:paraId="6FB97E3B">
            <w:pPr>
              <w:rPr>
                <w:rFonts w:ascii="宋体" w:hAnsi="宋体" w:cs="宋体"/>
                <w:color w:val="auto"/>
                <w:sz w:val="24"/>
                <w:highlight w:val="none"/>
              </w:rPr>
            </w:pPr>
            <w:r>
              <w:rPr>
                <w:rFonts w:hint="eastAsia" w:ascii="宋体" w:hAnsi="宋体" w:cs="宋体"/>
                <w:color w:val="auto"/>
                <w:sz w:val="24"/>
                <w:highlight w:val="none"/>
              </w:rPr>
              <w:t>1.请务必确保投标文件制作客户端为最新版本，旧版本可能导致投标文件解密失败。</w:t>
            </w:r>
          </w:p>
          <w:p w14:paraId="4DCC0DAD">
            <w:pPr>
              <w:rPr>
                <w:rFonts w:ascii="宋体" w:hAnsi="宋体" w:cs="宋体"/>
                <w:color w:val="auto"/>
                <w:sz w:val="24"/>
                <w:highlight w:val="none"/>
              </w:rPr>
            </w:pPr>
            <w:r>
              <w:rPr>
                <w:rFonts w:hint="eastAsia" w:ascii="宋体" w:hAnsi="宋体" w:cs="宋体"/>
                <w:color w:val="auto"/>
                <w:sz w:val="24"/>
                <w:highlight w:val="none"/>
              </w:rPr>
              <w:t>2.请务必确保投标文件制作时所用的 CA 锁与投标文件解密时的 CA 锁为同一把，否则可能导致投标文件解密失败。</w:t>
            </w:r>
          </w:p>
        </w:tc>
      </w:tr>
      <w:tr w14:paraId="38402CF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894" w:type="dxa"/>
            <w:vAlign w:val="center"/>
          </w:tcPr>
          <w:p w14:paraId="40FD3141">
            <w:pPr>
              <w:widowControl/>
              <w:tabs>
                <w:tab w:val="left" w:pos="420"/>
                <w:tab w:val="left" w:pos="1145"/>
              </w:tabs>
              <w:jc w:val="center"/>
              <w:rPr>
                <w:rFonts w:ascii="宋体" w:hAnsi="宋体" w:cs="宋体"/>
                <w:color w:val="auto"/>
                <w:sz w:val="24"/>
                <w:highlight w:val="none"/>
              </w:rPr>
            </w:pPr>
            <w:r>
              <w:rPr>
                <w:rFonts w:hint="eastAsia" w:ascii="宋体" w:hAnsi="宋体" w:cs="宋体"/>
                <w:color w:val="auto"/>
                <w:sz w:val="24"/>
                <w:highlight w:val="none"/>
              </w:rPr>
              <w:t>32</w:t>
            </w:r>
          </w:p>
        </w:tc>
        <w:tc>
          <w:tcPr>
            <w:tcW w:w="1814" w:type="dxa"/>
            <w:vAlign w:val="center"/>
          </w:tcPr>
          <w:p w14:paraId="46E7FD5F">
            <w:pPr>
              <w:jc w:val="center"/>
              <w:rPr>
                <w:rFonts w:ascii="宋体" w:hAnsi="宋体" w:cs="宋体"/>
                <w:color w:val="auto"/>
                <w:sz w:val="24"/>
                <w:highlight w:val="none"/>
              </w:rPr>
            </w:pPr>
            <w:r>
              <w:rPr>
                <w:rFonts w:hint="eastAsia" w:ascii="宋体" w:hAnsi="宋体" w:cs="宋体"/>
                <w:color w:val="auto"/>
                <w:sz w:val="24"/>
                <w:highlight w:val="none"/>
              </w:rPr>
              <w:t>其他</w:t>
            </w:r>
          </w:p>
        </w:tc>
        <w:tc>
          <w:tcPr>
            <w:tcW w:w="7014" w:type="dxa"/>
            <w:vAlign w:val="center"/>
          </w:tcPr>
          <w:p w14:paraId="4CDF3BA8">
            <w:pPr>
              <w:rPr>
                <w:rFonts w:ascii="宋体" w:hAnsi="宋体" w:cs="宋体"/>
                <w:color w:val="auto"/>
                <w:sz w:val="24"/>
                <w:highlight w:val="none"/>
              </w:rPr>
            </w:pPr>
            <w:r>
              <w:rPr>
                <w:rFonts w:hint="eastAsia" w:ascii="宋体" w:hAnsi="宋体" w:cs="宋体"/>
                <w:color w:val="auto"/>
                <w:sz w:val="24"/>
                <w:highlight w:val="none"/>
              </w:rPr>
              <w:t>1.根据《浙江省财政厅关于规范政府采购供应商资格设定及资格审查的通知》（浙财采监[2013]24号）第6条规定</w:t>
            </w:r>
            <w:r>
              <w:rPr>
                <w:rFonts w:hint="eastAsia" w:ascii="宋体" w:hAnsi="宋体" w:cs="宋体"/>
                <w:color w:val="auto"/>
                <w:sz w:val="24"/>
                <w:highlight w:val="none"/>
                <w:lang w:eastAsia="zh-CN"/>
              </w:rPr>
              <w:t>，</w:t>
            </w:r>
            <w:r>
              <w:rPr>
                <w:rFonts w:hint="eastAsia" w:ascii="宋体" w:hAnsi="宋体" w:cs="宋体"/>
                <w:color w:val="auto"/>
                <w:sz w:val="24"/>
                <w:highlight w:val="none"/>
              </w:rPr>
              <w:t>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w:t>
            </w:r>
            <w:r>
              <w:rPr>
                <w:rFonts w:hint="eastAsia" w:ascii="宋体" w:hAnsi="宋体" w:cs="宋体"/>
                <w:color w:val="auto"/>
                <w:sz w:val="24"/>
                <w:highlight w:val="none"/>
                <w:lang w:eastAsia="zh-CN"/>
              </w:rPr>
              <w:t>，可以允许其独立参加政府采购活动</w:t>
            </w:r>
            <w:r>
              <w:rPr>
                <w:rFonts w:hint="eastAsia" w:ascii="宋体" w:hAnsi="宋体" w:cs="宋体"/>
                <w:color w:val="auto"/>
                <w:sz w:val="24"/>
                <w:highlight w:val="none"/>
              </w:rPr>
              <w:t>，由单位负责人签署相关文件材料</w:t>
            </w:r>
            <w:r>
              <w:rPr>
                <w:rFonts w:hint="eastAsia" w:ascii="宋体" w:hAnsi="宋体" w:cs="宋体"/>
                <w:color w:val="auto"/>
                <w:sz w:val="24"/>
                <w:highlight w:val="none"/>
                <w:lang w:eastAsia="zh-CN"/>
              </w:rPr>
              <w:t>。</w:t>
            </w:r>
          </w:p>
        </w:tc>
      </w:tr>
    </w:tbl>
    <w:p w14:paraId="3DD8EDAD">
      <w:pPr>
        <w:pStyle w:val="24"/>
        <w:snapToGrid w:val="0"/>
        <w:spacing w:beforeLines="0" w:afterLines="0"/>
        <w:ind w:firstLine="482" w:firstLineChars="200"/>
        <w:rPr>
          <w:rFonts w:hint="default" w:ascii="黑体" w:hAnsi="宋体" w:eastAsia="黑体"/>
          <w:b/>
          <w:color w:val="auto"/>
          <w:highlight w:val="none"/>
        </w:rPr>
      </w:pPr>
      <w:r>
        <w:rPr>
          <w:rFonts w:hint="default" w:ascii="黑体" w:hAnsi="宋体" w:eastAsia="黑体"/>
          <w:b/>
          <w:color w:val="auto"/>
          <w:sz w:val="24"/>
          <w:szCs w:val="24"/>
          <w:highlight w:val="none"/>
        </w:rPr>
        <w:br w:type="page"/>
      </w:r>
      <w:r>
        <w:rPr>
          <w:rFonts w:ascii="黑体" w:hAnsi="宋体" w:eastAsia="黑体"/>
          <w:b/>
          <w:color w:val="auto"/>
          <w:sz w:val="24"/>
          <w:szCs w:val="24"/>
          <w:highlight w:val="none"/>
        </w:rPr>
        <w:t>一、总  则</w:t>
      </w:r>
    </w:p>
    <w:p w14:paraId="4D6B7D16">
      <w:pPr>
        <w:snapToGrid w:val="0"/>
        <w:spacing w:line="400" w:lineRule="exact"/>
        <w:ind w:firstLine="482" w:firstLineChars="200"/>
        <w:jc w:val="left"/>
        <w:outlineLvl w:val="1"/>
        <w:rPr>
          <w:rFonts w:ascii="宋体" w:hAnsi="宋体"/>
          <w:b/>
          <w:color w:val="auto"/>
          <w:sz w:val="24"/>
          <w:highlight w:val="none"/>
        </w:rPr>
      </w:pPr>
      <w:r>
        <w:rPr>
          <w:rFonts w:hint="eastAsia" w:ascii="宋体" w:hAnsi="宋体"/>
          <w:b/>
          <w:color w:val="auto"/>
          <w:sz w:val="24"/>
          <w:highlight w:val="none"/>
        </w:rPr>
        <w:t>（一）</w:t>
      </w:r>
      <w:r>
        <w:rPr>
          <w:rFonts w:ascii="宋体" w:hAnsi="宋体"/>
          <w:b/>
          <w:color w:val="auto"/>
          <w:sz w:val="24"/>
          <w:highlight w:val="none"/>
        </w:rPr>
        <w:t xml:space="preserve"> 适用范围</w:t>
      </w:r>
    </w:p>
    <w:p w14:paraId="02B07717">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本招标文件适用于</w:t>
      </w:r>
      <w:r>
        <w:rPr>
          <w:rFonts w:hint="eastAsia" w:ascii="宋体" w:hAnsi="宋体" w:cs="宋体"/>
          <w:color w:val="auto"/>
          <w:sz w:val="24"/>
          <w:highlight w:val="none"/>
          <w:lang w:eastAsia="zh-CN"/>
        </w:rPr>
        <w:t>金华市博物馆邵飘萍旧居展陈提升项目</w:t>
      </w:r>
      <w:r>
        <w:rPr>
          <w:rFonts w:hint="eastAsia" w:ascii="宋体" w:hAnsi="宋体"/>
          <w:color w:val="auto"/>
          <w:sz w:val="24"/>
          <w:highlight w:val="none"/>
        </w:rPr>
        <w:t>的招标、投标、评标、定标、验收、合同履约、付款等行为。</w:t>
      </w:r>
    </w:p>
    <w:p w14:paraId="68F68EF7">
      <w:pPr>
        <w:snapToGrid w:val="0"/>
        <w:spacing w:line="400" w:lineRule="exact"/>
        <w:ind w:firstLine="482" w:firstLineChars="200"/>
        <w:jc w:val="left"/>
        <w:outlineLvl w:val="1"/>
        <w:rPr>
          <w:rFonts w:ascii="宋体" w:hAnsi="宋体"/>
          <w:b/>
          <w:color w:val="auto"/>
          <w:sz w:val="24"/>
          <w:highlight w:val="none"/>
        </w:rPr>
      </w:pPr>
      <w:r>
        <w:rPr>
          <w:rFonts w:hint="eastAsia" w:ascii="宋体" w:hAnsi="宋体"/>
          <w:b/>
          <w:color w:val="auto"/>
          <w:sz w:val="24"/>
          <w:highlight w:val="none"/>
        </w:rPr>
        <w:t>（二）定义</w:t>
      </w:r>
    </w:p>
    <w:p w14:paraId="13C1051F">
      <w:pPr>
        <w:snapToGrid w:val="0"/>
        <w:spacing w:line="400" w:lineRule="exact"/>
        <w:ind w:firstLine="480" w:firstLineChars="200"/>
        <w:jc w:val="left"/>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.“采购人”系指本次服务的购买单位</w:t>
      </w:r>
      <w:r>
        <w:rPr>
          <w:rFonts w:ascii="宋体" w:hAnsi="宋体"/>
          <w:color w:val="auto"/>
          <w:sz w:val="24"/>
          <w:highlight w:val="none"/>
        </w:rPr>
        <w:t>。</w:t>
      </w:r>
    </w:p>
    <w:p w14:paraId="0801A3F2">
      <w:pPr>
        <w:snapToGrid w:val="0"/>
        <w:spacing w:line="400" w:lineRule="exact"/>
        <w:ind w:firstLine="480" w:firstLineChars="200"/>
        <w:jc w:val="left"/>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投标人”系指</w:t>
      </w:r>
      <w:r>
        <w:rPr>
          <w:rFonts w:hint="eastAsia" w:ascii="宋体" w:hAnsi="宋体"/>
          <w:color w:val="auto"/>
          <w:sz w:val="24"/>
          <w:highlight w:val="none"/>
        </w:rPr>
        <w:t>按招标文件要求</w:t>
      </w:r>
      <w:r>
        <w:rPr>
          <w:rFonts w:ascii="宋体" w:hAnsi="宋体"/>
          <w:color w:val="auto"/>
          <w:sz w:val="24"/>
          <w:highlight w:val="none"/>
        </w:rPr>
        <w:t>提交投标文件的单位</w:t>
      </w:r>
      <w:r>
        <w:rPr>
          <w:rFonts w:hint="eastAsia" w:ascii="宋体" w:hAnsi="宋体"/>
          <w:color w:val="auto"/>
          <w:sz w:val="24"/>
          <w:highlight w:val="none"/>
        </w:rPr>
        <w:t>（也称“供应商”）</w:t>
      </w:r>
      <w:r>
        <w:rPr>
          <w:rFonts w:ascii="宋体" w:hAnsi="宋体"/>
          <w:color w:val="auto"/>
          <w:sz w:val="24"/>
          <w:highlight w:val="none"/>
        </w:rPr>
        <w:t>。</w:t>
      </w:r>
    </w:p>
    <w:p w14:paraId="65210D72">
      <w:pPr>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w:t>
      </w:r>
      <w:r>
        <w:rPr>
          <w:rFonts w:hint="eastAsia" w:ascii="宋体" w:hAnsi="宋体"/>
          <w:color w:val="auto"/>
          <w:sz w:val="24"/>
          <w:highlight w:val="none"/>
        </w:rPr>
        <w:t>采购代理机构</w:t>
      </w:r>
      <w:r>
        <w:rPr>
          <w:rFonts w:ascii="宋体" w:hAnsi="宋体"/>
          <w:color w:val="auto"/>
          <w:sz w:val="24"/>
          <w:highlight w:val="none"/>
        </w:rPr>
        <w:t>”</w:t>
      </w:r>
      <w:r>
        <w:rPr>
          <w:rFonts w:hint="eastAsia" w:ascii="宋体" w:hAnsi="宋体"/>
          <w:color w:val="auto"/>
          <w:sz w:val="24"/>
          <w:highlight w:val="none"/>
        </w:rPr>
        <w:t>系指本次采购项目的组织单位金华市万全招标代理有限公司。</w:t>
      </w:r>
    </w:p>
    <w:p w14:paraId="528CF45E">
      <w:pPr>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“服务”系指招标文件规定投标人须承担的</w:t>
      </w:r>
      <w:r>
        <w:rPr>
          <w:rFonts w:hint="eastAsia" w:ascii="宋体" w:hAnsi="宋体"/>
          <w:color w:val="auto"/>
          <w:sz w:val="24"/>
          <w:highlight w:val="none"/>
        </w:rPr>
        <w:t>相关服务及应尽的其</w:t>
      </w:r>
      <w:r>
        <w:rPr>
          <w:rFonts w:ascii="宋体" w:hAnsi="宋体"/>
          <w:color w:val="auto"/>
          <w:sz w:val="24"/>
          <w:highlight w:val="none"/>
        </w:rPr>
        <w:t>他义务。</w:t>
      </w:r>
    </w:p>
    <w:p w14:paraId="07F9345C">
      <w:pPr>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5.</w:t>
      </w:r>
      <w:r>
        <w:rPr>
          <w:rFonts w:ascii="宋体" w:hAnsi="宋体"/>
          <w:color w:val="auto"/>
          <w:sz w:val="24"/>
          <w:highlight w:val="none"/>
        </w:rPr>
        <w:t>“书面形式”包括信函、传真、</w:t>
      </w:r>
      <w:r>
        <w:rPr>
          <w:rFonts w:hint="eastAsia" w:ascii="宋体" w:hAnsi="宋体"/>
          <w:color w:val="auto"/>
          <w:sz w:val="24"/>
          <w:highlight w:val="none"/>
        </w:rPr>
        <w:t>电子邮件</w:t>
      </w:r>
      <w:r>
        <w:rPr>
          <w:rFonts w:ascii="宋体" w:hAnsi="宋体"/>
          <w:color w:val="auto"/>
          <w:sz w:val="24"/>
          <w:highlight w:val="none"/>
        </w:rPr>
        <w:t>等。</w:t>
      </w:r>
    </w:p>
    <w:p w14:paraId="6C81DE9E">
      <w:pPr>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6.</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”系指实质性要求条款</w:t>
      </w:r>
      <w:r>
        <w:rPr>
          <w:rFonts w:hint="eastAsia" w:ascii="宋体" w:hAnsi="宋体"/>
          <w:color w:val="auto"/>
          <w:sz w:val="24"/>
          <w:highlight w:val="none"/>
        </w:rPr>
        <w:t>，实质性要求条款投标人必须满足，否则为无效投标。</w:t>
      </w:r>
    </w:p>
    <w:p w14:paraId="782846BA">
      <w:pPr>
        <w:snapToGrid w:val="0"/>
        <w:spacing w:line="400" w:lineRule="exact"/>
        <w:ind w:firstLine="482" w:firstLineChars="200"/>
        <w:jc w:val="left"/>
        <w:outlineLvl w:val="1"/>
        <w:rPr>
          <w:rFonts w:ascii="宋体" w:hAnsi="宋体"/>
          <w:b/>
          <w:color w:val="auto"/>
          <w:sz w:val="24"/>
          <w:highlight w:val="none"/>
        </w:rPr>
      </w:pPr>
      <w:r>
        <w:rPr>
          <w:rFonts w:hint="eastAsia" w:ascii="宋体" w:hAnsi="宋体"/>
          <w:b/>
          <w:color w:val="auto"/>
          <w:sz w:val="24"/>
          <w:highlight w:val="none"/>
        </w:rPr>
        <w:t>（三）招标方式</w:t>
      </w:r>
    </w:p>
    <w:p w14:paraId="4510F425">
      <w:pPr>
        <w:snapToGrid w:val="0"/>
        <w:spacing w:line="400" w:lineRule="exact"/>
        <w:ind w:firstLine="480" w:firstLineChars="200"/>
        <w:jc w:val="left"/>
        <w:rPr>
          <w:rFonts w:ascii="宋体" w:hAnsi="宋体"/>
          <w:color w:val="auto"/>
          <w:sz w:val="24"/>
          <w:highlight w:val="none"/>
        </w:rPr>
      </w:pPr>
      <w:r>
        <w:rPr>
          <w:rFonts w:ascii="宋体" w:hAnsi="宋体"/>
          <w:color w:val="auto"/>
          <w:sz w:val="24"/>
          <w:highlight w:val="none"/>
        </w:rPr>
        <w:t>本次招标采用公开招标方式进行。</w:t>
      </w:r>
    </w:p>
    <w:p w14:paraId="3B434DBD">
      <w:pPr>
        <w:snapToGrid w:val="0"/>
        <w:spacing w:line="400" w:lineRule="exact"/>
        <w:ind w:firstLine="482" w:firstLineChars="200"/>
        <w:jc w:val="left"/>
        <w:outlineLvl w:val="1"/>
        <w:rPr>
          <w:rFonts w:ascii="宋体" w:hAnsi="宋体"/>
          <w:b/>
          <w:color w:val="auto"/>
          <w:sz w:val="24"/>
          <w:highlight w:val="none"/>
        </w:rPr>
      </w:pPr>
      <w:r>
        <w:rPr>
          <w:rFonts w:hint="eastAsia" w:ascii="宋体" w:hAnsi="宋体"/>
          <w:b/>
          <w:color w:val="auto"/>
          <w:sz w:val="24"/>
          <w:highlight w:val="none"/>
        </w:rPr>
        <w:t>（四）投标委托</w:t>
      </w:r>
    </w:p>
    <w:p w14:paraId="52303408">
      <w:pPr>
        <w:pStyle w:val="13"/>
        <w:snapToGrid w:val="0"/>
        <w:spacing w:line="400" w:lineRule="exact"/>
        <w:ind w:firstLine="480" w:firstLineChars="200"/>
        <w:jc w:val="left"/>
        <w:rPr>
          <w:rFonts w:hAnsi="宋体"/>
          <w:color w:val="auto"/>
          <w:sz w:val="24"/>
          <w:highlight w:val="none"/>
        </w:rPr>
      </w:pPr>
      <w:r>
        <w:rPr>
          <w:rFonts w:hAnsi="宋体"/>
          <w:color w:val="auto"/>
          <w:sz w:val="24"/>
          <w:highlight w:val="none"/>
        </w:rPr>
        <w:t>如投标人代表不是法定代表人，须</w:t>
      </w:r>
      <w:r>
        <w:rPr>
          <w:rFonts w:hint="eastAsia" w:hAnsi="宋体"/>
          <w:color w:val="auto"/>
          <w:sz w:val="24"/>
          <w:highlight w:val="none"/>
        </w:rPr>
        <w:t>具有</w:t>
      </w:r>
      <w:r>
        <w:rPr>
          <w:rFonts w:hAnsi="宋体"/>
          <w:color w:val="auto"/>
          <w:sz w:val="24"/>
          <w:highlight w:val="none"/>
        </w:rPr>
        <w:t>法定代表人出具的授权委托书。</w:t>
      </w:r>
    </w:p>
    <w:p w14:paraId="564ECC05">
      <w:pPr>
        <w:snapToGrid w:val="0"/>
        <w:spacing w:line="400" w:lineRule="exact"/>
        <w:ind w:firstLine="482" w:firstLineChars="200"/>
        <w:jc w:val="left"/>
        <w:outlineLvl w:val="1"/>
        <w:rPr>
          <w:rFonts w:ascii="宋体" w:hAnsi="宋体"/>
          <w:b/>
          <w:color w:val="auto"/>
          <w:sz w:val="24"/>
          <w:highlight w:val="none"/>
        </w:rPr>
      </w:pPr>
      <w:r>
        <w:rPr>
          <w:rFonts w:hint="eastAsia" w:ascii="宋体" w:hAnsi="宋体"/>
          <w:b/>
          <w:color w:val="auto"/>
          <w:sz w:val="24"/>
          <w:highlight w:val="none"/>
        </w:rPr>
        <w:t>（五）投标费用</w:t>
      </w:r>
    </w:p>
    <w:p w14:paraId="3B5E6E66">
      <w:pPr>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不论投标结果如何，投标人均应自行承担所有与投标有关的全部费用。</w:t>
      </w:r>
    </w:p>
    <w:p w14:paraId="58BA4A96">
      <w:pPr>
        <w:snapToGrid w:val="0"/>
        <w:spacing w:line="400" w:lineRule="exact"/>
        <w:ind w:firstLine="482" w:firstLineChars="200"/>
        <w:jc w:val="left"/>
        <w:outlineLvl w:val="1"/>
        <w:rPr>
          <w:rFonts w:ascii="宋体" w:hAnsi="宋体"/>
          <w:b/>
          <w:color w:val="auto"/>
          <w:sz w:val="24"/>
          <w:highlight w:val="none"/>
        </w:rPr>
      </w:pPr>
      <w:r>
        <w:rPr>
          <w:rFonts w:hint="eastAsia" w:ascii="宋体" w:hAnsi="宋体"/>
          <w:b/>
          <w:color w:val="auto"/>
          <w:sz w:val="24"/>
          <w:highlight w:val="none"/>
        </w:rPr>
        <w:t>（六）特别说明：</w:t>
      </w:r>
    </w:p>
    <w:p w14:paraId="3B0FCD93">
      <w:pPr>
        <w:widowControl/>
        <w:spacing w:line="400" w:lineRule="exact"/>
        <w:ind w:firstLine="480" w:firstLineChars="200"/>
        <w:jc w:val="left"/>
        <w:rPr>
          <w:rFonts w:ascii="宋体" w:hAnsi="宋体"/>
          <w:color w:val="auto"/>
          <w:sz w:val="24"/>
          <w:highlight w:val="none"/>
        </w:rPr>
      </w:pPr>
      <w:r>
        <w:rPr>
          <w:rFonts w:hint="eastAsia" w:ascii="宋体" w:hAnsi="宋体" w:cs="宋体"/>
          <w:color w:val="auto"/>
          <w:kern w:val="0"/>
          <w:sz w:val="24"/>
          <w:highlight w:val="none"/>
        </w:rPr>
        <w:t>1</w:t>
      </w:r>
      <w:r>
        <w:rPr>
          <w:rFonts w:hint="eastAsia" w:ascii="宋体" w:hAnsi="宋体"/>
          <w:color w:val="auto"/>
          <w:sz w:val="24"/>
          <w:highlight w:val="none"/>
        </w:rPr>
        <w:t>.</w:t>
      </w:r>
      <w:r>
        <w:rPr>
          <w:rFonts w:ascii="宋体" w:hAnsi="宋体"/>
          <w:color w:val="auto"/>
          <w:sz w:val="24"/>
          <w:highlight w:val="none"/>
        </w:rPr>
        <w:t>投标人投标所使用的资格、信誉、荣誉、业绩与企业认证必须为本法人所拥有。投标人投标所使用的采购项目实施人员必须为本法人员工（或必须为本法人或控股公司正式员工</w:t>
      </w:r>
      <w:r>
        <w:rPr>
          <w:rFonts w:hint="eastAsia" w:ascii="宋体" w:hAnsi="宋体"/>
          <w:color w:val="auto"/>
          <w:sz w:val="24"/>
          <w:highlight w:val="none"/>
        </w:rPr>
        <w:t>）</w:t>
      </w:r>
      <w:r>
        <w:rPr>
          <w:rFonts w:ascii="宋体" w:hAnsi="宋体"/>
          <w:color w:val="auto"/>
          <w:sz w:val="24"/>
          <w:highlight w:val="none"/>
        </w:rPr>
        <w:t>。</w:t>
      </w:r>
    </w:p>
    <w:p w14:paraId="45252EC4">
      <w:pPr>
        <w:pStyle w:val="24"/>
        <w:snapToGrid w:val="0"/>
        <w:spacing w:beforeLines="0" w:afterLines="0"/>
        <w:ind w:firstLine="480" w:firstLineChars="200"/>
        <w:rPr>
          <w:rFonts w:hint="default" w:hAnsi="宋体"/>
          <w:color w:val="auto"/>
          <w:sz w:val="24"/>
          <w:szCs w:val="24"/>
          <w:highlight w:val="none"/>
        </w:rPr>
      </w:pPr>
      <w:r>
        <w:rPr>
          <w:rFonts w:hAnsi="宋体"/>
          <w:color w:val="auto"/>
          <w:sz w:val="24"/>
          <w:szCs w:val="24"/>
          <w:highlight w:val="none"/>
        </w:rPr>
        <w:t>2.单位负责人为同一人或者存在直接控股、管理关系的不同投标人，不得参加同一合同项下的政府采购活动。</w:t>
      </w:r>
    </w:p>
    <w:p w14:paraId="15AD03F5">
      <w:pPr>
        <w:pStyle w:val="24"/>
        <w:snapToGrid w:val="0"/>
        <w:spacing w:beforeLines="0" w:afterLines="0"/>
        <w:ind w:firstLine="480" w:firstLineChars="200"/>
        <w:rPr>
          <w:rFonts w:hint="default" w:hAnsi="宋体"/>
          <w:color w:val="auto"/>
          <w:sz w:val="24"/>
          <w:szCs w:val="24"/>
          <w:highlight w:val="none"/>
        </w:rPr>
      </w:pPr>
      <w:r>
        <w:rPr>
          <w:rFonts w:hAnsi="宋体"/>
          <w:color w:val="auto"/>
          <w:sz w:val="24"/>
          <w:szCs w:val="24"/>
          <w:highlight w:val="none"/>
        </w:rPr>
        <w:t>3.投标人应仔细阅读招标文件的所有内容，按照招标文件的要求提交投标文件，并对所提供的全部资料的真实性承担法律责任。</w:t>
      </w:r>
    </w:p>
    <w:p w14:paraId="2CCF240F">
      <w:pPr>
        <w:pStyle w:val="24"/>
        <w:snapToGrid w:val="0"/>
        <w:spacing w:beforeLines="0" w:afterLines="0"/>
        <w:ind w:firstLine="480" w:firstLineChars="200"/>
        <w:rPr>
          <w:rFonts w:hint="default" w:hAnsi="宋体"/>
          <w:color w:val="auto"/>
          <w:sz w:val="24"/>
          <w:szCs w:val="24"/>
          <w:highlight w:val="none"/>
        </w:rPr>
      </w:pPr>
      <w:r>
        <w:rPr>
          <w:rFonts w:hAnsi="宋体"/>
          <w:color w:val="auto"/>
          <w:sz w:val="24"/>
          <w:szCs w:val="24"/>
          <w:highlight w:val="none"/>
        </w:rPr>
        <w:t xml:space="preserve">4.投标人在投标活动中提供任何虚假材料，其投标无效，并报监管部门查处；中标后发现的，中标人须依照《中华人民共和国消费者权益保护法》相关规定双倍赔偿采购人，且民事赔偿并不免除违法投标人的行政与刑事责任。 </w:t>
      </w:r>
    </w:p>
    <w:p w14:paraId="04D4451A">
      <w:pPr>
        <w:pStyle w:val="24"/>
        <w:snapToGrid w:val="0"/>
        <w:spacing w:beforeLines="0" w:afterLines="0"/>
        <w:ind w:firstLine="480" w:firstLineChars="200"/>
        <w:rPr>
          <w:rFonts w:hint="default" w:hAnsi="宋体"/>
          <w:color w:val="auto"/>
          <w:sz w:val="24"/>
          <w:szCs w:val="24"/>
          <w:highlight w:val="none"/>
        </w:rPr>
      </w:pPr>
      <w:r>
        <w:rPr>
          <w:rFonts w:hAnsi="宋体"/>
          <w:color w:val="auto"/>
          <w:sz w:val="24"/>
          <w:szCs w:val="24"/>
          <w:highlight w:val="none"/>
        </w:rPr>
        <w:t>5.本次招标采取开标后资格审查。开标结束后，采购人或采购代理机构将对各投标人的投标资格按公开招标公告中要求的条件进行审查，并出具审查结果。采购人或采购代理机构不保证所有获取文件的投标人都符合投标人资格要求。</w:t>
      </w:r>
    </w:p>
    <w:p w14:paraId="33F6CD68">
      <w:pPr>
        <w:pStyle w:val="24"/>
        <w:snapToGrid w:val="0"/>
        <w:spacing w:beforeLines="0" w:afterLines="0"/>
        <w:ind w:firstLine="482" w:firstLineChars="200"/>
        <w:rPr>
          <w:rFonts w:hint="default" w:hAnsi="宋体"/>
          <w:b/>
          <w:bCs/>
          <w:color w:val="auto"/>
          <w:sz w:val="24"/>
          <w:szCs w:val="24"/>
          <w:highlight w:val="none"/>
        </w:rPr>
      </w:pPr>
      <w:r>
        <w:rPr>
          <w:rFonts w:hAnsi="宋体"/>
          <w:b/>
          <w:bCs/>
          <w:color w:val="auto"/>
          <w:sz w:val="24"/>
          <w:szCs w:val="24"/>
          <w:highlight w:val="none"/>
        </w:rPr>
        <w:t>6.本项目核心产品：本项目为服务类项目，不设置核心产品。</w:t>
      </w:r>
    </w:p>
    <w:p w14:paraId="0203994E">
      <w:pPr>
        <w:pStyle w:val="24"/>
        <w:snapToGrid w:val="0"/>
        <w:spacing w:beforeLines="0" w:afterLines="0"/>
        <w:ind w:firstLine="480" w:firstLineChars="200"/>
        <w:rPr>
          <w:rFonts w:hint="default" w:hAnsi="宋体"/>
          <w:color w:val="auto"/>
          <w:sz w:val="24"/>
          <w:szCs w:val="24"/>
          <w:highlight w:val="none"/>
        </w:rPr>
      </w:pPr>
      <w:r>
        <w:rPr>
          <w:rFonts w:hAnsi="宋体"/>
          <w:color w:val="auto"/>
          <w:sz w:val="24"/>
          <w:szCs w:val="24"/>
          <w:highlight w:val="none"/>
        </w:rPr>
        <w:t>根据《政府采购货物和服务招标投标管理办法》（财政部令第87号）：第三十一条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1211B81">
      <w:pPr>
        <w:pStyle w:val="24"/>
        <w:snapToGrid w:val="0"/>
        <w:spacing w:beforeLines="0" w:afterLines="0"/>
        <w:ind w:firstLine="480" w:firstLineChars="200"/>
        <w:rPr>
          <w:rFonts w:hint="default" w:hAnsi="宋体"/>
          <w:color w:val="auto"/>
          <w:sz w:val="24"/>
          <w:szCs w:val="24"/>
          <w:highlight w:val="none"/>
        </w:rPr>
      </w:pPr>
      <w:r>
        <w:rPr>
          <w:rFonts w:hAnsi="宋体"/>
          <w:color w:val="auto"/>
          <w:sz w:val="24"/>
          <w:szCs w:val="24"/>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1EC0D22">
      <w:pPr>
        <w:pStyle w:val="24"/>
        <w:snapToGrid w:val="0"/>
        <w:spacing w:beforeLines="0" w:afterLines="0"/>
        <w:ind w:firstLine="480" w:firstLineChars="200"/>
        <w:rPr>
          <w:rFonts w:hint="default" w:hAnsi="宋体"/>
          <w:color w:val="auto"/>
          <w:sz w:val="24"/>
          <w:szCs w:val="24"/>
          <w:highlight w:val="none"/>
        </w:rPr>
      </w:pPr>
      <w:r>
        <w:rPr>
          <w:rFonts w:hAnsi="宋体"/>
          <w:color w:val="auto"/>
          <w:sz w:val="24"/>
          <w:szCs w:val="24"/>
          <w:highlight w:val="none"/>
        </w:rPr>
        <w:t xml:space="preserve">非单一产品采购项目，采购人应当根据采购项目技术构成、产品价格比重等合理确定核心产品，并在招标文件中载明。多家投标人提供的核心产品品牌相同的，按前两款规定处理。   </w:t>
      </w:r>
    </w:p>
    <w:p w14:paraId="452D0219">
      <w:pPr>
        <w:pStyle w:val="24"/>
        <w:snapToGrid w:val="0"/>
        <w:spacing w:beforeLines="0" w:afterLines="0"/>
        <w:ind w:firstLine="480" w:firstLineChars="200"/>
        <w:rPr>
          <w:rFonts w:hint="default" w:hAnsi="宋体"/>
          <w:color w:val="auto"/>
          <w:sz w:val="24"/>
          <w:szCs w:val="24"/>
          <w:highlight w:val="none"/>
        </w:rPr>
      </w:pPr>
      <w:r>
        <w:rPr>
          <w:rFonts w:hAnsi="宋体"/>
          <w:color w:val="auto"/>
          <w:sz w:val="24"/>
          <w:szCs w:val="24"/>
          <w:highlight w:val="none"/>
        </w:rPr>
        <w:t>7.本项目采用在线投标响应方式，执行《浙江省财政厅关于印发浙江省政府采购项目电子交易管理暂行办法的通知》（浙财采监〔2019〕10号）等相关规定。</w:t>
      </w:r>
    </w:p>
    <w:p w14:paraId="2943979F">
      <w:pPr>
        <w:pStyle w:val="24"/>
        <w:snapToGrid w:val="0"/>
        <w:spacing w:beforeLines="0" w:afterLines="0"/>
        <w:ind w:firstLine="480" w:firstLineChars="200"/>
        <w:rPr>
          <w:rFonts w:hint="default" w:hAnsi="宋体"/>
          <w:color w:val="auto"/>
          <w:sz w:val="24"/>
          <w:szCs w:val="24"/>
          <w:highlight w:val="none"/>
        </w:rPr>
      </w:pPr>
      <w:r>
        <w:rPr>
          <w:rFonts w:hAnsi="宋体"/>
          <w:color w:val="auto"/>
          <w:sz w:val="24"/>
          <w:szCs w:val="24"/>
          <w:highlight w:val="none"/>
        </w:rPr>
        <w:t>8.本项目在线开评标进行时，供应商法定代表人或其授权代表需自行关注平台提示信息，期间如有发出“询标/澄清函”等相关线上函件时，因供应商自身原因逾期/错过回复时间，由此造成的后果由供应商自行承担。</w:t>
      </w:r>
    </w:p>
    <w:p w14:paraId="567967ED">
      <w:pPr>
        <w:pStyle w:val="24"/>
        <w:snapToGrid w:val="0"/>
        <w:spacing w:beforeLines="0" w:afterLines="0"/>
        <w:ind w:firstLine="482" w:firstLineChars="200"/>
        <w:outlineLvl w:val="1"/>
        <w:rPr>
          <w:rFonts w:hint="default" w:hAnsi="宋体"/>
          <w:b/>
          <w:bCs/>
          <w:color w:val="auto"/>
          <w:sz w:val="24"/>
          <w:szCs w:val="24"/>
          <w:highlight w:val="none"/>
        </w:rPr>
      </w:pPr>
      <w:r>
        <w:rPr>
          <w:rFonts w:hAnsi="宋体"/>
          <w:b/>
          <w:bCs/>
          <w:color w:val="auto"/>
          <w:sz w:val="24"/>
          <w:szCs w:val="24"/>
          <w:highlight w:val="none"/>
        </w:rPr>
        <w:t>（七）质疑和投诉</w:t>
      </w:r>
    </w:p>
    <w:p w14:paraId="4CB33773">
      <w:pPr>
        <w:pStyle w:val="24"/>
        <w:snapToGrid w:val="0"/>
        <w:spacing w:beforeLines="0" w:afterLines="0"/>
        <w:ind w:firstLine="480" w:firstLineChars="200"/>
        <w:rPr>
          <w:rFonts w:hint="default" w:hAnsi="宋体"/>
          <w:bCs/>
          <w:color w:val="auto"/>
          <w:sz w:val="24"/>
          <w:szCs w:val="24"/>
          <w:highlight w:val="none"/>
        </w:rPr>
      </w:pPr>
      <w:r>
        <w:rPr>
          <w:rFonts w:hAnsi="宋体"/>
          <w:bCs/>
          <w:color w:val="auto"/>
          <w:sz w:val="24"/>
          <w:szCs w:val="24"/>
          <w:highlight w:val="none"/>
        </w:rPr>
        <w:t>1.投标人认为招标文件、招标过程或中标结果使自己的合法权益受到损害的，应当在知道或者应知其权益受到损害之日起七个工作日内，以书面形式向采购代理机构提出质疑，</w:t>
      </w:r>
      <w:r>
        <w:rPr>
          <w:rFonts w:hAnsi="宋体"/>
          <w:b/>
          <w:color w:val="auto"/>
          <w:sz w:val="24"/>
          <w:szCs w:val="24"/>
          <w:highlight w:val="none"/>
        </w:rPr>
        <w:t>但投标人需在法定质疑期内一次性提出针对同一采购程序环节的质疑。</w:t>
      </w:r>
    </w:p>
    <w:p w14:paraId="049C00B1">
      <w:pPr>
        <w:pStyle w:val="24"/>
        <w:snapToGrid w:val="0"/>
        <w:spacing w:beforeLines="0" w:afterLines="0"/>
        <w:ind w:firstLine="480" w:firstLineChars="200"/>
        <w:rPr>
          <w:rFonts w:hint="default" w:hAnsi="宋体"/>
          <w:bCs/>
          <w:color w:val="auto"/>
          <w:sz w:val="24"/>
          <w:szCs w:val="24"/>
          <w:highlight w:val="none"/>
        </w:rPr>
      </w:pPr>
      <w:r>
        <w:rPr>
          <w:rFonts w:hAnsi="宋体"/>
          <w:bCs/>
          <w:color w:val="auto"/>
          <w:sz w:val="24"/>
          <w:szCs w:val="24"/>
          <w:highlight w:val="none"/>
        </w:rPr>
        <w:t>2.质疑应当以书面形式提出，格式见《政府采购质疑和投诉办法》（财政部令第94号）附件范本，下载网址：浙江政府采购网（http://zfcg.czt.zj.gov.cn），位置：“首页-下载专区-质疑投诉模板”。供应商提出质疑应当提交质疑函和必要的证明材料。质疑函应当包括下列内容：</w:t>
      </w:r>
    </w:p>
    <w:p w14:paraId="65534F5B">
      <w:pPr>
        <w:pStyle w:val="24"/>
        <w:snapToGrid w:val="0"/>
        <w:spacing w:beforeLines="0" w:afterLines="0"/>
        <w:ind w:firstLine="480" w:firstLineChars="200"/>
        <w:rPr>
          <w:rFonts w:hint="default" w:hAnsi="宋体"/>
          <w:bCs/>
          <w:color w:val="auto"/>
          <w:sz w:val="24"/>
          <w:szCs w:val="24"/>
          <w:highlight w:val="none"/>
        </w:rPr>
      </w:pPr>
      <w:r>
        <w:rPr>
          <w:rFonts w:hAnsi="宋体"/>
          <w:bCs/>
          <w:color w:val="auto"/>
          <w:sz w:val="24"/>
          <w:szCs w:val="24"/>
          <w:highlight w:val="none"/>
        </w:rPr>
        <w:t>a.供应商的姓名或者名称、地址、邮编、联系人及联系电话；</w:t>
      </w:r>
    </w:p>
    <w:p w14:paraId="31D5FA91">
      <w:pPr>
        <w:pStyle w:val="24"/>
        <w:snapToGrid w:val="0"/>
        <w:spacing w:beforeLines="0" w:afterLines="0"/>
        <w:ind w:firstLine="480" w:firstLineChars="200"/>
        <w:rPr>
          <w:rFonts w:hint="default" w:hAnsi="宋体"/>
          <w:bCs/>
          <w:color w:val="auto"/>
          <w:sz w:val="24"/>
          <w:szCs w:val="24"/>
          <w:highlight w:val="none"/>
        </w:rPr>
      </w:pPr>
      <w:r>
        <w:rPr>
          <w:rFonts w:hAnsi="宋体"/>
          <w:bCs/>
          <w:color w:val="auto"/>
          <w:sz w:val="24"/>
          <w:szCs w:val="24"/>
          <w:highlight w:val="none"/>
        </w:rPr>
        <w:t>b质疑项目的名称、编号；</w:t>
      </w:r>
    </w:p>
    <w:p w14:paraId="38398A15">
      <w:pPr>
        <w:pStyle w:val="24"/>
        <w:snapToGrid w:val="0"/>
        <w:spacing w:beforeLines="0" w:afterLines="0"/>
        <w:ind w:firstLine="480" w:firstLineChars="200"/>
        <w:rPr>
          <w:rFonts w:hint="default" w:hAnsi="宋体"/>
          <w:bCs/>
          <w:color w:val="auto"/>
          <w:sz w:val="24"/>
          <w:szCs w:val="24"/>
          <w:highlight w:val="none"/>
        </w:rPr>
      </w:pPr>
      <w:r>
        <w:rPr>
          <w:rFonts w:hAnsi="宋体"/>
          <w:bCs/>
          <w:color w:val="auto"/>
          <w:sz w:val="24"/>
          <w:szCs w:val="24"/>
          <w:highlight w:val="none"/>
        </w:rPr>
        <w:t>c具体、明确的质疑事项和与质疑事项相关的请求；</w:t>
      </w:r>
    </w:p>
    <w:p w14:paraId="501D1AAA">
      <w:pPr>
        <w:pStyle w:val="24"/>
        <w:snapToGrid w:val="0"/>
        <w:spacing w:beforeLines="0" w:afterLines="0"/>
        <w:ind w:firstLine="480" w:firstLineChars="200"/>
        <w:rPr>
          <w:rFonts w:hint="default" w:hAnsi="宋体"/>
          <w:bCs/>
          <w:color w:val="auto"/>
          <w:sz w:val="24"/>
          <w:szCs w:val="24"/>
          <w:highlight w:val="none"/>
        </w:rPr>
      </w:pPr>
      <w:r>
        <w:rPr>
          <w:rFonts w:hAnsi="宋体"/>
          <w:bCs/>
          <w:color w:val="auto"/>
          <w:sz w:val="24"/>
          <w:szCs w:val="24"/>
          <w:highlight w:val="none"/>
        </w:rPr>
        <w:t>d事实依据；</w:t>
      </w:r>
    </w:p>
    <w:p w14:paraId="0ECD2C14">
      <w:pPr>
        <w:pStyle w:val="24"/>
        <w:snapToGrid w:val="0"/>
        <w:spacing w:beforeLines="0" w:afterLines="0"/>
        <w:ind w:firstLine="480" w:firstLineChars="200"/>
        <w:rPr>
          <w:rFonts w:hint="default" w:hAnsi="宋体"/>
          <w:bCs/>
          <w:color w:val="auto"/>
          <w:sz w:val="24"/>
          <w:szCs w:val="24"/>
          <w:highlight w:val="none"/>
        </w:rPr>
      </w:pPr>
      <w:r>
        <w:rPr>
          <w:rFonts w:hAnsi="宋体"/>
          <w:bCs/>
          <w:color w:val="auto"/>
          <w:sz w:val="24"/>
          <w:szCs w:val="24"/>
          <w:highlight w:val="none"/>
        </w:rPr>
        <w:t>e必要的法律依据；</w:t>
      </w:r>
    </w:p>
    <w:p w14:paraId="51A61BD7">
      <w:pPr>
        <w:pStyle w:val="24"/>
        <w:snapToGrid w:val="0"/>
        <w:spacing w:beforeLines="0" w:afterLines="0"/>
        <w:ind w:firstLine="480" w:firstLineChars="200"/>
        <w:rPr>
          <w:rFonts w:hint="default" w:hAnsi="宋体"/>
          <w:bCs/>
          <w:color w:val="auto"/>
          <w:sz w:val="24"/>
          <w:szCs w:val="24"/>
          <w:highlight w:val="none"/>
        </w:rPr>
      </w:pPr>
      <w:r>
        <w:rPr>
          <w:rFonts w:hAnsi="宋体"/>
          <w:bCs/>
          <w:color w:val="auto"/>
          <w:sz w:val="24"/>
          <w:szCs w:val="24"/>
          <w:highlight w:val="none"/>
        </w:rPr>
        <w:t>f提出质疑的日期。</w:t>
      </w:r>
    </w:p>
    <w:p w14:paraId="0C2B1AD0">
      <w:pPr>
        <w:pStyle w:val="24"/>
        <w:snapToGrid w:val="0"/>
        <w:spacing w:beforeLines="0" w:afterLines="0"/>
        <w:ind w:firstLine="480" w:firstLineChars="200"/>
        <w:rPr>
          <w:rFonts w:hint="default" w:hAnsi="宋体"/>
          <w:bCs/>
          <w:color w:val="auto"/>
          <w:sz w:val="24"/>
          <w:szCs w:val="24"/>
          <w:highlight w:val="none"/>
        </w:rPr>
      </w:pPr>
      <w:r>
        <w:rPr>
          <w:rFonts w:hAnsi="宋体"/>
          <w:bCs/>
          <w:color w:val="auto"/>
          <w:sz w:val="24"/>
          <w:szCs w:val="24"/>
          <w:highlight w:val="none"/>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采购人自收到补齐材料之日起受理；逾期未补齐的，按自动撤回质疑处理。</w:t>
      </w:r>
    </w:p>
    <w:p w14:paraId="327F0D6A">
      <w:pPr>
        <w:pStyle w:val="24"/>
        <w:snapToGrid w:val="0"/>
        <w:spacing w:beforeLines="0" w:afterLines="0"/>
        <w:ind w:firstLine="480" w:firstLineChars="200"/>
        <w:rPr>
          <w:rFonts w:hint="default" w:hAnsi="宋体"/>
          <w:bCs/>
          <w:color w:val="auto"/>
          <w:sz w:val="24"/>
          <w:szCs w:val="24"/>
          <w:highlight w:val="none"/>
        </w:rPr>
      </w:pPr>
      <w:r>
        <w:rPr>
          <w:rFonts w:hAnsi="宋体"/>
          <w:bCs/>
          <w:color w:val="auto"/>
          <w:sz w:val="24"/>
          <w:szCs w:val="24"/>
          <w:highlight w:val="none"/>
        </w:rPr>
        <w:t>3.投诉</w:t>
      </w:r>
    </w:p>
    <w:p w14:paraId="13A21D21">
      <w:pPr>
        <w:pStyle w:val="24"/>
        <w:snapToGrid w:val="0"/>
        <w:spacing w:beforeLines="0" w:afterLines="0"/>
        <w:ind w:firstLine="480" w:firstLineChars="200"/>
        <w:rPr>
          <w:rFonts w:hint="default" w:hAnsi="宋体"/>
          <w:bCs/>
          <w:color w:val="auto"/>
          <w:sz w:val="24"/>
          <w:szCs w:val="24"/>
          <w:highlight w:val="none"/>
        </w:rPr>
      </w:pPr>
      <w:r>
        <w:rPr>
          <w:rFonts w:hAnsi="宋体"/>
          <w:bCs/>
          <w:color w:val="auto"/>
          <w:sz w:val="24"/>
          <w:szCs w:val="24"/>
          <w:highlight w:val="none"/>
        </w:rPr>
        <w:t>投标人对采购代理机构的质疑答复不满意或者采购代理机构未在规定时间内作出答复的，可以在答复期满后十五个工作日内向同级采购监管部门投诉。</w:t>
      </w:r>
    </w:p>
    <w:p w14:paraId="3074AD49">
      <w:pPr>
        <w:pStyle w:val="24"/>
        <w:snapToGrid w:val="0"/>
        <w:spacing w:beforeLines="0" w:afterLines="0"/>
        <w:ind w:firstLine="482" w:firstLineChars="200"/>
        <w:rPr>
          <w:rFonts w:hint="default" w:ascii="黑体" w:hAnsi="宋体" w:eastAsia="黑体"/>
          <w:b/>
          <w:color w:val="auto"/>
          <w:sz w:val="24"/>
          <w:szCs w:val="24"/>
          <w:highlight w:val="none"/>
        </w:rPr>
      </w:pPr>
      <w:r>
        <w:rPr>
          <w:rFonts w:ascii="黑体" w:hAnsi="宋体" w:eastAsia="黑体"/>
          <w:b/>
          <w:color w:val="auto"/>
          <w:sz w:val="24"/>
          <w:szCs w:val="24"/>
          <w:highlight w:val="none"/>
        </w:rPr>
        <w:t>二、招标文件</w:t>
      </w:r>
    </w:p>
    <w:p w14:paraId="3206D8BC">
      <w:pPr>
        <w:snapToGrid w:val="0"/>
        <w:spacing w:line="400" w:lineRule="exact"/>
        <w:ind w:firstLine="482" w:firstLineChars="200"/>
        <w:jc w:val="left"/>
        <w:rPr>
          <w:rFonts w:ascii="宋体" w:hAnsi="宋体"/>
          <w:b/>
          <w:color w:val="auto"/>
          <w:sz w:val="24"/>
          <w:highlight w:val="none"/>
        </w:rPr>
      </w:pPr>
      <w:r>
        <w:rPr>
          <w:rFonts w:hint="eastAsia" w:ascii="宋体" w:hAnsi="宋体"/>
          <w:b/>
          <w:color w:val="auto"/>
          <w:sz w:val="24"/>
          <w:highlight w:val="none"/>
        </w:rPr>
        <w:t>（一）招标文件的构成。本招标文件由以下部分组成：</w:t>
      </w:r>
    </w:p>
    <w:p w14:paraId="1F009ECD">
      <w:pPr>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第一章 公开招标公告</w:t>
      </w:r>
    </w:p>
    <w:p w14:paraId="7E794C55">
      <w:pPr>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第二章 招标项目需求</w:t>
      </w:r>
    </w:p>
    <w:p w14:paraId="081CE958">
      <w:pPr>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第三章 投标人须知</w:t>
      </w:r>
    </w:p>
    <w:p w14:paraId="18F05010">
      <w:pPr>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第四章 政府采购政策功能相关说明</w:t>
      </w:r>
    </w:p>
    <w:p w14:paraId="6107B931">
      <w:pPr>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第五章 评标办法及评分标准</w:t>
      </w:r>
    </w:p>
    <w:p w14:paraId="27F125D3">
      <w:pPr>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第六章 采购合同（范本）</w:t>
      </w:r>
    </w:p>
    <w:p w14:paraId="19A26015">
      <w:pPr>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第七章 投标文件格式（部分）</w:t>
      </w:r>
    </w:p>
    <w:p w14:paraId="7B7FF8B0">
      <w:pPr>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本项目</w:t>
      </w:r>
      <w:r>
        <w:rPr>
          <w:rFonts w:ascii="宋体" w:hAnsi="宋体"/>
          <w:color w:val="auto"/>
          <w:sz w:val="24"/>
          <w:highlight w:val="none"/>
        </w:rPr>
        <w:t>招标文件</w:t>
      </w:r>
      <w:r>
        <w:rPr>
          <w:rFonts w:hint="eastAsia" w:ascii="宋体" w:hAnsi="宋体"/>
          <w:color w:val="auto"/>
          <w:sz w:val="24"/>
          <w:highlight w:val="none"/>
        </w:rPr>
        <w:t>的</w:t>
      </w:r>
      <w:r>
        <w:rPr>
          <w:rFonts w:ascii="宋体" w:hAnsi="宋体"/>
          <w:color w:val="auto"/>
          <w:sz w:val="24"/>
          <w:highlight w:val="none"/>
        </w:rPr>
        <w:t>澄清、答复、修改、补充的内容</w:t>
      </w:r>
      <w:r>
        <w:rPr>
          <w:rFonts w:hint="eastAsia" w:ascii="宋体" w:hAnsi="宋体"/>
          <w:color w:val="auto"/>
          <w:sz w:val="24"/>
          <w:highlight w:val="none"/>
        </w:rPr>
        <w:t>（如有）</w:t>
      </w:r>
    </w:p>
    <w:p w14:paraId="7B6B7D55">
      <w:pPr>
        <w:snapToGrid w:val="0"/>
        <w:spacing w:line="400" w:lineRule="exact"/>
        <w:ind w:firstLine="482" w:firstLineChars="200"/>
        <w:jc w:val="left"/>
        <w:rPr>
          <w:rFonts w:ascii="宋体" w:hAnsi="宋体"/>
          <w:b/>
          <w:color w:val="auto"/>
          <w:sz w:val="24"/>
          <w:highlight w:val="none"/>
        </w:rPr>
      </w:pPr>
      <w:r>
        <w:rPr>
          <w:rFonts w:hint="eastAsia" w:ascii="宋体" w:hAnsi="宋体"/>
          <w:b/>
          <w:color w:val="auto"/>
          <w:sz w:val="24"/>
          <w:highlight w:val="none"/>
        </w:rPr>
        <w:t>（二）投标人的风险</w:t>
      </w:r>
    </w:p>
    <w:p w14:paraId="6BC23D3B">
      <w:pPr>
        <w:pStyle w:val="24"/>
        <w:snapToGrid w:val="0"/>
        <w:spacing w:beforeLines="0" w:afterLines="0"/>
        <w:ind w:firstLine="480" w:firstLineChars="200"/>
        <w:rPr>
          <w:rFonts w:hint="default"/>
          <w:color w:val="auto"/>
          <w:sz w:val="24"/>
          <w:szCs w:val="24"/>
          <w:highlight w:val="none"/>
        </w:rPr>
      </w:pPr>
      <w:r>
        <w:rPr>
          <w:rFonts w:hAnsi="宋体"/>
          <w:bCs/>
          <w:color w:val="auto"/>
          <w:sz w:val="24"/>
          <w:szCs w:val="24"/>
          <w:highlight w:val="none"/>
        </w:rPr>
        <w:t>投标人参加投标即是对本项目招标文件各项条款的认可。</w:t>
      </w:r>
      <w:r>
        <w:rPr>
          <w:color w:val="auto"/>
          <w:sz w:val="24"/>
          <w:szCs w:val="24"/>
          <w:highlight w:val="none"/>
        </w:rPr>
        <w:t>投标人没有按照招标文件要求提供全部资料，或者投标人没有对招标文件在各方面作出实质性响应是投标人的风险，并可能导致其投标无效或被拒绝。</w:t>
      </w:r>
    </w:p>
    <w:p w14:paraId="11FD64E0">
      <w:pPr>
        <w:pStyle w:val="11"/>
        <w:widowControl w:val="0"/>
        <w:tabs>
          <w:tab w:val="left" w:pos="1440"/>
        </w:tabs>
        <w:snapToGrid w:val="0"/>
        <w:spacing w:afterLines="0" w:line="400" w:lineRule="exact"/>
        <w:ind w:left="0" w:firstLine="482" w:firstLineChars="200"/>
        <w:rPr>
          <w:rFonts w:ascii="宋体" w:hAnsi="宋体"/>
          <w:b/>
          <w:color w:val="auto"/>
          <w:szCs w:val="24"/>
          <w:highlight w:val="none"/>
        </w:rPr>
      </w:pPr>
      <w:r>
        <w:rPr>
          <w:rFonts w:hint="eastAsia" w:ascii="宋体" w:hAnsi="宋体"/>
          <w:b/>
          <w:color w:val="auto"/>
          <w:szCs w:val="24"/>
          <w:highlight w:val="none"/>
        </w:rPr>
        <w:t>（三）招标文件的澄清与修改</w:t>
      </w:r>
      <w:r>
        <w:rPr>
          <w:rFonts w:ascii="宋体" w:hAnsi="宋体"/>
          <w:b/>
          <w:color w:val="auto"/>
          <w:szCs w:val="24"/>
          <w:highlight w:val="none"/>
        </w:rPr>
        <w:t xml:space="preserve"> </w:t>
      </w:r>
    </w:p>
    <w:p w14:paraId="06FF2E23">
      <w:pPr>
        <w:pStyle w:val="24"/>
        <w:snapToGrid w:val="0"/>
        <w:spacing w:beforeLines="0" w:afterLines="0"/>
        <w:ind w:firstLine="480" w:firstLineChars="200"/>
        <w:rPr>
          <w:rFonts w:hint="default" w:hAnsi="宋体"/>
          <w:color w:val="auto"/>
          <w:sz w:val="24"/>
          <w:szCs w:val="24"/>
          <w:highlight w:val="none"/>
        </w:rPr>
      </w:pPr>
      <w:r>
        <w:rPr>
          <w:rFonts w:hAnsi="宋体"/>
          <w:color w:val="auto"/>
          <w:sz w:val="24"/>
          <w:szCs w:val="24"/>
          <w:highlight w:val="none"/>
        </w:rPr>
        <w:t>1.投标人应认真阅读本招标文件，发现其中有误或有不合理要求的，可自获取招标文件之日（招标文件公告期届满后获取的以公告届满之日起计）起7个工作日内且在投标截止时间前，以书面形式要求采购代理机构作出书面解释、澄清或者向采购代理机构提出书面质疑；采购代理机构将对招标文件进行必要澄清、答复、修改或补充。采购代理机构对已发出的招标文件进行必要澄清、答复、修改或补充若影响投标文件制作且距离递交投标文件截止时间不足15日时，投标截止时间将相应顺延，并在原公告网站上发布更正公告。因其他紧急情况影响本项目正常招标活动的，采购代理机构将于投标截止日期5天前在原公告网站上发布通知。各投标人应主动关注投标项目的更正公告等情况。</w:t>
      </w:r>
    </w:p>
    <w:p w14:paraId="3D14D6A6">
      <w:pPr>
        <w:pStyle w:val="24"/>
        <w:snapToGrid w:val="0"/>
        <w:spacing w:beforeLines="0" w:afterLines="0"/>
        <w:ind w:firstLine="480" w:firstLineChars="200"/>
        <w:rPr>
          <w:rFonts w:hint="default" w:hAnsi="宋体" w:cs="宋体"/>
          <w:bCs/>
          <w:color w:val="auto"/>
          <w:sz w:val="24"/>
          <w:szCs w:val="24"/>
          <w:highlight w:val="none"/>
        </w:rPr>
      </w:pPr>
      <w:r>
        <w:rPr>
          <w:rFonts w:hAnsi="宋体" w:cs="宋体"/>
          <w:bCs/>
          <w:color w:val="auto"/>
          <w:sz w:val="24"/>
          <w:szCs w:val="24"/>
          <w:highlight w:val="none"/>
        </w:rPr>
        <w:t>2.招标文件澄清、答复、修改、补充的内容为招标文件的组成部分。当招标文件与招标文件的答复、澄清、修改、补充通知就同一内容的表述不一致时，以最后发出的内容为准。</w:t>
      </w:r>
    </w:p>
    <w:p w14:paraId="2ED26437">
      <w:pPr>
        <w:pStyle w:val="24"/>
        <w:snapToGrid w:val="0"/>
        <w:spacing w:beforeLines="0" w:afterLines="0"/>
        <w:ind w:firstLine="480" w:firstLineChars="200"/>
        <w:rPr>
          <w:rFonts w:hint="default" w:hAnsi="宋体" w:cs="宋体"/>
          <w:bCs/>
          <w:color w:val="auto"/>
          <w:sz w:val="24"/>
          <w:szCs w:val="24"/>
          <w:highlight w:val="none"/>
        </w:rPr>
      </w:pPr>
      <w:r>
        <w:rPr>
          <w:rFonts w:hAnsi="宋体" w:cs="宋体"/>
          <w:bCs/>
          <w:color w:val="auto"/>
          <w:sz w:val="24"/>
          <w:szCs w:val="24"/>
          <w:highlight w:val="none"/>
        </w:rPr>
        <w:t>3.招标文件的澄清、答复、修改或补充都应该通过采购代理机构以法定形式发布，采购人非通过采购代理机构，不得擅自澄清、答复、修改或补充招标文件。</w:t>
      </w:r>
    </w:p>
    <w:p w14:paraId="14D9A4C0">
      <w:pPr>
        <w:pStyle w:val="24"/>
        <w:snapToGrid w:val="0"/>
        <w:spacing w:beforeLines="0" w:afterLines="0"/>
        <w:ind w:firstLine="480" w:firstLineChars="200"/>
        <w:rPr>
          <w:rFonts w:hint="default" w:hAnsi="宋体" w:cs="宋体"/>
          <w:bCs/>
          <w:color w:val="auto"/>
          <w:sz w:val="24"/>
          <w:szCs w:val="24"/>
          <w:highlight w:val="none"/>
        </w:rPr>
      </w:pPr>
      <w:r>
        <w:rPr>
          <w:rFonts w:hAnsi="宋体" w:cs="宋体"/>
          <w:bCs/>
          <w:color w:val="auto"/>
          <w:sz w:val="24"/>
          <w:szCs w:val="24"/>
          <w:highlight w:val="none"/>
        </w:rPr>
        <w:t>4.采购代理机构可以视采购具体情况，延长投标截止时间和开标时间并在原公告网站上发布变更公告。</w:t>
      </w:r>
    </w:p>
    <w:p w14:paraId="1CCD62A5">
      <w:pPr>
        <w:pStyle w:val="24"/>
        <w:snapToGrid w:val="0"/>
        <w:spacing w:beforeLines="0" w:afterLines="0"/>
        <w:ind w:firstLine="482" w:firstLineChars="200"/>
        <w:rPr>
          <w:rFonts w:hint="default" w:ascii="黑体" w:hAnsi="宋体" w:eastAsia="黑体"/>
          <w:b/>
          <w:color w:val="auto"/>
          <w:sz w:val="24"/>
          <w:szCs w:val="24"/>
          <w:highlight w:val="none"/>
        </w:rPr>
      </w:pPr>
      <w:r>
        <w:rPr>
          <w:rFonts w:ascii="黑体" w:hAnsi="宋体" w:eastAsia="黑体"/>
          <w:b/>
          <w:color w:val="auto"/>
          <w:sz w:val="24"/>
          <w:szCs w:val="24"/>
          <w:highlight w:val="none"/>
        </w:rPr>
        <w:t>三、投标文件的组成</w:t>
      </w:r>
    </w:p>
    <w:p w14:paraId="4864C84E">
      <w:pPr>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投标文件由三部分组成，第一部分为资格文件，第二部分为商务技术文件，第三部分为报价文件。</w:t>
      </w:r>
    </w:p>
    <w:p w14:paraId="491FE48B">
      <w:pPr>
        <w:snapToGrid w:val="0"/>
        <w:spacing w:line="400" w:lineRule="exact"/>
        <w:ind w:firstLine="482" w:firstLineChars="200"/>
        <w:jc w:val="left"/>
        <w:rPr>
          <w:rFonts w:ascii="宋体" w:hAnsi="宋体" w:cs="Courier New"/>
          <w:b/>
          <w:bCs/>
          <w:color w:val="auto"/>
          <w:kern w:val="0"/>
          <w:sz w:val="24"/>
          <w:highlight w:val="none"/>
        </w:rPr>
      </w:pPr>
      <w:r>
        <w:rPr>
          <w:rFonts w:hint="eastAsia" w:ascii="宋体" w:hAnsi="宋体" w:cs="Courier New"/>
          <w:b/>
          <w:bCs/>
          <w:color w:val="auto"/>
          <w:kern w:val="0"/>
          <w:sz w:val="24"/>
          <w:highlight w:val="none"/>
        </w:rPr>
        <w:t>（一）资格文件的组成</w:t>
      </w:r>
    </w:p>
    <w:p w14:paraId="1944F6B6">
      <w:pPr>
        <w:snapToGrid w:val="0"/>
        <w:spacing w:line="400" w:lineRule="exact"/>
        <w:ind w:firstLine="480" w:firstLineChars="200"/>
        <w:jc w:val="left"/>
        <w:rPr>
          <w:rFonts w:ascii="宋体" w:hAnsi="宋体" w:cs="Courier New"/>
          <w:color w:val="auto"/>
          <w:kern w:val="0"/>
          <w:sz w:val="24"/>
          <w:highlight w:val="none"/>
        </w:rPr>
      </w:pPr>
      <w:r>
        <w:rPr>
          <w:rFonts w:hint="eastAsia" w:ascii="宋体" w:hAnsi="宋体" w:cs="Courier New"/>
          <w:color w:val="auto"/>
          <w:kern w:val="0"/>
          <w:sz w:val="24"/>
          <w:highlight w:val="none"/>
        </w:rPr>
        <w:t>1.满足《中华人民共和国政府采购法》第二十二条规定的资料：</w:t>
      </w:r>
    </w:p>
    <w:p w14:paraId="5D86ED68">
      <w:pPr>
        <w:snapToGrid w:val="0"/>
        <w:spacing w:line="400" w:lineRule="exact"/>
        <w:ind w:firstLine="480" w:firstLineChars="200"/>
        <w:jc w:val="left"/>
        <w:rPr>
          <w:rFonts w:ascii="宋体" w:hAnsi="宋体" w:cs="Courier New"/>
          <w:color w:val="auto"/>
          <w:kern w:val="0"/>
          <w:sz w:val="24"/>
          <w:highlight w:val="none"/>
        </w:rPr>
      </w:pPr>
      <w:r>
        <w:rPr>
          <w:rFonts w:hint="eastAsia" w:ascii="宋体" w:hAnsi="宋体" w:cs="Courier New"/>
          <w:color w:val="auto"/>
          <w:kern w:val="0"/>
          <w:sz w:val="24"/>
          <w:highlight w:val="none"/>
        </w:rPr>
        <w:t>（1）营业执照（或法人登记证书，自然人身份证明）复印件；</w:t>
      </w:r>
    </w:p>
    <w:p w14:paraId="5D228D62">
      <w:pPr>
        <w:snapToGrid w:val="0"/>
        <w:spacing w:line="400" w:lineRule="exact"/>
        <w:ind w:firstLine="480" w:firstLineChars="200"/>
        <w:jc w:val="left"/>
        <w:rPr>
          <w:rFonts w:ascii="宋体" w:hAnsi="宋体" w:cs="Courier New"/>
          <w:color w:val="auto"/>
          <w:kern w:val="0"/>
          <w:sz w:val="24"/>
          <w:highlight w:val="none"/>
        </w:rPr>
      </w:pPr>
      <w:r>
        <w:rPr>
          <w:rFonts w:hint="eastAsia" w:ascii="宋体" w:hAnsi="宋体" w:cs="Courier New"/>
          <w:color w:val="auto"/>
          <w:kern w:val="0"/>
          <w:sz w:val="24"/>
          <w:highlight w:val="none"/>
        </w:rPr>
        <w:t>（2）符合参加政府采购活动应当具备的一般条件的承诺函；</w:t>
      </w:r>
    </w:p>
    <w:p w14:paraId="20B4DA77">
      <w:pPr>
        <w:snapToGrid w:val="0"/>
        <w:spacing w:line="400" w:lineRule="exact"/>
        <w:ind w:firstLine="480" w:firstLineChars="200"/>
        <w:jc w:val="left"/>
        <w:rPr>
          <w:rFonts w:hint="default" w:ascii="宋体" w:hAnsi="宋体" w:eastAsia="宋体" w:cs="Courier New"/>
          <w:color w:val="auto"/>
          <w:kern w:val="0"/>
          <w:sz w:val="24"/>
          <w:highlight w:val="none"/>
          <w:lang w:val="en-US" w:eastAsia="zh-CN"/>
        </w:rPr>
      </w:pPr>
      <w:r>
        <w:rPr>
          <w:rFonts w:hint="eastAsia" w:ascii="宋体" w:hAnsi="宋体" w:cs="Courier New"/>
          <w:color w:val="auto"/>
          <w:kern w:val="0"/>
          <w:sz w:val="24"/>
          <w:highlight w:val="none"/>
          <w:lang w:val="en-US" w:eastAsia="zh-CN"/>
        </w:rPr>
        <w:t>2.落实政府采购政策需满足的资格要求：根据要求提供中小企业声明函或相关依据材料；</w:t>
      </w:r>
    </w:p>
    <w:p w14:paraId="77007F20">
      <w:pPr>
        <w:snapToGrid w:val="0"/>
        <w:spacing w:line="400" w:lineRule="exact"/>
        <w:ind w:firstLine="482" w:firstLineChars="200"/>
        <w:jc w:val="left"/>
        <w:rPr>
          <w:rFonts w:ascii="宋体" w:hAnsi="宋体" w:cs="Courier New"/>
          <w:b/>
          <w:bCs/>
          <w:color w:val="auto"/>
          <w:kern w:val="0"/>
          <w:sz w:val="24"/>
          <w:highlight w:val="none"/>
        </w:rPr>
      </w:pPr>
      <w:r>
        <w:rPr>
          <w:rFonts w:hint="eastAsia" w:ascii="宋体" w:hAnsi="宋体" w:cs="Courier New"/>
          <w:b/>
          <w:bCs/>
          <w:color w:val="auto"/>
          <w:kern w:val="0"/>
          <w:sz w:val="24"/>
          <w:highlight w:val="none"/>
        </w:rPr>
        <w:t>（二）商务技术文件的组成</w:t>
      </w:r>
    </w:p>
    <w:p w14:paraId="31376E7A">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ascii="宋体" w:hAnsi="宋体" w:cs="Courier New"/>
          <w:color w:val="auto"/>
          <w:kern w:val="0"/>
          <w:sz w:val="24"/>
          <w:highlight w:val="none"/>
        </w:rPr>
      </w:pPr>
      <w:r>
        <w:rPr>
          <w:rFonts w:hint="eastAsia" w:ascii="宋体" w:hAnsi="宋体" w:cs="Courier New"/>
          <w:color w:val="auto"/>
          <w:kern w:val="0"/>
          <w:sz w:val="24"/>
          <w:highlight w:val="none"/>
          <w:lang w:val="en-US" w:eastAsia="zh-CN"/>
        </w:rPr>
        <w:t>1.</w:t>
      </w:r>
      <w:r>
        <w:rPr>
          <w:rFonts w:hint="eastAsia" w:ascii="宋体" w:hAnsi="宋体" w:cs="Courier New"/>
          <w:color w:val="auto"/>
          <w:kern w:val="0"/>
          <w:sz w:val="24"/>
          <w:highlight w:val="none"/>
        </w:rPr>
        <w:t>投标声明书；</w:t>
      </w:r>
    </w:p>
    <w:p w14:paraId="220A1068">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ascii="宋体" w:hAnsi="宋体" w:cs="Courier New"/>
          <w:color w:val="auto"/>
          <w:kern w:val="0"/>
          <w:sz w:val="24"/>
          <w:highlight w:val="none"/>
        </w:rPr>
      </w:pPr>
      <w:r>
        <w:rPr>
          <w:rFonts w:hint="eastAsia" w:ascii="宋体" w:hAnsi="宋体" w:cs="Courier New"/>
          <w:color w:val="auto"/>
          <w:kern w:val="0"/>
          <w:sz w:val="24"/>
          <w:highlight w:val="none"/>
          <w:lang w:val="en-US" w:eastAsia="zh-CN"/>
        </w:rPr>
        <w:t>2.</w:t>
      </w:r>
      <w:r>
        <w:rPr>
          <w:rFonts w:hint="eastAsia" w:ascii="宋体" w:hAnsi="宋体" w:cs="Courier New"/>
          <w:color w:val="auto"/>
          <w:kern w:val="0"/>
          <w:sz w:val="24"/>
          <w:highlight w:val="none"/>
        </w:rPr>
        <w:t>法定代表人授权委托书（非法人本人参加投标时提供；法定代表人本人参加投标时无须提供授权）；</w:t>
      </w:r>
    </w:p>
    <w:p w14:paraId="2DD58C48">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ascii="宋体" w:hAnsi="宋体" w:cs="Courier New"/>
          <w:color w:val="auto"/>
          <w:kern w:val="0"/>
          <w:sz w:val="24"/>
          <w:highlight w:val="none"/>
        </w:rPr>
      </w:pPr>
      <w:r>
        <w:rPr>
          <w:rFonts w:hint="eastAsia" w:ascii="宋体" w:hAnsi="宋体" w:cs="Courier New"/>
          <w:color w:val="auto"/>
          <w:kern w:val="0"/>
          <w:sz w:val="24"/>
          <w:highlight w:val="none"/>
          <w:lang w:val="en-US" w:eastAsia="zh-CN"/>
        </w:rPr>
        <w:t>3.</w:t>
      </w:r>
      <w:r>
        <w:rPr>
          <w:rFonts w:hint="eastAsia" w:ascii="宋体" w:hAnsi="宋体" w:cs="Courier New"/>
          <w:color w:val="auto"/>
          <w:kern w:val="0"/>
          <w:sz w:val="24"/>
          <w:highlight w:val="none"/>
        </w:rPr>
        <w:t>投标人基本情况（如企业简介，经营状况、财务状况、专业能力，企业荣誉，企业资质，拥有相关认证情况等等）；</w:t>
      </w:r>
    </w:p>
    <w:p w14:paraId="133271B5">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投</w:t>
      </w:r>
      <w:r>
        <w:rPr>
          <w:rFonts w:hint="eastAsia" w:ascii="宋体" w:hAnsi="宋体" w:cs="宋体"/>
          <w:color w:val="auto"/>
          <w:sz w:val="24"/>
          <w:highlight w:val="none"/>
        </w:rPr>
        <w:t>标人完成的同类项目业绩，提供业绩清单及合同复印件</w:t>
      </w:r>
      <w:r>
        <w:rPr>
          <w:rFonts w:hint="eastAsia" w:ascii="宋体" w:hAnsi="宋体" w:cs="Courier New"/>
          <w:color w:val="auto"/>
          <w:kern w:val="0"/>
          <w:sz w:val="24"/>
          <w:highlight w:val="none"/>
        </w:rPr>
        <w:t>；</w:t>
      </w:r>
    </w:p>
    <w:p w14:paraId="31225A3F">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ascii="宋体" w:hAnsi="宋体" w:cs="Courier New"/>
          <w:color w:val="auto"/>
          <w:kern w:val="0"/>
          <w:sz w:val="24"/>
          <w:highlight w:val="none"/>
        </w:rPr>
      </w:pPr>
      <w:r>
        <w:rPr>
          <w:rFonts w:hint="eastAsia" w:ascii="宋体" w:hAnsi="宋体" w:cs="宋体"/>
          <w:color w:val="auto"/>
          <w:sz w:val="24"/>
          <w:highlight w:val="none"/>
          <w:lang w:val="en-US" w:eastAsia="zh-CN"/>
        </w:rPr>
        <w:t>5.</w:t>
      </w:r>
      <w:r>
        <w:rPr>
          <w:rFonts w:hint="eastAsia" w:ascii="宋体" w:hAnsi="宋体" w:cs="Courier New"/>
          <w:color w:val="auto"/>
          <w:kern w:val="0"/>
          <w:sz w:val="24"/>
          <w:highlight w:val="none"/>
        </w:rPr>
        <w:t>技术/商务响应表</w:t>
      </w:r>
      <w:r>
        <w:rPr>
          <w:rFonts w:hint="eastAsia" w:ascii="宋体" w:hAnsi="宋体" w:cs="宋体"/>
          <w:color w:val="auto"/>
          <w:sz w:val="24"/>
          <w:highlight w:val="none"/>
        </w:rPr>
        <w:t>（必须针对“招标需求”所列的技术参数条目，说明无偏离、正偏离、负偏离等响应情况</w:t>
      </w:r>
      <w:r>
        <w:rPr>
          <w:rFonts w:hint="eastAsia" w:ascii="宋体" w:hAnsi="宋体" w:cs="Courier New"/>
          <w:color w:val="auto"/>
          <w:kern w:val="0"/>
          <w:sz w:val="24"/>
          <w:highlight w:val="none"/>
        </w:rPr>
        <w:t>）；</w:t>
      </w:r>
    </w:p>
    <w:p w14:paraId="5E11DA64">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cs="Courier New"/>
          <w:color w:val="auto"/>
          <w:kern w:val="0"/>
          <w:sz w:val="24"/>
          <w:highlight w:val="none"/>
          <w:lang w:val="en-US" w:eastAsia="zh-CN"/>
        </w:rPr>
      </w:pPr>
      <w:r>
        <w:rPr>
          <w:rFonts w:hint="eastAsia" w:ascii="宋体" w:hAnsi="宋体" w:cs="Courier New"/>
          <w:color w:val="auto"/>
          <w:kern w:val="0"/>
          <w:sz w:val="24"/>
          <w:highlight w:val="none"/>
          <w:lang w:val="en-US" w:eastAsia="zh-CN"/>
        </w:rPr>
        <w:t>6.项目技术及实施方案；</w:t>
      </w:r>
    </w:p>
    <w:p w14:paraId="0F36F6F3">
      <w:pPr>
        <w:keepNext w:val="0"/>
        <w:keepLines w:val="0"/>
        <w:pageBreakBefore w:val="0"/>
        <w:widowControl w:val="0"/>
        <w:tabs>
          <w:tab w:val="left" w:pos="720"/>
        </w:tabs>
        <w:kinsoku/>
        <w:wordWrap/>
        <w:overflowPunct/>
        <w:topLinePunct w:val="0"/>
        <w:autoSpaceDE/>
        <w:autoSpaceDN/>
        <w:bidi w:val="0"/>
        <w:adjustRightInd/>
        <w:spacing w:line="360" w:lineRule="exact"/>
        <w:ind w:firstLine="480" w:firstLineChars="200"/>
        <w:textAlignment w:val="auto"/>
        <w:rPr>
          <w:rFonts w:hint="eastAsia" w:ascii="宋体" w:hAnsi="宋体" w:cs="Courier New"/>
          <w:color w:val="auto"/>
          <w:kern w:val="0"/>
          <w:sz w:val="24"/>
          <w:highlight w:val="none"/>
        </w:rPr>
      </w:pPr>
      <w:r>
        <w:rPr>
          <w:rFonts w:hint="eastAsia" w:ascii="宋体" w:hAnsi="宋体" w:cs="Courier New"/>
          <w:color w:val="auto"/>
          <w:kern w:val="0"/>
          <w:sz w:val="24"/>
          <w:highlight w:val="none"/>
        </w:rPr>
        <w:t>a.</w:t>
      </w:r>
      <w:r>
        <w:rPr>
          <w:rFonts w:hint="eastAsia" w:ascii="宋体" w:hAnsi="宋体" w:cs="宋体"/>
          <w:b w:val="0"/>
          <w:bCs w:val="0"/>
          <w:color w:val="auto"/>
          <w:sz w:val="24"/>
          <w:szCs w:val="24"/>
          <w:highlight w:val="none"/>
          <w:lang w:val="en-US" w:eastAsia="zh-CN"/>
        </w:rPr>
        <w:t>文物保护单位（古建筑）实施</w:t>
      </w:r>
      <w:r>
        <w:rPr>
          <w:rFonts w:hint="eastAsia" w:ascii="宋体" w:hAnsi="宋体" w:eastAsia="宋体" w:cs="宋体"/>
          <w:b w:val="0"/>
          <w:bCs w:val="0"/>
          <w:color w:val="auto"/>
          <w:sz w:val="24"/>
          <w:szCs w:val="24"/>
          <w:highlight w:val="none"/>
        </w:rPr>
        <w:t>展览需求分析</w:t>
      </w:r>
      <w:r>
        <w:rPr>
          <w:rFonts w:hint="eastAsia" w:ascii="宋体" w:hAnsi="宋体" w:cs="Courier New"/>
          <w:color w:val="auto"/>
          <w:kern w:val="0"/>
          <w:sz w:val="24"/>
          <w:highlight w:val="none"/>
        </w:rPr>
        <w:t>；</w:t>
      </w:r>
    </w:p>
    <w:p w14:paraId="01A614F6">
      <w:pPr>
        <w:keepNext w:val="0"/>
        <w:keepLines w:val="0"/>
        <w:pageBreakBefore w:val="0"/>
        <w:widowControl w:val="0"/>
        <w:tabs>
          <w:tab w:val="left" w:pos="720"/>
        </w:tabs>
        <w:kinsoku/>
        <w:wordWrap/>
        <w:overflowPunct/>
        <w:topLinePunct w:val="0"/>
        <w:autoSpaceDE/>
        <w:autoSpaceDN/>
        <w:bidi w:val="0"/>
        <w:adjustRightInd/>
        <w:spacing w:line="360" w:lineRule="exact"/>
        <w:ind w:firstLine="480" w:firstLineChars="200"/>
        <w:textAlignment w:val="auto"/>
        <w:rPr>
          <w:rFonts w:hint="eastAsia" w:ascii="宋体" w:hAnsi="宋体" w:cs="Courier New"/>
          <w:color w:val="auto"/>
          <w:kern w:val="0"/>
          <w:sz w:val="24"/>
          <w:highlight w:val="none"/>
        </w:rPr>
      </w:pPr>
      <w:r>
        <w:rPr>
          <w:rFonts w:hint="eastAsia" w:ascii="宋体" w:hAnsi="宋体" w:cs="Courier New"/>
          <w:color w:val="auto"/>
          <w:kern w:val="0"/>
          <w:sz w:val="24"/>
          <w:highlight w:val="none"/>
        </w:rPr>
        <w:t>b.</w:t>
      </w:r>
      <w:r>
        <w:rPr>
          <w:rFonts w:hint="eastAsia" w:ascii="宋体" w:hAnsi="宋体" w:cs="宋体"/>
          <w:color w:val="auto"/>
          <w:sz w:val="24"/>
          <w:highlight w:val="none"/>
          <w:lang w:val="en-US" w:eastAsia="zh-CN"/>
        </w:rPr>
        <w:t>场地了解与分析</w:t>
      </w:r>
      <w:r>
        <w:rPr>
          <w:rFonts w:hint="eastAsia" w:ascii="宋体" w:hAnsi="宋体" w:cs="Courier New"/>
          <w:color w:val="auto"/>
          <w:kern w:val="0"/>
          <w:sz w:val="24"/>
          <w:highlight w:val="none"/>
        </w:rPr>
        <w:t>；</w:t>
      </w:r>
    </w:p>
    <w:p w14:paraId="0E92002E">
      <w:pPr>
        <w:keepNext w:val="0"/>
        <w:keepLines w:val="0"/>
        <w:pageBreakBefore w:val="0"/>
        <w:widowControl w:val="0"/>
        <w:tabs>
          <w:tab w:val="left" w:pos="720"/>
        </w:tabs>
        <w:kinsoku/>
        <w:wordWrap/>
        <w:overflowPunct/>
        <w:topLinePunct w:val="0"/>
        <w:autoSpaceDE/>
        <w:autoSpaceDN/>
        <w:bidi w:val="0"/>
        <w:adjustRightInd/>
        <w:spacing w:line="360" w:lineRule="exact"/>
        <w:ind w:firstLine="480" w:firstLineChars="200"/>
        <w:textAlignment w:val="auto"/>
        <w:rPr>
          <w:rFonts w:hint="eastAsia" w:ascii="宋体" w:hAnsi="宋体" w:cs="Courier New"/>
          <w:color w:val="auto"/>
          <w:kern w:val="0"/>
          <w:sz w:val="24"/>
          <w:highlight w:val="none"/>
        </w:rPr>
      </w:pPr>
      <w:r>
        <w:rPr>
          <w:rFonts w:hint="eastAsia" w:ascii="宋体" w:hAnsi="宋体" w:cs="Courier New"/>
          <w:color w:val="auto"/>
          <w:kern w:val="0"/>
          <w:sz w:val="24"/>
          <w:highlight w:val="none"/>
        </w:rPr>
        <w:t>c.</w:t>
      </w:r>
      <w:r>
        <w:rPr>
          <w:rFonts w:hint="eastAsia" w:ascii="宋体" w:hAnsi="宋体" w:eastAsia="宋体" w:cs="宋体"/>
          <w:color w:val="auto"/>
          <w:sz w:val="24"/>
          <w:szCs w:val="24"/>
          <w:highlight w:val="none"/>
          <w:lang w:eastAsia="zh-CN"/>
        </w:rPr>
        <w:t>策划</w:t>
      </w:r>
      <w:r>
        <w:rPr>
          <w:rFonts w:hint="eastAsia" w:hAnsi="宋体" w:cs="宋体"/>
          <w:color w:val="auto"/>
          <w:sz w:val="24"/>
          <w:szCs w:val="24"/>
          <w:highlight w:val="none"/>
          <w:lang w:val="en-US" w:eastAsia="zh-CN"/>
        </w:rPr>
        <w:t>方案</w:t>
      </w:r>
      <w:r>
        <w:rPr>
          <w:rFonts w:hint="eastAsia" w:ascii="宋体" w:hAnsi="宋体" w:eastAsia="宋体" w:cs="宋体"/>
          <w:color w:val="auto"/>
          <w:sz w:val="24"/>
          <w:szCs w:val="24"/>
          <w:highlight w:val="none"/>
          <w:lang w:eastAsia="zh-CN"/>
        </w:rPr>
        <w:t>文本</w:t>
      </w:r>
      <w:r>
        <w:rPr>
          <w:rFonts w:hint="eastAsia" w:ascii="宋体" w:hAnsi="宋体" w:cs="Courier New"/>
          <w:color w:val="auto"/>
          <w:kern w:val="0"/>
          <w:sz w:val="24"/>
          <w:highlight w:val="none"/>
        </w:rPr>
        <w:t>；</w:t>
      </w:r>
    </w:p>
    <w:p w14:paraId="630BAF2F">
      <w:pPr>
        <w:keepNext w:val="0"/>
        <w:keepLines w:val="0"/>
        <w:pageBreakBefore w:val="0"/>
        <w:widowControl w:val="0"/>
        <w:tabs>
          <w:tab w:val="left" w:pos="720"/>
        </w:tabs>
        <w:kinsoku/>
        <w:wordWrap/>
        <w:overflowPunct/>
        <w:topLinePunct w:val="0"/>
        <w:autoSpaceDE/>
        <w:autoSpaceDN/>
        <w:bidi w:val="0"/>
        <w:adjustRightInd/>
        <w:spacing w:line="360" w:lineRule="exact"/>
        <w:ind w:firstLine="480" w:firstLineChars="200"/>
        <w:textAlignment w:val="auto"/>
        <w:rPr>
          <w:rFonts w:hint="eastAsia" w:ascii="宋体" w:hAnsi="宋体" w:cs="Courier New"/>
          <w:color w:val="auto"/>
          <w:kern w:val="0"/>
          <w:sz w:val="24"/>
          <w:highlight w:val="none"/>
        </w:rPr>
      </w:pPr>
      <w:r>
        <w:rPr>
          <w:rFonts w:hint="eastAsia" w:ascii="宋体" w:hAnsi="宋体" w:cs="Courier New"/>
          <w:color w:val="auto"/>
          <w:kern w:val="0"/>
          <w:sz w:val="24"/>
          <w:highlight w:val="none"/>
        </w:rPr>
        <w:t>d.</w:t>
      </w:r>
      <w:r>
        <w:rPr>
          <w:rFonts w:hint="eastAsia" w:ascii="宋体" w:hAnsi="宋体" w:cs="宋体"/>
          <w:color w:val="auto"/>
          <w:sz w:val="24"/>
          <w:highlight w:val="none"/>
          <w:lang w:val="en-US" w:eastAsia="zh-CN"/>
        </w:rPr>
        <w:t>设计方案及对应清单细化情况</w:t>
      </w:r>
      <w:r>
        <w:rPr>
          <w:rFonts w:hint="eastAsia" w:ascii="宋体" w:hAnsi="宋体" w:cs="Courier New"/>
          <w:color w:val="auto"/>
          <w:kern w:val="0"/>
          <w:sz w:val="24"/>
          <w:highlight w:val="none"/>
        </w:rPr>
        <w:t>；</w:t>
      </w:r>
    </w:p>
    <w:p w14:paraId="46127780">
      <w:pPr>
        <w:keepNext w:val="0"/>
        <w:keepLines w:val="0"/>
        <w:pageBreakBefore w:val="0"/>
        <w:widowControl w:val="0"/>
        <w:tabs>
          <w:tab w:val="left" w:pos="720"/>
        </w:tabs>
        <w:kinsoku/>
        <w:wordWrap/>
        <w:overflowPunct/>
        <w:topLinePunct w:val="0"/>
        <w:autoSpaceDE/>
        <w:autoSpaceDN/>
        <w:bidi w:val="0"/>
        <w:adjustRightInd/>
        <w:spacing w:line="360" w:lineRule="exact"/>
        <w:ind w:firstLine="480" w:firstLineChars="200"/>
        <w:textAlignment w:val="auto"/>
        <w:rPr>
          <w:rFonts w:hint="eastAsia" w:ascii="宋体" w:hAnsi="宋体" w:cs="Courier New"/>
          <w:color w:val="auto"/>
          <w:kern w:val="0"/>
          <w:sz w:val="24"/>
          <w:highlight w:val="none"/>
          <w:lang w:eastAsia="zh-CN"/>
        </w:rPr>
      </w:pPr>
      <w:r>
        <w:rPr>
          <w:rFonts w:hint="eastAsia" w:ascii="宋体" w:hAnsi="宋体" w:cs="Courier New"/>
          <w:color w:val="auto"/>
          <w:kern w:val="0"/>
          <w:sz w:val="24"/>
          <w:highlight w:val="none"/>
        </w:rPr>
        <w:t>e.</w:t>
      </w:r>
      <w:r>
        <w:rPr>
          <w:rFonts w:hint="eastAsia" w:ascii="宋体" w:hAnsi="宋体" w:cs="宋体"/>
          <w:color w:val="auto"/>
          <w:sz w:val="24"/>
          <w:szCs w:val="24"/>
          <w:highlight w:val="none"/>
          <w:lang w:val="en-US" w:eastAsia="zh-CN"/>
        </w:rPr>
        <w:t>实施</w:t>
      </w:r>
      <w:r>
        <w:rPr>
          <w:rFonts w:hint="eastAsia" w:hAnsi="宋体" w:cs="宋体"/>
          <w:color w:val="auto"/>
          <w:sz w:val="24"/>
          <w:szCs w:val="24"/>
          <w:highlight w:val="none"/>
          <w:lang w:val="en-US" w:eastAsia="zh-CN"/>
        </w:rPr>
        <w:t>组织</w:t>
      </w:r>
      <w:r>
        <w:rPr>
          <w:rFonts w:hint="eastAsia" w:ascii="宋体" w:hAnsi="宋体" w:cs="宋体"/>
          <w:color w:val="auto"/>
          <w:sz w:val="24"/>
          <w:szCs w:val="24"/>
          <w:highlight w:val="none"/>
          <w:lang w:val="en-US" w:eastAsia="zh-CN"/>
        </w:rPr>
        <w:t>方案</w:t>
      </w:r>
      <w:r>
        <w:rPr>
          <w:rFonts w:hint="eastAsia" w:ascii="宋体" w:hAnsi="宋体" w:cs="Courier New"/>
          <w:color w:val="auto"/>
          <w:kern w:val="0"/>
          <w:sz w:val="24"/>
          <w:highlight w:val="none"/>
          <w:lang w:eastAsia="zh-CN"/>
        </w:rPr>
        <w:t>；</w:t>
      </w:r>
    </w:p>
    <w:p w14:paraId="794ECB8A">
      <w:pPr>
        <w:keepNext w:val="0"/>
        <w:keepLines w:val="0"/>
        <w:pageBreakBefore w:val="0"/>
        <w:widowControl w:val="0"/>
        <w:tabs>
          <w:tab w:val="left" w:pos="720"/>
        </w:tabs>
        <w:kinsoku/>
        <w:wordWrap/>
        <w:overflowPunct/>
        <w:topLinePunct w:val="0"/>
        <w:autoSpaceDE/>
        <w:autoSpaceDN/>
        <w:bidi w:val="0"/>
        <w:adjustRightInd/>
        <w:spacing w:line="360" w:lineRule="exact"/>
        <w:ind w:firstLine="480" w:firstLineChars="200"/>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f.</w:t>
      </w:r>
      <w:r>
        <w:rPr>
          <w:rFonts w:hint="eastAsia" w:ascii="宋体" w:hAnsi="宋体" w:cs="宋体"/>
          <w:color w:val="auto"/>
          <w:sz w:val="24"/>
          <w:szCs w:val="24"/>
          <w:highlight w:val="none"/>
          <w:lang w:val="en-US" w:eastAsia="zh-CN"/>
        </w:rPr>
        <w:t>布展材料及软硬件设施</w:t>
      </w:r>
      <w:r>
        <w:rPr>
          <w:rFonts w:hint="eastAsia" w:ascii="宋体" w:hAnsi="宋体" w:cs="宋体"/>
          <w:color w:val="auto"/>
          <w:kern w:val="2"/>
          <w:sz w:val="24"/>
          <w:szCs w:val="24"/>
          <w:highlight w:val="none"/>
          <w:lang w:val="en-US" w:eastAsia="zh-CN" w:bidi="ar-SA"/>
        </w:rPr>
        <w:t>；</w:t>
      </w:r>
    </w:p>
    <w:p w14:paraId="3FFC9E2D">
      <w:pPr>
        <w:keepNext w:val="0"/>
        <w:keepLines w:val="0"/>
        <w:pageBreakBefore w:val="0"/>
        <w:widowControl w:val="0"/>
        <w:tabs>
          <w:tab w:val="left" w:pos="720"/>
        </w:tabs>
        <w:kinsoku/>
        <w:wordWrap/>
        <w:overflowPunct/>
        <w:topLinePunct w:val="0"/>
        <w:autoSpaceDE/>
        <w:autoSpaceDN/>
        <w:bidi w:val="0"/>
        <w:adjustRightInd/>
        <w:spacing w:line="360" w:lineRule="exact"/>
        <w:ind w:firstLine="480" w:firstLineChars="200"/>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g.</w:t>
      </w:r>
      <w:r>
        <w:rPr>
          <w:rFonts w:hint="eastAsia" w:ascii="宋体" w:hAnsi="宋体" w:eastAsia="宋体" w:cs="宋体"/>
          <w:color w:val="auto"/>
          <w:kern w:val="2"/>
          <w:sz w:val="24"/>
          <w:szCs w:val="24"/>
          <w:highlight w:val="none"/>
          <w:lang w:val="en-US" w:eastAsia="zh-CN" w:bidi="ar-SA"/>
        </w:rPr>
        <w:t>展览布</w:t>
      </w:r>
      <w:r>
        <w:rPr>
          <w:rFonts w:hint="eastAsia" w:ascii="宋体" w:hAnsi="宋体" w:cs="宋体"/>
          <w:color w:val="auto"/>
          <w:kern w:val="2"/>
          <w:sz w:val="24"/>
          <w:szCs w:val="24"/>
          <w:highlight w:val="none"/>
          <w:lang w:val="en-US" w:eastAsia="zh-CN" w:bidi="ar-SA"/>
        </w:rPr>
        <w:t>展</w:t>
      </w:r>
      <w:r>
        <w:rPr>
          <w:rFonts w:hint="eastAsia" w:ascii="宋体" w:hAnsi="宋体" w:eastAsia="宋体" w:cs="宋体"/>
          <w:color w:val="auto"/>
          <w:kern w:val="2"/>
          <w:sz w:val="24"/>
          <w:szCs w:val="24"/>
          <w:highlight w:val="none"/>
          <w:lang w:val="en-US" w:eastAsia="zh-CN" w:bidi="ar-SA"/>
        </w:rPr>
        <w:t>方案</w:t>
      </w:r>
      <w:r>
        <w:rPr>
          <w:rFonts w:hint="eastAsia" w:ascii="宋体" w:hAnsi="宋体" w:cs="宋体"/>
          <w:color w:val="auto"/>
          <w:sz w:val="24"/>
          <w:szCs w:val="24"/>
          <w:highlight w:val="none"/>
          <w:lang w:val="en-US" w:eastAsia="zh-CN"/>
        </w:rPr>
        <w:t>；</w:t>
      </w:r>
    </w:p>
    <w:p w14:paraId="73DC108B">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ascii="宋体" w:hAnsi="宋体" w:cs="Courier New"/>
          <w:color w:val="auto"/>
          <w:kern w:val="0"/>
          <w:sz w:val="24"/>
          <w:highlight w:val="none"/>
        </w:rPr>
      </w:pPr>
      <w:r>
        <w:rPr>
          <w:rFonts w:hint="eastAsia" w:ascii="宋体" w:hAnsi="宋体" w:cs="Courier New"/>
          <w:color w:val="auto"/>
          <w:kern w:val="0"/>
          <w:sz w:val="24"/>
          <w:highlight w:val="none"/>
          <w:lang w:val="en-US" w:eastAsia="zh-CN"/>
        </w:rPr>
        <w:t>7.</w:t>
      </w:r>
      <w:r>
        <w:rPr>
          <w:rFonts w:hint="eastAsia" w:ascii="宋体" w:hAnsi="宋体" w:cs="Courier New"/>
          <w:color w:val="auto"/>
          <w:kern w:val="0"/>
          <w:sz w:val="24"/>
          <w:highlight w:val="none"/>
        </w:rPr>
        <w:t>拟派</w:t>
      </w:r>
      <w:r>
        <w:rPr>
          <w:rFonts w:hint="eastAsia" w:ascii="宋体" w:hAnsi="宋体" w:cs="宋体"/>
          <w:color w:val="auto"/>
          <w:sz w:val="24"/>
          <w:highlight w:val="none"/>
          <w:lang w:val="en-US" w:eastAsia="zh-CN"/>
        </w:rPr>
        <w:t>实施团队</w:t>
      </w:r>
      <w:r>
        <w:rPr>
          <w:rFonts w:hint="eastAsia" w:ascii="宋体" w:hAnsi="宋体" w:cs="宋体"/>
          <w:color w:val="auto"/>
          <w:sz w:val="24"/>
          <w:highlight w:val="none"/>
        </w:rPr>
        <w:t>人员</w:t>
      </w:r>
      <w:r>
        <w:rPr>
          <w:rFonts w:hint="eastAsia" w:ascii="宋体" w:hAnsi="宋体" w:cs="Courier New"/>
          <w:color w:val="auto"/>
          <w:kern w:val="0"/>
          <w:sz w:val="24"/>
          <w:highlight w:val="none"/>
        </w:rPr>
        <w:t>情况：投标人拟派项目</w:t>
      </w:r>
      <w:r>
        <w:rPr>
          <w:rFonts w:hint="eastAsia" w:ascii="宋体" w:hAnsi="宋体" w:cs="Courier New"/>
          <w:color w:val="auto"/>
          <w:kern w:val="0"/>
          <w:sz w:val="24"/>
          <w:highlight w:val="none"/>
          <w:lang w:eastAsia="zh-CN"/>
        </w:rPr>
        <w:t>团队</w:t>
      </w:r>
      <w:r>
        <w:rPr>
          <w:rFonts w:hint="eastAsia" w:ascii="宋体" w:hAnsi="宋体" w:cs="宋体"/>
          <w:color w:val="auto"/>
          <w:kern w:val="2"/>
          <w:sz w:val="24"/>
          <w:szCs w:val="21"/>
          <w:highlight w:val="none"/>
          <w:lang w:val="en-US" w:eastAsia="zh-CN" w:bidi="ar-SA"/>
        </w:rPr>
        <w:t>岗位配置、</w:t>
      </w:r>
      <w:r>
        <w:rPr>
          <w:rFonts w:hint="eastAsia" w:ascii="宋体" w:hAnsi="宋体" w:eastAsia="宋体" w:cs="宋体"/>
          <w:color w:val="auto"/>
          <w:kern w:val="2"/>
          <w:sz w:val="24"/>
          <w:szCs w:val="21"/>
          <w:highlight w:val="none"/>
          <w:lang w:val="en-US" w:eastAsia="zh-CN" w:bidi="ar-SA"/>
        </w:rPr>
        <w:t>从业经验丰富性与设计人员的相关专业技能</w:t>
      </w:r>
      <w:r>
        <w:rPr>
          <w:rFonts w:hint="eastAsia" w:ascii="宋体" w:hAnsi="宋体" w:cs="Courier New"/>
          <w:color w:val="auto"/>
          <w:kern w:val="0"/>
          <w:sz w:val="24"/>
          <w:highlight w:val="none"/>
        </w:rPr>
        <w:t>等情况；</w:t>
      </w:r>
    </w:p>
    <w:p w14:paraId="672CD425">
      <w:pPr>
        <w:keepNext w:val="0"/>
        <w:keepLines w:val="0"/>
        <w:pageBreakBefore w:val="0"/>
        <w:widowControl w:val="0"/>
        <w:tabs>
          <w:tab w:val="left" w:pos="720"/>
        </w:tabs>
        <w:kinsoku/>
        <w:wordWrap/>
        <w:overflowPunct/>
        <w:topLinePunct w:val="0"/>
        <w:autoSpaceDE/>
        <w:autoSpaceDN/>
        <w:bidi w:val="0"/>
        <w:adjustRightInd/>
        <w:spacing w:line="360" w:lineRule="exact"/>
        <w:ind w:firstLine="480" w:firstLineChars="200"/>
        <w:textAlignment w:val="auto"/>
        <w:rPr>
          <w:rFonts w:hint="eastAsia" w:ascii="宋体" w:hAnsi="宋体" w:cs="Courier New"/>
          <w:color w:val="auto"/>
          <w:kern w:val="0"/>
          <w:sz w:val="24"/>
          <w:highlight w:val="none"/>
          <w:lang w:val="en-US" w:eastAsia="zh-CN"/>
        </w:rPr>
      </w:pPr>
      <w:r>
        <w:rPr>
          <w:rFonts w:hint="eastAsia" w:ascii="宋体" w:hAnsi="宋体" w:cs="Courier New"/>
          <w:color w:val="auto"/>
          <w:kern w:val="0"/>
          <w:sz w:val="24"/>
          <w:highlight w:val="none"/>
          <w:lang w:val="en-US" w:eastAsia="zh-CN"/>
        </w:rPr>
        <w:t>8.</w:t>
      </w:r>
      <w:r>
        <w:rPr>
          <w:rFonts w:hint="eastAsia" w:ascii="宋体" w:hAnsi="宋体" w:eastAsia="宋体" w:cs="宋体"/>
          <w:color w:val="auto"/>
          <w:sz w:val="24"/>
          <w:highlight w:val="none"/>
          <w:lang w:val="en-US" w:eastAsia="zh-CN"/>
        </w:rPr>
        <w:t>质量保修；</w:t>
      </w:r>
    </w:p>
    <w:p w14:paraId="25E4FFB2">
      <w:pPr>
        <w:keepNext w:val="0"/>
        <w:keepLines w:val="0"/>
        <w:pageBreakBefore w:val="0"/>
        <w:widowControl w:val="0"/>
        <w:tabs>
          <w:tab w:val="left" w:pos="720"/>
        </w:tabs>
        <w:kinsoku/>
        <w:wordWrap/>
        <w:overflowPunct/>
        <w:topLinePunct w:val="0"/>
        <w:autoSpaceDE/>
        <w:autoSpaceDN/>
        <w:bidi w:val="0"/>
        <w:adjustRightInd/>
        <w:spacing w:line="360" w:lineRule="exact"/>
        <w:ind w:firstLine="480" w:firstLineChars="200"/>
        <w:textAlignment w:val="auto"/>
        <w:rPr>
          <w:rFonts w:ascii="宋体" w:hAnsi="宋体" w:cs="Courier New"/>
          <w:color w:val="auto"/>
          <w:kern w:val="0"/>
          <w:sz w:val="24"/>
          <w:highlight w:val="none"/>
        </w:rPr>
      </w:pPr>
      <w:r>
        <w:rPr>
          <w:rFonts w:hint="eastAsia" w:ascii="宋体" w:hAnsi="宋体" w:cs="Courier New"/>
          <w:color w:val="auto"/>
          <w:kern w:val="0"/>
          <w:sz w:val="24"/>
          <w:highlight w:val="none"/>
          <w:lang w:val="en-US" w:eastAsia="zh-CN"/>
        </w:rPr>
        <w:t>9.</w:t>
      </w:r>
      <w:r>
        <w:rPr>
          <w:rFonts w:hint="eastAsia" w:ascii="宋体" w:hAnsi="宋体" w:cs="Courier New"/>
          <w:color w:val="auto"/>
          <w:kern w:val="0"/>
          <w:sz w:val="24"/>
          <w:highlight w:val="none"/>
        </w:rPr>
        <w:t>合理化建议及措施；</w:t>
      </w:r>
    </w:p>
    <w:p w14:paraId="14A83341">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ascii="宋体" w:hAnsi="宋体" w:cs="宋体"/>
          <w:b/>
          <w:color w:val="auto"/>
          <w:kern w:val="0"/>
          <w:sz w:val="24"/>
          <w:highlight w:val="none"/>
        </w:rPr>
      </w:pPr>
      <w:r>
        <w:rPr>
          <w:rFonts w:hint="eastAsia" w:ascii="宋体" w:hAnsi="宋体" w:cs="宋体"/>
          <w:color w:val="auto"/>
          <w:sz w:val="24"/>
          <w:highlight w:val="none"/>
          <w:lang w:val="en-US" w:eastAsia="zh-CN"/>
        </w:rPr>
        <w:t>10.</w:t>
      </w:r>
      <w:r>
        <w:rPr>
          <w:rFonts w:hint="eastAsia" w:ascii="宋体" w:hAnsi="宋体" w:cs="宋体"/>
          <w:color w:val="auto"/>
          <w:sz w:val="24"/>
          <w:highlight w:val="none"/>
        </w:rPr>
        <w:t>投标人认为需要提供的其他材</w:t>
      </w:r>
      <w:r>
        <w:rPr>
          <w:rFonts w:hint="eastAsia" w:ascii="宋体" w:hAnsi="宋体" w:cs="Courier New"/>
          <w:color w:val="auto"/>
          <w:kern w:val="0"/>
          <w:sz w:val="24"/>
          <w:highlight w:val="none"/>
        </w:rPr>
        <w:t>料</w:t>
      </w:r>
      <w:r>
        <w:rPr>
          <w:rFonts w:hint="eastAsia" w:ascii="宋体" w:hAnsi="宋体" w:cs="Courier New"/>
          <w:b/>
          <w:bCs/>
          <w:color w:val="auto"/>
          <w:kern w:val="0"/>
          <w:sz w:val="24"/>
          <w:highlight w:val="none"/>
        </w:rPr>
        <w:t>[结合评分细则提供]</w:t>
      </w:r>
      <w:r>
        <w:rPr>
          <w:rFonts w:hint="eastAsia" w:ascii="宋体" w:hAnsi="宋体" w:cs="Courier New"/>
          <w:color w:val="auto"/>
          <w:kern w:val="0"/>
          <w:sz w:val="24"/>
          <w:highlight w:val="none"/>
        </w:rPr>
        <w:t>。</w:t>
      </w:r>
    </w:p>
    <w:p w14:paraId="7AE39C97">
      <w:pPr>
        <w:pStyle w:val="20"/>
        <w:spacing w:after="0" w:line="400" w:lineRule="exact"/>
        <w:ind w:firstLine="482" w:firstLineChars="200"/>
        <w:rPr>
          <w:rFonts w:ascii="宋体" w:hAnsi="宋体"/>
          <w:b/>
          <w:color w:val="auto"/>
          <w:sz w:val="24"/>
          <w:szCs w:val="32"/>
          <w:highlight w:val="none"/>
        </w:rPr>
      </w:pPr>
      <w:r>
        <w:rPr>
          <w:rFonts w:hint="eastAsia" w:ascii="宋体" w:hAnsi="宋体"/>
          <w:b/>
          <w:color w:val="auto"/>
          <w:sz w:val="24"/>
          <w:szCs w:val="32"/>
          <w:highlight w:val="none"/>
        </w:rPr>
        <w:t>（三）报价文件的组成</w:t>
      </w:r>
    </w:p>
    <w:p w14:paraId="68944871">
      <w:pPr>
        <w:tabs>
          <w:tab w:val="left" w:pos="720"/>
        </w:tabs>
        <w:spacing w:line="400" w:lineRule="exact"/>
        <w:ind w:firstLine="480" w:firstLineChars="200"/>
        <w:rPr>
          <w:rFonts w:ascii="宋体" w:hAnsi="宋体" w:cs="Courier New"/>
          <w:color w:val="auto"/>
          <w:kern w:val="0"/>
          <w:sz w:val="24"/>
          <w:highlight w:val="none"/>
        </w:rPr>
      </w:pPr>
      <w:r>
        <w:rPr>
          <w:rFonts w:hint="eastAsia" w:ascii="宋体" w:hAnsi="宋体" w:cs="Courier New"/>
          <w:color w:val="auto"/>
          <w:kern w:val="0"/>
          <w:sz w:val="24"/>
          <w:highlight w:val="none"/>
        </w:rPr>
        <w:t>1.开标一览表；</w:t>
      </w:r>
    </w:p>
    <w:p w14:paraId="7FA16F9A">
      <w:pPr>
        <w:tabs>
          <w:tab w:val="left" w:pos="720"/>
        </w:tabs>
        <w:spacing w:line="400" w:lineRule="exact"/>
        <w:ind w:firstLine="480" w:firstLineChars="200"/>
        <w:rPr>
          <w:rFonts w:ascii="宋体" w:hAnsi="宋体" w:cs="Courier New"/>
          <w:color w:val="auto"/>
          <w:kern w:val="0"/>
          <w:sz w:val="24"/>
          <w:highlight w:val="none"/>
        </w:rPr>
      </w:pPr>
      <w:r>
        <w:rPr>
          <w:rFonts w:hint="eastAsia" w:ascii="宋体" w:hAnsi="宋体" w:cs="Courier New"/>
          <w:color w:val="auto"/>
          <w:kern w:val="0"/>
          <w:sz w:val="24"/>
          <w:highlight w:val="none"/>
        </w:rPr>
        <w:t>2.报价明细表；</w:t>
      </w:r>
    </w:p>
    <w:p w14:paraId="7FB58B67">
      <w:pPr>
        <w:tabs>
          <w:tab w:val="left" w:pos="720"/>
        </w:tabs>
        <w:spacing w:line="400" w:lineRule="exact"/>
        <w:ind w:firstLine="480" w:firstLineChars="200"/>
        <w:rPr>
          <w:rFonts w:ascii="宋体" w:hAnsi="宋体"/>
          <w:color w:val="auto"/>
          <w:sz w:val="24"/>
          <w:highlight w:val="none"/>
        </w:rPr>
      </w:pPr>
      <w:r>
        <w:rPr>
          <w:rFonts w:hint="eastAsia" w:ascii="宋体" w:hAnsi="宋体" w:cs="Courier New"/>
          <w:color w:val="auto"/>
          <w:kern w:val="0"/>
          <w:sz w:val="24"/>
          <w:highlight w:val="none"/>
        </w:rPr>
        <w:t>3.投标人认为有必</w:t>
      </w:r>
      <w:r>
        <w:rPr>
          <w:rFonts w:hint="eastAsia" w:ascii="宋体" w:hAnsi="宋体"/>
          <w:color w:val="auto"/>
          <w:sz w:val="24"/>
          <w:highlight w:val="none"/>
        </w:rPr>
        <w:t>要提供的其他资料</w:t>
      </w:r>
      <w:r>
        <w:rPr>
          <w:rFonts w:hint="eastAsia" w:ascii="宋体" w:hAnsi="宋体" w:cs="Courier New"/>
          <w:color w:val="auto"/>
          <w:kern w:val="0"/>
          <w:sz w:val="24"/>
          <w:highlight w:val="none"/>
        </w:rPr>
        <w:t>。</w:t>
      </w:r>
    </w:p>
    <w:p w14:paraId="192E6C5C">
      <w:pPr>
        <w:pStyle w:val="24"/>
        <w:snapToGrid w:val="0"/>
        <w:spacing w:beforeLines="0" w:afterLines="0"/>
        <w:ind w:firstLine="482" w:firstLineChars="200"/>
        <w:rPr>
          <w:rFonts w:hint="default" w:ascii="黑体" w:hAnsi="宋体" w:eastAsia="黑体"/>
          <w:b/>
          <w:color w:val="auto"/>
          <w:sz w:val="24"/>
          <w:szCs w:val="24"/>
          <w:highlight w:val="none"/>
        </w:rPr>
      </w:pPr>
      <w:r>
        <w:rPr>
          <w:rFonts w:ascii="黑体" w:hAnsi="宋体" w:eastAsia="黑体"/>
          <w:b/>
          <w:color w:val="auto"/>
          <w:sz w:val="24"/>
          <w:szCs w:val="24"/>
          <w:highlight w:val="none"/>
        </w:rPr>
        <w:t>四、投标文件的编制</w:t>
      </w:r>
    </w:p>
    <w:p w14:paraId="0B0D3D82">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（一）本项目通过“政府采购云平台（www.zcygov.cn）”实行在线投标响应（电子投标）。供应商应通过“政采云电子交易客户端”，并按照本招标文件和“政府采购云平台”的要求编制并加密投标文件。</w:t>
      </w:r>
    </w:p>
    <w:p w14:paraId="32EB804A">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（二）投标人应根据“政采云供应商项目采购-电子招投标操作指南”及本招标文件规定的内容和顺序编制电子投标文件并进行关联定位。</w:t>
      </w:r>
    </w:p>
    <w:p w14:paraId="1991465B">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（三）投标文件的语言及计量</w:t>
      </w:r>
    </w:p>
    <w:p w14:paraId="54FDCBCC">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投标文件以及投标</w:t>
      </w:r>
      <w:r>
        <w:rPr>
          <w:rFonts w:hint="eastAsia" w:ascii="宋体" w:hAnsi="宋体"/>
          <w:color w:val="auto"/>
          <w:sz w:val="24"/>
          <w:highlight w:val="none"/>
        </w:rPr>
        <w:t>人</w:t>
      </w:r>
      <w:r>
        <w:rPr>
          <w:rFonts w:ascii="宋体" w:hAnsi="宋体"/>
          <w:color w:val="auto"/>
          <w:sz w:val="24"/>
          <w:highlight w:val="none"/>
        </w:rPr>
        <w:t>与招标</w:t>
      </w:r>
      <w:r>
        <w:rPr>
          <w:rFonts w:hint="eastAsia" w:ascii="宋体" w:hAnsi="宋体"/>
          <w:color w:val="auto"/>
          <w:sz w:val="24"/>
          <w:highlight w:val="none"/>
        </w:rPr>
        <w:t>人</w:t>
      </w:r>
      <w:r>
        <w:rPr>
          <w:rFonts w:ascii="宋体" w:hAnsi="宋体"/>
          <w:color w:val="auto"/>
          <w:sz w:val="24"/>
          <w:highlight w:val="none"/>
        </w:rPr>
        <w:t>就有关投标事宜的所有来往函电，均应以中文汉语书写。除签名、盖章、专用名称等特殊情形外，以中文汉语以外的文字表述的投标文件视同未提供。</w:t>
      </w:r>
    </w:p>
    <w:p w14:paraId="4A421AD2">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投标计量单位，招标文件已有明确规定的，使用招标文件规定的计量单位；招标文件没有规定的，应采用中华人民共和国法定计量单位（货币单位：人民币元</w:t>
      </w:r>
      <w:r>
        <w:rPr>
          <w:rFonts w:hint="eastAsia" w:ascii="宋体" w:hAnsi="宋体"/>
          <w:color w:val="auto"/>
          <w:sz w:val="24"/>
          <w:highlight w:val="none"/>
        </w:rPr>
        <w:t>）</w:t>
      </w:r>
      <w:r>
        <w:rPr>
          <w:rFonts w:ascii="宋体" w:hAnsi="宋体"/>
          <w:color w:val="auto"/>
          <w:sz w:val="24"/>
          <w:highlight w:val="none"/>
        </w:rPr>
        <w:t>，否则视同未响应。</w:t>
      </w:r>
    </w:p>
    <w:p w14:paraId="6CD1FE23">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（四）投标报价</w:t>
      </w:r>
    </w:p>
    <w:p w14:paraId="0729AB44">
      <w:pPr>
        <w:snapToGrid w:val="0"/>
        <w:spacing w:line="400" w:lineRule="exact"/>
        <w:ind w:firstLine="480" w:firstLineChars="200"/>
        <w:rPr>
          <w:rFonts w:ascii="宋体" w:hAnsi="宋体"/>
          <w:b/>
          <w:bCs/>
          <w:color w:val="auto"/>
          <w:sz w:val="24"/>
          <w:highlight w:val="none"/>
        </w:rPr>
      </w:pPr>
      <w:r>
        <w:rPr>
          <w:rFonts w:hint="eastAsia" w:ascii="宋体" w:hAnsi="宋体"/>
          <w:color w:val="auto"/>
          <w:sz w:val="24"/>
          <w:highlight w:val="none"/>
        </w:rPr>
        <w:t>1.本次招标的投标报价以总价方式报价，投标单位应在招标文件中相关附表格式中明确本次投标报价，任何有选择的报价将不予接受。</w:t>
      </w:r>
      <w:r>
        <w:rPr>
          <w:rFonts w:hint="eastAsia" w:ascii="宋体" w:hAnsi="宋体"/>
          <w:b/>
          <w:bCs/>
          <w:color w:val="auto"/>
          <w:sz w:val="24"/>
          <w:highlight w:val="none"/>
        </w:rPr>
        <w:t>本项目设有最高限价高于最高限价的报价</w:t>
      </w:r>
      <w:r>
        <w:rPr>
          <w:rFonts w:hint="eastAsia" w:ascii="宋体" w:hAnsi="宋体"/>
          <w:b/>
          <w:bCs/>
          <w:color w:val="auto"/>
          <w:sz w:val="24"/>
          <w:highlight w:val="none"/>
          <w:lang w:val="en-US" w:eastAsia="zh-CN"/>
        </w:rPr>
        <w:t>均</w:t>
      </w:r>
      <w:r>
        <w:rPr>
          <w:rFonts w:hint="eastAsia" w:ascii="宋体" w:hAnsi="宋体"/>
          <w:b/>
          <w:bCs/>
          <w:color w:val="auto"/>
          <w:sz w:val="24"/>
          <w:highlight w:val="none"/>
        </w:rPr>
        <w:t>为无效报价，作无效投标处理。</w:t>
      </w:r>
    </w:p>
    <w:p w14:paraId="1C8C29C5">
      <w:pPr>
        <w:snapToGrid w:val="0"/>
        <w:spacing w:line="400" w:lineRule="exact"/>
        <w:ind w:firstLine="480" w:firstLineChars="200"/>
        <w:rPr>
          <w:rFonts w:hint="default" w:ascii="宋体" w:hAnsi="宋体" w:eastAsia="宋体"/>
          <w:color w:val="auto"/>
          <w:sz w:val="24"/>
          <w:highlight w:val="none"/>
          <w:lang w:val="en-US" w:eastAsia="zh-CN"/>
        </w:rPr>
      </w:pPr>
      <w:r>
        <w:rPr>
          <w:rFonts w:hint="eastAsia" w:ascii="宋体" w:hAnsi="宋体"/>
          <w:color w:val="auto"/>
          <w:sz w:val="24"/>
          <w:highlight w:val="none"/>
        </w:rPr>
        <w:t>2.</w:t>
      </w:r>
      <w:r>
        <w:rPr>
          <w:rFonts w:ascii="宋体" w:hAnsi="宋体"/>
          <w:color w:val="auto"/>
          <w:sz w:val="24"/>
          <w:highlight w:val="none"/>
        </w:rPr>
        <w:t>投标报价是履行合同的最终价格，</w:t>
      </w:r>
      <w:r>
        <w:rPr>
          <w:rFonts w:hint="eastAsia" w:ascii="宋体" w:hAnsi="宋体"/>
          <w:color w:val="auto"/>
          <w:sz w:val="24"/>
          <w:highlight w:val="none"/>
        </w:rPr>
        <w:t>应包括</w:t>
      </w:r>
      <w:r>
        <w:rPr>
          <w:rFonts w:hint="eastAsia" w:ascii="宋体" w:hAnsi="宋体"/>
          <w:color w:val="auto"/>
          <w:sz w:val="24"/>
          <w:highlight w:val="none"/>
          <w:lang w:val="en-US" w:eastAsia="zh-CN"/>
        </w:rPr>
        <w:t>展览</w:t>
      </w:r>
      <w:r>
        <w:rPr>
          <w:rFonts w:hint="eastAsia" w:ascii="宋体" w:hAnsi="宋体"/>
          <w:color w:val="auto"/>
          <w:sz w:val="24"/>
          <w:highlight w:val="none"/>
        </w:rPr>
        <w:t>方案</w:t>
      </w:r>
      <w:r>
        <w:rPr>
          <w:rFonts w:hint="eastAsia" w:ascii="宋体" w:hAnsi="宋体"/>
          <w:color w:val="auto"/>
          <w:sz w:val="24"/>
          <w:highlight w:val="none"/>
          <w:lang w:val="en-US" w:eastAsia="zh-CN"/>
        </w:rPr>
        <w:t>策划、</w:t>
      </w:r>
      <w:r>
        <w:rPr>
          <w:rFonts w:hint="eastAsia" w:ascii="宋体" w:hAnsi="宋体"/>
          <w:color w:val="auto"/>
          <w:sz w:val="24"/>
          <w:highlight w:val="none"/>
        </w:rPr>
        <w:t>设计</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运输、装卸、保险等，物料</w:t>
      </w:r>
      <w:r>
        <w:rPr>
          <w:rFonts w:hint="eastAsia" w:ascii="宋体" w:hAnsi="宋体"/>
          <w:color w:val="auto"/>
          <w:sz w:val="24"/>
          <w:highlight w:val="none"/>
          <w:lang w:eastAsia="zh-CN"/>
        </w:rPr>
        <w:t>制作、</w:t>
      </w:r>
      <w:r>
        <w:rPr>
          <w:rFonts w:hint="eastAsia" w:ascii="宋体" w:hAnsi="宋体"/>
          <w:color w:val="auto"/>
          <w:sz w:val="24"/>
          <w:highlight w:val="none"/>
        </w:rPr>
        <w:t>安装</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运输、装卸、保险等</w:t>
      </w:r>
      <w:r>
        <w:rPr>
          <w:rFonts w:hint="eastAsia" w:ascii="宋体" w:hAnsi="宋体"/>
          <w:color w:val="auto"/>
          <w:sz w:val="24"/>
          <w:highlight w:val="none"/>
          <w:lang w:eastAsia="zh-CN"/>
        </w:rPr>
        <w:t>，人员</w:t>
      </w:r>
      <w:r>
        <w:rPr>
          <w:rFonts w:hint="eastAsia" w:ascii="宋体" w:hAnsi="宋体"/>
          <w:color w:val="auto"/>
          <w:sz w:val="24"/>
          <w:highlight w:val="none"/>
        </w:rPr>
        <w:t>劳务</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质保</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验收，</w:t>
      </w:r>
      <w:r>
        <w:rPr>
          <w:rFonts w:hint="eastAsia" w:ascii="宋体" w:hAnsi="宋体"/>
          <w:color w:val="auto"/>
          <w:sz w:val="24"/>
          <w:highlight w:val="none"/>
        </w:rPr>
        <w:t>企业合理利润</w:t>
      </w:r>
      <w:r>
        <w:rPr>
          <w:rFonts w:hint="eastAsia" w:ascii="宋体" w:hAnsi="宋体"/>
          <w:color w:val="auto"/>
          <w:sz w:val="24"/>
          <w:highlight w:val="none"/>
          <w:lang w:eastAsia="zh-CN"/>
        </w:rPr>
        <w:t>，</w:t>
      </w:r>
      <w:r>
        <w:rPr>
          <w:rFonts w:hint="eastAsia" w:ascii="宋体" w:hAnsi="宋体"/>
          <w:color w:val="auto"/>
          <w:sz w:val="24"/>
          <w:highlight w:val="none"/>
        </w:rPr>
        <w:t>相关税费</w:t>
      </w:r>
      <w:r>
        <w:rPr>
          <w:rFonts w:hint="eastAsia" w:ascii="宋体" w:hAnsi="宋体"/>
          <w:color w:val="auto"/>
          <w:sz w:val="24"/>
          <w:highlight w:val="none"/>
          <w:lang w:eastAsia="zh-CN"/>
        </w:rPr>
        <w:t>，</w:t>
      </w:r>
      <w:r>
        <w:rPr>
          <w:rFonts w:hint="eastAsia" w:ascii="宋体" w:hAnsi="宋体"/>
          <w:color w:val="auto"/>
          <w:sz w:val="24"/>
          <w:highlight w:val="none"/>
        </w:rPr>
        <w:t>采购代理服务费、政策性文件规定及合同包含的所有风险及责任等为完成本项目招标文件规定的所有工作及全过程服务所涉及到的一切相关费用</w:t>
      </w:r>
      <w:r>
        <w:rPr>
          <w:rFonts w:hint="eastAsia" w:ascii="宋体" w:hAnsi="宋体"/>
          <w:color w:val="auto"/>
          <w:sz w:val="24"/>
          <w:highlight w:val="none"/>
          <w:lang w:eastAsia="zh-CN"/>
        </w:rPr>
        <w:t>。</w:t>
      </w:r>
    </w:p>
    <w:p w14:paraId="063F6E2C">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3.投标人的报价一旦确定就不再更改。投标人的报价如有缺漏项，也将被视为投标优惠，已包含在总价范围内。结算时，不得以任何理由调整价格。</w:t>
      </w:r>
    </w:p>
    <w:p w14:paraId="0FF38BFB">
      <w:pPr>
        <w:snapToGrid w:val="0"/>
        <w:spacing w:line="400" w:lineRule="exact"/>
        <w:ind w:firstLine="482" w:firstLineChars="200"/>
        <w:rPr>
          <w:rFonts w:ascii="宋体" w:hAnsi="宋体"/>
          <w:b/>
          <w:bCs/>
          <w:color w:val="auto"/>
          <w:sz w:val="24"/>
          <w:highlight w:val="none"/>
        </w:rPr>
      </w:pPr>
      <w:r>
        <w:rPr>
          <w:rFonts w:hint="eastAsia" w:ascii="宋体" w:hAnsi="宋体"/>
          <w:b/>
          <w:bCs/>
          <w:color w:val="auto"/>
          <w:sz w:val="24"/>
          <w:highlight w:val="none"/>
        </w:rPr>
        <w:t>4.根据浙江省政府采购禁止行为清单指引（一） “供应商行为禁止类” 之“影响政府采购公平竞争的行为”第5条：供应商不得进行影响产品质量或者诚信履约的恶意报价。供应商在项目评审前准备好报价核算、报价明细、报价说明等材料，以备评审专家核查。</w:t>
      </w:r>
      <w:r>
        <w:rPr>
          <w:rFonts w:hint="eastAsia" w:ascii="宋体" w:hAnsi="宋体"/>
          <w:b/>
          <w:bCs/>
          <w:color w:val="auto"/>
          <w:sz w:val="24"/>
          <w:highlight w:val="none"/>
          <w:lang w:val="en-US" w:eastAsia="zh-CN"/>
        </w:rPr>
        <w:t>本项目投标人</w:t>
      </w:r>
      <w:r>
        <w:rPr>
          <w:rFonts w:hint="eastAsia" w:ascii="宋体" w:hAnsi="宋体"/>
          <w:b/>
          <w:bCs/>
          <w:color w:val="auto"/>
          <w:sz w:val="24"/>
          <w:highlight w:val="none"/>
        </w:rPr>
        <w:t>报价低于项目预算50%的，应当在报价文件中详细阐述不影响产品质量或者诚信履约的具体原因。</w:t>
      </w:r>
    </w:p>
    <w:p w14:paraId="56A22000">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5.政府采购合同履行中，采购人需追加与合同标的相同的货物、工程或者服务的，在不改变合同其他条款的前提下，可以与供应商协商签订补充合同，但所有补充合同的采购金额不得超过原合同采购金额的百分之十。</w:t>
      </w:r>
    </w:p>
    <w:p w14:paraId="455F3C41">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（五）投标文件的有效期</w:t>
      </w:r>
    </w:p>
    <w:p w14:paraId="790E7390">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自投标截止日起</w:t>
      </w:r>
      <w:r>
        <w:rPr>
          <w:rFonts w:hint="eastAsia" w:ascii="宋体" w:hAnsi="宋体"/>
          <w:color w:val="auto"/>
          <w:sz w:val="24"/>
          <w:highlight w:val="none"/>
        </w:rPr>
        <w:t>90</w:t>
      </w:r>
      <w:r>
        <w:rPr>
          <w:rFonts w:ascii="宋体" w:hAnsi="宋体"/>
          <w:color w:val="auto"/>
          <w:sz w:val="24"/>
          <w:highlight w:val="none"/>
        </w:rPr>
        <w:t>天</w:t>
      </w:r>
      <w:r>
        <w:rPr>
          <w:rFonts w:hint="eastAsia" w:ascii="宋体" w:hAnsi="宋体"/>
          <w:color w:val="auto"/>
          <w:sz w:val="24"/>
          <w:highlight w:val="none"/>
        </w:rPr>
        <w:t>内</w:t>
      </w:r>
      <w:r>
        <w:rPr>
          <w:rFonts w:ascii="宋体" w:hAnsi="宋体"/>
          <w:color w:val="auto"/>
          <w:sz w:val="24"/>
          <w:highlight w:val="none"/>
        </w:rPr>
        <w:t>投标</w:t>
      </w:r>
      <w:r>
        <w:rPr>
          <w:rFonts w:hint="eastAsia" w:ascii="宋体" w:hAnsi="宋体"/>
          <w:color w:val="auto"/>
          <w:sz w:val="24"/>
          <w:highlight w:val="none"/>
        </w:rPr>
        <w:t>文件</w:t>
      </w:r>
      <w:r>
        <w:rPr>
          <w:rFonts w:ascii="宋体" w:hAnsi="宋体"/>
          <w:color w:val="auto"/>
          <w:sz w:val="24"/>
          <w:highlight w:val="none"/>
        </w:rPr>
        <w:t>应保持有效。有效期</w:t>
      </w:r>
      <w:r>
        <w:rPr>
          <w:rFonts w:hint="eastAsia" w:ascii="宋体" w:hAnsi="宋体"/>
          <w:color w:val="auto"/>
          <w:sz w:val="24"/>
          <w:highlight w:val="none"/>
        </w:rPr>
        <w:t>不足</w:t>
      </w:r>
      <w:r>
        <w:rPr>
          <w:rFonts w:ascii="宋体" w:hAnsi="宋体"/>
          <w:color w:val="auto"/>
          <w:sz w:val="24"/>
          <w:highlight w:val="none"/>
        </w:rPr>
        <w:t>的投标</w:t>
      </w:r>
      <w:r>
        <w:rPr>
          <w:rFonts w:hint="eastAsia" w:ascii="宋体" w:hAnsi="宋体"/>
          <w:color w:val="auto"/>
          <w:sz w:val="24"/>
          <w:highlight w:val="none"/>
        </w:rPr>
        <w:t>文件</w:t>
      </w:r>
      <w:r>
        <w:rPr>
          <w:rFonts w:ascii="宋体" w:hAnsi="宋体"/>
          <w:color w:val="auto"/>
          <w:sz w:val="24"/>
          <w:highlight w:val="none"/>
        </w:rPr>
        <w:t>将被拒绝。</w:t>
      </w:r>
    </w:p>
    <w:p w14:paraId="70B0BA33">
      <w:pPr>
        <w:snapToGrid w:val="0"/>
        <w:spacing w:line="40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在特殊情况下，招标人可与投标人协商延长投标书的有效期，这种要求和答复均以书面形式进行。</w:t>
      </w:r>
    </w:p>
    <w:p w14:paraId="6C8A2B60">
      <w:pPr>
        <w:snapToGrid w:val="0"/>
        <w:spacing w:line="400" w:lineRule="exact"/>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rPr>
        <w:t>投标人可拒绝接受延期要求。同意延长有效期的投标人</w:t>
      </w:r>
      <w:r>
        <w:rPr>
          <w:rFonts w:hint="eastAsia" w:ascii="宋体" w:hAnsi="宋体"/>
          <w:color w:val="auto"/>
          <w:sz w:val="24"/>
          <w:highlight w:val="none"/>
        </w:rPr>
        <w:t>也</w:t>
      </w:r>
      <w:r>
        <w:rPr>
          <w:rFonts w:ascii="宋体" w:hAnsi="宋体"/>
          <w:color w:val="auto"/>
          <w:sz w:val="24"/>
          <w:highlight w:val="none"/>
        </w:rPr>
        <w:t xml:space="preserve">不能修改投标文件。 </w:t>
      </w:r>
    </w:p>
    <w:p w14:paraId="3083BD7D">
      <w:pPr>
        <w:snapToGrid w:val="0"/>
        <w:spacing w:line="400" w:lineRule="exact"/>
        <w:ind w:firstLine="480" w:firstLineChars="200"/>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w:t>
      </w:r>
      <w:r>
        <w:rPr>
          <w:rFonts w:ascii="宋体" w:hAnsi="宋体"/>
          <w:color w:val="auto"/>
          <w:sz w:val="24"/>
          <w:highlight w:val="none"/>
        </w:rPr>
        <w:t>中标人的投标文件自开标之日起至合同履行完毕止均应保持有效。</w:t>
      </w:r>
    </w:p>
    <w:p w14:paraId="3F6E399E">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（六）投标人没有按照本章节 “投标文件的组成”要求提供全部资料，或者没有仔细阅读招标文件，或者没有对招标文件在各方面的要求作出实质性响应是投标人的风险，由此造成的一切后果由投标人自行承担。</w:t>
      </w:r>
      <w:bookmarkStart w:id="2" w:name="_Hlt68073093"/>
      <w:bookmarkEnd w:id="2"/>
      <w:bookmarkStart w:id="3" w:name="_Hlt68403820"/>
      <w:bookmarkEnd w:id="3"/>
      <w:bookmarkStart w:id="4" w:name="_Hlt68072998"/>
      <w:bookmarkEnd w:id="4"/>
    </w:p>
    <w:p w14:paraId="7B11E973">
      <w:pPr>
        <w:pStyle w:val="24"/>
        <w:snapToGrid w:val="0"/>
        <w:spacing w:beforeLines="0" w:afterLines="0"/>
        <w:ind w:firstLine="482" w:firstLineChars="200"/>
        <w:rPr>
          <w:rFonts w:hint="default" w:ascii="黑体" w:hAnsi="宋体" w:eastAsia="黑体"/>
          <w:b/>
          <w:color w:val="auto"/>
          <w:sz w:val="24"/>
          <w:szCs w:val="24"/>
          <w:highlight w:val="none"/>
        </w:rPr>
      </w:pPr>
      <w:r>
        <w:rPr>
          <w:rFonts w:ascii="黑体" w:hAnsi="宋体" w:eastAsia="黑体"/>
          <w:b/>
          <w:color w:val="auto"/>
          <w:sz w:val="24"/>
          <w:szCs w:val="24"/>
          <w:highlight w:val="none"/>
        </w:rPr>
        <w:t>五、 投标文件的签章</w:t>
      </w:r>
    </w:p>
    <w:p w14:paraId="268C1690">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（一）投标文件的签章：见《投标人须知前附表》 ；</w:t>
      </w:r>
    </w:p>
    <w:p w14:paraId="588472D1">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（二）CA电子签章操作指南详见《供应商-政府采购项目电子交易操作指南》（</w:t>
      </w:r>
      <w:r>
        <w:rPr>
          <w:color w:val="auto"/>
          <w:highlight w:val="none"/>
        </w:rPr>
        <w:fldChar w:fldCharType="begin"/>
      </w:r>
      <w:r>
        <w:rPr>
          <w:color w:val="auto"/>
          <w:highlight w:val="none"/>
        </w:rPr>
        <w:instrText xml:space="preserve"> HYPERLINK "https://help.zcygov.cn/web/site_2/2018/12-28/2573.html" </w:instrText>
      </w:r>
      <w:r>
        <w:rPr>
          <w:color w:val="auto"/>
          <w:highlight w:val="none"/>
        </w:rPr>
        <w:fldChar w:fldCharType="separate"/>
      </w:r>
      <w:r>
        <w:rPr>
          <w:rFonts w:hint="eastAsia" w:ascii="宋体" w:hAnsi="宋体" w:cs="宋体"/>
          <w:color w:val="auto"/>
          <w:sz w:val="24"/>
          <w:highlight w:val="none"/>
        </w:rPr>
        <w:t>https://help.zcygov.cn/web/site_2/2018/12-28/2573.html</w:t>
      </w:r>
      <w:r>
        <w:rPr>
          <w:rFonts w:hint="eastAsia" w:ascii="宋体" w:hAnsi="宋体" w:cs="宋体"/>
          <w:color w:val="auto"/>
          <w:sz w:val="24"/>
          <w:highlight w:val="none"/>
        </w:rPr>
        <w:fldChar w:fldCharType="end"/>
      </w:r>
      <w:r>
        <w:rPr>
          <w:rFonts w:hint="eastAsia" w:ascii="宋体" w:hAnsi="宋体" w:cs="宋体"/>
          <w:color w:val="auto"/>
          <w:sz w:val="24"/>
          <w:highlight w:val="none"/>
        </w:rPr>
        <w:t>）。</w:t>
      </w:r>
    </w:p>
    <w:p w14:paraId="6948D790">
      <w:pPr>
        <w:pStyle w:val="24"/>
        <w:snapToGrid w:val="0"/>
        <w:spacing w:beforeLines="0" w:afterLines="0"/>
        <w:ind w:firstLine="482" w:firstLineChars="200"/>
        <w:rPr>
          <w:rFonts w:hint="default" w:ascii="黑体" w:hAnsi="宋体" w:eastAsia="黑体"/>
          <w:b/>
          <w:color w:val="auto"/>
          <w:sz w:val="24"/>
          <w:szCs w:val="24"/>
          <w:highlight w:val="none"/>
        </w:rPr>
      </w:pPr>
      <w:r>
        <w:rPr>
          <w:rFonts w:ascii="黑体" w:hAnsi="宋体" w:eastAsia="黑体"/>
          <w:b/>
          <w:color w:val="auto"/>
          <w:sz w:val="24"/>
          <w:szCs w:val="24"/>
          <w:highlight w:val="none"/>
        </w:rPr>
        <w:t>六、投标文件的形式及份数</w:t>
      </w:r>
    </w:p>
    <w:p w14:paraId="1A2C9A52">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（一）投标文件的形式及份数：见《投标人须知前附表》 ；</w:t>
      </w:r>
    </w:p>
    <w:p w14:paraId="0217137A">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（二）“电子加密投标文件”：“电子加密投标文件”是指通过“政采云电子交易客户端”完成投标文件编制后生成并加密的数据电文形式的投标文件。</w:t>
      </w:r>
    </w:p>
    <w:p w14:paraId="178B3105">
      <w:pPr>
        <w:pStyle w:val="24"/>
        <w:snapToGrid w:val="0"/>
        <w:spacing w:beforeLines="0" w:afterLines="0"/>
        <w:ind w:firstLine="482" w:firstLineChars="200"/>
        <w:rPr>
          <w:rFonts w:hint="default" w:ascii="黑体" w:hAnsi="宋体" w:eastAsia="黑体"/>
          <w:b/>
          <w:color w:val="auto"/>
          <w:sz w:val="24"/>
          <w:szCs w:val="24"/>
          <w:highlight w:val="none"/>
        </w:rPr>
      </w:pPr>
      <w:r>
        <w:rPr>
          <w:rFonts w:ascii="黑体" w:hAnsi="宋体" w:eastAsia="黑体"/>
          <w:b/>
          <w:color w:val="auto"/>
          <w:sz w:val="24"/>
          <w:szCs w:val="24"/>
          <w:highlight w:val="none"/>
        </w:rPr>
        <w:t>七、投标</w:t>
      </w:r>
    </w:p>
    <w:p w14:paraId="248F0378">
      <w:pPr>
        <w:snapToGrid w:val="0"/>
        <w:spacing w:line="400" w:lineRule="exact"/>
        <w:ind w:firstLine="482" w:firstLineChars="200"/>
        <w:rPr>
          <w:rFonts w:ascii="宋体" w:hAnsi="宋体"/>
          <w:b/>
          <w:color w:val="auto"/>
          <w:sz w:val="24"/>
          <w:highlight w:val="none"/>
        </w:rPr>
      </w:pPr>
      <w:r>
        <w:rPr>
          <w:rFonts w:hint="eastAsia" w:ascii="宋体" w:hAnsi="宋体"/>
          <w:b/>
          <w:color w:val="auto"/>
          <w:sz w:val="24"/>
          <w:highlight w:val="none"/>
        </w:rPr>
        <w:t>（一）投标文件的上传和递交</w:t>
      </w:r>
    </w:p>
    <w:p w14:paraId="7048F365">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“投标文件”的上传、递交：见《</w:t>
      </w:r>
      <w:r>
        <w:rPr>
          <w:rFonts w:ascii="宋体" w:hAnsi="宋体"/>
          <w:color w:val="auto"/>
          <w:sz w:val="24"/>
          <w:highlight w:val="none"/>
        </w:rPr>
        <w:t>投标</w:t>
      </w:r>
      <w:r>
        <w:rPr>
          <w:rFonts w:hint="eastAsia" w:ascii="宋体" w:hAnsi="宋体"/>
          <w:color w:val="auto"/>
          <w:sz w:val="24"/>
          <w:highlight w:val="none"/>
        </w:rPr>
        <w:t>人</w:t>
      </w:r>
      <w:r>
        <w:rPr>
          <w:rFonts w:ascii="宋体" w:hAnsi="宋体"/>
          <w:color w:val="auto"/>
          <w:sz w:val="24"/>
          <w:highlight w:val="none"/>
        </w:rPr>
        <w:t>须知前附表</w:t>
      </w:r>
      <w:r>
        <w:rPr>
          <w:rFonts w:hint="eastAsia" w:ascii="宋体" w:hAnsi="宋体"/>
          <w:color w:val="auto"/>
          <w:sz w:val="24"/>
          <w:highlight w:val="none"/>
        </w:rPr>
        <w:t>》。</w:t>
      </w:r>
    </w:p>
    <w:p w14:paraId="13A6DB72">
      <w:pPr>
        <w:snapToGrid w:val="0"/>
        <w:spacing w:line="400" w:lineRule="exact"/>
        <w:ind w:firstLine="482" w:firstLineChars="200"/>
        <w:rPr>
          <w:rFonts w:ascii="宋体" w:hAnsi="宋体"/>
          <w:b/>
          <w:color w:val="auto"/>
          <w:sz w:val="24"/>
          <w:highlight w:val="none"/>
        </w:rPr>
      </w:pPr>
      <w:r>
        <w:rPr>
          <w:rFonts w:hint="eastAsia" w:ascii="宋体" w:hAnsi="宋体"/>
          <w:b/>
          <w:color w:val="auto"/>
          <w:sz w:val="24"/>
          <w:highlight w:val="none"/>
        </w:rPr>
        <w:t>（二）“电子加密投标文件”解密</w:t>
      </w:r>
    </w:p>
    <w:p w14:paraId="0B993FF0">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“电子加密投标文件”解密：见《</w:t>
      </w:r>
      <w:r>
        <w:rPr>
          <w:rFonts w:ascii="宋体" w:hAnsi="宋体"/>
          <w:color w:val="auto"/>
          <w:sz w:val="24"/>
          <w:highlight w:val="none"/>
        </w:rPr>
        <w:t>投标</w:t>
      </w:r>
      <w:r>
        <w:rPr>
          <w:rFonts w:hint="eastAsia" w:ascii="宋体" w:hAnsi="宋体"/>
          <w:color w:val="auto"/>
          <w:sz w:val="24"/>
          <w:highlight w:val="none"/>
        </w:rPr>
        <w:t>人</w:t>
      </w:r>
      <w:r>
        <w:rPr>
          <w:rFonts w:ascii="宋体" w:hAnsi="宋体"/>
          <w:color w:val="auto"/>
          <w:sz w:val="24"/>
          <w:highlight w:val="none"/>
        </w:rPr>
        <w:t>须知前附表</w:t>
      </w:r>
      <w:r>
        <w:rPr>
          <w:rFonts w:hint="eastAsia" w:ascii="宋体" w:hAnsi="宋体"/>
          <w:color w:val="auto"/>
          <w:sz w:val="24"/>
          <w:highlight w:val="none"/>
        </w:rPr>
        <w:t>》。</w:t>
      </w:r>
    </w:p>
    <w:p w14:paraId="4F6692D4">
      <w:pPr>
        <w:snapToGrid w:val="0"/>
        <w:spacing w:line="400" w:lineRule="exact"/>
        <w:ind w:firstLine="482" w:firstLineChars="200"/>
        <w:rPr>
          <w:rFonts w:ascii="宋体" w:hAnsi="宋体"/>
          <w:b/>
          <w:color w:val="auto"/>
          <w:sz w:val="24"/>
          <w:highlight w:val="none"/>
        </w:rPr>
      </w:pPr>
      <w:r>
        <w:rPr>
          <w:rFonts w:hint="eastAsia" w:ascii="宋体" w:hAnsi="宋体"/>
          <w:b/>
          <w:color w:val="auto"/>
          <w:sz w:val="24"/>
          <w:highlight w:val="none"/>
        </w:rPr>
        <w:t>（三）投标文件的补充、修改或撤回</w:t>
      </w:r>
    </w:p>
    <w:p w14:paraId="7DB67E5E">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22D04524">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2.投标截止时间后，投标人不得撤回、修改投标文件。</w:t>
      </w:r>
    </w:p>
    <w:p w14:paraId="2754A227">
      <w:pPr>
        <w:snapToGrid w:val="0"/>
        <w:spacing w:line="400" w:lineRule="exact"/>
        <w:ind w:firstLine="482" w:firstLineChars="200"/>
        <w:rPr>
          <w:rFonts w:ascii="宋体" w:hAnsi="宋体"/>
          <w:b/>
          <w:bCs/>
          <w:color w:val="auto"/>
          <w:sz w:val="24"/>
          <w:highlight w:val="none"/>
        </w:rPr>
      </w:pPr>
      <w:r>
        <w:rPr>
          <w:rFonts w:hint="eastAsia" w:ascii="宋体" w:hAnsi="宋体"/>
          <w:b/>
          <w:bCs/>
          <w:color w:val="auto"/>
          <w:sz w:val="24"/>
          <w:highlight w:val="none"/>
        </w:rPr>
        <w:t>（四）投标文件的备选方案</w:t>
      </w:r>
    </w:p>
    <w:p w14:paraId="7ED0BBE3">
      <w:pPr>
        <w:snapToGrid w:val="0"/>
        <w:spacing w:line="400" w:lineRule="exact"/>
        <w:ind w:firstLine="480" w:firstLineChars="200"/>
        <w:rPr>
          <w:rFonts w:ascii="宋体" w:hAnsi="宋体"/>
          <w:color w:val="auto"/>
          <w:sz w:val="24"/>
          <w:highlight w:val="none"/>
        </w:rPr>
      </w:pPr>
      <w:r>
        <w:rPr>
          <w:rFonts w:ascii="宋体" w:hAnsi="宋体"/>
          <w:color w:val="auto"/>
          <w:sz w:val="24"/>
          <w:highlight w:val="none"/>
        </w:rPr>
        <w:t>投标</w:t>
      </w:r>
      <w:r>
        <w:rPr>
          <w:rFonts w:hint="eastAsia" w:ascii="宋体" w:hAnsi="宋体"/>
          <w:color w:val="auto"/>
          <w:sz w:val="24"/>
          <w:highlight w:val="none"/>
        </w:rPr>
        <w:t>人</w:t>
      </w:r>
      <w:r>
        <w:rPr>
          <w:rFonts w:ascii="宋体" w:hAnsi="宋体"/>
          <w:color w:val="auto"/>
          <w:sz w:val="24"/>
          <w:highlight w:val="none"/>
        </w:rPr>
        <w:t>不得递交任何的投标备选（替代</w:t>
      </w:r>
      <w:r>
        <w:rPr>
          <w:rFonts w:hint="eastAsia" w:ascii="宋体" w:hAnsi="宋体"/>
          <w:color w:val="auto"/>
          <w:sz w:val="24"/>
          <w:highlight w:val="none"/>
        </w:rPr>
        <w:t>）</w:t>
      </w:r>
      <w:r>
        <w:rPr>
          <w:rFonts w:ascii="宋体" w:hAnsi="宋体"/>
          <w:color w:val="auto"/>
          <w:sz w:val="24"/>
          <w:highlight w:val="none"/>
        </w:rPr>
        <w:t>方案，否则其投标文件将作无效标处理。</w:t>
      </w:r>
    </w:p>
    <w:p w14:paraId="786138DA">
      <w:pPr>
        <w:pStyle w:val="24"/>
        <w:snapToGrid w:val="0"/>
        <w:spacing w:beforeLines="0" w:afterLines="0"/>
        <w:ind w:firstLine="482" w:firstLineChars="200"/>
        <w:rPr>
          <w:rFonts w:hint="default" w:ascii="黑体" w:hAnsi="宋体" w:eastAsia="黑体"/>
          <w:b/>
          <w:color w:val="auto"/>
          <w:sz w:val="24"/>
          <w:szCs w:val="24"/>
          <w:highlight w:val="none"/>
        </w:rPr>
      </w:pPr>
      <w:r>
        <w:rPr>
          <w:rFonts w:ascii="黑体" w:hAnsi="宋体" w:eastAsia="黑体"/>
          <w:b/>
          <w:color w:val="auto"/>
          <w:sz w:val="24"/>
          <w:szCs w:val="24"/>
          <w:highlight w:val="none"/>
        </w:rPr>
        <w:t>八、开标</w:t>
      </w:r>
    </w:p>
    <w:p w14:paraId="53C27352">
      <w:pPr>
        <w:pStyle w:val="24"/>
        <w:snapToGrid w:val="0"/>
        <w:spacing w:beforeLines="0" w:afterLines="0"/>
        <w:ind w:firstLine="482" w:firstLineChars="200"/>
        <w:rPr>
          <w:rFonts w:hint="default" w:hAnsi="宋体"/>
          <w:b/>
          <w:color w:val="auto"/>
          <w:sz w:val="24"/>
          <w:szCs w:val="24"/>
          <w:highlight w:val="none"/>
        </w:rPr>
      </w:pPr>
      <w:r>
        <w:rPr>
          <w:rFonts w:hAnsi="宋体"/>
          <w:b/>
          <w:color w:val="auto"/>
          <w:sz w:val="24"/>
          <w:szCs w:val="24"/>
          <w:highlight w:val="none"/>
        </w:rPr>
        <w:t>（一）开标准备</w:t>
      </w:r>
    </w:p>
    <w:p w14:paraId="5B405B54">
      <w:pPr>
        <w:pStyle w:val="24"/>
        <w:snapToGrid w:val="0"/>
        <w:spacing w:beforeLines="0" w:afterLines="0"/>
        <w:ind w:firstLine="480" w:firstLineChars="200"/>
        <w:rPr>
          <w:rFonts w:hint="default" w:hAnsi="宋体"/>
          <w:bCs/>
          <w:color w:val="auto"/>
          <w:sz w:val="24"/>
          <w:szCs w:val="24"/>
          <w:highlight w:val="none"/>
        </w:rPr>
      </w:pPr>
      <w:r>
        <w:rPr>
          <w:rFonts w:hAnsi="宋体"/>
          <w:bCs/>
          <w:color w:val="auto"/>
          <w:sz w:val="24"/>
          <w:szCs w:val="24"/>
          <w:highlight w:val="none"/>
        </w:rPr>
        <w:t>采购代理机构按招标文件规定的时间、地点通过“政府采购云平台”组织开标、开启投标文件，所有供应商均应当准时在线参加。投标人因未在线参加开标而导致投标文件无法按时解密等一切后果由供应商自行承担。</w:t>
      </w:r>
    </w:p>
    <w:p w14:paraId="06C4E8CA">
      <w:pPr>
        <w:pStyle w:val="24"/>
        <w:snapToGrid w:val="0"/>
        <w:spacing w:beforeLines="0" w:afterLines="0"/>
        <w:ind w:firstLine="482" w:firstLineChars="200"/>
        <w:rPr>
          <w:rFonts w:hint="default" w:hAnsi="宋体"/>
          <w:b/>
          <w:color w:val="auto"/>
          <w:sz w:val="24"/>
          <w:szCs w:val="24"/>
          <w:highlight w:val="none"/>
        </w:rPr>
      </w:pPr>
      <w:r>
        <w:rPr>
          <w:rFonts w:hAnsi="宋体"/>
          <w:b/>
          <w:color w:val="auto"/>
          <w:sz w:val="24"/>
          <w:szCs w:val="24"/>
          <w:highlight w:val="none"/>
        </w:rPr>
        <w:t>（二）开标流程</w:t>
      </w:r>
    </w:p>
    <w:p w14:paraId="57317618">
      <w:pPr>
        <w:pStyle w:val="24"/>
        <w:snapToGrid w:val="0"/>
        <w:spacing w:beforeLines="0" w:afterLines="0"/>
        <w:ind w:firstLine="480" w:firstLineChars="200"/>
        <w:rPr>
          <w:rFonts w:hint="default" w:hAnsi="宋体"/>
          <w:bCs/>
          <w:color w:val="auto"/>
          <w:sz w:val="24"/>
          <w:szCs w:val="24"/>
          <w:highlight w:val="none"/>
        </w:rPr>
      </w:pPr>
      <w:r>
        <w:rPr>
          <w:rFonts w:hAnsi="宋体"/>
          <w:bCs/>
          <w:color w:val="auto"/>
          <w:sz w:val="24"/>
          <w:szCs w:val="24"/>
          <w:highlight w:val="none"/>
        </w:rPr>
        <w:t>1.向各投标人发出电子加密投标文件【开始解密】通知，由供应商按招标文件规定的时间内自行进行投标文件解密。投标人在规定的时间内无法完成已递交的“电子加密投标文件”解密的，其投标文件按拒收处理。</w:t>
      </w:r>
    </w:p>
    <w:p w14:paraId="5A6AB96D">
      <w:pPr>
        <w:pStyle w:val="24"/>
        <w:snapToGrid w:val="0"/>
        <w:spacing w:beforeLines="0" w:afterLines="0"/>
        <w:ind w:firstLine="480" w:firstLineChars="200"/>
        <w:rPr>
          <w:rFonts w:hint="default" w:hAnsi="宋体"/>
          <w:bCs/>
          <w:color w:val="auto"/>
          <w:sz w:val="24"/>
          <w:szCs w:val="24"/>
          <w:highlight w:val="none"/>
        </w:rPr>
      </w:pPr>
      <w:r>
        <w:rPr>
          <w:rFonts w:hAnsi="宋体"/>
          <w:bCs/>
          <w:color w:val="auto"/>
          <w:sz w:val="24"/>
          <w:szCs w:val="24"/>
          <w:highlight w:val="none"/>
        </w:rPr>
        <w:t>2.投标文件解密结束，开启资格文件，进入资格审查环节，采购代理机构或者采购单位代表将依法对投标人的资格进行审查，具体见本章节“投标人资格审查”相关规定。</w:t>
      </w:r>
    </w:p>
    <w:p w14:paraId="7CA058BB">
      <w:pPr>
        <w:pStyle w:val="24"/>
        <w:snapToGrid w:val="0"/>
        <w:spacing w:beforeLines="0" w:afterLines="0"/>
        <w:ind w:firstLine="480" w:firstLineChars="200"/>
        <w:rPr>
          <w:rFonts w:hint="default" w:hAnsi="宋体"/>
          <w:bCs/>
          <w:color w:val="auto"/>
          <w:sz w:val="24"/>
          <w:szCs w:val="24"/>
          <w:highlight w:val="none"/>
        </w:rPr>
      </w:pPr>
      <w:r>
        <w:rPr>
          <w:rFonts w:hAnsi="宋体"/>
          <w:bCs/>
          <w:color w:val="auto"/>
          <w:sz w:val="24"/>
          <w:szCs w:val="24"/>
          <w:highlight w:val="none"/>
        </w:rPr>
        <w:t>3.开启资格审查通过的投标人的商务技术文件进入符合性审查及商务技术评审；</w:t>
      </w:r>
    </w:p>
    <w:p w14:paraId="226FD14B">
      <w:pPr>
        <w:pStyle w:val="24"/>
        <w:snapToGrid w:val="0"/>
        <w:spacing w:beforeLines="0" w:afterLines="0"/>
        <w:ind w:firstLine="480" w:firstLineChars="200"/>
        <w:rPr>
          <w:rFonts w:hint="default" w:hAnsi="宋体"/>
          <w:bCs/>
          <w:color w:val="auto"/>
          <w:sz w:val="24"/>
          <w:szCs w:val="24"/>
          <w:highlight w:val="none"/>
        </w:rPr>
      </w:pPr>
      <w:r>
        <w:rPr>
          <w:rFonts w:hAnsi="宋体"/>
          <w:bCs/>
          <w:color w:val="auto"/>
          <w:sz w:val="24"/>
          <w:szCs w:val="24"/>
          <w:highlight w:val="none"/>
        </w:rPr>
        <w:t>4.符合性审查、商务技术评审结束后，开启符合性审查、商务技术评审有效投标人的报价文件。由评标委员会对报价文件的符合性等进行审查核实。投标人在线制作投标文件时《开标一览表》中填写的金额与解密后“电子加密投标文件”中《开标一览表》填写的金额不一致的，以解密后“电子加密投标文件”中《开标一览表》填写的金额为准，投标人拒绝接受此调整的，按无效投标处理。</w:t>
      </w:r>
    </w:p>
    <w:p w14:paraId="0420AC58">
      <w:pPr>
        <w:pStyle w:val="24"/>
        <w:snapToGrid w:val="0"/>
        <w:spacing w:beforeLines="0" w:afterLines="0"/>
        <w:ind w:firstLine="480" w:firstLineChars="200"/>
        <w:rPr>
          <w:rFonts w:hint="default" w:hAnsi="宋体"/>
          <w:bCs/>
          <w:color w:val="auto"/>
          <w:sz w:val="24"/>
          <w:szCs w:val="24"/>
          <w:highlight w:val="none"/>
        </w:rPr>
      </w:pPr>
      <w:r>
        <w:rPr>
          <w:rFonts w:hAnsi="宋体"/>
          <w:bCs/>
          <w:color w:val="auto"/>
          <w:sz w:val="24"/>
          <w:szCs w:val="24"/>
          <w:highlight w:val="none"/>
        </w:rPr>
        <w:t>5.评审结束后，公布采购结果。</w:t>
      </w:r>
    </w:p>
    <w:p w14:paraId="416AFB2F">
      <w:pPr>
        <w:snapToGrid w:val="0"/>
        <w:spacing w:line="400" w:lineRule="exact"/>
        <w:ind w:firstLine="482" w:firstLineChars="200"/>
        <w:rPr>
          <w:rFonts w:ascii="宋体" w:hAnsi="宋体"/>
          <w:b/>
          <w:color w:val="auto"/>
          <w:sz w:val="24"/>
          <w:highlight w:val="none"/>
        </w:rPr>
      </w:pPr>
      <w:r>
        <w:rPr>
          <w:rFonts w:ascii="宋体" w:hAnsi="宋体"/>
          <w:b/>
          <w:color w:val="auto"/>
          <w:sz w:val="24"/>
          <w:highlight w:val="none"/>
        </w:rPr>
        <w:t>特别说明：如遇“政府采购云平台”电子化开标或评审程序调整的，按调整后程序执行。</w:t>
      </w:r>
    </w:p>
    <w:p w14:paraId="6306F3DD">
      <w:pPr>
        <w:snapToGrid w:val="0"/>
        <w:spacing w:line="400" w:lineRule="exact"/>
        <w:ind w:firstLine="482" w:firstLineChars="200"/>
        <w:rPr>
          <w:rFonts w:ascii="宋体" w:hAnsi="宋体"/>
          <w:b/>
          <w:color w:val="auto"/>
          <w:sz w:val="24"/>
          <w:highlight w:val="none"/>
        </w:rPr>
      </w:pPr>
      <w:r>
        <w:rPr>
          <w:rFonts w:hint="eastAsia" w:ascii="宋体" w:hAnsi="宋体"/>
          <w:b/>
          <w:color w:val="auto"/>
          <w:sz w:val="24"/>
          <w:highlight w:val="none"/>
        </w:rPr>
        <w:t>（三）投标人资格审查</w:t>
      </w:r>
    </w:p>
    <w:p w14:paraId="6F7C4F02">
      <w:pPr>
        <w:snapToGrid w:val="0"/>
        <w:spacing w:line="400" w:lineRule="exact"/>
        <w:ind w:firstLine="480" w:firstLineChars="200"/>
        <w:rPr>
          <w:rFonts w:ascii="宋体" w:hAnsi="宋体"/>
          <w:bCs/>
          <w:color w:val="auto"/>
          <w:sz w:val="24"/>
          <w:highlight w:val="none"/>
        </w:rPr>
      </w:pPr>
      <w:r>
        <w:rPr>
          <w:rFonts w:ascii="宋体" w:hAnsi="宋体"/>
          <w:color w:val="auto"/>
          <w:sz w:val="24"/>
          <w:highlight w:val="none"/>
        </w:rPr>
        <w:t>投标文件解密结束，开启</w:t>
      </w:r>
      <w:r>
        <w:rPr>
          <w:rFonts w:hint="eastAsia" w:ascii="宋体" w:hAnsi="宋体"/>
          <w:color w:val="auto"/>
          <w:sz w:val="24"/>
          <w:highlight w:val="none"/>
        </w:rPr>
        <w:t>资格文件</w:t>
      </w:r>
      <w:r>
        <w:rPr>
          <w:rFonts w:ascii="宋体" w:hAnsi="宋体"/>
          <w:color w:val="auto"/>
          <w:sz w:val="24"/>
          <w:highlight w:val="none"/>
        </w:rPr>
        <w:t>，进入资格审查环节，采购代理机构</w:t>
      </w:r>
      <w:r>
        <w:rPr>
          <w:rFonts w:hint="eastAsia" w:ascii="宋体" w:hAnsi="宋体"/>
          <w:color w:val="auto"/>
          <w:sz w:val="24"/>
          <w:highlight w:val="none"/>
        </w:rPr>
        <w:t>或者采购单位代表人</w:t>
      </w:r>
      <w:r>
        <w:rPr>
          <w:rFonts w:ascii="宋体" w:hAnsi="宋体"/>
          <w:color w:val="auto"/>
          <w:sz w:val="24"/>
          <w:highlight w:val="none"/>
        </w:rPr>
        <w:t>将依法对投标</w:t>
      </w:r>
      <w:r>
        <w:rPr>
          <w:rFonts w:hint="eastAsia" w:ascii="宋体" w:hAnsi="宋体"/>
          <w:color w:val="auto"/>
          <w:sz w:val="24"/>
          <w:highlight w:val="none"/>
        </w:rPr>
        <w:t>人</w:t>
      </w:r>
      <w:r>
        <w:rPr>
          <w:rFonts w:ascii="宋体" w:hAnsi="宋体"/>
          <w:color w:val="auto"/>
          <w:sz w:val="24"/>
          <w:highlight w:val="none"/>
        </w:rPr>
        <w:t>的资格进行审查</w:t>
      </w:r>
      <w:r>
        <w:rPr>
          <w:rFonts w:hint="eastAsia" w:ascii="宋体" w:hAnsi="宋体"/>
          <w:color w:val="auto"/>
          <w:sz w:val="24"/>
          <w:highlight w:val="none"/>
        </w:rPr>
        <w:t>，</w:t>
      </w:r>
      <w:r>
        <w:rPr>
          <w:rFonts w:hint="eastAsia"/>
          <w:color w:val="auto"/>
          <w:highlight w:val="none"/>
        </w:rPr>
        <w:t xml:space="preserve"> </w:t>
      </w:r>
      <w:r>
        <w:rPr>
          <w:rFonts w:hint="eastAsia" w:ascii="宋体" w:hAnsi="宋体"/>
          <w:bCs/>
          <w:color w:val="auto"/>
          <w:sz w:val="24"/>
          <w:highlight w:val="none"/>
        </w:rPr>
        <w:t>资格审查人员对投标人所提交的资格审查材料仅负审核的责任。如发现投标人所提交的资格审查材料不合法或与事实不符，采购人可取消其中标资格并追究投标人的法律责任。</w:t>
      </w:r>
    </w:p>
    <w:p w14:paraId="7B6B0DB2">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1.投标人提交的资格审查材料不全或者不符合招标文件标明的资格要求的，无法证明其符合招标文件规定的“投标人资格要求”时，将对其作资格审查不通过处理（无效投标），并不再将其投标进行后续评审。</w:t>
      </w:r>
    </w:p>
    <w:p w14:paraId="28354228">
      <w:pPr>
        <w:snapToGrid w:val="0"/>
        <w:spacing w:line="400" w:lineRule="exact"/>
        <w:ind w:firstLine="480" w:firstLineChars="200"/>
        <w:rPr>
          <w:rFonts w:hAnsi="宋体"/>
          <w:color w:val="auto"/>
          <w:sz w:val="24"/>
          <w:highlight w:val="none"/>
        </w:rPr>
      </w:pPr>
      <w:r>
        <w:rPr>
          <w:rFonts w:hint="eastAsia" w:ascii="宋体" w:hAnsi="宋体"/>
          <w:bCs/>
          <w:color w:val="auto"/>
          <w:sz w:val="24"/>
          <w:highlight w:val="none"/>
        </w:rPr>
        <w:t>2.单位负责人为同一人或者存在直接控股、管理关系的不同供应商参加同一合同项下的政府采购活动的，相关投标人均作资格无效处理。</w:t>
      </w:r>
    </w:p>
    <w:p w14:paraId="6E98F8F3">
      <w:pPr>
        <w:pStyle w:val="24"/>
        <w:snapToGrid w:val="0"/>
        <w:spacing w:beforeLines="0" w:afterLines="0"/>
        <w:ind w:firstLine="482" w:firstLineChars="200"/>
        <w:rPr>
          <w:rFonts w:hint="default" w:ascii="黑体" w:hAnsi="宋体" w:eastAsia="黑体"/>
          <w:b/>
          <w:color w:val="auto"/>
          <w:sz w:val="24"/>
          <w:szCs w:val="24"/>
          <w:highlight w:val="none"/>
        </w:rPr>
      </w:pPr>
      <w:r>
        <w:rPr>
          <w:rFonts w:ascii="黑体" w:hAnsi="宋体" w:eastAsia="黑体"/>
          <w:b/>
          <w:color w:val="auto"/>
          <w:sz w:val="24"/>
          <w:szCs w:val="24"/>
          <w:highlight w:val="none"/>
        </w:rPr>
        <w:t>九、评标</w:t>
      </w:r>
    </w:p>
    <w:p w14:paraId="4B830995">
      <w:pPr>
        <w:snapToGrid w:val="0"/>
        <w:spacing w:line="400" w:lineRule="exact"/>
        <w:ind w:firstLine="482" w:firstLineChars="200"/>
        <w:rPr>
          <w:rFonts w:ascii="宋体" w:hAnsi="宋体"/>
          <w:b/>
          <w:bCs/>
          <w:color w:val="auto"/>
          <w:sz w:val="24"/>
          <w:highlight w:val="none"/>
        </w:rPr>
      </w:pPr>
      <w:r>
        <w:rPr>
          <w:rFonts w:hint="eastAsia" w:ascii="宋体" w:hAnsi="宋体"/>
          <w:b/>
          <w:bCs/>
          <w:color w:val="auto"/>
          <w:sz w:val="24"/>
          <w:highlight w:val="none"/>
        </w:rPr>
        <w:t>（一）评标由依法组建的评标委员会负责，评标委员会由政府采购评审专家（政采云系统随机抽取）和采购人代表共5人及以上单数组成（采购人代表占评标委员会总人数不超过1/3）。评标委员会独立履行下列职责：</w:t>
      </w:r>
    </w:p>
    <w:p w14:paraId="51B2A991">
      <w:pPr>
        <w:snapToGrid w:val="0"/>
        <w:spacing w:line="400" w:lineRule="exact"/>
        <w:ind w:firstLine="480" w:firstLineChars="200"/>
        <w:jc w:val="left"/>
        <w:rPr>
          <w:rFonts w:ascii="宋体" w:hAnsi="宋体"/>
          <w:bCs/>
          <w:color w:val="auto"/>
          <w:sz w:val="24"/>
          <w:highlight w:val="none"/>
        </w:rPr>
      </w:pPr>
      <w:r>
        <w:rPr>
          <w:rFonts w:hint="eastAsia" w:ascii="宋体" w:hAnsi="宋体"/>
          <w:bCs/>
          <w:color w:val="auto"/>
          <w:sz w:val="24"/>
          <w:highlight w:val="none"/>
        </w:rPr>
        <w:t>1.审查、评价投标文件是否符合招标文件的商务、技术等实质性要求；</w:t>
      </w:r>
    </w:p>
    <w:p w14:paraId="4DAAF243">
      <w:pPr>
        <w:snapToGrid w:val="0"/>
        <w:spacing w:line="400" w:lineRule="exact"/>
        <w:ind w:firstLine="480" w:firstLineChars="200"/>
        <w:jc w:val="left"/>
        <w:rPr>
          <w:rFonts w:ascii="宋体" w:hAnsi="宋体"/>
          <w:bCs/>
          <w:color w:val="auto"/>
          <w:sz w:val="24"/>
          <w:highlight w:val="none"/>
        </w:rPr>
      </w:pPr>
      <w:r>
        <w:rPr>
          <w:rFonts w:hint="eastAsia" w:ascii="宋体" w:hAnsi="宋体"/>
          <w:bCs/>
          <w:color w:val="auto"/>
          <w:sz w:val="24"/>
          <w:highlight w:val="none"/>
        </w:rPr>
        <w:t>2.要求投标人对投标文件有关事项作出澄清或者说明；</w:t>
      </w:r>
    </w:p>
    <w:p w14:paraId="026334A2">
      <w:pPr>
        <w:snapToGrid w:val="0"/>
        <w:spacing w:line="400" w:lineRule="exact"/>
        <w:ind w:firstLine="480" w:firstLineChars="200"/>
        <w:jc w:val="left"/>
        <w:rPr>
          <w:rFonts w:ascii="宋体" w:hAnsi="宋体"/>
          <w:bCs/>
          <w:color w:val="auto"/>
          <w:sz w:val="24"/>
          <w:highlight w:val="none"/>
        </w:rPr>
      </w:pPr>
      <w:r>
        <w:rPr>
          <w:rFonts w:hint="eastAsia" w:ascii="宋体" w:hAnsi="宋体"/>
          <w:bCs/>
          <w:color w:val="auto"/>
          <w:sz w:val="24"/>
          <w:highlight w:val="none"/>
        </w:rPr>
        <w:t>3.对投标文件进行比较和评价；</w:t>
      </w:r>
    </w:p>
    <w:p w14:paraId="1B49AF35">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4.</w:t>
      </w:r>
      <w:r>
        <w:rPr>
          <w:rFonts w:hint="eastAsia" w:ascii="宋体" w:hAnsi="宋体"/>
          <w:color w:val="auto"/>
          <w:sz w:val="24"/>
          <w:highlight w:val="none"/>
        </w:rPr>
        <w:t>采用综合评分法的，按评审后按综合得分从高到低的顺序确定中标候选人顺序。综合得分相同，以投标报价低的优先；投标报价也相同，则以政采云系统记录的投标文件解密时间排序在前面的优先。</w:t>
      </w:r>
      <w:r>
        <w:rPr>
          <w:rFonts w:ascii="宋体" w:hAnsi="宋体"/>
          <w:bCs/>
          <w:color w:val="auto"/>
          <w:sz w:val="24"/>
          <w:highlight w:val="none"/>
        </w:rPr>
        <w:t>按照招标文件确定的评标办法对各投标人进行排序，</w:t>
      </w:r>
      <w:r>
        <w:rPr>
          <w:rFonts w:hint="eastAsia" w:ascii="宋体" w:hAnsi="宋体"/>
          <w:bCs/>
          <w:color w:val="auto"/>
          <w:sz w:val="24"/>
          <w:highlight w:val="none"/>
        </w:rPr>
        <w:t>确定中标候选人名单</w:t>
      </w:r>
      <w:r>
        <w:rPr>
          <w:rFonts w:hint="eastAsia" w:ascii="宋体" w:hAnsi="宋体"/>
          <w:b/>
          <w:bCs/>
          <w:color w:val="auto"/>
          <w:sz w:val="24"/>
          <w:highlight w:val="none"/>
        </w:rPr>
        <w:t>（每标项推荐不超过3个中标候选人，即：有效投标人为3家时，推荐1个中标候选人；有效投标人为4家时，推荐2个中标候选人；有效投标人为5家及以上时，推荐3个中标候选人）</w:t>
      </w:r>
      <w:r>
        <w:rPr>
          <w:rFonts w:hint="eastAsia" w:ascii="宋体" w:hAnsi="宋体"/>
          <w:bCs/>
          <w:color w:val="auto"/>
          <w:sz w:val="24"/>
          <w:highlight w:val="none"/>
        </w:rPr>
        <w:t>；</w:t>
      </w:r>
    </w:p>
    <w:p w14:paraId="363D272E">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5.向采购人推荐综合得分第一名的供应商为中标人，并提交评审报告。</w:t>
      </w:r>
    </w:p>
    <w:p w14:paraId="682CA8D9">
      <w:pPr>
        <w:snapToGrid w:val="0"/>
        <w:spacing w:line="400" w:lineRule="exact"/>
        <w:ind w:firstLine="480" w:firstLineChars="200"/>
        <w:jc w:val="left"/>
        <w:rPr>
          <w:rFonts w:ascii="宋体" w:hAnsi="宋体"/>
          <w:bCs/>
          <w:color w:val="auto"/>
          <w:sz w:val="24"/>
          <w:highlight w:val="none"/>
        </w:rPr>
      </w:pPr>
      <w:r>
        <w:rPr>
          <w:rFonts w:hint="eastAsia" w:ascii="宋体" w:hAnsi="宋体"/>
          <w:bCs/>
          <w:color w:val="auto"/>
          <w:sz w:val="24"/>
          <w:highlight w:val="none"/>
        </w:rPr>
        <w:t>6.向采购人、采购代理机构或者有关部门报告评标中发现的违法行为。</w:t>
      </w:r>
    </w:p>
    <w:p w14:paraId="602D0615">
      <w:pPr>
        <w:snapToGrid w:val="0"/>
        <w:spacing w:line="400" w:lineRule="exact"/>
        <w:ind w:firstLine="482" w:firstLineChars="200"/>
        <w:rPr>
          <w:rFonts w:ascii="宋体" w:hAnsi="宋体"/>
          <w:b/>
          <w:bCs/>
          <w:color w:val="auto"/>
          <w:sz w:val="24"/>
          <w:highlight w:val="none"/>
        </w:rPr>
      </w:pPr>
      <w:r>
        <w:rPr>
          <w:rFonts w:hint="eastAsia" w:ascii="宋体" w:hAnsi="宋体"/>
          <w:b/>
          <w:bCs/>
          <w:color w:val="auto"/>
          <w:sz w:val="24"/>
          <w:highlight w:val="none"/>
        </w:rPr>
        <w:t>（二）评标应当遵循下列工作程序：</w:t>
      </w:r>
    </w:p>
    <w:p w14:paraId="134F2BCD">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1.投标文件符合性审查。依据招标文件的规定，从投标文件的有效性、完整性和对招标文件的响应程度进行审查，以确定是否对招标文件的实质性要求作出响应。</w:t>
      </w:r>
    </w:p>
    <w:p w14:paraId="5D157428">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2.澄清有关问题。对投标文件中含义不明确、同类问题表述不一致或者有明显文字和计算错误的内容，评标委员会可以要求投标人作出必要的澄清、说明或者纠正。投标人的澄清、说明或者补正不得超出投标文件的范围或者改变投标文件的实质性内容。</w:t>
      </w:r>
    </w:p>
    <w:p w14:paraId="4AD59BE6">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3.比较与评价。按招标文件中规定的评标方法和标准，对资格审查和符合性审查合格的投标文件进行商务和技术评估，综合比较与评价。</w:t>
      </w:r>
    </w:p>
    <w:p w14:paraId="074ECE0B">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4.投标人存在下列情况之一的，投标无效：</w:t>
      </w:r>
    </w:p>
    <w:p w14:paraId="1B02B421">
      <w:pPr>
        <w:snapToGrid w:val="0"/>
        <w:spacing w:line="400" w:lineRule="exact"/>
        <w:ind w:firstLine="482" w:firstLineChars="200"/>
        <w:rPr>
          <w:rFonts w:ascii="宋体" w:hAnsi="宋体"/>
          <w:b/>
          <w:bCs/>
          <w:color w:val="auto"/>
          <w:sz w:val="24"/>
          <w:highlight w:val="none"/>
        </w:rPr>
      </w:pPr>
      <w:r>
        <w:rPr>
          <w:rFonts w:hint="eastAsia" w:ascii="宋体" w:hAnsi="宋体"/>
          <w:b/>
          <w:bCs/>
          <w:color w:val="auto"/>
          <w:sz w:val="24"/>
          <w:highlight w:val="none"/>
        </w:rPr>
        <w:t>（1）</w:t>
      </w:r>
      <w:r>
        <w:rPr>
          <w:rFonts w:ascii="宋体" w:hAnsi="宋体"/>
          <w:b/>
          <w:bCs/>
          <w:color w:val="auto"/>
          <w:sz w:val="24"/>
          <w:highlight w:val="none"/>
        </w:rPr>
        <w:t>投标文件未按招标文件要求签署</w:t>
      </w:r>
      <w:r>
        <w:rPr>
          <w:rFonts w:hint="eastAsia" w:ascii="宋体" w:hAnsi="宋体"/>
          <w:b/>
          <w:bCs/>
          <w:color w:val="auto"/>
          <w:sz w:val="24"/>
          <w:highlight w:val="none"/>
        </w:rPr>
        <w:t>或</w:t>
      </w:r>
      <w:r>
        <w:rPr>
          <w:rFonts w:ascii="宋体" w:hAnsi="宋体"/>
          <w:b/>
          <w:bCs/>
          <w:color w:val="auto"/>
          <w:sz w:val="24"/>
          <w:highlight w:val="none"/>
        </w:rPr>
        <w:t>CA电子签章的；</w:t>
      </w:r>
    </w:p>
    <w:p w14:paraId="352A6667">
      <w:pPr>
        <w:snapToGrid w:val="0"/>
        <w:spacing w:line="400" w:lineRule="exact"/>
        <w:ind w:firstLine="482" w:firstLineChars="200"/>
        <w:rPr>
          <w:rFonts w:ascii="宋体" w:hAnsi="宋体"/>
          <w:b/>
          <w:bCs/>
          <w:color w:val="auto"/>
          <w:sz w:val="24"/>
          <w:highlight w:val="none"/>
        </w:rPr>
      </w:pPr>
      <w:r>
        <w:rPr>
          <w:rFonts w:hint="eastAsia" w:ascii="宋体" w:hAnsi="宋体"/>
          <w:b/>
          <w:bCs/>
          <w:color w:val="auto"/>
          <w:sz w:val="24"/>
          <w:highlight w:val="none"/>
        </w:rPr>
        <w:t>（2）</w:t>
      </w:r>
      <w:r>
        <w:rPr>
          <w:rFonts w:ascii="宋体" w:hAnsi="宋体"/>
          <w:b/>
          <w:bCs/>
          <w:color w:val="auto"/>
          <w:sz w:val="24"/>
          <w:highlight w:val="none"/>
        </w:rPr>
        <w:t>不具备招标文件中规定的资格要求的；</w:t>
      </w:r>
    </w:p>
    <w:p w14:paraId="6AD5C303">
      <w:pPr>
        <w:snapToGrid w:val="0"/>
        <w:spacing w:line="400" w:lineRule="exact"/>
        <w:ind w:firstLine="482" w:firstLineChars="200"/>
        <w:rPr>
          <w:rFonts w:ascii="宋体" w:hAnsi="宋体"/>
          <w:b/>
          <w:bCs/>
          <w:color w:val="auto"/>
          <w:sz w:val="24"/>
          <w:highlight w:val="none"/>
        </w:rPr>
      </w:pPr>
      <w:r>
        <w:rPr>
          <w:rFonts w:hint="eastAsia" w:ascii="宋体" w:hAnsi="宋体"/>
          <w:b/>
          <w:bCs/>
          <w:color w:val="auto"/>
          <w:sz w:val="24"/>
          <w:highlight w:val="none"/>
        </w:rPr>
        <w:t>（3）</w:t>
      </w:r>
      <w:r>
        <w:rPr>
          <w:rFonts w:ascii="宋体" w:hAnsi="宋体"/>
          <w:b/>
          <w:bCs/>
          <w:color w:val="auto"/>
          <w:sz w:val="24"/>
          <w:highlight w:val="none"/>
        </w:rPr>
        <w:t>报价超过招标文件中规定的预算金额或者最高限价的；</w:t>
      </w:r>
    </w:p>
    <w:p w14:paraId="63A338E8">
      <w:pPr>
        <w:snapToGrid w:val="0"/>
        <w:spacing w:line="400" w:lineRule="exact"/>
        <w:ind w:firstLine="482" w:firstLineChars="200"/>
        <w:rPr>
          <w:rFonts w:ascii="宋体" w:hAnsi="宋体"/>
          <w:b/>
          <w:bCs/>
          <w:color w:val="auto"/>
          <w:sz w:val="24"/>
          <w:highlight w:val="none"/>
        </w:rPr>
      </w:pPr>
      <w:r>
        <w:rPr>
          <w:rFonts w:hint="eastAsia" w:ascii="宋体" w:hAnsi="宋体"/>
          <w:b/>
          <w:bCs/>
          <w:color w:val="auto"/>
          <w:sz w:val="24"/>
          <w:highlight w:val="none"/>
        </w:rPr>
        <w:t>（4）未满足招标文件实质性条款的；</w:t>
      </w:r>
    </w:p>
    <w:p w14:paraId="450085D0">
      <w:pPr>
        <w:snapToGrid w:val="0"/>
        <w:spacing w:line="400" w:lineRule="exact"/>
        <w:ind w:firstLine="482" w:firstLineChars="200"/>
        <w:rPr>
          <w:rFonts w:ascii="宋体" w:hAnsi="宋体"/>
          <w:b/>
          <w:bCs/>
          <w:color w:val="auto"/>
          <w:sz w:val="24"/>
          <w:highlight w:val="none"/>
        </w:rPr>
      </w:pPr>
      <w:r>
        <w:rPr>
          <w:rFonts w:hint="eastAsia" w:ascii="宋体" w:hAnsi="宋体"/>
          <w:b/>
          <w:bCs/>
          <w:color w:val="auto"/>
          <w:sz w:val="24"/>
          <w:highlight w:val="none"/>
        </w:rPr>
        <w:t>（5）</w:t>
      </w:r>
      <w:r>
        <w:rPr>
          <w:rFonts w:ascii="宋体" w:hAnsi="宋体"/>
          <w:b/>
          <w:bCs/>
          <w:color w:val="auto"/>
          <w:sz w:val="24"/>
          <w:highlight w:val="none"/>
        </w:rPr>
        <w:t>供应商递交两份或两份以上内容不同的投标文件，未声明哪一份有效的；</w:t>
      </w:r>
    </w:p>
    <w:p w14:paraId="49A08CC0">
      <w:pPr>
        <w:snapToGrid w:val="0"/>
        <w:spacing w:line="400" w:lineRule="exact"/>
        <w:ind w:firstLine="482" w:firstLineChars="200"/>
        <w:rPr>
          <w:rFonts w:ascii="宋体" w:hAnsi="宋体"/>
          <w:b/>
          <w:bCs/>
          <w:color w:val="auto"/>
          <w:sz w:val="24"/>
          <w:highlight w:val="none"/>
        </w:rPr>
      </w:pPr>
      <w:r>
        <w:rPr>
          <w:rFonts w:hint="eastAsia" w:ascii="宋体" w:hAnsi="宋体"/>
          <w:b/>
          <w:bCs/>
          <w:color w:val="auto"/>
          <w:sz w:val="24"/>
          <w:highlight w:val="none"/>
        </w:rPr>
        <w:t>（6）</w:t>
      </w:r>
      <w:r>
        <w:rPr>
          <w:rFonts w:ascii="宋体" w:hAnsi="宋体"/>
          <w:b/>
          <w:bCs/>
          <w:color w:val="auto"/>
          <w:sz w:val="24"/>
          <w:highlight w:val="none"/>
        </w:rPr>
        <w:t>对关键条文的偏离、保留或反对，例如关于</w:t>
      </w:r>
      <w:r>
        <w:rPr>
          <w:rFonts w:hint="eastAsia" w:ascii="宋体" w:hAnsi="宋体"/>
          <w:b/>
          <w:bCs/>
          <w:color w:val="auto"/>
          <w:sz w:val="24"/>
          <w:highlight w:val="none"/>
        </w:rPr>
        <w:t>工期、质保期、</w:t>
      </w:r>
      <w:r>
        <w:rPr>
          <w:rFonts w:ascii="宋体" w:hAnsi="宋体"/>
          <w:b/>
          <w:bCs/>
          <w:color w:val="auto"/>
          <w:sz w:val="24"/>
          <w:highlight w:val="none"/>
        </w:rPr>
        <w:t>付款方式、适用法律法规、标准、税费等其他内容；</w:t>
      </w:r>
    </w:p>
    <w:p w14:paraId="7A3A3F7E">
      <w:pPr>
        <w:snapToGrid w:val="0"/>
        <w:spacing w:line="400" w:lineRule="exact"/>
        <w:ind w:firstLine="482" w:firstLineChars="200"/>
        <w:rPr>
          <w:rFonts w:ascii="宋体" w:hAnsi="宋体"/>
          <w:b/>
          <w:bCs/>
          <w:color w:val="auto"/>
          <w:sz w:val="24"/>
          <w:highlight w:val="none"/>
        </w:rPr>
      </w:pPr>
      <w:r>
        <w:rPr>
          <w:rFonts w:hint="eastAsia" w:ascii="宋体" w:hAnsi="宋体"/>
          <w:b/>
          <w:bCs/>
          <w:color w:val="auto"/>
          <w:sz w:val="24"/>
          <w:highlight w:val="none"/>
        </w:rPr>
        <w:t>（7）</w:t>
      </w:r>
      <w:r>
        <w:rPr>
          <w:rFonts w:ascii="宋体" w:hAnsi="宋体"/>
          <w:b/>
          <w:bCs/>
          <w:color w:val="auto"/>
          <w:sz w:val="24"/>
          <w:highlight w:val="none"/>
        </w:rPr>
        <w:t>存在串标、抬标或弄虚作假情况的</w:t>
      </w:r>
      <w:r>
        <w:rPr>
          <w:rFonts w:hint="eastAsia" w:ascii="宋体" w:hAnsi="宋体"/>
          <w:b/>
          <w:bCs/>
          <w:color w:val="auto"/>
          <w:sz w:val="24"/>
          <w:highlight w:val="none"/>
        </w:rPr>
        <w:t>；</w:t>
      </w:r>
    </w:p>
    <w:p w14:paraId="18A4A6A5">
      <w:pPr>
        <w:snapToGrid w:val="0"/>
        <w:spacing w:line="400" w:lineRule="exact"/>
        <w:ind w:firstLine="482" w:firstLineChars="200"/>
        <w:rPr>
          <w:rFonts w:ascii="宋体" w:hAnsi="宋体"/>
          <w:b/>
          <w:bCs/>
          <w:color w:val="auto"/>
          <w:sz w:val="24"/>
          <w:highlight w:val="none"/>
        </w:rPr>
      </w:pPr>
      <w:r>
        <w:rPr>
          <w:rFonts w:hint="eastAsia" w:ascii="宋体" w:hAnsi="宋体"/>
          <w:b/>
          <w:bCs/>
          <w:color w:val="auto"/>
          <w:sz w:val="24"/>
          <w:highlight w:val="none"/>
        </w:rPr>
        <w:t>（8）</w:t>
      </w:r>
      <w:r>
        <w:rPr>
          <w:rFonts w:ascii="宋体" w:hAnsi="宋体"/>
          <w:b/>
          <w:bCs/>
          <w:color w:val="auto"/>
          <w:sz w:val="24"/>
          <w:highlight w:val="none"/>
        </w:rPr>
        <w:t>参与本项目的不同供应商单位负责人为同一人或者存在直接控股、管理关系的；</w:t>
      </w:r>
    </w:p>
    <w:p w14:paraId="3494DD52">
      <w:pPr>
        <w:snapToGrid w:val="0"/>
        <w:spacing w:line="400" w:lineRule="exact"/>
        <w:ind w:firstLine="482" w:firstLineChars="200"/>
        <w:rPr>
          <w:rFonts w:ascii="宋体" w:hAnsi="宋体"/>
          <w:b/>
          <w:bCs/>
          <w:color w:val="auto"/>
          <w:sz w:val="24"/>
          <w:highlight w:val="none"/>
        </w:rPr>
      </w:pPr>
      <w:r>
        <w:rPr>
          <w:rFonts w:hint="eastAsia" w:ascii="宋体" w:hAnsi="宋体"/>
          <w:b/>
          <w:bCs/>
          <w:color w:val="auto"/>
          <w:sz w:val="24"/>
          <w:highlight w:val="none"/>
        </w:rPr>
        <w:t>（9）</w:t>
      </w:r>
      <w:r>
        <w:rPr>
          <w:rFonts w:ascii="宋体" w:hAnsi="宋体"/>
          <w:b/>
          <w:bCs/>
          <w:color w:val="auto"/>
          <w:sz w:val="24"/>
          <w:highlight w:val="none"/>
        </w:rPr>
        <w:t>供应商的</w:t>
      </w:r>
      <w:r>
        <w:rPr>
          <w:rFonts w:hint="eastAsia" w:ascii="宋体" w:hAnsi="宋体"/>
          <w:b/>
          <w:bCs/>
          <w:color w:val="auto"/>
          <w:sz w:val="24"/>
          <w:highlight w:val="none"/>
        </w:rPr>
        <w:t>资格文件</w:t>
      </w:r>
      <w:r>
        <w:rPr>
          <w:rFonts w:ascii="宋体" w:hAnsi="宋体"/>
          <w:b/>
          <w:bCs/>
          <w:color w:val="auto"/>
          <w:sz w:val="24"/>
          <w:highlight w:val="none"/>
        </w:rPr>
        <w:t>或者商务技术文件中出现投标报价的；</w:t>
      </w:r>
    </w:p>
    <w:p w14:paraId="576B6AA1">
      <w:pPr>
        <w:snapToGrid w:val="0"/>
        <w:spacing w:line="400" w:lineRule="exact"/>
        <w:ind w:firstLine="482" w:firstLineChars="200"/>
        <w:rPr>
          <w:rFonts w:ascii="宋体" w:hAnsi="宋体"/>
          <w:b/>
          <w:bCs/>
          <w:color w:val="auto"/>
          <w:sz w:val="24"/>
          <w:highlight w:val="none"/>
        </w:rPr>
      </w:pPr>
      <w:r>
        <w:rPr>
          <w:rFonts w:hint="eastAsia" w:ascii="宋体" w:hAnsi="宋体"/>
          <w:b/>
          <w:bCs/>
          <w:color w:val="auto"/>
          <w:sz w:val="24"/>
          <w:highlight w:val="none"/>
        </w:rPr>
        <w:t>（10）</w:t>
      </w:r>
      <w:r>
        <w:rPr>
          <w:rFonts w:ascii="宋体" w:hAnsi="宋体"/>
          <w:b/>
          <w:bCs/>
          <w:color w:val="auto"/>
          <w:sz w:val="24"/>
          <w:highlight w:val="none"/>
        </w:rPr>
        <w:t>供应商在线制作投标文件时《开标一览表》中填写的金额与解密后“电子加密投标文件”中《开标一览表》填写的金额不一致并拒绝按招标文件要求接受此调整的；</w:t>
      </w:r>
    </w:p>
    <w:p w14:paraId="5B025C06">
      <w:pPr>
        <w:snapToGrid w:val="0"/>
        <w:spacing w:line="400" w:lineRule="exact"/>
        <w:ind w:firstLine="482" w:firstLineChars="200"/>
        <w:rPr>
          <w:rFonts w:ascii="宋体" w:hAnsi="宋体"/>
          <w:b/>
          <w:bCs/>
          <w:color w:val="auto"/>
          <w:sz w:val="24"/>
          <w:highlight w:val="none"/>
        </w:rPr>
      </w:pPr>
      <w:r>
        <w:rPr>
          <w:rFonts w:hint="eastAsia" w:ascii="宋体" w:hAnsi="宋体"/>
          <w:b/>
          <w:bCs/>
          <w:color w:val="auto"/>
          <w:sz w:val="24"/>
          <w:highlight w:val="none"/>
        </w:rPr>
        <w:t>（11）法律法规</w:t>
      </w:r>
      <w:r>
        <w:rPr>
          <w:rFonts w:ascii="宋体" w:hAnsi="宋体"/>
          <w:b/>
          <w:bCs/>
          <w:color w:val="auto"/>
          <w:sz w:val="24"/>
          <w:highlight w:val="none"/>
        </w:rPr>
        <w:t>和招标文件规定的其他无效情形（或出现重大偏差</w:t>
      </w:r>
      <w:r>
        <w:rPr>
          <w:rFonts w:hint="eastAsia" w:ascii="宋体" w:hAnsi="宋体"/>
          <w:b/>
          <w:bCs/>
          <w:color w:val="auto"/>
          <w:sz w:val="24"/>
          <w:highlight w:val="none"/>
        </w:rPr>
        <w:t>）</w:t>
      </w:r>
      <w:r>
        <w:rPr>
          <w:rFonts w:ascii="宋体" w:hAnsi="宋体"/>
          <w:b/>
          <w:bCs/>
          <w:color w:val="auto"/>
          <w:sz w:val="24"/>
          <w:highlight w:val="none"/>
        </w:rPr>
        <w:t>。</w:t>
      </w:r>
    </w:p>
    <w:p w14:paraId="721579F0">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5.</w:t>
      </w:r>
      <w:r>
        <w:rPr>
          <w:rFonts w:ascii="宋体" w:hAnsi="宋体"/>
          <w:bCs/>
          <w:color w:val="auto"/>
          <w:sz w:val="24"/>
          <w:highlight w:val="none"/>
        </w:rPr>
        <w:t>评标委员会发现投标文件有下列情形之一的属于重大偏差</w:t>
      </w:r>
      <w:r>
        <w:rPr>
          <w:rFonts w:hint="eastAsia" w:ascii="宋体" w:hAnsi="宋体"/>
          <w:bCs/>
          <w:color w:val="auto"/>
          <w:sz w:val="24"/>
          <w:highlight w:val="none"/>
        </w:rPr>
        <w:t>（</w:t>
      </w:r>
      <w:r>
        <w:rPr>
          <w:rFonts w:ascii="宋体" w:hAnsi="宋体"/>
          <w:bCs/>
          <w:color w:val="auto"/>
          <w:sz w:val="24"/>
          <w:highlight w:val="none"/>
        </w:rPr>
        <w:t>评标委员会按少数服从多数原则认定</w:t>
      </w:r>
      <w:r>
        <w:rPr>
          <w:rFonts w:hint="eastAsia" w:ascii="宋体" w:hAnsi="宋体"/>
          <w:bCs/>
          <w:color w:val="auto"/>
          <w:sz w:val="24"/>
          <w:highlight w:val="none"/>
        </w:rPr>
        <w:t>），</w:t>
      </w:r>
      <w:r>
        <w:rPr>
          <w:rFonts w:ascii="宋体" w:hAnsi="宋体"/>
          <w:bCs/>
          <w:color w:val="auto"/>
          <w:sz w:val="24"/>
          <w:highlight w:val="none"/>
        </w:rPr>
        <w:t>按照无效投标处理：</w:t>
      </w:r>
    </w:p>
    <w:p w14:paraId="0882E9F2">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（1）</w:t>
      </w:r>
      <w:r>
        <w:rPr>
          <w:rFonts w:ascii="宋体" w:hAnsi="宋体"/>
          <w:bCs/>
          <w:color w:val="auto"/>
          <w:sz w:val="24"/>
          <w:highlight w:val="none"/>
        </w:rPr>
        <w:t>未按招标文件要求编制或字迹模糊、辨认不清的投标文件；</w:t>
      </w:r>
    </w:p>
    <w:p w14:paraId="3B1C96DF">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（2）</w:t>
      </w:r>
      <w:r>
        <w:rPr>
          <w:rFonts w:ascii="宋体" w:hAnsi="宋体"/>
          <w:bCs/>
          <w:color w:val="auto"/>
          <w:sz w:val="24"/>
          <w:highlight w:val="none"/>
        </w:rPr>
        <w:t>明显不符合招标文件</w:t>
      </w:r>
      <w:r>
        <w:rPr>
          <w:rFonts w:hint="eastAsia" w:ascii="宋体" w:hAnsi="宋体"/>
          <w:bCs/>
          <w:color w:val="auto"/>
          <w:sz w:val="24"/>
          <w:highlight w:val="none"/>
        </w:rPr>
        <w:t>要求</w:t>
      </w:r>
      <w:r>
        <w:rPr>
          <w:rFonts w:ascii="宋体" w:hAnsi="宋体"/>
          <w:bCs/>
          <w:color w:val="auto"/>
          <w:sz w:val="24"/>
          <w:highlight w:val="none"/>
        </w:rPr>
        <w:t>的规格型号、质量标准</w:t>
      </w:r>
      <w:r>
        <w:rPr>
          <w:rFonts w:hint="eastAsia" w:ascii="宋体" w:hAnsi="宋体"/>
          <w:bCs/>
          <w:color w:val="auto"/>
          <w:sz w:val="24"/>
          <w:highlight w:val="none"/>
        </w:rPr>
        <w:t>、技术要求（超过允许偏离范围的）</w:t>
      </w:r>
      <w:r>
        <w:rPr>
          <w:rFonts w:ascii="宋体" w:hAnsi="宋体"/>
          <w:bCs/>
          <w:color w:val="auto"/>
          <w:sz w:val="24"/>
          <w:highlight w:val="none"/>
        </w:rPr>
        <w:t>，或者</w:t>
      </w:r>
      <w:r>
        <w:rPr>
          <w:rFonts w:hint="eastAsia" w:ascii="宋体" w:hAnsi="宋体"/>
          <w:bCs/>
          <w:color w:val="auto"/>
          <w:sz w:val="24"/>
          <w:highlight w:val="none"/>
        </w:rPr>
        <w:t>与</w:t>
      </w:r>
      <w:r>
        <w:rPr>
          <w:rFonts w:ascii="宋体" w:hAnsi="宋体"/>
          <w:bCs/>
          <w:color w:val="auto"/>
          <w:sz w:val="24"/>
          <w:highlight w:val="none"/>
        </w:rPr>
        <w:t>招标文件中标“</w:t>
      </w:r>
      <w:r>
        <w:rPr>
          <w:rFonts w:hint="eastAsia" w:ascii="宋体" w:hAnsi="宋体"/>
          <w:color w:val="auto"/>
          <w:sz w:val="24"/>
          <w:highlight w:val="none"/>
        </w:rPr>
        <w:t>★</w:t>
      </w:r>
      <w:r>
        <w:rPr>
          <w:rFonts w:ascii="宋体" w:hAnsi="宋体"/>
          <w:bCs/>
          <w:color w:val="auto"/>
          <w:sz w:val="24"/>
          <w:highlight w:val="none"/>
        </w:rPr>
        <w:t xml:space="preserve">”的技术指标、主要功能项目发生实质性偏离的； </w:t>
      </w:r>
    </w:p>
    <w:p w14:paraId="4E266ADD">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（3）</w:t>
      </w:r>
      <w:r>
        <w:rPr>
          <w:rFonts w:ascii="宋体" w:hAnsi="宋体"/>
          <w:bCs/>
          <w:color w:val="auto"/>
          <w:sz w:val="24"/>
          <w:highlight w:val="none"/>
        </w:rPr>
        <w:t>未提供或未如实提供投标货物的技术参数，或者投标文件标明的响应或偏离与事实不符或虚假投标的；</w:t>
      </w:r>
    </w:p>
    <w:p w14:paraId="0EC76B21">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（4）与其他参加本次投标人的投标文件（技术文件）的文字表述内容相同连续20行以上或者差错相同2处以上的（招标文件中复制粘贴而来的除外）。</w:t>
      </w:r>
    </w:p>
    <w:p w14:paraId="6DFC3384">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6.本次采购，如果投标人的投标报价均超出</w:t>
      </w:r>
      <w:r>
        <w:rPr>
          <w:rFonts w:hint="eastAsia" w:ascii="宋体" w:hAnsi="宋体"/>
          <w:b/>
          <w:color w:val="auto"/>
          <w:sz w:val="24"/>
          <w:highlight w:val="none"/>
        </w:rPr>
        <w:t>采购预算或最高限价</w:t>
      </w:r>
      <w:r>
        <w:rPr>
          <w:rFonts w:hint="eastAsia" w:ascii="宋体" w:hAnsi="宋体"/>
          <w:bCs/>
          <w:color w:val="auto"/>
          <w:sz w:val="24"/>
          <w:highlight w:val="none"/>
        </w:rPr>
        <w:t>，将作废标处理。</w:t>
      </w:r>
    </w:p>
    <w:p w14:paraId="3AA5E099">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7.开启投标人报价文件后发现价格、数量有误，其投标价将按下述原则处理：</w:t>
      </w:r>
    </w:p>
    <w:p w14:paraId="4C5E6CB1">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（1）</w:t>
      </w:r>
      <w:r>
        <w:rPr>
          <w:rFonts w:ascii="宋体" w:hAnsi="宋体"/>
          <w:bCs/>
          <w:color w:val="auto"/>
          <w:sz w:val="24"/>
          <w:highlight w:val="none"/>
        </w:rPr>
        <w:t>任何有漏去一些小项货物或服务的投标将被视为其费用已包含在投标总价中，投标价格不予调整。</w:t>
      </w:r>
    </w:p>
    <w:p w14:paraId="2BCCC309">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（2）</w:t>
      </w:r>
      <w:r>
        <w:rPr>
          <w:rFonts w:ascii="宋体" w:hAnsi="宋体"/>
          <w:bCs/>
          <w:color w:val="auto"/>
          <w:sz w:val="24"/>
          <w:highlight w:val="none"/>
        </w:rPr>
        <w:t>任何有多报一些小项工程或货物的投标其投标价不予调整，如果该投标人中标，则合同价格必须为核减掉多报的一些小项工程或货物后的价格。</w:t>
      </w:r>
    </w:p>
    <w:p w14:paraId="6CFBED49">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（3）对于计算错误的其投标价不予调整，如果该投标人中标，如其投标价格计算错误导致多报者合同价格予以据实核减，少报者合同价格不予调整。</w:t>
      </w:r>
    </w:p>
    <w:p w14:paraId="4E325F1C">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（4）</w:t>
      </w:r>
      <w:r>
        <w:rPr>
          <w:rFonts w:ascii="宋体" w:hAnsi="宋体"/>
          <w:bCs/>
          <w:color w:val="auto"/>
          <w:sz w:val="24"/>
          <w:highlight w:val="none"/>
        </w:rPr>
        <w:t>对于计算错误，多报或漏报的一些小项工程或货物、服务的仅仅为非实质性重大偏差范围内的偏离，并经过评标委员会按少数服从多数原则认定为细微偏差，评审时其投标价不予调整。</w:t>
      </w:r>
    </w:p>
    <w:p w14:paraId="583592DB">
      <w:pPr>
        <w:pStyle w:val="24"/>
        <w:snapToGrid w:val="0"/>
        <w:spacing w:beforeLines="0" w:afterLines="0"/>
        <w:ind w:firstLine="480" w:firstLineChars="200"/>
        <w:rPr>
          <w:rFonts w:hint="default" w:hAnsi="宋体"/>
          <w:bCs/>
          <w:color w:val="auto"/>
          <w:sz w:val="24"/>
          <w:szCs w:val="24"/>
          <w:highlight w:val="none"/>
        </w:rPr>
      </w:pPr>
      <w:r>
        <w:rPr>
          <w:rFonts w:hAnsi="宋体"/>
          <w:bCs/>
          <w:color w:val="auto"/>
          <w:sz w:val="24"/>
          <w:szCs w:val="24"/>
          <w:highlight w:val="none"/>
        </w:rPr>
        <w:t>（5）投标文件中开标一览表内容与投标文件中相应内容不一致的，以开标一览表为准；</w:t>
      </w:r>
    </w:p>
    <w:p w14:paraId="732B81C8">
      <w:pPr>
        <w:pStyle w:val="24"/>
        <w:snapToGrid w:val="0"/>
        <w:spacing w:beforeLines="0" w:afterLines="0"/>
        <w:ind w:firstLine="480" w:firstLineChars="200"/>
        <w:rPr>
          <w:rFonts w:hint="default" w:hAnsi="宋体"/>
          <w:bCs/>
          <w:color w:val="auto"/>
          <w:sz w:val="24"/>
          <w:szCs w:val="24"/>
          <w:highlight w:val="none"/>
        </w:rPr>
      </w:pPr>
      <w:r>
        <w:rPr>
          <w:rFonts w:hAnsi="宋体"/>
          <w:bCs/>
          <w:color w:val="auto"/>
          <w:sz w:val="24"/>
          <w:szCs w:val="24"/>
          <w:highlight w:val="none"/>
        </w:rPr>
        <w:t>（6）大写金额和小写金额不一致的，以大写金额为准；</w:t>
      </w:r>
    </w:p>
    <w:p w14:paraId="0E4E93E4">
      <w:pPr>
        <w:pStyle w:val="24"/>
        <w:snapToGrid w:val="0"/>
        <w:spacing w:beforeLines="0" w:afterLines="0"/>
        <w:ind w:firstLine="480" w:firstLineChars="200"/>
        <w:rPr>
          <w:rFonts w:hint="default" w:hAnsi="宋体"/>
          <w:bCs/>
          <w:color w:val="auto"/>
          <w:sz w:val="24"/>
          <w:szCs w:val="24"/>
          <w:highlight w:val="none"/>
        </w:rPr>
      </w:pPr>
      <w:r>
        <w:rPr>
          <w:rFonts w:hAnsi="宋体"/>
          <w:bCs/>
          <w:color w:val="auto"/>
          <w:sz w:val="24"/>
          <w:szCs w:val="24"/>
          <w:highlight w:val="none"/>
        </w:rPr>
        <w:t>（7）单价金额小数点或者百分比有明显错位的，以开标一览表的总价为准，并修改单价；</w:t>
      </w:r>
    </w:p>
    <w:p w14:paraId="00E81BF1">
      <w:pPr>
        <w:pStyle w:val="24"/>
        <w:snapToGrid w:val="0"/>
        <w:spacing w:beforeLines="0" w:afterLines="0"/>
        <w:ind w:firstLine="480" w:firstLineChars="200"/>
        <w:rPr>
          <w:rFonts w:hint="default" w:hAnsi="宋体"/>
          <w:bCs/>
          <w:color w:val="auto"/>
          <w:sz w:val="24"/>
          <w:szCs w:val="24"/>
          <w:highlight w:val="none"/>
        </w:rPr>
      </w:pPr>
      <w:r>
        <w:rPr>
          <w:rFonts w:hAnsi="宋体"/>
          <w:bCs/>
          <w:color w:val="auto"/>
          <w:sz w:val="24"/>
          <w:szCs w:val="24"/>
          <w:highlight w:val="none"/>
        </w:rPr>
        <w:t>（8）总价金额与按单价汇总金额不一致的，以单价金额计算结果为准。</w:t>
      </w:r>
    </w:p>
    <w:p w14:paraId="57FBCDAE">
      <w:pPr>
        <w:pStyle w:val="24"/>
        <w:snapToGrid w:val="0"/>
        <w:spacing w:beforeLines="0" w:afterLines="0"/>
        <w:ind w:firstLine="480" w:firstLineChars="200"/>
        <w:rPr>
          <w:rFonts w:hint="default" w:hAnsi="宋体"/>
          <w:bCs/>
          <w:color w:val="auto"/>
          <w:sz w:val="24"/>
          <w:szCs w:val="24"/>
          <w:highlight w:val="none"/>
        </w:rPr>
      </w:pPr>
      <w:r>
        <w:rPr>
          <w:rFonts w:hAnsi="宋体"/>
          <w:bCs/>
          <w:color w:val="auto"/>
          <w:sz w:val="24"/>
          <w:szCs w:val="24"/>
          <w:highlight w:val="none"/>
        </w:rPr>
        <w:t>同时出现两种以上不一致的，按照前款规定的顺序修正。修正后的报价按照《政府采购货物和服务招标投标管理办法》（财政部令第87号）第五十一条第二款的规定经投标人确认后产生约束力，投标人不确认的，其投标无效。</w:t>
      </w:r>
    </w:p>
    <w:p w14:paraId="4DB752F8">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8.</w:t>
      </w:r>
      <w:r>
        <w:rPr>
          <w:rFonts w:ascii="宋体" w:hAnsi="宋体"/>
          <w:bCs/>
          <w:color w:val="auto"/>
          <w:sz w:val="24"/>
          <w:highlight w:val="none"/>
        </w:rPr>
        <w:t>评标委员会认为投标人的报价明显低于其他通过符合性审查投标人的报价，有可能影响产品质量或者不能诚信履约的，应当要求其在合理的时间内提供说明，必要时提交相关证明材料；投标人不能证明其报价合理性的，评标委员会应当将其作为无效投标处理。</w:t>
      </w:r>
      <w:r>
        <w:rPr>
          <w:rFonts w:hint="eastAsia" w:ascii="宋体" w:hAnsi="宋体"/>
          <w:b/>
          <w:bCs/>
          <w:color w:val="auto"/>
          <w:sz w:val="24"/>
          <w:highlight w:val="none"/>
        </w:rPr>
        <w:t xml:space="preserve"> </w:t>
      </w:r>
    </w:p>
    <w:p w14:paraId="1B32933A">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9.评标过程中遇到特殊情况，由评标委员会遵循公开、公正原则，采取投票方式按照少数服从多数原则决定。</w:t>
      </w:r>
    </w:p>
    <w:p w14:paraId="2416C89E">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10.实质上没有响应招标文件要求的投标将被拒绝。评标委员会不得通过询标使投标人修正或撤销不合要求的偏离从而使其投标成为实质上响应的投标。</w:t>
      </w:r>
    </w:p>
    <w:p w14:paraId="09FA060E">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11.评标委员会对投标文件的判定，只依据投标内容本身，不依靠开标后的任何外来证明。</w:t>
      </w:r>
    </w:p>
    <w:p w14:paraId="6A869EC9">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12.评标委员会在评标中，不得改变招标文件中规定的评标标准、方法和中标条件。</w:t>
      </w:r>
    </w:p>
    <w:p w14:paraId="58DDAAE0">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13.</w:t>
      </w:r>
      <w:r>
        <w:rPr>
          <w:rFonts w:ascii="宋体" w:hAnsi="宋体"/>
          <w:bCs/>
          <w:color w:val="auto"/>
          <w:sz w:val="24"/>
          <w:highlight w:val="none"/>
        </w:rPr>
        <w:t>评标委员会对未中标的供应商不作解释。同时根据政府采购法实施条例第四十条规定，本项目</w:t>
      </w:r>
      <w:r>
        <w:rPr>
          <w:rFonts w:hint="eastAsia" w:ascii="宋体" w:hAnsi="宋体"/>
          <w:bCs/>
          <w:color w:val="auto"/>
          <w:sz w:val="24"/>
          <w:highlight w:val="none"/>
        </w:rPr>
        <w:t>公布投标人的商务技术得分、报价得分和综合得分</w:t>
      </w:r>
      <w:r>
        <w:rPr>
          <w:rFonts w:ascii="宋体" w:hAnsi="宋体"/>
          <w:bCs/>
          <w:color w:val="auto"/>
          <w:sz w:val="24"/>
          <w:highlight w:val="none"/>
        </w:rPr>
        <w:t>。</w:t>
      </w:r>
    </w:p>
    <w:p w14:paraId="3CC29311">
      <w:pPr>
        <w:snapToGrid w:val="0"/>
        <w:spacing w:line="400" w:lineRule="exact"/>
        <w:ind w:firstLine="482" w:firstLineChars="200"/>
        <w:rPr>
          <w:rFonts w:ascii="宋体" w:hAnsi="宋体"/>
          <w:b/>
          <w:bCs/>
          <w:color w:val="auto"/>
          <w:sz w:val="24"/>
          <w:highlight w:val="none"/>
        </w:rPr>
      </w:pPr>
      <w:r>
        <w:rPr>
          <w:rFonts w:hint="eastAsia" w:ascii="宋体" w:hAnsi="宋体"/>
          <w:b/>
          <w:bCs/>
          <w:color w:val="auto"/>
          <w:sz w:val="24"/>
          <w:highlight w:val="none"/>
        </w:rPr>
        <w:t>（三）评标纪律</w:t>
      </w:r>
    </w:p>
    <w:p w14:paraId="68FFBDC7">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1.评审专家必须公平、公正评审，遵纪守法，客观、廉洁地履行职责。</w:t>
      </w:r>
    </w:p>
    <w:p w14:paraId="7F9B4BBB">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2.评审专家在评审开始前，应关闭并上交随身携带的各种通信工具。</w:t>
      </w:r>
    </w:p>
    <w:p w14:paraId="75C03295">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3.评审专家在评审过程中，未经许可不得中途离开评审现场，不得迟到早退。</w:t>
      </w:r>
    </w:p>
    <w:p w14:paraId="6EFD338A">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4.评审专家和工作人员不得透露评审过程中的讨论情况和评审结果。</w:t>
      </w:r>
    </w:p>
    <w:p w14:paraId="4F0413BA">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7E7442DD">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6.采购人、采购代理机构不得向评审委员会的评审专家作倾向性、误导性的解释或者说明。</w:t>
      </w:r>
    </w:p>
    <w:p w14:paraId="3639B729">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7.采购代理机构应当为评审专家提供必要的评审条件和相应的评审工作底稿，并严格按规定程序组织评审专家有步骤地进行项目评审，对各评审专家的评审情况和评审意见进行合理性和合规性审查，</w:t>
      </w:r>
      <w:r>
        <w:rPr>
          <w:rFonts w:hint="eastAsia" w:ascii="宋体" w:hAnsi="宋体"/>
          <w:bCs/>
          <w:color w:val="auto"/>
          <w:sz w:val="24"/>
          <w:highlight w:val="none"/>
          <w:lang w:val="en-US" w:eastAsia="zh-CN"/>
        </w:rPr>
        <w:t>对</w:t>
      </w:r>
      <w:r>
        <w:rPr>
          <w:rFonts w:hint="eastAsia" w:ascii="宋体" w:hAnsi="宋体"/>
          <w:bCs/>
          <w:color w:val="auto"/>
          <w:sz w:val="24"/>
          <w:highlight w:val="none"/>
        </w:rPr>
        <w:t>主观项评审分畸高或畸低（商务技术主观分总评分偏离平均分30%以上），提醒相关评审专家进行复核或书面说明理由。</w:t>
      </w:r>
    </w:p>
    <w:p w14:paraId="5BA22BC8">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8.评审专家在评审过程中不得将自己的观点强加给其他评审专家，评审专家应自主发表见解，对评审意见承担个人责任。</w:t>
      </w:r>
    </w:p>
    <w:p w14:paraId="42B8442F">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5C25D487">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10.评审专家应当独立、客观、公正地提出评审意见，不得带有倾向性，不得影响其他评审专家评审，并在评审报告上签字；如对评审报告有异议的，可在报告上签署不同意见，并说明理由，否则将视为同意。</w:t>
      </w:r>
    </w:p>
    <w:p w14:paraId="7E9BCECB">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11.评审专家应当遵守评审工作纪律，不得泄露评审文件、评审情况和评审中获悉的商业秘密。</w:t>
      </w:r>
    </w:p>
    <w:p w14:paraId="7457DB36">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评审委员会在评审过程中发现投标人有行贿、提供虚假材料或者串通等违法行为的，应当及时向财政部门报告。</w:t>
      </w:r>
    </w:p>
    <w:p w14:paraId="0EB9171B">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12.招标文件内容违反国家有关强制性规定的，评审委员会应当停止评审并向采购代理机构说明情况。</w:t>
      </w:r>
    </w:p>
    <w:p w14:paraId="649CEB14">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13.评审专家应当配合采购代理机构答复投标人提出的质疑。</w:t>
      </w:r>
    </w:p>
    <w:p w14:paraId="03827A29">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14.评审专家应当配合财政部门的投诉处理工作。</w:t>
      </w:r>
    </w:p>
    <w:p w14:paraId="33EE4CFC">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lang w:val="en-US" w:eastAsia="zh-CN"/>
        </w:rPr>
        <w:t>1</w:t>
      </w:r>
      <w:r>
        <w:rPr>
          <w:rFonts w:hint="eastAsia" w:ascii="宋体" w:hAnsi="宋体"/>
          <w:bCs/>
          <w:color w:val="auto"/>
          <w:sz w:val="24"/>
          <w:highlight w:val="none"/>
        </w:rPr>
        <w:t>5.根据《政府采购货物和服务招标投标管理办法》（中华人民共和国财政部令 第87号）第六十二条规定：</w:t>
      </w:r>
    </w:p>
    <w:p w14:paraId="676C0CE4">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评标委员会及其成员不得有下列行为：</w:t>
      </w:r>
    </w:p>
    <w:p w14:paraId="7BEC41DF">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①确定参与评标至评标结束前私自接触投标人；</w:t>
      </w:r>
    </w:p>
    <w:p w14:paraId="5B8ACC0C">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②接受投标人提出的与投标文件不一致的澄清或者说明，《政府采购货物和服务招标投标管理办法》（中华人民共和国财政部令 第87号）第五十一条规定的情形除外；</w:t>
      </w:r>
    </w:p>
    <w:p w14:paraId="645C6872">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③违反评标纪律发表倾向性意见或者征询采购人的倾向性意见；</w:t>
      </w:r>
    </w:p>
    <w:p w14:paraId="6CCE76EC">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④对需要专业判断的主观评审因素协商评分；</w:t>
      </w:r>
    </w:p>
    <w:p w14:paraId="1758E3BA">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⑤在评标过程中擅离职守，影响评标程序正常进行的；</w:t>
      </w:r>
    </w:p>
    <w:p w14:paraId="72CA65D3">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⑥记录、复制或者带走任何评标资料；</w:t>
      </w:r>
    </w:p>
    <w:p w14:paraId="7AFDE194">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⑦其他不遵守评标纪律的行为。</w:t>
      </w:r>
    </w:p>
    <w:p w14:paraId="5E20B718">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评标委员会成员有前款第一至五项行为之一的，其评审意见无效，并不得获取评审劳务报酬和报销异地评审差旅费。</w:t>
      </w:r>
    </w:p>
    <w:p w14:paraId="7D996515">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16.根据《中华人民共和国政府采购法实施条例》（国务院令第658号）第七十五条规定：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4BA9F0AF">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政府采购评审专家与投标人存在利害关系未回避的，处2万元以上5万元以下的罚款，禁止其参加政府采购评审活动。</w:t>
      </w:r>
    </w:p>
    <w:p w14:paraId="48FA5EC0">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政府采购评审专家收受采购人、采购代理机构、投标人贿赂或者获取其他不正当利益，构成犯罪的，依法追究刑事责任；尚不构成犯罪的，处2万元以上5万元以下的罚款，禁止其参加政府采购评审活动。</w:t>
      </w:r>
    </w:p>
    <w:p w14:paraId="671C2AB9">
      <w:pPr>
        <w:snapToGrid w:val="0"/>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政府采购评审专家有上述违法行为的，其评审意见无效，不得获取评审费；有违法所得的，没收违法所得；给他人造成损失的，依法承担民事责任。</w:t>
      </w:r>
    </w:p>
    <w:p w14:paraId="3ED172AB">
      <w:pPr>
        <w:snapToGrid w:val="0"/>
        <w:spacing w:line="400" w:lineRule="exact"/>
        <w:ind w:firstLine="482" w:firstLineChars="200"/>
        <w:rPr>
          <w:rFonts w:ascii="宋体" w:hAnsi="宋体"/>
          <w:b/>
          <w:bCs/>
          <w:color w:val="auto"/>
          <w:sz w:val="24"/>
          <w:highlight w:val="none"/>
        </w:rPr>
      </w:pPr>
      <w:r>
        <w:rPr>
          <w:rFonts w:hint="eastAsia" w:ascii="宋体" w:hAnsi="宋体"/>
          <w:b/>
          <w:bCs/>
          <w:color w:val="auto"/>
          <w:sz w:val="24"/>
          <w:highlight w:val="none"/>
        </w:rPr>
        <w:t>（四）投</w:t>
      </w:r>
      <w:r>
        <w:rPr>
          <w:rFonts w:ascii="宋体" w:hAnsi="宋体"/>
          <w:b/>
          <w:bCs/>
          <w:color w:val="auto"/>
          <w:sz w:val="24"/>
          <w:highlight w:val="none"/>
        </w:rPr>
        <w:t>标文件的澄清</w:t>
      </w:r>
    </w:p>
    <w:p w14:paraId="244CBA8D">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1.为有利于对投标文件的评审，必要时评标委员会可要求投标人对投标文件相关事宜进行澄清。评标委员会将通过“政府采购云平台”在线询标的形式要求</w:t>
      </w:r>
      <w:r>
        <w:rPr>
          <w:rFonts w:ascii="宋体" w:hAnsi="宋体"/>
          <w:bCs/>
          <w:color w:val="auto"/>
          <w:sz w:val="24"/>
          <w:highlight w:val="none"/>
        </w:rPr>
        <w:t>投标人</w:t>
      </w:r>
      <w:r>
        <w:rPr>
          <w:rFonts w:hint="eastAsia" w:ascii="宋体" w:hAnsi="宋体"/>
          <w:bCs/>
          <w:color w:val="auto"/>
          <w:sz w:val="24"/>
          <w:highlight w:val="none"/>
        </w:rPr>
        <w:t>在规定的时间内作出必要的澄清、说明，供投标人澄清、说明时间不少于30分钟，投标人未在规定的时间内作出必要的澄清、说明可能导致对其不利的评定。</w:t>
      </w:r>
    </w:p>
    <w:p w14:paraId="3BD41641">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2.</w:t>
      </w:r>
      <w:r>
        <w:rPr>
          <w:rFonts w:ascii="宋体" w:hAnsi="宋体"/>
          <w:bCs/>
          <w:color w:val="auto"/>
          <w:sz w:val="24"/>
          <w:highlight w:val="none"/>
        </w:rPr>
        <w:t>投标人</w:t>
      </w:r>
      <w:r>
        <w:rPr>
          <w:rFonts w:hint="eastAsia" w:ascii="宋体" w:hAnsi="宋体"/>
          <w:bCs/>
          <w:color w:val="auto"/>
          <w:sz w:val="24"/>
          <w:highlight w:val="none"/>
        </w:rPr>
        <w:t>的澄清、说明应当通过“政府采购云平台”在线答复形式提交。</w:t>
      </w:r>
      <w:r>
        <w:rPr>
          <w:rFonts w:ascii="宋体" w:hAnsi="宋体"/>
          <w:bCs/>
          <w:color w:val="auto"/>
          <w:sz w:val="24"/>
          <w:highlight w:val="none"/>
        </w:rPr>
        <w:t>投标人</w:t>
      </w:r>
      <w:r>
        <w:rPr>
          <w:rFonts w:hint="eastAsia" w:ascii="宋体" w:hAnsi="宋体"/>
          <w:bCs/>
          <w:color w:val="auto"/>
          <w:sz w:val="24"/>
          <w:highlight w:val="none"/>
        </w:rPr>
        <w:t xml:space="preserve">的澄清、说明不得超出投标文件的范围或者改变投标文件的实质性内容。 </w:t>
      </w:r>
    </w:p>
    <w:p w14:paraId="3B94F45B">
      <w:pPr>
        <w:snapToGrid w:val="0"/>
        <w:spacing w:line="400" w:lineRule="exact"/>
        <w:ind w:firstLine="482" w:firstLineChars="200"/>
        <w:rPr>
          <w:rFonts w:ascii="宋体" w:hAnsi="宋体"/>
          <w:b/>
          <w:bCs/>
          <w:color w:val="auto"/>
          <w:sz w:val="24"/>
          <w:highlight w:val="none"/>
        </w:rPr>
      </w:pPr>
      <w:r>
        <w:rPr>
          <w:rFonts w:hint="eastAsia" w:ascii="宋体" w:hAnsi="宋体"/>
          <w:b/>
          <w:bCs/>
          <w:color w:val="auto"/>
          <w:sz w:val="24"/>
          <w:highlight w:val="none"/>
        </w:rPr>
        <w:t>（五）</w:t>
      </w:r>
      <w:r>
        <w:rPr>
          <w:rFonts w:ascii="宋体" w:hAnsi="宋体"/>
          <w:b/>
          <w:bCs/>
          <w:color w:val="auto"/>
          <w:sz w:val="24"/>
          <w:highlight w:val="none"/>
        </w:rPr>
        <w:t>有下列情形之一的，视为投标人相互串通投标：</w:t>
      </w:r>
    </w:p>
    <w:p w14:paraId="688855EA">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1.</w:t>
      </w:r>
      <w:r>
        <w:rPr>
          <w:rFonts w:ascii="宋体" w:hAnsi="宋体"/>
          <w:bCs/>
          <w:color w:val="auto"/>
          <w:sz w:val="24"/>
          <w:highlight w:val="none"/>
        </w:rPr>
        <w:t>不同投标人的投标文件由同一单位或者个人编制；</w:t>
      </w:r>
      <w:r>
        <w:rPr>
          <w:rFonts w:hint="eastAsia" w:ascii="宋体" w:hAnsi="宋体"/>
          <w:bCs/>
          <w:color w:val="auto"/>
          <w:sz w:val="24"/>
          <w:highlight w:val="none"/>
        </w:rPr>
        <w:t>不同投标人的投标文件从同一IP地址上传的；</w:t>
      </w:r>
    </w:p>
    <w:p w14:paraId="6B216697">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2.</w:t>
      </w:r>
      <w:r>
        <w:rPr>
          <w:rFonts w:ascii="宋体" w:hAnsi="宋体"/>
          <w:bCs/>
          <w:color w:val="auto"/>
          <w:sz w:val="24"/>
          <w:highlight w:val="none"/>
        </w:rPr>
        <w:t>不同投标人委托同一单位或者个人办理投标事宜；</w:t>
      </w:r>
    </w:p>
    <w:p w14:paraId="5D5739B8">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3.</w:t>
      </w:r>
      <w:r>
        <w:rPr>
          <w:rFonts w:ascii="宋体" w:hAnsi="宋体"/>
          <w:bCs/>
          <w:color w:val="auto"/>
          <w:sz w:val="24"/>
          <w:highlight w:val="none"/>
        </w:rPr>
        <w:t>不同投标人的投标文件载明的项目管理成员为同一人；</w:t>
      </w:r>
    </w:p>
    <w:p w14:paraId="5863287D">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4.</w:t>
      </w:r>
      <w:r>
        <w:rPr>
          <w:rFonts w:ascii="宋体" w:hAnsi="宋体"/>
          <w:bCs/>
          <w:color w:val="auto"/>
          <w:sz w:val="24"/>
          <w:highlight w:val="none"/>
        </w:rPr>
        <w:t>不同投标人的投标文件异常一致或者投标报价呈规律性差异。</w:t>
      </w:r>
    </w:p>
    <w:p w14:paraId="0E9BB4E3">
      <w:pPr>
        <w:snapToGrid w:val="0"/>
        <w:spacing w:line="400" w:lineRule="exact"/>
        <w:ind w:firstLine="480" w:firstLineChars="200"/>
        <w:rPr>
          <w:rFonts w:ascii="宋体" w:hAnsi="宋体"/>
          <w:bCs/>
          <w:color w:val="auto"/>
          <w:sz w:val="24"/>
          <w:highlight w:val="none"/>
        </w:rPr>
      </w:pPr>
      <w:r>
        <w:rPr>
          <w:rFonts w:ascii="宋体" w:hAnsi="宋体"/>
          <w:bCs/>
          <w:color w:val="auto"/>
          <w:sz w:val="24"/>
          <w:highlight w:val="none"/>
        </w:rPr>
        <w:t>经评标委员会认定投标人进行串通投标的，评标委员会可以对相关投标人</w:t>
      </w:r>
      <w:r>
        <w:rPr>
          <w:rFonts w:hint="eastAsia" w:ascii="宋体" w:hAnsi="宋体"/>
          <w:bCs/>
          <w:color w:val="auto"/>
          <w:sz w:val="24"/>
          <w:highlight w:val="none"/>
        </w:rPr>
        <w:t>作</w:t>
      </w:r>
      <w:r>
        <w:rPr>
          <w:rFonts w:ascii="宋体" w:hAnsi="宋体"/>
          <w:bCs/>
          <w:color w:val="auto"/>
          <w:sz w:val="24"/>
          <w:highlight w:val="none"/>
        </w:rPr>
        <w:t>出无效投标处理，并上报政府采购管理部门进行进一步处理。</w:t>
      </w:r>
    </w:p>
    <w:p w14:paraId="40CA4B47">
      <w:pPr>
        <w:snapToGrid w:val="0"/>
        <w:spacing w:line="400" w:lineRule="exact"/>
        <w:ind w:firstLine="482" w:firstLineChars="200"/>
        <w:rPr>
          <w:rFonts w:ascii="宋体" w:hAnsi="宋体"/>
          <w:b/>
          <w:bCs/>
          <w:color w:val="auto"/>
          <w:sz w:val="24"/>
          <w:highlight w:val="none"/>
        </w:rPr>
      </w:pPr>
      <w:r>
        <w:rPr>
          <w:rFonts w:hint="eastAsia" w:ascii="宋体" w:hAnsi="宋体"/>
          <w:b/>
          <w:bCs/>
          <w:color w:val="auto"/>
          <w:sz w:val="24"/>
          <w:highlight w:val="none"/>
        </w:rPr>
        <w:t>十、评标原则</w:t>
      </w:r>
    </w:p>
    <w:p w14:paraId="6BA475A2">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投标截止时或评审过程中有效投标人不足三家的，不予开标或评标。</w:t>
      </w:r>
    </w:p>
    <w:p w14:paraId="660A26B6">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评标委员会按照招标文件的要求和条件对投标文件进行商务和技术评估，综合比较与评价。评标办法具体见后。</w:t>
      </w:r>
    </w:p>
    <w:p w14:paraId="575A0297">
      <w:pPr>
        <w:snapToGrid w:val="0"/>
        <w:spacing w:line="400" w:lineRule="exact"/>
        <w:ind w:firstLine="482" w:firstLineChars="200"/>
        <w:rPr>
          <w:rFonts w:ascii="宋体" w:hAnsi="宋体"/>
          <w:b/>
          <w:bCs/>
          <w:color w:val="auto"/>
          <w:sz w:val="24"/>
          <w:highlight w:val="none"/>
        </w:rPr>
      </w:pPr>
      <w:r>
        <w:rPr>
          <w:rFonts w:hint="eastAsia" w:ascii="宋体" w:hAnsi="宋体"/>
          <w:b/>
          <w:bCs/>
          <w:color w:val="auto"/>
          <w:sz w:val="24"/>
          <w:highlight w:val="none"/>
        </w:rPr>
        <w:t>十一、可中止电子交易活动的情形</w:t>
      </w:r>
    </w:p>
    <w:p w14:paraId="05481E00">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采购过程中出现以下情形，导致电子交易平台无法正常运行，或者无法保证电子交易的公平、公正和安全时，采购组织机构可中止电子交易活动：</w:t>
      </w:r>
    </w:p>
    <w:p w14:paraId="0055CCC4">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（一）电子交易平台发生故障而无法登录访问的；</w:t>
      </w:r>
    </w:p>
    <w:p w14:paraId="5F55A705">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（二）电子交易平台应用或数据库出现错误，不能进行正常操作的；</w:t>
      </w:r>
    </w:p>
    <w:p w14:paraId="02C9204A">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（三）电子交易平台发现严重安全漏洞，有潜在泄密危险的；</w:t>
      </w:r>
    </w:p>
    <w:p w14:paraId="50417F3C">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（四）病毒发作导致不能进行正常操作的；</w:t>
      </w:r>
    </w:p>
    <w:p w14:paraId="0A7731AE">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（五）其他无法保证电子交易的公平、公正和安全的情况。</w:t>
      </w:r>
    </w:p>
    <w:p w14:paraId="1DEABE1C">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出现前款规定情形，不影响采购公平、公正性的，采购组织机构可以待上述情形消除后继续组织电子交易活动；影响或可能影响采购公平、公正性的，应当重新采购。</w:t>
      </w:r>
    </w:p>
    <w:p w14:paraId="72296B33">
      <w:pPr>
        <w:pStyle w:val="24"/>
        <w:snapToGrid w:val="0"/>
        <w:spacing w:beforeLines="0" w:afterLines="0"/>
        <w:ind w:firstLine="482" w:firstLineChars="200"/>
        <w:rPr>
          <w:rFonts w:hint="default" w:hAnsi="宋体" w:cs="宋体"/>
          <w:b/>
          <w:bCs/>
          <w:color w:val="auto"/>
          <w:sz w:val="24"/>
          <w:szCs w:val="24"/>
          <w:highlight w:val="none"/>
        </w:rPr>
      </w:pPr>
      <w:bookmarkStart w:id="5" w:name="_Toc132126156"/>
      <w:bookmarkStart w:id="6" w:name="_Toc132125576"/>
      <w:bookmarkStart w:id="7" w:name="_Toc132123549"/>
      <w:bookmarkStart w:id="8" w:name="_Toc132125153"/>
      <w:bookmarkStart w:id="9" w:name="_Toc132122121"/>
      <w:bookmarkStart w:id="10" w:name="_Toc132125985"/>
      <w:bookmarkStart w:id="11" w:name="_Toc132655778"/>
      <w:bookmarkStart w:id="12" w:name="_Toc132122418"/>
      <w:bookmarkStart w:id="13" w:name="_Toc132123441"/>
      <w:bookmarkStart w:id="14" w:name="_Toc132123883"/>
      <w:bookmarkStart w:id="15" w:name="_Toc132125097"/>
      <w:bookmarkStart w:id="16" w:name="_Toc132124596"/>
      <w:bookmarkStart w:id="17" w:name="_Toc132125039"/>
      <w:bookmarkStart w:id="18" w:name="_Toc132123840"/>
      <w:bookmarkStart w:id="19" w:name="_Toc132123636"/>
      <w:r>
        <w:rPr>
          <w:rFonts w:hAnsi="宋体" w:cs="宋体"/>
          <w:b/>
          <w:bCs/>
          <w:color w:val="auto"/>
          <w:sz w:val="24"/>
          <w:szCs w:val="24"/>
          <w:highlight w:val="none"/>
        </w:rPr>
        <w:t>十二、投标截止后投标人不足3家或者通过资格审查或符合性审查的投标人不足3家的，除采购任务取消情形外，按照以下方式处理：</w:t>
      </w:r>
    </w:p>
    <w:p w14:paraId="7DA0A303">
      <w:pPr>
        <w:pStyle w:val="24"/>
        <w:snapToGrid w:val="0"/>
        <w:spacing w:beforeLines="0" w:afterLines="0"/>
        <w:ind w:firstLine="480" w:firstLineChars="200"/>
        <w:rPr>
          <w:rFonts w:hint="default" w:hAnsi="宋体"/>
          <w:color w:val="auto"/>
          <w:sz w:val="24"/>
          <w:szCs w:val="24"/>
          <w:highlight w:val="none"/>
        </w:rPr>
      </w:pPr>
      <w:r>
        <w:rPr>
          <w:rFonts w:hAnsi="宋体"/>
          <w:color w:val="auto"/>
          <w:sz w:val="24"/>
          <w:szCs w:val="24"/>
          <w:highlight w:val="none"/>
        </w:rPr>
        <w:t>（一）招标文件存在不合理条款或者招标程序不符合规定的，改正后依法重新招标；</w:t>
      </w:r>
    </w:p>
    <w:p w14:paraId="19BE5819">
      <w:pPr>
        <w:pStyle w:val="24"/>
        <w:snapToGrid w:val="0"/>
        <w:spacing w:beforeLines="0" w:afterLines="0"/>
        <w:ind w:firstLine="480" w:firstLineChars="200"/>
        <w:rPr>
          <w:rFonts w:hint="default" w:hAnsi="宋体"/>
          <w:color w:val="auto"/>
          <w:sz w:val="24"/>
          <w:szCs w:val="24"/>
          <w:highlight w:val="none"/>
        </w:rPr>
      </w:pPr>
      <w:r>
        <w:rPr>
          <w:rFonts w:hAnsi="宋体"/>
          <w:color w:val="auto"/>
          <w:sz w:val="24"/>
          <w:szCs w:val="24"/>
          <w:highlight w:val="none"/>
        </w:rPr>
        <w:t>（二）招标文件没有不合理条款、招标程序符合规定，需要采用其他采购方式采购的，采购人应当依法报财政部门批准。</w:t>
      </w:r>
    </w:p>
    <w:p w14:paraId="0BD150CC">
      <w:pPr>
        <w:snapToGrid w:val="0"/>
        <w:spacing w:line="400" w:lineRule="exact"/>
        <w:ind w:firstLine="482" w:firstLineChars="200"/>
        <w:rPr>
          <w:rFonts w:ascii="宋体" w:hAnsi="宋体"/>
          <w:b/>
          <w:bCs/>
          <w:color w:val="auto"/>
          <w:sz w:val="24"/>
          <w:highlight w:val="none"/>
        </w:rPr>
      </w:pPr>
      <w:r>
        <w:rPr>
          <w:rFonts w:hint="eastAsia" w:ascii="宋体" w:hAnsi="宋体"/>
          <w:b/>
          <w:bCs/>
          <w:color w:val="auto"/>
          <w:sz w:val="24"/>
          <w:highlight w:val="none"/>
        </w:rPr>
        <w:t>十三、授予合同</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643E6E5">
      <w:pPr>
        <w:pStyle w:val="24"/>
        <w:snapToGrid w:val="0"/>
        <w:spacing w:beforeLines="0" w:afterLines="0"/>
        <w:ind w:firstLine="480" w:firstLineChars="200"/>
        <w:rPr>
          <w:rFonts w:hint="default" w:hAnsi="宋体"/>
          <w:color w:val="auto"/>
          <w:sz w:val="24"/>
          <w:szCs w:val="24"/>
          <w:highlight w:val="none"/>
        </w:rPr>
      </w:pPr>
      <w:r>
        <w:rPr>
          <w:rFonts w:hAnsi="宋体"/>
          <w:bCs/>
          <w:color w:val="auto"/>
          <w:sz w:val="24"/>
          <w:highlight w:val="none"/>
        </w:rPr>
        <w:t>（</w:t>
      </w:r>
      <w:r>
        <w:rPr>
          <w:rFonts w:hAnsi="宋体"/>
          <w:color w:val="auto"/>
          <w:sz w:val="24"/>
          <w:szCs w:val="24"/>
          <w:highlight w:val="none"/>
        </w:rPr>
        <w:t>一）中标条件</w:t>
      </w:r>
    </w:p>
    <w:p w14:paraId="71D4044E">
      <w:pPr>
        <w:pStyle w:val="24"/>
        <w:snapToGrid w:val="0"/>
        <w:spacing w:beforeLines="0" w:afterLines="0"/>
        <w:ind w:firstLine="480" w:firstLineChars="200"/>
        <w:rPr>
          <w:rFonts w:hint="default" w:hAnsi="宋体"/>
          <w:color w:val="auto"/>
          <w:sz w:val="24"/>
          <w:szCs w:val="24"/>
          <w:highlight w:val="none"/>
        </w:rPr>
      </w:pPr>
      <w:r>
        <w:rPr>
          <w:rFonts w:hAnsi="宋体"/>
          <w:color w:val="auto"/>
          <w:sz w:val="24"/>
          <w:szCs w:val="24"/>
          <w:highlight w:val="none"/>
        </w:rPr>
        <w:t>1.投标文件基本符合招标文件要求，能够最大限度满足招标文件中规定的各项综合评价标准；</w:t>
      </w:r>
    </w:p>
    <w:p w14:paraId="63B6D0B2">
      <w:pPr>
        <w:pStyle w:val="24"/>
        <w:snapToGrid w:val="0"/>
        <w:spacing w:beforeLines="0" w:afterLines="0"/>
        <w:ind w:firstLine="480" w:firstLineChars="200"/>
        <w:rPr>
          <w:rFonts w:hint="default" w:hAnsi="宋体"/>
          <w:color w:val="auto"/>
          <w:sz w:val="24"/>
          <w:szCs w:val="24"/>
          <w:highlight w:val="none"/>
        </w:rPr>
      </w:pPr>
      <w:r>
        <w:rPr>
          <w:rFonts w:hAnsi="宋体"/>
          <w:color w:val="auto"/>
          <w:sz w:val="24"/>
          <w:szCs w:val="24"/>
          <w:highlight w:val="none"/>
        </w:rPr>
        <w:t>2.投标人有很好的执行合同的能力；</w:t>
      </w:r>
    </w:p>
    <w:p w14:paraId="7531459F">
      <w:pPr>
        <w:pStyle w:val="24"/>
        <w:snapToGrid w:val="0"/>
        <w:spacing w:beforeLines="0" w:afterLines="0"/>
        <w:ind w:firstLine="480" w:firstLineChars="200"/>
        <w:rPr>
          <w:rFonts w:hint="default" w:hAnsi="宋体"/>
          <w:color w:val="auto"/>
          <w:sz w:val="24"/>
          <w:szCs w:val="24"/>
          <w:highlight w:val="none"/>
        </w:rPr>
      </w:pPr>
      <w:bookmarkStart w:id="20" w:name="_Toc132122419"/>
      <w:bookmarkStart w:id="21" w:name="_Toc132122122"/>
      <w:r>
        <w:rPr>
          <w:rFonts w:hAnsi="宋体"/>
          <w:color w:val="auto"/>
          <w:sz w:val="24"/>
          <w:szCs w:val="24"/>
          <w:highlight w:val="none"/>
        </w:rPr>
        <w:t>3.投标人能够提供质量技术、商务经济占综合优势的产品及服务；</w:t>
      </w:r>
      <w:bookmarkEnd w:id="20"/>
      <w:bookmarkEnd w:id="21"/>
    </w:p>
    <w:p w14:paraId="7EE71E2A">
      <w:pPr>
        <w:pStyle w:val="24"/>
        <w:snapToGrid w:val="0"/>
        <w:spacing w:beforeLines="0" w:afterLines="0"/>
        <w:ind w:firstLine="480" w:firstLineChars="200"/>
        <w:rPr>
          <w:rFonts w:hint="default" w:hAnsi="宋体"/>
          <w:color w:val="auto"/>
          <w:sz w:val="24"/>
          <w:szCs w:val="24"/>
          <w:highlight w:val="none"/>
        </w:rPr>
      </w:pPr>
      <w:r>
        <w:rPr>
          <w:rFonts w:hAnsi="宋体"/>
          <w:color w:val="auto"/>
          <w:sz w:val="24"/>
          <w:szCs w:val="24"/>
          <w:highlight w:val="none"/>
        </w:rPr>
        <w:t>4.中标人投标报价为中标价，作为中标人与采购人签订合同的合同价。</w:t>
      </w:r>
    </w:p>
    <w:p w14:paraId="30EB6282">
      <w:pPr>
        <w:pStyle w:val="24"/>
        <w:snapToGrid w:val="0"/>
        <w:spacing w:beforeLines="0" w:afterLines="0"/>
        <w:ind w:firstLine="480" w:firstLineChars="200"/>
        <w:rPr>
          <w:rFonts w:hint="default" w:hAnsi="宋体"/>
          <w:color w:val="auto"/>
          <w:sz w:val="24"/>
          <w:szCs w:val="24"/>
          <w:highlight w:val="none"/>
        </w:rPr>
      </w:pPr>
      <w:bookmarkStart w:id="22" w:name="_Toc132122420"/>
      <w:bookmarkStart w:id="23" w:name="_Toc132122123"/>
      <w:r>
        <w:rPr>
          <w:rFonts w:hAnsi="宋体"/>
          <w:color w:val="auto"/>
          <w:sz w:val="24"/>
          <w:szCs w:val="24"/>
          <w:highlight w:val="none"/>
        </w:rPr>
        <w:t>（二）中标通知</w:t>
      </w:r>
      <w:bookmarkEnd w:id="22"/>
      <w:bookmarkEnd w:id="23"/>
    </w:p>
    <w:p w14:paraId="30C808A0">
      <w:pPr>
        <w:pStyle w:val="24"/>
        <w:snapToGrid w:val="0"/>
        <w:spacing w:beforeLines="0" w:afterLines="0"/>
        <w:ind w:firstLine="480" w:firstLineChars="200"/>
        <w:rPr>
          <w:rFonts w:hint="default" w:hAnsi="宋体"/>
          <w:color w:val="auto"/>
          <w:sz w:val="24"/>
          <w:szCs w:val="24"/>
          <w:highlight w:val="none"/>
        </w:rPr>
      </w:pPr>
      <w:r>
        <w:rPr>
          <w:rFonts w:hAnsi="宋体"/>
          <w:color w:val="auto"/>
          <w:sz w:val="24"/>
          <w:szCs w:val="24"/>
          <w:highlight w:val="none"/>
        </w:rPr>
        <w:t>1.采购人依法确认中标人后，采购代理机构在浙江政府采购网公告中标结果，同时发出中标通知书，中标公告期限为1个工作日。</w:t>
      </w:r>
    </w:p>
    <w:p w14:paraId="3CB966DE">
      <w:pPr>
        <w:pStyle w:val="24"/>
        <w:snapToGrid w:val="0"/>
        <w:spacing w:beforeLines="0" w:afterLines="0"/>
        <w:ind w:firstLine="480" w:firstLineChars="200"/>
        <w:rPr>
          <w:rFonts w:hint="default" w:hAnsi="宋体"/>
          <w:color w:val="auto"/>
          <w:sz w:val="24"/>
          <w:szCs w:val="24"/>
          <w:highlight w:val="none"/>
        </w:rPr>
      </w:pPr>
      <w:r>
        <w:rPr>
          <w:rFonts w:hAnsi="宋体"/>
          <w:color w:val="auto"/>
          <w:sz w:val="24"/>
          <w:szCs w:val="24"/>
          <w:highlight w:val="none"/>
        </w:rPr>
        <w:t>2.中标通知书对采购单位和中标人具有法律约束力。中标通知书发出后，采购人改变中标结果或者中标人放弃中标的，应当承担法律责任。</w:t>
      </w:r>
    </w:p>
    <w:p w14:paraId="7DF7ED07">
      <w:pPr>
        <w:pStyle w:val="24"/>
        <w:snapToGrid w:val="0"/>
        <w:spacing w:beforeLines="0" w:afterLines="0"/>
        <w:ind w:firstLine="480" w:firstLineChars="200"/>
        <w:rPr>
          <w:rFonts w:hint="default" w:hAnsi="宋体"/>
          <w:color w:val="auto"/>
          <w:sz w:val="24"/>
          <w:szCs w:val="24"/>
          <w:highlight w:val="none"/>
        </w:rPr>
      </w:pPr>
      <w:r>
        <w:rPr>
          <w:rFonts w:hAnsi="宋体"/>
          <w:color w:val="auto"/>
          <w:sz w:val="24"/>
          <w:szCs w:val="24"/>
          <w:highlight w:val="none"/>
        </w:rPr>
        <w:t>3.中标无效</w:t>
      </w:r>
    </w:p>
    <w:p w14:paraId="3B022749">
      <w:pPr>
        <w:pStyle w:val="24"/>
        <w:snapToGrid w:val="0"/>
        <w:spacing w:beforeLines="0" w:afterLines="0"/>
        <w:ind w:firstLine="480" w:firstLineChars="200"/>
        <w:rPr>
          <w:rFonts w:hint="default" w:hAnsi="宋体"/>
          <w:color w:val="auto"/>
          <w:sz w:val="24"/>
          <w:szCs w:val="24"/>
          <w:highlight w:val="none"/>
        </w:rPr>
      </w:pPr>
      <w:r>
        <w:rPr>
          <w:rFonts w:hAnsi="宋体"/>
          <w:color w:val="auto"/>
          <w:sz w:val="24"/>
          <w:szCs w:val="24"/>
          <w:highlight w:val="none"/>
        </w:rPr>
        <w:t>（1）发现中标人资格无效或中标人放弃中标或拒绝与采购人签订合同的，按相关规定执行。</w:t>
      </w:r>
    </w:p>
    <w:p w14:paraId="06785432">
      <w:pPr>
        <w:pStyle w:val="24"/>
        <w:snapToGrid w:val="0"/>
        <w:spacing w:beforeLines="0" w:afterLines="0"/>
        <w:ind w:firstLine="480" w:firstLineChars="200"/>
        <w:rPr>
          <w:rFonts w:hint="default" w:hAnsi="宋体"/>
          <w:color w:val="auto"/>
          <w:sz w:val="24"/>
          <w:szCs w:val="24"/>
          <w:highlight w:val="none"/>
        </w:rPr>
      </w:pPr>
      <w:r>
        <w:rPr>
          <w:rFonts w:hAnsi="宋体"/>
          <w:color w:val="auto"/>
          <w:sz w:val="24"/>
          <w:szCs w:val="24"/>
          <w:highlight w:val="none"/>
        </w:rPr>
        <w:t>（2）有《中华人民共和国政府采购法实施条例》第七十一条、第七十二条、第七十三条、第七十四条规定的违法行为之一，由政府采购监管部门依法处理。</w:t>
      </w:r>
    </w:p>
    <w:p w14:paraId="446C9CE4">
      <w:pPr>
        <w:pStyle w:val="24"/>
        <w:snapToGrid w:val="0"/>
        <w:spacing w:beforeLines="0" w:afterLines="0"/>
        <w:ind w:firstLine="480" w:firstLineChars="200"/>
        <w:rPr>
          <w:rFonts w:hint="default" w:hAnsi="宋体"/>
          <w:color w:val="auto"/>
          <w:sz w:val="24"/>
          <w:szCs w:val="24"/>
          <w:highlight w:val="none"/>
        </w:rPr>
      </w:pPr>
      <w:bookmarkStart w:id="24" w:name="_Toc132122421"/>
      <w:bookmarkStart w:id="25" w:name="_Toc132122124"/>
      <w:r>
        <w:rPr>
          <w:rFonts w:hAnsi="宋体"/>
          <w:color w:val="auto"/>
          <w:sz w:val="24"/>
          <w:szCs w:val="24"/>
          <w:highlight w:val="none"/>
        </w:rPr>
        <w:t>（三）签订合同</w:t>
      </w:r>
      <w:bookmarkEnd w:id="24"/>
      <w:bookmarkEnd w:id="25"/>
    </w:p>
    <w:p w14:paraId="2F1E9907">
      <w:pPr>
        <w:pStyle w:val="24"/>
        <w:snapToGrid w:val="0"/>
        <w:spacing w:beforeLines="0" w:afterLines="0"/>
        <w:ind w:firstLine="480" w:firstLineChars="200"/>
        <w:rPr>
          <w:rFonts w:hint="default" w:hAnsi="宋体"/>
          <w:color w:val="auto"/>
          <w:sz w:val="24"/>
          <w:szCs w:val="24"/>
          <w:highlight w:val="none"/>
        </w:rPr>
      </w:pPr>
      <w:r>
        <w:rPr>
          <w:rFonts w:hAnsi="宋体"/>
          <w:color w:val="auto"/>
          <w:sz w:val="24"/>
          <w:szCs w:val="24"/>
          <w:highlight w:val="none"/>
        </w:rPr>
        <w:t>1.除不可抗力等特殊情况外，采购人原则上应当在中标通知书发出之日起20日内，与中标人按照采购文件确定的事项签订政府采购合同，并在签订之日起2个工作日内将政府采购合同在浙江政府采购网上公告。</w:t>
      </w:r>
    </w:p>
    <w:p w14:paraId="5171C74D">
      <w:pPr>
        <w:pStyle w:val="24"/>
        <w:snapToGrid w:val="0"/>
        <w:spacing w:beforeLines="0" w:afterLines="0"/>
        <w:ind w:firstLine="480" w:firstLineChars="200"/>
        <w:rPr>
          <w:rFonts w:hint="default" w:hAnsi="宋体"/>
          <w:color w:val="auto"/>
          <w:sz w:val="24"/>
          <w:szCs w:val="24"/>
          <w:highlight w:val="none"/>
        </w:rPr>
      </w:pPr>
      <w:r>
        <w:rPr>
          <w:rFonts w:hAnsi="宋体"/>
          <w:color w:val="auto"/>
          <w:sz w:val="24"/>
          <w:szCs w:val="24"/>
          <w:highlight w:val="none"/>
        </w:rPr>
        <w:t>2.中标人</w:t>
      </w:r>
      <w:r>
        <w:rPr>
          <w:rFonts w:hAnsi="宋体"/>
          <w:color w:val="auto"/>
          <w:sz w:val="24"/>
          <w:szCs w:val="24"/>
          <w:highlight w:val="none"/>
          <w:lang w:val="zh-CN"/>
        </w:rPr>
        <w:t>按规定的日期、时间、地点，由法定代表人或其授权代表与采购人代表签订合同。如</w:t>
      </w:r>
      <w:r>
        <w:rPr>
          <w:rFonts w:hAnsi="宋体"/>
          <w:color w:val="auto"/>
          <w:sz w:val="24"/>
          <w:szCs w:val="24"/>
          <w:highlight w:val="none"/>
        </w:rPr>
        <w:t>中标人</w:t>
      </w:r>
      <w:r>
        <w:rPr>
          <w:rFonts w:hAnsi="宋体"/>
          <w:color w:val="auto"/>
          <w:sz w:val="24"/>
          <w:szCs w:val="24"/>
          <w:highlight w:val="none"/>
          <w:lang w:val="zh-CN"/>
        </w:rPr>
        <w:t>为联合体的，由联合体成员各方法定代表人或其授权代表与采购人代表签订合同。</w:t>
      </w:r>
    </w:p>
    <w:p w14:paraId="38E2F440">
      <w:pPr>
        <w:pStyle w:val="24"/>
        <w:snapToGrid w:val="0"/>
        <w:spacing w:beforeLines="0" w:afterLines="0"/>
        <w:ind w:firstLine="480" w:firstLineChars="200"/>
        <w:rPr>
          <w:rFonts w:hint="default" w:hAnsi="宋体"/>
          <w:color w:val="auto"/>
          <w:sz w:val="24"/>
          <w:szCs w:val="24"/>
          <w:highlight w:val="none"/>
        </w:rPr>
      </w:pPr>
      <w:r>
        <w:rPr>
          <w:rFonts w:hAnsi="宋体"/>
          <w:color w:val="auto"/>
          <w:sz w:val="24"/>
          <w:szCs w:val="24"/>
          <w:highlight w:val="none"/>
        </w:rPr>
        <w:t>3.如签订合同并生效后，供应商无故拒绝或延期，除按照合同条款处理外，列入不良行为记录一次，并给予通报。</w:t>
      </w:r>
    </w:p>
    <w:p w14:paraId="12C717CA">
      <w:pPr>
        <w:pStyle w:val="24"/>
        <w:snapToGrid w:val="0"/>
        <w:spacing w:beforeLines="0" w:afterLines="0"/>
        <w:ind w:firstLine="480" w:firstLineChars="200"/>
        <w:rPr>
          <w:rFonts w:hint="default" w:hAnsi="宋体"/>
          <w:color w:val="auto"/>
          <w:sz w:val="24"/>
          <w:szCs w:val="24"/>
          <w:highlight w:val="none"/>
        </w:rPr>
      </w:pPr>
      <w:r>
        <w:rPr>
          <w:rFonts w:hAnsi="宋体"/>
          <w:color w:val="auto"/>
          <w:sz w:val="24"/>
          <w:szCs w:val="24"/>
          <w:highlight w:val="none"/>
        </w:rPr>
        <w:t>4.中标人拒绝与采购人签订合同的，采购人可以按照评审报告推荐的中标或者成交候选人名单排序，确定下一候选人为成交人，也可以重新开展政府采购活动。</w:t>
      </w:r>
    </w:p>
    <w:p w14:paraId="76BD65D9">
      <w:pPr>
        <w:pStyle w:val="24"/>
        <w:snapToGrid w:val="0"/>
        <w:spacing w:beforeLines="0" w:afterLines="0"/>
        <w:ind w:firstLine="480" w:firstLineChars="200"/>
        <w:rPr>
          <w:rFonts w:hint="default" w:hAnsi="宋体"/>
          <w:color w:val="auto"/>
          <w:sz w:val="24"/>
          <w:szCs w:val="24"/>
          <w:highlight w:val="none"/>
        </w:rPr>
      </w:pPr>
      <w:r>
        <w:rPr>
          <w:rFonts w:hAnsi="宋体"/>
          <w:color w:val="auto"/>
          <w:sz w:val="24"/>
          <w:szCs w:val="24"/>
          <w:highlight w:val="none"/>
        </w:rPr>
        <w:t>5.采购合同由采购人与中标人根据采购文件等内容通过政府采购电子交易平台在线签订，自动备案。</w:t>
      </w:r>
    </w:p>
    <w:p w14:paraId="5A2A7985">
      <w:pPr>
        <w:pStyle w:val="24"/>
        <w:snapToGrid w:val="0"/>
        <w:spacing w:beforeLines="0" w:afterLines="0"/>
        <w:ind w:firstLine="480" w:firstLineChars="200"/>
        <w:rPr>
          <w:rFonts w:hint="default" w:hAnsi="宋体"/>
          <w:color w:val="auto"/>
          <w:sz w:val="24"/>
          <w:szCs w:val="24"/>
          <w:highlight w:val="none"/>
        </w:rPr>
      </w:pPr>
      <w:r>
        <w:rPr>
          <w:rFonts w:hAnsi="宋体"/>
          <w:color w:val="auto"/>
          <w:sz w:val="24"/>
          <w:szCs w:val="24"/>
          <w:highlight w:val="none"/>
        </w:rPr>
        <w:t>6.政府采购货物和服务项目不得收取质量保证金。政府采购工程以及与工程建设有关的货物、服务，采用招标方式采购的，按国家和省有关规定执行。</w:t>
      </w:r>
    </w:p>
    <w:p w14:paraId="225E0B77">
      <w:pPr>
        <w:pStyle w:val="24"/>
        <w:snapToGrid w:val="0"/>
        <w:spacing w:beforeLines="0" w:afterLines="0"/>
        <w:ind w:firstLine="480" w:firstLineChars="200"/>
        <w:rPr>
          <w:rFonts w:hint="default" w:hAnsi="宋体"/>
          <w:color w:val="auto"/>
          <w:sz w:val="24"/>
          <w:szCs w:val="24"/>
          <w:highlight w:val="none"/>
        </w:rPr>
      </w:pPr>
      <w:r>
        <w:rPr>
          <w:rFonts w:hAnsi="宋体"/>
          <w:color w:val="auto"/>
          <w:sz w:val="24"/>
          <w:szCs w:val="24"/>
          <w:highlight w:val="none"/>
          <w:lang w:val="zh-CN"/>
        </w:rPr>
        <w:t>（四）</w:t>
      </w:r>
      <w:r>
        <w:rPr>
          <w:rFonts w:hAnsi="宋体"/>
          <w:color w:val="auto"/>
          <w:sz w:val="24"/>
          <w:szCs w:val="24"/>
          <w:highlight w:val="none"/>
        </w:rPr>
        <w:t>履约保证金</w:t>
      </w:r>
    </w:p>
    <w:p w14:paraId="09753832">
      <w:pPr>
        <w:pStyle w:val="24"/>
        <w:snapToGrid w:val="0"/>
        <w:spacing w:beforeLines="0" w:afterLines="0"/>
        <w:ind w:firstLine="480" w:firstLineChars="200"/>
        <w:rPr>
          <w:rFonts w:hint="default" w:hAnsi="宋体"/>
          <w:color w:val="auto"/>
          <w:sz w:val="24"/>
          <w:szCs w:val="24"/>
          <w:highlight w:val="none"/>
        </w:rPr>
      </w:pPr>
      <w:r>
        <w:rPr>
          <w:rFonts w:hAnsi="宋体"/>
          <w:color w:val="auto"/>
          <w:sz w:val="24"/>
          <w:szCs w:val="24"/>
          <w:highlight w:val="none"/>
        </w:rPr>
        <w:t>项目需求中要求供应商提交履约保证金的，供应商应当以支票、汇票、本票或者金融机构、担保机构出具的保函等非现金形式提交。履约保证金的数额不得超过政府采购合同金额的1%。鼓励和支持供应商以履约保函形式提供履约保证金。</w:t>
      </w:r>
    </w:p>
    <w:p w14:paraId="6A532373">
      <w:pPr>
        <w:pStyle w:val="24"/>
        <w:snapToGrid w:val="0"/>
        <w:spacing w:beforeLines="0" w:afterLines="0"/>
        <w:ind w:firstLine="480" w:firstLineChars="200"/>
        <w:rPr>
          <w:rFonts w:hint="default" w:hAnsi="宋体"/>
          <w:color w:val="auto"/>
          <w:sz w:val="24"/>
          <w:szCs w:val="24"/>
          <w:highlight w:val="none"/>
        </w:rPr>
      </w:pPr>
      <w:r>
        <w:rPr>
          <w:rFonts w:hAnsi="宋体"/>
          <w:color w:val="auto"/>
          <w:sz w:val="24"/>
          <w:szCs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3BC1B37">
      <w:pPr>
        <w:pStyle w:val="24"/>
        <w:snapToGrid w:val="0"/>
        <w:spacing w:beforeLines="0" w:afterLines="0"/>
        <w:ind w:firstLine="480" w:firstLineChars="200"/>
        <w:rPr>
          <w:rFonts w:hint="default" w:hAnsi="宋体"/>
          <w:color w:val="auto"/>
          <w:sz w:val="24"/>
          <w:szCs w:val="24"/>
          <w:highlight w:val="none"/>
        </w:rPr>
      </w:pPr>
      <w:r>
        <w:rPr>
          <w:rFonts w:hAnsi="宋体"/>
          <w:color w:val="auto"/>
          <w:sz w:val="24"/>
          <w:szCs w:val="24"/>
          <w:highlight w:val="none"/>
        </w:rPr>
        <w:t>（五）预付款</w:t>
      </w:r>
    </w:p>
    <w:p w14:paraId="68857A98">
      <w:pPr>
        <w:pStyle w:val="24"/>
        <w:snapToGrid w:val="0"/>
        <w:spacing w:beforeLines="0" w:afterLines="0"/>
        <w:ind w:firstLine="480" w:firstLineChars="200"/>
        <w:rPr>
          <w:rFonts w:hint="default" w:hAnsi="宋体"/>
          <w:color w:val="auto"/>
          <w:sz w:val="24"/>
          <w:szCs w:val="24"/>
          <w:highlight w:val="none"/>
        </w:rPr>
      </w:pPr>
      <w:r>
        <w:rPr>
          <w:rFonts w:hAnsi="宋体"/>
          <w:color w:val="auto"/>
          <w:sz w:val="24"/>
          <w:szCs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30%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w:t>
      </w:r>
    </w:p>
    <w:p w14:paraId="1D782673">
      <w:pPr>
        <w:pStyle w:val="24"/>
        <w:numPr>
          <w:ilvl w:val="0"/>
          <w:numId w:val="7"/>
        </w:numPr>
        <w:snapToGrid w:val="0"/>
        <w:spacing w:beforeLines="0" w:afterLines="0"/>
        <w:ind w:firstLine="480" w:firstLineChars="200"/>
        <w:rPr>
          <w:rFonts w:hint="default" w:hAnsi="宋体"/>
          <w:color w:val="auto"/>
          <w:sz w:val="24"/>
          <w:szCs w:val="24"/>
          <w:highlight w:val="none"/>
          <w:lang w:val="zh-CN"/>
        </w:rPr>
      </w:pPr>
      <w:r>
        <w:rPr>
          <w:rFonts w:hAnsi="宋体"/>
          <w:color w:val="auto"/>
          <w:sz w:val="24"/>
          <w:szCs w:val="24"/>
          <w:highlight w:val="none"/>
          <w:lang w:val="zh-CN"/>
        </w:rPr>
        <w:t>验收</w:t>
      </w:r>
    </w:p>
    <w:p w14:paraId="53E6010B">
      <w:pPr>
        <w:pStyle w:val="24"/>
        <w:snapToGrid w:val="0"/>
        <w:spacing w:beforeLines="0" w:afterLines="0"/>
        <w:ind w:firstLine="480" w:firstLineChars="200"/>
        <w:rPr>
          <w:rFonts w:hint="default" w:hAnsi="宋体"/>
          <w:color w:val="auto"/>
          <w:sz w:val="24"/>
          <w:szCs w:val="24"/>
          <w:highlight w:val="none"/>
        </w:rPr>
      </w:pPr>
      <w:r>
        <w:rPr>
          <w:rFonts w:hAnsi="宋体"/>
          <w:color w:val="auto"/>
          <w:sz w:val="24"/>
          <w:szCs w:val="24"/>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6C0DC79">
      <w:pPr>
        <w:pStyle w:val="24"/>
        <w:snapToGrid w:val="0"/>
        <w:spacing w:beforeLines="0" w:afterLines="0"/>
        <w:ind w:firstLine="480" w:firstLineChars="200"/>
        <w:rPr>
          <w:rFonts w:hint="default" w:hAnsi="宋体"/>
          <w:color w:val="auto"/>
          <w:sz w:val="24"/>
          <w:szCs w:val="24"/>
          <w:highlight w:val="none"/>
        </w:rPr>
      </w:pPr>
      <w:r>
        <w:rPr>
          <w:rFonts w:hAnsi="宋体"/>
          <w:color w:val="auto"/>
          <w:sz w:val="24"/>
          <w:szCs w:val="24"/>
          <w:highlight w:val="none"/>
        </w:rPr>
        <w:t>2.采购人可以邀请参加本项目的其他供应商或者第三方机构参与验收。参与验收的供应商或者第三方机构的意见作为验收书的参考资料一并存档。</w:t>
      </w:r>
    </w:p>
    <w:p w14:paraId="7DC37DAF">
      <w:pPr>
        <w:pStyle w:val="24"/>
        <w:snapToGrid w:val="0"/>
        <w:spacing w:beforeLines="0" w:afterLines="0"/>
        <w:ind w:firstLine="480" w:firstLineChars="200"/>
        <w:rPr>
          <w:rFonts w:hint="default" w:hAnsi="宋体"/>
          <w:color w:val="auto"/>
          <w:sz w:val="24"/>
          <w:szCs w:val="24"/>
          <w:highlight w:val="none"/>
        </w:rPr>
      </w:pPr>
      <w:r>
        <w:rPr>
          <w:rFonts w:hAnsi="宋体"/>
          <w:color w:val="auto"/>
          <w:sz w:val="24"/>
          <w:szCs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7B9B42B">
      <w:pPr>
        <w:pStyle w:val="24"/>
        <w:snapToGrid w:val="0"/>
        <w:spacing w:beforeLines="0" w:afterLines="0"/>
        <w:ind w:firstLine="480" w:firstLineChars="200"/>
        <w:rPr>
          <w:rFonts w:hint="default" w:hAnsi="宋体"/>
          <w:color w:val="auto"/>
          <w:sz w:val="24"/>
          <w:szCs w:val="24"/>
          <w:highlight w:val="none"/>
        </w:rPr>
      </w:pPr>
      <w:r>
        <w:rPr>
          <w:rFonts w:hAnsi="宋体"/>
          <w:color w:val="auto"/>
          <w:sz w:val="24"/>
          <w:szCs w:val="24"/>
          <w:highlight w:val="none"/>
        </w:rPr>
        <w:t>4.采购人原则上应当在履约验收之日起2个工作日内，将履约验收结果在浙江政府采购网上公告。</w:t>
      </w:r>
    </w:p>
    <w:p w14:paraId="116F5A9E">
      <w:pPr>
        <w:pStyle w:val="24"/>
        <w:snapToGrid w:val="0"/>
        <w:spacing w:beforeLines="0" w:afterLines="0"/>
        <w:ind w:firstLine="480" w:firstLineChars="200"/>
        <w:rPr>
          <w:rFonts w:hint="default" w:hAnsi="宋体"/>
          <w:color w:val="auto"/>
          <w:sz w:val="24"/>
          <w:szCs w:val="24"/>
          <w:highlight w:val="none"/>
        </w:rPr>
      </w:pPr>
      <w:r>
        <w:rPr>
          <w:rFonts w:hAnsi="宋体"/>
          <w:color w:val="auto"/>
          <w:sz w:val="24"/>
          <w:szCs w:val="24"/>
          <w:highlight w:val="none"/>
        </w:rPr>
        <w:t>5.验收合格的项目，采购人将根据采购合同的约定及时向供应商支付采购资金、退还履约保证金。</w:t>
      </w:r>
    </w:p>
    <w:p w14:paraId="32636787">
      <w:pPr>
        <w:pStyle w:val="24"/>
        <w:snapToGrid w:val="0"/>
        <w:spacing w:beforeLines="0" w:afterLines="0"/>
        <w:ind w:firstLine="480" w:firstLineChars="200"/>
        <w:rPr>
          <w:rFonts w:hint="default" w:hAnsi="宋体"/>
          <w:color w:val="auto"/>
          <w:sz w:val="24"/>
          <w:szCs w:val="24"/>
          <w:highlight w:val="none"/>
        </w:rPr>
      </w:pPr>
      <w:r>
        <w:rPr>
          <w:rFonts w:hAnsi="宋体"/>
          <w:color w:val="auto"/>
          <w:sz w:val="24"/>
          <w:szCs w:val="24"/>
          <w:highlight w:val="none"/>
        </w:rPr>
        <w:t>6.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D04B95B">
      <w:pPr>
        <w:pStyle w:val="24"/>
        <w:snapToGrid w:val="0"/>
        <w:spacing w:beforeLines="0" w:afterLines="0"/>
        <w:ind w:firstLine="480" w:firstLineChars="200"/>
        <w:rPr>
          <w:rFonts w:hint="default" w:hAnsi="宋体"/>
          <w:color w:val="auto"/>
          <w:sz w:val="24"/>
          <w:szCs w:val="24"/>
          <w:highlight w:val="none"/>
        </w:rPr>
      </w:pPr>
      <w:r>
        <w:rPr>
          <w:rFonts w:hAnsi="宋体"/>
          <w:color w:val="auto"/>
          <w:sz w:val="24"/>
          <w:szCs w:val="24"/>
          <w:highlight w:val="none"/>
          <w:lang w:val="zh-CN"/>
        </w:rPr>
        <w:t>（七）</w:t>
      </w:r>
      <w:r>
        <w:rPr>
          <w:rFonts w:hAnsi="宋体"/>
          <w:color w:val="auto"/>
          <w:sz w:val="24"/>
          <w:szCs w:val="24"/>
          <w:highlight w:val="none"/>
        </w:rPr>
        <w:t>资金支付</w:t>
      </w:r>
    </w:p>
    <w:p w14:paraId="702A11BE">
      <w:pPr>
        <w:pStyle w:val="24"/>
        <w:snapToGrid w:val="0"/>
        <w:spacing w:beforeLines="0" w:afterLines="0"/>
        <w:ind w:firstLine="480" w:firstLineChars="200"/>
        <w:rPr>
          <w:rFonts w:hint="default" w:hAnsi="宋体"/>
          <w:color w:val="auto"/>
          <w:sz w:val="24"/>
          <w:szCs w:val="24"/>
          <w:highlight w:val="none"/>
        </w:rPr>
      </w:pPr>
      <w:r>
        <w:rPr>
          <w:rFonts w:hAnsi="宋体"/>
          <w:color w:val="auto"/>
          <w:sz w:val="24"/>
          <w:szCs w:val="24"/>
          <w:highlight w:val="none"/>
        </w:rPr>
        <w:t>采购单位应当及时组织项目验收，不得以政府部门审计作为支付供应商款项的条件。采购单位对于满足合同约定支付条件的，自收到发票后7个工作日内将资金支付到合同约定的供应商账户。采购单位不得以机构变动、人员更替、政策调整、单位放假、履行内部付款流程，或者在合同未作约定的情况下以等待竣工验收批复、决算审计等为由迟延付。</w:t>
      </w:r>
    </w:p>
    <w:p w14:paraId="58FAB44F">
      <w:pPr>
        <w:pStyle w:val="24"/>
        <w:snapToGrid w:val="0"/>
        <w:spacing w:beforeLines="0" w:afterLines="0" w:line="240" w:lineRule="auto"/>
        <w:rPr>
          <w:rFonts w:hint="default" w:ascii="黑体" w:hAnsi="宋体" w:eastAsia="黑体"/>
          <w:color w:val="auto"/>
          <w:sz w:val="30"/>
          <w:szCs w:val="30"/>
          <w:highlight w:val="none"/>
        </w:rPr>
      </w:pPr>
      <w:r>
        <w:rPr>
          <w:rFonts w:hAnsi="宋体"/>
          <w:color w:val="auto"/>
          <w:sz w:val="24"/>
          <w:szCs w:val="24"/>
          <w:highlight w:val="none"/>
          <w:lang w:val="zh-CN"/>
        </w:rPr>
        <w:br w:type="page"/>
      </w:r>
    </w:p>
    <w:p w14:paraId="7A8910BE">
      <w:pPr>
        <w:pStyle w:val="24"/>
        <w:numPr>
          <w:ilvl w:val="0"/>
          <w:numId w:val="6"/>
        </w:numPr>
        <w:snapToGrid w:val="0"/>
        <w:spacing w:before="120" w:after="120" w:line="240" w:lineRule="auto"/>
        <w:jc w:val="center"/>
        <w:outlineLvl w:val="0"/>
        <w:rPr>
          <w:rFonts w:hint="default" w:hAnsi="宋体" w:cs="宋体"/>
          <w:b/>
          <w:color w:val="auto"/>
          <w:sz w:val="30"/>
          <w:szCs w:val="30"/>
          <w:highlight w:val="none"/>
        </w:rPr>
      </w:pPr>
      <w:r>
        <w:rPr>
          <w:rFonts w:hAnsi="宋体" w:cs="宋体"/>
          <w:b/>
          <w:color w:val="auto"/>
          <w:sz w:val="30"/>
          <w:szCs w:val="30"/>
          <w:highlight w:val="none"/>
        </w:rPr>
        <w:t xml:space="preserve"> 政府采购政策功能相关说明</w:t>
      </w:r>
    </w:p>
    <w:p w14:paraId="1A566FEA">
      <w:pPr>
        <w:pStyle w:val="24"/>
        <w:snapToGrid w:val="0"/>
        <w:spacing w:beforeLines="0" w:afterLines="0" w:line="240" w:lineRule="auto"/>
        <w:ind w:firstLine="480" w:firstLineChars="200"/>
        <w:rPr>
          <w:rFonts w:hint="default" w:hAnsi="宋体"/>
          <w:color w:val="auto"/>
          <w:sz w:val="24"/>
          <w:szCs w:val="24"/>
          <w:highlight w:val="none"/>
        </w:rPr>
      </w:pPr>
    </w:p>
    <w:p w14:paraId="6B9A6CB3">
      <w:pPr>
        <w:pStyle w:val="24"/>
        <w:snapToGrid w:val="0"/>
        <w:spacing w:beforeLines="0" w:afterLines="0" w:line="440" w:lineRule="exact"/>
        <w:ind w:firstLine="482" w:firstLineChars="200"/>
        <w:rPr>
          <w:rFonts w:hint="default" w:hAnsi="宋体"/>
          <w:b/>
          <w:color w:val="auto"/>
          <w:sz w:val="24"/>
          <w:szCs w:val="24"/>
          <w:highlight w:val="none"/>
        </w:rPr>
      </w:pPr>
      <w:r>
        <w:rPr>
          <w:rFonts w:hAnsi="宋体"/>
          <w:b/>
          <w:color w:val="auto"/>
          <w:sz w:val="24"/>
          <w:szCs w:val="24"/>
          <w:highlight w:val="none"/>
        </w:rPr>
        <w:t xml:space="preserve"> 一、文件依据</w:t>
      </w:r>
    </w:p>
    <w:p w14:paraId="61FE194B">
      <w:pPr>
        <w:pStyle w:val="24"/>
        <w:snapToGrid w:val="0"/>
        <w:spacing w:beforeLines="0" w:afterLines="0" w:line="440" w:lineRule="exact"/>
        <w:ind w:firstLine="480" w:firstLineChars="200"/>
        <w:rPr>
          <w:rFonts w:hint="default" w:hAnsi="宋体"/>
          <w:color w:val="auto"/>
          <w:sz w:val="24"/>
          <w:szCs w:val="24"/>
          <w:highlight w:val="none"/>
        </w:rPr>
      </w:pPr>
      <w:r>
        <w:rPr>
          <w:rFonts w:hAnsi="宋体"/>
          <w:color w:val="auto"/>
          <w:sz w:val="24"/>
          <w:szCs w:val="24"/>
          <w:highlight w:val="none"/>
        </w:rPr>
        <w:t>（1）关于印发《政府采购促进中小企业发展管理办法》的通知（财库[2020]46号）</w:t>
      </w:r>
    </w:p>
    <w:p w14:paraId="6CC1F850">
      <w:pPr>
        <w:pStyle w:val="24"/>
        <w:snapToGrid w:val="0"/>
        <w:spacing w:beforeLines="0" w:afterLines="0" w:line="440" w:lineRule="exact"/>
        <w:ind w:firstLine="480" w:firstLineChars="200"/>
        <w:rPr>
          <w:rFonts w:hint="default" w:hAnsi="宋体"/>
          <w:color w:val="auto"/>
          <w:sz w:val="24"/>
          <w:szCs w:val="24"/>
          <w:highlight w:val="none"/>
        </w:rPr>
      </w:pPr>
      <w:r>
        <w:rPr>
          <w:rFonts w:hAnsi="宋体"/>
          <w:color w:val="auto"/>
          <w:sz w:val="24"/>
          <w:szCs w:val="24"/>
          <w:highlight w:val="none"/>
        </w:rPr>
        <w:t>（2）财政部《政府采购促进中小企业发展政策问答》</w:t>
      </w:r>
    </w:p>
    <w:p w14:paraId="4ABC0904">
      <w:pPr>
        <w:pStyle w:val="24"/>
        <w:snapToGrid w:val="0"/>
        <w:spacing w:beforeLines="0" w:afterLines="0" w:line="440" w:lineRule="exact"/>
        <w:ind w:firstLine="480" w:firstLineChars="200"/>
        <w:rPr>
          <w:rFonts w:hint="default" w:hAnsi="宋体"/>
          <w:color w:val="auto"/>
          <w:sz w:val="24"/>
          <w:szCs w:val="24"/>
          <w:highlight w:val="none"/>
        </w:rPr>
      </w:pPr>
      <w:r>
        <w:rPr>
          <w:rFonts w:hAnsi="宋体"/>
          <w:color w:val="auto"/>
          <w:sz w:val="24"/>
          <w:szCs w:val="24"/>
          <w:highlight w:val="none"/>
        </w:rPr>
        <w:t>（3）浙江省省财政厅《关于开展政府采购供应商网上注册登记和诚信管理工作的通知》（浙财采监〔2010〕8号）</w:t>
      </w:r>
    </w:p>
    <w:p w14:paraId="1CA685BD">
      <w:pPr>
        <w:pStyle w:val="24"/>
        <w:snapToGrid w:val="0"/>
        <w:spacing w:beforeLines="0" w:afterLines="0" w:line="440" w:lineRule="exact"/>
        <w:ind w:firstLine="480" w:firstLineChars="200"/>
        <w:rPr>
          <w:rFonts w:hint="default" w:hAnsi="宋体"/>
          <w:color w:val="auto"/>
          <w:sz w:val="24"/>
          <w:szCs w:val="24"/>
          <w:highlight w:val="none"/>
        </w:rPr>
      </w:pPr>
      <w:r>
        <w:rPr>
          <w:rFonts w:hAnsi="宋体"/>
          <w:color w:val="auto"/>
          <w:sz w:val="24"/>
          <w:szCs w:val="24"/>
          <w:highlight w:val="none"/>
        </w:rPr>
        <w:t>（4）《工业和信息化部、国家统计局、国家发展和改革委员会、财政部关于印发中小企业划型标准规定的通知》（工信部联企业[2011]300号）</w:t>
      </w:r>
    </w:p>
    <w:p w14:paraId="7CA7F1ED">
      <w:pPr>
        <w:pStyle w:val="24"/>
        <w:snapToGrid w:val="0"/>
        <w:spacing w:beforeLines="0" w:afterLines="0" w:line="440" w:lineRule="exact"/>
        <w:ind w:firstLine="480" w:firstLineChars="200"/>
        <w:rPr>
          <w:rFonts w:hint="default" w:hAnsi="宋体"/>
          <w:color w:val="auto"/>
          <w:sz w:val="24"/>
          <w:szCs w:val="24"/>
          <w:highlight w:val="none"/>
        </w:rPr>
      </w:pPr>
      <w:r>
        <w:rPr>
          <w:rFonts w:hAnsi="宋体"/>
          <w:color w:val="auto"/>
          <w:sz w:val="24"/>
          <w:szCs w:val="24"/>
          <w:highlight w:val="none"/>
        </w:rPr>
        <w:t>（5）财政部、司法部《关于政府采购支持监狱企业发展有关问题的通知》（财库〔2014〕68号）</w:t>
      </w:r>
    </w:p>
    <w:p w14:paraId="65C84228">
      <w:pPr>
        <w:pStyle w:val="24"/>
        <w:snapToGrid w:val="0"/>
        <w:spacing w:beforeLines="0" w:afterLines="0" w:line="440" w:lineRule="exact"/>
        <w:ind w:firstLine="480" w:firstLineChars="200"/>
        <w:rPr>
          <w:rFonts w:hint="default" w:hAnsi="宋体"/>
          <w:color w:val="auto"/>
          <w:sz w:val="24"/>
          <w:szCs w:val="24"/>
          <w:highlight w:val="none"/>
        </w:rPr>
      </w:pPr>
      <w:r>
        <w:rPr>
          <w:rFonts w:hAnsi="宋体"/>
          <w:color w:val="auto"/>
          <w:sz w:val="24"/>
          <w:szCs w:val="24"/>
          <w:highlight w:val="none"/>
        </w:rPr>
        <w:t>（6）《财政部 民政部 中国残疾人联合会关于促进残疾人就业政府采购政策的通知》（财库〔2017〕 141号）</w:t>
      </w:r>
    </w:p>
    <w:p w14:paraId="6872F959">
      <w:pPr>
        <w:pStyle w:val="24"/>
        <w:snapToGrid w:val="0"/>
        <w:spacing w:beforeLines="0" w:afterLines="0" w:line="440" w:lineRule="exact"/>
        <w:ind w:firstLine="480" w:firstLineChars="200"/>
        <w:rPr>
          <w:rFonts w:hint="default" w:hAnsi="宋体"/>
          <w:color w:val="auto"/>
          <w:sz w:val="24"/>
          <w:szCs w:val="24"/>
          <w:highlight w:val="none"/>
        </w:rPr>
      </w:pPr>
      <w:r>
        <w:rPr>
          <w:rFonts w:hAnsi="宋体"/>
          <w:color w:val="auto"/>
          <w:sz w:val="24"/>
          <w:szCs w:val="24"/>
          <w:highlight w:val="none"/>
        </w:rPr>
        <w:t>（7）《浙江省财政厅  浙江省经济和信息化委员会关于简化中小企业类别确认流程有关事项的通知》（浙财采监〔2018〕2号）</w:t>
      </w:r>
    </w:p>
    <w:p w14:paraId="24C7AA97">
      <w:pPr>
        <w:pStyle w:val="24"/>
        <w:snapToGrid w:val="0"/>
        <w:spacing w:beforeLines="0" w:afterLines="0" w:line="440" w:lineRule="exact"/>
        <w:ind w:firstLine="482" w:firstLineChars="200"/>
        <w:rPr>
          <w:rFonts w:hint="default" w:hAnsi="宋体"/>
          <w:color w:val="auto"/>
          <w:sz w:val="24"/>
          <w:szCs w:val="24"/>
          <w:highlight w:val="none"/>
        </w:rPr>
      </w:pPr>
      <w:r>
        <w:rPr>
          <w:rFonts w:hAnsi="宋体"/>
          <w:b/>
          <w:bCs/>
          <w:color w:val="auto"/>
          <w:sz w:val="24"/>
          <w:szCs w:val="24"/>
          <w:highlight w:val="none"/>
        </w:rPr>
        <w:t>二、采购项目需要落实的政府采购政策：</w:t>
      </w:r>
      <w:r>
        <w:rPr>
          <w:rFonts w:hAnsi="宋体"/>
          <w:color w:val="auto"/>
          <w:sz w:val="24"/>
          <w:szCs w:val="24"/>
          <w:highlight w:val="none"/>
        </w:rPr>
        <w:t>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资等政府采购政策。 </w:t>
      </w:r>
    </w:p>
    <w:p w14:paraId="0D1586F5">
      <w:pPr>
        <w:pStyle w:val="24"/>
        <w:snapToGrid w:val="0"/>
        <w:spacing w:beforeLines="0" w:afterLines="0" w:line="440" w:lineRule="exact"/>
        <w:ind w:firstLine="480" w:firstLineChars="200"/>
        <w:rPr>
          <w:rFonts w:hint="default" w:hAnsi="宋体"/>
          <w:color w:val="auto"/>
          <w:sz w:val="24"/>
          <w:szCs w:val="24"/>
          <w:highlight w:val="none"/>
        </w:rPr>
      </w:pPr>
      <w:r>
        <w:rPr>
          <w:rFonts w:hAnsi="宋体"/>
          <w:color w:val="auto"/>
          <w:sz w:val="24"/>
          <w:szCs w:val="24"/>
          <w:highlight w:val="none"/>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7780E489">
      <w:pPr>
        <w:pStyle w:val="24"/>
        <w:snapToGrid w:val="0"/>
        <w:spacing w:beforeLines="0" w:afterLines="0" w:line="440" w:lineRule="exact"/>
        <w:ind w:firstLine="480" w:firstLineChars="200"/>
        <w:rPr>
          <w:rFonts w:hint="default" w:hAnsi="宋体"/>
          <w:color w:val="auto"/>
          <w:sz w:val="24"/>
          <w:szCs w:val="24"/>
          <w:highlight w:val="none"/>
        </w:rPr>
      </w:pPr>
      <w:r>
        <w:rPr>
          <w:rFonts w:hAnsi="宋体"/>
          <w:color w:val="auto"/>
          <w:sz w:val="24"/>
          <w:szCs w:val="24"/>
          <w:highlight w:val="none"/>
        </w:rPr>
        <w:t>2.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14:paraId="4770CFD4">
      <w:pPr>
        <w:pStyle w:val="24"/>
        <w:snapToGrid w:val="0"/>
        <w:spacing w:beforeLines="0" w:afterLines="0" w:line="440" w:lineRule="exact"/>
        <w:ind w:firstLine="480" w:firstLineChars="200"/>
        <w:rPr>
          <w:rFonts w:hint="default" w:hAnsi="宋体"/>
          <w:color w:val="auto"/>
          <w:sz w:val="24"/>
          <w:szCs w:val="24"/>
          <w:highlight w:val="none"/>
        </w:rPr>
      </w:pPr>
      <w:r>
        <w:rPr>
          <w:rFonts w:hAnsi="宋体"/>
          <w:color w:val="auto"/>
          <w:sz w:val="24"/>
          <w:szCs w:val="24"/>
          <w:highlight w:val="none"/>
        </w:rPr>
        <w:t>3.支持中小企业发展</w:t>
      </w:r>
    </w:p>
    <w:p w14:paraId="77A731EA">
      <w:pPr>
        <w:pStyle w:val="24"/>
        <w:snapToGrid w:val="0"/>
        <w:spacing w:beforeLines="0" w:afterLines="0" w:line="440" w:lineRule="exact"/>
        <w:ind w:firstLine="480" w:firstLineChars="200"/>
        <w:rPr>
          <w:rFonts w:hint="default" w:hAnsi="宋体"/>
          <w:color w:val="auto"/>
          <w:sz w:val="24"/>
          <w:szCs w:val="24"/>
          <w:highlight w:val="none"/>
        </w:rPr>
      </w:pPr>
      <w:r>
        <w:rPr>
          <w:rFonts w:hAnsi="宋体"/>
          <w:color w:val="auto"/>
          <w:sz w:val="24"/>
          <w:szCs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6AAAF314">
      <w:pPr>
        <w:pStyle w:val="24"/>
        <w:snapToGrid w:val="0"/>
        <w:spacing w:beforeLines="0" w:afterLines="0" w:line="440" w:lineRule="exact"/>
        <w:ind w:firstLine="480" w:firstLineChars="200"/>
        <w:rPr>
          <w:rFonts w:hint="default" w:hAnsi="宋体"/>
          <w:color w:val="auto"/>
          <w:sz w:val="24"/>
          <w:szCs w:val="24"/>
          <w:highlight w:val="none"/>
        </w:rPr>
      </w:pPr>
      <w:r>
        <w:rPr>
          <w:rFonts w:hAnsi="宋体"/>
          <w:color w:val="auto"/>
          <w:sz w:val="24"/>
          <w:szCs w:val="24"/>
          <w:highlight w:val="none"/>
        </w:rPr>
        <w:t>符合中小企业划分标准的个体工商户，在政府采购活动中视同中小企业。</w:t>
      </w:r>
    </w:p>
    <w:p w14:paraId="752EBE8A">
      <w:pPr>
        <w:pStyle w:val="24"/>
        <w:snapToGrid w:val="0"/>
        <w:spacing w:beforeLines="0" w:afterLines="0" w:line="440" w:lineRule="exact"/>
        <w:ind w:firstLine="480" w:firstLineChars="200"/>
        <w:rPr>
          <w:rFonts w:hint="default" w:hAnsi="宋体"/>
          <w:color w:val="auto"/>
          <w:sz w:val="24"/>
          <w:szCs w:val="24"/>
          <w:highlight w:val="none"/>
        </w:rPr>
      </w:pPr>
      <w:r>
        <w:rPr>
          <w:rFonts w:hAnsi="宋体"/>
          <w:color w:val="auto"/>
          <w:sz w:val="24"/>
          <w:szCs w:val="24"/>
          <w:highlight w:val="none"/>
        </w:rPr>
        <w:t>3.2在政府采购活动中，投标人提供的货物、工程或者服务符合下列情形的，享受中小企业扶持政策：</w:t>
      </w:r>
    </w:p>
    <w:p w14:paraId="59C1D14B">
      <w:pPr>
        <w:pStyle w:val="24"/>
        <w:snapToGrid w:val="0"/>
        <w:spacing w:beforeLines="0" w:afterLines="0" w:line="440" w:lineRule="exact"/>
        <w:ind w:firstLine="480" w:firstLineChars="200"/>
        <w:rPr>
          <w:rFonts w:hint="default" w:hAnsi="宋体"/>
          <w:color w:val="auto"/>
          <w:sz w:val="24"/>
          <w:szCs w:val="24"/>
          <w:highlight w:val="none"/>
        </w:rPr>
      </w:pPr>
      <w:r>
        <w:rPr>
          <w:rFonts w:hAnsi="宋体"/>
          <w:color w:val="auto"/>
          <w:sz w:val="24"/>
          <w:szCs w:val="24"/>
          <w:highlight w:val="none"/>
        </w:rPr>
        <w:t>（1）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64B12EBB">
      <w:pPr>
        <w:pStyle w:val="24"/>
        <w:snapToGrid w:val="0"/>
        <w:spacing w:beforeLines="0" w:afterLines="0" w:line="440" w:lineRule="exact"/>
        <w:ind w:firstLine="480" w:firstLineChars="200"/>
        <w:rPr>
          <w:rFonts w:hint="default" w:hAnsi="宋体"/>
          <w:color w:val="auto"/>
          <w:sz w:val="24"/>
          <w:szCs w:val="24"/>
          <w:highlight w:val="none"/>
        </w:rPr>
      </w:pPr>
      <w:r>
        <w:rPr>
          <w:rFonts w:hAnsi="宋体"/>
          <w:color w:val="auto"/>
          <w:sz w:val="24"/>
          <w:szCs w:val="24"/>
          <w:highlight w:val="none"/>
        </w:rPr>
        <w:t>（2）在工程采购项目中，工程由中小企业承建，即工程施工单位为中小企业；</w:t>
      </w:r>
    </w:p>
    <w:p w14:paraId="38640D95">
      <w:pPr>
        <w:pStyle w:val="24"/>
        <w:snapToGrid w:val="0"/>
        <w:spacing w:beforeLines="0" w:afterLines="0" w:line="440" w:lineRule="exact"/>
        <w:ind w:firstLine="480" w:firstLineChars="200"/>
        <w:rPr>
          <w:rFonts w:hint="default" w:hAnsi="宋体"/>
          <w:color w:val="auto"/>
          <w:sz w:val="24"/>
          <w:szCs w:val="24"/>
          <w:highlight w:val="none"/>
        </w:rPr>
      </w:pPr>
      <w:r>
        <w:rPr>
          <w:rFonts w:hAnsi="宋体"/>
          <w:color w:val="auto"/>
          <w:sz w:val="24"/>
          <w:szCs w:val="24"/>
          <w:highlight w:val="none"/>
        </w:rPr>
        <w:t>（3）在服务采购项目中，服务由中小企业承接，即提供服务的人员为中小企业依照《中华人民共和国劳动合同法》订立劳动合同的从业人员。</w:t>
      </w:r>
    </w:p>
    <w:p w14:paraId="6436D188">
      <w:pPr>
        <w:pStyle w:val="24"/>
        <w:snapToGrid w:val="0"/>
        <w:spacing w:beforeLines="0" w:afterLines="0" w:line="440" w:lineRule="exact"/>
        <w:ind w:firstLine="480" w:firstLineChars="200"/>
        <w:rPr>
          <w:rFonts w:hint="default" w:hAnsi="宋体"/>
          <w:color w:val="auto"/>
          <w:sz w:val="24"/>
          <w:szCs w:val="24"/>
          <w:highlight w:val="none"/>
        </w:rPr>
      </w:pPr>
      <w:r>
        <w:rPr>
          <w:rFonts w:hAnsi="宋体"/>
          <w:color w:val="auto"/>
          <w:sz w:val="24"/>
          <w:szCs w:val="24"/>
          <w:highlight w:val="none"/>
        </w:rPr>
        <w:t>以联合体形式参加政府采购活动，联合体各方均为中小企业的，联合体视同中小企业。其中，联合体各方均为小微企业的，联合体视同小微企业。</w:t>
      </w:r>
    </w:p>
    <w:p w14:paraId="28A0A10C">
      <w:pPr>
        <w:pStyle w:val="24"/>
        <w:snapToGrid w:val="0"/>
        <w:spacing w:beforeLines="0" w:afterLines="0" w:line="440" w:lineRule="exact"/>
        <w:ind w:firstLine="480" w:firstLineChars="200"/>
        <w:rPr>
          <w:rFonts w:hint="default" w:hAnsi="宋体"/>
          <w:color w:val="auto"/>
          <w:sz w:val="24"/>
          <w:szCs w:val="24"/>
          <w:highlight w:val="none"/>
        </w:rPr>
      </w:pPr>
      <w:r>
        <w:rPr>
          <w:rFonts w:hAnsi="宋体"/>
          <w:color w:val="auto"/>
          <w:sz w:val="24"/>
          <w:szCs w:val="24"/>
          <w:highlight w:val="none"/>
        </w:rPr>
        <w:t>3.3对符合前述条款要求的小型和微型企业的投标报价给予优惠扣除，用扣除后的价格参与评审。</w:t>
      </w:r>
    </w:p>
    <w:p w14:paraId="23CF050D">
      <w:pPr>
        <w:pStyle w:val="24"/>
        <w:snapToGrid w:val="0"/>
        <w:spacing w:beforeLines="0" w:afterLines="0" w:line="440" w:lineRule="exact"/>
        <w:ind w:firstLine="480" w:firstLineChars="200"/>
        <w:rPr>
          <w:rFonts w:hint="default" w:hAnsi="宋体"/>
          <w:color w:val="auto"/>
          <w:sz w:val="24"/>
          <w:szCs w:val="24"/>
          <w:highlight w:val="none"/>
        </w:rPr>
      </w:pPr>
      <w:r>
        <w:rPr>
          <w:rFonts w:hAnsi="宋体"/>
          <w:color w:val="auto"/>
          <w:sz w:val="24"/>
          <w:szCs w:val="24"/>
          <w:highlight w:val="none"/>
        </w:rPr>
        <w:t>3.4符合《关于促进残疾人就业政府采购政策的通知》（财库〔2017〕141号）规定的条件并提供《残疾人福利性单位声明函》的残疾人福利性单位视同小型、微型企业；</w:t>
      </w:r>
    </w:p>
    <w:p w14:paraId="053AA073">
      <w:pPr>
        <w:pStyle w:val="24"/>
        <w:snapToGrid w:val="0"/>
        <w:spacing w:beforeLines="0" w:afterLines="0" w:line="440" w:lineRule="exact"/>
        <w:ind w:firstLine="480" w:firstLineChars="200"/>
        <w:rPr>
          <w:rFonts w:hint="default" w:hAnsi="宋体"/>
          <w:color w:val="auto"/>
          <w:sz w:val="24"/>
          <w:szCs w:val="24"/>
          <w:highlight w:val="none"/>
        </w:rPr>
      </w:pPr>
      <w:r>
        <w:rPr>
          <w:rFonts w:hAnsi="宋体"/>
          <w:color w:val="auto"/>
          <w:sz w:val="24"/>
          <w:szCs w:val="24"/>
          <w:highlight w:val="none"/>
        </w:rPr>
        <w:t>3.5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72DD8F38">
      <w:pPr>
        <w:pStyle w:val="24"/>
        <w:snapToGrid w:val="0"/>
        <w:spacing w:beforeLines="0" w:afterLines="0" w:line="440" w:lineRule="exact"/>
        <w:ind w:firstLine="480" w:firstLineChars="200"/>
        <w:rPr>
          <w:rFonts w:hint="default" w:hAnsi="宋体"/>
          <w:color w:val="auto"/>
          <w:sz w:val="24"/>
          <w:szCs w:val="24"/>
          <w:highlight w:val="none"/>
        </w:rPr>
      </w:pPr>
      <w:r>
        <w:rPr>
          <w:rFonts w:hAnsi="宋体"/>
          <w:color w:val="auto"/>
          <w:sz w:val="24"/>
          <w:szCs w:val="24"/>
          <w:highlight w:val="none"/>
        </w:rPr>
        <w:t>3.6符合《关于政府采购支持监狱企业发展有关问题的通知》（财库[2014]68号）规定的监狱企业并提供由省级以上监狱管理局、戒毒管理局（含新疆生产建设兵团）出具的属于监狱企业证明文件的，视同为小型、微型企业。</w:t>
      </w:r>
    </w:p>
    <w:p w14:paraId="0BA01035">
      <w:pPr>
        <w:pStyle w:val="24"/>
        <w:snapToGrid w:val="0"/>
        <w:spacing w:beforeLines="0" w:afterLines="0" w:line="440" w:lineRule="exact"/>
        <w:ind w:firstLine="480" w:firstLineChars="200"/>
        <w:rPr>
          <w:rFonts w:hint="default" w:hAnsi="宋体"/>
          <w:color w:val="auto"/>
          <w:sz w:val="24"/>
          <w:szCs w:val="24"/>
          <w:highlight w:val="none"/>
        </w:rPr>
      </w:pPr>
      <w:r>
        <w:rPr>
          <w:rFonts w:hAnsi="宋体"/>
          <w:color w:val="auto"/>
          <w:sz w:val="24"/>
          <w:szCs w:val="24"/>
          <w:highlight w:val="none"/>
        </w:rPr>
        <w:t>3.7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430C4C72">
      <w:pPr>
        <w:pStyle w:val="24"/>
        <w:snapToGrid w:val="0"/>
        <w:spacing w:beforeLines="0" w:afterLines="0" w:line="440" w:lineRule="exact"/>
        <w:ind w:firstLine="480" w:firstLineChars="200"/>
        <w:rPr>
          <w:rFonts w:hint="default" w:hAnsi="宋体"/>
          <w:color w:val="auto"/>
          <w:sz w:val="24"/>
          <w:szCs w:val="24"/>
          <w:highlight w:val="none"/>
        </w:rPr>
      </w:pPr>
      <w:r>
        <w:rPr>
          <w:rFonts w:hAnsi="宋体"/>
          <w:color w:val="auto"/>
          <w:sz w:val="24"/>
          <w:szCs w:val="24"/>
          <w:highlight w:val="none"/>
        </w:rPr>
        <w:t>3.8中小企业享受扶持政策获得政府采购合同的，小微企业不得将合同分包给大中型企业，中型企业不得将合同分包给大型企业。</w:t>
      </w:r>
    </w:p>
    <w:p w14:paraId="5AB7C746">
      <w:pPr>
        <w:pStyle w:val="24"/>
        <w:snapToGrid w:val="0"/>
        <w:spacing w:beforeLines="0" w:afterLines="0" w:line="440" w:lineRule="exact"/>
        <w:ind w:firstLine="480" w:firstLineChars="200"/>
        <w:rPr>
          <w:rFonts w:hint="default" w:hAnsi="宋体"/>
          <w:color w:val="auto"/>
          <w:sz w:val="24"/>
          <w:szCs w:val="24"/>
          <w:highlight w:val="none"/>
        </w:rPr>
      </w:pPr>
      <w:r>
        <w:rPr>
          <w:rFonts w:hAnsi="宋体"/>
          <w:color w:val="auto"/>
          <w:sz w:val="24"/>
          <w:szCs w:val="24"/>
          <w:highlight w:val="none"/>
        </w:rPr>
        <w:t>4.支持创新发展</w:t>
      </w:r>
    </w:p>
    <w:p w14:paraId="4DD77431">
      <w:pPr>
        <w:pStyle w:val="24"/>
        <w:snapToGrid w:val="0"/>
        <w:spacing w:beforeLines="0" w:afterLines="0" w:line="440" w:lineRule="exact"/>
        <w:ind w:firstLine="480" w:firstLineChars="200"/>
        <w:rPr>
          <w:rFonts w:hint="default" w:hAnsi="宋体"/>
          <w:color w:val="auto"/>
          <w:sz w:val="24"/>
          <w:szCs w:val="24"/>
          <w:highlight w:val="none"/>
        </w:rPr>
      </w:pPr>
      <w:r>
        <w:rPr>
          <w:rFonts w:hAnsi="宋体"/>
          <w:color w:val="auto"/>
          <w:sz w:val="24"/>
          <w:szCs w:val="24"/>
          <w:highlight w:val="none"/>
        </w:rPr>
        <w:t>4.1 采购人优先采购被认定为首台套产品和“制造精品”的自主创新产品。</w:t>
      </w:r>
    </w:p>
    <w:p w14:paraId="13722812">
      <w:pPr>
        <w:pStyle w:val="24"/>
        <w:snapToGrid w:val="0"/>
        <w:spacing w:beforeLines="0" w:afterLines="0" w:line="440" w:lineRule="exact"/>
        <w:ind w:firstLine="480" w:firstLineChars="200"/>
        <w:rPr>
          <w:rFonts w:hint="default" w:hAnsi="宋体"/>
          <w:color w:val="auto"/>
          <w:sz w:val="24"/>
          <w:szCs w:val="24"/>
          <w:highlight w:val="none"/>
        </w:rPr>
      </w:pPr>
      <w:r>
        <w:rPr>
          <w:rFonts w:hAnsi="宋体"/>
          <w:color w:val="auto"/>
          <w:sz w:val="24"/>
          <w:szCs w:val="24"/>
          <w:highlight w:val="none"/>
        </w:rPr>
        <w:t>4.2 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14:paraId="3501D765">
      <w:pPr>
        <w:pStyle w:val="24"/>
        <w:snapToGrid w:val="0"/>
        <w:spacing w:beforeLines="0" w:afterLines="0" w:line="440" w:lineRule="exact"/>
        <w:ind w:firstLine="480" w:firstLineChars="200"/>
        <w:rPr>
          <w:rFonts w:hint="default" w:hAnsi="宋体"/>
          <w:color w:val="auto"/>
          <w:sz w:val="24"/>
          <w:szCs w:val="24"/>
          <w:highlight w:val="none"/>
        </w:rPr>
      </w:pPr>
      <w:r>
        <w:rPr>
          <w:rFonts w:hAnsi="宋体"/>
          <w:color w:val="auto"/>
          <w:sz w:val="24"/>
          <w:szCs w:val="24"/>
          <w:highlight w:val="none"/>
        </w:rPr>
        <w:t>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网的中小企业信用融资栏目了解相关信息。供应商可以通过浙江政府采购网（https://zfcg.czt.zj.gov.cn/）首页的“浙江政采贷”模块进入申请，还可以通过政府采购云平台（https://www.zcygov.cn/）首页的“金融服务”模块进入申请。</w:t>
      </w:r>
    </w:p>
    <w:p w14:paraId="3EB2ACDD">
      <w:pPr>
        <w:pStyle w:val="24"/>
        <w:numPr>
          <w:ilvl w:val="0"/>
          <w:numId w:val="6"/>
        </w:numPr>
        <w:snapToGrid w:val="0"/>
        <w:spacing w:before="120" w:after="120" w:line="240" w:lineRule="auto"/>
        <w:jc w:val="center"/>
        <w:outlineLvl w:val="0"/>
        <w:rPr>
          <w:rFonts w:hint="default" w:hAnsi="宋体" w:cs="宋体"/>
          <w:b/>
          <w:bCs/>
          <w:color w:val="auto"/>
          <w:sz w:val="30"/>
          <w:szCs w:val="30"/>
          <w:highlight w:val="none"/>
        </w:rPr>
      </w:pPr>
      <w:r>
        <w:rPr>
          <w:rFonts w:hint="default"/>
          <w:color w:val="auto"/>
          <w:sz w:val="24"/>
          <w:szCs w:val="24"/>
          <w:highlight w:val="none"/>
        </w:rPr>
        <w:br w:type="page"/>
      </w:r>
      <w:r>
        <w:rPr>
          <w:b/>
          <w:bCs/>
          <w:color w:val="auto"/>
          <w:sz w:val="30"/>
          <w:szCs w:val="30"/>
          <w:highlight w:val="none"/>
        </w:rPr>
        <w:t xml:space="preserve"> 评标办法及评分标准</w:t>
      </w:r>
    </w:p>
    <w:p w14:paraId="1A3CA627">
      <w:pPr>
        <w:spacing w:line="440" w:lineRule="exact"/>
        <w:ind w:firstLine="480" w:firstLineChars="200"/>
        <w:rPr>
          <w:bCs/>
          <w:color w:val="auto"/>
          <w:sz w:val="24"/>
          <w:highlight w:val="none"/>
        </w:rPr>
      </w:pPr>
    </w:p>
    <w:p w14:paraId="4E219B32">
      <w:pPr>
        <w:spacing w:line="440" w:lineRule="exact"/>
        <w:ind w:firstLine="480" w:firstLineChars="200"/>
        <w:rPr>
          <w:rFonts w:ascii="宋体" w:hAnsi="宋体"/>
          <w:color w:val="auto"/>
          <w:sz w:val="24"/>
          <w:highlight w:val="none"/>
        </w:rPr>
      </w:pPr>
      <w:r>
        <w:rPr>
          <w:rFonts w:hint="eastAsia"/>
          <w:bCs/>
          <w:color w:val="auto"/>
          <w:sz w:val="24"/>
          <w:highlight w:val="none"/>
        </w:rPr>
        <w:t>本次招标以</w:t>
      </w:r>
      <w:r>
        <w:rPr>
          <w:rFonts w:hint="eastAsia"/>
          <w:b/>
          <w:color w:val="auto"/>
          <w:sz w:val="24"/>
          <w:highlight w:val="none"/>
          <w:u w:val="single"/>
        </w:rPr>
        <w:t xml:space="preserve"> 综合评分法 </w:t>
      </w:r>
      <w:r>
        <w:rPr>
          <w:rFonts w:hint="eastAsia"/>
          <w:bCs/>
          <w:color w:val="auto"/>
          <w:sz w:val="24"/>
          <w:highlight w:val="none"/>
        </w:rPr>
        <w:t>对投标人的各个项目依次作出评标结论。</w:t>
      </w:r>
      <w:r>
        <w:rPr>
          <w:rFonts w:hint="eastAsia" w:ascii="宋体" w:hAnsi="宋体"/>
          <w:color w:val="auto"/>
          <w:sz w:val="24"/>
          <w:highlight w:val="none"/>
        </w:rPr>
        <w:t xml:space="preserve"> </w:t>
      </w:r>
      <w:r>
        <w:rPr>
          <w:rFonts w:hint="eastAsia"/>
          <w:color w:val="auto"/>
          <w:sz w:val="24"/>
          <w:highlight w:val="none"/>
        </w:rPr>
        <w:t xml:space="preserve">评标委员会按照平等、客观、公正、科学、择优的原则，在澄清、调查核实、评估和比较的基础上，按照招标文件的要求和条件进行评审，只对确定为实质上响应招标文件的投标文件进行综合评价和比较，先评商务技术部分，后评投标报价部分。 </w:t>
      </w:r>
    </w:p>
    <w:p w14:paraId="56D66E09">
      <w:pPr>
        <w:spacing w:line="440" w:lineRule="exact"/>
        <w:ind w:firstLine="482" w:firstLineChars="200"/>
        <w:rPr>
          <w:rFonts w:ascii="宋体" w:hAnsi="宋体" w:cs="宋体"/>
          <w:b/>
          <w:color w:val="auto"/>
          <w:sz w:val="24"/>
          <w:highlight w:val="none"/>
        </w:rPr>
      </w:pPr>
      <w:r>
        <w:rPr>
          <w:rFonts w:hint="eastAsia" w:ascii="宋体" w:hAnsi="宋体"/>
          <w:b/>
          <w:color w:val="auto"/>
          <w:sz w:val="24"/>
          <w:highlight w:val="none"/>
        </w:rPr>
        <w:t>一、商务技术文件评审</w:t>
      </w:r>
      <w:r>
        <w:rPr>
          <w:rFonts w:hint="eastAsia" w:ascii="宋体" w:hAnsi="宋体" w:cs="宋体"/>
          <w:b/>
          <w:color w:val="auto"/>
          <w:sz w:val="24"/>
          <w:highlight w:val="none"/>
        </w:rPr>
        <w:t>（满分</w:t>
      </w:r>
      <w:r>
        <w:rPr>
          <w:rFonts w:hint="eastAsia" w:ascii="宋体" w:hAnsi="宋体" w:cs="宋体"/>
          <w:b/>
          <w:color w:val="auto"/>
          <w:sz w:val="24"/>
          <w:highlight w:val="none"/>
          <w:lang w:val="en-US" w:eastAsia="zh-CN"/>
        </w:rPr>
        <w:t>90</w:t>
      </w:r>
      <w:r>
        <w:rPr>
          <w:rFonts w:hint="eastAsia" w:ascii="宋体" w:hAnsi="宋体" w:cs="宋体"/>
          <w:b/>
          <w:color w:val="auto"/>
          <w:sz w:val="24"/>
          <w:highlight w:val="none"/>
        </w:rPr>
        <w:t>分）</w:t>
      </w:r>
    </w:p>
    <w:p w14:paraId="2919D643">
      <w:pPr>
        <w:spacing w:line="440" w:lineRule="exact"/>
        <w:ind w:firstLine="482" w:firstLineChars="200"/>
        <w:jc w:val="center"/>
        <w:rPr>
          <w:b/>
          <w:bCs/>
          <w:color w:val="auto"/>
          <w:sz w:val="24"/>
          <w:highlight w:val="none"/>
        </w:rPr>
      </w:pPr>
      <w:r>
        <w:rPr>
          <w:rFonts w:hint="eastAsia"/>
          <w:b/>
          <w:bCs/>
          <w:color w:val="auto"/>
          <w:sz w:val="24"/>
          <w:highlight w:val="none"/>
        </w:rPr>
        <w:t>评分细则</w:t>
      </w:r>
    </w:p>
    <w:tbl>
      <w:tblPr>
        <w:tblStyle w:val="42"/>
        <w:tblW w:w="89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204"/>
        <w:gridCol w:w="6035"/>
        <w:gridCol w:w="948"/>
      </w:tblGrid>
      <w:tr w14:paraId="5D566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1" w:type="dxa"/>
            <w:tcBorders>
              <w:tl2br w:val="nil"/>
              <w:tr2bl w:val="nil"/>
            </w:tcBorders>
            <w:noWrap w:val="0"/>
            <w:vAlign w:val="center"/>
          </w:tcPr>
          <w:p w14:paraId="4F592724">
            <w:pPr>
              <w:keepNext w:val="0"/>
              <w:keepLines w:val="0"/>
              <w:pageBreakBefore w:val="0"/>
              <w:widowControl/>
              <w:kinsoku/>
              <w:wordWrap/>
              <w:overflowPunct/>
              <w:topLinePunct w:val="0"/>
              <w:autoSpaceDE/>
              <w:autoSpaceDN/>
              <w:bidi w:val="0"/>
              <w:adjustRightInd/>
              <w:spacing w:line="240" w:lineRule="auto"/>
              <w:jc w:val="center"/>
              <w:textAlignment w:val="auto"/>
              <w:rPr>
                <w:rFonts w:ascii="宋体" w:hAnsi="宋体" w:cs="宋体"/>
                <w:b/>
                <w:bCs/>
                <w:color w:val="auto"/>
                <w:sz w:val="24"/>
                <w:highlight w:val="none"/>
              </w:rPr>
            </w:pPr>
            <w:r>
              <w:rPr>
                <w:rFonts w:hint="eastAsia" w:ascii="宋体" w:hAnsi="宋体" w:cs="宋体"/>
                <w:b/>
                <w:bCs/>
                <w:color w:val="auto"/>
                <w:sz w:val="24"/>
                <w:highlight w:val="none"/>
              </w:rPr>
              <w:t>序号</w:t>
            </w:r>
          </w:p>
        </w:tc>
        <w:tc>
          <w:tcPr>
            <w:tcW w:w="1204" w:type="dxa"/>
            <w:tcBorders>
              <w:tl2br w:val="nil"/>
              <w:tr2bl w:val="nil"/>
            </w:tcBorders>
            <w:noWrap w:val="0"/>
            <w:vAlign w:val="center"/>
          </w:tcPr>
          <w:p w14:paraId="5EBE4123">
            <w:pPr>
              <w:keepNext w:val="0"/>
              <w:keepLines w:val="0"/>
              <w:pageBreakBefore w:val="0"/>
              <w:widowControl/>
              <w:kinsoku/>
              <w:wordWrap/>
              <w:overflowPunct/>
              <w:topLinePunct w:val="0"/>
              <w:autoSpaceDE/>
              <w:autoSpaceDN/>
              <w:bidi w:val="0"/>
              <w:adjustRightInd/>
              <w:spacing w:line="240" w:lineRule="auto"/>
              <w:jc w:val="center"/>
              <w:textAlignment w:val="auto"/>
              <w:rPr>
                <w:rFonts w:ascii="宋体" w:hAnsi="宋体" w:cs="宋体"/>
                <w:b/>
                <w:bCs/>
                <w:color w:val="auto"/>
                <w:sz w:val="24"/>
                <w:highlight w:val="none"/>
              </w:rPr>
            </w:pPr>
            <w:r>
              <w:rPr>
                <w:rFonts w:hint="eastAsia" w:ascii="宋体" w:hAnsi="宋体" w:cs="宋体"/>
                <w:b/>
                <w:bCs/>
                <w:color w:val="auto"/>
                <w:sz w:val="24"/>
                <w:highlight w:val="none"/>
              </w:rPr>
              <w:t>评审项目</w:t>
            </w:r>
          </w:p>
        </w:tc>
        <w:tc>
          <w:tcPr>
            <w:tcW w:w="6035" w:type="dxa"/>
            <w:tcBorders>
              <w:tl2br w:val="nil"/>
              <w:tr2bl w:val="nil"/>
            </w:tcBorders>
            <w:noWrap w:val="0"/>
            <w:vAlign w:val="center"/>
          </w:tcPr>
          <w:p w14:paraId="4E72F235">
            <w:pPr>
              <w:keepNext w:val="0"/>
              <w:keepLines w:val="0"/>
              <w:pageBreakBefore w:val="0"/>
              <w:widowControl/>
              <w:kinsoku/>
              <w:wordWrap/>
              <w:overflowPunct/>
              <w:topLinePunct w:val="0"/>
              <w:autoSpaceDE/>
              <w:autoSpaceDN/>
              <w:bidi w:val="0"/>
              <w:adjustRightInd/>
              <w:spacing w:line="240" w:lineRule="auto"/>
              <w:jc w:val="center"/>
              <w:textAlignment w:val="auto"/>
              <w:rPr>
                <w:rFonts w:ascii="宋体" w:hAnsi="宋体" w:cs="宋体"/>
                <w:b/>
                <w:bCs/>
                <w:color w:val="auto"/>
                <w:sz w:val="24"/>
                <w:highlight w:val="none"/>
              </w:rPr>
            </w:pPr>
            <w:r>
              <w:rPr>
                <w:rFonts w:hint="eastAsia" w:ascii="宋体" w:hAnsi="宋体" w:cs="宋体"/>
                <w:b/>
                <w:bCs/>
                <w:color w:val="auto"/>
                <w:sz w:val="24"/>
                <w:highlight w:val="none"/>
              </w:rPr>
              <w:t>评审细则</w:t>
            </w:r>
          </w:p>
        </w:tc>
        <w:tc>
          <w:tcPr>
            <w:tcW w:w="948" w:type="dxa"/>
            <w:tcBorders>
              <w:tl2br w:val="nil"/>
              <w:tr2bl w:val="nil"/>
            </w:tcBorders>
            <w:noWrap w:val="0"/>
            <w:vAlign w:val="center"/>
          </w:tcPr>
          <w:p w14:paraId="3551489D">
            <w:pPr>
              <w:keepNext w:val="0"/>
              <w:keepLines w:val="0"/>
              <w:pageBreakBefore w:val="0"/>
              <w:widowControl/>
              <w:kinsoku/>
              <w:wordWrap/>
              <w:overflowPunct/>
              <w:topLinePunct w:val="0"/>
              <w:autoSpaceDE/>
              <w:autoSpaceDN/>
              <w:bidi w:val="0"/>
              <w:adjustRightInd/>
              <w:spacing w:line="240" w:lineRule="auto"/>
              <w:jc w:val="center"/>
              <w:textAlignment w:val="auto"/>
              <w:rPr>
                <w:rFonts w:ascii="宋体" w:hAnsi="宋体" w:cs="宋体"/>
                <w:b/>
                <w:bCs/>
                <w:color w:val="auto"/>
                <w:sz w:val="24"/>
                <w:highlight w:val="none"/>
              </w:rPr>
            </w:pPr>
            <w:r>
              <w:rPr>
                <w:rFonts w:hint="eastAsia" w:ascii="宋体" w:hAnsi="宋体" w:cs="宋体"/>
                <w:b/>
                <w:bCs/>
                <w:color w:val="auto"/>
                <w:sz w:val="24"/>
                <w:highlight w:val="none"/>
              </w:rPr>
              <w:t>分值</w:t>
            </w:r>
          </w:p>
          <w:p w14:paraId="524FB6DF">
            <w:pPr>
              <w:keepNext w:val="0"/>
              <w:keepLines w:val="0"/>
              <w:pageBreakBefore w:val="0"/>
              <w:widowControl/>
              <w:kinsoku/>
              <w:wordWrap/>
              <w:overflowPunct/>
              <w:topLinePunct w:val="0"/>
              <w:autoSpaceDE/>
              <w:autoSpaceDN/>
              <w:bidi w:val="0"/>
              <w:adjustRightInd/>
              <w:spacing w:line="240" w:lineRule="auto"/>
              <w:jc w:val="center"/>
              <w:textAlignment w:val="auto"/>
              <w:rPr>
                <w:rFonts w:ascii="宋体" w:hAnsi="宋体" w:cs="宋体"/>
                <w:b/>
                <w:bCs/>
                <w:color w:val="auto"/>
                <w:sz w:val="24"/>
                <w:highlight w:val="none"/>
              </w:rPr>
            </w:pPr>
            <w:r>
              <w:rPr>
                <w:rFonts w:hint="eastAsia" w:ascii="宋体" w:hAnsi="宋体" w:cs="宋体"/>
                <w:b/>
                <w:bCs/>
                <w:color w:val="auto"/>
                <w:sz w:val="24"/>
                <w:highlight w:val="none"/>
              </w:rPr>
              <w:t>（分）</w:t>
            </w:r>
          </w:p>
        </w:tc>
      </w:tr>
      <w:tr w14:paraId="0BB26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1" w:type="dxa"/>
            <w:tcBorders>
              <w:tl2br w:val="nil"/>
              <w:tr2bl w:val="nil"/>
            </w:tcBorders>
            <w:noWrap w:val="0"/>
            <w:vAlign w:val="center"/>
          </w:tcPr>
          <w:p w14:paraId="5F69858C">
            <w:pPr>
              <w:keepNext w:val="0"/>
              <w:keepLines w:val="0"/>
              <w:pageBreakBefore w:val="0"/>
              <w:widowControl/>
              <w:kinsoku/>
              <w:wordWrap/>
              <w:overflowPunct/>
              <w:topLinePunct w:val="0"/>
              <w:autoSpaceDE/>
              <w:autoSpaceDN/>
              <w:bidi w:val="0"/>
              <w:adjustRightInd/>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1204" w:type="dxa"/>
            <w:tcBorders>
              <w:tl2br w:val="nil"/>
              <w:tr2bl w:val="nil"/>
            </w:tcBorders>
            <w:noWrap w:val="0"/>
            <w:vAlign w:val="center"/>
          </w:tcPr>
          <w:p w14:paraId="07A56F6E">
            <w:pPr>
              <w:keepNext w:val="0"/>
              <w:keepLines w:val="0"/>
              <w:pageBreakBefore w:val="0"/>
              <w:suppressLineNumbers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同类业绩</w:t>
            </w:r>
          </w:p>
        </w:tc>
        <w:tc>
          <w:tcPr>
            <w:tcW w:w="6035" w:type="dxa"/>
            <w:tcBorders>
              <w:tl2br w:val="nil"/>
              <w:tr2bl w:val="nil"/>
            </w:tcBorders>
            <w:noWrap w:val="0"/>
            <w:vAlign w:val="top"/>
          </w:tcPr>
          <w:p w14:paraId="68DF7BA4">
            <w:pPr>
              <w:keepNext w:val="0"/>
              <w:keepLines w:val="0"/>
              <w:pageBreakBefore w:val="0"/>
              <w:widowControl/>
              <w:kinsoku/>
              <w:wordWrap/>
              <w:overflowPunct/>
              <w:topLinePunct w:val="0"/>
              <w:autoSpaceDE/>
              <w:autoSpaceDN/>
              <w:bidi w:val="0"/>
              <w:adjustRightInd/>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投标人</w:t>
            </w:r>
            <w:r>
              <w:rPr>
                <w:rFonts w:hint="eastAsia" w:ascii="宋体" w:hAnsi="宋体" w:cs="宋体"/>
                <w:color w:val="auto"/>
                <w:sz w:val="24"/>
                <w:highlight w:val="none"/>
                <w:lang w:val="en-US" w:eastAsia="zh-CN"/>
              </w:rPr>
              <w:t>2021</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1月</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以合同签订时间为准</w:t>
            </w:r>
            <w:r>
              <w:rPr>
                <w:rFonts w:hint="eastAsia" w:ascii="宋体" w:hAnsi="宋体" w:cs="宋体"/>
                <w:color w:val="auto"/>
                <w:sz w:val="24"/>
                <w:highlight w:val="none"/>
                <w:lang w:eastAsia="zh-CN"/>
              </w:rPr>
              <w:t>）</w:t>
            </w:r>
            <w:r>
              <w:rPr>
                <w:rFonts w:hint="eastAsia" w:ascii="宋体" w:hAnsi="宋体" w:cs="宋体"/>
                <w:color w:val="auto"/>
                <w:sz w:val="24"/>
                <w:highlight w:val="none"/>
              </w:rPr>
              <w:t>以来</w:t>
            </w:r>
            <w:r>
              <w:rPr>
                <w:rFonts w:hint="eastAsia" w:ascii="宋体" w:hAnsi="宋体" w:cs="宋体"/>
                <w:color w:val="auto"/>
                <w:sz w:val="24"/>
                <w:highlight w:val="none"/>
                <w:lang w:val="en-US" w:eastAsia="zh-CN"/>
              </w:rPr>
              <w:t>具有的同类</w:t>
            </w:r>
            <w:r>
              <w:rPr>
                <w:rFonts w:hint="eastAsia" w:ascii="宋体" w:hAnsi="宋体" w:cs="宋体"/>
                <w:color w:val="auto"/>
                <w:sz w:val="24"/>
                <w:highlight w:val="none"/>
              </w:rPr>
              <w:t>业绩，每个</w:t>
            </w:r>
            <w:r>
              <w:rPr>
                <w:rFonts w:hint="eastAsia" w:ascii="宋体" w:hAnsi="宋体" w:cs="宋体"/>
                <w:color w:val="auto"/>
                <w:sz w:val="24"/>
                <w:highlight w:val="none"/>
                <w:lang w:eastAsia="zh-CN"/>
              </w:rPr>
              <w:t>得</w:t>
            </w:r>
            <w:r>
              <w:rPr>
                <w:rFonts w:hint="eastAsia" w:ascii="宋体" w:hAnsi="宋体" w:cs="宋体"/>
                <w:color w:val="auto"/>
                <w:sz w:val="24"/>
                <w:highlight w:val="none"/>
              </w:rPr>
              <w:t>0.5分，最高得1分。</w:t>
            </w:r>
          </w:p>
          <w:p w14:paraId="4452597D">
            <w:pPr>
              <w:keepNext w:val="0"/>
              <w:keepLines w:val="0"/>
              <w:pageBreakBefore w:val="0"/>
              <w:widowControl/>
              <w:kinsoku/>
              <w:wordWrap/>
              <w:overflowPunct/>
              <w:topLinePunct w:val="0"/>
              <w:autoSpaceDE/>
              <w:autoSpaceDN/>
              <w:bidi w:val="0"/>
              <w:adjustRightInd/>
              <w:spacing w:line="24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b/>
                <w:bCs/>
                <w:color w:val="auto"/>
                <w:sz w:val="24"/>
                <w:highlight w:val="none"/>
              </w:rPr>
              <w:t>注：提供合同复印件。</w:t>
            </w:r>
          </w:p>
        </w:tc>
        <w:tc>
          <w:tcPr>
            <w:tcW w:w="948" w:type="dxa"/>
            <w:tcBorders>
              <w:tl2br w:val="nil"/>
              <w:tr2bl w:val="nil"/>
            </w:tcBorders>
            <w:noWrap w:val="0"/>
            <w:vAlign w:val="center"/>
          </w:tcPr>
          <w:p w14:paraId="3E8EE0D4">
            <w:pPr>
              <w:keepNext w:val="0"/>
              <w:keepLines w:val="0"/>
              <w:pageBreakBefore w:val="0"/>
              <w:widowControl/>
              <w:kinsoku/>
              <w:wordWrap/>
              <w:overflowPunct/>
              <w:topLinePunct w:val="0"/>
              <w:autoSpaceDE/>
              <w:autoSpaceDN/>
              <w:bidi w:val="0"/>
              <w:adjustRightInd/>
              <w:spacing w:line="24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w:t>
            </w:r>
          </w:p>
        </w:tc>
      </w:tr>
      <w:tr w14:paraId="78741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1" w:type="dxa"/>
            <w:tcBorders>
              <w:tl2br w:val="nil"/>
              <w:tr2bl w:val="nil"/>
            </w:tcBorders>
            <w:noWrap w:val="0"/>
            <w:vAlign w:val="center"/>
          </w:tcPr>
          <w:p w14:paraId="11E845D2">
            <w:pPr>
              <w:keepNext w:val="0"/>
              <w:keepLines w:val="0"/>
              <w:pageBreakBefore w:val="0"/>
              <w:widowControl/>
              <w:kinsoku/>
              <w:wordWrap/>
              <w:overflowPunct/>
              <w:topLinePunct w:val="0"/>
              <w:autoSpaceDE/>
              <w:autoSpaceDN/>
              <w:bidi w:val="0"/>
              <w:adjustRightInd/>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1204" w:type="dxa"/>
            <w:tcBorders>
              <w:tl2br w:val="nil"/>
              <w:tr2bl w:val="nil"/>
            </w:tcBorders>
            <w:noWrap w:val="0"/>
            <w:vAlign w:val="center"/>
          </w:tcPr>
          <w:p w14:paraId="58989BB3">
            <w:pPr>
              <w:keepNext w:val="0"/>
              <w:keepLines w:val="0"/>
              <w:pageBreakBefore w:val="0"/>
              <w:suppressLineNumbers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b w:val="0"/>
                <w:bCs w:val="0"/>
                <w:color w:val="auto"/>
                <w:sz w:val="24"/>
                <w:szCs w:val="24"/>
                <w:highlight w:val="none"/>
                <w:lang w:val="en-US" w:eastAsia="zh-CN"/>
              </w:rPr>
              <w:t>文物保护单位（古建筑）实施</w:t>
            </w:r>
            <w:r>
              <w:rPr>
                <w:rFonts w:hint="eastAsia" w:ascii="宋体" w:hAnsi="宋体" w:eastAsia="宋体" w:cs="宋体"/>
                <w:b w:val="0"/>
                <w:bCs w:val="0"/>
                <w:color w:val="auto"/>
                <w:sz w:val="24"/>
                <w:szCs w:val="24"/>
                <w:highlight w:val="none"/>
              </w:rPr>
              <w:t>展览需求分析</w:t>
            </w:r>
          </w:p>
        </w:tc>
        <w:tc>
          <w:tcPr>
            <w:tcW w:w="6035" w:type="dxa"/>
            <w:tcBorders>
              <w:tl2br w:val="nil"/>
              <w:tr2bl w:val="nil"/>
            </w:tcBorders>
            <w:noWrap w:val="0"/>
            <w:vAlign w:val="center"/>
          </w:tcPr>
          <w:p w14:paraId="18E23C2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投标人对</w:t>
            </w:r>
            <w:r>
              <w:rPr>
                <w:rFonts w:hint="eastAsia" w:ascii="宋体" w:hAnsi="宋体" w:cs="宋体"/>
                <w:b w:val="0"/>
                <w:bCs w:val="0"/>
                <w:color w:val="auto"/>
                <w:sz w:val="24"/>
                <w:szCs w:val="24"/>
                <w:highlight w:val="none"/>
                <w:lang w:eastAsia="zh-CN"/>
              </w:rPr>
              <w:t>在文物保护单位内</w:t>
            </w:r>
            <w:r>
              <w:rPr>
                <w:rFonts w:hint="eastAsia" w:ascii="宋体" w:hAnsi="宋体" w:eastAsia="宋体" w:cs="宋体"/>
                <w:b w:val="0"/>
                <w:bCs w:val="0"/>
                <w:color w:val="auto"/>
                <w:sz w:val="24"/>
                <w:szCs w:val="24"/>
                <w:highlight w:val="none"/>
              </w:rPr>
              <w:t>实施</w:t>
            </w:r>
            <w:r>
              <w:rPr>
                <w:rFonts w:hint="eastAsia" w:ascii="宋体" w:hAnsi="宋体" w:cs="宋体"/>
                <w:b w:val="0"/>
                <w:bCs w:val="0"/>
                <w:color w:val="auto"/>
                <w:sz w:val="24"/>
                <w:szCs w:val="24"/>
                <w:highlight w:val="none"/>
                <w:lang w:eastAsia="zh-CN"/>
              </w:rPr>
              <w:t>陈列展览</w:t>
            </w:r>
            <w:r>
              <w:rPr>
                <w:rFonts w:hint="eastAsia" w:ascii="宋体" w:hAnsi="宋体" w:eastAsia="宋体" w:cs="宋体"/>
                <w:b w:val="0"/>
                <w:bCs w:val="0"/>
                <w:color w:val="auto"/>
                <w:sz w:val="24"/>
                <w:szCs w:val="24"/>
                <w:highlight w:val="none"/>
              </w:rPr>
              <w:t>的了解与需求分析；实施重点难点分析及解决措施或方法；结合自身独到优势提出合理化建议情况等。各</w:t>
            </w:r>
            <w:r>
              <w:rPr>
                <w:rFonts w:hint="eastAsia" w:ascii="宋体" w:hAnsi="宋体" w:cs="宋体"/>
                <w:b w:val="0"/>
                <w:bCs w:val="0"/>
                <w:color w:val="auto"/>
                <w:sz w:val="24"/>
                <w:szCs w:val="24"/>
                <w:highlight w:val="none"/>
                <w:lang w:val="en-US" w:eastAsia="zh-CN"/>
              </w:rPr>
              <w:t>项</w:t>
            </w:r>
            <w:r>
              <w:rPr>
                <w:rFonts w:hint="eastAsia" w:ascii="宋体" w:hAnsi="宋体" w:eastAsia="宋体" w:cs="宋体"/>
                <w:b w:val="0"/>
                <w:bCs w:val="0"/>
                <w:color w:val="auto"/>
                <w:sz w:val="24"/>
                <w:szCs w:val="24"/>
                <w:highlight w:val="none"/>
              </w:rPr>
              <w:t>内容完整、明确且符合项目实际需要的得</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分；</w:t>
            </w:r>
            <w:r>
              <w:rPr>
                <w:rFonts w:hint="eastAsia" w:ascii="宋体" w:hAnsi="宋体" w:cs="宋体"/>
                <w:color w:val="auto"/>
                <w:sz w:val="24"/>
                <w:highlight w:val="none"/>
              </w:rPr>
              <w:t>有欠缺或不足的每项（处）扣</w:t>
            </w:r>
            <w:r>
              <w:rPr>
                <w:rFonts w:hint="eastAsia" w:hAnsi="宋体" w:cs="宋体"/>
                <w:color w:val="auto"/>
                <w:sz w:val="24"/>
                <w:highlight w:val="none"/>
                <w:lang w:val="en-US" w:eastAsia="zh-CN"/>
              </w:rPr>
              <w:t>1</w:t>
            </w:r>
            <w:r>
              <w:rPr>
                <w:rFonts w:hint="eastAsia" w:ascii="宋体" w:hAnsi="宋体" w:cs="宋体"/>
                <w:color w:val="auto"/>
                <w:sz w:val="24"/>
                <w:highlight w:val="none"/>
              </w:rPr>
              <w:t>分，扣完此项分值为止</w:t>
            </w:r>
            <w:r>
              <w:rPr>
                <w:rFonts w:hint="eastAsia" w:ascii="宋体" w:hAnsi="宋体" w:eastAsia="宋体" w:cs="宋体"/>
                <w:b w:val="0"/>
                <w:bCs w:val="0"/>
                <w:color w:val="auto"/>
                <w:sz w:val="24"/>
                <w:szCs w:val="24"/>
                <w:highlight w:val="none"/>
              </w:rPr>
              <w:t>。</w:t>
            </w:r>
          </w:p>
        </w:tc>
        <w:tc>
          <w:tcPr>
            <w:tcW w:w="948" w:type="dxa"/>
            <w:tcBorders>
              <w:tl2br w:val="nil"/>
              <w:tr2bl w:val="nil"/>
            </w:tcBorders>
            <w:noWrap w:val="0"/>
            <w:vAlign w:val="center"/>
          </w:tcPr>
          <w:p w14:paraId="07CD9312">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5</w:t>
            </w:r>
          </w:p>
        </w:tc>
      </w:tr>
      <w:tr w14:paraId="68EEE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1" w:type="dxa"/>
            <w:tcBorders>
              <w:tl2br w:val="nil"/>
              <w:tr2bl w:val="nil"/>
            </w:tcBorders>
            <w:noWrap w:val="0"/>
            <w:vAlign w:val="center"/>
          </w:tcPr>
          <w:p w14:paraId="33077449">
            <w:pPr>
              <w:keepNext w:val="0"/>
              <w:keepLines w:val="0"/>
              <w:pageBreakBefore w:val="0"/>
              <w:widowControl/>
              <w:kinsoku/>
              <w:wordWrap/>
              <w:overflowPunct/>
              <w:topLinePunct w:val="0"/>
              <w:autoSpaceDE/>
              <w:autoSpaceDN/>
              <w:bidi w:val="0"/>
              <w:adjustRightInd/>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1204" w:type="dxa"/>
            <w:tcBorders>
              <w:tl2br w:val="nil"/>
              <w:tr2bl w:val="nil"/>
            </w:tcBorders>
            <w:noWrap w:val="0"/>
            <w:vAlign w:val="center"/>
          </w:tcPr>
          <w:p w14:paraId="49A43AA8">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场地了解与分析</w:t>
            </w:r>
          </w:p>
        </w:tc>
        <w:tc>
          <w:tcPr>
            <w:tcW w:w="6035" w:type="dxa"/>
            <w:tcBorders>
              <w:tl2br w:val="nil"/>
              <w:tr2bl w:val="nil"/>
            </w:tcBorders>
            <w:noWrap w:val="0"/>
            <w:vAlign w:val="center"/>
          </w:tcPr>
          <w:p w14:paraId="0225D212">
            <w:pPr>
              <w:pStyle w:val="24"/>
              <w:keepNext w:val="0"/>
              <w:keepLines w:val="0"/>
              <w:pageBreakBefore w:val="0"/>
              <w:kinsoku/>
              <w:wordWrap/>
              <w:overflowPunct/>
              <w:topLinePunct w:val="0"/>
              <w:autoSpaceDE/>
              <w:autoSpaceDN/>
              <w:bidi w:val="0"/>
              <w:adjustRightInd/>
              <w:spacing w:beforeLines="0" w:beforeAutospacing="0" w:afterLines="0" w:afterAutospacing="0"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w:t>
            </w:r>
            <w:r>
              <w:rPr>
                <w:rFonts w:hint="eastAsia" w:hAnsi="宋体" w:cs="宋体"/>
                <w:color w:val="auto"/>
                <w:sz w:val="24"/>
                <w:szCs w:val="24"/>
                <w:highlight w:val="none"/>
                <w:lang w:val="en-US" w:eastAsia="zh-CN"/>
              </w:rPr>
              <w:t>投标人</w:t>
            </w:r>
            <w:r>
              <w:rPr>
                <w:rFonts w:hint="eastAsia" w:ascii="宋体" w:hAnsi="宋体" w:eastAsia="宋体" w:cs="宋体"/>
                <w:color w:val="auto"/>
                <w:sz w:val="24"/>
                <w:szCs w:val="24"/>
                <w:highlight w:val="none"/>
              </w:rPr>
              <w:t>对</w:t>
            </w:r>
            <w:r>
              <w:rPr>
                <w:rFonts w:hint="eastAsia" w:hAnsi="宋体" w:cs="宋体"/>
                <w:color w:val="auto"/>
                <w:sz w:val="24"/>
                <w:szCs w:val="24"/>
                <w:highlight w:val="none"/>
                <w:lang w:eastAsia="zh-CN"/>
              </w:rPr>
              <w:t>邵飘萍旧居</w:t>
            </w:r>
            <w:r>
              <w:rPr>
                <w:rFonts w:hint="eastAsia" w:ascii="宋体" w:hAnsi="宋体" w:eastAsia="宋体" w:cs="宋体"/>
                <w:color w:val="auto"/>
                <w:sz w:val="24"/>
                <w:szCs w:val="24"/>
                <w:highlight w:val="none"/>
              </w:rPr>
              <w:t>的场地</w:t>
            </w:r>
            <w:r>
              <w:rPr>
                <w:rFonts w:hint="eastAsia" w:hAnsi="宋体" w:cs="宋体"/>
                <w:color w:val="auto"/>
                <w:sz w:val="24"/>
                <w:szCs w:val="24"/>
                <w:highlight w:val="none"/>
                <w:lang w:eastAsia="zh-CN"/>
              </w:rPr>
              <w:t>及设施</w:t>
            </w:r>
            <w:r>
              <w:rPr>
                <w:rFonts w:hint="eastAsia" w:ascii="宋体" w:hAnsi="宋体" w:eastAsia="宋体" w:cs="宋体"/>
                <w:color w:val="auto"/>
                <w:sz w:val="24"/>
                <w:szCs w:val="24"/>
                <w:highlight w:val="none"/>
              </w:rPr>
              <w:t>等是否有一定的了解。</w:t>
            </w:r>
            <w:r>
              <w:rPr>
                <w:rFonts w:hint="eastAsia" w:hAnsi="宋体" w:cs="宋体"/>
                <w:color w:val="auto"/>
                <w:sz w:val="24"/>
                <w:szCs w:val="24"/>
                <w:highlight w:val="none"/>
                <w:lang w:eastAsia="zh-CN"/>
              </w:rPr>
              <w:t>对</w:t>
            </w:r>
            <w:r>
              <w:rPr>
                <w:rFonts w:hint="eastAsia" w:ascii="宋体" w:hAnsi="宋体" w:eastAsia="宋体" w:cs="宋体"/>
                <w:color w:val="auto"/>
                <w:sz w:val="24"/>
                <w:szCs w:val="24"/>
                <w:highlight w:val="none"/>
              </w:rPr>
              <w:t>馆内场地</w:t>
            </w:r>
            <w:r>
              <w:rPr>
                <w:rFonts w:hint="eastAsia" w:hAnsi="宋体" w:cs="宋体"/>
                <w:color w:val="auto"/>
                <w:sz w:val="24"/>
                <w:szCs w:val="24"/>
                <w:highlight w:val="none"/>
                <w:lang w:eastAsia="zh-CN"/>
              </w:rPr>
              <w:t>及设施</w:t>
            </w:r>
            <w:r>
              <w:rPr>
                <w:rFonts w:hint="eastAsia" w:ascii="宋体" w:hAnsi="宋体" w:eastAsia="宋体" w:cs="宋体"/>
                <w:color w:val="auto"/>
                <w:sz w:val="24"/>
                <w:szCs w:val="24"/>
                <w:highlight w:val="none"/>
              </w:rPr>
              <w:t>了解比较全面的得</w:t>
            </w:r>
            <w:r>
              <w:rPr>
                <w:rFonts w:hint="eastAsia"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cs="宋体"/>
                <w:color w:val="auto"/>
                <w:sz w:val="24"/>
                <w:highlight w:val="none"/>
              </w:rPr>
              <w:t>有欠缺或不足的每项（处）扣</w:t>
            </w:r>
            <w:r>
              <w:rPr>
                <w:rFonts w:hint="eastAsia" w:hAnsi="宋体" w:cs="宋体"/>
                <w:color w:val="auto"/>
                <w:sz w:val="24"/>
                <w:highlight w:val="none"/>
                <w:lang w:val="en-US" w:eastAsia="zh-CN"/>
              </w:rPr>
              <w:t>1</w:t>
            </w:r>
            <w:r>
              <w:rPr>
                <w:rFonts w:hint="eastAsia" w:ascii="宋体" w:hAnsi="宋体" w:cs="宋体"/>
                <w:color w:val="auto"/>
                <w:sz w:val="24"/>
                <w:highlight w:val="none"/>
              </w:rPr>
              <w:t>分，扣完此项分值为止。</w:t>
            </w:r>
          </w:p>
          <w:p w14:paraId="1BED1F37">
            <w:pPr>
              <w:pStyle w:val="24"/>
              <w:keepNext w:val="0"/>
              <w:keepLines w:val="0"/>
              <w:pageBreakBefore w:val="0"/>
              <w:kinsoku/>
              <w:wordWrap/>
              <w:overflowPunct/>
              <w:topLinePunct w:val="0"/>
              <w:autoSpaceDE/>
              <w:autoSpaceDN/>
              <w:bidi w:val="0"/>
              <w:adjustRightInd/>
              <w:spacing w:beforeLines="0" w:beforeAutospacing="0" w:afterLines="0" w:afterAutospacing="0" w:line="240" w:lineRule="auto"/>
              <w:textAlignment w:val="auto"/>
              <w:rPr>
                <w:rFonts w:hint="eastAsia" w:ascii="宋体" w:hAnsi="宋体" w:eastAsia="宋体" w:cs="宋体"/>
                <w:b/>
                <w:bCs/>
                <w:color w:val="auto"/>
                <w:kern w:val="2"/>
                <w:sz w:val="24"/>
                <w:szCs w:val="21"/>
                <w:highlight w:val="none"/>
                <w:lang w:val="en-US" w:eastAsia="zh-CN" w:bidi="ar-SA"/>
              </w:rPr>
            </w:pPr>
            <w:r>
              <w:rPr>
                <w:rFonts w:hint="eastAsia" w:ascii="宋体" w:hAnsi="宋体" w:eastAsia="宋体" w:cs="宋体"/>
                <w:b/>
                <w:bCs/>
                <w:color w:val="auto"/>
                <w:sz w:val="24"/>
                <w:szCs w:val="24"/>
                <w:highlight w:val="none"/>
              </w:rPr>
              <w:t>注：</w:t>
            </w:r>
            <w:r>
              <w:rPr>
                <w:rFonts w:hint="eastAsia" w:hAnsi="宋体" w:cs="宋体"/>
                <w:b/>
                <w:bCs/>
                <w:color w:val="auto"/>
                <w:sz w:val="24"/>
                <w:szCs w:val="24"/>
                <w:highlight w:val="none"/>
                <w:lang w:eastAsia="zh-CN"/>
              </w:rPr>
              <w:t>投标</w:t>
            </w:r>
            <w:r>
              <w:rPr>
                <w:rFonts w:hint="eastAsia" w:ascii="宋体" w:hAnsi="宋体" w:eastAsia="宋体" w:cs="宋体"/>
                <w:b/>
                <w:bCs/>
                <w:color w:val="auto"/>
                <w:sz w:val="24"/>
                <w:szCs w:val="24"/>
                <w:highlight w:val="none"/>
              </w:rPr>
              <w:t>文件中须提供相关的证明材料。</w:t>
            </w:r>
          </w:p>
        </w:tc>
        <w:tc>
          <w:tcPr>
            <w:tcW w:w="948" w:type="dxa"/>
            <w:tcBorders>
              <w:tl2br w:val="nil"/>
              <w:tr2bl w:val="nil"/>
            </w:tcBorders>
            <w:noWrap w:val="0"/>
            <w:vAlign w:val="center"/>
          </w:tcPr>
          <w:p w14:paraId="2C5C7665">
            <w:pPr>
              <w:keepNext w:val="0"/>
              <w:keepLines w:val="0"/>
              <w:pageBreakBefore w:val="0"/>
              <w:widowControl/>
              <w:kinsoku/>
              <w:wordWrap/>
              <w:overflowPunct/>
              <w:topLinePunct w:val="0"/>
              <w:autoSpaceDE/>
              <w:autoSpaceDN/>
              <w:bidi w:val="0"/>
              <w:adjustRightInd/>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w:t>
            </w:r>
          </w:p>
        </w:tc>
      </w:tr>
      <w:tr w14:paraId="2FBDA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1" w:type="dxa"/>
            <w:tcBorders>
              <w:tl2br w:val="nil"/>
              <w:tr2bl w:val="nil"/>
            </w:tcBorders>
            <w:noWrap w:val="0"/>
            <w:vAlign w:val="center"/>
          </w:tcPr>
          <w:p w14:paraId="0496CFFD">
            <w:pPr>
              <w:keepNext w:val="0"/>
              <w:keepLines w:val="0"/>
              <w:pageBreakBefore w:val="0"/>
              <w:widowControl/>
              <w:kinsoku/>
              <w:wordWrap/>
              <w:overflowPunct/>
              <w:topLinePunct w:val="0"/>
              <w:autoSpaceDE/>
              <w:autoSpaceDN/>
              <w:bidi w:val="0"/>
              <w:adjustRightInd/>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1204" w:type="dxa"/>
            <w:tcBorders>
              <w:tl2br w:val="nil"/>
              <w:tr2bl w:val="nil"/>
            </w:tcBorders>
            <w:noWrap w:val="0"/>
            <w:vAlign w:val="center"/>
          </w:tcPr>
          <w:p w14:paraId="746C14C5">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cs="宋体"/>
                <w:color w:val="auto"/>
                <w:sz w:val="24"/>
                <w:highlight w:val="none"/>
                <w:lang w:val="en-US" w:eastAsia="zh-CN"/>
              </w:rPr>
            </w:pPr>
            <w:r>
              <w:rPr>
                <w:rFonts w:hint="eastAsia" w:ascii="宋体" w:hAnsi="宋体" w:eastAsia="宋体" w:cs="宋体"/>
                <w:color w:val="auto"/>
                <w:sz w:val="24"/>
                <w:szCs w:val="24"/>
                <w:highlight w:val="none"/>
                <w:lang w:eastAsia="zh-CN"/>
              </w:rPr>
              <w:t>策划</w:t>
            </w:r>
            <w:r>
              <w:rPr>
                <w:rFonts w:hint="eastAsia" w:hAnsi="宋体" w:cs="宋体"/>
                <w:color w:val="auto"/>
                <w:sz w:val="24"/>
                <w:szCs w:val="24"/>
                <w:highlight w:val="none"/>
                <w:lang w:val="en-US" w:eastAsia="zh-CN"/>
              </w:rPr>
              <w:t>方案</w:t>
            </w:r>
            <w:r>
              <w:rPr>
                <w:rFonts w:hint="eastAsia" w:ascii="宋体" w:hAnsi="宋体" w:eastAsia="宋体" w:cs="宋体"/>
                <w:color w:val="auto"/>
                <w:sz w:val="24"/>
                <w:szCs w:val="24"/>
                <w:highlight w:val="none"/>
                <w:lang w:eastAsia="zh-CN"/>
              </w:rPr>
              <w:t>文本</w:t>
            </w:r>
          </w:p>
        </w:tc>
        <w:tc>
          <w:tcPr>
            <w:tcW w:w="6035" w:type="dxa"/>
            <w:tcBorders>
              <w:tl2br w:val="nil"/>
              <w:tr2bl w:val="nil"/>
            </w:tcBorders>
            <w:noWrap w:val="0"/>
            <w:vAlign w:val="center"/>
          </w:tcPr>
          <w:p w14:paraId="795AB8C5">
            <w:pPr>
              <w:pStyle w:val="24"/>
              <w:keepNext w:val="0"/>
              <w:keepLines w:val="0"/>
              <w:pageBreakBefore w:val="0"/>
              <w:kinsoku/>
              <w:wordWrap/>
              <w:overflowPunct/>
              <w:topLinePunct w:val="0"/>
              <w:autoSpaceDE/>
              <w:autoSpaceDN/>
              <w:bidi w:val="0"/>
              <w:adjustRightInd/>
              <w:spacing w:beforeLines="0" w:beforeAutospacing="0" w:afterLines="0" w:afterAutospacing="0" w:line="240" w:lineRule="auto"/>
              <w:textAlignment w:val="auto"/>
              <w:rPr>
                <w:rFonts w:hint="eastAsia" w:hAnsi="宋体" w:cs="宋体"/>
                <w:color w:val="auto"/>
                <w:sz w:val="24"/>
                <w:szCs w:val="24"/>
                <w:highlight w:val="none"/>
                <w:lang w:eastAsia="zh-CN"/>
              </w:rPr>
            </w:pPr>
            <w:r>
              <w:rPr>
                <w:rFonts w:hint="eastAsia" w:hAnsi="宋体" w:cs="宋体"/>
                <w:color w:val="auto"/>
                <w:sz w:val="24"/>
                <w:szCs w:val="24"/>
                <w:highlight w:val="none"/>
                <w:lang w:val="en-US" w:eastAsia="zh-CN"/>
              </w:rPr>
              <w:t>投标人根据采购人</w:t>
            </w:r>
            <w:r>
              <w:rPr>
                <w:rFonts w:hint="eastAsia" w:ascii="宋体" w:hAnsi="宋体" w:eastAsia="宋体" w:cs="宋体"/>
                <w:color w:val="auto"/>
                <w:sz w:val="24"/>
                <w:szCs w:val="24"/>
                <w:highlight w:val="none"/>
              </w:rPr>
              <w:t>提供</w:t>
            </w:r>
            <w:r>
              <w:rPr>
                <w:rFonts w:hint="eastAsia" w:hAnsi="宋体" w:cs="宋体"/>
                <w:color w:val="auto"/>
                <w:sz w:val="24"/>
                <w:szCs w:val="24"/>
                <w:highlight w:val="none"/>
                <w:lang w:val="en-US" w:eastAsia="zh-CN"/>
              </w:rPr>
              <w:t>的</w:t>
            </w:r>
            <w:r>
              <w:rPr>
                <w:rFonts w:hint="eastAsia" w:ascii="宋体" w:hAnsi="宋体" w:eastAsia="宋体" w:cs="宋体"/>
                <w:b/>
                <w:bCs/>
                <w:color w:val="auto"/>
                <w:sz w:val="24"/>
                <w:szCs w:val="24"/>
                <w:highlight w:val="none"/>
                <w:lang w:eastAsia="zh-CN"/>
              </w:rPr>
              <w:t>邵飘萍旧居展陈</w:t>
            </w:r>
            <w:r>
              <w:rPr>
                <w:rFonts w:hint="eastAsia" w:hAnsi="宋体" w:cs="宋体"/>
                <w:color w:val="auto"/>
                <w:sz w:val="24"/>
                <w:szCs w:val="24"/>
                <w:highlight w:val="none"/>
                <w:lang w:eastAsia="zh-CN"/>
              </w:rPr>
              <w:t>内容大纲（</w:t>
            </w:r>
            <w:r>
              <w:rPr>
                <w:rFonts w:hint="eastAsia" w:hAnsi="宋体" w:cs="宋体"/>
                <w:color w:val="auto"/>
                <w:sz w:val="24"/>
                <w:szCs w:val="24"/>
                <w:highlight w:val="none"/>
                <w:lang w:val="en-US" w:eastAsia="zh-CN"/>
              </w:rPr>
              <w:t>详见附件2</w:t>
            </w:r>
            <w:r>
              <w:rPr>
                <w:rFonts w:hint="eastAsia" w:hAnsi="宋体" w:cs="宋体"/>
                <w:color w:val="auto"/>
                <w:sz w:val="24"/>
                <w:szCs w:val="24"/>
                <w:highlight w:val="none"/>
                <w:lang w:eastAsia="zh-CN"/>
              </w:rPr>
              <w:t>），撰写邵飘萍展陈细化策划文本</w:t>
            </w:r>
          </w:p>
          <w:p w14:paraId="482402DD">
            <w:pPr>
              <w:pStyle w:val="24"/>
              <w:keepNext w:val="0"/>
              <w:keepLines w:val="0"/>
              <w:pageBreakBefore w:val="0"/>
              <w:kinsoku/>
              <w:wordWrap/>
              <w:overflowPunct/>
              <w:topLinePunct w:val="0"/>
              <w:autoSpaceDE/>
              <w:autoSpaceDN/>
              <w:bidi w:val="0"/>
              <w:adjustRightInd/>
              <w:spacing w:beforeLines="0" w:beforeAutospacing="0" w:afterLines="0" w:afterAutospacing="0" w:line="240" w:lineRule="auto"/>
              <w:textAlignment w:val="auto"/>
              <w:rPr>
                <w:rFonts w:hint="eastAsia" w:ascii="宋体" w:hAnsi="宋体" w:eastAsia="宋体" w:cs="宋体"/>
                <w:color w:val="auto"/>
                <w:sz w:val="24"/>
                <w:szCs w:val="24"/>
                <w:highlight w:val="none"/>
                <w:lang w:eastAsia="zh-CN"/>
              </w:rPr>
            </w:pP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1</w:t>
            </w: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投标人</w:t>
            </w:r>
            <w:r>
              <w:rPr>
                <w:rFonts w:hint="eastAsia" w:hAnsi="宋体" w:cs="宋体"/>
                <w:color w:val="auto"/>
                <w:sz w:val="24"/>
                <w:szCs w:val="24"/>
                <w:highlight w:val="none"/>
                <w:lang w:eastAsia="zh-CN"/>
              </w:rPr>
              <w:t>提炼传播目的，</w:t>
            </w:r>
            <w:r>
              <w:rPr>
                <w:rFonts w:hint="eastAsia" w:hAnsi="宋体" w:cs="宋体"/>
                <w:color w:val="auto"/>
                <w:sz w:val="24"/>
                <w:szCs w:val="24"/>
                <w:highlight w:val="none"/>
                <w:lang w:val="en-US" w:eastAsia="zh-CN"/>
              </w:rPr>
              <w:t>符合展览主题和内容定位，</w:t>
            </w:r>
            <w:r>
              <w:rPr>
                <w:rFonts w:hint="eastAsia" w:ascii="宋体" w:hAnsi="宋体" w:eastAsia="宋体" w:cs="宋体"/>
                <w:b w:val="0"/>
                <w:bCs w:val="0"/>
                <w:color w:val="auto"/>
                <w:sz w:val="24"/>
                <w:szCs w:val="24"/>
                <w:highlight w:val="none"/>
              </w:rPr>
              <w:t>得</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分；</w:t>
            </w:r>
            <w:r>
              <w:rPr>
                <w:rFonts w:hint="eastAsia" w:ascii="宋体" w:hAnsi="宋体" w:cs="宋体"/>
                <w:color w:val="auto"/>
                <w:sz w:val="24"/>
                <w:highlight w:val="none"/>
              </w:rPr>
              <w:t>有欠缺或不足的每项（处）扣</w:t>
            </w:r>
            <w:r>
              <w:rPr>
                <w:rFonts w:hint="eastAsia" w:hAnsi="宋体" w:cs="宋体"/>
                <w:color w:val="auto"/>
                <w:sz w:val="24"/>
                <w:highlight w:val="none"/>
                <w:lang w:val="en-US" w:eastAsia="zh-CN"/>
              </w:rPr>
              <w:t>1</w:t>
            </w:r>
            <w:r>
              <w:rPr>
                <w:rFonts w:hint="eastAsia" w:ascii="宋体" w:hAnsi="宋体" w:cs="宋体"/>
                <w:color w:val="auto"/>
                <w:sz w:val="24"/>
                <w:highlight w:val="none"/>
              </w:rPr>
              <w:t>分，扣完此项分值为止</w:t>
            </w:r>
            <w:r>
              <w:rPr>
                <w:rFonts w:hint="eastAsia" w:ascii="宋体" w:hAnsi="宋体" w:eastAsia="宋体" w:cs="宋体"/>
                <w:b w:val="0"/>
                <w:bCs w:val="0"/>
                <w:color w:val="auto"/>
                <w:sz w:val="24"/>
                <w:szCs w:val="24"/>
                <w:highlight w:val="none"/>
              </w:rPr>
              <w:t>。</w:t>
            </w:r>
          </w:p>
          <w:p w14:paraId="30785C95">
            <w:pPr>
              <w:pStyle w:val="24"/>
              <w:keepNext w:val="0"/>
              <w:keepLines w:val="0"/>
              <w:pageBreakBefore w:val="0"/>
              <w:kinsoku/>
              <w:wordWrap/>
              <w:overflowPunct/>
              <w:topLinePunct w:val="0"/>
              <w:autoSpaceDE/>
              <w:autoSpaceDN/>
              <w:bidi w:val="0"/>
              <w:adjustRightInd/>
              <w:spacing w:beforeLines="0" w:beforeAutospacing="0" w:afterLines="0" w:afterAutospacing="0" w:line="240" w:lineRule="auto"/>
              <w:textAlignment w:val="auto"/>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（2）投标人提出可增补的内容，与本次项目内容能够融合，符合项目实际落地需要的得</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分；</w:t>
            </w:r>
            <w:r>
              <w:rPr>
                <w:rFonts w:hint="eastAsia" w:ascii="宋体" w:hAnsi="宋体" w:cs="宋体"/>
                <w:color w:val="auto"/>
                <w:sz w:val="24"/>
                <w:highlight w:val="none"/>
              </w:rPr>
              <w:t>有欠缺或不足的每项（处）扣</w:t>
            </w:r>
            <w:r>
              <w:rPr>
                <w:rFonts w:hint="eastAsia" w:hAnsi="宋体" w:cs="宋体"/>
                <w:color w:val="auto"/>
                <w:sz w:val="24"/>
                <w:highlight w:val="none"/>
                <w:lang w:val="en-US" w:eastAsia="zh-CN"/>
              </w:rPr>
              <w:t>1</w:t>
            </w:r>
            <w:r>
              <w:rPr>
                <w:rFonts w:hint="eastAsia" w:ascii="宋体" w:hAnsi="宋体" w:cs="宋体"/>
                <w:color w:val="auto"/>
                <w:sz w:val="24"/>
                <w:highlight w:val="none"/>
              </w:rPr>
              <w:t>分，扣完此项分值为止</w:t>
            </w:r>
            <w:r>
              <w:rPr>
                <w:rFonts w:hint="eastAsia" w:ascii="宋体" w:hAnsi="宋体" w:eastAsia="宋体" w:cs="宋体"/>
                <w:b w:val="0"/>
                <w:bCs w:val="0"/>
                <w:color w:val="auto"/>
                <w:sz w:val="24"/>
                <w:szCs w:val="24"/>
                <w:highlight w:val="none"/>
              </w:rPr>
              <w:t>。</w:t>
            </w:r>
          </w:p>
          <w:p w14:paraId="2DCF20F4">
            <w:pPr>
              <w:pStyle w:val="24"/>
              <w:keepNext w:val="0"/>
              <w:keepLines w:val="0"/>
              <w:pageBreakBefore w:val="0"/>
              <w:kinsoku/>
              <w:wordWrap/>
              <w:overflowPunct/>
              <w:topLinePunct w:val="0"/>
              <w:autoSpaceDE/>
              <w:autoSpaceDN/>
              <w:bidi w:val="0"/>
              <w:adjustRightInd/>
              <w:spacing w:beforeLines="0" w:beforeAutospacing="0" w:afterLines="0" w:afterAutospacing="0" w:line="240" w:lineRule="auto"/>
              <w:textAlignment w:val="auto"/>
              <w:rPr>
                <w:rFonts w:hint="eastAsia" w:ascii="宋体" w:hAnsi="宋体" w:eastAsia="宋体" w:cs="宋体"/>
                <w:b w:val="0"/>
                <w:bCs w:val="0"/>
                <w:color w:val="auto"/>
                <w:sz w:val="24"/>
                <w:szCs w:val="24"/>
                <w:highlight w:val="none"/>
              </w:rPr>
            </w:pP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3</w:t>
            </w: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投标人提出</w:t>
            </w:r>
            <w:r>
              <w:rPr>
                <w:rFonts w:hint="eastAsia" w:hAnsi="宋体" w:cs="宋体"/>
                <w:color w:val="auto"/>
                <w:sz w:val="24"/>
                <w:szCs w:val="24"/>
                <w:highlight w:val="none"/>
                <w:lang w:eastAsia="zh-CN"/>
              </w:rPr>
              <w:t>细化策划文本，</w:t>
            </w:r>
            <w:r>
              <w:rPr>
                <w:rFonts w:hint="eastAsia" w:hAnsi="宋体" w:cs="宋体"/>
                <w:color w:val="auto"/>
                <w:sz w:val="24"/>
                <w:szCs w:val="24"/>
                <w:highlight w:val="none"/>
                <w:lang w:val="en-US" w:eastAsia="zh-CN"/>
              </w:rPr>
              <w:t>具有系统性，完整性，文本内容全面完整，脉络清晰的得</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分；</w:t>
            </w:r>
            <w:r>
              <w:rPr>
                <w:rFonts w:hint="eastAsia" w:ascii="宋体" w:hAnsi="宋体" w:cs="宋体"/>
                <w:color w:val="auto"/>
                <w:sz w:val="24"/>
                <w:highlight w:val="none"/>
              </w:rPr>
              <w:t>有欠缺或不足的每项（处）扣</w:t>
            </w:r>
            <w:r>
              <w:rPr>
                <w:rFonts w:hint="eastAsia" w:hAnsi="宋体" w:cs="宋体"/>
                <w:color w:val="auto"/>
                <w:sz w:val="24"/>
                <w:highlight w:val="none"/>
                <w:lang w:val="en-US" w:eastAsia="zh-CN"/>
              </w:rPr>
              <w:t>1</w:t>
            </w:r>
            <w:r>
              <w:rPr>
                <w:rFonts w:hint="eastAsia" w:ascii="宋体" w:hAnsi="宋体" w:cs="宋体"/>
                <w:color w:val="auto"/>
                <w:sz w:val="24"/>
                <w:highlight w:val="none"/>
              </w:rPr>
              <w:t>分，扣完此项分值为止</w:t>
            </w:r>
            <w:r>
              <w:rPr>
                <w:rFonts w:hint="eastAsia" w:ascii="宋体" w:hAnsi="宋体" w:eastAsia="宋体" w:cs="宋体"/>
                <w:b w:val="0"/>
                <w:bCs w:val="0"/>
                <w:color w:val="auto"/>
                <w:sz w:val="24"/>
                <w:szCs w:val="24"/>
                <w:highlight w:val="none"/>
              </w:rPr>
              <w:t>。</w:t>
            </w:r>
          </w:p>
          <w:p w14:paraId="2719E547">
            <w:pPr>
              <w:pStyle w:val="24"/>
              <w:keepNext w:val="0"/>
              <w:keepLines w:val="0"/>
              <w:pageBreakBefore w:val="0"/>
              <w:kinsoku/>
              <w:wordWrap/>
              <w:overflowPunct/>
              <w:topLinePunct w:val="0"/>
              <w:autoSpaceDE/>
              <w:autoSpaceDN/>
              <w:bidi w:val="0"/>
              <w:adjustRightInd/>
              <w:spacing w:beforeLines="0" w:beforeAutospacing="0" w:afterLines="0" w:afterAutospacing="0" w:line="240" w:lineRule="auto"/>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投标人提出的模型、雕塑、图表、照片及场景复原等方式，能</w:t>
            </w:r>
            <w:r>
              <w:rPr>
                <w:rFonts w:hint="eastAsia" w:hAnsi="宋体" w:cs="宋体"/>
                <w:color w:val="auto"/>
                <w:sz w:val="24"/>
                <w:szCs w:val="24"/>
                <w:highlight w:val="none"/>
                <w:lang w:val="en-US" w:eastAsia="zh-CN"/>
              </w:rPr>
              <w:t>精准传达本次展览的核心内容，符合项目实际落地需要的得</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分；</w:t>
            </w:r>
            <w:r>
              <w:rPr>
                <w:rFonts w:hint="eastAsia" w:ascii="宋体" w:hAnsi="宋体" w:cs="宋体"/>
                <w:color w:val="auto"/>
                <w:sz w:val="24"/>
                <w:highlight w:val="none"/>
              </w:rPr>
              <w:t>有欠缺或不足的每项（处）扣</w:t>
            </w:r>
            <w:r>
              <w:rPr>
                <w:rFonts w:hint="eastAsia" w:hAnsi="宋体" w:cs="宋体"/>
                <w:color w:val="auto"/>
                <w:sz w:val="24"/>
                <w:highlight w:val="none"/>
                <w:lang w:val="en-US" w:eastAsia="zh-CN"/>
              </w:rPr>
              <w:t>1</w:t>
            </w:r>
            <w:r>
              <w:rPr>
                <w:rFonts w:hint="eastAsia" w:ascii="宋体" w:hAnsi="宋体" w:cs="宋体"/>
                <w:color w:val="auto"/>
                <w:sz w:val="24"/>
                <w:highlight w:val="none"/>
              </w:rPr>
              <w:t>分，扣完此项分值为止</w:t>
            </w:r>
            <w:r>
              <w:rPr>
                <w:rFonts w:hint="eastAsia" w:ascii="宋体" w:hAnsi="宋体" w:eastAsia="宋体" w:cs="宋体"/>
                <w:b w:val="0"/>
                <w:bCs w:val="0"/>
                <w:color w:val="auto"/>
                <w:sz w:val="24"/>
                <w:szCs w:val="24"/>
                <w:highlight w:val="none"/>
              </w:rPr>
              <w:t>。</w:t>
            </w:r>
          </w:p>
        </w:tc>
        <w:tc>
          <w:tcPr>
            <w:tcW w:w="948" w:type="dxa"/>
            <w:tcBorders>
              <w:tl2br w:val="nil"/>
              <w:tr2bl w:val="nil"/>
            </w:tcBorders>
            <w:noWrap w:val="0"/>
            <w:vAlign w:val="center"/>
          </w:tcPr>
          <w:p w14:paraId="389C351F">
            <w:pPr>
              <w:keepNext w:val="0"/>
              <w:keepLines w:val="0"/>
              <w:pageBreakBefore w:val="0"/>
              <w:widowControl/>
              <w:kinsoku/>
              <w:wordWrap/>
              <w:overflowPunct/>
              <w:topLinePunct w:val="0"/>
              <w:autoSpaceDE/>
              <w:autoSpaceDN/>
              <w:bidi w:val="0"/>
              <w:adjustRightInd/>
              <w:spacing w:line="24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20</w:t>
            </w:r>
          </w:p>
        </w:tc>
      </w:tr>
      <w:tr w14:paraId="4A8AE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791" w:type="dxa"/>
            <w:vMerge w:val="restart"/>
            <w:tcBorders>
              <w:tl2br w:val="nil"/>
              <w:tr2bl w:val="nil"/>
            </w:tcBorders>
            <w:noWrap w:val="0"/>
            <w:vAlign w:val="center"/>
          </w:tcPr>
          <w:p w14:paraId="06B2943B">
            <w:pPr>
              <w:keepNext w:val="0"/>
              <w:keepLines w:val="0"/>
              <w:pageBreakBefore w:val="0"/>
              <w:widowControl/>
              <w:kinsoku/>
              <w:wordWrap/>
              <w:overflowPunct/>
              <w:topLinePunct w:val="0"/>
              <w:autoSpaceDE/>
              <w:autoSpaceDN/>
              <w:bidi w:val="0"/>
              <w:adjustRightInd/>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1204" w:type="dxa"/>
            <w:vMerge w:val="restart"/>
            <w:tcBorders>
              <w:tl2br w:val="nil"/>
              <w:tr2bl w:val="nil"/>
            </w:tcBorders>
            <w:noWrap w:val="0"/>
            <w:vAlign w:val="center"/>
          </w:tcPr>
          <w:p w14:paraId="2B6126EE">
            <w:pPr>
              <w:keepNext w:val="0"/>
              <w:keepLines w:val="0"/>
              <w:pageBreakBefore w:val="0"/>
              <w:widowControl/>
              <w:kinsoku/>
              <w:wordWrap/>
              <w:overflowPunct/>
              <w:topLinePunct w:val="0"/>
              <w:autoSpaceDE/>
              <w:autoSpaceDN/>
              <w:bidi w:val="0"/>
              <w:adjustRightInd/>
              <w:spacing w:line="240" w:lineRule="auto"/>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设计方案及对应清单细化情况</w:t>
            </w:r>
          </w:p>
        </w:tc>
        <w:tc>
          <w:tcPr>
            <w:tcW w:w="6035" w:type="dxa"/>
            <w:tcBorders>
              <w:tl2br w:val="nil"/>
              <w:tr2bl w:val="nil"/>
            </w:tcBorders>
            <w:noWrap w:val="0"/>
            <w:vAlign w:val="center"/>
          </w:tcPr>
          <w:p w14:paraId="7B8BADB2">
            <w:pPr>
              <w:pStyle w:val="24"/>
              <w:keepNext w:val="0"/>
              <w:keepLines w:val="0"/>
              <w:pageBreakBefore w:val="0"/>
              <w:kinsoku/>
              <w:wordWrap/>
              <w:overflowPunct/>
              <w:topLinePunct w:val="0"/>
              <w:autoSpaceDE/>
              <w:autoSpaceDN/>
              <w:bidi w:val="0"/>
              <w:adjustRightInd/>
              <w:spacing w:beforeLines="0" w:afterLines="0" w:line="240" w:lineRule="auto"/>
              <w:textAlignment w:val="auto"/>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根据投标人</w:t>
            </w:r>
            <w:r>
              <w:rPr>
                <w:rFonts w:hint="eastAsia" w:ascii="宋体" w:hAnsi="宋体" w:eastAsia="宋体" w:cs="宋体"/>
                <w:color w:val="auto"/>
                <w:sz w:val="24"/>
                <w:szCs w:val="24"/>
                <w:highlight w:val="none"/>
              </w:rPr>
              <w:t>提供</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邵飘萍旧居展陈</w:t>
            </w:r>
            <w:r>
              <w:rPr>
                <w:rFonts w:hint="eastAsia" w:ascii="宋体" w:hAnsi="宋体" w:eastAsia="宋体" w:cs="宋体"/>
                <w:color w:val="auto"/>
                <w:sz w:val="24"/>
                <w:szCs w:val="24"/>
                <w:highlight w:val="none"/>
              </w:rPr>
              <w:t>”</w:t>
            </w:r>
            <w:r>
              <w:rPr>
                <w:rFonts w:hint="eastAsia" w:hAnsi="宋体" w:cs="宋体"/>
                <w:color w:val="auto"/>
                <w:sz w:val="24"/>
                <w:szCs w:val="24"/>
                <w:highlight w:val="none"/>
                <w:lang w:val="en-US" w:eastAsia="zh-CN"/>
              </w:rPr>
              <w:t>的</w:t>
            </w:r>
            <w:r>
              <w:rPr>
                <w:rFonts w:hint="eastAsia" w:ascii="宋体" w:hAnsi="宋体" w:eastAsia="宋体" w:cs="宋体"/>
                <w:color w:val="auto"/>
                <w:sz w:val="24"/>
                <w:szCs w:val="24"/>
                <w:highlight w:val="none"/>
              </w:rPr>
              <w:t>初步拟定设计方案，设计方案应包含但不限于</w:t>
            </w:r>
            <w:r>
              <w:rPr>
                <w:rFonts w:hint="eastAsia" w:ascii="宋体" w:hAnsi="宋体" w:cs="宋体"/>
                <w:b w:val="0"/>
                <w:bCs/>
                <w:color w:val="auto"/>
                <w:sz w:val="24"/>
                <w:szCs w:val="24"/>
                <w:highlight w:val="none"/>
                <w:vertAlign w:val="baseline"/>
                <w:lang w:val="en-US" w:eastAsia="zh-CN"/>
              </w:rPr>
              <w:t>展览总平图、观众走线图、空间设计图、亮点部分效果图、图文版面设计图、</w:t>
            </w:r>
            <w:r>
              <w:rPr>
                <w:rFonts w:hint="eastAsia" w:hAnsi="宋体" w:cs="宋体"/>
                <w:b w:val="0"/>
                <w:bCs/>
                <w:color w:val="auto"/>
                <w:sz w:val="24"/>
                <w:szCs w:val="24"/>
                <w:highlight w:val="none"/>
                <w:vertAlign w:val="baseline"/>
                <w:lang w:val="en-US" w:eastAsia="zh-CN"/>
              </w:rPr>
              <w:t>展架结构图（固定方式）、</w:t>
            </w:r>
            <w:r>
              <w:rPr>
                <w:rFonts w:hint="eastAsia" w:ascii="宋体" w:hAnsi="宋体" w:cs="宋体"/>
                <w:b w:val="0"/>
                <w:bCs/>
                <w:color w:val="auto"/>
                <w:sz w:val="24"/>
                <w:szCs w:val="24"/>
                <w:highlight w:val="none"/>
                <w:vertAlign w:val="baseline"/>
                <w:lang w:val="en-US" w:eastAsia="zh-CN"/>
              </w:rPr>
              <w:t>照明设计图等</w:t>
            </w:r>
            <w:r>
              <w:rPr>
                <w:rFonts w:hint="eastAsia" w:ascii="宋体" w:hAnsi="宋体" w:eastAsia="宋体" w:cs="宋体"/>
                <w:color w:val="auto"/>
                <w:sz w:val="24"/>
                <w:szCs w:val="24"/>
                <w:highlight w:val="none"/>
              </w:rPr>
              <w:t>。</w:t>
            </w:r>
          </w:p>
          <w:p w14:paraId="3A1F2225">
            <w:pPr>
              <w:pStyle w:val="24"/>
              <w:keepNext w:val="0"/>
              <w:keepLines w:val="0"/>
              <w:pageBreakBefore w:val="0"/>
              <w:kinsoku/>
              <w:wordWrap/>
              <w:overflowPunct/>
              <w:topLinePunct w:val="0"/>
              <w:autoSpaceDE/>
              <w:autoSpaceDN/>
              <w:bidi w:val="0"/>
              <w:adjustRightInd/>
              <w:spacing w:beforeLines="0" w:afterLines="0"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提供的</w:t>
            </w:r>
            <w:r>
              <w:rPr>
                <w:rFonts w:hint="eastAsia" w:ascii="宋体" w:hAnsi="宋体" w:cs="宋体"/>
                <w:b w:val="0"/>
                <w:bCs/>
                <w:color w:val="auto"/>
                <w:sz w:val="24"/>
                <w:szCs w:val="24"/>
                <w:highlight w:val="none"/>
                <w:vertAlign w:val="baseline"/>
                <w:lang w:val="en-US" w:eastAsia="zh-CN"/>
              </w:rPr>
              <w:t>展览总平图</w:t>
            </w:r>
            <w:r>
              <w:rPr>
                <w:rFonts w:hint="eastAsia" w:ascii="宋体" w:hAnsi="宋体" w:eastAsia="宋体" w:cs="宋体"/>
                <w:color w:val="auto"/>
                <w:sz w:val="24"/>
                <w:szCs w:val="24"/>
                <w:highlight w:val="none"/>
              </w:rPr>
              <w:t>合理性进行综合评议，分区合理的得</w:t>
            </w:r>
            <w:r>
              <w:rPr>
                <w:rFonts w:hint="eastAsia"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cs="宋体"/>
                <w:color w:val="auto"/>
                <w:sz w:val="24"/>
                <w:highlight w:val="none"/>
              </w:rPr>
              <w:t>有欠缺或不足的每项（处）扣</w:t>
            </w:r>
            <w:r>
              <w:rPr>
                <w:rFonts w:hint="eastAsia" w:hAnsi="宋体" w:cs="宋体"/>
                <w:color w:val="auto"/>
                <w:sz w:val="24"/>
                <w:highlight w:val="none"/>
                <w:lang w:val="en-US" w:eastAsia="zh-CN"/>
              </w:rPr>
              <w:t>1</w:t>
            </w:r>
            <w:r>
              <w:rPr>
                <w:rFonts w:hint="eastAsia" w:ascii="宋体" w:hAnsi="宋体" w:cs="宋体"/>
                <w:color w:val="auto"/>
                <w:sz w:val="24"/>
                <w:highlight w:val="none"/>
              </w:rPr>
              <w:t>分，扣完此项分值为止</w:t>
            </w:r>
            <w:r>
              <w:rPr>
                <w:rFonts w:hint="eastAsia" w:ascii="宋体" w:hAnsi="宋体" w:eastAsia="宋体" w:cs="宋体"/>
                <w:color w:val="auto"/>
                <w:sz w:val="24"/>
                <w:szCs w:val="24"/>
                <w:highlight w:val="none"/>
              </w:rPr>
              <w:t>。</w:t>
            </w:r>
          </w:p>
          <w:p w14:paraId="1D52E396">
            <w:pPr>
              <w:pStyle w:val="24"/>
              <w:keepNext w:val="0"/>
              <w:keepLines w:val="0"/>
              <w:pageBreakBefore w:val="0"/>
              <w:kinsoku/>
              <w:wordWrap/>
              <w:overflowPunct/>
              <w:topLinePunct w:val="0"/>
              <w:autoSpaceDE/>
              <w:autoSpaceDN/>
              <w:bidi w:val="0"/>
              <w:adjustRightInd/>
              <w:spacing w:beforeLines="0" w:afterLines="0"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提供</w:t>
            </w:r>
            <w:r>
              <w:rPr>
                <w:rFonts w:hint="eastAsia" w:hAnsi="宋体" w:cs="宋体"/>
                <w:color w:val="auto"/>
                <w:sz w:val="24"/>
                <w:szCs w:val="24"/>
                <w:highlight w:val="none"/>
                <w:lang w:eastAsia="zh-CN"/>
              </w:rPr>
              <w:t>的</w:t>
            </w:r>
            <w:r>
              <w:rPr>
                <w:rFonts w:hint="eastAsia" w:ascii="宋体" w:hAnsi="宋体" w:cs="宋体"/>
                <w:b w:val="0"/>
                <w:bCs/>
                <w:color w:val="auto"/>
                <w:sz w:val="24"/>
                <w:szCs w:val="24"/>
                <w:highlight w:val="none"/>
                <w:vertAlign w:val="baseline"/>
                <w:lang w:val="en-US" w:eastAsia="zh-CN"/>
              </w:rPr>
              <w:t>观众走线图</w:t>
            </w:r>
            <w:r>
              <w:rPr>
                <w:rFonts w:hint="eastAsia" w:hAnsi="宋体" w:cs="宋体"/>
                <w:color w:val="auto"/>
                <w:sz w:val="24"/>
                <w:szCs w:val="24"/>
                <w:highlight w:val="none"/>
                <w:lang w:eastAsia="zh-CN"/>
              </w:rPr>
              <w:t>的</w:t>
            </w:r>
            <w:r>
              <w:rPr>
                <w:rFonts w:hint="eastAsia" w:ascii="宋体" w:hAnsi="宋体" w:eastAsia="宋体" w:cs="宋体"/>
                <w:color w:val="auto"/>
                <w:sz w:val="24"/>
                <w:szCs w:val="24"/>
                <w:highlight w:val="none"/>
              </w:rPr>
              <w:t>科学合理性进行综合评议，</w:t>
            </w:r>
            <w:r>
              <w:rPr>
                <w:rFonts w:hint="eastAsia" w:hAnsi="宋体" w:cs="宋体"/>
                <w:color w:val="auto"/>
                <w:sz w:val="24"/>
                <w:szCs w:val="24"/>
                <w:highlight w:val="none"/>
                <w:lang w:eastAsia="zh-CN"/>
              </w:rPr>
              <w:t>走线</w:t>
            </w:r>
            <w:r>
              <w:rPr>
                <w:rFonts w:hint="eastAsia" w:ascii="宋体" w:hAnsi="宋体" w:eastAsia="宋体" w:cs="宋体"/>
                <w:color w:val="auto"/>
                <w:sz w:val="24"/>
                <w:szCs w:val="24"/>
                <w:highlight w:val="none"/>
              </w:rPr>
              <w:t>合理能够满足公众参观需求的得</w:t>
            </w:r>
            <w:r>
              <w:rPr>
                <w:rFonts w:hint="eastAsia"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cs="宋体"/>
                <w:color w:val="auto"/>
                <w:sz w:val="24"/>
                <w:highlight w:val="none"/>
              </w:rPr>
              <w:t>有欠缺或不足的每项（处）扣</w:t>
            </w:r>
            <w:r>
              <w:rPr>
                <w:rFonts w:hint="eastAsia" w:hAnsi="宋体" w:cs="宋体"/>
                <w:color w:val="auto"/>
                <w:sz w:val="24"/>
                <w:highlight w:val="none"/>
                <w:lang w:val="en-US" w:eastAsia="zh-CN"/>
              </w:rPr>
              <w:t>1</w:t>
            </w:r>
            <w:r>
              <w:rPr>
                <w:rFonts w:hint="eastAsia" w:ascii="宋体" w:hAnsi="宋体" w:cs="宋体"/>
                <w:color w:val="auto"/>
                <w:sz w:val="24"/>
                <w:highlight w:val="none"/>
              </w:rPr>
              <w:t>分，扣完此项分值为止</w:t>
            </w:r>
            <w:r>
              <w:rPr>
                <w:rFonts w:hint="eastAsia" w:ascii="宋体" w:hAnsi="宋体" w:eastAsia="宋体" w:cs="宋体"/>
                <w:color w:val="auto"/>
                <w:sz w:val="24"/>
                <w:szCs w:val="24"/>
                <w:highlight w:val="none"/>
              </w:rPr>
              <w:t>。</w:t>
            </w:r>
          </w:p>
          <w:p w14:paraId="503CBC88">
            <w:pPr>
              <w:pStyle w:val="24"/>
              <w:keepNext w:val="0"/>
              <w:keepLines w:val="0"/>
              <w:pageBreakBefore w:val="0"/>
              <w:kinsoku/>
              <w:wordWrap/>
              <w:overflowPunct/>
              <w:topLinePunct w:val="0"/>
              <w:autoSpaceDE/>
              <w:autoSpaceDN/>
              <w:bidi w:val="0"/>
              <w:adjustRightInd/>
              <w:spacing w:beforeLines="0" w:afterLines="0"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提供的</w:t>
            </w:r>
            <w:r>
              <w:rPr>
                <w:rFonts w:hint="eastAsia" w:ascii="宋体" w:hAnsi="宋体" w:cs="宋体"/>
                <w:b w:val="0"/>
                <w:bCs/>
                <w:color w:val="auto"/>
                <w:sz w:val="24"/>
                <w:szCs w:val="24"/>
                <w:highlight w:val="none"/>
                <w:vertAlign w:val="baseline"/>
                <w:lang w:val="en-US" w:eastAsia="zh-CN"/>
              </w:rPr>
              <w:t>空间设计图</w:t>
            </w:r>
            <w:r>
              <w:rPr>
                <w:rFonts w:hint="eastAsia" w:ascii="宋体" w:hAnsi="宋体" w:eastAsia="宋体" w:cs="宋体"/>
                <w:color w:val="auto"/>
                <w:sz w:val="24"/>
                <w:szCs w:val="24"/>
                <w:highlight w:val="none"/>
              </w:rPr>
              <w:t>进行综合评议，空间感明晰、亮点突出的得</w:t>
            </w:r>
            <w:r>
              <w:rPr>
                <w:rFonts w:hint="eastAsia"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cs="宋体"/>
                <w:color w:val="auto"/>
                <w:sz w:val="24"/>
                <w:highlight w:val="none"/>
              </w:rPr>
              <w:t>有欠缺或不足的每项（处）扣</w:t>
            </w:r>
            <w:r>
              <w:rPr>
                <w:rFonts w:hint="eastAsia" w:hAnsi="宋体" w:cs="宋体"/>
                <w:color w:val="auto"/>
                <w:sz w:val="24"/>
                <w:highlight w:val="none"/>
                <w:lang w:val="en-US" w:eastAsia="zh-CN"/>
              </w:rPr>
              <w:t>1</w:t>
            </w:r>
            <w:r>
              <w:rPr>
                <w:rFonts w:hint="eastAsia" w:ascii="宋体" w:hAnsi="宋体" w:cs="宋体"/>
                <w:color w:val="auto"/>
                <w:sz w:val="24"/>
                <w:highlight w:val="none"/>
              </w:rPr>
              <w:t>分，扣完此项分值为止</w:t>
            </w:r>
            <w:r>
              <w:rPr>
                <w:rFonts w:hint="eastAsia" w:hAnsi="宋体" w:cs="宋体"/>
                <w:color w:val="auto"/>
                <w:sz w:val="24"/>
                <w:highlight w:val="none"/>
                <w:lang w:eastAsia="zh-CN"/>
              </w:rPr>
              <w:t>。</w:t>
            </w:r>
          </w:p>
          <w:p w14:paraId="53ECC7BB">
            <w:pPr>
              <w:pStyle w:val="24"/>
              <w:keepNext w:val="0"/>
              <w:keepLines w:val="0"/>
              <w:pageBreakBefore w:val="0"/>
              <w:kinsoku/>
              <w:wordWrap/>
              <w:overflowPunct/>
              <w:topLinePunct w:val="0"/>
              <w:autoSpaceDE/>
              <w:autoSpaceDN/>
              <w:bidi w:val="0"/>
              <w:adjustRightInd/>
              <w:spacing w:beforeLines="0" w:afterLines="0"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hAnsi="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提供的</w:t>
            </w:r>
            <w:r>
              <w:rPr>
                <w:rFonts w:hint="eastAsia" w:ascii="宋体" w:hAnsi="宋体" w:cs="宋体"/>
                <w:b w:val="0"/>
                <w:bCs/>
                <w:color w:val="auto"/>
                <w:sz w:val="24"/>
                <w:szCs w:val="24"/>
                <w:highlight w:val="none"/>
                <w:vertAlign w:val="baseline"/>
                <w:lang w:val="en-US" w:eastAsia="zh-CN"/>
              </w:rPr>
              <w:t>亮点部分效果图</w:t>
            </w:r>
            <w:r>
              <w:rPr>
                <w:rFonts w:hint="eastAsia" w:ascii="宋体" w:hAnsi="宋体" w:eastAsia="宋体" w:cs="宋体"/>
                <w:color w:val="auto"/>
                <w:sz w:val="24"/>
                <w:szCs w:val="24"/>
                <w:highlight w:val="none"/>
              </w:rPr>
              <w:t>的美观程度、配合程度进行综合评议，</w:t>
            </w:r>
            <w:r>
              <w:rPr>
                <w:rFonts w:hint="eastAsia" w:hAnsi="宋体" w:cs="宋体"/>
                <w:color w:val="auto"/>
                <w:sz w:val="24"/>
                <w:szCs w:val="24"/>
                <w:highlight w:val="none"/>
                <w:lang w:eastAsia="zh-CN"/>
              </w:rPr>
              <w:t>亮点部分形式突出</w:t>
            </w:r>
            <w:r>
              <w:rPr>
                <w:rFonts w:hint="eastAsia" w:ascii="宋体" w:hAnsi="宋体" w:eastAsia="宋体" w:cs="宋体"/>
                <w:color w:val="auto"/>
                <w:sz w:val="24"/>
                <w:szCs w:val="24"/>
                <w:highlight w:val="none"/>
              </w:rPr>
              <w:t>、与</w:t>
            </w:r>
            <w:r>
              <w:rPr>
                <w:rFonts w:hint="eastAsia" w:hAnsi="宋体" w:cs="宋体"/>
                <w:color w:val="auto"/>
                <w:sz w:val="24"/>
                <w:szCs w:val="24"/>
                <w:highlight w:val="none"/>
                <w:lang w:eastAsia="zh-CN"/>
              </w:rPr>
              <w:t>内容</w:t>
            </w:r>
            <w:r>
              <w:rPr>
                <w:rFonts w:hint="eastAsia" w:ascii="宋体" w:hAnsi="宋体" w:eastAsia="宋体" w:cs="宋体"/>
                <w:color w:val="auto"/>
                <w:sz w:val="24"/>
                <w:szCs w:val="24"/>
                <w:highlight w:val="none"/>
              </w:rPr>
              <w:t>程度</w:t>
            </w:r>
            <w:r>
              <w:rPr>
                <w:rFonts w:hint="eastAsia" w:ascii="宋体" w:hAnsi="宋体" w:eastAsia="宋体" w:cs="宋体"/>
                <w:color w:val="auto"/>
                <w:sz w:val="24"/>
                <w:szCs w:val="24"/>
                <w:highlight w:val="none"/>
                <w:lang w:val="en-US" w:eastAsia="zh-CN"/>
              </w:rPr>
              <w:t>合理</w:t>
            </w:r>
            <w:r>
              <w:rPr>
                <w:rFonts w:hint="eastAsia" w:ascii="宋体" w:hAnsi="宋体" w:eastAsia="宋体" w:cs="宋体"/>
                <w:color w:val="auto"/>
                <w:sz w:val="24"/>
                <w:szCs w:val="24"/>
                <w:highlight w:val="none"/>
              </w:rPr>
              <w:t>的得</w:t>
            </w:r>
            <w:r>
              <w:rPr>
                <w:rFonts w:hint="eastAsia"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cs="宋体"/>
                <w:color w:val="auto"/>
                <w:sz w:val="24"/>
                <w:highlight w:val="none"/>
              </w:rPr>
              <w:t>有欠缺或不足的每项（处）扣</w:t>
            </w:r>
            <w:r>
              <w:rPr>
                <w:rFonts w:hint="eastAsia" w:hAnsi="宋体" w:cs="宋体"/>
                <w:color w:val="auto"/>
                <w:sz w:val="24"/>
                <w:highlight w:val="none"/>
                <w:lang w:val="en-US" w:eastAsia="zh-CN"/>
              </w:rPr>
              <w:t>1</w:t>
            </w:r>
            <w:r>
              <w:rPr>
                <w:rFonts w:hint="eastAsia" w:ascii="宋体" w:hAnsi="宋体" w:cs="宋体"/>
                <w:color w:val="auto"/>
                <w:sz w:val="24"/>
                <w:highlight w:val="none"/>
              </w:rPr>
              <w:t>分，扣完此项分值为止</w:t>
            </w:r>
            <w:r>
              <w:rPr>
                <w:rFonts w:hint="eastAsia" w:hAnsi="宋体" w:cs="宋体"/>
                <w:color w:val="auto"/>
                <w:sz w:val="24"/>
                <w:highlight w:val="none"/>
                <w:lang w:eastAsia="zh-CN"/>
              </w:rPr>
              <w:t>。</w:t>
            </w:r>
          </w:p>
          <w:p w14:paraId="6C97DA6B">
            <w:pPr>
              <w:pStyle w:val="24"/>
              <w:keepNext w:val="0"/>
              <w:keepLines w:val="0"/>
              <w:pageBreakBefore w:val="0"/>
              <w:kinsoku/>
              <w:wordWrap/>
              <w:overflowPunct/>
              <w:topLinePunct w:val="0"/>
              <w:autoSpaceDE/>
              <w:autoSpaceDN/>
              <w:bidi w:val="0"/>
              <w:adjustRightInd/>
              <w:spacing w:beforeLines="0" w:afterLines="0"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提供的</w:t>
            </w:r>
            <w:r>
              <w:rPr>
                <w:rFonts w:hint="eastAsia" w:ascii="宋体" w:hAnsi="宋体" w:cs="宋体"/>
                <w:b w:val="0"/>
                <w:bCs/>
                <w:color w:val="auto"/>
                <w:sz w:val="24"/>
                <w:szCs w:val="24"/>
                <w:highlight w:val="none"/>
                <w:vertAlign w:val="baseline"/>
                <w:lang w:val="en-US" w:eastAsia="zh-CN"/>
              </w:rPr>
              <w:t>图文版面设计图</w:t>
            </w:r>
            <w:r>
              <w:rPr>
                <w:rFonts w:hint="eastAsia" w:ascii="宋体" w:hAnsi="宋体" w:eastAsia="宋体" w:cs="宋体"/>
                <w:color w:val="auto"/>
                <w:sz w:val="24"/>
                <w:szCs w:val="24"/>
                <w:highlight w:val="none"/>
              </w:rPr>
              <w:t>的美观程度、与主题的贴合程度进行综合评议，色彩架构美观、与主题贴合程度高的得</w:t>
            </w:r>
            <w:r>
              <w:rPr>
                <w:rFonts w:hint="eastAsia"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cs="宋体"/>
                <w:color w:val="auto"/>
                <w:sz w:val="24"/>
                <w:highlight w:val="none"/>
              </w:rPr>
              <w:t>有欠缺或不足的每项（处）扣</w:t>
            </w:r>
            <w:r>
              <w:rPr>
                <w:rFonts w:hint="eastAsia" w:hAnsi="宋体" w:cs="宋体"/>
                <w:color w:val="auto"/>
                <w:sz w:val="24"/>
                <w:highlight w:val="none"/>
                <w:lang w:val="en-US" w:eastAsia="zh-CN"/>
              </w:rPr>
              <w:t>1</w:t>
            </w:r>
            <w:r>
              <w:rPr>
                <w:rFonts w:hint="eastAsia" w:ascii="宋体" w:hAnsi="宋体" w:cs="宋体"/>
                <w:color w:val="auto"/>
                <w:sz w:val="24"/>
                <w:highlight w:val="none"/>
              </w:rPr>
              <w:t>分，扣完此项分值为止</w:t>
            </w:r>
            <w:r>
              <w:rPr>
                <w:rFonts w:hint="eastAsia" w:hAnsi="宋体" w:cs="宋体"/>
                <w:color w:val="auto"/>
                <w:sz w:val="24"/>
                <w:highlight w:val="none"/>
                <w:lang w:eastAsia="zh-CN"/>
              </w:rPr>
              <w:t>。</w:t>
            </w:r>
          </w:p>
          <w:p w14:paraId="05E67D4F">
            <w:pPr>
              <w:pStyle w:val="24"/>
              <w:keepNext w:val="0"/>
              <w:keepLines w:val="0"/>
              <w:pageBreakBefore w:val="0"/>
              <w:kinsoku/>
              <w:wordWrap/>
              <w:overflowPunct/>
              <w:topLinePunct w:val="0"/>
              <w:autoSpaceDE/>
              <w:autoSpaceDN/>
              <w:bidi w:val="0"/>
              <w:adjustRightInd/>
              <w:spacing w:beforeLines="0" w:afterLines="0" w:line="240" w:lineRule="auto"/>
              <w:textAlignment w:val="auto"/>
              <w:rPr>
                <w:rFonts w:hint="eastAsia" w:ascii="宋体" w:hAnsi="宋体" w:cs="宋体"/>
                <w:color w:val="auto"/>
                <w:sz w:val="24"/>
                <w:highlight w:val="none"/>
                <w:lang w:eastAsia="zh-CN"/>
              </w:rPr>
            </w:pPr>
            <w:r>
              <w:rPr>
                <w:rFonts w:hint="eastAsia" w:ascii="宋体" w:hAnsi="宋体" w:eastAsia="宋体" w:cs="宋体"/>
                <w:color w:val="auto"/>
                <w:sz w:val="24"/>
                <w:szCs w:val="24"/>
                <w:highlight w:val="none"/>
                <w:lang w:eastAsia="zh-CN"/>
              </w:rPr>
              <w:t>（</w:t>
            </w:r>
            <w:r>
              <w:rPr>
                <w:rFonts w:hint="eastAsia" w:hAnsi="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提供的</w:t>
            </w:r>
            <w:r>
              <w:rPr>
                <w:rFonts w:hint="eastAsia" w:hAnsi="宋体" w:cs="宋体"/>
                <w:b w:val="0"/>
                <w:bCs/>
                <w:color w:val="auto"/>
                <w:sz w:val="24"/>
                <w:szCs w:val="24"/>
                <w:highlight w:val="none"/>
                <w:vertAlign w:val="baseline"/>
                <w:lang w:val="en-US" w:eastAsia="zh-CN"/>
              </w:rPr>
              <w:t>展架结构图（固定方式）、</w:t>
            </w:r>
            <w:r>
              <w:rPr>
                <w:rFonts w:hint="eastAsia" w:ascii="宋体" w:hAnsi="宋体" w:eastAsia="宋体" w:cs="宋体"/>
                <w:color w:val="auto"/>
                <w:sz w:val="24"/>
                <w:szCs w:val="24"/>
                <w:highlight w:val="none"/>
              </w:rPr>
              <w:t>进行综合评议，</w:t>
            </w:r>
            <w:r>
              <w:rPr>
                <w:rFonts w:hint="eastAsia" w:hAnsi="宋体" w:cs="宋体"/>
                <w:color w:val="auto"/>
                <w:sz w:val="24"/>
                <w:szCs w:val="24"/>
                <w:highlight w:val="none"/>
                <w:lang w:eastAsia="zh-CN"/>
              </w:rPr>
              <w:t>展具安全坚固且对文保单位干预少的</w:t>
            </w:r>
            <w:r>
              <w:rPr>
                <w:rFonts w:hint="eastAsia" w:ascii="宋体" w:hAnsi="宋体" w:eastAsia="宋体" w:cs="宋体"/>
                <w:color w:val="auto"/>
                <w:sz w:val="24"/>
                <w:szCs w:val="24"/>
                <w:highlight w:val="none"/>
              </w:rPr>
              <w:t>得</w:t>
            </w:r>
            <w:r>
              <w:rPr>
                <w:rFonts w:hint="eastAsia"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cs="宋体"/>
                <w:color w:val="auto"/>
                <w:sz w:val="24"/>
                <w:highlight w:val="none"/>
              </w:rPr>
              <w:t>有欠缺或不足的每项（处）扣</w:t>
            </w:r>
            <w:r>
              <w:rPr>
                <w:rFonts w:hint="eastAsia" w:hAnsi="宋体" w:cs="宋体"/>
                <w:color w:val="auto"/>
                <w:sz w:val="24"/>
                <w:highlight w:val="none"/>
                <w:lang w:val="en-US" w:eastAsia="zh-CN"/>
              </w:rPr>
              <w:t>1</w:t>
            </w:r>
            <w:r>
              <w:rPr>
                <w:rFonts w:hint="eastAsia" w:ascii="宋体" w:hAnsi="宋体" w:cs="宋体"/>
                <w:color w:val="auto"/>
                <w:sz w:val="24"/>
                <w:highlight w:val="none"/>
              </w:rPr>
              <w:t>分，扣完此项分值为止</w:t>
            </w:r>
            <w:r>
              <w:rPr>
                <w:rFonts w:hint="eastAsia" w:ascii="宋体" w:hAnsi="宋体" w:cs="宋体"/>
                <w:color w:val="auto"/>
                <w:sz w:val="24"/>
                <w:highlight w:val="none"/>
                <w:lang w:eastAsia="zh-CN"/>
              </w:rPr>
              <w:t>。</w:t>
            </w:r>
          </w:p>
          <w:p w14:paraId="3A33A211">
            <w:pPr>
              <w:pStyle w:val="24"/>
              <w:keepNext w:val="0"/>
              <w:keepLines w:val="0"/>
              <w:pageBreakBefore w:val="0"/>
              <w:kinsoku/>
              <w:wordWrap/>
              <w:overflowPunct/>
              <w:topLinePunct w:val="0"/>
              <w:autoSpaceDE/>
              <w:autoSpaceDN/>
              <w:bidi w:val="0"/>
              <w:adjustRightInd/>
              <w:spacing w:beforeLines="0" w:afterLines="0" w:line="240" w:lineRule="auto"/>
              <w:textAlignment w:val="auto"/>
              <w:rPr>
                <w:rFonts w:hint="eastAsia" w:eastAsia="宋体"/>
                <w:color w:val="auto"/>
                <w:highlight w:val="none"/>
                <w:lang w:val="en-US" w:eastAsia="zh-CN"/>
              </w:rPr>
            </w:pPr>
            <w:r>
              <w:rPr>
                <w:rFonts w:hint="eastAsia" w:ascii="宋体" w:hAnsi="宋体" w:cs="宋体"/>
                <w:color w:val="auto"/>
                <w:sz w:val="24"/>
                <w:highlight w:val="none"/>
                <w:lang w:eastAsia="zh-CN"/>
              </w:rPr>
              <w:t>（</w:t>
            </w:r>
            <w:r>
              <w:rPr>
                <w:rFonts w:hint="eastAsia" w:hAnsi="宋体" w:cs="宋体"/>
                <w:color w:val="auto"/>
                <w:sz w:val="24"/>
                <w:highlight w:val="none"/>
                <w:lang w:val="en-US" w:eastAsia="zh-CN"/>
              </w:rPr>
              <w:t>7</w:t>
            </w:r>
            <w:r>
              <w:rPr>
                <w:rFonts w:hint="eastAsia" w:ascii="宋体" w:hAnsi="宋体" w:cs="宋体"/>
                <w:color w:val="auto"/>
                <w:sz w:val="24"/>
                <w:highlight w:val="none"/>
                <w:lang w:eastAsia="zh-CN"/>
              </w:rPr>
              <w:t>）</w:t>
            </w: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eastAsia="zh-CN"/>
              </w:rPr>
              <w:t>投标人提供的</w:t>
            </w:r>
            <w:r>
              <w:rPr>
                <w:rFonts w:hint="eastAsia" w:ascii="宋体" w:hAnsi="宋体" w:cs="宋体"/>
                <w:b w:val="0"/>
                <w:bCs/>
                <w:color w:val="auto"/>
                <w:sz w:val="24"/>
                <w:szCs w:val="24"/>
                <w:highlight w:val="none"/>
                <w:vertAlign w:val="baseline"/>
                <w:lang w:val="en-US" w:eastAsia="zh-CN"/>
              </w:rPr>
              <w:t>照明设计图</w:t>
            </w:r>
            <w:r>
              <w:rPr>
                <w:rFonts w:hint="eastAsia" w:hAnsi="宋体" w:cs="宋体"/>
                <w:b w:val="0"/>
                <w:bCs/>
                <w:color w:val="auto"/>
                <w:sz w:val="24"/>
                <w:szCs w:val="24"/>
                <w:highlight w:val="none"/>
                <w:vertAlign w:val="baseline"/>
                <w:lang w:val="en-US" w:eastAsia="zh-CN"/>
              </w:rPr>
              <w:t>合理性进行</w:t>
            </w:r>
            <w:r>
              <w:rPr>
                <w:rFonts w:hint="eastAsia" w:ascii="宋体" w:hAnsi="宋体" w:eastAsia="宋体" w:cs="宋体"/>
                <w:color w:val="auto"/>
                <w:sz w:val="24"/>
                <w:szCs w:val="24"/>
                <w:highlight w:val="none"/>
                <w:lang w:eastAsia="zh-CN"/>
              </w:rPr>
              <w:t>综合评议。</w:t>
            </w:r>
            <w:r>
              <w:rPr>
                <w:rFonts w:hint="eastAsia" w:hAnsi="宋体" w:cs="宋体"/>
                <w:color w:val="auto"/>
                <w:sz w:val="24"/>
                <w:szCs w:val="24"/>
                <w:highlight w:val="none"/>
                <w:lang w:eastAsia="zh-CN"/>
              </w:rPr>
              <w:t>照片设计突出展品效果显著</w:t>
            </w:r>
            <w:r>
              <w:rPr>
                <w:rFonts w:hint="eastAsia" w:ascii="宋体" w:hAnsi="宋体" w:eastAsia="宋体" w:cs="宋体"/>
                <w:color w:val="auto"/>
                <w:sz w:val="24"/>
                <w:szCs w:val="24"/>
                <w:highlight w:val="none"/>
                <w:lang w:eastAsia="zh-CN"/>
              </w:rPr>
              <w:t>的得</w:t>
            </w:r>
            <w:r>
              <w:rPr>
                <w:rFonts w:hint="eastAsia" w:hAnsi="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分，</w:t>
            </w:r>
            <w:r>
              <w:rPr>
                <w:rFonts w:hint="eastAsia" w:ascii="宋体" w:hAnsi="宋体" w:cs="宋体"/>
                <w:color w:val="auto"/>
                <w:sz w:val="24"/>
                <w:highlight w:val="none"/>
              </w:rPr>
              <w:t>有欠缺或不足的每项（处）扣</w:t>
            </w:r>
            <w:r>
              <w:rPr>
                <w:rFonts w:hint="eastAsia" w:hAnsi="宋体" w:cs="宋体"/>
                <w:color w:val="auto"/>
                <w:sz w:val="24"/>
                <w:highlight w:val="none"/>
                <w:lang w:val="en-US" w:eastAsia="zh-CN"/>
              </w:rPr>
              <w:t>1</w:t>
            </w:r>
            <w:r>
              <w:rPr>
                <w:rFonts w:hint="eastAsia" w:ascii="宋体" w:hAnsi="宋体" w:cs="宋体"/>
                <w:color w:val="auto"/>
                <w:sz w:val="24"/>
                <w:highlight w:val="none"/>
              </w:rPr>
              <w:t>分，扣完此项分值为止</w:t>
            </w:r>
            <w:r>
              <w:rPr>
                <w:rFonts w:hint="eastAsia" w:ascii="宋体" w:hAnsi="宋体" w:cs="宋体"/>
                <w:color w:val="auto"/>
                <w:sz w:val="24"/>
                <w:highlight w:val="none"/>
                <w:lang w:eastAsia="zh-CN"/>
              </w:rPr>
              <w:t>。</w:t>
            </w:r>
          </w:p>
        </w:tc>
        <w:tc>
          <w:tcPr>
            <w:tcW w:w="948" w:type="dxa"/>
            <w:tcBorders>
              <w:tl2br w:val="nil"/>
              <w:tr2bl w:val="nil"/>
            </w:tcBorders>
            <w:noWrap w:val="0"/>
            <w:vAlign w:val="center"/>
          </w:tcPr>
          <w:p w14:paraId="3EAEDA78">
            <w:pPr>
              <w:keepNext w:val="0"/>
              <w:keepLines w:val="0"/>
              <w:pageBreakBefore w:val="0"/>
              <w:widowControl/>
              <w:kinsoku/>
              <w:wordWrap/>
              <w:overflowPunct/>
              <w:topLinePunct w:val="0"/>
              <w:autoSpaceDE/>
              <w:autoSpaceDN/>
              <w:bidi w:val="0"/>
              <w:adjustRightInd/>
              <w:spacing w:line="240" w:lineRule="auto"/>
              <w:jc w:val="center"/>
              <w:textAlignment w:val="auto"/>
              <w:rPr>
                <w:rFonts w:hint="default"/>
                <w:color w:val="auto"/>
                <w:highlight w:val="none"/>
                <w:lang w:val="en-US" w:eastAsia="zh-CN"/>
              </w:rPr>
            </w:pPr>
            <w:r>
              <w:rPr>
                <w:rFonts w:hint="eastAsia" w:ascii="宋体" w:hAnsi="宋体" w:cs="宋体"/>
                <w:color w:val="auto"/>
                <w:sz w:val="24"/>
                <w:highlight w:val="none"/>
                <w:lang w:val="en-US" w:eastAsia="zh-CN"/>
              </w:rPr>
              <w:t>21</w:t>
            </w:r>
          </w:p>
        </w:tc>
      </w:tr>
      <w:tr w14:paraId="56D13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1" w:type="dxa"/>
            <w:vMerge w:val="continue"/>
            <w:tcBorders>
              <w:tl2br w:val="nil"/>
              <w:tr2bl w:val="nil"/>
            </w:tcBorders>
            <w:noWrap w:val="0"/>
            <w:vAlign w:val="center"/>
          </w:tcPr>
          <w:p w14:paraId="7D90E470">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cs="宋体"/>
                <w:color w:val="auto"/>
                <w:sz w:val="24"/>
                <w:highlight w:val="none"/>
                <w:lang w:val="en-US" w:eastAsia="zh-CN"/>
              </w:rPr>
            </w:pPr>
          </w:p>
        </w:tc>
        <w:tc>
          <w:tcPr>
            <w:tcW w:w="1204" w:type="dxa"/>
            <w:vMerge w:val="continue"/>
            <w:tcBorders>
              <w:tl2br w:val="nil"/>
              <w:tr2bl w:val="nil"/>
            </w:tcBorders>
            <w:noWrap w:val="0"/>
            <w:vAlign w:val="center"/>
          </w:tcPr>
          <w:p w14:paraId="0DC55969">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cs="宋体"/>
                <w:color w:val="auto"/>
                <w:sz w:val="24"/>
                <w:highlight w:val="none"/>
                <w:lang w:val="en-US" w:eastAsia="zh-CN"/>
              </w:rPr>
            </w:pPr>
          </w:p>
        </w:tc>
        <w:tc>
          <w:tcPr>
            <w:tcW w:w="6035" w:type="dxa"/>
            <w:tcBorders>
              <w:tl2br w:val="nil"/>
              <w:tr2bl w:val="nil"/>
            </w:tcBorders>
            <w:noWrap w:val="0"/>
            <w:vAlign w:val="center"/>
          </w:tcPr>
          <w:p w14:paraId="68790C73">
            <w:pPr>
              <w:pStyle w:val="24"/>
              <w:keepNext w:val="0"/>
              <w:keepLines w:val="0"/>
              <w:pageBreakBefore w:val="0"/>
              <w:kinsoku/>
              <w:wordWrap/>
              <w:overflowPunct/>
              <w:topLinePunct w:val="0"/>
              <w:autoSpaceDE/>
              <w:autoSpaceDN/>
              <w:bidi w:val="0"/>
              <w:adjustRightInd/>
              <w:spacing w:beforeLines="0" w:afterLines="0" w:line="240" w:lineRule="auto"/>
              <w:textAlignment w:val="auto"/>
              <w:rPr>
                <w:rFonts w:hint="default" w:ascii="宋体" w:hAnsi="宋体" w:cs="宋体"/>
                <w:color w:val="auto"/>
                <w:sz w:val="24"/>
                <w:highlight w:val="none"/>
                <w:lang w:val="en-US" w:eastAsia="zh-CN"/>
              </w:rPr>
            </w:pPr>
            <w:r>
              <w:rPr>
                <w:rFonts w:hint="eastAsia" w:hAnsi="宋体" w:cs="宋体"/>
                <w:color w:val="auto"/>
                <w:sz w:val="24"/>
                <w:highlight w:val="none"/>
                <w:lang w:val="en-US" w:eastAsia="zh-CN"/>
              </w:rPr>
              <w:t>根据投标人针对本项目的设计方案，自行进行清单项的细化深化内容补充情况：细化深化后清单与投标人设计方案匹配度，内容匹配，符合项目实际落地的得5分，</w:t>
            </w:r>
            <w:r>
              <w:rPr>
                <w:rFonts w:hint="eastAsia" w:ascii="宋体" w:hAnsi="宋体" w:cs="宋体"/>
                <w:color w:val="auto"/>
                <w:sz w:val="24"/>
                <w:highlight w:val="none"/>
              </w:rPr>
              <w:t>有欠缺或不足的每项（处）扣</w:t>
            </w:r>
            <w:r>
              <w:rPr>
                <w:rFonts w:hint="eastAsia" w:hAnsi="宋体" w:cs="宋体"/>
                <w:color w:val="auto"/>
                <w:sz w:val="24"/>
                <w:highlight w:val="none"/>
                <w:lang w:val="en-US" w:eastAsia="zh-CN"/>
              </w:rPr>
              <w:t>1</w:t>
            </w:r>
            <w:r>
              <w:rPr>
                <w:rFonts w:hint="eastAsia" w:ascii="宋体" w:hAnsi="宋体" w:cs="宋体"/>
                <w:color w:val="auto"/>
                <w:sz w:val="24"/>
                <w:highlight w:val="none"/>
              </w:rPr>
              <w:t>分，扣完此项分值为止</w:t>
            </w:r>
            <w:r>
              <w:rPr>
                <w:rFonts w:hint="eastAsia" w:ascii="宋体" w:hAnsi="宋体" w:cs="宋体"/>
                <w:color w:val="auto"/>
                <w:sz w:val="24"/>
                <w:highlight w:val="none"/>
                <w:lang w:eastAsia="zh-CN"/>
              </w:rPr>
              <w:t>。</w:t>
            </w:r>
          </w:p>
        </w:tc>
        <w:tc>
          <w:tcPr>
            <w:tcW w:w="948" w:type="dxa"/>
            <w:tcBorders>
              <w:tl2br w:val="nil"/>
              <w:tr2bl w:val="nil"/>
            </w:tcBorders>
            <w:noWrap w:val="0"/>
            <w:vAlign w:val="center"/>
          </w:tcPr>
          <w:p w14:paraId="159D5CA1">
            <w:pPr>
              <w:keepNext w:val="0"/>
              <w:keepLines w:val="0"/>
              <w:pageBreakBefore w:val="0"/>
              <w:widowControl/>
              <w:kinsoku/>
              <w:wordWrap/>
              <w:overflowPunct/>
              <w:topLinePunct w:val="0"/>
              <w:autoSpaceDE/>
              <w:autoSpaceDN/>
              <w:bidi w:val="0"/>
              <w:adjustRightInd/>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w:t>
            </w:r>
          </w:p>
        </w:tc>
      </w:tr>
      <w:tr w14:paraId="4840F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1" w:type="dxa"/>
            <w:tcBorders>
              <w:tl2br w:val="nil"/>
              <w:tr2bl w:val="nil"/>
            </w:tcBorders>
            <w:noWrap w:val="0"/>
            <w:vAlign w:val="center"/>
          </w:tcPr>
          <w:p w14:paraId="2F3CFD7C">
            <w:pPr>
              <w:keepNext w:val="0"/>
              <w:keepLines w:val="0"/>
              <w:pageBreakBefore w:val="0"/>
              <w:widowControl/>
              <w:kinsoku/>
              <w:wordWrap/>
              <w:overflowPunct/>
              <w:topLinePunct w:val="0"/>
              <w:autoSpaceDE/>
              <w:autoSpaceDN/>
              <w:bidi w:val="0"/>
              <w:adjustRightInd/>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1204" w:type="dxa"/>
            <w:tcBorders>
              <w:tl2br w:val="nil"/>
              <w:tr2bl w:val="nil"/>
            </w:tcBorders>
            <w:noWrap w:val="0"/>
            <w:vAlign w:val="center"/>
          </w:tcPr>
          <w:p w14:paraId="4659DF0B">
            <w:pPr>
              <w:keepNext w:val="0"/>
              <w:keepLines w:val="0"/>
              <w:pageBreakBefore w:val="0"/>
              <w:widowControl/>
              <w:kinsoku/>
              <w:wordWrap/>
              <w:overflowPunct/>
              <w:topLinePunct w:val="0"/>
              <w:autoSpaceDE/>
              <w:autoSpaceDN/>
              <w:bidi w:val="0"/>
              <w:adjustRightIn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实施</w:t>
            </w:r>
            <w:r>
              <w:rPr>
                <w:rFonts w:hint="eastAsia" w:hAnsi="宋体" w:cs="宋体"/>
                <w:color w:val="auto"/>
                <w:sz w:val="24"/>
                <w:szCs w:val="24"/>
                <w:highlight w:val="none"/>
                <w:lang w:val="en-US" w:eastAsia="zh-CN"/>
              </w:rPr>
              <w:t>组织</w:t>
            </w:r>
            <w:r>
              <w:rPr>
                <w:rFonts w:hint="eastAsia" w:ascii="宋体" w:hAnsi="宋体" w:cs="宋体"/>
                <w:color w:val="auto"/>
                <w:sz w:val="24"/>
                <w:szCs w:val="24"/>
                <w:highlight w:val="none"/>
                <w:lang w:val="en-US" w:eastAsia="zh-CN"/>
              </w:rPr>
              <w:t>方案</w:t>
            </w:r>
          </w:p>
        </w:tc>
        <w:tc>
          <w:tcPr>
            <w:tcW w:w="6035" w:type="dxa"/>
            <w:tcBorders>
              <w:tl2br w:val="nil"/>
              <w:tr2bl w:val="nil"/>
            </w:tcBorders>
            <w:noWrap w:val="0"/>
            <w:vAlign w:val="center"/>
          </w:tcPr>
          <w:p w14:paraId="34BD6839">
            <w:pPr>
              <w:pStyle w:val="24"/>
              <w:keepNext w:val="0"/>
              <w:keepLines w:val="0"/>
              <w:pageBreakBefore w:val="0"/>
              <w:kinsoku/>
              <w:wordWrap/>
              <w:overflowPunct/>
              <w:topLinePunct w:val="0"/>
              <w:autoSpaceDE/>
              <w:autoSpaceDN/>
              <w:bidi w:val="0"/>
              <w:adjustRightInd/>
              <w:spacing w:beforeLines="0" w:beforeAutospacing="0" w:afterLines="0" w:afterAutospacing="0" w:line="240" w:lineRule="auto"/>
              <w:textAlignment w:val="auto"/>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根据投标人</w:t>
            </w:r>
            <w:r>
              <w:rPr>
                <w:rFonts w:hint="eastAsia" w:ascii="宋体" w:hAnsi="宋体" w:eastAsia="宋体" w:cs="宋体"/>
                <w:color w:val="auto"/>
                <w:sz w:val="24"/>
                <w:szCs w:val="24"/>
                <w:highlight w:val="none"/>
              </w:rPr>
              <w:t>提供</w:t>
            </w:r>
            <w:r>
              <w:rPr>
                <w:rFonts w:hint="eastAsia" w:hAnsi="宋体" w:cs="宋体"/>
                <w:color w:val="auto"/>
                <w:sz w:val="24"/>
                <w:szCs w:val="24"/>
                <w:highlight w:val="none"/>
                <w:lang w:val="en-US" w:eastAsia="zh-CN"/>
              </w:rPr>
              <w:t>的</w:t>
            </w:r>
            <w:r>
              <w:rPr>
                <w:rFonts w:hint="eastAsia" w:ascii="宋体" w:hAnsi="宋体" w:eastAsia="宋体" w:cs="宋体"/>
                <w:color w:val="auto"/>
                <w:sz w:val="24"/>
                <w:szCs w:val="24"/>
                <w:highlight w:val="none"/>
              </w:rPr>
              <w:t>项目实施</w:t>
            </w:r>
            <w:r>
              <w:rPr>
                <w:rFonts w:hint="eastAsia" w:hAnsi="宋体" w:cs="宋体"/>
                <w:color w:val="auto"/>
                <w:sz w:val="24"/>
                <w:szCs w:val="24"/>
                <w:highlight w:val="none"/>
                <w:lang w:val="en-US" w:eastAsia="zh-CN"/>
              </w:rPr>
              <w:t>组织</w:t>
            </w:r>
            <w:r>
              <w:rPr>
                <w:rFonts w:hint="eastAsia" w:ascii="宋体" w:hAnsi="宋体" w:eastAsia="宋体" w:cs="宋体"/>
                <w:color w:val="auto"/>
                <w:sz w:val="24"/>
                <w:szCs w:val="24"/>
                <w:highlight w:val="none"/>
              </w:rPr>
              <w:t>方案，实施方案内容应包含但不限于包括施工技术方案、进度计划及保证措施、质量保证措施、安全文明措施等。</w:t>
            </w:r>
          </w:p>
          <w:p w14:paraId="494367D4">
            <w:pPr>
              <w:pStyle w:val="24"/>
              <w:keepNext w:val="0"/>
              <w:keepLines w:val="0"/>
              <w:pageBreakBefore w:val="0"/>
              <w:kinsoku/>
              <w:wordWrap/>
              <w:overflowPunct/>
              <w:topLinePunct w:val="0"/>
              <w:autoSpaceDE/>
              <w:autoSpaceDN/>
              <w:bidi w:val="0"/>
              <w:adjustRightInd/>
              <w:spacing w:beforeLines="0" w:beforeAutospacing="0" w:afterLines="0" w:afterAutospacing="0" w:line="240" w:lineRule="auto"/>
              <w:textAlignment w:val="auto"/>
              <w:rPr>
                <w:rFonts w:hint="eastAsia" w:ascii="宋体" w:hAnsi="宋体" w:eastAsia="宋体" w:cs="宋体"/>
                <w:color w:val="auto"/>
                <w:sz w:val="24"/>
                <w:szCs w:val="24"/>
                <w:highlight w:val="none"/>
              </w:rPr>
            </w:pP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1</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t>根据施工技术方案与进度计划的合理性进行综合评议，合理</w:t>
            </w:r>
            <w:r>
              <w:rPr>
                <w:rFonts w:hint="eastAsia" w:hAnsi="宋体" w:cs="宋体"/>
                <w:color w:val="auto"/>
                <w:sz w:val="24"/>
                <w:szCs w:val="24"/>
                <w:highlight w:val="none"/>
                <w:lang w:val="en-US" w:eastAsia="zh-CN"/>
              </w:rPr>
              <w:t>可行符合项目实际的最高得2分，</w:t>
            </w:r>
            <w:r>
              <w:rPr>
                <w:rFonts w:hint="eastAsia" w:ascii="宋体" w:hAnsi="宋体" w:cs="宋体"/>
                <w:color w:val="auto"/>
                <w:sz w:val="24"/>
                <w:highlight w:val="none"/>
              </w:rPr>
              <w:t>有欠缺或不足的每项（处）扣</w:t>
            </w:r>
            <w:r>
              <w:rPr>
                <w:rFonts w:hint="eastAsia" w:hAnsi="宋体" w:cs="宋体"/>
                <w:color w:val="auto"/>
                <w:sz w:val="24"/>
                <w:highlight w:val="none"/>
                <w:lang w:val="en-US" w:eastAsia="zh-CN"/>
              </w:rPr>
              <w:t>0.5</w:t>
            </w:r>
            <w:r>
              <w:rPr>
                <w:rFonts w:hint="eastAsia" w:ascii="宋体" w:hAnsi="宋体" w:cs="宋体"/>
                <w:color w:val="auto"/>
                <w:sz w:val="24"/>
                <w:highlight w:val="none"/>
              </w:rPr>
              <w:t>分，扣完此项分值为止</w:t>
            </w:r>
            <w:r>
              <w:rPr>
                <w:rFonts w:hint="eastAsia" w:ascii="宋体" w:hAnsi="宋体" w:eastAsia="宋体" w:cs="宋体"/>
                <w:color w:val="auto"/>
                <w:sz w:val="24"/>
                <w:szCs w:val="24"/>
                <w:highlight w:val="none"/>
              </w:rPr>
              <w:t>。</w:t>
            </w:r>
          </w:p>
          <w:p w14:paraId="28511983">
            <w:pPr>
              <w:pStyle w:val="24"/>
              <w:keepNext w:val="0"/>
              <w:keepLines w:val="0"/>
              <w:pageBreakBefore w:val="0"/>
              <w:kinsoku/>
              <w:wordWrap/>
              <w:overflowPunct/>
              <w:topLinePunct w:val="0"/>
              <w:autoSpaceDE/>
              <w:autoSpaceDN/>
              <w:bidi w:val="0"/>
              <w:adjustRightInd/>
              <w:spacing w:beforeLines="0" w:beforeAutospacing="0" w:afterLines="0" w:afterAutospacing="0" w:line="240" w:lineRule="auto"/>
              <w:textAlignment w:val="auto"/>
              <w:rPr>
                <w:rFonts w:hint="eastAsia" w:ascii="宋体" w:hAnsi="宋体" w:eastAsia="宋体" w:cs="宋体"/>
                <w:color w:val="auto"/>
                <w:sz w:val="24"/>
                <w:szCs w:val="24"/>
                <w:highlight w:val="none"/>
              </w:rPr>
            </w:pP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2</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t>根据进度计划及保证措施的可行性进行综合评议，合理</w:t>
            </w:r>
            <w:r>
              <w:rPr>
                <w:rFonts w:hint="eastAsia" w:hAnsi="宋体" w:cs="宋体"/>
                <w:color w:val="auto"/>
                <w:sz w:val="24"/>
                <w:szCs w:val="24"/>
                <w:highlight w:val="none"/>
                <w:lang w:val="en-US" w:eastAsia="zh-CN"/>
              </w:rPr>
              <w:t>可行符合项目实际的得2分，</w:t>
            </w:r>
            <w:r>
              <w:rPr>
                <w:rFonts w:hint="eastAsia" w:ascii="宋体" w:hAnsi="宋体" w:cs="宋体"/>
                <w:color w:val="auto"/>
                <w:sz w:val="24"/>
                <w:highlight w:val="none"/>
              </w:rPr>
              <w:t>有欠缺或不足的每项（处）扣</w:t>
            </w:r>
            <w:r>
              <w:rPr>
                <w:rFonts w:hint="eastAsia" w:hAnsi="宋体" w:cs="宋体"/>
                <w:color w:val="auto"/>
                <w:sz w:val="24"/>
                <w:highlight w:val="none"/>
                <w:lang w:val="en-US" w:eastAsia="zh-CN"/>
              </w:rPr>
              <w:t>0.5</w:t>
            </w:r>
            <w:r>
              <w:rPr>
                <w:rFonts w:hint="eastAsia" w:ascii="宋体" w:hAnsi="宋体" w:cs="宋体"/>
                <w:color w:val="auto"/>
                <w:sz w:val="24"/>
                <w:highlight w:val="none"/>
              </w:rPr>
              <w:t>分，扣完此项分值为止</w:t>
            </w:r>
            <w:r>
              <w:rPr>
                <w:rFonts w:hint="eastAsia" w:ascii="宋体" w:hAnsi="宋体" w:eastAsia="宋体" w:cs="宋体"/>
                <w:color w:val="auto"/>
                <w:sz w:val="24"/>
                <w:szCs w:val="24"/>
                <w:highlight w:val="none"/>
              </w:rPr>
              <w:t>。</w:t>
            </w:r>
          </w:p>
          <w:p w14:paraId="0A4D0E83">
            <w:pPr>
              <w:pStyle w:val="24"/>
              <w:keepNext w:val="0"/>
              <w:keepLines w:val="0"/>
              <w:pageBreakBefore w:val="0"/>
              <w:kinsoku/>
              <w:wordWrap/>
              <w:overflowPunct/>
              <w:topLinePunct w:val="0"/>
              <w:autoSpaceDE/>
              <w:autoSpaceDN/>
              <w:bidi w:val="0"/>
              <w:adjustRightInd/>
              <w:spacing w:beforeLines="0" w:beforeAutospacing="0" w:afterLines="0" w:afterAutospacing="0" w:line="240" w:lineRule="auto"/>
              <w:textAlignment w:val="auto"/>
              <w:rPr>
                <w:rFonts w:hint="eastAsia" w:ascii="宋体" w:hAnsi="宋体" w:eastAsia="宋体" w:cs="宋体"/>
                <w:color w:val="auto"/>
                <w:sz w:val="24"/>
                <w:szCs w:val="24"/>
                <w:highlight w:val="none"/>
              </w:rPr>
            </w:pP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3</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t>根据项目的质量保证措施的合理性进行综合评议，合理</w:t>
            </w:r>
            <w:r>
              <w:rPr>
                <w:rFonts w:hint="eastAsia" w:hAnsi="宋体" w:cs="宋体"/>
                <w:color w:val="auto"/>
                <w:sz w:val="24"/>
                <w:szCs w:val="24"/>
                <w:highlight w:val="none"/>
                <w:lang w:val="en-US" w:eastAsia="zh-CN"/>
              </w:rPr>
              <w:t>可行符合项目实际</w:t>
            </w:r>
            <w:r>
              <w:rPr>
                <w:rFonts w:hint="eastAsia" w:ascii="宋体" w:hAnsi="宋体" w:eastAsia="宋体" w:cs="宋体"/>
                <w:color w:val="auto"/>
                <w:sz w:val="24"/>
                <w:szCs w:val="24"/>
                <w:highlight w:val="none"/>
              </w:rPr>
              <w:t>的得</w:t>
            </w:r>
            <w:r>
              <w:rPr>
                <w:rFonts w:hint="eastAsia"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hAnsi="宋体" w:cs="宋体"/>
                <w:color w:val="auto"/>
                <w:sz w:val="24"/>
                <w:szCs w:val="24"/>
                <w:highlight w:val="none"/>
                <w:lang w:eastAsia="zh-CN"/>
              </w:rPr>
              <w:t>，</w:t>
            </w:r>
            <w:r>
              <w:rPr>
                <w:rFonts w:hint="eastAsia" w:ascii="宋体" w:hAnsi="宋体" w:cs="宋体"/>
                <w:color w:val="auto"/>
                <w:sz w:val="24"/>
                <w:highlight w:val="none"/>
              </w:rPr>
              <w:t>有欠缺或不足的每项（处）扣</w:t>
            </w:r>
            <w:r>
              <w:rPr>
                <w:rFonts w:hint="eastAsia" w:hAnsi="宋体" w:cs="宋体"/>
                <w:color w:val="auto"/>
                <w:sz w:val="24"/>
                <w:highlight w:val="none"/>
                <w:lang w:val="en-US" w:eastAsia="zh-CN"/>
              </w:rPr>
              <w:t>0.5</w:t>
            </w:r>
            <w:r>
              <w:rPr>
                <w:rFonts w:hint="eastAsia" w:ascii="宋体" w:hAnsi="宋体" w:cs="宋体"/>
                <w:color w:val="auto"/>
                <w:sz w:val="24"/>
                <w:highlight w:val="none"/>
              </w:rPr>
              <w:t>分，扣完此项分值为止</w:t>
            </w:r>
            <w:r>
              <w:rPr>
                <w:rFonts w:hint="eastAsia" w:ascii="宋体" w:hAnsi="宋体" w:eastAsia="宋体" w:cs="宋体"/>
                <w:color w:val="auto"/>
                <w:sz w:val="24"/>
                <w:szCs w:val="24"/>
                <w:highlight w:val="none"/>
              </w:rPr>
              <w:t>。</w:t>
            </w:r>
          </w:p>
          <w:p w14:paraId="55D16DA3">
            <w:pPr>
              <w:pStyle w:val="24"/>
              <w:keepNext w:val="0"/>
              <w:keepLines w:val="0"/>
              <w:pageBreakBefore w:val="0"/>
              <w:kinsoku/>
              <w:wordWrap/>
              <w:overflowPunct/>
              <w:topLinePunct w:val="0"/>
              <w:autoSpaceDE/>
              <w:autoSpaceDN/>
              <w:bidi w:val="0"/>
              <w:adjustRightInd/>
              <w:spacing w:beforeLines="0" w:beforeAutospacing="0" w:afterLines="0" w:afterAutospacing="0" w:line="240" w:lineRule="auto"/>
              <w:textAlignment w:val="auto"/>
              <w:rPr>
                <w:rFonts w:hint="eastAsia" w:ascii="宋体" w:hAnsi="宋体" w:eastAsia="宋体" w:cs="宋体"/>
                <w:color w:val="auto"/>
                <w:sz w:val="24"/>
                <w:szCs w:val="24"/>
                <w:highlight w:val="none"/>
                <w:lang w:eastAsia="zh-CN"/>
              </w:rPr>
            </w:pP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4</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t>根据安全文明措施方案的可行性进行综合评议，合理</w:t>
            </w:r>
            <w:r>
              <w:rPr>
                <w:rFonts w:hint="eastAsia" w:hAnsi="宋体" w:cs="宋体"/>
                <w:color w:val="auto"/>
                <w:sz w:val="24"/>
                <w:szCs w:val="24"/>
                <w:highlight w:val="none"/>
                <w:lang w:val="en-US" w:eastAsia="zh-CN"/>
              </w:rPr>
              <w:t>可行符合项目实际</w:t>
            </w:r>
            <w:r>
              <w:rPr>
                <w:rFonts w:hint="eastAsia" w:ascii="宋体" w:hAnsi="宋体" w:eastAsia="宋体" w:cs="宋体"/>
                <w:color w:val="auto"/>
                <w:sz w:val="24"/>
                <w:szCs w:val="24"/>
                <w:highlight w:val="none"/>
              </w:rPr>
              <w:t>的得</w:t>
            </w:r>
            <w:r>
              <w:rPr>
                <w:rFonts w:hint="eastAsia"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hAnsi="宋体" w:cs="宋体"/>
                <w:color w:val="auto"/>
                <w:sz w:val="24"/>
                <w:szCs w:val="24"/>
                <w:highlight w:val="none"/>
                <w:lang w:eastAsia="zh-CN"/>
              </w:rPr>
              <w:t>，</w:t>
            </w:r>
            <w:r>
              <w:rPr>
                <w:rFonts w:hint="eastAsia" w:ascii="宋体" w:hAnsi="宋体" w:cs="宋体"/>
                <w:color w:val="auto"/>
                <w:sz w:val="24"/>
                <w:highlight w:val="none"/>
              </w:rPr>
              <w:t>有欠缺或不足的每项（处）扣</w:t>
            </w:r>
            <w:r>
              <w:rPr>
                <w:rFonts w:hint="eastAsia" w:hAnsi="宋体" w:cs="宋体"/>
                <w:color w:val="auto"/>
                <w:sz w:val="24"/>
                <w:highlight w:val="none"/>
                <w:lang w:val="en-US" w:eastAsia="zh-CN"/>
              </w:rPr>
              <w:t>0.5</w:t>
            </w:r>
            <w:r>
              <w:rPr>
                <w:rFonts w:hint="eastAsia" w:ascii="宋体" w:hAnsi="宋体" w:cs="宋体"/>
                <w:color w:val="auto"/>
                <w:sz w:val="24"/>
                <w:highlight w:val="none"/>
              </w:rPr>
              <w:t>分，扣完此项分值为止</w:t>
            </w:r>
            <w:r>
              <w:rPr>
                <w:rFonts w:hint="eastAsia" w:ascii="宋体" w:hAnsi="宋体" w:eastAsia="宋体" w:cs="宋体"/>
                <w:color w:val="auto"/>
                <w:sz w:val="24"/>
                <w:szCs w:val="24"/>
                <w:highlight w:val="none"/>
              </w:rPr>
              <w:t>。</w:t>
            </w:r>
          </w:p>
        </w:tc>
        <w:tc>
          <w:tcPr>
            <w:tcW w:w="948" w:type="dxa"/>
            <w:tcBorders>
              <w:tl2br w:val="nil"/>
              <w:tr2bl w:val="nil"/>
            </w:tcBorders>
            <w:noWrap w:val="0"/>
            <w:vAlign w:val="center"/>
          </w:tcPr>
          <w:p w14:paraId="41B9F9C7">
            <w:pPr>
              <w:keepNext w:val="0"/>
              <w:keepLines w:val="0"/>
              <w:pageBreakBefore w:val="0"/>
              <w:kinsoku/>
              <w:wordWrap/>
              <w:overflowPunct/>
              <w:topLinePunct w:val="0"/>
              <w:autoSpaceDE/>
              <w:autoSpaceDN/>
              <w:bidi w:val="0"/>
              <w:adjustRightInd/>
              <w:spacing w:line="240" w:lineRule="auto"/>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1"/>
                <w:szCs w:val="21"/>
                <w:highlight w:val="none"/>
                <w:lang w:val="en-US" w:eastAsia="zh-CN"/>
              </w:rPr>
              <w:t>8</w:t>
            </w:r>
          </w:p>
        </w:tc>
      </w:tr>
      <w:tr w14:paraId="2B68B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1" w:type="dxa"/>
            <w:tcBorders>
              <w:tl2br w:val="nil"/>
              <w:tr2bl w:val="nil"/>
            </w:tcBorders>
            <w:noWrap w:val="0"/>
            <w:vAlign w:val="center"/>
          </w:tcPr>
          <w:p w14:paraId="6E76D6E7">
            <w:pPr>
              <w:keepNext w:val="0"/>
              <w:keepLines w:val="0"/>
              <w:pageBreakBefore w:val="0"/>
              <w:widowControl/>
              <w:kinsoku/>
              <w:wordWrap/>
              <w:overflowPunct/>
              <w:topLinePunct w:val="0"/>
              <w:autoSpaceDE/>
              <w:autoSpaceDN/>
              <w:bidi w:val="0"/>
              <w:adjustRightInd/>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7</w:t>
            </w:r>
          </w:p>
        </w:tc>
        <w:tc>
          <w:tcPr>
            <w:tcW w:w="1204" w:type="dxa"/>
            <w:tcBorders>
              <w:tl2br w:val="nil"/>
              <w:tr2bl w:val="nil"/>
            </w:tcBorders>
            <w:noWrap w:val="0"/>
            <w:vAlign w:val="center"/>
          </w:tcPr>
          <w:p w14:paraId="3D24DCE8">
            <w:pPr>
              <w:keepNext w:val="0"/>
              <w:keepLines w:val="0"/>
              <w:pageBreakBefore w:val="0"/>
              <w:widowControl/>
              <w:kinsoku/>
              <w:wordWrap/>
              <w:overflowPunct/>
              <w:topLinePunct w:val="0"/>
              <w:autoSpaceDE/>
              <w:autoSpaceDN/>
              <w:bidi w:val="0"/>
              <w:adjustRightInd/>
              <w:spacing w:line="24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布展材料及软硬件设施</w:t>
            </w:r>
          </w:p>
        </w:tc>
        <w:tc>
          <w:tcPr>
            <w:tcW w:w="6035" w:type="dxa"/>
            <w:tcBorders>
              <w:tl2br w:val="nil"/>
              <w:tr2bl w:val="nil"/>
            </w:tcBorders>
            <w:noWrap w:val="0"/>
            <w:vAlign w:val="center"/>
          </w:tcPr>
          <w:p w14:paraId="1886049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根据各供应商针对本项目投入的物料、材料、软件、设备、设施产品性能、品质等情况进行评分。供应商须提供详细的清单及参数内容。</w:t>
            </w:r>
            <w:r>
              <w:rPr>
                <w:rFonts w:hint="eastAsia" w:ascii="宋体" w:hAnsi="宋体" w:cs="宋体"/>
                <w:color w:val="auto"/>
                <w:kern w:val="2"/>
                <w:sz w:val="24"/>
                <w:szCs w:val="24"/>
                <w:highlight w:val="none"/>
                <w:lang w:val="en-US" w:eastAsia="zh-CN" w:bidi="ar-SA"/>
              </w:rPr>
              <w:t>内容齐全，符合项目实际的得4分，</w:t>
            </w:r>
            <w:r>
              <w:rPr>
                <w:rFonts w:hint="eastAsia" w:ascii="宋体" w:hAnsi="宋体" w:cs="宋体"/>
                <w:color w:val="auto"/>
                <w:sz w:val="24"/>
                <w:highlight w:val="none"/>
              </w:rPr>
              <w:t>有欠缺或不足的每项（处）扣</w:t>
            </w:r>
            <w:r>
              <w:rPr>
                <w:rFonts w:hint="eastAsia" w:hAnsi="宋体" w:cs="宋体"/>
                <w:color w:val="auto"/>
                <w:sz w:val="24"/>
                <w:highlight w:val="none"/>
                <w:lang w:val="en-US" w:eastAsia="zh-CN"/>
              </w:rPr>
              <w:t>1</w:t>
            </w:r>
            <w:r>
              <w:rPr>
                <w:rFonts w:hint="eastAsia" w:ascii="宋体" w:hAnsi="宋体" w:cs="宋体"/>
                <w:color w:val="auto"/>
                <w:sz w:val="24"/>
                <w:highlight w:val="none"/>
              </w:rPr>
              <w:t>分，扣完此项分值为止</w:t>
            </w:r>
            <w:r>
              <w:rPr>
                <w:rFonts w:hint="eastAsia" w:ascii="宋体" w:hAnsi="宋体" w:eastAsia="宋体" w:cs="宋体"/>
                <w:color w:val="auto"/>
                <w:sz w:val="24"/>
                <w:szCs w:val="24"/>
                <w:highlight w:val="none"/>
              </w:rPr>
              <w:t>。</w:t>
            </w:r>
          </w:p>
        </w:tc>
        <w:tc>
          <w:tcPr>
            <w:tcW w:w="948" w:type="dxa"/>
            <w:tcBorders>
              <w:tl2br w:val="nil"/>
              <w:tr2bl w:val="nil"/>
            </w:tcBorders>
            <w:noWrap w:val="0"/>
            <w:vAlign w:val="center"/>
          </w:tcPr>
          <w:p w14:paraId="776F5C65">
            <w:pPr>
              <w:keepNext w:val="0"/>
              <w:keepLines w:val="0"/>
              <w:pageBreakBefore w:val="0"/>
              <w:kinsoku/>
              <w:wordWrap/>
              <w:overflowPunct/>
              <w:topLinePunct w:val="0"/>
              <w:autoSpaceDE/>
              <w:autoSpaceDN/>
              <w:bidi w:val="0"/>
              <w:adjustRightInd/>
              <w:spacing w:line="24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w:t>
            </w:r>
          </w:p>
        </w:tc>
      </w:tr>
      <w:tr w14:paraId="27B82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1" w:type="dxa"/>
            <w:tcBorders>
              <w:tl2br w:val="nil"/>
              <w:tr2bl w:val="nil"/>
            </w:tcBorders>
            <w:noWrap w:val="0"/>
            <w:vAlign w:val="center"/>
          </w:tcPr>
          <w:p w14:paraId="10C628E6">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1204" w:type="dxa"/>
            <w:tcBorders>
              <w:tl2br w:val="nil"/>
              <w:tr2bl w:val="nil"/>
            </w:tcBorders>
            <w:noWrap w:val="0"/>
            <w:vAlign w:val="center"/>
          </w:tcPr>
          <w:p w14:paraId="1949703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展览布</w:t>
            </w:r>
            <w:r>
              <w:rPr>
                <w:rFonts w:hint="eastAsia" w:ascii="宋体" w:hAnsi="宋体" w:cs="宋体"/>
                <w:color w:val="auto"/>
                <w:kern w:val="2"/>
                <w:sz w:val="24"/>
                <w:szCs w:val="24"/>
                <w:highlight w:val="none"/>
                <w:lang w:val="en-US" w:eastAsia="zh-CN" w:bidi="ar-SA"/>
              </w:rPr>
              <w:t>展</w:t>
            </w:r>
            <w:r>
              <w:rPr>
                <w:rFonts w:hint="eastAsia" w:ascii="宋体" w:hAnsi="宋体" w:eastAsia="宋体" w:cs="宋体"/>
                <w:color w:val="auto"/>
                <w:kern w:val="2"/>
                <w:sz w:val="24"/>
                <w:szCs w:val="24"/>
                <w:highlight w:val="none"/>
                <w:lang w:val="en-US" w:eastAsia="zh-CN" w:bidi="ar-SA"/>
              </w:rPr>
              <w:t>方案</w:t>
            </w:r>
          </w:p>
        </w:tc>
        <w:tc>
          <w:tcPr>
            <w:tcW w:w="6035" w:type="dxa"/>
            <w:tcBorders>
              <w:tl2br w:val="nil"/>
              <w:tr2bl w:val="nil"/>
            </w:tcBorders>
            <w:noWrap w:val="0"/>
            <w:vAlign w:val="center"/>
          </w:tcPr>
          <w:p w14:paraId="22E94DC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根据各供应商提供主要布展措施（含展厅隔墙等的搭建、拆除、清运、卫生等）方案</w:t>
            </w:r>
            <w:r>
              <w:rPr>
                <w:rFonts w:hint="eastAsia" w:ascii="宋体" w:hAnsi="宋体" w:cs="宋体"/>
                <w:color w:val="auto"/>
                <w:kern w:val="2"/>
                <w:sz w:val="24"/>
                <w:szCs w:val="24"/>
                <w:highlight w:val="none"/>
                <w:lang w:val="en-US" w:eastAsia="zh-CN" w:bidi="ar-SA"/>
              </w:rPr>
              <w:t>，各项内容齐全，符合项目实际及落地的得4分，</w:t>
            </w:r>
            <w:r>
              <w:rPr>
                <w:rFonts w:hint="eastAsia" w:ascii="宋体" w:hAnsi="宋体" w:cs="宋体"/>
                <w:color w:val="auto"/>
                <w:sz w:val="24"/>
                <w:highlight w:val="none"/>
              </w:rPr>
              <w:t>有欠缺或不足的每项（处）扣</w:t>
            </w:r>
            <w:r>
              <w:rPr>
                <w:rFonts w:hint="eastAsia" w:hAnsi="宋体" w:cs="宋体"/>
                <w:color w:val="auto"/>
                <w:sz w:val="24"/>
                <w:highlight w:val="none"/>
                <w:lang w:val="en-US" w:eastAsia="zh-CN"/>
              </w:rPr>
              <w:t>1</w:t>
            </w:r>
            <w:r>
              <w:rPr>
                <w:rFonts w:hint="eastAsia" w:ascii="宋体" w:hAnsi="宋体" w:cs="宋体"/>
                <w:color w:val="auto"/>
                <w:sz w:val="24"/>
                <w:highlight w:val="none"/>
              </w:rPr>
              <w:t>分，扣完此项分值为止</w:t>
            </w:r>
            <w:r>
              <w:rPr>
                <w:rFonts w:hint="eastAsia" w:ascii="宋体" w:hAnsi="宋体" w:eastAsia="宋体" w:cs="宋体"/>
                <w:color w:val="auto"/>
                <w:sz w:val="24"/>
                <w:szCs w:val="24"/>
                <w:highlight w:val="none"/>
              </w:rPr>
              <w:t>。</w:t>
            </w:r>
          </w:p>
        </w:tc>
        <w:tc>
          <w:tcPr>
            <w:tcW w:w="948" w:type="dxa"/>
            <w:tcBorders>
              <w:tl2br w:val="nil"/>
              <w:tr2bl w:val="nil"/>
            </w:tcBorders>
            <w:noWrap w:val="0"/>
            <w:vAlign w:val="center"/>
          </w:tcPr>
          <w:p w14:paraId="2FDEDE3E">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4"/>
                <w:szCs w:val="24"/>
                <w:highlight w:val="none"/>
                <w:lang w:val="en-US" w:eastAsia="zh-CN" w:bidi="ar-SA"/>
              </w:rPr>
              <w:t>4</w:t>
            </w:r>
          </w:p>
        </w:tc>
      </w:tr>
      <w:tr w14:paraId="7FA29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1" w:type="dxa"/>
            <w:vMerge w:val="restart"/>
            <w:tcBorders>
              <w:tl2br w:val="nil"/>
              <w:tr2bl w:val="nil"/>
            </w:tcBorders>
            <w:noWrap w:val="0"/>
            <w:vAlign w:val="center"/>
          </w:tcPr>
          <w:p w14:paraId="11590B77">
            <w:pPr>
              <w:keepNext w:val="0"/>
              <w:keepLines w:val="0"/>
              <w:pageBreakBefore w:val="0"/>
              <w:widowControl/>
              <w:kinsoku/>
              <w:wordWrap/>
              <w:overflowPunct/>
              <w:topLinePunct w:val="0"/>
              <w:autoSpaceDE/>
              <w:autoSpaceDN/>
              <w:bidi w:val="0"/>
              <w:adjustRightInd/>
              <w:spacing w:line="240" w:lineRule="auto"/>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1204" w:type="dxa"/>
            <w:vMerge w:val="restart"/>
            <w:tcBorders>
              <w:tl2br w:val="nil"/>
              <w:tr2bl w:val="nil"/>
            </w:tcBorders>
            <w:noWrap w:val="0"/>
            <w:vAlign w:val="center"/>
          </w:tcPr>
          <w:p w14:paraId="1B46D625">
            <w:pPr>
              <w:keepNext w:val="0"/>
              <w:keepLines w:val="0"/>
              <w:pageBreakBefore w:val="0"/>
              <w:widowControl/>
              <w:kinsoku/>
              <w:wordWrap/>
              <w:overflowPunct/>
              <w:topLinePunct w:val="0"/>
              <w:autoSpaceDE/>
              <w:autoSpaceDN/>
              <w:bidi w:val="0"/>
              <w:adjustRightInd/>
              <w:spacing w:line="240" w:lineRule="auto"/>
              <w:jc w:val="center"/>
              <w:textAlignment w:val="auto"/>
              <w:rPr>
                <w:rFonts w:hint="default" w:ascii="宋体" w:hAnsi="宋体" w:cs="宋体"/>
                <w:color w:val="auto"/>
                <w:sz w:val="24"/>
                <w:highlight w:val="none"/>
                <w:lang w:val="en-US"/>
              </w:rPr>
            </w:pPr>
            <w:r>
              <w:rPr>
                <w:rFonts w:hint="eastAsia" w:ascii="宋体" w:hAnsi="宋体" w:cs="宋体"/>
                <w:color w:val="auto"/>
                <w:sz w:val="24"/>
                <w:highlight w:val="none"/>
                <w:lang w:val="en-US" w:eastAsia="zh-CN"/>
              </w:rPr>
              <w:t>实施团队配置方案</w:t>
            </w:r>
          </w:p>
        </w:tc>
        <w:tc>
          <w:tcPr>
            <w:tcW w:w="6035" w:type="dxa"/>
            <w:tcBorders>
              <w:tl2br w:val="nil"/>
              <w:tr2bl w:val="nil"/>
            </w:tcBorders>
            <w:noWrap w:val="0"/>
            <w:vAlign w:val="top"/>
          </w:tcPr>
          <w:p w14:paraId="4390BEAA">
            <w:pPr>
              <w:keepNext w:val="0"/>
              <w:keepLines w:val="0"/>
              <w:pageBreakBefore w:val="0"/>
              <w:kinsoku/>
              <w:wordWrap/>
              <w:overflowPunct/>
              <w:topLinePunct w:val="0"/>
              <w:autoSpaceDE/>
              <w:autoSpaceDN/>
              <w:bidi w:val="0"/>
              <w:adjustRightInd/>
              <w:spacing w:line="240" w:lineRule="auto"/>
              <w:textAlignment w:val="auto"/>
              <w:rPr>
                <w:rFonts w:ascii="宋体" w:hAnsi="宋体" w:cs="宋体"/>
                <w:color w:val="auto"/>
                <w:sz w:val="24"/>
                <w:highlight w:val="none"/>
              </w:rPr>
            </w:pPr>
            <w:r>
              <w:rPr>
                <w:rFonts w:hint="eastAsia" w:ascii="宋体" w:hAnsi="宋体" w:eastAsia="宋体" w:cs="宋体"/>
                <w:color w:val="auto"/>
                <w:kern w:val="2"/>
                <w:sz w:val="24"/>
                <w:szCs w:val="21"/>
                <w:highlight w:val="none"/>
                <w:lang w:val="en-US" w:eastAsia="zh-CN" w:bidi="ar-SA"/>
              </w:rPr>
              <w:t>根据</w:t>
            </w:r>
            <w:r>
              <w:rPr>
                <w:rFonts w:hint="eastAsia" w:ascii="宋体" w:hAnsi="宋体" w:cs="宋体"/>
                <w:color w:val="auto"/>
                <w:kern w:val="2"/>
                <w:sz w:val="24"/>
                <w:szCs w:val="21"/>
                <w:highlight w:val="none"/>
                <w:lang w:val="en-US" w:eastAsia="zh-CN" w:bidi="ar-SA"/>
              </w:rPr>
              <w:t>投标人提供</w:t>
            </w:r>
            <w:r>
              <w:rPr>
                <w:rFonts w:hint="eastAsia" w:ascii="宋体" w:hAnsi="宋体" w:eastAsia="宋体" w:cs="宋体"/>
                <w:color w:val="auto"/>
                <w:kern w:val="2"/>
                <w:sz w:val="24"/>
                <w:szCs w:val="21"/>
                <w:highlight w:val="none"/>
                <w:lang w:val="en-US" w:eastAsia="zh-CN" w:bidi="ar-SA"/>
              </w:rPr>
              <w:t>的项目实施人员的</w:t>
            </w:r>
            <w:r>
              <w:rPr>
                <w:rFonts w:hint="eastAsia" w:ascii="宋体" w:hAnsi="宋体" w:cs="宋体"/>
                <w:color w:val="auto"/>
                <w:kern w:val="2"/>
                <w:sz w:val="24"/>
                <w:szCs w:val="21"/>
                <w:highlight w:val="none"/>
                <w:lang w:val="en-US" w:eastAsia="zh-CN" w:bidi="ar-SA"/>
              </w:rPr>
              <w:t>团队岗位配置、</w:t>
            </w:r>
            <w:r>
              <w:rPr>
                <w:rFonts w:hint="eastAsia" w:ascii="宋体" w:hAnsi="宋体" w:eastAsia="宋体" w:cs="宋体"/>
                <w:color w:val="auto"/>
                <w:kern w:val="2"/>
                <w:sz w:val="24"/>
                <w:szCs w:val="21"/>
                <w:highlight w:val="none"/>
                <w:lang w:val="en-US" w:eastAsia="zh-CN" w:bidi="ar-SA"/>
              </w:rPr>
              <w:t>从业经验丰富性与设计人员的相关专业技能专业程度进行综合评议，</w:t>
            </w:r>
            <w:r>
              <w:rPr>
                <w:rFonts w:hint="eastAsia" w:ascii="宋体" w:hAnsi="宋体" w:cs="宋体"/>
                <w:color w:val="auto"/>
                <w:kern w:val="2"/>
                <w:sz w:val="24"/>
                <w:szCs w:val="21"/>
                <w:highlight w:val="none"/>
                <w:lang w:val="en-US" w:eastAsia="zh-CN" w:bidi="ar-SA"/>
              </w:rPr>
              <w:t>岗位配置合理、人员</w:t>
            </w:r>
            <w:r>
              <w:rPr>
                <w:rFonts w:hint="eastAsia" w:ascii="宋体" w:hAnsi="宋体" w:eastAsia="宋体" w:cs="宋体"/>
                <w:color w:val="auto"/>
                <w:kern w:val="2"/>
                <w:sz w:val="24"/>
                <w:szCs w:val="21"/>
                <w:highlight w:val="none"/>
                <w:lang w:val="en-US" w:eastAsia="zh-CN" w:bidi="ar-SA"/>
              </w:rPr>
              <w:t>从业经验丰富、专业能力强的得</w:t>
            </w:r>
            <w:r>
              <w:rPr>
                <w:rFonts w:hint="eastAsia" w:ascii="宋体" w:hAnsi="宋体" w:cs="宋体"/>
                <w:color w:val="auto"/>
                <w:kern w:val="2"/>
                <w:sz w:val="24"/>
                <w:szCs w:val="21"/>
                <w:highlight w:val="none"/>
                <w:lang w:val="en-US" w:eastAsia="zh-CN" w:bidi="ar-SA"/>
              </w:rPr>
              <w:t>5</w:t>
            </w:r>
            <w:r>
              <w:rPr>
                <w:rFonts w:hint="eastAsia" w:ascii="宋体" w:hAnsi="宋体" w:eastAsia="宋体" w:cs="宋体"/>
                <w:color w:val="auto"/>
                <w:kern w:val="2"/>
                <w:sz w:val="24"/>
                <w:szCs w:val="21"/>
                <w:highlight w:val="none"/>
                <w:lang w:val="en-US" w:eastAsia="zh-CN" w:bidi="ar-SA"/>
              </w:rPr>
              <w:t>分</w:t>
            </w:r>
            <w:r>
              <w:rPr>
                <w:rFonts w:hint="eastAsia" w:hAnsi="宋体" w:cs="宋体"/>
                <w:color w:val="auto"/>
                <w:sz w:val="24"/>
                <w:szCs w:val="24"/>
                <w:highlight w:val="none"/>
                <w:lang w:eastAsia="zh-CN"/>
              </w:rPr>
              <w:t>，</w:t>
            </w:r>
            <w:r>
              <w:rPr>
                <w:rFonts w:hint="eastAsia" w:ascii="宋体" w:hAnsi="宋体" w:cs="宋体"/>
                <w:color w:val="auto"/>
                <w:sz w:val="24"/>
                <w:highlight w:val="none"/>
              </w:rPr>
              <w:t>有欠缺或不足的每项（处）扣</w:t>
            </w:r>
            <w:r>
              <w:rPr>
                <w:rFonts w:hint="eastAsia" w:hAnsi="宋体" w:cs="宋体"/>
                <w:color w:val="auto"/>
                <w:sz w:val="24"/>
                <w:highlight w:val="none"/>
                <w:lang w:val="en-US" w:eastAsia="zh-CN"/>
              </w:rPr>
              <w:t>1</w:t>
            </w:r>
            <w:r>
              <w:rPr>
                <w:rFonts w:hint="eastAsia" w:ascii="宋体" w:hAnsi="宋体" w:cs="宋体"/>
                <w:color w:val="auto"/>
                <w:sz w:val="24"/>
                <w:highlight w:val="none"/>
              </w:rPr>
              <w:t>分，扣完此项分值为止</w:t>
            </w:r>
            <w:r>
              <w:rPr>
                <w:rFonts w:hint="eastAsia" w:ascii="宋体" w:hAnsi="宋体" w:eastAsia="宋体" w:cs="宋体"/>
                <w:color w:val="auto"/>
                <w:sz w:val="24"/>
                <w:szCs w:val="24"/>
                <w:highlight w:val="none"/>
              </w:rPr>
              <w:t>。</w:t>
            </w:r>
          </w:p>
        </w:tc>
        <w:tc>
          <w:tcPr>
            <w:tcW w:w="948" w:type="dxa"/>
            <w:tcBorders>
              <w:tl2br w:val="nil"/>
              <w:tr2bl w:val="nil"/>
            </w:tcBorders>
            <w:noWrap w:val="0"/>
            <w:vAlign w:val="center"/>
          </w:tcPr>
          <w:p w14:paraId="36F5CF55">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r>
      <w:tr w14:paraId="38785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1" w:type="dxa"/>
            <w:vMerge w:val="continue"/>
            <w:tcBorders>
              <w:tl2br w:val="nil"/>
              <w:tr2bl w:val="nil"/>
            </w:tcBorders>
            <w:noWrap w:val="0"/>
            <w:vAlign w:val="center"/>
          </w:tcPr>
          <w:p w14:paraId="2AC655D7">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cs="宋体"/>
                <w:color w:val="auto"/>
                <w:sz w:val="24"/>
                <w:highlight w:val="none"/>
                <w:lang w:val="en-US" w:eastAsia="zh-CN"/>
              </w:rPr>
            </w:pPr>
          </w:p>
        </w:tc>
        <w:tc>
          <w:tcPr>
            <w:tcW w:w="1204" w:type="dxa"/>
            <w:vMerge w:val="continue"/>
            <w:tcBorders>
              <w:tl2br w:val="nil"/>
              <w:tr2bl w:val="nil"/>
            </w:tcBorders>
            <w:noWrap w:val="0"/>
            <w:vAlign w:val="center"/>
          </w:tcPr>
          <w:p w14:paraId="1CE03B23">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cs="宋体"/>
                <w:color w:val="auto"/>
                <w:sz w:val="24"/>
                <w:highlight w:val="none"/>
                <w:lang w:val="en-US" w:eastAsia="zh-CN"/>
              </w:rPr>
            </w:pPr>
          </w:p>
        </w:tc>
        <w:tc>
          <w:tcPr>
            <w:tcW w:w="6035" w:type="dxa"/>
            <w:tcBorders>
              <w:tl2br w:val="nil"/>
              <w:tr2bl w:val="nil"/>
            </w:tcBorders>
            <w:noWrap w:val="0"/>
            <w:vAlign w:val="top"/>
          </w:tcPr>
          <w:p w14:paraId="336CB3D2">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color w:val="auto"/>
                <w:kern w:val="2"/>
                <w:sz w:val="24"/>
                <w:szCs w:val="21"/>
                <w:highlight w:val="none"/>
                <w:lang w:val="en-US" w:eastAsia="zh-CN" w:bidi="ar-SA"/>
              </w:rPr>
            </w:pPr>
            <w:r>
              <w:rPr>
                <w:rFonts w:hint="eastAsia" w:ascii="宋体" w:hAnsi="宋体" w:eastAsia="宋体" w:cs="宋体"/>
                <w:color w:val="auto"/>
                <w:kern w:val="2"/>
                <w:sz w:val="24"/>
                <w:szCs w:val="21"/>
                <w:highlight w:val="none"/>
                <w:lang w:val="en-US" w:eastAsia="zh-CN" w:bidi="ar-SA"/>
              </w:rPr>
              <w:t>供应商需指定至少一名项目经理：</w:t>
            </w:r>
          </w:p>
          <w:p w14:paraId="2A2991FC">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color w:val="auto"/>
                <w:kern w:val="2"/>
                <w:sz w:val="24"/>
                <w:szCs w:val="21"/>
                <w:highlight w:val="none"/>
                <w:lang w:val="en-US" w:eastAsia="zh-CN" w:bidi="ar-SA"/>
              </w:rPr>
            </w:pPr>
            <w:r>
              <w:rPr>
                <w:rFonts w:hint="eastAsia" w:ascii="宋体" w:hAnsi="宋体" w:eastAsia="宋体" w:cs="宋体"/>
                <w:color w:val="auto"/>
                <w:kern w:val="2"/>
                <w:sz w:val="24"/>
                <w:szCs w:val="21"/>
                <w:highlight w:val="none"/>
                <w:lang w:val="en-US" w:eastAsia="zh-CN" w:bidi="ar-SA"/>
              </w:rPr>
              <w:t>项目经理需具备类似文博类展览展陈制作项目设计或施工经验，（提供合同扫描件加盖公章，合同需体现项目经理信息。如合同无法体现项目经理信息，可额外提供其他有效证明材料或业主单位盖章的证明材料。）每提供一名项目经理有效业绩证明材料得2分，最高</w:t>
            </w:r>
            <w:r>
              <w:rPr>
                <w:rFonts w:hint="eastAsia" w:ascii="宋体" w:hAnsi="宋体" w:cs="宋体"/>
                <w:color w:val="auto"/>
                <w:kern w:val="2"/>
                <w:sz w:val="24"/>
                <w:szCs w:val="21"/>
                <w:highlight w:val="none"/>
                <w:lang w:val="en-US" w:eastAsia="zh-CN" w:bidi="ar-SA"/>
              </w:rPr>
              <w:t>得</w:t>
            </w:r>
            <w:r>
              <w:rPr>
                <w:rFonts w:hint="eastAsia" w:ascii="宋体" w:hAnsi="宋体" w:eastAsia="宋体" w:cs="宋体"/>
                <w:color w:val="auto"/>
                <w:kern w:val="2"/>
                <w:sz w:val="24"/>
                <w:szCs w:val="21"/>
                <w:highlight w:val="none"/>
                <w:lang w:val="en-US" w:eastAsia="zh-CN" w:bidi="ar-SA"/>
              </w:rPr>
              <w:t>4分；</w:t>
            </w:r>
          </w:p>
          <w:p w14:paraId="67599E5D">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color w:val="auto"/>
                <w:kern w:val="2"/>
                <w:sz w:val="24"/>
                <w:szCs w:val="21"/>
                <w:highlight w:val="none"/>
                <w:lang w:val="en-US" w:eastAsia="zh-CN" w:bidi="ar-SA"/>
              </w:rPr>
            </w:pPr>
            <w:r>
              <w:rPr>
                <w:rFonts w:hint="eastAsia" w:ascii="宋体" w:hAnsi="宋体" w:eastAsia="宋体" w:cs="宋体"/>
                <w:b/>
                <w:bCs/>
                <w:color w:val="auto"/>
                <w:kern w:val="2"/>
                <w:sz w:val="24"/>
                <w:szCs w:val="24"/>
                <w:highlight w:val="none"/>
                <w:lang w:val="en-US" w:eastAsia="zh-CN" w:bidi="ar-SA"/>
              </w:rPr>
              <w:t>注：需提供人员设计或施工经验依据材料以及2024年以来近三个月的社保证明材料，缴纳单位为供应商单位，未提供不得分。</w:t>
            </w:r>
          </w:p>
        </w:tc>
        <w:tc>
          <w:tcPr>
            <w:tcW w:w="948" w:type="dxa"/>
            <w:tcBorders>
              <w:tl2br w:val="nil"/>
              <w:tr2bl w:val="nil"/>
            </w:tcBorders>
            <w:noWrap w:val="0"/>
            <w:vAlign w:val="center"/>
          </w:tcPr>
          <w:p w14:paraId="01D5A0D1">
            <w:pPr>
              <w:keepNext w:val="0"/>
              <w:keepLines w:val="0"/>
              <w:pageBreakBefore w:val="0"/>
              <w:widowControl/>
              <w:kinsoku/>
              <w:wordWrap/>
              <w:overflowPunct/>
              <w:topLinePunct w:val="0"/>
              <w:autoSpaceDE/>
              <w:autoSpaceDN/>
              <w:bidi w:val="0"/>
              <w:adjustRightInd/>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4</w:t>
            </w:r>
          </w:p>
        </w:tc>
      </w:tr>
      <w:tr w14:paraId="40B29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1" w:type="dxa"/>
            <w:vMerge w:val="restart"/>
            <w:tcBorders>
              <w:tl2br w:val="nil"/>
              <w:tr2bl w:val="nil"/>
            </w:tcBorders>
            <w:noWrap w:val="0"/>
            <w:vAlign w:val="center"/>
          </w:tcPr>
          <w:p w14:paraId="30C81CA0">
            <w:pPr>
              <w:keepNext w:val="0"/>
              <w:keepLines w:val="0"/>
              <w:pageBreakBefore w:val="0"/>
              <w:widowControl/>
              <w:kinsoku/>
              <w:wordWrap/>
              <w:overflowPunct/>
              <w:topLinePunct w:val="0"/>
              <w:autoSpaceDE/>
              <w:autoSpaceDN/>
              <w:bidi w:val="0"/>
              <w:adjustRightInd/>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1204" w:type="dxa"/>
            <w:vMerge w:val="restart"/>
            <w:tcBorders>
              <w:tl2br w:val="nil"/>
              <w:tr2bl w:val="nil"/>
            </w:tcBorders>
            <w:noWrap w:val="0"/>
            <w:vAlign w:val="center"/>
          </w:tcPr>
          <w:p w14:paraId="3022D337">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质量保修</w:t>
            </w:r>
          </w:p>
        </w:tc>
        <w:tc>
          <w:tcPr>
            <w:tcW w:w="6035" w:type="dxa"/>
            <w:tcBorders>
              <w:tl2br w:val="nil"/>
              <w:tr2bl w:val="nil"/>
            </w:tcBorders>
            <w:noWrap w:val="0"/>
            <w:vAlign w:val="center"/>
          </w:tcPr>
          <w:p w14:paraId="319B9149">
            <w:pPr>
              <w:keepNext w:val="0"/>
              <w:keepLines w:val="0"/>
              <w:pageBreakBefore w:val="0"/>
              <w:suppressLineNumbers w:val="0"/>
              <w:kinsoku/>
              <w:wordWrap/>
              <w:overflowPunct/>
              <w:topLinePunct w:val="0"/>
              <w:autoSpaceDE/>
              <w:autoSpaceDN/>
              <w:bidi w:val="0"/>
              <w:adjustRightInd/>
              <w:spacing w:beforeAutospacing="0" w:afterAutospacing="0" w:line="240" w:lineRule="auto"/>
              <w:ind w:left="0" w:leftChars="0" w:right="0" w:rightChars="0"/>
              <w:textAlignment w:val="auto"/>
              <w:rPr>
                <w:rFonts w:hint="eastAsia" w:ascii="宋体" w:hAnsi="宋体" w:eastAsia="宋体" w:cs="宋体"/>
                <w:color w:val="auto"/>
                <w:kern w:val="2"/>
                <w:sz w:val="24"/>
                <w:szCs w:val="21"/>
                <w:highlight w:val="none"/>
                <w:lang w:val="en-US" w:eastAsia="zh-CN" w:bidi="ar-SA"/>
              </w:rPr>
            </w:pPr>
            <w:r>
              <w:rPr>
                <w:rFonts w:hint="eastAsia" w:ascii="宋体" w:hAnsi="宋体" w:eastAsia="宋体" w:cs="宋体"/>
                <w:b w:val="0"/>
                <w:bCs w:val="0"/>
                <w:color w:val="auto"/>
                <w:sz w:val="24"/>
                <w:szCs w:val="24"/>
                <w:highlight w:val="none"/>
              </w:rPr>
              <w:t>售后服务方案（如：服务范围、服务方式、服务人员</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bidi="ar"/>
              </w:rPr>
              <w:t>备品备件</w:t>
            </w:r>
            <w:r>
              <w:rPr>
                <w:rFonts w:hint="eastAsia" w:ascii="宋体" w:hAnsi="宋体" w:eastAsia="宋体" w:cs="宋体"/>
                <w:b w:val="0"/>
                <w:bCs w:val="0"/>
                <w:color w:val="auto"/>
                <w:sz w:val="24"/>
                <w:szCs w:val="24"/>
                <w:highlight w:val="none"/>
              </w:rPr>
              <w:t>等），各项内容齐全的得</w:t>
            </w: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分，有欠缺或不足的每项</w:t>
            </w:r>
            <w:r>
              <w:rPr>
                <w:rFonts w:hint="eastAsia" w:ascii="宋体" w:hAnsi="宋体" w:cs="宋体"/>
                <w:b w:val="0"/>
                <w:bCs w:val="0"/>
                <w:color w:val="auto"/>
                <w:sz w:val="24"/>
                <w:szCs w:val="24"/>
                <w:highlight w:val="none"/>
                <w:lang w:eastAsia="zh-CN"/>
              </w:rPr>
              <w:t>处</w:t>
            </w:r>
            <w:r>
              <w:rPr>
                <w:rFonts w:hint="eastAsia" w:ascii="宋体" w:hAnsi="宋体" w:eastAsia="宋体" w:cs="宋体"/>
                <w:b w:val="0"/>
                <w:bCs w:val="0"/>
                <w:color w:val="auto"/>
                <w:sz w:val="24"/>
                <w:szCs w:val="24"/>
                <w:highlight w:val="none"/>
              </w:rPr>
              <w:t>扣</w:t>
            </w: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分，扣完此项分值为止。</w:t>
            </w:r>
          </w:p>
        </w:tc>
        <w:tc>
          <w:tcPr>
            <w:tcW w:w="948" w:type="dxa"/>
            <w:tcBorders>
              <w:tl2br w:val="nil"/>
              <w:tr2bl w:val="nil"/>
            </w:tcBorders>
            <w:noWrap w:val="0"/>
            <w:vAlign w:val="center"/>
          </w:tcPr>
          <w:p w14:paraId="652D1F3B">
            <w:pPr>
              <w:keepNext w:val="0"/>
              <w:keepLines w:val="0"/>
              <w:pageBreakBefore w:val="0"/>
              <w:suppressLineNumbers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auto"/>
              <w:rPr>
                <w:rFonts w:ascii="宋体" w:hAnsi="宋体" w:cs="宋体"/>
                <w:color w:val="auto"/>
                <w:sz w:val="24"/>
                <w:highlight w:val="none"/>
              </w:rPr>
            </w:pPr>
            <w:r>
              <w:rPr>
                <w:rStyle w:val="85"/>
                <w:rFonts w:hint="eastAsia" w:ascii="宋体" w:hAnsi="宋体" w:cs="宋体"/>
                <w:b w:val="0"/>
                <w:bCs w:val="0"/>
                <w:color w:val="auto"/>
                <w:sz w:val="24"/>
                <w:szCs w:val="24"/>
                <w:highlight w:val="none"/>
                <w:lang w:val="en-US" w:eastAsia="zh-CN"/>
              </w:rPr>
              <w:t>4</w:t>
            </w:r>
          </w:p>
        </w:tc>
      </w:tr>
      <w:tr w14:paraId="6C31D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1" w:type="dxa"/>
            <w:vMerge w:val="continue"/>
            <w:tcBorders>
              <w:tl2br w:val="nil"/>
              <w:tr2bl w:val="nil"/>
            </w:tcBorders>
            <w:noWrap w:val="0"/>
            <w:vAlign w:val="center"/>
          </w:tcPr>
          <w:p w14:paraId="30231D10">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cs="宋体"/>
                <w:color w:val="auto"/>
                <w:sz w:val="24"/>
                <w:highlight w:val="none"/>
                <w:lang w:val="en-US" w:eastAsia="zh-CN"/>
              </w:rPr>
            </w:pPr>
          </w:p>
        </w:tc>
        <w:tc>
          <w:tcPr>
            <w:tcW w:w="1204" w:type="dxa"/>
            <w:vMerge w:val="continue"/>
            <w:tcBorders>
              <w:tl2br w:val="nil"/>
              <w:tr2bl w:val="nil"/>
            </w:tcBorders>
            <w:noWrap w:val="0"/>
            <w:vAlign w:val="center"/>
          </w:tcPr>
          <w:p w14:paraId="58225CA2">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cs="宋体"/>
                <w:color w:val="auto"/>
                <w:sz w:val="24"/>
                <w:highlight w:val="none"/>
                <w:lang w:val="en-US" w:eastAsia="zh-CN"/>
              </w:rPr>
            </w:pPr>
          </w:p>
        </w:tc>
        <w:tc>
          <w:tcPr>
            <w:tcW w:w="6035" w:type="dxa"/>
            <w:tcBorders>
              <w:tl2br w:val="nil"/>
              <w:tr2bl w:val="nil"/>
            </w:tcBorders>
            <w:noWrap w:val="0"/>
            <w:vAlign w:val="center"/>
          </w:tcPr>
          <w:p w14:paraId="03BADE12">
            <w:pPr>
              <w:keepNext w:val="0"/>
              <w:keepLines w:val="0"/>
              <w:pageBreakBefore w:val="0"/>
              <w:suppressLineNumbers w:val="0"/>
              <w:kinsoku/>
              <w:wordWrap/>
              <w:overflowPunct/>
              <w:topLinePunct w:val="0"/>
              <w:autoSpaceDE/>
              <w:autoSpaceDN/>
              <w:bidi w:val="0"/>
              <w:adjustRightInd/>
              <w:spacing w:beforeAutospacing="0" w:afterAutospacing="0" w:line="240" w:lineRule="auto"/>
              <w:ind w:left="0" w:leftChars="0" w:right="0" w:rightChars="0"/>
              <w:textAlignment w:val="auto"/>
              <w:rPr>
                <w:rFonts w:hint="eastAsia" w:ascii="宋体" w:hAnsi="宋体" w:eastAsia="宋体" w:cs="宋体"/>
                <w:color w:val="auto"/>
                <w:kern w:val="2"/>
                <w:sz w:val="24"/>
                <w:szCs w:val="21"/>
                <w:highlight w:val="none"/>
                <w:lang w:val="en-US" w:eastAsia="zh-CN" w:bidi="ar-SA"/>
              </w:rPr>
            </w:pPr>
            <w:r>
              <w:rPr>
                <w:rFonts w:hint="eastAsia" w:ascii="宋体" w:hAnsi="宋体" w:eastAsia="宋体" w:cs="宋体"/>
                <w:color w:val="auto"/>
                <w:kern w:val="2"/>
                <w:sz w:val="24"/>
                <w:szCs w:val="21"/>
                <w:highlight w:val="none"/>
                <w:lang w:val="en-US" w:eastAsia="zh-CN" w:bidi="ar-SA"/>
              </w:rPr>
              <w:t>质量保修</w:t>
            </w:r>
            <w:r>
              <w:rPr>
                <w:rFonts w:hint="eastAsia" w:ascii="宋体" w:hAnsi="宋体" w:cs="宋体"/>
                <w:color w:val="auto"/>
                <w:kern w:val="2"/>
                <w:sz w:val="24"/>
                <w:szCs w:val="21"/>
                <w:highlight w:val="none"/>
                <w:lang w:val="en-US" w:eastAsia="zh-CN" w:bidi="ar-SA"/>
              </w:rPr>
              <w:t>（布展完成经采购人验收合格之日起计算）</w:t>
            </w:r>
            <w:r>
              <w:rPr>
                <w:rFonts w:hint="eastAsia" w:ascii="宋体" w:hAnsi="宋体" w:eastAsia="宋体" w:cs="宋体"/>
                <w:color w:val="auto"/>
                <w:kern w:val="2"/>
                <w:sz w:val="24"/>
                <w:szCs w:val="21"/>
                <w:highlight w:val="none"/>
                <w:lang w:val="en-US" w:eastAsia="zh-CN" w:bidi="ar-SA"/>
              </w:rPr>
              <w:t>满足以下的：</w:t>
            </w:r>
          </w:p>
          <w:p w14:paraId="4B6FED7C">
            <w:pPr>
              <w:keepNext w:val="0"/>
              <w:keepLines w:val="0"/>
              <w:pageBreakBefore w:val="0"/>
              <w:suppressLineNumbers w:val="0"/>
              <w:kinsoku/>
              <w:wordWrap/>
              <w:overflowPunct/>
              <w:topLinePunct w:val="0"/>
              <w:autoSpaceDE/>
              <w:autoSpaceDN/>
              <w:bidi w:val="0"/>
              <w:adjustRightInd/>
              <w:spacing w:beforeAutospacing="0" w:afterAutospacing="0" w:line="240" w:lineRule="auto"/>
              <w:ind w:left="0" w:leftChars="0" w:right="0" w:rightChars="0"/>
              <w:textAlignment w:val="auto"/>
              <w:rPr>
                <w:rFonts w:hint="eastAsia" w:ascii="宋体" w:hAnsi="宋体" w:eastAsia="宋体" w:cs="宋体"/>
                <w:color w:val="auto"/>
                <w:kern w:val="2"/>
                <w:sz w:val="24"/>
                <w:szCs w:val="21"/>
                <w:highlight w:val="none"/>
                <w:lang w:val="en-US" w:eastAsia="zh-CN" w:bidi="ar-SA"/>
              </w:rPr>
            </w:pPr>
            <w:r>
              <w:rPr>
                <w:rFonts w:hint="eastAsia" w:ascii="宋体" w:hAnsi="宋体" w:cs="宋体"/>
                <w:color w:val="auto"/>
                <w:kern w:val="2"/>
                <w:sz w:val="24"/>
                <w:szCs w:val="21"/>
                <w:highlight w:val="none"/>
                <w:lang w:val="en-US" w:eastAsia="zh-CN" w:bidi="ar-SA"/>
              </w:rPr>
              <w:t>投标人承诺提供一年免费质量保修的得1分；承诺提供二年免费质量保修的得2分；承诺提供三年免费质量保修的得3分；</w:t>
            </w:r>
            <w:r>
              <w:rPr>
                <w:rFonts w:hint="eastAsia" w:ascii="宋体" w:hAnsi="宋体" w:eastAsia="宋体" w:cs="宋体"/>
                <w:color w:val="auto"/>
                <w:kern w:val="2"/>
                <w:sz w:val="24"/>
                <w:szCs w:val="21"/>
                <w:highlight w:val="none"/>
                <w:lang w:val="en-US" w:eastAsia="zh-CN" w:bidi="ar-SA"/>
              </w:rPr>
              <w:t>提供质保承诺函，不满足不得分。</w:t>
            </w:r>
          </w:p>
        </w:tc>
        <w:tc>
          <w:tcPr>
            <w:tcW w:w="948" w:type="dxa"/>
            <w:tcBorders>
              <w:tl2br w:val="nil"/>
              <w:tr2bl w:val="nil"/>
            </w:tcBorders>
            <w:noWrap w:val="0"/>
            <w:vAlign w:val="center"/>
          </w:tcPr>
          <w:p w14:paraId="06320C19">
            <w:pPr>
              <w:keepNext w:val="0"/>
              <w:keepLines w:val="0"/>
              <w:pageBreakBefore w:val="0"/>
              <w:suppressLineNumbers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auto"/>
              <w:rPr>
                <w:rFonts w:ascii="宋体" w:hAnsi="宋体" w:cs="宋体"/>
                <w:color w:val="auto"/>
                <w:sz w:val="24"/>
                <w:highlight w:val="none"/>
              </w:rPr>
            </w:pPr>
            <w:r>
              <w:rPr>
                <w:rStyle w:val="85"/>
                <w:rFonts w:hint="eastAsia" w:ascii="宋体" w:hAnsi="宋体" w:cs="宋体"/>
                <w:b w:val="0"/>
                <w:bCs w:val="0"/>
                <w:color w:val="auto"/>
                <w:sz w:val="24"/>
                <w:szCs w:val="24"/>
                <w:highlight w:val="none"/>
                <w:lang w:val="en-US" w:eastAsia="zh-CN"/>
              </w:rPr>
              <w:t>3</w:t>
            </w:r>
          </w:p>
        </w:tc>
      </w:tr>
      <w:tr w14:paraId="050DB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1" w:type="dxa"/>
            <w:tcBorders>
              <w:tl2br w:val="nil"/>
              <w:tr2bl w:val="nil"/>
            </w:tcBorders>
            <w:noWrap w:val="0"/>
            <w:vAlign w:val="center"/>
          </w:tcPr>
          <w:p w14:paraId="0D8F3354">
            <w:pPr>
              <w:keepNext w:val="0"/>
              <w:keepLines w:val="0"/>
              <w:pageBreakBefore w:val="0"/>
              <w:widowControl/>
              <w:kinsoku/>
              <w:wordWrap/>
              <w:overflowPunct/>
              <w:topLinePunct w:val="0"/>
              <w:autoSpaceDE/>
              <w:autoSpaceDN/>
              <w:bidi w:val="0"/>
              <w:adjustRightInd/>
              <w:spacing w:line="240" w:lineRule="auto"/>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1204" w:type="dxa"/>
            <w:tcBorders>
              <w:tl2br w:val="nil"/>
              <w:tr2bl w:val="nil"/>
            </w:tcBorders>
            <w:noWrap w:val="0"/>
            <w:vAlign w:val="center"/>
          </w:tcPr>
          <w:p w14:paraId="36612956">
            <w:pPr>
              <w:keepNext w:val="0"/>
              <w:keepLines w:val="0"/>
              <w:pageBreakBefore w:val="0"/>
              <w:widowControl/>
              <w:kinsoku/>
              <w:wordWrap/>
              <w:overflowPunct/>
              <w:topLinePunct w:val="0"/>
              <w:autoSpaceDE/>
              <w:autoSpaceDN/>
              <w:bidi w:val="0"/>
              <w:adjustRightInd/>
              <w:spacing w:line="240" w:lineRule="auto"/>
              <w:jc w:val="center"/>
              <w:textAlignment w:val="auto"/>
              <w:rPr>
                <w:rFonts w:ascii="宋体" w:hAnsi="宋体" w:cs="宋体"/>
                <w:color w:val="auto"/>
                <w:sz w:val="24"/>
                <w:highlight w:val="none"/>
              </w:rPr>
            </w:pPr>
            <w:r>
              <w:rPr>
                <w:rFonts w:hint="eastAsia" w:ascii="宋体" w:hAnsi="宋体" w:cs="宋体"/>
                <w:color w:val="auto"/>
                <w:kern w:val="0"/>
                <w:sz w:val="24"/>
                <w:highlight w:val="none"/>
              </w:rPr>
              <w:t>政策分</w:t>
            </w:r>
          </w:p>
        </w:tc>
        <w:tc>
          <w:tcPr>
            <w:tcW w:w="6035" w:type="dxa"/>
            <w:tcBorders>
              <w:tl2br w:val="nil"/>
              <w:tr2bl w:val="nil"/>
            </w:tcBorders>
            <w:noWrap w:val="0"/>
            <w:vAlign w:val="center"/>
          </w:tcPr>
          <w:p w14:paraId="68556F51">
            <w:pPr>
              <w:keepNext w:val="0"/>
              <w:keepLines w:val="0"/>
              <w:pageBreakBefore w:val="0"/>
              <w:widowControl/>
              <w:kinsoku/>
              <w:wordWrap/>
              <w:overflowPunct/>
              <w:topLinePunct w:val="0"/>
              <w:autoSpaceDE/>
              <w:autoSpaceDN/>
              <w:bidi w:val="0"/>
              <w:adjustRightInd/>
              <w:spacing w:line="240" w:lineRule="auto"/>
              <w:textAlignment w:val="auto"/>
              <w:rPr>
                <w:rFonts w:ascii="宋体" w:hAnsi="宋体" w:cs="宋体"/>
                <w:color w:val="auto"/>
                <w:sz w:val="24"/>
                <w:highlight w:val="none"/>
              </w:rPr>
            </w:pPr>
            <w:r>
              <w:rPr>
                <w:rFonts w:hint="eastAsia" w:ascii="宋体" w:hAnsi="宋体" w:cs="宋体"/>
                <w:color w:val="auto"/>
                <w:kern w:val="0"/>
                <w:sz w:val="24"/>
                <w:highlight w:val="none"/>
              </w:rPr>
              <w:t>投标人符合《政府采购货物和服务招标投标管理办法》第五条规定，属“节约能源、保护环境、扶持不发达地区和少数民族地区等”政府采购政策扶持对象的，提供相关证明材料和政策依据可得1分。未提供相关证明材料的不得分。</w:t>
            </w:r>
          </w:p>
        </w:tc>
        <w:tc>
          <w:tcPr>
            <w:tcW w:w="948" w:type="dxa"/>
            <w:tcBorders>
              <w:tl2br w:val="nil"/>
              <w:tr2bl w:val="nil"/>
            </w:tcBorders>
            <w:noWrap w:val="0"/>
            <w:vAlign w:val="center"/>
          </w:tcPr>
          <w:p w14:paraId="01B9D429">
            <w:pPr>
              <w:keepNext w:val="0"/>
              <w:keepLines w:val="0"/>
              <w:pageBreakBefore w:val="0"/>
              <w:widowControl/>
              <w:kinsoku/>
              <w:wordWrap/>
              <w:overflowPunct/>
              <w:topLinePunct w:val="0"/>
              <w:autoSpaceDE/>
              <w:autoSpaceDN/>
              <w:bidi w:val="0"/>
              <w:adjustRightInd/>
              <w:spacing w:line="240" w:lineRule="auto"/>
              <w:jc w:val="center"/>
              <w:textAlignment w:val="auto"/>
              <w:rPr>
                <w:rFonts w:ascii="宋体" w:hAnsi="宋体" w:cs="宋体"/>
                <w:color w:val="auto"/>
                <w:sz w:val="24"/>
                <w:highlight w:val="none"/>
              </w:rPr>
            </w:pPr>
            <w:r>
              <w:rPr>
                <w:rFonts w:hint="eastAsia" w:ascii="宋体" w:hAnsi="宋体" w:cs="宋体"/>
                <w:color w:val="auto"/>
                <w:kern w:val="0"/>
                <w:sz w:val="24"/>
                <w:highlight w:val="none"/>
              </w:rPr>
              <w:t>1</w:t>
            </w:r>
          </w:p>
        </w:tc>
      </w:tr>
      <w:tr w14:paraId="47203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1" w:type="dxa"/>
            <w:tcBorders>
              <w:tl2br w:val="nil"/>
              <w:tr2bl w:val="nil"/>
            </w:tcBorders>
            <w:noWrap w:val="0"/>
            <w:vAlign w:val="center"/>
          </w:tcPr>
          <w:p w14:paraId="6F45E730">
            <w:pPr>
              <w:keepNext w:val="0"/>
              <w:keepLines w:val="0"/>
              <w:pageBreakBefore w:val="0"/>
              <w:widowControl/>
              <w:kinsoku/>
              <w:wordWrap/>
              <w:overflowPunct/>
              <w:topLinePunct w:val="0"/>
              <w:autoSpaceDE/>
              <w:autoSpaceDN/>
              <w:bidi w:val="0"/>
              <w:adjustRightInd/>
              <w:spacing w:line="240" w:lineRule="auto"/>
              <w:jc w:val="center"/>
              <w:textAlignment w:val="auto"/>
              <w:rPr>
                <w:rFonts w:ascii="宋体" w:hAnsi="宋体" w:cs="宋体"/>
                <w:color w:val="auto"/>
                <w:sz w:val="24"/>
                <w:highlight w:val="none"/>
              </w:rPr>
            </w:pPr>
          </w:p>
        </w:tc>
        <w:tc>
          <w:tcPr>
            <w:tcW w:w="1204" w:type="dxa"/>
            <w:tcBorders>
              <w:tl2br w:val="nil"/>
              <w:tr2bl w:val="nil"/>
            </w:tcBorders>
            <w:noWrap w:val="0"/>
            <w:vAlign w:val="center"/>
          </w:tcPr>
          <w:p w14:paraId="0F0B0860">
            <w:pPr>
              <w:keepNext w:val="0"/>
              <w:keepLines w:val="0"/>
              <w:pageBreakBefore w:val="0"/>
              <w:kinsoku/>
              <w:wordWrap/>
              <w:overflowPunct/>
              <w:topLinePunct w:val="0"/>
              <w:autoSpaceDE/>
              <w:autoSpaceDN/>
              <w:bidi w:val="0"/>
              <w:adjustRightInd/>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小计</w:t>
            </w:r>
          </w:p>
        </w:tc>
        <w:tc>
          <w:tcPr>
            <w:tcW w:w="6035" w:type="dxa"/>
            <w:tcBorders>
              <w:tl2br w:val="nil"/>
              <w:tr2bl w:val="nil"/>
            </w:tcBorders>
            <w:noWrap w:val="0"/>
            <w:vAlign w:val="center"/>
          </w:tcPr>
          <w:p w14:paraId="6F7316AC">
            <w:pPr>
              <w:keepNext w:val="0"/>
              <w:keepLines w:val="0"/>
              <w:pageBreakBefore w:val="0"/>
              <w:widowControl/>
              <w:kinsoku/>
              <w:wordWrap/>
              <w:overflowPunct/>
              <w:topLinePunct w:val="0"/>
              <w:autoSpaceDE/>
              <w:autoSpaceDN/>
              <w:bidi w:val="0"/>
              <w:adjustRightInd/>
              <w:spacing w:line="240" w:lineRule="auto"/>
              <w:textAlignment w:val="auto"/>
              <w:rPr>
                <w:rFonts w:ascii="宋体" w:hAnsi="宋体" w:cs="宋体"/>
                <w:color w:val="auto"/>
                <w:sz w:val="24"/>
                <w:highlight w:val="none"/>
              </w:rPr>
            </w:pPr>
          </w:p>
        </w:tc>
        <w:tc>
          <w:tcPr>
            <w:tcW w:w="948" w:type="dxa"/>
            <w:tcBorders>
              <w:tl2br w:val="nil"/>
              <w:tr2bl w:val="nil"/>
            </w:tcBorders>
            <w:noWrap w:val="0"/>
            <w:vAlign w:val="center"/>
          </w:tcPr>
          <w:p w14:paraId="5B403210">
            <w:pPr>
              <w:keepNext w:val="0"/>
              <w:keepLines w:val="0"/>
              <w:pageBreakBefore w:val="0"/>
              <w:widowControl/>
              <w:kinsoku/>
              <w:wordWrap/>
              <w:overflowPunct/>
              <w:topLinePunct w:val="0"/>
              <w:autoSpaceDE/>
              <w:autoSpaceDN/>
              <w:bidi w:val="0"/>
              <w:adjustRightInd/>
              <w:spacing w:line="240" w:lineRule="auto"/>
              <w:jc w:val="center"/>
              <w:textAlignment w:val="auto"/>
              <w:rPr>
                <w:rFonts w:ascii="宋体" w:hAnsi="宋体" w:cs="宋体"/>
                <w:color w:val="auto"/>
                <w:sz w:val="24"/>
                <w:highlight w:val="none"/>
              </w:rPr>
            </w:pPr>
            <w:r>
              <w:rPr>
                <w:rFonts w:ascii="宋体" w:hAnsi="宋体" w:cs="宋体"/>
                <w:color w:val="auto"/>
                <w:sz w:val="24"/>
                <w:highlight w:val="none"/>
              </w:rPr>
              <w:fldChar w:fldCharType="begin"/>
            </w:r>
            <w:r>
              <w:rPr>
                <w:rFonts w:ascii="宋体" w:hAnsi="宋体" w:cs="宋体"/>
                <w:color w:val="auto"/>
                <w:sz w:val="24"/>
                <w:highlight w:val="none"/>
              </w:rPr>
              <w:instrText xml:space="preserve"> =SUM(ABOVE) </w:instrText>
            </w:r>
            <w:r>
              <w:rPr>
                <w:rFonts w:ascii="宋体" w:hAnsi="宋体" w:cs="宋体"/>
                <w:color w:val="auto"/>
                <w:sz w:val="24"/>
                <w:highlight w:val="none"/>
              </w:rPr>
              <w:fldChar w:fldCharType="separate"/>
            </w:r>
            <w:r>
              <w:rPr>
                <w:rFonts w:ascii="宋体" w:hAnsi="宋体" w:cs="宋体"/>
                <w:color w:val="auto"/>
                <w:sz w:val="24"/>
                <w:highlight w:val="none"/>
              </w:rPr>
              <w:t>90</w:t>
            </w:r>
            <w:r>
              <w:rPr>
                <w:rFonts w:ascii="宋体" w:hAnsi="宋体" w:cs="宋体"/>
                <w:color w:val="auto"/>
                <w:sz w:val="24"/>
                <w:highlight w:val="none"/>
              </w:rPr>
              <w:fldChar w:fldCharType="end"/>
            </w:r>
          </w:p>
        </w:tc>
      </w:tr>
    </w:tbl>
    <w:p w14:paraId="3127303A">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评标委员会根据评分细则，对各投标人的商务技术文件进行书面审核和评论后，由各专家独立酌情打分，打分时保留小数1位，每人一份评分表，并签名。投标人商务技术得分为评标委员会所有成员的有效评分的算术平均值，计算时保留小数2位。</w:t>
      </w:r>
    </w:p>
    <w:p w14:paraId="62005B16">
      <w:pPr>
        <w:spacing w:line="440" w:lineRule="exact"/>
        <w:ind w:firstLine="482" w:firstLineChars="200"/>
        <w:rPr>
          <w:b/>
          <w:color w:val="auto"/>
          <w:sz w:val="24"/>
          <w:highlight w:val="none"/>
        </w:rPr>
      </w:pPr>
      <w:r>
        <w:rPr>
          <w:rFonts w:hint="eastAsia"/>
          <w:b/>
          <w:color w:val="auto"/>
          <w:sz w:val="24"/>
          <w:highlight w:val="none"/>
        </w:rPr>
        <w:t>二、报价文件评审</w:t>
      </w:r>
      <w:r>
        <w:rPr>
          <w:rFonts w:hint="eastAsia" w:ascii="宋体" w:hAnsi="宋体"/>
          <w:b/>
          <w:color w:val="auto"/>
          <w:sz w:val="24"/>
          <w:highlight w:val="none"/>
        </w:rPr>
        <w:t xml:space="preserve"> （</w:t>
      </w:r>
      <w:r>
        <w:rPr>
          <w:rFonts w:hint="eastAsia" w:ascii="宋体" w:hAnsi="宋体" w:cs="宋体"/>
          <w:b/>
          <w:color w:val="auto"/>
          <w:sz w:val="24"/>
          <w:highlight w:val="none"/>
        </w:rPr>
        <w:t>满分</w:t>
      </w:r>
      <w:r>
        <w:rPr>
          <w:rFonts w:hint="eastAsia" w:ascii="宋体" w:hAnsi="宋体" w:cs="宋体"/>
          <w:b/>
          <w:color w:val="auto"/>
          <w:sz w:val="24"/>
          <w:highlight w:val="none"/>
          <w:lang w:val="en-US" w:eastAsia="zh-CN"/>
        </w:rPr>
        <w:t>10</w:t>
      </w:r>
      <w:r>
        <w:rPr>
          <w:rFonts w:hint="eastAsia" w:ascii="宋体" w:hAnsi="宋体" w:cs="宋体"/>
          <w:b/>
          <w:color w:val="auto"/>
          <w:sz w:val="24"/>
          <w:highlight w:val="none"/>
        </w:rPr>
        <w:t>分</w:t>
      </w:r>
      <w:r>
        <w:rPr>
          <w:rFonts w:hint="eastAsia" w:ascii="宋体" w:hAnsi="宋体"/>
          <w:b/>
          <w:color w:val="auto"/>
          <w:sz w:val="24"/>
          <w:highlight w:val="none"/>
        </w:rPr>
        <w:t>）</w:t>
      </w:r>
    </w:p>
    <w:p w14:paraId="2BFD6974">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1.拆启各</w:t>
      </w:r>
      <w:r>
        <w:rPr>
          <w:rFonts w:ascii="宋体" w:hAnsi="宋体"/>
          <w:color w:val="auto"/>
          <w:sz w:val="24"/>
          <w:highlight w:val="none"/>
        </w:rPr>
        <w:t>投标人</w:t>
      </w:r>
      <w:r>
        <w:rPr>
          <w:rFonts w:hint="eastAsia" w:ascii="宋体" w:hAnsi="宋体"/>
          <w:color w:val="auto"/>
          <w:sz w:val="24"/>
          <w:highlight w:val="none"/>
        </w:rPr>
        <w:t>的投标报价，公开宣读。</w:t>
      </w:r>
    </w:p>
    <w:p w14:paraId="34B2AD6D">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分析报价是否合理，报价范围是否完整，有否重大错漏。</w:t>
      </w:r>
      <w:r>
        <w:rPr>
          <w:rFonts w:hint="eastAsia" w:ascii="宋体" w:hAnsi="宋体" w:cs="宋体"/>
          <w:color w:val="auto"/>
          <w:kern w:val="0"/>
          <w:sz w:val="24"/>
          <w:highlight w:val="none"/>
        </w:rPr>
        <w:t>财政部87号令《政府采购货物和服务招标投标管理办法》第六十条规定，若评标委员会认为投标人的报价明显低于其他通过符合性审查投标人的报价，有可能影响产品质量或者不能诚信履约的，可要求其在评标现场合理的时间内提供书面说明，必要时提交相关证明材料；投标人不能证明其报价合理性的，评标委员会应当将其作为无效投标处</w:t>
      </w:r>
      <w:r>
        <w:rPr>
          <w:rFonts w:hint="eastAsia" w:ascii="宋体" w:hAnsi="宋体"/>
          <w:color w:val="auto"/>
          <w:sz w:val="24"/>
          <w:highlight w:val="none"/>
        </w:rPr>
        <w:t>理。</w:t>
      </w:r>
    </w:p>
    <w:p w14:paraId="6ABA9BE7">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2.评定评标基准价：所有有效报价的最低报价作为评标基准价。</w:t>
      </w:r>
    </w:p>
    <w:p w14:paraId="2087910C">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w:t>
      </w:r>
      <w:r>
        <w:rPr>
          <w:rFonts w:hint="eastAsia" w:ascii="宋体" w:hAnsi="宋体"/>
          <w:color w:val="auto"/>
          <w:sz w:val="24"/>
          <w:highlight w:val="none"/>
        </w:rPr>
        <w:t>报价得分计算公式：投标报价得分=（评标基准价/投标报价）×</w:t>
      </w:r>
      <w:r>
        <w:rPr>
          <w:rFonts w:hint="eastAsia" w:ascii="宋体" w:hAnsi="宋体"/>
          <w:color w:val="auto"/>
          <w:sz w:val="24"/>
          <w:highlight w:val="none"/>
          <w:lang w:val="en-US" w:eastAsia="zh-CN"/>
        </w:rPr>
        <w:t>10</w:t>
      </w:r>
      <w:r>
        <w:rPr>
          <w:rFonts w:hint="eastAsia" w:ascii="宋体" w:hAnsi="宋体"/>
          <w:color w:val="auto"/>
          <w:sz w:val="24"/>
          <w:highlight w:val="none"/>
        </w:rPr>
        <w:t>分。</w:t>
      </w:r>
    </w:p>
    <w:p w14:paraId="0762881F">
      <w:pPr>
        <w:spacing w:line="440" w:lineRule="exact"/>
        <w:ind w:firstLine="482" w:firstLineChars="200"/>
        <w:rPr>
          <w:rFonts w:hint="eastAsia" w:ascii="Times New Roman" w:hAnsi="Times New Roman" w:eastAsia="宋体" w:cs="Times New Roman"/>
          <w:b/>
          <w:color w:val="auto"/>
          <w:sz w:val="24"/>
          <w:highlight w:val="none"/>
        </w:rPr>
      </w:pPr>
      <w:r>
        <w:rPr>
          <w:rFonts w:hint="eastAsia" w:ascii="Times New Roman" w:hAnsi="Times New Roman" w:eastAsia="宋体" w:cs="Times New Roman"/>
          <w:b/>
          <w:color w:val="auto"/>
          <w:sz w:val="24"/>
          <w:highlight w:val="none"/>
        </w:rPr>
        <w:t>本项目专门面向中小企业统一不再给予价格优惠扣除。</w:t>
      </w:r>
    </w:p>
    <w:p w14:paraId="6DE6ED16">
      <w:pPr>
        <w:spacing w:line="440" w:lineRule="exact"/>
        <w:ind w:firstLine="472" w:firstLineChars="196"/>
        <w:jc w:val="left"/>
        <w:rPr>
          <w:rFonts w:eastAsia="黑体"/>
          <w:color w:val="auto"/>
          <w:highlight w:val="none"/>
        </w:rPr>
      </w:pPr>
      <w:r>
        <w:rPr>
          <w:rFonts w:hint="eastAsia" w:ascii="宋体" w:hAnsi="宋体"/>
          <w:b/>
          <w:color w:val="auto"/>
          <w:sz w:val="24"/>
          <w:highlight w:val="none"/>
        </w:rPr>
        <w:t>三、计算综合总分（满分为100分）</w:t>
      </w:r>
      <w:r>
        <w:rPr>
          <w:rFonts w:hint="eastAsia" w:ascii="宋体" w:hAnsi="宋体"/>
          <w:color w:val="auto"/>
          <w:sz w:val="24"/>
          <w:highlight w:val="none"/>
        </w:rPr>
        <w:t>：综合总分=商务技术得分+报价得分</w:t>
      </w:r>
      <w:r>
        <w:rPr>
          <w:rFonts w:hint="eastAsia" w:ascii="宋体" w:hAnsi="宋体"/>
          <w:b/>
          <w:color w:val="auto"/>
          <w:sz w:val="24"/>
          <w:highlight w:val="none"/>
        </w:rPr>
        <w:t xml:space="preserve"> </w:t>
      </w:r>
      <w:r>
        <w:rPr>
          <w:rFonts w:hint="eastAsia" w:eastAsia="黑体"/>
          <w:color w:val="auto"/>
          <w:highlight w:val="none"/>
        </w:rPr>
        <w:t xml:space="preserve"> </w:t>
      </w:r>
    </w:p>
    <w:p w14:paraId="60D746AE">
      <w:pPr>
        <w:spacing w:line="440" w:lineRule="exact"/>
        <w:ind w:firstLine="588" w:firstLineChars="196"/>
        <w:jc w:val="center"/>
        <w:rPr>
          <w:rFonts w:ascii="黑体" w:hAnsi="宋体" w:eastAsia="黑体"/>
          <w:color w:val="auto"/>
          <w:sz w:val="30"/>
          <w:szCs w:val="30"/>
          <w:highlight w:val="none"/>
        </w:rPr>
      </w:pPr>
    </w:p>
    <w:p w14:paraId="5D08ECBE">
      <w:pPr>
        <w:spacing w:line="440" w:lineRule="exact"/>
        <w:ind w:firstLine="588" w:firstLineChars="196"/>
        <w:jc w:val="center"/>
        <w:rPr>
          <w:rFonts w:ascii="黑体" w:hAnsi="宋体" w:eastAsia="黑体"/>
          <w:color w:val="auto"/>
          <w:sz w:val="30"/>
          <w:szCs w:val="30"/>
          <w:highlight w:val="none"/>
        </w:rPr>
      </w:pPr>
    </w:p>
    <w:p w14:paraId="7D2EAE23">
      <w:pPr>
        <w:spacing w:line="440" w:lineRule="exact"/>
        <w:jc w:val="center"/>
        <w:outlineLvl w:val="0"/>
        <w:rPr>
          <w:rFonts w:ascii="宋体" w:hAnsi="宋体"/>
          <w:b/>
          <w:color w:val="auto"/>
          <w:sz w:val="24"/>
          <w:highlight w:val="none"/>
        </w:rPr>
      </w:pPr>
      <w:r>
        <w:rPr>
          <w:rFonts w:ascii="黑体" w:hAnsi="宋体" w:eastAsia="黑体"/>
          <w:color w:val="auto"/>
          <w:sz w:val="30"/>
          <w:szCs w:val="30"/>
          <w:highlight w:val="none"/>
        </w:rPr>
        <w:br w:type="page"/>
      </w:r>
      <w:r>
        <w:rPr>
          <w:rFonts w:hint="eastAsia" w:ascii="黑体" w:hAnsi="宋体" w:eastAsia="黑体"/>
          <w:color w:val="auto"/>
          <w:sz w:val="30"/>
          <w:szCs w:val="30"/>
          <w:highlight w:val="none"/>
        </w:rPr>
        <w:t xml:space="preserve">第六章  </w:t>
      </w:r>
      <w:r>
        <w:rPr>
          <w:rFonts w:hint="eastAsia" w:ascii="黑体" w:hAnsi="宋体" w:eastAsia="黑体"/>
          <w:bCs/>
          <w:color w:val="auto"/>
          <w:sz w:val="30"/>
          <w:szCs w:val="30"/>
          <w:highlight w:val="none"/>
        </w:rPr>
        <w:t>采购合同</w:t>
      </w:r>
    </w:p>
    <w:p w14:paraId="72D64A9E">
      <w:pPr>
        <w:shd w:val="clear" w:color="auto" w:fill="FFFFFF"/>
        <w:spacing w:line="360" w:lineRule="exact"/>
        <w:ind w:right="-105" w:rightChars="-50"/>
        <w:jc w:val="center"/>
        <w:rPr>
          <w:rFonts w:hint="eastAsia" w:ascii="宋体" w:hAnsi="宋体"/>
          <w:b/>
          <w:bCs/>
          <w:color w:val="auto"/>
          <w:sz w:val="24"/>
          <w:highlight w:val="none"/>
        </w:rPr>
      </w:pPr>
    </w:p>
    <w:p w14:paraId="0E7BECA8">
      <w:pPr>
        <w:shd w:val="clear" w:color="auto" w:fill="FFFFFF"/>
        <w:spacing w:line="360" w:lineRule="exact"/>
        <w:ind w:right="-105" w:rightChars="-50"/>
        <w:jc w:val="center"/>
        <w:rPr>
          <w:rFonts w:ascii="宋体" w:hAnsi="宋体"/>
          <w:b/>
          <w:bCs/>
          <w:color w:val="auto"/>
          <w:sz w:val="24"/>
          <w:highlight w:val="none"/>
        </w:rPr>
      </w:pPr>
      <w:r>
        <w:rPr>
          <w:rFonts w:hint="eastAsia" w:ascii="宋体" w:hAnsi="宋体"/>
          <w:b/>
          <w:bCs/>
          <w:color w:val="auto"/>
          <w:sz w:val="24"/>
          <w:highlight w:val="none"/>
        </w:rPr>
        <w:t>（本合同为样稿，最终稿由甲乙双方协商后确定，但不允许偏离招投标文件。）</w:t>
      </w:r>
    </w:p>
    <w:p w14:paraId="2839A572">
      <w:pPr>
        <w:spacing w:line="400" w:lineRule="exact"/>
        <w:rPr>
          <w:rFonts w:ascii="宋体" w:hAnsi="宋体"/>
          <w:color w:val="auto"/>
          <w:sz w:val="24"/>
          <w:highlight w:val="none"/>
        </w:rPr>
      </w:pPr>
    </w:p>
    <w:p w14:paraId="1B79F155">
      <w:pPr>
        <w:spacing w:line="400" w:lineRule="exact"/>
        <w:rPr>
          <w:rFonts w:ascii="宋体" w:hAnsi="宋体"/>
          <w:color w:val="auto"/>
          <w:sz w:val="24"/>
          <w:highlight w:val="none"/>
          <w:u w:val="single"/>
        </w:rPr>
      </w:pPr>
      <w:r>
        <w:rPr>
          <w:rFonts w:hint="eastAsia" w:ascii="宋体" w:hAnsi="宋体"/>
          <w:color w:val="auto"/>
          <w:sz w:val="24"/>
          <w:highlight w:val="none"/>
        </w:rPr>
        <w:t>甲方（采购方）：</w:t>
      </w:r>
      <w:r>
        <w:rPr>
          <w:rFonts w:hint="eastAsia" w:ascii="宋体" w:hAnsi="宋体"/>
          <w:color w:val="auto"/>
          <w:sz w:val="24"/>
          <w:highlight w:val="none"/>
          <w:u w:val="single"/>
        </w:rPr>
        <w:t xml:space="preserve">  </w:t>
      </w:r>
      <w:r>
        <w:rPr>
          <w:rFonts w:hint="eastAsia" w:ascii="宋体" w:hAnsi="宋体"/>
          <w:b/>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041E96D5">
      <w:pPr>
        <w:spacing w:line="400" w:lineRule="exact"/>
        <w:rPr>
          <w:rFonts w:ascii="宋体" w:hAnsi="宋体" w:cs="宋体"/>
          <w:color w:val="auto"/>
          <w:sz w:val="24"/>
          <w:highlight w:val="none"/>
        </w:rPr>
      </w:pPr>
      <w:r>
        <w:rPr>
          <w:rFonts w:hint="eastAsia" w:ascii="宋体" w:hAnsi="宋体"/>
          <w:color w:val="auto"/>
          <w:sz w:val="24"/>
          <w:highlight w:val="none"/>
        </w:rPr>
        <w:t>乙方（</w:t>
      </w:r>
      <w:r>
        <w:rPr>
          <w:rFonts w:hint="eastAsia"/>
          <w:color w:val="auto"/>
          <w:sz w:val="24"/>
          <w:highlight w:val="none"/>
        </w:rPr>
        <w:t>服务方）：</w:t>
      </w:r>
      <w:r>
        <w:rPr>
          <w:rFonts w:hint="eastAsia"/>
          <w:color w:val="auto"/>
          <w:sz w:val="24"/>
          <w:highlight w:val="none"/>
          <w:u w:val="single"/>
        </w:rPr>
        <w:t xml:space="preserve">                                      </w:t>
      </w:r>
      <w:r>
        <w:rPr>
          <w:rFonts w:hint="eastAsia" w:ascii="宋体" w:hAnsi="宋体"/>
          <w:bCs/>
          <w:color w:val="auto"/>
          <w:sz w:val="24"/>
          <w:highlight w:val="none"/>
        </w:rPr>
        <w:t xml:space="preserve">   </w:t>
      </w:r>
      <w:r>
        <w:rPr>
          <w:rFonts w:hint="eastAsia" w:ascii="宋体" w:hAnsi="宋体"/>
          <w:color w:val="auto"/>
          <w:sz w:val="24"/>
          <w:highlight w:val="none"/>
        </w:rPr>
        <w:t xml:space="preserve"> </w:t>
      </w:r>
    </w:p>
    <w:p w14:paraId="19781F52">
      <w:pPr>
        <w:spacing w:line="400" w:lineRule="exact"/>
        <w:ind w:firstLine="480" w:firstLineChars="200"/>
        <w:rPr>
          <w:rFonts w:ascii="宋体" w:hAnsi="宋体"/>
          <w:color w:val="auto"/>
          <w:sz w:val="24"/>
          <w:highlight w:val="none"/>
        </w:rPr>
      </w:pPr>
    </w:p>
    <w:p w14:paraId="53EA7735">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经公开招标，确定乙方为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项目（项目编号：</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）的中标单位，根据招标文件、投标文件，依据《中华人民共和国民法典》及有关法规，结合项目实际，签订本合同。 </w:t>
      </w:r>
    </w:p>
    <w:p w14:paraId="24256C7E">
      <w:pPr>
        <w:widowControl w:val="0"/>
        <w:spacing w:line="360" w:lineRule="auto"/>
        <w:ind w:firstLine="537" w:firstLineChars="224"/>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一、合同标的：</w:t>
      </w:r>
    </w:p>
    <w:p w14:paraId="54089C36">
      <w:pPr>
        <w:widowControl w:val="0"/>
        <w:spacing w:line="360" w:lineRule="auto"/>
        <w:ind w:firstLine="537" w:firstLineChars="224"/>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1.服务名称：</w:t>
      </w:r>
    </w:p>
    <w:p w14:paraId="263E1666">
      <w:pPr>
        <w:widowControl w:val="0"/>
        <w:spacing w:line="360" w:lineRule="auto"/>
        <w:ind w:firstLine="537" w:firstLineChars="224"/>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2.服务内容</w:t>
      </w:r>
      <w:r>
        <w:rPr>
          <w:rFonts w:hint="eastAsia" w:ascii="宋体" w:hAnsi="宋体" w:eastAsia="宋体" w:cs="宋体"/>
          <w:color w:val="auto"/>
          <w:sz w:val="24"/>
          <w:szCs w:val="24"/>
          <w:highlight w:val="none"/>
          <w:lang w:val="en-US" w:eastAsia="zh-CN"/>
        </w:rPr>
        <w:t>及要求</w:t>
      </w:r>
      <w:r>
        <w:rPr>
          <w:rFonts w:hint="eastAsia" w:ascii="宋体" w:hAnsi="宋体" w:eastAsia="宋体" w:cs="宋体"/>
          <w:color w:val="auto"/>
          <w:sz w:val="24"/>
          <w:szCs w:val="24"/>
          <w:highlight w:val="none"/>
        </w:rPr>
        <w:t>：详见清单</w:t>
      </w:r>
    </w:p>
    <w:p w14:paraId="28D8DAD2">
      <w:pPr>
        <w:widowControl w:val="0"/>
        <w:spacing w:line="360" w:lineRule="auto"/>
        <w:ind w:firstLine="537" w:firstLineChars="224"/>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二、合同金额：</w:t>
      </w:r>
    </w:p>
    <w:p w14:paraId="24AC1D2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本合同总价（含税）为：￥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元人民币）。</w:t>
      </w:r>
    </w:p>
    <w:p w14:paraId="20A46DD2">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分项价格（若有，可附清单）：</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9"/>
        <w:gridCol w:w="4165"/>
        <w:gridCol w:w="3124"/>
      </w:tblGrid>
      <w:tr w14:paraId="72A3C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469" w:type="dxa"/>
            <w:tcBorders>
              <w:top w:val="single" w:color="auto" w:sz="4" w:space="0"/>
              <w:left w:val="single" w:color="auto" w:sz="4" w:space="0"/>
              <w:bottom w:val="single" w:color="auto" w:sz="4" w:space="0"/>
              <w:right w:val="single" w:color="auto" w:sz="4" w:space="0"/>
            </w:tcBorders>
            <w:noWrap w:val="0"/>
            <w:vAlign w:val="center"/>
          </w:tcPr>
          <w:p w14:paraId="6462446F">
            <w:pPr>
              <w:pStyle w:val="151"/>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4165" w:type="dxa"/>
            <w:tcBorders>
              <w:top w:val="single" w:color="auto" w:sz="4" w:space="0"/>
              <w:left w:val="single" w:color="auto" w:sz="4" w:space="0"/>
              <w:bottom w:val="single" w:color="auto" w:sz="4" w:space="0"/>
              <w:right w:val="single" w:color="auto" w:sz="4" w:space="0"/>
            </w:tcBorders>
            <w:noWrap w:val="0"/>
            <w:vAlign w:val="center"/>
          </w:tcPr>
          <w:p w14:paraId="266AC7E2">
            <w:pPr>
              <w:pStyle w:val="151"/>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分项名称</w:t>
            </w:r>
          </w:p>
        </w:tc>
        <w:tc>
          <w:tcPr>
            <w:tcW w:w="3124" w:type="dxa"/>
            <w:tcBorders>
              <w:top w:val="single" w:color="auto" w:sz="4" w:space="0"/>
              <w:left w:val="single" w:color="auto" w:sz="4" w:space="0"/>
              <w:bottom w:val="single" w:color="auto" w:sz="4" w:space="0"/>
              <w:right w:val="single" w:color="auto" w:sz="4" w:space="0"/>
            </w:tcBorders>
            <w:noWrap w:val="0"/>
            <w:vAlign w:val="center"/>
          </w:tcPr>
          <w:p w14:paraId="629DC07C">
            <w:pPr>
              <w:pStyle w:val="151"/>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分项价格</w:t>
            </w:r>
          </w:p>
        </w:tc>
      </w:tr>
      <w:tr w14:paraId="2D5B6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469" w:type="dxa"/>
            <w:tcBorders>
              <w:top w:val="single" w:color="auto" w:sz="4" w:space="0"/>
              <w:left w:val="single" w:color="auto" w:sz="4" w:space="0"/>
              <w:bottom w:val="single" w:color="auto" w:sz="4" w:space="0"/>
              <w:right w:val="single" w:color="auto" w:sz="4" w:space="0"/>
            </w:tcBorders>
            <w:noWrap w:val="0"/>
            <w:vAlign w:val="center"/>
          </w:tcPr>
          <w:p w14:paraId="6CAD260E">
            <w:pPr>
              <w:pStyle w:val="151"/>
              <w:spacing w:line="560" w:lineRule="exact"/>
              <w:ind w:firstLine="200"/>
              <w:jc w:val="center"/>
              <w:rPr>
                <w:rFonts w:hint="eastAsia" w:ascii="宋体" w:hAnsi="宋体" w:eastAsia="宋体" w:cs="宋体"/>
                <w:color w:val="auto"/>
                <w:sz w:val="24"/>
                <w:szCs w:val="24"/>
                <w:highlight w:val="none"/>
              </w:rPr>
            </w:pPr>
          </w:p>
        </w:tc>
        <w:tc>
          <w:tcPr>
            <w:tcW w:w="4165" w:type="dxa"/>
            <w:tcBorders>
              <w:top w:val="single" w:color="auto" w:sz="4" w:space="0"/>
              <w:left w:val="single" w:color="auto" w:sz="4" w:space="0"/>
              <w:bottom w:val="single" w:color="auto" w:sz="4" w:space="0"/>
              <w:right w:val="single" w:color="auto" w:sz="4" w:space="0"/>
            </w:tcBorders>
            <w:noWrap w:val="0"/>
            <w:vAlign w:val="center"/>
          </w:tcPr>
          <w:p w14:paraId="1C525702">
            <w:pPr>
              <w:pStyle w:val="151"/>
              <w:spacing w:line="560" w:lineRule="exact"/>
              <w:ind w:firstLine="200"/>
              <w:jc w:val="center"/>
              <w:rPr>
                <w:rFonts w:hint="eastAsia" w:ascii="宋体" w:hAnsi="宋体" w:eastAsia="宋体" w:cs="宋体"/>
                <w:color w:val="auto"/>
                <w:sz w:val="24"/>
                <w:szCs w:val="24"/>
                <w:highlight w:val="none"/>
              </w:rPr>
            </w:pPr>
          </w:p>
        </w:tc>
        <w:tc>
          <w:tcPr>
            <w:tcW w:w="3124" w:type="dxa"/>
            <w:tcBorders>
              <w:top w:val="single" w:color="auto" w:sz="4" w:space="0"/>
              <w:left w:val="single" w:color="auto" w:sz="4" w:space="0"/>
              <w:bottom w:val="single" w:color="auto" w:sz="4" w:space="0"/>
              <w:right w:val="single" w:color="auto" w:sz="4" w:space="0"/>
            </w:tcBorders>
            <w:noWrap w:val="0"/>
            <w:vAlign w:val="center"/>
          </w:tcPr>
          <w:p w14:paraId="6F67E18C">
            <w:pPr>
              <w:pStyle w:val="151"/>
              <w:spacing w:line="560" w:lineRule="exact"/>
              <w:ind w:firstLine="200"/>
              <w:jc w:val="center"/>
              <w:rPr>
                <w:rFonts w:hint="eastAsia" w:ascii="宋体" w:hAnsi="宋体" w:eastAsia="宋体" w:cs="宋体"/>
                <w:color w:val="auto"/>
                <w:sz w:val="24"/>
                <w:szCs w:val="24"/>
                <w:highlight w:val="none"/>
              </w:rPr>
            </w:pPr>
          </w:p>
        </w:tc>
      </w:tr>
      <w:tr w14:paraId="66B35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469" w:type="dxa"/>
            <w:tcBorders>
              <w:top w:val="single" w:color="auto" w:sz="4" w:space="0"/>
              <w:left w:val="single" w:color="auto" w:sz="4" w:space="0"/>
              <w:bottom w:val="single" w:color="auto" w:sz="4" w:space="0"/>
              <w:right w:val="single" w:color="auto" w:sz="4" w:space="0"/>
            </w:tcBorders>
            <w:noWrap w:val="0"/>
            <w:vAlign w:val="center"/>
          </w:tcPr>
          <w:p w14:paraId="5D0F9D38">
            <w:pPr>
              <w:pStyle w:val="151"/>
              <w:spacing w:line="560" w:lineRule="exact"/>
              <w:ind w:firstLine="200"/>
              <w:jc w:val="center"/>
              <w:rPr>
                <w:rFonts w:hint="eastAsia" w:ascii="宋体" w:hAnsi="宋体" w:eastAsia="宋体" w:cs="宋体"/>
                <w:color w:val="auto"/>
                <w:sz w:val="24"/>
                <w:szCs w:val="24"/>
                <w:highlight w:val="none"/>
              </w:rPr>
            </w:pPr>
          </w:p>
        </w:tc>
        <w:tc>
          <w:tcPr>
            <w:tcW w:w="4165" w:type="dxa"/>
            <w:tcBorders>
              <w:top w:val="single" w:color="auto" w:sz="4" w:space="0"/>
              <w:left w:val="single" w:color="auto" w:sz="4" w:space="0"/>
              <w:bottom w:val="single" w:color="auto" w:sz="4" w:space="0"/>
              <w:right w:val="single" w:color="auto" w:sz="4" w:space="0"/>
            </w:tcBorders>
            <w:noWrap w:val="0"/>
            <w:vAlign w:val="center"/>
          </w:tcPr>
          <w:p w14:paraId="0652A767">
            <w:pPr>
              <w:pStyle w:val="151"/>
              <w:spacing w:line="560" w:lineRule="exact"/>
              <w:ind w:firstLine="200"/>
              <w:jc w:val="center"/>
              <w:rPr>
                <w:rFonts w:hint="eastAsia" w:ascii="宋体" w:hAnsi="宋体" w:eastAsia="宋体" w:cs="宋体"/>
                <w:color w:val="auto"/>
                <w:sz w:val="24"/>
                <w:szCs w:val="24"/>
                <w:highlight w:val="none"/>
              </w:rPr>
            </w:pPr>
          </w:p>
        </w:tc>
        <w:tc>
          <w:tcPr>
            <w:tcW w:w="3124" w:type="dxa"/>
            <w:tcBorders>
              <w:top w:val="single" w:color="auto" w:sz="4" w:space="0"/>
              <w:left w:val="single" w:color="auto" w:sz="4" w:space="0"/>
              <w:bottom w:val="single" w:color="auto" w:sz="4" w:space="0"/>
              <w:right w:val="single" w:color="auto" w:sz="4" w:space="0"/>
            </w:tcBorders>
            <w:noWrap w:val="0"/>
            <w:vAlign w:val="center"/>
          </w:tcPr>
          <w:p w14:paraId="3C2F5EE8">
            <w:pPr>
              <w:pStyle w:val="151"/>
              <w:spacing w:line="560" w:lineRule="exact"/>
              <w:ind w:firstLine="200"/>
              <w:jc w:val="center"/>
              <w:rPr>
                <w:rFonts w:hint="eastAsia" w:ascii="宋体" w:hAnsi="宋体" w:eastAsia="宋体" w:cs="宋体"/>
                <w:color w:val="auto"/>
                <w:sz w:val="24"/>
                <w:szCs w:val="24"/>
                <w:highlight w:val="none"/>
              </w:rPr>
            </w:pPr>
          </w:p>
        </w:tc>
      </w:tr>
      <w:tr w14:paraId="38D14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469" w:type="dxa"/>
            <w:tcBorders>
              <w:top w:val="single" w:color="auto" w:sz="4" w:space="0"/>
              <w:left w:val="single" w:color="auto" w:sz="4" w:space="0"/>
              <w:bottom w:val="single" w:color="auto" w:sz="4" w:space="0"/>
              <w:right w:val="single" w:color="auto" w:sz="4" w:space="0"/>
            </w:tcBorders>
            <w:noWrap w:val="0"/>
            <w:vAlign w:val="center"/>
          </w:tcPr>
          <w:p w14:paraId="26A5F486">
            <w:pPr>
              <w:pStyle w:val="151"/>
              <w:spacing w:line="560" w:lineRule="exact"/>
              <w:ind w:firstLine="200"/>
              <w:jc w:val="center"/>
              <w:rPr>
                <w:rFonts w:hint="eastAsia" w:ascii="宋体" w:hAnsi="宋体" w:eastAsia="宋体" w:cs="宋体"/>
                <w:color w:val="auto"/>
                <w:sz w:val="24"/>
                <w:szCs w:val="24"/>
                <w:highlight w:val="none"/>
              </w:rPr>
            </w:pPr>
          </w:p>
        </w:tc>
        <w:tc>
          <w:tcPr>
            <w:tcW w:w="4165" w:type="dxa"/>
            <w:tcBorders>
              <w:top w:val="single" w:color="auto" w:sz="4" w:space="0"/>
              <w:left w:val="single" w:color="auto" w:sz="4" w:space="0"/>
              <w:bottom w:val="single" w:color="auto" w:sz="4" w:space="0"/>
              <w:right w:val="single" w:color="auto" w:sz="4" w:space="0"/>
            </w:tcBorders>
            <w:noWrap w:val="0"/>
            <w:vAlign w:val="center"/>
          </w:tcPr>
          <w:p w14:paraId="68A425E5">
            <w:pPr>
              <w:pStyle w:val="151"/>
              <w:spacing w:line="560" w:lineRule="exact"/>
              <w:ind w:firstLine="200"/>
              <w:jc w:val="center"/>
              <w:rPr>
                <w:rFonts w:hint="eastAsia" w:ascii="宋体" w:hAnsi="宋体" w:eastAsia="宋体" w:cs="宋体"/>
                <w:color w:val="auto"/>
                <w:sz w:val="24"/>
                <w:szCs w:val="24"/>
                <w:highlight w:val="none"/>
              </w:rPr>
            </w:pPr>
          </w:p>
        </w:tc>
        <w:tc>
          <w:tcPr>
            <w:tcW w:w="3124" w:type="dxa"/>
            <w:tcBorders>
              <w:top w:val="single" w:color="auto" w:sz="4" w:space="0"/>
              <w:left w:val="single" w:color="auto" w:sz="4" w:space="0"/>
              <w:bottom w:val="single" w:color="auto" w:sz="4" w:space="0"/>
              <w:right w:val="single" w:color="auto" w:sz="4" w:space="0"/>
            </w:tcBorders>
            <w:noWrap w:val="0"/>
            <w:vAlign w:val="center"/>
          </w:tcPr>
          <w:p w14:paraId="57CE3BB0">
            <w:pPr>
              <w:pStyle w:val="151"/>
              <w:spacing w:line="560" w:lineRule="exact"/>
              <w:ind w:firstLine="200"/>
              <w:jc w:val="center"/>
              <w:rPr>
                <w:rFonts w:hint="eastAsia" w:ascii="宋体" w:hAnsi="宋体" w:eastAsia="宋体" w:cs="宋体"/>
                <w:color w:val="auto"/>
                <w:sz w:val="24"/>
                <w:szCs w:val="24"/>
                <w:highlight w:val="none"/>
              </w:rPr>
            </w:pPr>
          </w:p>
        </w:tc>
      </w:tr>
      <w:tr w14:paraId="6FE92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469" w:type="dxa"/>
            <w:tcBorders>
              <w:top w:val="single" w:color="auto" w:sz="4" w:space="0"/>
              <w:left w:val="single" w:color="auto" w:sz="4" w:space="0"/>
              <w:bottom w:val="single" w:color="auto" w:sz="4" w:space="0"/>
              <w:right w:val="single" w:color="auto" w:sz="4" w:space="0"/>
            </w:tcBorders>
            <w:noWrap w:val="0"/>
            <w:vAlign w:val="center"/>
          </w:tcPr>
          <w:p w14:paraId="1B317667">
            <w:pPr>
              <w:pStyle w:val="151"/>
              <w:spacing w:line="560" w:lineRule="exact"/>
              <w:ind w:firstLine="200"/>
              <w:jc w:val="center"/>
              <w:rPr>
                <w:rFonts w:hint="eastAsia" w:ascii="宋体" w:hAnsi="宋体" w:eastAsia="宋体" w:cs="宋体"/>
                <w:color w:val="auto"/>
                <w:sz w:val="24"/>
                <w:szCs w:val="24"/>
                <w:highlight w:val="none"/>
              </w:rPr>
            </w:pPr>
          </w:p>
        </w:tc>
        <w:tc>
          <w:tcPr>
            <w:tcW w:w="4165" w:type="dxa"/>
            <w:tcBorders>
              <w:top w:val="single" w:color="auto" w:sz="4" w:space="0"/>
              <w:left w:val="single" w:color="auto" w:sz="4" w:space="0"/>
              <w:bottom w:val="single" w:color="auto" w:sz="4" w:space="0"/>
              <w:right w:val="single" w:color="auto" w:sz="4" w:space="0"/>
            </w:tcBorders>
            <w:noWrap w:val="0"/>
            <w:vAlign w:val="center"/>
          </w:tcPr>
          <w:p w14:paraId="45B9A220">
            <w:pPr>
              <w:pStyle w:val="151"/>
              <w:spacing w:line="560" w:lineRule="exact"/>
              <w:ind w:firstLine="200"/>
              <w:jc w:val="center"/>
              <w:rPr>
                <w:rFonts w:hint="eastAsia" w:ascii="宋体" w:hAnsi="宋体" w:eastAsia="宋体" w:cs="宋体"/>
                <w:color w:val="auto"/>
                <w:sz w:val="24"/>
                <w:szCs w:val="24"/>
                <w:highlight w:val="none"/>
              </w:rPr>
            </w:pPr>
          </w:p>
        </w:tc>
        <w:tc>
          <w:tcPr>
            <w:tcW w:w="3124" w:type="dxa"/>
            <w:tcBorders>
              <w:top w:val="single" w:color="auto" w:sz="4" w:space="0"/>
              <w:left w:val="single" w:color="auto" w:sz="4" w:space="0"/>
              <w:bottom w:val="single" w:color="auto" w:sz="4" w:space="0"/>
              <w:right w:val="single" w:color="auto" w:sz="4" w:space="0"/>
            </w:tcBorders>
            <w:noWrap w:val="0"/>
            <w:vAlign w:val="center"/>
          </w:tcPr>
          <w:p w14:paraId="1B498D3F">
            <w:pPr>
              <w:pStyle w:val="151"/>
              <w:spacing w:line="560" w:lineRule="exact"/>
              <w:ind w:firstLine="200"/>
              <w:jc w:val="center"/>
              <w:rPr>
                <w:rFonts w:hint="eastAsia" w:ascii="宋体" w:hAnsi="宋体" w:eastAsia="宋体" w:cs="宋体"/>
                <w:color w:val="auto"/>
                <w:sz w:val="24"/>
                <w:szCs w:val="24"/>
                <w:highlight w:val="none"/>
              </w:rPr>
            </w:pPr>
          </w:p>
        </w:tc>
      </w:tr>
      <w:tr w14:paraId="7676B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469" w:type="dxa"/>
            <w:tcBorders>
              <w:top w:val="single" w:color="auto" w:sz="4" w:space="0"/>
              <w:left w:val="single" w:color="auto" w:sz="4" w:space="0"/>
              <w:bottom w:val="single" w:color="auto" w:sz="4" w:space="0"/>
              <w:right w:val="single" w:color="auto" w:sz="4" w:space="0"/>
            </w:tcBorders>
            <w:noWrap w:val="0"/>
            <w:vAlign w:val="center"/>
          </w:tcPr>
          <w:p w14:paraId="210EE9E3">
            <w:pPr>
              <w:pStyle w:val="151"/>
              <w:spacing w:line="560" w:lineRule="exact"/>
              <w:ind w:firstLine="200"/>
              <w:jc w:val="center"/>
              <w:rPr>
                <w:rFonts w:hint="eastAsia" w:ascii="宋体" w:hAnsi="宋体" w:eastAsia="宋体" w:cs="宋体"/>
                <w:color w:val="auto"/>
                <w:sz w:val="24"/>
                <w:szCs w:val="24"/>
                <w:highlight w:val="none"/>
              </w:rPr>
            </w:pPr>
          </w:p>
        </w:tc>
        <w:tc>
          <w:tcPr>
            <w:tcW w:w="4165" w:type="dxa"/>
            <w:tcBorders>
              <w:top w:val="single" w:color="auto" w:sz="4" w:space="0"/>
              <w:left w:val="single" w:color="auto" w:sz="4" w:space="0"/>
              <w:bottom w:val="single" w:color="auto" w:sz="4" w:space="0"/>
              <w:right w:val="single" w:color="auto" w:sz="4" w:space="0"/>
            </w:tcBorders>
            <w:noWrap w:val="0"/>
            <w:vAlign w:val="center"/>
          </w:tcPr>
          <w:p w14:paraId="71F34DB7">
            <w:pPr>
              <w:pStyle w:val="151"/>
              <w:spacing w:line="560" w:lineRule="exact"/>
              <w:ind w:firstLine="200"/>
              <w:jc w:val="center"/>
              <w:rPr>
                <w:rFonts w:hint="eastAsia" w:ascii="宋体" w:hAnsi="宋体" w:eastAsia="宋体" w:cs="宋体"/>
                <w:color w:val="auto"/>
                <w:sz w:val="24"/>
                <w:szCs w:val="24"/>
                <w:highlight w:val="none"/>
              </w:rPr>
            </w:pPr>
          </w:p>
        </w:tc>
        <w:tc>
          <w:tcPr>
            <w:tcW w:w="3124" w:type="dxa"/>
            <w:tcBorders>
              <w:top w:val="single" w:color="auto" w:sz="4" w:space="0"/>
              <w:left w:val="single" w:color="auto" w:sz="4" w:space="0"/>
              <w:bottom w:val="single" w:color="auto" w:sz="4" w:space="0"/>
              <w:right w:val="single" w:color="auto" w:sz="4" w:space="0"/>
            </w:tcBorders>
            <w:noWrap w:val="0"/>
            <w:vAlign w:val="center"/>
          </w:tcPr>
          <w:p w14:paraId="411535EC">
            <w:pPr>
              <w:pStyle w:val="151"/>
              <w:spacing w:line="560" w:lineRule="exact"/>
              <w:ind w:firstLine="200"/>
              <w:jc w:val="center"/>
              <w:rPr>
                <w:rFonts w:hint="eastAsia" w:ascii="宋体" w:hAnsi="宋体" w:eastAsia="宋体" w:cs="宋体"/>
                <w:color w:val="auto"/>
                <w:sz w:val="24"/>
                <w:szCs w:val="24"/>
                <w:highlight w:val="none"/>
              </w:rPr>
            </w:pPr>
          </w:p>
        </w:tc>
      </w:tr>
      <w:tr w14:paraId="531C5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634" w:type="dxa"/>
            <w:gridSpan w:val="2"/>
            <w:tcBorders>
              <w:top w:val="single" w:color="auto" w:sz="4" w:space="0"/>
              <w:left w:val="single" w:color="auto" w:sz="4" w:space="0"/>
              <w:bottom w:val="single" w:color="auto" w:sz="4" w:space="0"/>
              <w:right w:val="single" w:color="auto" w:sz="4" w:space="0"/>
            </w:tcBorders>
            <w:noWrap w:val="0"/>
            <w:vAlign w:val="center"/>
          </w:tcPr>
          <w:p w14:paraId="429A2E54">
            <w:pPr>
              <w:pStyle w:val="151"/>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3124" w:type="dxa"/>
            <w:tcBorders>
              <w:top w:val="single" w:color="auto" w:sz="4" w:space="0"/>
              <w:left w:val="single" w:color="auto" w:sz="4" w:space="0"/>
              <w:bottom w:val="single" w:color="auto" w:sz="4" w:space="0"/>
              <w:right w:val="single" w:color="auto" w:sz="4" w:space="0"/>
            </w:tcBorders>
            <w:noWrap w:val="0"/>
            <w:vAlign w:val="center"/>
          </w:tcPr>
          <w:p w14:paraId="3984467B">
            <w:pPr>
              <w:pStyle w:val="151"/>
              <w:spacing w:line="560" w:lineRule="exact"/>
              <w:ind w:firstLine="200"/>
              <w:jc w:val="center"/>
              <w:rPr>
                <w:rFonts w:hint="eastAsia" w:ascii="宋体" w:hAnsi="宋体" w:eastAsia="宋体" w:cs="宋体"/>
                <w:color w:val="auto"/>
                <w:sz w:val="24"/>
                <w:szCs w:val="24"/>
                <w:highlight w:val="none"/>
              </w:rPr>
            </w:pPr>
          </w:p>
        </w:tc>
      </w:tr>
    </w:tbl>
    <w:p w14:paraId="10FD2472">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eastAsia="宋体" w:cs="宋体"/>
          <w:b/>
          <w:color w:val="auto"/>
          <w:sz w:val="24"/>
          <w:szCs w:val="24"/>
          <w:highlight w:val="none"/>
        </w:rPr>
        <w:t>履行期限、地点和方式</w:t>
      </w:r>
    </w:p>
    <w:p w14:paraId="509694A8">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1.服务交付（实施）的时间：</w:t>
      </w:r>
    </w:p>
    <w:p w14:paraId="78795B23">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2.服务交付（实施）的地点：</w:t>
      </w:r>
    </w:p>
    <w:p w14:paraId="2993113C">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3.服务交付（实施）的方式：</w:t>
      </w:r>
    </w:p>
    <w:p w14:paraId="5767118F">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4.若服务涉及货物的，则货物为：（可附清单）</w:t>
      </w:r>
    </w:p>
    <w:p w14:paraId="1A25E631">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4.1交付期限：</w:t>
      </w:r>
    </w:p>
    <w:p w14:paraId="3D79B49C">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4.2.交付地点：</w:t>
      </w:r>
    </w:p>
    <w:p w14:paraId="1D5728A1">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4.3交付方式：</w:t>
      </w:r>
    </w:p>
    <w:p w14:paraId="66A2910A">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四、履约保证金：无</w:t>
      </w:r>
    </w:p>
    <w:p w14:paraId="47DA8F40">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五、转包或分包</w:t>
      </w:r>
    </w:p>
    <w:p w14:paraId="7ADC7CAA">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1.本合同范围的服务，应由乙方直接供应，不得转让他人供应；</w:t>
      </w:r>
    </w:p>
    <w:p w14:paraId="600C291D">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2.如有转让和未经甲方同意的分包行为，甲方有权解除合同，并追究乙方的违约责任。</w:t>
      </w:r>
    </w:p>
    <w:p w14:paraId="39D04B9E">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六、付款方式：</w:t>
      </w:r>
    </w:p>
    <w:p w14:paraId="6BFE2A6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☐不需要预付款，……   </w:t>
      </w:r>
    </w:p>
    <w:p w14:paraId="2CC3E4D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☐需要预付款，……</w:t>
      </w:r>
    </w:p>
    <w:p w14:paraId="2FA7758F">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七、税费：本合同执行中相关的一切税费均由乙方负担。</w:t>
      </w:r>
    </w:p>
    <w:p w14:paraId="1BA68572">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八、交付验收</w:t>
      </w:r>
    </w:p>
    <w:p w14:paraId="0A3BE9B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1.验收时间：服务期满或提交服务成果后7个工作日内由</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组成验收小组进行验收。</w:t>
      </w:r>
    </w:p>
    <w:p w14:paraId="53AF1DD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验收方式</w:t>
      </w:r>
    </w:p>
    <w:p w14:paraId="38FE936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应对提交的服务成果作出全面检查和整理，并列出清单，作为</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验收和使用技术条件依据，清单应随提交的服务成果交给</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应当根据招标文件内容、国家、行业验收标准，对服务成果进行详细而全面的验收。验收不合格的</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有</w:t>
      </w:r>
      <w:r>
        <w:rPr>
          <w:rFonts w:hint="eastAsia" w:ascii="宋体" w:hAnsi="宋体" w:eastAsia="宋体" w:cs="宋体"/>
          <w:color w:val="auto"/>
          <w:sz w:val="24"/>
          <w:szCs w:val="24"/>
          <w:highlight w:val="none"/>
          <w:lang w:eastAsia="zh-CN"/>
        </w:rPr>
        <w:t>权</w:t>
      </w:r>
      <w:r>
        <w:rPr>
          <w:rFonts w:hint="eastAsia" w:ascii="宋体" w:hAnsi="宋体" w:eastAsia="宋体" w:cs="宋体"/>
          <w:color w:val="auto"/>
          <w:sz w:val="24"/>
          <w:szCs w:val="24"/>
          <w:highlight w:val="none"/>
        </w:rPr>
        <w:t>根据验收结果要求</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立即更换或者提出索赔要求。验收合格后，由</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组成的验收小组签署验收报告，作为付款凭据之一。</w:t>
      </w:r>
    </w:p>
    <w:p w14:paraId="7A6515D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2.2大型或者复杂的政府采购项目，应当邀请国家认可的质量检测机构参加验收工作。验收方成员应当在验收书上签字，并承担相应的法律责任。如果发现与合同中要求不符，</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须承担由此发生的一切损失和费用，并接受相应的处理。</w:t>
      </w:r>
    </w:p>
    <w:p w14:paraId="0B4584D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可以邀请参加本项目的其他投标人或者第三方机构参与验收。参与验收的投标人或者第三方机构的意见作为验收书的参考资料一并存档。</w:t>
      </w:r>
    </w:p>
    <w:p w14:paraId="1108B1E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2.4严格按照采购合同开展履约验收。</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成立验收小组，按照采购合同的约定对</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挂钩。履约验收的各项资料应当存档备查。</w:t>
      </w:r>
    </w:p>
    <w:p w14:paraId="69170F2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2.5验收合格的项目，</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将根据采购合同的约定及时向</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支付采购资金。验收不合格的项目，</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将依法及时处理。采购合同的履行、违约责任和解决争议的方式等适用《中华人民共和国民法典》。</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在履约过程中有政府采购法律法规规定的违法违规情形的，</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应当及时报告本级财政部门。</w:t>
      </w:r>
    </w:p>
    <w:p w14:paraId="4C3C716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2.6验收时</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必须在现场，验收过程中相关检测费用（如有）由</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负责。</w:t>
      </w:r>
    </w:p>
    <w:p w14:paraId="1D37C98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原则上应当在履约验收之日起2个工作日内，将履约验收结果在浙江政府采购网上公告。</w:t>
      </w:r>
    </w:p>
    <w:p w14:paraId="2FA726C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九、所有权归属</w:t>
      </w:r>
    </w:p>
    <w:p w14:paraId="1F2B08D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将服务成果交付甲方，并且经甲乙双方共同验收合格后所有权转移给甲方，在所有权转移之前，标的物损毁、灭失的风险归乙方，乙方保证所交付的服务成果的所有权完全属于乙方且无任何抵押、查封等产权瑕疵。</w:t>
      </w:r>
    </w:p>
    <w:p w14:paraId="000D1EE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乙方交付的服务成果有产权瑕疵的，视为乙方违约，乙方须向甲方支付20%的违约金；如果合同总金额价款已经支付完毕或者开始支付合同价款时才发现产权有瑕疵的，乙方仍须支付上述违约金并且赔偿甲方由此所遭受的一切损失。</w:t>
      </w:r>
    </w:p>
    <w:p w14:paraId="78878DCC">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十、知识产权与保密要求</w:t>
      </w:r>
    </w:p>
    <w:p w14:paraId="279B58A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1.乙方应保证甲方在使用该</w:t>
      </w:r>
      <w:r>
        <w:rPr>
          <w:rFonts w:hint="eastAsia" w:ascii="宋体" w:hAnsi="宋体" w:eastAsia="宋体" w:cs="宋体"/>
          <w:color w:val="auto"/>
          <w:sz w:val="24"/>
          <w:szCs w:val="24"/>
          <w:highlight w:val="none"/>
          <w:lang w:val="en-US" w:eastAsia="zh-CN"/>
        </w:rPr>
        <w:t>产品</w:t>
      </w:r>
      <w:r>
        <w:rPr>
          <w:rFonts w:hint="eastAsia" w:ascii="宋体" w:hAnsi="宋体" w:eastAsia="宋体" w:cs="宋体"/>
          <w:color w:val="auto"/>
          <w:sz w:val="24"/>
          <w:szCs w:val="24"/>
          <w:highlight w:val="none"/>
        </w:rPr>
        <w:t>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7806FFB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在履行合同过程及完成本合同所涉项目服务后须承担与此有关的技术情报和数据资料的保密责任。乙方对本项目有关的资料及数据成果中涉及国家秘密的内容，均要求按照《中华人民共和国保守国家秘密法》及相关法律法规执行。否则，应承担相应的法律责任。</w:t>
      </w:r>
    </w:p>
    <w:p w14:paraId="02132055">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3F5406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十一、售后服务及承诺（如有）</w:t>
      </w:r>
    </w:p>
    <w:p w14:paraId="78A469F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1.服务质量保证期限自提交服务验收合格之日起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，在质量保证期内，乙方应对服务出现的问题负责处理并承担一切费用，并且赔偿甲方的损失。</w:t>
      </w:r>
    </w:p>
    <w:p w14:paraId="2CE32C0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2.乙方有完善的服务体系，有能力提供持续的、本地化售后服务。</w:t>
      </w:r>
    </w:p>
    <w:p w14:paraId="538C2238">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十二、违约责任</w:t>
      </w:r>
    </w:p>
    <w:p w14:paraId="2E8D85FF">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color w:val="auto"/>
          <w:sz w:val="24"/>
          <w:szCs w:val="24"/>
          <w:highlight w:val="none"/>
          <w:u w:val="single"/>
        </w:rPr>
        <w:t xml:space="preserve">0.05 </w:t>
      </w:r>
      <w:r>
        <w:rPr>
          <w:rFonts w:hint="eastAsia" w:ascii="宋体" w:hAnsi="宋体" w:eastAsia="宋体" w:cs="宋体"/>
          <w:color w:val="auto"/>
          <w:sz w:val="24"/>
          <w:szCs w:val="24"/>
          <w:highlight w:val="none"/>
        </w:rPr>
        <w:t>%计算，最高限额为本合同总价的</w:t>
      </w:r>
      <w:r>
        <w:rPr>
          <w:rFonts w:hint="eastAsia" w:ascii="宋体" w:hAnsi="宋体" w:eastAsia="宋体" w:cs="宋体"/>
          <w:color w:val="auto"/>
          <w:sz w:val="24"/>
          <w:szCs w:val="24"/>
          <w:highlight w:val="none"/>
          <w:u w:val="single"/>
        </w:rPr>
        <w:t xml:space="preserve">  20   </w:t>
      </w:r>
      <w:r>
        <w:rPr>
          <w:rFonts w:hint="eastAsia" w:ascii="宋体" w:hAnsi="宋体" w:eastAsia="宋体" w:cs="宋体"/>
          <w:color w:val="auto"/>
          <w:sz w:val="24"/>
          <w:szCs w:val="24"/>
          <w:highlight w:val="none"/>
        </w:rPr>
        <w:t>%；迟延履行的违约金计算数额达到前述最高限额之日起，甲方有权在要求乙方支付违约金的同时，书面通知乙方解除本合同；</w:t>
      </w:r>
    </w:p>
    <w:p w14:paraId="6B5C34E6">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2.服务中涉及的货物（若有），除不可抗力外，如果乙方没有按照本合同约定的期限、地点和方式交付货物，那么甲方可要求乙方支付违约金，违约金按每迟延交付货物一日的应交付而未交付货物价格的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color w:val="auto"/>
          <w:sz w:val="24"/>
          <w:szCs w:val="24"/>
          <w:highlight w:val="none"/>
          <w:u w:val="single"/>
        </w:rPr>
        <w:t xml:space="preserve">  0.0</w:t>
      </w:r>
      <w:r>
        <w:rPr>
          <w:rFonts w:hint="eastAsia" w:ascii="宋体" w:hAnsi="宋体" w:eastAsia="宋体" w:cs="宋体"/>
          <w:color w:val="auto"/>
          <w:sz w:val="24"/>
          <w:szCs w:val="24"/>
          <w:highlight w:val="none"/>
        </w:rPr>
        <w:t xml:space="preserve">5（可根据情况修改）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%计算，最高限额为本合同总价的</w:t>
      </w:r>
      <w:r>
        <w:rPr>
          <w:rFonts w:hint="eastAsia" w:ascii="宋体" w:hAnsi="宋体" w:eastAsia="宋体" w:cs="宋体"/>
          <w:color w:val="auto"/>
          <w:sz w:val="24"/>
          <w:szCs w:val="24"/>
          <w:highlight w:val="none"/>
          <w:u w:val="single"/>
        </w:rPr>
        <w:t xml:space="preserve">  20  </w:t>
      </w:r>
      <w:r>
        <w:rPr>
          <w:rFonts w:hint="eastAsia" w:ascii="宋体" w:hAnsi="宋体" w:eastAsia="宋体" w:cs="宋体"/>
          <w:color w:val="auto"/>
          <w:sz w:val="24"/>
          <w:szCs w:val="24"/>
          <w:highlight w:val="none"/>
        </w:rPr>
        <w:t>%；迟延交付货物的违约金计算数额达到前述最高限额之日起，甲方有权在要求乙方支付违约金的同时，书面通知乙方解除本合同；</w:t>
      </w:r>
    </w:p>
    <w:p w14:paraId="0D2C2F52">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szCs w:val="24"/>
          <w:highlight w:val="none"/>
          <w:u w:val="single"/>
        </w:rPr>
        <w:t xml:space="preserve">   0.05   </w:t>
      </w:r>
      <w:r>
        <w:rPr>
          <w:rFonts w:hint="eastAsia" w:ascii="宋体" w:hAnsi="宋体" w:eastAsia="宋体" w:cs="宋体"/>
          <w:color w:val="auto"/>
          <w:sz w:val="24"/>
          <w:szCs w:val="24"/>
          <w:highlight w:val="none"/>
        </w:rPr>
        <w:t>%计算，最高限额为本合同总价的</w:t>
      </w:r>
      <w:r>
        <w:rPr>
          <w:rFonts w:hint="eastAsia" w:ascii="宋体" w:hAnsi="宋体" w:eastAsia="宋体" w:cs="宋体"/>
          <w:color w:val="auto"/>
          <w:sz w:val="24"/>
          <w:szCs w:val="24"/>
          <w:highlight w:val="none"/>
          <w:u w:val="single"/>
        </w:rPr>
        <w:t xml:space="preserve">   20（可根据情况修改）   </w:t>
      </w:r>
      <w:r>
        <w:rPr>
          <w:rFonts w:hint="eastAsia" w:ascii="宋体" w:hAnsi="宋体" w:eastAsia="宋体" w:cs="宋体"/>
          <w:color w:val="auto"/>
          <w:sz w:val="24"/>
          <w:szCs w:val="24"/>
          <w:highlight w:val="none"/>
        </w:rPr>
        <w:t>%；迟延付款的违约金计算数额达到前述最高限额之日起，乙方有权在要求甲方支付违约金的同时，书面通知甲方解除本合同；</w:t>
      </w:r>
    </w:p>
    <w:p w14:paraId="36860428">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1527884">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DB8726D">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6.如果出现政府采购监督管理部门在处理投诉事项期间，书面通知甲方暂停采购活动的情形，或者询问或质疑事项可能影响中标或者成交结果的，导致甲方中止履行合同的情形，均不视为甲方违约。</w:t>
      </w:r>
    </w:p>
    <w:p w14:paraId="40C2F45D">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十三、不可抗力事件处理</w:t>
      </w:r>
    </w:p>
    <w:p w14:paraId="1BB68EB6">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1.如果任何一方遭遇法律规定的不可抗力，致使合同履行受阻时，履行合同的期限应予延长，延长的期限应相当于不可抗力所影响的时间；</w:t>
      </w:r>
    </w:p>
    <w:p w14:paraId="45ADFE6F">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因不可抗力致使不能实现合同目的的，当事人可以解除合同；</w:t>
      </w:r>
    </w:p>
    <w:p w14:paraId="1BD547E5">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因不可抗力致使合同有变更必要的，双方当事人应以书面形式变更合同；</w:t>
      </w:r>
    </w:p>
    <w:p w14:paraId="05C5AA6B">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4.受不可抗力影响的一方在不可抗力发生后，应以书面形式通知对方当事人，并在约定时间内，将有关部门出具的证明文件送达对方当事人。</w:t>
      </w:r>
    </w:p>
    <w:p w14:paraId="4EE382C5">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十四、合同中止、终止</w:t>
      </w:r>
    </w:p>
    <w:p w14:paraId="531329E4">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1.双方当事人不得擅自中止或者终止合同；</w:t>
      </w:r>
    </w:p>
    <w:p w14:paraId="21240655">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2.合同继续履行将损害国家利益和社会公共利益的，双方当事人应当中止或者终止合同。有过错的一方应当承担赔偿责任，双方当事人都有过错的，各自承担相应的责任。</w:t>
      </w:r>
    </w:p>
    <w:p w14:paraId="1C046178">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十五、合同争议的解决</w:t>
      </w:r>
    </w:p>
    <w:p w14:paraId="2F704F65">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本合同履行过程中发生的任何争议，双方当事人均可通过和解或者调解解决；不愿和解、调解或者和解、调解不成的，可以向甲方所在地人民法院起诉。</w:t>
      </w:r>
    </w:p>
    <w:p w14:paraId="7809BAC1">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十六、合同构成</w:t>
      </w:r>
    </w:p>
    <w:p w14:paraId="1F0A0543">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下列文件为本合同的组成部分，并构成一个整体，需综合解释、相互补充。如果下列文件内容出现不一致的情形，那么在保证按照采购文件确定的事项的前提下，组成本合同的多</w:t>
      </w:r>
      <w:r>
        <w:rPr>
          <w:rFonts w:hint="eastAsia" w:ascii="宋体" w:hAnsi="宋体" w:eastAsia="宋体" w:cs="宋体"/>
          <w:color w:val="auto"/>
          <w:sz w:val="24"/>
          <w:szCs w:val="24"/>
          <w:highlight w:val="none"/>
          <w:lang w:eastAsia="zh-CN"/>
        </w:rPr>
        <w:t>份文件</w:t>
      </w:r>
      <w:r>
        <w:rPr>
          <w:rFonts w:hint="eastAsia" w:ascii="宋体" w:hAnsi="宋体" w:eastAsia="宋体" w:cs="宋体"/>
          <w:color w:val="auto"/>
          <w:sz w:val="24"/>
          <w:szCs w:val="24"/>
          <w:highlight w:val="none"/>
        </w:rPr>
        <w:t>的优先适用顺序如下：</w:t>
      </w:r>
    </w:p>
    <w:p w14:paraId="12E64926">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1.本合同及其补充合同、变更协议；</w:t>
      </w:r>
    </w:p>
    <w:p w14:paraId="39309C4F">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2.中标或者成交通知书；</w:t>
      </w:r>
    </w:p>
    <w:p w14:paraId="74B1B02A">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3.投标或者响应文件（含澄清或者说明文件）；</w:t>
      </w:r>
    </w:p>
    <w:p w14:paraId="0770A0EA">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4.采购文件（含澄清或者修改文件）；</w:t>
      </w:r>
    </w:p>
    <w:p w14:paraId="036FC4E4">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5.其他相关采购文件。</w:t>
      </w:r>
    </w:p>
    <w:p w14:paraId="5F52F022">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十七、合同生效及其它</w:t>
      </w:r>
    </w:p>
    <w:p w14:paraId="2613F454">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本合同自双方当事人盖章或者签字时生效。</w:t>
      </w:r>
    </w:p>
    <w:p w14:paraId="28BDEFB0">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2.合同执行中涉及采购资金和采购内容修改或补充的，须经财政部门审批，并</w:t>
      </w:r>
      <w:r>
        <w:rPr>
          <w:rFonts w:hint="eastAsia" w:ascii="宋体" w:hAnsi="宋体" w:cs="宋体"/>
          <w:color w:val="auto"/>
          <w:sz w:val="24"/>
          <w:szCs w:val="24"/>
          <w:highlight w:val="none"/>
          <w:lang w:eastAsia="zh-CN"/>
        </w:rPr>
        <w:t>签订</w:t>
      </w:r>
      <w:r>
        <w:rPr>
          <w:rFonts w:hint="eastAsia" w:ascii="宋体" w:hAnsi="宋体" w:eastAsia="宋体" w:cs="宋体"/>
          <w:color w:val="auto"/>
          <w:sz w:val="24"/>
          <w:szCs w:val="24"/>
          <w:highlight w:val="none"/>
        </w:rPr>
        <w:t>书面补充协议报政府采购监督管理部门备案，方可作为主合同不可分割的一部分。</w:t>
      </w:r>
    </w:p>
    <w:p w14:paraId="5CB29795">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3.本合同未尽事宜，遵照《中华人民共和国民法典》有关条文执行。</w:t>
      </w:r>
    </w:p>
    <w:p w14:paraId="5876A129">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4.本合同壹式陆份，甲乙双方各执贰份，招标代理机构贰份（备案及资料归集）。</w:t>
      </w:r>
    </w:p>
    <w:p w14:paraId="7D7CDAA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十八、其他补充条款：</w:t>
      </w:r>
      <w:r>
        <w:rPr>
          <w:rFonts w:hint="eastAsia" w:ascii="宋体" w:hAnsi="宋体" w:eastAsia="宋体" w:cs="宋体"/>
          <w:color w:val="auto"/>
          <w:sz w:val="24"/>
          <w:szCs w:val="24"/>
          <w:highlight w:val="none"/>
          <w:u w:val="single"/>
        </w:rPr>
        <w:t xml:space="preserve"> （如有）                           。</w:t>
      </w:r>
    </w:p>
    <w:tbl>
      <w:tblPr>
        <w:tblStyle w:val="42"/>
        <w:tblW w:w="92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26"/>
        <w:gridCol w:w="4613"/>
      </w:tblGrid>
      <w:tr w14:paraId="537E46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21" w:hRule="atLeast"/>
          <w:jc w:val="center"/>
        </w:trPr>
        <w:tc>
          <w:tcPr>
            <w:tcW w:w="4626" w:type="dxa"/>
            <w:tcBorders>
              <w:top w:val="single" w:color="auto" w:sz="4" w:space="0"/>
              <w:left w:val="single" w:color="auto" w:sz="4" w:space="0"/>
              <w:bottom w:val="single" w:color="auto" w:sz="4" w:space="0"/>
              <w:right w:val="single" w:color="auto" w:sz="4" w:space="0"/>
            </w:tcBorders>
          </w:tcPr>
          <w:p w14:paraId="50B58AF8">
            <w:pPr>
              <w:spacing w:line="440" w:lineRule="exact"/>
              <w:ind w:right="-105" w:rightChars="-50" w:firstLine="482"/>
              <w:jc w:val="center"/>
              <w:rPr>
                <w:rFonts w:ascii="宋体" w:hAnsi="宋体" w:cs="宋体"/>
                <w:b/>
                <w:bCs/>
                <w:color w:val="auto"/>
                <w:sz w:val="24"/>
                <w:highlight w:val="none"/>
              </w:rPr>
            </w:pPr>
            <w:r>
              <w:rPr>
                <w:rFonts w:hint="eastAsia" w:ascii="宋体" w:hAnsi="宋体" w:cs="宋体"/>
                <w:b/>
                <w:bCs/>
                <w:color w:val="auto"/>
                <w:sz w:val="24"/>
                <w:highlight w:val="none"/>
              </w:rPr>
              <w:t>甲  方</w:t>
            </w:r>
          </w:p>
          <w:p w14:paraId="5B6DA347">
            <w:pPr>
              <w:spacing w:line="440" w:lineRule="exact"/>
              <w:ind w:right="-105" w:rightChars="-50"/>
              <w:rPr>
                <w:rFonts w:ascii="宋体" w:hAnsi="宋体" w:cs="宋体"/>
                <w:color w:val="auto"/>
                <w:sz w:val="24"/>
                <w:highlight w:val="none"/>
              </w:rPr>
            </w:pPr>
            <w:r>
              <w:rPr>
                <w:rFonts w:hint="eastAsia" w:ascii="宋体" w:hAnsi="宋体" w:cs="宋体"/>
                <w:color w:val="auto"/>
                <w:sz w:val="24"/>
                <w:highlight w:val="none"/>
              </w:rPr>
              <w:t>单位名称（盖章）：</w:t>
            </w:r>
            <w:r>
              <w:rPr>
                <w:rFonts w:hint="eastAsia" w:ascii="宋体" w:hAnsi="宋体"/>
                <w:b/>
                <w:bCs/>
                <w:color w:val="auto"/>
                <w:sz w:val="24"/>
                <w:highlight w:val="none"/>
              </w:rPr>
              <w:t xml:space="preserve"> </w:t>
            </w:r>
          </w:p>
          <w:p w14:paraId="4C487358">
            <w:pPr>
              <w:spacing w:line="440" w:lineRule="exact"/>
              <w:ind w:left="-171" w:right="-105" w:rightChars="-50" w:firstLine="163" w:firstLineChars="68"/>
              <w:rPr>
                <w:rFonts w:ascii="宋体" w:hAnsi="宋体" w:cs="宋体"/>
                <w:color w:val="auto"/>
                <w:sz w:val="24"/>
                <w:highlight w:val="none"/>
              </w:rPr>
            </w:pPr>
            <w:r>
              <w:rPr>
                <w:rFonts w:hint="eastAsia" w:ascii="宋体" w:hAnsi="宋体" w:cs="宋体"/>
                <w:color w:val="auto"/>
                <w:sz w:val="24"/>
                <w:highlight w:val="none"/>
              </w:rPr>
              <w:t>单位地址：</w:t>
            </w:r>
            <w:r>
              <w:rPr>
                <w:rFonts w:hint="eastAsia" w:ascii="宋体" w:hAnsi="宋体"/>
                <w:b/>
                <w:bCs/>
                <w:color w:val="auto"/>
                <w:sz w:val="24"/>
                <w:highlight w:val="none"/>
              </w:rPr>
              <w:t xml:space="preserve"> </w:t>
            </w:r>
          </w:p>
          <w:p w14:paraId="5FB27923">
            <w:pPr>
              <w:spacing w:line="440" w:lineRule="exact"/>
              <w:ind w:left="-170" w:right="-105" w:rightChars="-50" w:firstLine="163" w:firstLineChars="68"/>
              <w:rPr>
                <w:rFonts w:ascii="宋体" w:hAnsi="宋体" w:cs="宋体"/>
                <w:color w:val="auto"/>
                <w:sz w:val="24"/>
                <w:highlight w:val="none"/>
              </w:rPr>
            </w:pPr>
            <w:r>
              <w:rPr>
                <w:rFonts w:hint="eastAsia" w:ascii="宋体" w:hAnsi="宋体" w:cs="宋体"/>
                <w:color w:val="auto"/>
                <w:sz w:val="24"/>
                <w:highlight w:val="none"/>
              </w:rPr>
              <w:t>法定代表人</w:t>
            </w:r>
          </w:p>
          <w:p w14:paraId="3634BC0D">
            <w:pPr>
              <w:spacing w:line="440" w:lineRule="exact"/>
              <w:ind w:left="-170" w:right="-105" w:rightChars="-50" w:firstLine="163" w:firstLineChars="68"/>
              <w:rPr>
                <w:rFonts w:ascii="宋体" w:hAnsi="宋体" w:cs="宋体"/>
                <w:color w:val="auto"/>
                <w:sz w:val="24"/>
                <w:highlight w:val="none"/>
              </w:rPr>
            </w:pPr>
            <w:r>
              <w:rPr>
                <w:rFonts w:hint="eastAsia" w:ascii="宋体" w:hAnsi="宋体" w:cs="宋体"/>
                <w:color w:val="auto"/>
                <w:sz w:val="24"/>
                <w:highlight w:val="none"/>
              </w:rPr>
              <w:t>或委托代理人（签字）：</w:t>
            </w:r>
          </w:p>
          <w:p w14:paraId="54DEC914">
            <w:pPr>
              <w:pStyle w:val="41"/>
              <w:spacing w:line="440" w:lineRule="exact"/>
              <w:ind w:firstLine="480"/>
              <w:rPr>
                <w:rFonts w:hAnsi="宋体" w:cs="宋体"/>
                <w:color w:val="auto"/>
                <w:sz w:val="24"/>
                <w:szCs w:val="24"/>
                <w:highlight w:val="none"/>
              </w:rPr>
            </w:pPr>
          </w:p>
          <w:p w14:paraId="089063DD">
            <w:pPr>
              <w:spacing w:line="440" w:lineRule="exact"/>
              <w:ind w:left="-170" w:right="-105" w:rightChars="-50" w:firstLine="163" w:firstLineChars="68"/>
              <w:rPr>
                <w:rFonts w:ascii="宋体" w:hAnsi="宋体" w:cs="宋体"/>
                <w:color w:val="auto"/>
                <w:sz w:val="24"/>
                <w:highlight w:val="none"/>
              </w:rPr>
            </w:pPr>
            <w:r>
              <w:rPr>
                <w:rFonts w:hint="eastAsia" w:ascii="宋体" w:hAnsi="宋体" w:cs="宋体"/>
                <w:color w:val="auto"/>
                <w:sz w:val="24"/>
                <w:highlight w:val="none"/>
              </w:rPr>
              <w:t>电 话：</w:t>
            </w:r>
          </w:p>
          <w:p w14:paraId="53CA5B33">
            <w:pPr>
              <w:spacing w:line="440" w:lineRule="exact"/>
              <w:ind w:left="-170" w:right="-105" w:rightChars="-50" w:firstLine="163" w:firstLineChars="68"/>
              <w:rPr>
                <w:rFonts w:ascii="宋体" w:hAnsi="宋体" w:cs="宋体"/>
                <w:color w:val="auto"/>
                <w:sz w:val="24"/>
                <w:highlight w:val="none"/>
              </w:rPr>
            </w:pPr>
            <w:r>
              <w:rPr>
                <w:rFonts w:hint="eastAsia" w:ascii="宋体" w:hAnsi="宋体" w:cs="宋体"/>
                <w:color w:val="auto"/>
                <w:sz w:val="24"/>
                <w:highlight w:val="none"/>
              </w:rPr>
              <w:t>开户银行：</w:t>
            </w:r>
          </w:p>
          <w:p w14:paraId="23E74EAE">
            <w:pPr>
              <w:spacing w:line="440" w:lineRule="exact"/>
              <w:ind w:left="-170" w:right="-105" w:rightChars="-50" w:firstLine="163" w:firstLineChars="68"/>
              <w:rPr>
                <w:rFonts w:ascii="宋体" w:hAnsi="宋体" w:cs="宋体"/>
                <w:color w:val="auto"/>
                <w:sz w:val="24"/>
                <w:highlight w:val="none"/>
              </w:rPr>
            </w:pPr>
            <w:r>
              <w:rPr>
                <w:rFonts w:hint="eastAsia" w:ascii="宋体" w:hAnsi="宋体" w:cs="宋体"/>
                <w:color w:val="auto"/>
                <w:sz w:val="24"/>
                <w:highlight w:val="none"/>
              </w:rPr>
              <w:t>账 号：</w:t>
            </w:r>
          </w:p>
          <w:p w14:paraId="7E53C1CD">
            <w:pPr>
              <w:spacing w:line="440" w:lineRule="exact"/>
              <w:ind w:left="-170" w:right="-105" w:rightChars="-50" w:firstLine="163" w:firstLineChars="68"/>
              <w:rPr>
                <w:rFonts w:ascii="宋体" w:hAnsi="宋体" w:cs="宋体"/>
                <w:color w:val="auto"/>
                <w:sz w:val="24"/>
                <w:highlight w:val="none"/>
              </w:rPr>
            </w:pPr>
            <w:r>
              <w:rPr>
                <w:rFonts w:hint="eastAsia" w:ascii="宋体" w:hAnsi="宋体" w:cs="宋体"/>
                <w:color w:val="auto"/>
                <w:sz w:val="24"/>
                <w:highlight w:val="none"/>
              </w:rPr>
              <w:t xml:space="preserve"> </w:t>
            </w:r>
          </w:p>
        </w:tc>
        <w:tc>
          <w:tcPr>
            <w:tcW w:w="4613" w:type="dxa"/>
            <w:tcBorders>
              <w:top w:val="single" w:color="auto" w:sz="4" w:space="0"/>
              <w:left w:val="single" w:color="auto" w:sz="4" w:space="0"/>
              <w:bottom w:val="single" w:color="auto" w:sz="4" w:space="0"/>
              <w:right w:val="single" w:color="auto" w:sz="4" w:space="0"/>
            </w:tcBorders>
          </w:tcPr>
          <w:p w14:paraId="6E3CB0DE">
            <w:pPr>
              <w:spacing w:line="440" w:lineRule="exact"/>
              <w:ind w:right="-105" w:rightChars="-50" w:firstLine="482"/>
              <w:jc w:val="center"/>
              <w:rPr>
                <w:rFonts w:ascii="宋体" w:hAnsi="宋体" w:cs="宋体"/>
                <w:b/>
                <w:bCs/>
                <w:color w:val="auto"/>
                <w:sz w:val="24"/>
                <w:highlight w:val="none"/>
              </w:rPr>
            </w:pPr>
            <w:r>
              <w:rPr>
                <w:rFonts w:hint="eastAsia" w:ascii="宋体" w:hAnsi="宋体" w:cs="宋体"/>
                <w:b/>
                <w:bCs/>
                <w:color w:val="auto"/>
                <w:sz w:val="24"/>
                <w:highlight w:val="none"/>
              </w:rPr>
              <w:t>乙  方</w:t>
            </w:r>
          </w:p>
          <w:p w14:paraId="24D3C3D2">
            <w:pPr>
              <w:spacing w:line="440" w:lineRule="exact"/>
              <w:ind w:right="-105" w:rightChars="-50"/>
              <w:rPr>
                <w:rFonts w:ascii="宋体" w:hAnsi="宋体" w:cs="宋体"/>
                <w:color w:val="auto"/>
                <w:sz w:val="24"/>
                <w:highlight w:val="none"/>
              </w:rPr>
            </w:pPr>
            <w:r>
              <w:rPr>
                <w:rFonts w:hint="eastAsia" w:ascii="宋体" w:hAnsi="宋体" w:cs="宋体"/>
                <w:color w:val="auto"/>
                <w:sz w:val="24"/>
                <w:highlight w:val="none"/>
              </w:rPr>
              <w:t>单位名称（盖章）：</w:t>
            </w:r>
            <w:r>
              <w:rPr>
                <w:rFonts w:hint="eastAsia" w:ascii="宋体" w:hAnsi="宋体"/>
                <w:b/>
                <w:bCs/>
                <w:color w:val="auto"/>
                <w:sz w:val="24"/>
                <w:highlight w:val="none"/>
              </w:rPr>
              <w:t xml:space="preserve"> </w:t>
            </w:r>
          </w:p>
          <w:p w14:paraId="1B71F655">
            <w:pPr>
              <w:spacing w:line="440" w:lineRule="exact"/>
              <w:ind w:right="-105" w:rightChars="-50"/>
              <w:rPr>
                <w:rFonts w:ascii="宋体" w:hAnsi="宋体" w:cs="宋体"/>
                <w:b/>
                <w:bCs/>
                <w:color w:val="auto"/>
                <w:sz w:val="24"/>
                <w:highlight w:val="none"/>
              </w:rPr>
            </w:pPr>
            <w:r>
              <w:rPr>
                <w:rFonts w:hint="eastAsia" w:ascii="宋体" w:hAnsi="宋体" w:cs="宋体"/>
                <w:color w:val="auto"/>
                <w:sz w:val="24"/>
                <w:highlight w:val="none"/>
              </w:rPr>
              <w:t>单位地址：</w:t>
            </w:r>
            <w:r>
              <w:rPr>
                <w:rFonts w:hint="eastAsia" w:ascii="宋体" w:hAnsi="宋体" w:cs="宋体"/>
                <w:b/>
                <w:bCs/>
                <w:color w:val="auto"/>
                <w:sz w:val="24"/>
                <w:highlight w:val="none"/>
              </w:rPr>
              <w:t xml:space="preserve"> </w:t>
            </w:r>
          </w:p>
          <w:p w14:paraId="46F22BF5">
            <w:pPr>
              <w:spacing w:line="440" w:lineRule="exact"/>
              <w:ind w:left="-170" w:right="-105" w:rightChars="-50" w:firstLine="163" w:firstLineChars="68"/>
              <w:rPr>
                <w:rFonts w:ascii="宋体" w:hAnsi="宋体" w:cs="宋体"/>
                <w:color w:val="auto"/>
                <w:sz w:val="24"/>
                <w:highlight w:val="none"/>
              </w:rPr>
            </w:pPr>
            <w:r>
              <w:rPr>
                <w:rFonts w:hint="eastAsia" w:ascii="宋体" w:hAnsi="宋体" w:cs="宋体"/>
                <w:color w:val="auto"/>
                <w:sz w:val="24"/>
                <w:highlight w:val="none"/>
              </w:rPr>
              <w:t>法定代表人或</w:t>
            </w:r>
          </w:p>
          <w:p w14:paraId="183C4369">
            <w:pPr>
              <w:spacing w:line="440" w:lineRule="exact"/>
              <w:ind w:left="-170" w:right="-105" w:rightChars="-50" w:firstLine="163" w:firstLineChars="68"/>
              <w:rPr>
                <w:rFonts w:ascii="宋体" w:hAnsi="宋体" w:cs="宋体"/>
                <w:color w:val="auto"/>
                <w:sz w:val="24"/>
                <w:highlight w:val="none"/>
              </w:rPr>
            </w:pPr>
            <w:r>
              <w:rPr>
                <w:rFonts w:hint="eastAsia" w:ascii="宋体" w:hAnsi="宋体" w:cs="宋体"/>
                <w:color w:val="auto"/>
                <w:sz w:val="24"/>
                <w:highlight w:val="none"/>
              </w:rPr>
              <w:t>委托代理人（签字）：</w:t>
            </w:r>
          </w:p>
          <w:p w14:paraId="08156050">
            <w:pPr>
              <w:pStyle w:val="41"/>
              <w:spacing w:line="440" w:lineRule="exact"/>
              <w:ind w:firstLine="480"/>
              <w:rPr>
                <w:rFonts w:hAnsi="宋体" w:cs="宋体"/>
                <w:color w:val="auto"/>
                <w:sz w:val="24"/>
                <w:szCs w:val="24"/>
                <w:highlight w:val="none"/>
              </w:rPr>
            </w:pPr>
          </w:p>
          <w:p w14:paraId="2BEA016E">
            <w:pPr>
              <w:spacing w:line="440" w:lineRule="exact"/>
              <w:ind w:left="-170" w:right="-105" w:rightChars="-50" w:firstLine="163" w:firstLineChars="68"/>
              <w:rPr>
                <w:rFonts w:ascii="宋体" w:hAnsi="宋体" w:cs="宋体"/>
                <w:color w:val="auto"/>
                <w:sz w:val="24"/>
                <w:highlight w:val="none"/>
              </w:rPr>
            </w:pPr>
            <w:r>
              <w:rPr>
                <w:rFonts w:hint="eastAsia" w:ascii="宋体" w:hAnsi="宋体" w:cs="宋体"/>
                <w:color w:val="auto"/>
                <w:sz w:val="24"/>
                <w:highlight w:val="none"/>
              </w:rPr>
              <w:t xml:space="preserve">电 话： </w:t>
            </w:r>
          </w:p>
          <w:p w14:paraId="7E98AD36">
            <w:pPr>
              <w:spacing w:line="440" w:lineRule="exact"/>
              <w:ind w:left="-170" w:right="-105" w:rightChars="-50" w:firstLine="163" w:firstLineChars="68"/>
              <w:rPr>
                <w:rFonts w:ascii="宋体" w:hAnsi="宋体" w:cs="宋体"/>
                <w:color w:val="auto"/>
                <w:sz w:val="24"/>
                <w:highlight w:val="none"/>
              </w:rPr>
            </w:pPr>
            <w:r>
              <w:rPr>
                <w:rFonts w:hint="eastAsia" w:ascii="宋体" w:hAnsi="宋体" w:cs="宋体"/>
                <w:color w:val="auto"/>
                <w:sz w:val="24"/>
                <w:highlight w:val="none"/>
              </w:rPr>
              <w:t xml:space="preserve">开户银行： </w:t>
            </w:r>
          </w:p>
          <w:p w14:paraId="1612D5B8">
            <w:pPr>
              <w:spacing w:line="440" w:lineRule="exact"/>
              <w:ind w:left="-170" w:right="-105" w:rightChars="-50" w:firstLine="163" w:firstLineChars="68"/>
              <w:rPr>
                <w:rFonts w:ascii="宋体" w:hAnsi="宋体" w:cs="宋体"/>
                <w:color w:val="auto"/>
                <w:sz w:val="24"/>
                <w:highlight w:val="none"/>
              </w:rPr>
            </w:pPr>
            <w:r>
              <w:rPr>
                <w:rFonts w:hint="eastAsia" w:ascii="宋体" w:hAnsi="宋体" w:cs="宋体"/>
                <w:color w:val="auto"/>
                <w:sz w:val="24"/>
                <w:highlight w:val="none"/>
              </w:rPr>
              <w:t xml:space="preserve">账 号： </w:t>
            </w:r>
          </w:p>
          <w:p w14:paraId="055F9A76">
            <w:pPr>
              <w:spacing w:line="440" w:lineRule="exact"/>
              <w:ind w:left="-170" w:right="-105" w:rightChars="-50" w:firstLine="146" w:firstLineChars="61"/>
              <w:rPr>
                <w:rFonts w:ascii="宋体" w:hAnsi="宋体" w:cs="宋体"/>
                <w:color w:val="auto"/>
                <w:sz w:val="24"/>
                <w:highlight w:val="none"/>
              </w:rPr>
            </w:pPr>
            <w:r>
              <w:rPr>
                <w:rFonts w:hint="eastAsia" w:ascii="宋体" w:hAnsi="宋体" w:cs="宋体"/>
                <w:color w:val="auto"/>
                <w:sz w:val="24"/>
                <w:highlight w:val="none"/>
              </w:rPr>
              <w:t xml:space="preserve"> </w:t>
            </w:r>
          </w:p>
        </w:tc>
      </w:tr>
    </w:tbl>
    <w:p w14:paraId="76F07DA5">
      <w:pPr>
        <w:spacing w:line="440" w:lineRule="exact"/>
        <w:ind w:left="-170" w:right="-105" w:rightChars="-50" w:firstLine="5440" w:firstLineChars="2267"/>
        <w:rPr>
          <w:rFonts w:ascii="宋体" w:hAnsi="宋体" w:cs="宋体"/>
          <w:color w:val="auto"/>
          <w:sz w:val="24"/>
          <w:highlight w:val="none"/>
        </w:rPr>
      </w:pPr>
    </w:p>
    <w:p w14:paraId="5481B546">
      <w:pPr>
        <w:spacing w:line="440" w:lineRule="exact"/>
        <w:ind w:left="-170" w:right="-105" w:rightChars="-50" w:firstLine="5440" w:firstLineChars="2267"/>
        <w:rPr>
          <w:rFonts w:ascii="宋体" w:hAnsi="宋体" w:cs="宋体"/>
          <w:color w:val="auto"/>
          <w:sz w:val="24"/>
          <w:highlight w:val="none"/>
        </w:rPr>
      </w:pPr>
      <w:r>
        <w:rPr>
          <w:rFonts w:hint="eastAsia" w:ascii="宋体" w:hAnsi="宋体" w:cs="宋体"/>
          <w:color w:val="auto"/>
          <w:sz w:val="24"/>
          <w:highlight w:val="none"/>
        </w:rPr>
        <w:t>合同签订日期：    年    月    日</w:t>
      </w:r>
    </w:p>
    <w:p w14:paraId="44AA5D8A">
      <w:pPr>
        <w:spacing w:line="440" w:lineRule="exact"/>
        <w:ind w:left="-170" w:right="-105" w:rightChars="-50" w:firstLine="163" w:firstLineChars="68"/>
        <w:rPr>
          <w:rFonts w:ascii="宋体" w:hAnsi="宋体" w:cs="宋体"/>
          <w:color w:val="auto"/>
          <w:sz w:val="24"/>
          <w:highlight w:val="none"/>
        </w:rPr>
      </w:pPr>
    </w:p>
    <w:p w14:paraId="5F8D0F8F">
      <w:pPr>
        <w:spacing w:line="440" w:lineRule="exact"/>
        <w:ind w:left="-170" w:right="-105" w:rightChars="-50" w:firstLine="2320" w:firstLineChars="967"/>
        <w:rPr>
          <w:rFonts w:ascii="宋体" w:hAnsi="宋体" w:cs="宋体"/>
          <w:color w:val="auto"/>
          <w:sz w:val="24"/>
          <w:highlight w:val="none"/>
        </w:rPr>
      </w:pPr>
    </w:p>
    <w:p w14:paraId="5D6D715B">
      <w:pPr>
        <w:spacing w:line="440" w:lineRule="exact"/>
        <w:ind w:left="-170" w:right="-105" w:rightChars="-50" w:firstLine="5440" w:firstLineChars="2267"/>
        <w:rPr>
          <w:rFonts w:ascii="宋体" w:hAnsi="宋体" w:cs="宋体"/>
          <w:color w:val="auto"/>
          <w:sz w:val="24"/>
          <w:highlight w:val="none"/>
        </w:rPr>
      </w:pPr>
      <w:r>
        <w:rPr>
          <w:rFonts w:hint="eastAsia" w:ascii="宋体" w:hAnsi="宋体" w:cs="宋体"/>
          <w:color w:val="auto"/>
          <w:sz w:val="24"/>
          <w:highlight w:val="none"/>
        </w:rPr>
        <w:t>合同鉴证方：</w:t>
      </w:r>
    </w:p>
    <w:p w14:paraId="5CA378D0">
      <w:pPr>
        <w:pStyle w:val="41"/>
        <w:rPr>
          <w:color w:val="auto"/>
          <w:highlight w:val="none"/>
        </w:rPr>
      </w:pPr>
    </w:p>
    <w:p w14:paraId="16744EC5">
      <w:pPr>
        <w:spacing w:line="440" w:lineRule="exact"/>
        <w:ind w:left="-170" w:right="-105" w:rightChars="-50" w:firstLine="5440" w:firstLineChars="2267"/>
        <w:rPr>
          <w:rFonts w:ascii="宋体" w:hAnsi="宋体" w:cs="宋体"/>
          <w:color w:val="auto"/>
          <w:sz w:val="24"/>
          <w:highlight w:val="none"/>
        </w:rPr>
      </w:pPr>
      <w:r>
        <w:rPr>
          <w:rFonts w:hint="eastAsia" w:ascii="宋体" w:hAnsi="宋体" w:cs="宋体"/>
          <w:color w:val="auto"/>
          <w:sz w:val="24"/>
          <w:highlight w:val="none"/>
        </w:rPr>
        <w:t>法定（授权）代表人或主要负责人：</w:t>
      </w:r>
    </w:p>
    <w:p w14:paraId="2CAA4BA4">
      <w:pPr>
        <w:pStyle w:val="41"/>
        <w:rPr>
          <w:color w:val="auto"/>
          <w:highlight w:val="none"/>
        </w:rPr>
      </w:pPr>
    </w:p>
    <w:p w14:paraId="6687F99D">
      <w:pPr>
        <w:spacing w:line="440" w:lineRule="exact"/>
        <w:ind w:left="-170" w:right="-105" w:rightChars="-50" w:firstLine="5440" w:firstLineChars="2267"/>
        <w:rPr>
          <w:rFonts w:ascii="宋体" w:hAnsi="宋体" w:cs="宋体"/>
          <w:color w:val="auto"/>
          <w:sz w:val="24"/>
          <w:highlight w:val="none"/>
        </w:rPr>
      </w:pPr>
      <w:r>
        <w:rPr>
          <w:rFonts w:hint="eastAsia" w:ascii="宋体" w:hAnsi="宋体" w:cs="宋体"/>
          <w:color w:val="auto"/>
          <w:sz w:val="24"/>
          <w:highlight w:val="none"/>
        </w:rPr>
        <w:t>签证日期：     年  月  日</w:t>
      </w:r>
    </w:p>
    <w:p w14:paraId="156BE974">
      <w:pPr>
        <w:spacing w:line="440" w:lineRule="exact"/>
        <w:ind w:left="-170" w:right="-105" w:rightChars="-50" w:firstLine="5440" w:firstLineChars="2267"/>
        <w:rPr>
          <w:rFonts w:ascii="宋体" w:hAnsi="宋体" w:cs="宋体"/>
          <w:color w:val="auto"/>
          <w:sz w:val="24"/>
          <w:highlight w:val="none"/>
        </w:rPr>
      </w:pPr>
      <w:r>
        <w:rPr>
          <w:rFonts w:hint="eastAsia" w:ascii="宋体" w:hAnsi="宋体" w:cs="宋体"/>
          <w:color w:val="auto"/>
          <w:sz w:val="24"/>
          <w:highlight w:val="none"/>
        </w:rPr>
        <w:t xml:space="preserve"> </w:t>
      </w:r>
    </w:p>
    <w:p w14:paraId="11D33AB6">
      <w:pPr>
        <w:snapToGrid w:val="0"/>
        <w:spacing w:line="440" w:lineRule="exact"/>
        <w:ind w:firstLine="480" w:firstLineChars="200"/>
        <w:rPr>
          <w:rFonts w:ascii="宋体" w:hAnsi="宋体"/>
          <w:color w:val="auto"/>
          <w:sz w:val="24"/>
          <w:highlight w:val="none"/>
        </w:rPr>
      </w:pPr>
    </w:p>
    <w:p w14:paraId="4607C381">
      <w:pPr>
        <w:autoSpaceDE w:val="0"/>
        <w:autoSpaceDN w:val="0"/>
        <w:adjustRightInd w:val="0"/>
        <w:spacing w:line="580" w:lineRule="exact"/>
        <w:ind w:firstLine="600"/>
        <w:jc w:val="left"/>
        <w:rPr>
          <w:rFonts w:ascii="黑体" w:hAnsi="宋体" w:eastAsia="黑体"/>
          <w:color w:val="auto"/>
          <w:sz w:val="30"/>
          <w:szCs w:val="30"/>
          <w:highlight w:val="none"/>
        </w:rPr>
      </w:pPr>
      <w:r>
        <w:rPr>
          <w:rFonts w:ascii="黑体" w:hAnsi="宋体" w:eastAsia="黑体"/>
          <w:color w:val="auto"/>
          <w:sz w:val="30"/>
          <w:szCs w:val="30"/>
          <w:highlight w:val="none"/>
        </w:rPr>
        <w:br w:type="page"/>
      </w:r>
    </w:p>
    <w:p w14:paraId="0FC8CB3A">
      <w:pPr>
        <w:pStyle w:val="24"/>
        <w:tabs>
          <w:tab w:val="left" w:pos="2472"/>
        </w:tabs>
        <w:snapToGrid w:val="0"/>
        <w:spacing w:beforeLines="0" w:afterLines="0" w:line="240" w:lineRule="auto"/>
        <w:jc w:val="center"/>
        <w:rPr>
          <w:rFonts w:hint="default" w:ascii="黑体" w:hAnsi="宋体" w:eastAsia="黑体"/>
          <w:color w:val="auto"/>
          <w:sz w:val="30"/>
          <w:szCs w:val="30"/>
          <w:highlight w:val="none"/>
        </w:rPr>
      </w:pPr>
      <w:r>
        <w:rPr>
          <w:rFonts w:ascii="黑体" w:hAnsi="宋体" w:eastAsia="黑体"/>
          <w:color w:val="auto"/>
          <w:sz w:val="30"/>
          <w:szCs w:val="30"/>
          <w:highlight w:val="none"/>
        </w:rPr>
        <w:t>第七章　 投标文件格式</w:t>
      </w:r>
    </w:p>
    <w:p w14:paraId="34455BE5">
      <w:pPr>
        <w:pStyle w:val="24"/>
        <w:tabs>
          <w:tab w:val="left" w:pos="2472"/>
        </w:tabs>
        <w:snapToGrid w:val="0"/>
        <w:spacing w:beforeLines="0" w:afterLines="0" w:line="240" w:lineRule="auto"/>
        <w:ind w:firstLine="450" w:firstLineChars="150"/>
        <w:rPr>
          <w:rFonts w:hint="default" w:ascii="黑体" w:hAnsi="宋体" w:eastAsia="黑体"/>
          <w:color w:val="auto"/>
          <w:sz w:val="30"/>
          <w:szCs w:val="30"/>
          <w:highlight w:val="none"/>
        </w:rPr>
      </w:pPr>
      <w:r>
        <w:rPr>
          <w:rFonts w:ascii="黑体" w:hAnsi="宋体" w:eastAsia="黑体"/>
          <w:color w:val="auto"/>
          <w:sz w:val="30"/>
          <w:szCs w:val="30"/>
          <w:highlight w:val="none"/>
        </w:rPr>
        <w:t xml:space="preserve"> </w:t>
      </w:r>
    </w:p>
    <w:p w14:paraId="2DF38902">
      <w:pPr>
        <w:pStyle w:val="24"/>
        <w:snapToGrid w:val="0"/>
        <w:spacing w:beforeLines="0" w:afterLines="0" w:line="240" w:lineRule="auto"/>
        <w:ind w:firstLine="562"/>
        <w:outlineLvl w:val="0"/>
        <w:rPr>
          <w:rFonts w:hint="default"/>
          <w:b/>
          <w:bCs/>
          <w:color w:val="auto"/>
          <w:sz w:val="28"/>
          <w:highlight w:val="none"/>
        </w:rPr>
      </w:pPr>
      <w:r>
        <w:rPr>
          <w:b/>
          <w:bCs/>
          <w:color w:val="auto"/>
          <w:sz w:val="28"/>
          <w:szCs w:val="28"/>
          <w:highlight w:val="none"/>
        </w:rPr>
        <w:t xml:space="preserve">第一部分、资格文件 </w:t>
      </w:r>
    </w:p>
    <w:p w14:paraId="0293E83F">
      <w:pPr>
        <w:shd w:val="clear" w:color="auto" w:fill="FFFFFF"/>
        <w:snapToGrid w:val="0"/>
        <w:spacing w:after="50"/>
        <w:rPr>
          <w:rFonts w:ascii="宋体" w:hAnsi="宋体"/>
          <w:b/>
          <w:bCs/>
          <w:color w:val="auto"/>
          <w:sz w:val="32"/>
          <w:szCs w:val="20"/>
          <w:highlight w:val="none"/>
        </w:rPr>
      </w:pPr>
      <w:r>
        <w:rPr>
          <w:rFonts w:hint="eastAsia" w:ascii="宋体" w:hAnsi="宋体"/>
          <w:color w:val="auto"/>
          <w:sz w:val="24"/>
          <w:highlight w:val="none"/>
        </w:rPr>
        <w:t xml:space="preserve">                                                             </w:t>
      </w:r>
      <w:r>
        <w:rPr>
          <w:rFonts w:hint="eastAsia" w:ascii="宋体" w:hAnsi="宋体"/>
          <w:color w:val="auto"/>
          <w:sz w:val="28"/>
          <w:szCs w:val="28"/>
          <w:highlight w:val="none"/>
        </w:rPr>
        <w:t>（正本）</w:t>
      </w:r>
    </w:p>
    <w:p w14:paraId="66E0B739">
      <w:pPr>
        <w:shd w:val="clear" w:color="auto" w:fill="FFFFFF"/>
        <w:snapToGrid w:val="0"/>
        <w:spacing w:after="50"/>
        <w:ind w:firstLine="482"/>
        <w:rPr>
          <w:rFonts w:ascii="宋体" w:hAnsi="宋体"/>
          <w:b/>
          <w:color w:val="auto"/>
          <w:sz w:val="24"/>
          <w:szCs w:val="20"/>
          <w:highlight w:val="none"/>
        </w:rPr>
      </w:pPr>
      <w:r>
        <w:rPr>
          <w:rFonts w:hint="eastAsia" w:ascii="宋体" w:hAnsi="宋体"/>
          <w:b/>
          <w:color w:val="auto"/>
          <w:sz w:val="24"/>
          <w:szCs w:val="20"/>
          <w:highlight w:val="none"/>
        </w:rPr>
        <w:t> </w:t>
      </w:r>
    </w:p>
    <w:p w14:paraId="417C73F3">
      <w:pPr>
        <w:shd w:val="clear" w:color="auto" w:fill="FFFFFF"/>
        <w:snapToGrid w:val="0"/>
        <w:spacing w:after="50"/>
        <w:ind w:firstLine="482"/>
        <w:rPr>
          <w:rFonts w:ascii="宋体" w:hAnsi="宋体"/>
          <w:b/>
          <w:color w:val="auto"/>
          <w:sz w:val="24"/>
          <w:szCs w:val="20"/>
          <w:highlight w:val="none"/>
        </w:rPr>
      </w:pPr>
    </w:p>
    <w:p w14:paraId="0D809827">
      <w:pPr>
        <w:spacing w:before="120" w:beforeLines="50" w:line="360" w:lineRule="auto"/>
        <w:jc w:val="center"/>
        <w:rPr>
          <w:rFonts w:hint="eastAsia" w:ascii="宋体" w:hAnsi="宋体" w:eastAsia="宋体"/>
          <w:b/>
          <w:color w:val="auto"/>
          <w:sz w:val="52"/>
          <w:szCs w:val="52"/>
          <w:highlight w:val="none"/>
          <w:lang w:eastAsia="zh-CN"/>
        </w:rPr>
      </w:pPr>
      <w:r>
        <w:rPr>
          <w:rFonts w:hint="eastAsia" w:ascii="宋体" w:hAnsi="宋体"/>
          <w:b/>
          <w:color w:val="auto"/>
          <w:sz w:val="52"/>
          <w:szCs w:val="52"/>
          <w:highlight w:val="none"/>
          <w:lang w:eastAsia="zh-CN"/>
        </w:rPr>
        <w:t>金华市博物馆邵飘萍旧居展陈提升项目</w:t>
      </w:r>
    </w:p>
    <w:p w14:paraId="75D68A59">
      <w:pPr>
        <w:pStyle w:val="12"/>
        <w:ind w:firstLine="480"/>
        <w:rPr>
          <w:color w:val="auto"/>
          <w:highlight w:val="none"/>
        </w:rPr>
      </w:pPr>
    </w:p>
    <w:p w14:paraId="0B02A4D5">
      <w:pPr>
        <w:shd w:val="clear" w:color="auto" w:fill="FFFFFF"/>
        <w:snapToGrid w:val="0"/>
        <w:spacing w:after="50"/>
        <w:ind w:firstLine="803"/>
        <w:jc w:val="center"/>
        <w:rPr>
          <w:rFonts w:ascii="宋体" w:hAnsi="宋体" w:cs="宋体"/>
          <w:b/>
          <w:color w:val="auto"/>
          <w:sz w:val="40"/>
          <w:szCs w:val="40"/>
          <w:highlight w:val="none"/>
          <w:shd w:val="clear" w:color="auto" w:fill="FFFFFF"/>
        </w:rPr>
      </w:pPr>
    </w:p>
    <w:p w14:paraId="2CF671F6">
      <w:pPr>
        <w:shd w:val="clear" w:color="auto" w:fill="FFFFFF"/>
        <w:snapToGrid w:val="0"/>
        <w:spacing w:after="50"/>
        <w:jc w:val="center"/>
        <w:rPr>
          <w:rFonts w:ascii="宋体" w:hAnsi="宋体" w:cs="宋体"/>
          <w:b/>
          <w:color w:val="auto"/>
          <w:sz w:val="72"/>
          <w:szCs w:val="72"/>
          <w:highlight w:val="none"/>
          <w:shd w:val="clear" w:color="auto" w:fill="FFFFFF"/>
        </w:rPr>
      </w:pPr>
      <w:r>
        <w:rPr>
          <w:rFonts w:hint="eastAsia" w:ascii="宋体" w:hAnsi="宋体" w:cs="宋体"/>
          <w:b/>
          <w:color w:val="auto"/>
          <w:sz w:val="72"/>
          <w:szCs w:val="72"/>
          <w:highlight w:val="none"/>
          <w:shd w:val="clear" w:color="auto" w:fill="FFFFFF"/>
        </w:rPr>
        <w:t>投 标 文 件</w:t>
      </w:r>
    </w:p>
    <w:p w14:paraId="7EDFAA5F">
      <w:pPr>
        <w:shd w:val="clear" w:color="auto" w:fill="FFFFFF"/>
        <w:snapToGrid w:val="0"/>
        <w:spacing w:after="50"/>
        <w:jc w:val="center"/>
        <w:rPr>
          <w:rFonts w:ascii="宋体" w:hAnsi="宋体" w:cs="宋体"/>
          <w:b/>
          <w:color w:val="auto"/>
          <w:sz w:val="52"/>
          <w:szCs w:val="52"/>
          <w:highlight w:val="none"/>
          <w:shd w:val="clear" w:color="auto" w:fill="FFFFFF"/>
        </w:rPr>
      </w:pPr>
    </w:p>
    <w:p w14:paraId="1EDA14AB">
      <w:pPr>
        <w:shd w:val="clear" w:color="auto" w:fill="FFFFFF"/>
        <w:snapToGrid w:val="0"/>
        <w:spacing w:after="50"/>
        <w:jc w:val="center"/>
        <w:rPr>
          <w:rFonts w:ascii="宋体" w:hAnsi="宋体" w:cs="宋体"/>
          <w:b/>
          <w:color w:val="auto"/>
          <w:sz w:val="52"/>
          <w:szCs w:val="52"/>
          <w:highlight w:val="none"/>
          <w:shd w:val="clear" w:color="auto" w:fill="FFFFFF"/>
        </w:rPr>
      </w:pPr>
      <w:r>
        <w:rPr>
          <w:rFonts w:hint="eastAsia" w:ascii="宋体" w:hAnsi="宋体" w:cs="宋体"/>
          <w:b/>
          <w:color w:val="auto"/>
          <w:sz w:val="52"/>
          <w:szCs w:val="52"/>
          <w:highlight w:val="none"/>
          <w:shd w:val="clear" w:color="auto" w:fill="FFFFFF"/>
        </w:rPr>
        <w:t>（资格文件）</w:t>
      </w:r>
    </w:p>
    <w:p w14:paraId="2B0A64F7">
      <w:pPr>
        <w:shd w:val="clear" w:color="auto" w:fill="FFFFFF"/>
        <w:snapToGrid w:val="0"/>
        <w:spacing w:after="50"/>
        <w:ind w:firstLine="883"/>
        <w:jc w:val="center"/>
        <w:rPr>
          <w:rFonts w:ascii="宋体" w:hAnsi="宋体"/>
          <w:b/>
          <w:color w:val="auto"/>
          <w:sz w:val="44"/>
          <w:szCs w:val="44"/>
          <w:highlight w:val="none"/>
        </w:rPr>
      </w:pPr>
    </w:p>
    <w:p w14:paraId="47484246">
      <w:pPr>
        <w:pStyle w:val="4"/>
        <w:rPr>
          <w:rFonts w:ascii="宋体" w:hAnsi="宋体"/>
          <w:b/>
          <w:color w:val="auto"/>
          <w:sz w:val="44"/>
          <w:szCs w:val="44"/>
          <w:highlight w:val="none"/>
        </w:rPr>
      </w:pPr>
    </w:p>
    <w:p w14:paraId="6BBFE080">
      <w:pPr>
        <w:rPr>
          <w:rFonts w:ascii="宋体" w:hAnsi="宋体"/>
          <w:b/>
          <w:color w:val="auto"/>
          <w:sz w:val="44"/>
          <w:szCs w:val="44"/>
          <w:highlight w:val="none"/>
        </w:rPr>
      </w:pPr>
    </w:p>
    <w:p w14:paraId="0C5AB2F6">
      <w:pPr>
        <w:pStyle w:val="4"/>
        <w:rPr>
          <w:color w:val="auto"/>
          <w:highlight w:val="none"/>
        </w:rPr>
      </w:pPr>
    </w:p>
    <w:p w14:paraId="48B9AC13">
      <w:pPr>
        <w:shd w:val="clear" w:color="auto" w:fill="FFFFFF"/>
        <w:snapToGrid w:val="0"/>
        <w:spacing w:after="50"/>
        <w:jc w:val="center"/>
        <w:rPr>
          <w:rFonts w:ascii="宋体" w:hAnsi="宋体"/>
          <w:bCs/>
          <w:color w:val="auto"/>
          <w:sz w:val="24"/>
          <w:highlight w:val="none"/>
        </w:rPr>
      </w:pPr>
    </w:p>
    <w:p w14:paraId="30088572">
      <w:pPr>
        <w:shd w:val="clear" w:color="auto" w:fill="FFFFFF"/>
        <w:snapToGrid w:val="0"/>
        <w:spacing w:after="50"/>
        <w:ind w:firstLine="900" w:firstLineChars="300"/>
        <w:rPr>
          <w:rFonts w:hint="eastAsia" w:ascii="宋体" w:hAnsi="宋体" w:eastAsia="宋体"/>
          <w:bCs/>
          <w:color w:val="auto"/>
          <w:sz w:val="30"/>
          <w:szCs w:val="30"/>
          <w:highlight w:val="none"/>
          <w:lang w:eastAsia="zh-CN"/>
        </w:rPr>
      </w:pPr>
      <w:r>
        <w:rPr>
          <w:rFonts w:hint="eastAsia" w:ascii="宋体" w:hAnsi="宋体"/>
          <w:bCs/>
          <w:color w:val="auto"/>
          <w:sz w:val="30"/>
          <w:szCs w:val="30"/>
          <w:highlight w:val="none"/>
        </w:rPr>
        <w:t>项目编号：</w:t>
      </w:r>
      <w:r>
        <w:rPr>
          <w:rFonts w:hint="eastAsia" w:ascii="宋体" w:hAnsi="宋体"/>
          <w:bCs/>
          <w:color w:val="auto"/>
          <w:sz w:val="30"/>
          <w:szCs w:val="30"/>
          <w:highlight w:val="none"/>
          <w:lang w:eastAsia="zh-CN"/>
        </w:rPr>
        <w:t>WQ2024272-ZFCG072</w:t>
      </w:r>
    </w:p>
    <w:p w14:paraId="2137F5AC">
      <w:pPr>
        <w:shd w:val="clear" w:color="auto" w:fill="FFFFFF"/>
        <w:snapToGrid w:val="0"/>
        <w:spacing w:after="50"/>
        <w:ind w:firstLine="900" w:firstLineChars="300"/>
        <w:rPr>
          <w:rFonts w:ascii="宋体" w:hAnsi="宋体"/>
          <w:bCs/>
          <w:color w:val="auto"/>
          <w:sz w:val="30"/>
          <w:szCs w:val="30"/>
          <w:highlight w:val="none"/>
        </w:rPr>
      </w:pPr>
      <w:r>
        <w:rPr>
          <w:rFonts w:hint="eastAsia" w:ascii="宋体" w:hAnsi="宋体"/>
          <w:bCs/>
          <w:color w:val="auto"/>
          <w:sz w:val="30"/>
          <w:szCs w:val="30"/>
          <w:highlight w:val="none"/>
        </w:rPr>
        <w:t>供应商名称（电子签章/公章）：</w:t>
      </w:r>
    </w:p>
    <w:p w14:paraId="4687C055">
      <w:pPr>
        <w:shd w:val="clear" w:color="auto" w:fill="FFFFFF"/>
        <w:snapToGrid w:val="0"/>
        <w:spacing w:after="50"/>
        <w:ind w:firstLine="900" w:firstLineChars="300"/>
        <w:rPr>
          <w:rFonts w:ascii="宋体" w:hAnsi="宋体"/>
          <w:bCs/>
          <w:color w:val="auto"/>
          <w:sz w:val="30"/>
          <w:szCs w:val="30"/>
          <w:highlight w:val="none"/>
        </w:rPr>
      </w:pPr>
      <w:r>
        <w:rPr>
          <w:rFonts w:hint="eastAsia" w:ascii="宋体" w:hAnsi="宋体"/>
          <w:bCs/>
          <w:color w:val="auto"/>
          <w:sz w:val="30"/>
          <w:szCs w:val="30"/>
          <w:highlight w:val="none"/>
        </w:rPr>
        <w:t>投标人地址：</w:t>
      </w:r>
    </w:p>
    <w:p w14:paraId="11799668">
      <w:pPr>
        <w:shd w:val="clear" w:color="auto" w:fill="FFFFFF"/>
        <w:snapToGrid w:val="0"/>
        <w:spacing w:after="50"/>
        <w:ind w:firstLine="900" w:firstLineChars="300"/>
        <w:rPr>
          <w:rFonts w:ascii="宋体" w:hAnsi="宋体"/>
          <w:bCs/>
          <w:color w:val="auto"/>
          <w:sz w:val="30"/>
          <w:szCs w:val="30"/>
          <w:highlight w:val="none"/>
        </w:rPr>
      </w:pPr>
      <w:r>
        <w:rPr>
          <w:rFonts w:hint="eastAsia" w:ascii="宋体" w:hAnsi="宋体"/>
          <w:bCs/>
          <w:color w:val="auto"/>
          <w:sz w:val="30"/>
          <w:szCs w:val="30"/>
          <w:highlight w:val="none"/>
        </w:rPr>
        <w:t>联系电话：</w:t>
      </w:r>
    </w:p>
    <w:p w14:paraId="2D8A0C42">
      <w:pPr>
        <w:shd w:val="clear" w:color="auto" w:fill="FFFFFF"/>
        <w:snapToGrid w:val="0"/>
        <w:spacing w:after="50"/>
        <w:ind w:firstLine="900" w:firstLineChars="300"/>
        <w:rPr>
          <w:rFonts w:ascii="宋体" w:hAnsi="宋体"/>
          <w:bCs/>
          <w:color w:val="auto"/>
          <w:sz w:val="30"/>
          <w:szCs w:val="30"/>
          <w:highlight w:val="none"/>
        </w:rPr>
      </w:pPr>
    </w:p>
    <w:p w14:paraId="67E87F2E">
      <w:pPr>
        <w:shd w:val="clear" w:color="auto" w:fill="FFFFFF"/>
        <w:snapToGrid w:val="0"/>
        <w:spacing w:after="50"/>
        <w:ind w:firstLine="5100" w:firstLineChars="1700"/>
        <w:rPr>
          <w:rFonts w:ascii="宋体" w:hAnsi="宋体"/>
          <w:color w:val="auto"/>
          <w:sz w:val="28"/>
          <w:szCs w:val="21"/>
          <w:highlight w:val="none"/>
        </w:rPr>
      </w:pPr>
      <w:r>
        <w:rPr>
          <w:rFonts w:hint="eastAsia" w:ascii="宋体" w:hAnsi="宋体"/>
          <w:bCs/>
          <w:color w:val="auto"/>
          <w:sz w:val="30"/>
          <w:szCs w:val="30"/>
          <w:highlight w:val="none"/>
        </w:rPr>
        <w:t xml:space="preserve"> </w:t>
      </w:r>
    </w:p>
    <w:p w14:paraId="3E3AD105">
      <w:pPr>
        <w:shd w:val="clear" w:color="auto" w:fill="FFFFFF"/>
        <w:snapToGrid w:val="0"/>
        <w:spacing w:after="50"/>
        <w:ind w:firstLine="560"/>
        <w:jc w:val="right"/>
        <w:rPr>
          <w:rFonts w:ascii="宋体" w:hAnsi="宋体"/>
          <w:color w:val="auto"/>
          <w:sz w:val="28"/>
          <w:szCs w:val="21"/>
          <w:highlight w:val="none"/>
        </w:rPr>
      </w:pPr>
      <w:r>
        <w:rPr>
          <w:rFonts w:hint="eastAsia" w:ascii="宋体" w:hAnsi="宋体"/>
          <w:color w:val="auto"/>
          <w:sz w:val="28"/>
          <w:szCs w:val="28"/>
          <w:highlight w:val="none"/>
        </w:rPr>
        <w:t xml:space="preserve">    年  月  日</w:t>
      </w:r>
    </w:p>
    <w:p w14:paraId="6C90F0D2">
      <w:pPr>
        <w:snapToGrid w:val="0"/>
        <w:spacing w:before="50" w:after="156"/>
        <w:ind w:firstLine="602"/>
        <w:jc w:val="left"/>
        <w:rPr>
          <w:rFonts w:ascii="宋体" w:hAnsi="宋体"/>
          <w:b/>
          <w:color w:val="auto"/>
          <w:sz w:val="30"/>
          <w:highlight w:val="none"/>
        </w:rPr>
      </w:pPr>
      <w:r>
        <w:rPr>
          <w:rFonts w:ascii="宋体" w:hAnsi="宋体"/>
          <w:b/>
          <w:color w:val="auto"/>
          <w:sz w:val="30"/>
          <w:highlight w:val="none"/>
        </w:rPr>
        <w:br w:type="page"/>
      </w:r>
    </w:p>
    <w:p w14:paraId="58236C22">
      <w:pPr>
        <w:snapToGrid w:val="0"/>
        <w:spacing w:before="50" w:after="156" w:line="360" w:lineRule="auto"/>
        <w:ind w:firstLine="482"/>
        <w:jc w:val="left"/>
        <w:rPr>
          <w:rFonts w:ascii="宋体" w:hAnsi="宋体" w:cs="Courier New"/>
          <w:b/>
          <w:color w:val="auto"/>
          <w:sz w:val="24"/>
          <w:highlight w:val="none"/>
        </w:rPr>
      </w:pPr>
      <w:r>
        <w:rPr>
          <w:rFonts w:hint="eastAsia" w:ascii="宋体" w:hAnsi="宋体"/>
          <w:b/>
          <w:color w:val="auto"/>
          <w:sz w:val="24"/>
          <w:highlight w:val="none"/>
        </w:rPr>
        <w:t>一、</w:t>
      </w:r>
      <w:r>
        <w:rPr>
          <w:rFonts w:hint="eastAsia" w:ascii="宋体" w:hAnsi="宋体" w:cs="Courier New"/>
          <w:b/>
          <w:color w:val="auto"/>
          <w:sz w:val="24"/>
          <w:highlight w:val="none"/>
        </w:rPr>
        <w:t>满足《中华人民共和国政府采购法》第二十二条规定的资料：</w:t>
      </w:r>
    </w:p>
    <w:p w14:paraId="31E1243C">
      <w:pPr>
        <w:snapToGrid w:val="0"/>
        <w:spacing w:before="50" w:after="156" w:line="360" w:lineRule="auto"/>
        <w:ind w:firstLine="482"/>
        <w:jc w:val="left"/>
        <w:rPr>
          <w:rFonts w:ascii="宋体" w:hAnsi="宋体" w:cs="Courier New"/>
          <w:b/>
          <w:color w:val="auto"/>
          <w:sz w:val="24"/>
          <w:highlight w:val="none"/>
        </w:rPr>
      </w:pPr>
      <w:r>
        <w:rPr>
          <w:rFonts w:hint="eastAsia" w:ascii="宋体" w:hAnsi="宋体" w:cs="Courier New"/>
          <w:b/>
          <w:color w:val="auto"/>
          <w:sz w:val="24"/>
          <w:highlight w:val="none"/>
        </w:rPr>
        <w:t>1.营业执照（或法人登记证书，自然人身份证明）复印件</w:t>
      </w:r>
    </w:p>
    <w:p w14:paraId="6F361AAC">
      <w:pPr>
        <w:snapToGrid w:val="0"/>
        <w:spacing w:line="360" w:lineRule="auto"/>
        <w:ind w:firstLine="482"/>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注：</w:t>
      </w:r>
      <w:r>
        <w:rPr>
          <w:rFonts w:hint="eastAsia" w:ascii="宋体" w:hAnsi="宋体" w:cs="宋体"/>
          <w:color w:val="auto"/>
          <w:sz w:val="24"/>
          <w:highlight w:val="none"/>
        </w:rPr>
        <w:t>根据《浙江省财政厅关于规范政府采购供应商资格设定及资格审查的通知》（浙财采监[2013]24号）第6条规定</w:t>
      </w:r>
      <w:r>
        <w:rPr>
          <w:rFonts w:hint="eastAsia" w:ascii="宋体" w:hAnsi="宋体" w:cs="宋体"/>
          <w:color w:val="auto"/>
          <w:sz w:val="24"/>
          <w:highlight w:val="none"/>
          <w:lang w:eastAsia="zh-CN"/>
        </w:rPr>
        <w:t>，</w:t>
      </w:r>
      <w:r>
        <w:rPr>
          <w:rFonts w:hint="eastAsia" w:ascii="宋体" w:hAnsi="宋体" w:cs="宋体"/>
          <w:color w:val="auto"/>
          <w:sz w:val="24"/>
          <w:highlight w:val="none"/>
        </w:rPr>
        <w:t>金融、保险、通讯等特定行业的全国性企业所设立的区域性分支机构，以及个体工商户、个人独资企业、合伙企业，且已经依法办理了工商、税务和社保登记手续，并</w:t>
      </w:r>
      <w:r>
        <w:rPr>
          <w:rFonts w:hint="eastAsia" w:ascii="宋体" w:hAnsi="宋体" w:cs="宋体"/>
          <w:b/>
          <w:bCs/>
          <w:color w:val="auto"/>
          <w:sz w:val="24"/>
          <w:highlight w:val="none"/>
        </w:rPr>
        <w:t>且获得总机构授权或能够提供房产权证或其他有效财产证明材料，证明其具备实际承担责任的能力和法定的缔结合同能力</w:t>
      </w:r>
      <w:r>
        <w:rPr>
          <w:rFonts w:hint="eastAsia" w:ascii="宋体" w:hAnsi="宋体" w:cs="宋体"/>
          <w:b/>
          <w:bCs/>
          <w:color w:val="auto"/>
          <w:sz w:val="24"/>
          <w:highlight w:val="none"/>
          <w:lang w:eastAsia="zh-CN"/>
        </w:rPr>
        <w:t>，</w:t>
      </w:r>
      <w:r>
        <w:rPr>
          <w:rFonts w:hint="eastAsia" w:ascii="宋体" w:hAnsi="宋体" w:cs="宋体"/>
          <w:color w:val="auto"/>
          <w:sz w:val="24"/>
          <w:highlight w:val="none"/>
          <w:lang w:eastAsia="zh-CN"/>
        </w:rPr>
        <w:t>可以允许其独立参加政府采购活动</w:t>
      </w:r>
      <w:r>
        <w:rPr>
          <w:rFonts w:hint="eastAsia" w:ascii="宋体" w:hAnsi="宋体" w:cs="宋体"/>
          <w:color w:val="auto"/>
          <w:sz w:val="24"/>
          <w:highlight w:val="none"/>
        </w:rPr>
        <w:t>，由单位负责人签署相关文件材料</w:t>
      </w:r>
      <w:r>
        <w:rPr>
          <w:rFonts w:hint="eastAsia" w:ascii="宋体" w:hAnsi="宋体" w:cs="宋体"/>
          <w:color w:val="auto"/>
          <w:sz w:val="24"/>
          <w:highlight w:val="none"/>
          <w:lang w:eastAsia="zh-CN"/>
        </w:rPr>
        <w:t>。</w:t>
      </w:r>
    </w:p>
    <w:p w14:paraId="4E07F23F">
      <w:pPr>
        <w:snapToGrid w:val="0"/>
        <w:spacing w:line="360" w:lineRule="auto"/>
        <w:ind w:firstLine="482"/>
        <w:rPr>
          <w:rFonts w:hint="eastAsia" w:ascii="宋体" w:hAnsi="宋体" w:cs="宋体"/>
          <w:color w:val="auto"/>
          <w:sz w:val="24"/>
          <w:highlight w:val="none"/>
          <w:lang w:eastAsia="zh-CN"/>
        </w:rPr>
      </w:pPr>
    </w:p>
    <w:p w14:paraId="01D0F77D">
      <w:pPr>
        <w:rPr>
          <w:rFonts w:hint="eastAsia" w:ascii="宋体" w:hAnsi="宋体" w:cs="Courier New"/>
          <w:b/>
          <w:bCs/>
          <w:color w:val="auto"/>
          <w:kern w:val="0"/>
          <w:sz w:val="24"/>
          <w:highlight w:val="none"/>
        </w:rPr>
      </w:pPr>
      <w:r>
        <w:rPr>
          <w:rFonts w:hint="eastAsia" w:ascii="宋体" w:hAnsi="宋体" w:cs="Courier New"/>
          <w:b/>
          <w:bCs/>
          <w:color w:val="auto"/>
          <w:kern w:val="0"/>
          <w:sz w:val="24"/>
          <w:highlight w:val="none"/>
        </w:rPr>
        <w:br w:type="page"/>
      </w:r>
    </w:p>
    <w:p w14:paraId="631CBB48">
      <w:pPr>
        <w:snapToGrid w:val="0"/>
        <w:spacing w:line="360" w:lineRule="auto"/>
        <w:ind w:firstLine="482"/>
        <w:rPr>
          <w:rFonts w:ascii="宋体" w:hAnsi="宋体" w:cs="Courier New"/>
          <w:b/>
          <w:bCs/>
          <w:color w:val="auto"/>
          <w:kern w:val="0"/>
          <w:sz w:val="24"/>
          <w:highlight w:val="none"/>
        </w:rPr>
      </w:pPr>
      <w:r>
        <w:rPr>
          <w:rFonts w:hint="eastAsia" w:ascii="宋体" w:hAnsi="宋体" w:cs="Courier New"/>
          <w:b/>
          <w:bCs/>
          <w:color w:val="auto"/>
          <w:kern w:val="0"/>
          <w:sz w:val="24"/>
          <w:highlight w:val="none"/>
        </w:rPr>
        <w:t>2.符合参加政府采购活动应当具备的一般条件的承诺函；</w:t>
      </w:r>
    </w:p>
    <w:p w14:paraId="38D48A15">
      <w:pPr>
        <w:snapToGrid w:val="0"/>
        <w:spacing w:line="400" w:lineRule="exact"/>
        <w:ind w:firstLine="480" w:firstLineChars="200"/>
        <w:rPr>
          <w:color w:val="auto"/>
          <w:sz w:val="24"/>
          <w:highlight w:val="none"/>
        </w:rPr>
      </w:pPr>
      <w:r>
        <w:rPr>
          <w:color w:val="auto"/>
          <w:sz w:val="24"/>
          <w:highlight w:val="none"/>
        </w:rPr>
        <w:t>我方参</w:t>
      </w:r>
      <w:r>
        <w:rPr>
          <w:rFonts w:hint="eastAsia"/>
          <w:color w:val="auto"/>
          <w:sz w:val="24"/>
          <w:highlight w:val="none"/>
        </w:rPr>
        <w:t>加</w:t>
      </w:r>
      <w:r>
        <w:rPr>
          <w:rFonts w:hint="eastAsia" w:ascii="宋体" w:hAnsi="宋体" w:cs="宋体"/>
          <w:b/>
          <w:bCs/>
          <w:color w:val="auto"/>
          <w:sz w:val="24"/>
          <w:highlight w:val="none"/>
          <w:lang w:eastAsia="zh-CN"/>
        </w:rPr>
        <w:t>金华市博物馆邵飘萍旧居展陈提升项目</w:t>
      </w:r>
      <w:r>
        <w:rPr>
          <w:rFonts w:hint="eastAsia" w:ascii="宋体" w:hAnsi="宋体" w:cs="宋体"/>
          <w:b/>
          <w:bCs/>
          <w:color w:val="auto"/>
          <w:sz w:val="24"/>
          <w:highlight w:val="none"/>
        </w:rPr>
        <w:t>（项目编号：</w:t>
      </w:r>
      <w:r>
        <w:rPr>
          <w:rFonts w:hint="eastAsia" w:ascii="宋体" w:hAnsi="宋体" w:cs="宋体"/>
          <w:b/>
          <w:bCs/>
          <w:color w:val="auto"/>
          <w:sz w:val="24"/>
          <w:highlight w:val="none"/>
          <w:lang w:eastAsia="zh-CN"/>
        </w:rPr>
        <w:t>WQ2024272-ZFCG072</w:t>
      </w:r>
      <w:r>
        <w:rPr>
          <w:rFonts w:hint="eastAsia" w:ascii="宋体" w:hAnsi="宋体" w:cs="宋体"/>
          <w:b/>
          <w:bCs/>
          <w:color w:val="auto"/>
          <w:sz w:val="24"/>
          <w:highlight w:val="none"/>
        </w:rPr>
        <w:t>）</w:t>
      </w:r>
      <w:r>
        <w:rPr>
          <w:color w:val="auto"/>
          <w:sz w:val="24"/>
          <w:highlight w:val="none"/>
        </w:rPr>
        <w:t>政府采购活动，郑重承诺</w:t>
      </w:r>
      <w:r>
        <w:rPr>
          <w:rFonts w:hint="eastAsia"/>
          <w:color w:val="auto"/>
          <w:sz w:val="24"/>
          <w:highlight w:val="none"/>
        </w:rPr>
        <w:t>如下</w:t>
      </w:r>
      <w:r>
        <w:rPr>
          <w:color w:val="auto"/>
          <w:sz w:val="24"/>
          <w:highlight w:val="none"/>
        </w:rPr>
        <w:t>：</w:t>
      </w:r>
    </w:p>
    <w:p w14:paraId="31BB221F">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（一）我方具备《中华人民共和国政府采购法》第二十二条规定的条件：</w:t>
      </w:r>
    </w:p>
    <w:p w14:paraId="64A42D89">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383DBC54">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7C1C1AF1">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52E2F5BF">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059DDA2F">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46E83152">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4AFEBEAB">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（二）我方未被信用中国（www.creditchina.gov.cn）、中国政府采购网（www.ccgp.gov.cn）列入失信被执行人、重大税收违法失信主体、政府采购严重违法失信行为记录名单。</w:t>
      </w:r>
    </w:p>
    <w:p w14:paraId="082F5E52">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（三）其他相关承诺：</w:t>
      </w:r>
    </w:p>
    <w:p w14:paraId="5358A3E8">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1.我方与采购单位不存在利害关系，且与参加本次项目同一合同项下政府采购活动的其他</w:t>
      </w:r>
      <w:r>
        <w:rPr>
          <w:rFonts w:hint="eastAsia" w:ascii="宋体" w:cs="宋体"/>
          <w:color w:val="auto"/>
          <w:sz w:val="24"/>
          <w:highlight w:val="none"/>
        </w:rPr>
        <w:t>投标人</w:t>
      </w:r>
      <w:r>
        <w:rPr>
          <w:rFonts w:hint="eastAsia" w:ascii="宋体" w:hAnsi="宋体" w:cs="宋体"/>
          <w:color w:val="auto"/>
          <w:sz w:val="24"/>
          <w:highlight w:val="none"/>
        </w:rPr>
        <w:t>不存在单位负责人为同一人或者直接控股、管理关系或其他利害关系。</w:t>
      </w:r>
    </w:p>
    <w:p w14:paraId="24DD0EF9">
      <w:pPr>
        <w:snapToGrid w:val="0"/>
        <w:spacing w:line="4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2.我方未向本项目提供整体设计、规范编制或者项目管理、监理、检测等服务。</w:t>
      </w:r>
    </w:p>
    <w:p w14:paraId="204820F4">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（四）本文件中所提供的相关材料均真实有效，不存在虚假、造假行为。如有虚假或隐瞒，我单位自愿承担被取消中标资格等一切责任。</w:t>
      </w:r>
    </w:p>
    <w:p w14:paraId="5956B533">
      <w:pPr>
        <w:pStyle w:val="41"/>
        <w:ind w:left="480" w:firstLine="480"/>
        <w:rPr>
          <w:color w:val="auto"/>
          <w:sz w:val="24"/>
          <w:szCs w:val="24"/>
          <w:highlight w:val="none"/>
        </w:rPr>
      </w:pPr>
    </w:p>
    <w:p w14:paraId="38ABAE9D">
      <w:pPr>
        <w:pStyle w:val="24"/>
        <w:adjustRightInd w:val="0"/>
        <w:snapToGrid w:val="0"/>
        <w:spacing w:before="120" w:after="120" w:line="360" w:lineRule="auto"/>
        <w:ind w:firstLine="900" w:firstLineChars="375"/>
        <w:jc w:val="right"/>
        <w:rPr>
          <w:rFonts w:hint="default" w:ascii="Times New Roman" w:hAnsi="Times New Roman"/>
          <w:color w:val="auto"/>
          <w:sz w:val="24"/>
          <w:szCs w:val="24"/>
          <w:highlight w:val="none"/>
        </w:rPr>
      </w:pPr>
      <w:r>
        <w:rPr>
          <w:rFonts w:cs="宋体"/>
          <w:color w:val="auto"/>
          <w:sz w:val="24"/>
          <w:highlight w:val="none"/>
        </w:rPr>
        <w:t>供应商名称</w:t>
      </w:r>
      <w:r>
        <w:rPr>
          <w:rFonts w:ascii="Times New Roman" w:hAnsi="Times New Roman"/>
          <w:color w:val="auto"/>
          <w:sz w:val="24"/>
          <w:szCs w:val="24"/>
          <w:highlight w:val="none"/>
        </w:rPr>
        <w:t>（电子签章/公章）：__________________________</w:t>
      </w:r>
    </w:p>
    <w:p w14:paraId="072D4C05">
      <w:pPr>
        <w:pStyle w:val="24"/>
        <w:adjustRightInd w:val="0"/>
        <w:snapToGrid w:val="0"/>
        <w:spacing w:before="120" w:after="120" w:line="240" w:lineRule="auto"/>
        <w:ind w:firstLine="900" w:firstLineChars="375"/>
        <w:jc w:val="right"/>
        <w:rPr>
          <w:rFonts w:hint="default" w:ascii="Times New Roman" w:hAnsi="Times New Roman"/>
          <w:color w:val="auto"/>
          <w:sz w:val="24"/>
          <w:szCs w:val="24"/>
          <w:highlight w:val="none"/>
        </w:rPr>
      </w:pPr>
      <w:r>
        <w:rPr>
          <w:rFonts w:ascii="Times New Roman" w:hAnsi="Times New Roman"/>
          <w:color w:val="auto"/>
          <w:sz w:val="24"/>
          <w:szCs w:val="24"/>
          <w:highlight w:val="none"/>
        </w:rPr>
        <w:t>年   月   日</w:t>
      </w:r>
    </w:p>
    <w:p w14:paraId="17F8ECC2">
      <w:pPr>
        <w:snapToGrid w:val="0"/>
        <w:ind w:right="480" w:firstLine="482"/>
        <w:jc w:val="center"/>
        <w:rPr>
          <w:rFonts w:ascii="仿宋_GB2312" w:hAnsi="仿宋" w:eastAsia="仿宋_GB2312" w:cs="仿宋_GB2312"/>
          <w:b/>
          <w:color w:val="auto"/>
          <w:szCs w:val="21"/>
          <w:highlight w:val="none"/>
        </w:rPr>
      </w:pPr>
      <w:r>
        <w:rPr>
          <w:rFonts w:hint="eastAsia" w:ascii="仿宋_GB2312" w:hAnsi="仿宋" w:eastAsia="仿宋_GB2312" w:cs="仿宋_GB2312"/>
          <w:b/>
          <w:color w:val="auto"/>
          <w:szCs w:val="21"/>
          <w:highlight w:val="none"/>
        </w:rPr>
        <w:t>----------------------------------------------------------------------------</w:t>
      </w:r>
    </w:p>
    <w:p w14:paraId="5459F7A8">
      <w:pPr>
        <w:pStyle w:val="41"/>
        <w:spacing w:line="24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备注：根据《财政部关于&lt;中华人民共和国政府采购法实施条例&gt;第十九条第一款“较大数额罚款”具体适用问题的意见》（财库〔2022〕3号）明确《中华人民共和国政府采购法实施条例》第十九条第一款规定的“较大数额罚款”认定为200万元以上的罚款，法律、行政法规以及国务院有关部门明确规定相关领域“较大数额罚款”标准高于200万元的，从其规定。</w:t>
      </w:r>
    </w:p>
    <w:p w14:paraId="0F76CB04">
      <w:pPr>
        <w:snapToGrid w:val="0"/>
        <w:spacing w:before="50" w:after="50" w:line="360" w:lineRule="auto"/>
        <w:rPr>
          <w:rFonts w:hint="eastAsia" w:ascii="宋体" w:hAnsi="宋体" w:cs="Courier New"/>
          <w:b/>
          <w:bCs/>
          <w:color w:val="auto"/>
          <w:kern w:val="0"/>
          <w:sz w:val="24"/>
          <w:highlight w:val="none"/>
        </w:rPr>
      </w:pPr>
      <w:r>
        <w:rPr>
          <w:color w:val="auto"/>
          <w:highlight w:val="none"/>
        </w:rPr>
        <w:br w:type="page"/>
      </w:r>
      <w:r>
        <w:rPr>
          <w:rFonts w:hint="eastAsia" w:ascii="宋体" w:hAnsi="宋体" w:cs="Courier New"/>
          <w:b/>
          <w:bCs/>
          <w:color w:val="auto"/>
          <w:kern w:val="0"/>
          <w:sz w:val="24"/>
          <w:highlight w:val="none"/>
        </w:rPr>
        <w:t>二、落实政府采购政策需满足的资格要求的材料：</w:t>
      </w:r>
    </w:p>
    <w:p w14:paraId="198875D3">
      <w:pPr>
        <w:widowControl/>
        <w:shd w:val="clear" w:color="auto" w:fill="FFFFFF"/>
        <w:spacing w:line="440" w:lineRule="exact"/>
        <w:ind w:firstLine="358"/>
        <w:jc w:val="center"/>
        <w:rPr>
          <w:rFonts w:hint="eastAsia" w:ascii="宋体" w:hAnsi="宋体" w:cs="宋体"/>
          <w:b/>
          <w:color w:val="auto"/>
          <w:sz w:val="32"/>
          <w:szCs w:val="32"/>
          <w:highlight w:val="none"/>
          <w:shd w:val="clear" w:color="auto" w:fill="FFFFFF"/>
          <w:lang w:bidi="ar"/>
        </w:rPr>
      </w:pPr>
      <w:r>
        <w:rPr>
          <w:rFonts w:hint="eastAsia" w:ascii="宋体" w:hAnsi="宋体" w:cs="宋体"/>
          <w:b/>
          <w:color w:val="auto"/>
          <w:sz w:val="32"/>
          <w:szCs w:val="32"/>
          <w:highlight w:val="none"/>
          <w:shd w:val="clear" w:color="auto" w:fill="FFFFFF"/>
          <w:lang w:bidi="ar"/>
        </w:rPr>
        <w:t xml:space="preserve">中小企业声明函 </w:t>
      </w:r>
    </w:p>
    <w:p w14:paraId="7E417180">
      <w:pPr>
        <w:pStyle w:val="37"/>
        <w:spacing w:line="440" w:lineRule="exact"/>
        <w:ind w:firstLine="560" w:firstLineChars="200"/>
        <w:rPr>
          <w:rFonts w:hint="eastAsia" w:ascii="宋体" w:hAnsi="宋体" w:cs="宋体"/>
          <w:color w:val="auto"/>
          <w:kern w:val="0"/>
          <w:sz w:val="28"/>
          <w:szCs w:val="28"/>
          <w:highlight w:val="none"/>
          <w:lang w:bidi="ar"/>
        </w:rPr>
      </w:pPr>
    </w:p>
    <w:p w14:paraId="08A92E1A">
      <w:pPr>
        <w:pStyle w:val="129"/>
        <w:spacing w:line="530" w:lineRule="exact"/>
        <w:ind w:firstLine="660"/>
        <w:jc w:val="both"/>
        <w:rPr>
          <w:color w:val="auto"/>
          <w:highlight w:val="none"/>
        </w:rPr>
      </w:pPr>
      <w:r>
        <w:rPr>
          <w:color w:val="auto"/>
          <w:highlight w:val="none"/>
        </w:rPr>
        <w:t>本公司郑重声明，根据《政府采购促进中小企业发展管理办法》（财库〔2020）46号）的规定，本公司参加</w:t>
      </w:r>
      <w:r>
        <w:rPr>
          <w:rFonts w:hint="eastAsia"/>
          <w:b/>
          <w:bCs/>
          <w:color w:val="auto"/>
          <w:highlight w:val="none"/>
          <w:u w:val="single"/>
          <w:lang w:eastAsia="zh-CN"/>
        </w:rPr>
        <w:t>金华市博物馆</w:t>
      </w:r>
      <w:r>
        <w:rPr>
          <w:rFonts w:hint="eastAsia"/>
          <w:b/>
          <w:bCs/>
          <w:color w:val="auto"/>
          <w:highlight w:val="none"/>
          <w:u w:val="single"/>
          <w:lang w:val="en-US" w:eastAsia="zh-CN"/>
        </w:rPr>
        <w:t>的</w:t>
      </w:r>
      <w:r>
        <w:rPr>
          <w:rFonts w:hint="eastAsia"/>
          <w:b/>
          <w:bCs/>
          <w:color w:val="auto"/>
          <w:highlight w:val="none"/>
          <w:u w:val="single"/>
          <w:lang w:eastAsia="zh-CN"/>
        </w:rPr>
        <w:t>金华市博物馆邵飘萍旧居展陈提升项目</w:t>
      </w:r>
      <w:r>
        <w:rPr>
          <w:color w:val="auto"/>
          <w:highlight w:val="none"/>
        </w:rPr>
        <w:t>采购活动，服务全部由符合政策要求的中小企业承接。相关企业</w:t>
      </w:r>
      <w:r>
        <w:rPr>
          <w:color w:val="auto"/>
          <w:highlight w:val="none"/>
          <w:u w:val="single"/>
        </w:rPr>
        <w:t>（</w:t>
      </w:r>
      <w:r>
        <w:rPr>
          <w:rFonts w:hint="eastAsia"/>
          <w:b/>
          <w:bCs/>
          <w:color w:val="auto"/>
          <w:highlight w:val="none"/>
          <w:u w:val="single"/>
        </w:rPr>
        <w:t>含签订分包意向协议的中小企业</w:t>
      </w:r>
      <w:r>
        <w:rPr>
          <w:color w:val="auto"/>
          <w:highlight w:val="none"/>
          <w:u w:val="single"/>
        </w:rPr>
        <w:t>）</w:t>
      </w:r>
      <w:r>
        <w:rPr>
          <w:color w:val="auto"/>
          <w:highlight w:val="none"/>
        </w:rPr>
        <w:t>的具体情况如下：</w:t>
      </w:r>
    </w:p>
    <w:p w14:paraId="6BC896D9">
      <w:pPr>
        <w:pStyle w:val="129"/>
        <w:spacing w:line="530" w:lineRule="exact"/>
        <w:ind w:firstLine="660"/>
        <w:jc w:val="both"/>
        <w:rPr>
          <w:color w:val="auto"/>
          <w:highlight w:val="none"/>
        </w:rPr>
      </w:pPr>
      <w:r>
        <w:rPr>
          <w:rFonts w:hint="eastAsia"/>
          <w:color w:val="auto"/>
          <w:highlight w:val="none"/>
          <w:lang w:val="en-US" w:eastAsia="zh-CN"/>
        </w:rPr>
        <w:t>1.</w:t>
      </w:r>
      <w:r>
        <w:rPr>
          <w:rFonts w:hint="eastAsia"/>
          <w:b/>
          <w:bCs/>
          <w:color w:val="auto"/>
          <w:highlight w:val="none"/>
          <w:u w:val="single"/>
          <w:lang w:eastAsia="zh-CN"/>
        </w:rPr>
        <w:t>金华市博物馆邵飘萍旧居展陈提升项目</w:t>
      </w:r>
      <w:r>
        <w:rPr>
          <w:rFonts w:hint="eastAsia"/>
          <w:color w:val="auto"/>
          <w:highlight w:val="none"/>
          <w:lang w:eastAsia="zh-CN"/>
        </w:rPr>
        <w:t>，</w:t>
      </w:r>
      <w:r>
        <w:rPr>
          <w:color w:val="auto"/>
          <w:highlight w:val="none"/>
        </w:rPr>
        <w:t>属于</w:t>
      </w:r>
      <w:r>
        <w:rPr>
          <w:rFonts w:hint="eastAsia" w:ascii="宋体" w:hAnsi="宋体" w:eastAsia="宋体" w:cs="宋体"/>
          <w:b/>
          <w:bCs/>
          <w:color w:val="auto"/>
          <w:highlight w:val="none"/>
          <w:u w:val="single"/>
          <w:lang w:eastAsia="zh-CN"/>
        </w:rPr>
        <w:t>其他未列明行业</w:t>
      </w:r>
      <w:r>
        <w:rPr>
          <w:rFonts w:hint="eastAsia"/>
          <w:color w:val="auto"/>
          <w:highlight w:val="none"/>
          <w:lang w:eastAsia="zh-CN"/>
        </w:rPr>
        <w:t>，承接</w:t>
      </w:r>
      <w:r>
        <w:rPr>
          <w:color w:val="auto"/>
          <w:highlight w:val="none"/>
        </w:rPr>
        <w:t>企业为</w:t>
      </w:r>
      <w:r>
        <w:rPr>
          <w:b/>
          <w:bCs/>
          <w:color w:val="auto"/>
          <w:highlight w:val="none"/>
        </w:rPr>
        <w:t>（企业名称）</w:t>
      </w:r>
      <w:r>
        <w:rPr>
          <w:rFonts w:hint="eastAsia"/>
          <w:b/>
          <w:bCs/>
          <w:color w:val="auto"/>
          <w:highlight w:val="none"/>
          <w:u w:val="single"/>
          <w:lang w:val="en-US" w:eastAsia="zh-CN"/>
        </w:rPr>
        <w:t xml:space="preserve">         </w:t>
      </w:r>
      <w:r>
        <w:rPr>
          <w:rFonts w:hint="eastAsia"/>
          <w:color w:val="auto"/>
          <w:highlight w:val="none"/>
          <w:lang w:eastAsia="zh-CN"/>
        </w:rPr>
        <w:t>，</w:t>
      </w:r>
      <w:r>
        <w:rPr>
          <w:color w:val="auto"/>
          <w:highlight w:val="none"/>
        </w:rPr>
        <w:t>从业人员</w:t>
      </w:r>
      <w:r>
        <w:rPr>
          <w:rFonts w:hint="eastAsia"/>
          <w:b/>
          <w:bCs/>
          <w:color w:val="auto"/>
          <w:highlight w:val="none"/>
          <w:u w:val="single"/>
          <w:lang w:val="en-US" w:eastAsia="zh-CN"/>
        </w:rPr>
        <w:t xml:space="preserve">    </w:t>
      </w:r>
      <w:r>
        <w:rPr>
          <w:color w:val="auto"/>
          <w:highlight w:val="none"/>
        </w:rPr>
        <w:t>人，营业收入为</w:t>
      </w:r>
      <w:r>
        <w:rPr>
          <w:rFonts w:hint="eastAsia"/>
          <w:b/>
          <w:bCs/>
          <w:color w:val="auto"/>
          <w:highlight w:val="none"/>
          <w:u w:val="single"/>
          <w:lang w:val="en-US" w:eastAsia="zh-CN"/>
        </w:rPr>
        <w:t xml:space="preserve">    </w:t>
      </w:r>
      <w:r>
        <w:rPr>
          <w:color w:val="auto"/>
          <w:highlight w:val="none"/>
        </w:rPr>
        <w:t>万元，资产总额为</w:t>
      </w:r>
      <w:r>
        <w:rPr>
          <w:rFonts w:hint="eastAsia"/>
          <w:b/>
          <w:bCs/>
          <w:color w:val="auto"/>
          <w:highlight w:val="none"/>
          <w:u w:val="single"/>
          <w:lang w:val="en-US" w:eastAsia="zh-CN"/>
        </w:rPr>
        <w:t xml:space="preserve">    </w:t>
      </w:r>
      <w:r>
        <w:rPr>
          <w:color w:val="auto"/>
          <w:highlight w:val="none"/>
        </w:rPr>
        <w:t>万元</w:t>
      </w:r>
      <w:r>
        <w:rPr>
          <w:color w:val="auto"/>
          <w:highlight w:val="none"/>
          <w:lang w:val="en-US" w:eastAsia="zh-CN"/>
        </w:rPr>
        <w:t>，</w:t>
      </w:r>
      <w:r>
        <w:rPr>
          <w:color w:val="auto"/>
          <w:highlight w:val="none"/>
        </w:rPr>
        <w:t>属于</w:t>
      </w:r>
      <w:r>
        <w:rPr>
          <w:rFonts w:hint="eastAsia"/>
          <w:b/>
          <w:bCs/>
          <w:color w:val="auto"/>
          <w:highlight w:val="none"/>
          <w:u w:val="single"/>
          <w:lang w:val="en-US" w:eastAsia="zh-CN"/>
        </w:rPr>
        <w:t xml:space="preserve">        </w:t>
      </w:r>
      <w:r>
        <w:rPr>
          <w:color w:val="auto"/>
          <w:highlight w:val="none"/>
        </w:rPr>
        <w:t>（</w:t>
      </w:r>
      <w:r>
        <w:rPr>
          <w:rFonts w:hint="eastAsia"/>
          <w:color w:val="auto"/>
          <w:highlight w:val="none"/>
          <w:lang w:eastAsia="zh-CN"/>
        </w:rPr>
        <w:t>选填：</w:t>
      </w:r>
      <w:r>
        <w:rPr>
          <w:color w:val="auto"/>
          <w:highlight w:val="none"/>
        </w:rPr>
        <w:t>中型企业、小型企业、微型企业）</w:t>
      </w:r>
      <w:r>
        <w:rPr>
          <w:rFonts w:hint="eastAsia"/>
          <w:color w:val="auto"/>
          <w:highlight w:val="none"/>
          <w:lang w:eastAsia="zh-CN"/>
        </w:rPr>
        <w:t>。</w:t>
      </w:r>
    </w:p>
    <w:p w14:paraId="25474BCD">
      <w:pPr>
        <w:pStyle w:val="129"/>
        <w:spacing w:line="530" w:lineRule="exact"/>
        <w:ind w:firstLine="660"/>
        <w:jc w:val="both"/>
        <w:rPr>
          <w:color w:val="auto"/>
          <w:highlight w:val="none"/>
        </w:rPr>
      </w:pPr>
      <w:r>
        <w:rPr>
          <w:rFonts w:hint="eastAsia"/>
          <w:color w:val="auto"/>
          <w:highlight w:val="none"/>
          <w:lang w:val="en-US" w:eastAsia="zh-CN"/>
        </w:rPr>
        <w:t>2.</w:t>
      </w:r>
      <w:r>
        <w:rPr>
          <w:rFonts w:hint="eastAsia"/>
          <w:b/>
          <w:bCs/>
          <w:color w:val="auto"/>
          <w:highlight w:val="none"/>
          <w:u w:val="single"/>
          <w:lang w:val="en-US" w:eastAsia="zh-CN"/>
        </w:rPr>
        <w:t xml:space="preserve">          </w:t>
      </w:r>
      <w:r>
        <w:rPr>
          <w:rFonts w:hint="eastAsia"/>
          <w:color w:val="auto"/>
          <w:highlight w:val="none"/>
          <w:lang w:eastAsia="zh-CN"/>
        </w:rPr>
        <w:t>，</w:t>
      </w:r>
      <w:r>
        <w:rPr>
          <w:color w:val="auto"/>
          <w:highlight w:val="none"/>
        </w:rPr>
        <w:t>属于</w:t>
      </w:r>
      <w:r>
        <w:rPr>
          <w:rFonts w:hint="eastAsia" w:cs="宋体"/>
          <w:b/>
          <w:bCs/>
          <w:color w:val="auto"/>
          <w:highlight w:val="none"/>
          <w:u w:val="single"/>
          <w:lang w:val="en-US" w:eastAsia="zh-CN"/>
        </w:rPr>
        <w:t xml:space="preserve">        </w:t>
      </w:r>
      <w:r>
        <w:rPr>
          <w:rFonts w:hint="eastAsia"/>
          <w:color w:val="auto"/>
          <w:highlight w:val="none"/>
          <w:lang w:eastAsia="zh-CN"/>
        </w:rPr>
        <w:t>，承接</w:t>
      </w:r>
      <w:r>
        <w:rPr>
          <w:color w:val="auto"/>
          <w:highlight w:val="none"/>
        </w:rPr>
        <w:t>企业为</w:t>
      </w:r>
      <w:r>
        <w:rPr>
          <w:b/>
          <w:bCs/>
          <w:color w:val="auto"/>
          <w:highlight w:val="none"/>
        </w:rPr>
        <w:t>（企业名称）</w:t>
      </w:r>
      <w:r>
        <w:rPr>
          <w:rFonts w:hint="eastAsia"/>
          <w:b/>
          <w:bCs/>
          <w:color w:val="auto"/>
          <w:highlight w:val="none"/>
          <w:u w:val="single"/>
          <w:lang w:val="en-US" w:eastAsia="zh-CN"/>
        </w:rPr>
        <w:t xml:space="preserve">         </w:t>
      </w:r>
      <w:r>
        <w:rPr>
          <w:rFonts w:hint="eastAsia"/>
          <w:color w:val="auto"/>
          <w:highlight w:val="none"/>
          <w:lang w:eastAsia="zh-CN"/>
        </w:rPr>
        <w:t>，</w:t>
      </w:r>
      <w:r>
        <w:rPr>
          <w:color w:val="auto"/>
          <w:highlight w:val="none"/>
        </w:rPr>
        <w:t>从业人员</w:t>
      </w:r>
      <w:r>
        <w:rPr>
          <w:rFonts w:hint="eastAsia"/>
          <w:b/>
          <w:bCs/>
          <w:color w:val="auto"/>
          <w:highlight w:val="none"/>
          <w:u w:val="single"/>
          <w:lang w:val="en-US" w:eastAsia="zh-CN"/>
        </w:rPr>
        <w:t xml:space="preserve">    </w:t>
      </w:r>
      <w:r>
        <w:rPr>
          <w:color w:val="auto"/>
          <w:highlight w:val="none"/>
        </w:rPr>
        <w:t>人，营业收入为</w:t>
      </w:r>
      <w:r>
        <w:rPr>
          <w:rFonts w:hint="eastAsia"/>
          <w:b/>
          <w:bCs/>
          <w:color w:val="auto"/>
          <w:highlight w:val="none"/>
          <w:u w:val="single"/>
          <w:lang w:val="en-US" w:eastAsia="zh-CN"/>
        </w:rPr>
        <w:t xml:space="preserve">    </w:t>
      </w:r>
      <w:r>
        <w:rPr>
          <w:color w:val="auto"/>
          <w:highlight w:val="none"/>
        </w:rPr>
        <w:t>万元，资产总额为</w:t>
      </w:r>
      <w:r>
        <w:rPr>
          <w:rFonts w:hint="eastAsia"/>
          <w:b/>
          <w:bCs/>
          <w:color w:val="auto"/>
          <w:highlight w:val="none"/>
          <w:u w:val="single"/>
          <w:lang w:val="en-US" w:eastAsia="zh-CN"/>
        </w:rPr>
        <w:t xml:space="preserve">    </w:t>
      </w:r>
      <w:r>
        <w:rPr>
          <w:color w:val="auto"/>
          <w:highlight w:val="none"/>
        </w:rPr>
        <w:t>万元</w:t>
      </w:r>
      <w:r>
        <w:rPr>
          <w:color w:val="auto"/>
          <w:highlight w:val="none"/>
          <w:lang w:val="en-US" w:eastAsia="zh-CN"/>
        </w:rPr>
        <w:t>，</w:t>
      </w:r>
      <w:r>
        <w:rPr>
          <w:color w:val="auto"/>
          <w:highlight w:val="none"/>
        </w:rPr>
        <w:t>属于</w:t>
      </w:r>
      <w:r>
        <w:rPr>
          <w:rFonts w:hint="eastAsia"/>
          <w:b/>
          <w:bCs/>
          <w:color w:val="auto"/>
          <w:highlight w:val="none"/>
          <w:u w:val="single"/>
          <w:lang w:val="en-US" w:eastAsia="zh-CN"/>
        </w:rPr>
        <w:t xml:space="preserve">        </w:t>
      </w:r>
      <w:r>
        <w:rPr>
          <w:color w:val="auto"/>
          <w:highlight w:val="none"/>
        </w:rPr>
        <w:t>（</w:t>
      </w:r>
      <w:r>
        <w:rPr>
          <w:rFonts w:hint="eastAsia"/>
          <w:color w:val="auto"/>
          <w:highlight w:val="none"/>
          <w:lang w:eastAsia="zh-CN"/>
        </w:rPr>
        <w:t>选填：</w:t>
      </w:r>
      <w:r>
        <w:rPr>
          <w:color w:val="auto"/>
          <w:highlight w:val="none"/>
        </w:rPr>
        <w:t>中型企业、小型企业、微型企业）</w:t>
      </w:r>
      <w:r>
        <w:rPr>
          <w:rFonts w:hint="eastAsia"/>
          <w:color w:val="auto"/>
          <w:highlight w:val="none"/>
          <w:lang w:eastAsia="zh-CN"/>
        </w:rPr>
        <w:t>。</w:t>
      </w:r>
    </w:p>
    <w:p w14:paraId="758877AC">
      <w:pPr>
        <w:pStyle w:val="129"/>
        <w:spacing w:line="520" w:lineRule="exact"/>
        <w:ind w:firstLine="660"/>
        <w:jc w:val="both"/>
        <w:rPr>
          <w:color w:val="auto"/>
          <w:highlight w:val="none"/>
        </w:rPr>
      </w:pPr>
      <w:r>
        <w:rPr>
          <w:color w:val="auto"/>
          <w:highlight w:val="none"/>
        </w:rPr>
        <w:t>以上企业，不属于大企业的分支机构，不存在控股股东为大企业的情形，也不存在与大企业的负责人为同一人的情形。</w:t>
      </w:r>
    </w:p>
    <w:p w14:paraId="4EBCA16E">
      <w:pPr>
        <w:pStyle w:val="129"/>
        <w:spacing w:line="520" w:lineRule="exact"/>
        <w:ind w:firstLine="660"/>
        <w:jc w:val="both"/>
        <w:rPr>
          <w:color w:val="auto"/>
          <w:highlight w:val="none"/>
        </w:rPr>
      </w:pPr>
      <w:r>
        <w:rPr>
          <w:color w:val="auto"/>
          <w:highlight w:val="none"/>
        </w:rPr>
        <w:t>本企业对上述声明内容的真实性负责。如有虚假，将依法承担相应责任。</w:t>
      </w:r>
    </w:p>
    <w:p w14:paraId="05AF3684">
      <w:pPr>
        <w:pStyle w:val="37"/>
        <w:widowControl/>
        <w:spacing w:line="240" w:lineRule="exact"/>
        <w:ind w:firstLine="658"/>
        <w:rPr>
          <w:rFonts w:hint="eastAsia" w:ascii="宋体" w:hAnsi="宋体" w:cs="宋体"/>
          <w:color w:val="auto"/>
          <w:sz w:val="28"/>
          <w:szCs w:val="28"/>
          <w:highlight w:val="none"/>
          <w:lang w:val="zh-TW" w:eastAsia="zh-TW" w:bidi="zh-TW"/>
        </w:rPr>
      </w:pPr>
    </w:p>
    <w:p w14:paraId="27B9410A">
      <w:pPr>
        <w:pStyle w:val="37"/>
        <w:widowControl/>
        <w:spacing w:line="460" w:lineRule="exact"/>
        <w:ind w:firstLine="660"/>
        <w:rPr>
          <w:rFonts w:hint="eastAsia" w:ascii="宋体" w:hAnsi="宋体" w:cs="宋体"/>
          <w:color w:val="auto"/>
          <w:sz w:val="28"/>
          <w:szCs w:val="28"/>
          <w:highlight w:val="none"/>
          <w:lang w:val="zh-TW" w:eastAsia="zh-TW" w:bidi="zh-TW"/>
        </w:rPr>
      </w:pPr>
      <w:r>
        <w:rPr>
          <w:rFonts w:hint="eastAsia" w:ascii="宋体" w:hAnsi="宋体" w:cs="宋体"/>
          <w:color w:val="auto"/>
          <w:sz w:val="28"/>
          <w:szCs w:val="28"/>
          <w:highlight w:val="none"/>
          <w:lang w:val="zh-TW" w:eastAsia="zh-TW" w:bidi="zh-TW"/>
        </w:rPr>
        <w:t xml:space="preserve">                              供应商</w:t>
      </w:r>
      <w:r>
        <w:rPr>
          <w:rFonts w:hint="eastAsia" w:ascii="宋体" w:hAnsi="宋体" w:cs="宋体"/>
          <w:color w:val="auto"/>
          <w:sz w:val="28"/>
          <w:szCs w:val="28"/>
          <w:highlight w:val="none"/>
          <w:lang w:val="zh-TW" w:bidi="zh-TW"/>
        </w:rPr>
        <w:t>名称</w:t>
      </w:r>
      <w:r>
        <w:rPr>
          <w:rFonts w:hint="eastAsia" w:ascii="宋体" w:hAnsi="宋体" w:cs="宋体"/>
          <w:color w:val="auto"/>
          <w:sz w:val="28"/>
          <w:szCs w:val="28"/>
          <w:highlight w:val="none"/>
          <w:lang w:val="zh-TW" w:eastAsia="zh-TW" w:bidi="zh-TW"/>
        </w:rPr>
        <w:t xml:space="preserve">（电子签章/公章）：         </w:t>
      </w:r>
    </w:p>
    <w:p w14:paraId="07A87EED">
      <w:pPr>
        <w:pStyle w:val="37"/>
        <w:widowControl/>
        <w:spacing w:line="460" w:lineRule="exact"/>
        <w:ind w:firstLine="5040" w:firstLineChars="1800"/>
        <w:jc w:val="right"/>
        <w:rPr>
          <w:rFonts w:hint="eastAsia" w:ascii="宋体" w:hAnsi="宋体" w:cs="宋体"/>
          <w:color w:val="auto"/>
          <w:sz w:val="28"/>
          <w:szCs w:val="28"/>
          <w:highlight w:val="none"/>
          <w:lang w:val="zh-TW" w:bidi="zh-TW"/>
        </w:rPr>
      </w:pPr>
      <w:r>
        <w:rPr>
          <w:rFonts w:hint="eastAsia" w:ascii="宋体" w:hAnsi="宋体" w:cs="宋体"/>
          <w:color w:val="auto"/>
          <w:sz w:val="28"/>
          <w:szCs w:val="28"/>
          <w:highlight w:val="none"/>
          <w:lang w:val="zh-TW" w:bidi="zh-TW"/>
        </w:rPr>
        <w:t>年</w:t>
      </w:r>
      <w:r>
        <w:rPr>
          <w:rFonts w:hint="eastAsia" w:ascii="宋体" w:hAnsi="宋体" w:cs="宋体"/>
          <w:color w:val="auto"/>
          <w:sz w:val="28"/>
          <w:szCs w:val="28"/>
          <w:highlight w:val="none"/>
          <w:lang w:bidi="zh-TW"/>
        </w:rPr>
        <w:t xml:space="preserve">  </w:t>
      </w:r>
      <w:r>
        <w:rPr>
          <w:rFonts w:hint="eastAsia" w:ascii="宋体" w:hAnsi="宋体" w:cs="宋体"/>
          <w:color w:val="auto"/>
          <w:sz w:val="28"/>
          <w:szCs w:val="28"/>
          <w:highlight w:val="none"/>
          <w:lang w:val="zh-TW" w:bidi="zh-TW"/>
        </w:rPr>
        <w:t>月</w:t>
      </w:r>
      <w:r>
        <w:rPr>
          <w:rFonts w:hint="eastAsia" w:ascii="宋体" w:hAnsi="宋体" w:cs="宋体"/>
          <w:color w:val="auto"/>
          <w:sz w:val="28"/>
          <w:szCs w:val="28"/>
          <w:highlight w:val="none"/>
          <w:lang w:bidi="zh-TW"/>
        </w:rPr>
        <w:t xml:space="preserve">  </w:t>
      </w:r>
      <w:r>
        <w:rPr>
          <w:rFonts w:hint="eastAsia" w:ascii="宋体" w:hAnsi="宋体" w:cs="宋体"/>
          <w:color w:val="auto"/>
          <w:sz w:val="28"/>
          <w:szCs w:val="28"/>
          <w:highlight w:val="none"/>
          <w:lang w:val="zh-TW" w:bidi="zh-TW"/>
        </w:rPr>
        <w:t>日</w:t>
      </w:r>
    </w:p>
    <w:p w14:paraId="77C9AB40">
      <w:pPr>
        <w:pStyle w:val="37"/>
        <w:widowControl/>
        <w:rPr>
          <w:rFonts w:hint="eastAsia" w:ascii="宋体" w:hAnsi="宋体" w:cs="宋体"/>
          <w:color w:val="auto"/>
          <w:sz w:val="24"/>
          <w:szCs w:val="24"/>
          <w:highlight w:val="none"/>
          <w:lang w:val="zh-TW" w:eastAsia="zh-TW" w:bidi="zh-TW"/>
        </w:rPr>
      </w:pPr>
    </w:p>
    <w:p w14:paraId="52766618">
      <w:pPr>
        <w:pStyle w:val="37"/>
        <w:widowControl/>
        <w:ind w:firstLine="480" w:firstLineChars="200"/>
        <w:rPr>
          <w:rFonts w:hint="eastAsia" w:ascii="宋体" w:hAnsi="宋体" w:cs="宋体"/>
          <w:color w:val="auto"/>
          <w:sz w:val="24"/>
          <w:szCs w:val="24"/>
          <w:highlight w:val="none"/>
          <w:lang w:val="zh-TW" w:eastAsia="zh-TW" w:bidi="zh-TW"/>
        </w:rPr>
      </w:pPr>
      <w:r>
        <w:rPr>
          <w:rFonts w:hint="eastAsia" w:ascii="宋体" w:hAnsi="宋体" w:cs="宋体"/>
          <w:color w:val="auto"/>
          <w:sz w:val="24"/>
          <w:szCs w:val="24"/>
          <w:highlight w:val="none"/>
          <w:lang w:val="zh-TW" w:eastAsia="zh-TW" w:bidi="zh-TW"/>
        </w:rPr>
        <w:t>填写要求：① “采购文件中明确的所属行业”依据</w:t>
      </w:r>
      <w:r>
        <w:rPr>
          <w:rFonts w:hint="eastAsia" w:ascii="宋体" w:hAnsi="宋体" w:cs="宋体"/>
          <w:color w:val="auto"/>
          <w:sz w:val="24"/>
          <w:szCs w:val="24"/>
          <w:highlight w:val="none"/>
          <w:lang w:val="zh-TW" w:bidi="zh-TW"/>
        </w:rPr>
        <w:t>采购</w:t>
      </w:r>
      <w:r>
        <w:rPr>
          <w:rFonts w:hint="eastAsia" w:ascii="宋体" w:hAnsi="宋体" w:cs="宋体"/>
          <w:color w:val="auto"/>
          <w:sz w:val="24"/>
          <w:szCs w:val="24"/>
          <w:highlight w:val="none"/>
          <w:lang w:val="zh-TW" w:eastAsia="zh-TW" w:bidi="zh-TW"/>
        </w:rPr>
        <w:t>文件</w:t>
      </w:r>
      <w:r>
        <w:rPr>
          <w:rFonts w:hint="eastAsia" w:ascii="宋体" w:hAnsi="宋体" w:cs="宋体"/>
          <w:color w:val="auto"/>
          <w:sz w:val="24"/>
          <w:szCs w:val="24"/>
          <w:highlight w:val="none"/>
          <w:lang w:val="zh-TW" w:bidi="zh-TW"/>
        </w:rPr>
        <w:t>资格要求中</w:t>
      </w:r>
      <w:r>
        <w:rPr>
          <w:rFonts w:hint="eastAsia" w:ascii="宋体" w:hAnsi="宋体" w:cs="宋体"/>
          <w:color w:val="auto"/>
          <w:sz w:val="24"/>
          <w:szCs w:val="24"/>
          <w:highlight w:val="none"/>
          <w:lang w:val="zh-TW" w:eastAsia="zh-TW" w:bidi="zh-TW"/>
        </w:rPr>
        <w:t>“本项目明确的所属行业类别”填写，不得缺漏；②从业人员、营业收入、资产总额填报上一年度数据，无上一年度数据的新成立企业可不填报；③中型企业、小型企业、微型企业等3种企业类型，结合以上数据，依据《中小企业划型标准规定》（工信部联企业〔2011〕300号</w:t>
      </w:r>
      <w:r>
        <w:rPr>
          <w:rFonts w:hint="eastAsia" w:ascii="宋体" w:hAnsi="宋体" w:cs="宋体"/>
          <w:color w:val="auto"/>
          <w:sz w:val="24"/>
          <w:szCs w:val="24"/>
          <w:highlight w:val="none"/>
          <w:lang w:val="zh-TW" w:bidi="zh-TW"/>
        </w:rPr>
        <w:t>）</w:t>
      </w:r>
      <w:r>
        <w:rPr>
          <w:rFonts w:hint="eastAsia" w:ascii="宋体" w:hAnsi="宋体" w:cs="宋体"/>
          <w:color w:val="auto"/>
          <w:sz w:val="24"/>
          <w:szCs w:val="24"/>
          <w:highlight w:val="none"/>
          <w:lang w:val="zh-TW" w:eastAsia="zh-TW" w:bidi="zh-TW"/>
        </w:rPr>
        <w:t>确定；④</w:t>
      </w:r>
      <w:r>
        <w:rPr>
          <w:rFonts w:hint="eastAsia" w:ascii="宋体" w:hAnsi="宋体" w:cs="宋体"/>
          <w:color w:val="auto"/>
          <w:sz w:val="24"/>
          <w:szCs w:val="24"/>
          <w:highlight w:val="none"/>
          <w:lang w:val="zh-TW" w:bidi="zh-TW"/>
        </w:rPr>
        <w:t>供应商</w:t>
      </w:r>
      <w:r>
        <w:rPr>
          <w:rFonts w:hint="eastAsia" w:ascii="宋体" w:hAnsi="宋体" w:cs="宋体"/>
          <w:color w:val="auto"/>
          <w:sz w:val="24"/>
          <w:szCs w:val="24"/>
          <w:highlight w:val="none"/>
          <w:lang w:val="zh-TW" w:eastAsia="zh-TW" w:bidi="zh-TW"/>
        </w:rPr>
        <w:t>提供的《中小企业声明函》与实际情况不符的或者未按以上要求填写的，不享受中小企业扶持政策。声明内容不实的，属于提供虚假材料谋取中标、成交的，依法承担法律责任。</w:t>
      </w:r>
    </w:p>
    <w:p w14:paraId="6D201DBA">
      <w:pPr>
        <w:tabs>
          <w:tab w:val="center" w:pos="4706"/>
          <w:tab w:val="left" w:pos="5970"/>
        </w:tabs>
        <w:snapToGrid w:val="0"/>
        <w:spacing w:before="50" w:after="120" w:afterLines="50"/>
        <w:rPr>
          <w:rFonts w:hint="eastAsia" w:ascii="宋体" w:hAnsi="宋体" w:cs="Courier New"/>
          <w:b/>
          <w:bCs/>
          <w:color w:val="auto"/>
          <w:kern w:val="0"/>
          <w:sz w:val="24"/>
          <w:highlight w:val="none"/>
        </w:rPr>
      </w:pPr>
      <w:r>
        <w:rPr>
          <w:rFonts w:hint="eastAsia" w:ascii="宋体" w:hAnsi="宋体" w:cs="Courier New"/>
          <w:b/>
          <w:bCs/>
          <w:color w:val="auto"/>
          <w:kern w:val="0"/>
          <w:sz w:val="24"/>
          <w:highlight w:val="none"/>
        </w:rPr>
        <w:br w:type="page"/>
      </w:r>
    </w:p>
    <w:p w14:paraId="00AADAC5">
      <w:pPr>
        <w:tabs>
          <w:tab w:val="center" w:pos="4706"/>
          <w:tab w:val="left" w:pos="5970"/>
        </w:tabs>
        <w:snapToGrid w:val="0"/>
        <w:spacing w:before="50" w:after="120" w:afterLines="50"/>
        <w:rPr>
          <w:rFonts w:hint="eastAsia" w:ascii="宋体" w:hAnsi="宋体" w:cs="宋体"/>
          <w:b/>
          <w:color w:val="auto"/>
          <w:sz w:val="32"/>
          <w:szCs w:val="32"/>
          <w:highlight w:val="none"/>
        </w:rPr>
      </w:pPr>
      <w:r>
        <w:rPr>
          <w:rFonts w:hint="eastAsia" w:ascii="宋体" w:hAnsi="宋体" w:cs="宋体"/>
          <w:b/>
          <w:color w:val="auto"/>
          <w:sz w:val="32"/>
          <w:szCs w:val="32"/>
          <w:highlight w:val="none"/>
          <w:lang w:bidi="ar"/>
        </w:rPr>
        <w:t>残疾人福利性单位、监狱企业视为中小企业提供：</w:t>
      </w:r>
    </w:p>
    <w:p w14:paraId="49BD2130">
      <w:pPr>
        <w:pStyle w:val="37"/>
        <w:ind w:firstLine="420"/>
        <w:rPr>
          <w:color w:val="auto"/>
          <w:highlight w:val="none"/>
        </w:rPr>
      </w:pPr>
    </w:p>
    <w:p w14:paraId="48C1E441">
      <w:pPr>
        <w:rPr>
          <w:color w:val="auto"/>
          <w:highlight w:val="none"/>
        </w:rPr>
      </w:pPr>
    </w:p>
    <w:p w14:paraId="6EFFB850">
      <w:pPr>
        <w:tabs>
          <w:tab w:val="center" w:pos="4706"/>
          <w:tab w:val="left" w:pos="5970"/>
        </w:tabs>
        <w:snapToGrid w:val="0"/>
        <w:spacing w:before="50" w:after="120" w:afterLines="50"/>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lang w:bidi="ar"/>
        </w:rPr>
        <w:t>残疾人福利性单位声明函</w:t>
      </w:r>
    </w:p>
    <w:p w14:paraId="3DF59B93">
      <w:pPr>
        <w:shd w:val="clear" w:color="auto" w:fill="FFFFFF"/>
        <w:spacing w:before="100" w:beforeAutospacing="1" w:after="100" w:afterAutospacing="1" w:line="360" w:lineRule="auto"/>
        <w:ind w:firstLine="560" w:firstLineChars="200"/>
        <w:rPr>
          <w:rFonts w:hint="eastAsia" w:ascii="宋体" w:hAnsi="宋体" w:cs="宋体"/>
          <w:color w:val="auto"/>
          <w:sz w:val="28"/>
          <w:szCs w:val="28"/>
          <w:highlight w:val="none"/>
          <w:shd w:val="clear" w:color="auto" w:fill="FFFFFF"/>
        </w:rPr>
      </w:pPr>
      <w:r>
        <w:rPr>
          <w:rFonts w:hint="eastAsia" w:ascii="宋体" w:hAnsi="宋体" w:cs="宋体"/>
          <w:color w:val="auto"/>
          <w:sz w:val="28"/>
          <w:szCs w:val="28"/>
          <w:highlight w:val="none"/>
          <w:shd w:val="clear" w:color="auto" w:fill="FFFFFF"/>
          <w:lang w:bidi="ar"/>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048F3A8">
      <w:pPr>
        <w:shd w:val="clear" w:color="auto" w:fill="FFFFFF"/>
        <w:spacing w:before="100" w:beforeAutospacing="1" w:after="100" w:afterAutospacing="1" w:line="360" w:lineRule="auto"/>
        <w:ind w:firstLine="560" w:firstLineChars="200"/>
        <w:rPr>
          <w:rFonts w:hint="eastAsia" w:ascii="宋体" w:hAnsi="宋体" w:cs="宋体"/>
          <w:color w:val="auto"/>
          <w:sz w:val="28"/>
          <w:szCs w:val="28"/>
          <w:highlight w:val="none"/>
          <w:shd w:val="clear" w:color="auto" w:fill="FFFFFF"/>
        </w:rPr>
      </w:pPr>
      <w:r>
        <w:rPr>
          <w:rFonts w:hint="eastAsia" w:ascii="宋体" w:hAnsi="宋体" w:cs="宋体"/>
          <w:color w:val="auto"/>
          <w:sz w:val="28"/>
          <w:szCs w:val="28"/>
          <w:highlight w:val="none"/>
          <w:shd w:val="clear" w:color="auto" w:fill="FFFFFF"/>
          <w:lang w:bidi="ar"/>
        </w:rPr>
        <w:t>本单位对上述声明的真实性负责。如有虚假，将依法承担相应责任。</w:t>
      </w:r>
    </w:p>
    <w:p w14:paraId="3B3CB0BE">
      <w:pPr>
        <w:pStyle w:val="37"/>
        <w:widowControl/>
        <w:spacing w:line="460" w:lineRule="exact"/>
        <w:ind w:firstLine="660"/>
        <w:jc w:val="right"/>
        <w:rPr>
          <w:rFonts w:hint="eastAsia" w:ascii="宋体" w:hAnsi="宋体" w:cs="宋体"/>
          <w:color w:val="auto"/>
          <w:sz w:val="28"/>
          <w:szCs w:val="28"/>
          <w:highlight w:val="none"/>
          <w:lang w:val="zh-TW" w:eastAsia="zh-TW" w:bidi="zh-TW"/>
        </w:rPr>
      </w:pPr>
    </w:p>
    <w:p w14:paraId="70C1398D">
      <w:pPr>
        <w:pStyle w:val="37"/>
        <w:widowControl/>
        <w:spacing w:line="460" w:lineRule="exact"/>
        <w:ind w:firstLine="660"/>
        <w:jc w:val="right"/>
        <w:rPr>
          <w:rFonts w:hint="eastAsia" w:ascii="宋体" w:hAnsi="宋体" w:cs="宋体"/>
          <w:color w:val="auto"/>
          <w:sz w:val="28"/>
          <w:szCs w:val="28"/>
          <w:highlight w:val="none"/>
          <w:lang w:val="zh-TW" w:eastAsia="zh-TW" w:bidi="zh-TW"/>
        </w:rPr>
      </w:pPr>
      <w:r>
        <w:rPr>
          <w:rFonts w:hint="eastAsia" w:ascii="宋体" w:hAnsi="宋体" w:cs="宋体"/>
          <w:color w:val="auto"/>
          <w:sz w:val="28"/>
          <w:szCs w:val="28"/>
          <w:highlight w:val="none"/>
          <w:lang w:val="zh-TW" w:eastAsia="zh-TW" w:bidi="zh-TW"/>
        </w:rPr>
        <w:t>供应商</w:t>
      </w:r>
      <w:r>
        <w:rPr>
          <w:rFonts w:hint="eastAsia" w:ascii="宋体" w:hAnsi="宋体" w:cs="宋体"/>
          <w:color w:val="auto"/>
          <w:sz w:val="28"/>
          <w:szCs w:val="28"/>
          <w:highlight w:val="none"/>
          <w:lang w:val="zh-TW" w:bidi="zh-TW"/>
        </w:rPr>
        <w:t>名称</w:t>
      </w:r>
      <w:r>
        <w:rPr>
          <w:rFonts w:hint="eastAsia" w:ascii="宋体" w:hAnsi="宋体" w:cs="宋体"/>
          <w:color w:val="auto"/>
          <w:sz w:val="28"/>
          <w:szCs w:val="28"/>
          <w:highlight w:val="none"/>
          <w:lang w:val="zh-TW" w:eastAsia="zh-TW" w:bidi="zh-TW"/>
        </w:rPr>
        <w:t xml:space="preserve">（电子签章/公章）：         </w:t>
      </w:r>
    </w:p>
    <w:p w14:paraId="500674BB">
      <w:pPr>
        <w:pStyle w:val="37"/>
        <w:widowControl/>
        <w:spacing w:line="460" w:lineRule="exact"/>
        <w:ind w:firstLine="5040" w:firstLineChars="1800"/>
        <w:jc w:val="right"/>
        <w:rPr>
          <w:rFonts w:hint="eastAsia" w:ascii="宋体" w:hAnsi="宋体" w:cs="宋体"/>
          <w:color w:val="auto"/>
          <w:sz w:val="28"/>
          <w:szCs w:val="28"/>
          <w:highlight w:val="none"/>
          <w:lang w:val="zh-TW" w:bidi="zh-TW"/>
        </w:rPr>
      </w:pPr>
      <w:r>
        <w:rPr>
          <w:rFonts w:hint="eastAsia" w:ascii="宋体" w:hAnsi="宋体" w:cs="宋体"/>
          <w:color w:val="auto"/>
          <w:sz w:val="28"/>
          <w:szCs w:val="28"/>
          <w:highlight w:val="none"/>
          <w:lang w:val="zh-TW" w:bidi="zh-TW"/>
        </w:rPr>
        <w:t>年</w:t>
      </w:r>
      <w:r>
        <w:rPr>
          <w:rFonts w:hint="eastAsia" w:ascii="宋体" w:hAnsi="宋体" w:cs="宋体"/>
          <w:color w:val="auto"/>
          <w:sz w:val="28"/>
          <w:szCs w:val="28"/>
          <w:highlight w:val="none"/>
          <w:lang w:bidi="zh-TW"/>
        </w:rPr>
        <w:t xml:space="preserve">  </w:t>
      </w:r>
      <w:r>
        <w:rPr>
          <w:rFonts w:hint="eastAsia" w:ascii="宋体" w:hAnsi="宋体" w:cs="宋体"/>
          <w:color w:val="auto"/>
          <w:sz w:val="28"/>
          <w:szCs w:val="28"/>
          <w:highlight w:val="none"/>
          <w:lang w:val="zh-TW" w:bidi="zh-TW"/>
        </w:rPr>
        <w:t>月</w:t>
      </w:r>
      <w:r>
        <w:rPr>
          <w:rFonts w:hint="eastAsia" w:ascii="宋体" w:hAnsi="宋体" w:cs="宋体"/>
          <w:color w:val="auto"/>
          <w:sz w:val="28"/>
          <w:szCs w:val="28"/>
          <w:highlight w:val="none"/>
          <w:lang w:bidi="zh-TW"/>
        </w:rPr>
        <w:t xml:space="preserve">  </w:t>
      </w:r>
      <w:r>
        <w:rPr>
          <w:rFonts w:hint="eastAsia" w:ascii="宋体" w:hAnsi="宋体" w:cs="宋体"/>
          <w:color w:val="auto"/>
          <w:sz w:val="28"/>
          <w:szCs w:val="28"/>
          <w:highlight w:val="none"/>
          <w:lang w:val="zh-TW" w:bidi="zh-TW"/>
        </w:rPr>
        <w:t>日</w:t>
      </w:r>
    </w:p>
    <w:p w14:paraId="771EBD42">
      <w:pPr>
        <w:tabs>
          <w:tab w:val="center" w:pos="4706"/>
          <w:tab w:val="left" w:pos="5970"/>
        </w:tabs>
        <w:snapToGrid w:val="0"/>
        <w:spacing w:before="50" w:after="120" w:afterLines="50"/>
        <w:jc w:val="center"/>
        <w:rPr>
          <w:rFonts w:hint="eastAsia" w:ascii="宋体" w:hAnsi="宋体" w:cs="宋体"/>
          <w:b/>
          <w:color w:val="auto"/>
          <w:sz w:val="32"/>
          <w:szCs w:val="32"/>
          <w:highlight w:val="none"/>
        </w:rPr>
      </w:pPr>
    </w:p>
    <w:p w14:paraId="3734D74C">
      <w:pPr>
        <w:tabs>
          <w:tab w:val="center" w:pos="4706"/>
          <w:tab w:val="left" w:pos="5970"/>
        </w:tabs>
        <w:snapToGrid w:val="0"/>
        <w:spacing w:before="50" w:after="120" w:afterLines="50"/>
        <w:jc w:val="center"/>
        <w:rPr>
          <w:rFonts w:hint="eastAsia" w:ascii="宋体" w:hAnsi="宋体" w:cs="宋体"/>
          <w:b/>
          <w:color w:val="auto"/>
          <w:sz w:val="32"/>
          <w:szCs w:val="32"/>
          <w:highlight w:val="none"/>
          <w:lang w:bidi="ar"/>
        </w:rPr>
      </w:pPr>
    </w:p>
    <w:p w14:paraId="2ACED53B">
      <w:pPr>
        <w:tabs>
          <w:tab w:val="center" w:pos="4706"/>
          <w:tab w:val="left" w:pos="5970"/>
        </w:tabs>
        <w:snapToGrid w:val="0"/>
        <w:spacing w:before="50" w:after="120" w:afterLines="50"/>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lang w:bidi="ar"/>
        </w:rPr>
        <w:t>监狱企业证明文件</w:t>
      </w:r>
    </w:p>
    <w:p w14:paraId="6B84496C">
      <w:pPr>
        <w:pStyle w:val="37"/>
        <w:widowControl/>
        <w:adjustRightInd w:val="0"/>
        <w:snapToGrid w:val="0"/>
        <w:spacing w:line="390" w:lineRule="atLeast"/>
        <w:rPr>
          <w:b/>
          <w:color w:val="auto"/>
          <w:sz w:val="28"/>
          <w:szCs w:val="28"/>
          <w:highlight w:val="none"/>
        </w:rPr>
      </w:pPr>
      <w:r>
        <w:rPr>
          <w:rFonts w:hint="eastAsia" w:cs="宋体"/>
          <w:color w:val="auto"/>
          <w:sz w:val="28"/>
          <w:szCs w:val="28"/>
          <w:highlight w:val="none"/>
        </w:rPr>
        <w:t>注：监狱企业参加政府采购活动时，应当提供由省级以上监狱管理局、戒毒管理局（含新疆生产建设兵团）出具的属于监狱企业的证明文件。</w:t>
      </w:r>
    </w:p>
    <w:p w14:paraId="3F69F352">
      <w:pPr>
        <w:snapToGrid w:val="0"/>
        <w:spacing w:line="400" w:lineRule="exact"/>
        <w:rPr>
          <w:rFonts w:hint="eastAsia" w:hAnsi="宋体" w:cs="Courier New"/>
          <w:color w:val="auto"/>
          <w:kern w:val="0"/>
          <w:sz w:val="24"/>
          <w:highlight w:val="none"/>
          <w:lang w:val="en-US" w:eastAsia="zh-CN"/>
        </w:rPr>
      </w:pPr>
    </w:p>
    <w:p w14:paraId="264B45F3">
      <w:pPr>
        <w:rPr>
          <w:rFonts w:hint="eastAsia"/>
          <w:color w:val="auto"/>
          <w:highlight w:val="none"/>
          <w:lang w:val="en-US" w:eastAsia="zh-CN"/>
        </w:rPr>
      </w:pPr>
      <w:r>
        <w:rPr>
          <w:rFonts w:hint="eastAsia"/>
          <w:color w:val="auto"/>
          <w:highlight w:val="none"/>
          <w:lang w:val="en-US" w:eastAsia="zh-CN"/>
        </w:rPr>
        <w:br w:type="page"/>
      </w:r>
    </w:p>
    <w:p w14:paraId="71AF57DF">
      <w:pPr>
        <w:rPr>
          <w:rFonts w:hint="eastAsia"/>
          <w:color w:val="auto"/>
          <w:highlight w:val="none"/>
          <w:lang w:val="en-US" w:eastAsia="zh-CN"/>
        </w:rPr>
      </w:pPr>
    </w:p>
    <w:p w14:paraId="12C483B4">
      <w:pPr>
        <w:pStyle w:val="24"/>
        <w:snapToGrid w:val="0"/>
        <w:spacing w:beforeLines="0" w:afterLines="0" w:line="240" w:lineRule="auto"/>
        <w:outlineLvl w:val="0"/>
        <w:rPr>
          <w:rFonts w:hint="default"/>
          <w:b/>
          <w:bCs/>
          <w:color w:val="auto"/>
          <w:sz w:val="28"/>
          <w:highlight w:val="none"/>
        </w:rPr>
      </w:pPr>
      <w:r>
        <w:rPr>
          <w:rFonts w:hAnsi="宋体" w:cs="宋体"/>
          <w:b/>
          <w:color w:val="auto"/>
          <w:sz w:val="28"/>
          <w:szCs w:val="28"/>
          <w:highlight w:val="none"/>
        </w:rPr>
        <w:t>第二部分、</w:t>
      </w:r>
      <w:r>
        <w:rPr>
          <w:b/>
          <w:bCs/>
          <w:color w:val="auto"/>
          <w:sz w:val="28"/>
          <w:szCs w:val="28"/>
          <w:highlight w:val="none"/>
        </w:rPr>
        <w:t xml:space="preserve">商务技术文件 </w:t>
      </w:r>
    </w:p>
    <w:p w14:paraId="62A413A1">
      <w:pPr>
        <w:shd w:val="clear" w:color="auto" w:fill="FFFFFF"/>
        <w:snapToGrid w:val="0"/>
        <w:spacing w:after="50"/>
        <w:rPr>
          <w:rFonts w:ascii="宋体" w:hAnsi="宋体"/>
          <w:b/>
          <w:bCs/>
          <w:color w:val="auto"/>
          <w:sz w:val="32"/>
          <w:szCs w:val="20"/>
          <w:highlight w:val="none"/>
        </w:rPr>
      </w:pPr>
      <w:r>
        <w:rPr>
          <w:rFonts w:hint="eastAsia" w:ascii="宋体" w:hAnsi="宋体"/>
          <w:color w:val="auto"/>
          <w:sz w:val="24"/>
          <w:highlight w:val="none"/>
        </w:rPr>
        <w:t xml:space="preserve">                                                              </w:t>
      </w:r>
      <w:r>
        <w:rPr>
          <w:rFonts w:hint="eastAsia" w:ascii="宋体" w:hAnsi="宋体"/>
          <w:color w:val="auto"/>
          <w:sz w:val="28"/>
          <w:szCs w:val="28"/>
          <w:highlight w:val="none"/>
        </w:rPr>
        <w:t>（正本）</w:t>
      </w:r>
    </w:p>
    <w:p w14:paraId="64DA6443">
      <w:pPr>
        <w:shd w:val="clear" w:color="auto" w:fill="FFFFFF"/>
        <w:snapToGrid w:val="0"/>
        <w:spacing w:after="50"/>
        <w:ind w:firstLine="482"/>
        <w:rPr>
          <w:rFonts w:ascii="宋体" w:hAnsi="宋体"/>
          <w:b/>
          <w:color w:val="auto"/>
          <w:sz w:val="24"/>
          <w:szCs w:val="20"/>
          <w:highlight w:val="none"/>
        </w:rPr>
      </w:pPr>
      <w:r>
        <w:rPr>
          <w:rFonts w:hint="eastAsia" w:ascii="宋体" w:hAnsi="宋体"/>
          <w:b/>
          <w:color w:val="auto"/>
          <w:sz w:val="24"/>
          <w:szCs w:val="20"/>
          <w:highlight w:val="none"/>
        </w:rPr>
        <w:t> </w:t>
      </w:r>
    </w:p>
    <w:p w14:paraId="15A9A2D9">
      <w:pPr>
        <w:spacing w:before="120" w:beforeLines="50"/>
        <w:ind w:firstLine="723"/>
        <w:jc w:val="center"/>
        <w:rPr>
          <w:rFonts w:ascii="宋体" w:hAnsi="宋体"/>
          <w:b/>
          <w:color w:val="auto"/>
          <w:sz w:val="36"/>
          <w:szCs w:val="36"/>
          <w:highlight w:val="none"/>
        </w:rPr>
      </w:pPr>
    </w:p>
    <w:p w14:paraId="59800F02">
      <w:pPr>
        <w:spacing w:before="120" w:beforeLines="50" w:line="360" w:lineRule="auto"/>
        <w:jc w:val="center"/>
        <w:rPr>
          <w:rFonts w:hint="eastAsia" w:ascii="宋体" w:hAnsi="宋体" w:eastAsia="宋体"/>
          <w:b/>
          <w:color w:val="auto"/>
          <w:sz w:val="52"/>
          <w:szCs w:val="52"/>
          <w:highlight w:val="none"/>
          <w:lang w:eastAsia="zh-CN"/>
        </w:rPr>
      </w:pPr>
      <w:r>
        <w:rPr>
          <w:rFonts w:hint="eastAsia" w:ascii="宋体" w:hAnsi="宋体"/>
          <w:b/>
          <w:color w:val="auto"/>
          <w:sz w:val="52"/>
          <w:szCs w:val="52"/>
          <w:highlight w:val="none"/>
          <w:lang w:eastAsia="zh-CN"/>
        </w:rPr>
        <w:t>金华市博物馆邵飘萍旧居展陈提升项目</w:t>
      </w:r>
    </w:p>
    <w:p w14:paraId="45F84A55">
      <w:pPr>
        <w:rPr>
          <w:color w:val="auto"/>
          <w:highlight w:val="none"/>
        </w:rPr>
      </w:pPr>
    </w:p>
    <w:p w14:paraId="63B3D494">
      <w:pPr>
        <w:shd w:val="clear" w:color="auto" w:fill="FFFFFF"/>
        <w:snapToGrid w:val="0"/>
        <w:spacing w:after="50"/>
        <w:jc w:val="center"/>
        <w:rPr>
          <w:rFonts w:ascii="宋体" w:hAnsi="宋体" w:cs="宋体"/>
          <w:b/>
          <w:color w:val="auto"/>
          <w:sz w:val="72"/>
          <w:szCs w:val="72"/>
          <w:highlight w:val="none"/>
          <w:shd w:val="clear" w:color="auto" w:fill="FFFFFF"/>
        </w:rPr>
      </w:pPr>
      <w:r>
        <w:rPr>
          <w:rFonts w:hint="eastAsia" w:ascii="宋体" w:hAnsi="宋体" w:cs="宋体"/>
          <w:b/>
          <w:color w:val="auto"/>
          <w:sz w:val="72"/>
          <w:szCs w:val="72"/>
          <w:highlight w:val="none"/>
          <w:shd w:val="clear" w:color="auto" w:fill="FFFFFF"/>
        </w:rPr>
        <w:t>投 标 文 件</w:t>
      </w:r>
    </w:p>
    <w:p w14:paraId="5659621F">
      <w:pPr>
        <w:shd w:val="clear" w:color="auto" w:fill="FFFFFF"/>
        <w:snapToGrid w:val="0"/>
        <w:spacing w:after="50"/>
        <w:rPr>
          <w:rFonts w:ascii="宋体" w:hAnsi="宋体" w:cs="宋体"/>
          <w:b/>
          <w:color w:val="auto"/>
          <w:sz w:val="52"/>
          <w:szCs w:val="52"/>
          <w:highlight w:val="none"/>
          <w:shd w:val="clear" w:color="auto" w:fill="FFFFFF"/>
        </w:rPr>
      </w:pPr>
    </w:p>
    <w:p w14:paraId="047021EE">
      <w:pPr>
        <w:shd w:val="clear" w:color="auto" w:fill="FFFFFF"/>
        <w:snapToGrid w:val="0"/>
        <w:spacing w:after="50"/>
        <w:jc w:val="center"/>
        <w:rPr>
          <w:rFonts w:ascii="宋体" w:hAnsi="宋体" w:cs="宋体"/>
          <w:b/>
          <w:color w:val="auto"/>
          <w:sz w:val="52"/>
          <w:szCs w:val="52"/>
          <w:highlight w:val="none"/>
          <w:shd w:val="clear" w:color="auto" w:fill="FFFFFF"/>
        </w:rPr>
      </w:pPr>
      <w:r>
        <w:rPr>
          <w:rFonts w:hint="eastAsia" w:ascii="宋体" w:hAnsi="宋体" w:cs="宋体"/>
          <w:b/>
          <w:color w:val="auto"/>
          <w:sz w:val="52"/>
          <w:szCs w:val="52"/>
          <w:highlight w:val="none"/>
          <w:shd w:val="clear" w:color="auto" w:fill="FFFFFF"/>
        </w:rPr>
        <w:t>（商务技术文件）</w:t>
      </w:r>
    </w:p>
    <w:p w14:paraId="29F41B9E">
      <w:pPr>
        <w:shd w:val="clear" w:color="auto" w:fill="FFFFFF"/>
        <w:snapToGrid w:val="0"/>
        <w:spacing w:after="50"/>
        <w:jc w:val="center"/>
        <w:rPr>
          <w:rFonts w:ascii="宋体" w:hAnsi="宋体"/>
          <w:bCs/>
          <w:color w:val="auto"/>
          <w:sz w:val="24"/>
          <w:highlight w:val="none"/>
        </w:rPr>
      </w:pPr>
    </w:p>
    <w:p w14:paraId="3BF628FD">
      <w:pPr>
        <w:shd w:val="clear" w:color="auto" w:fill="FFFFFF"/>
        <w:snapToGrid w:val="0"/>
        <w:spacing w:after="50"/>
        <w:ind w:firstLine="600"/>
        <w:rPr>
          <w:rFonts w:ascii="宋体" w:hAnsi="宋体"/>
          <w:bCs/>
          <w:color w:val="auto"/>
          <w:sz w:val="30"/>
          <w:szCs w:val="30"/>
          <w:highlight w:val="none"/>
        </w:rPr>
      </w:pPr>
    </w:p>
    <w:p w14:paraId="770BEE09">
      <w:pPr>
        <w:pStyle w:val="183"/>
        <w:ind w:firstLine="480"/>
        <w:rPr>
          <w:color w:val="auto"/>
          <w:highlight w:val="none"/>
        </w:rPr>
      </w:pPr>
    </w:p>
    <w:p w14:paraId="293847EE">
      <w:pPr>
        <w:pStyle w:val="183"/>
        <w:ind w:firstLine="480"/>
        <w:rPr>
          <w:color w:val="auto"/>
          <w:highlight w:val="none"/>
        </w:rPr>
      </w:pPr>
    </w:p>
    <w:p w14:paraId="7722E5EB">
      <w:pPr>
        <w:pStyle w:val="183"/>
        <w:ind w:firstLine="480"/>
        <w:rPr>
          <w:color w:val="auto"/>
          <w:highlight w:val="none"/>
        </w:rPr>
      </w:pPr>
    </w:p>
    <w:p w14:paraId="4445B9E4">
      <w:pPr>
        <w:shd w:val="clear" w:color="auto" w:fill="FFFFFF"/>
        <w:snapToGrid w:val="0"/>
        <w:spacing w:after="50"/>
        <w:ind w:firstLine="900" w:firstLineChars="300"/>
        <w:rPr>
          <w:rFonts w:hint="eastAsia" w:ascii="宋体" w:hAnsi="宋体" w:eastAsia="宋体"/>
          <w:bCs/>
          <w:color w:val="auto"/>
          <w:sz w:val="30"/>
          <w:szCs w:val="30"/>
          <w:highlight w:val="none"/>
          <w:lang w:eastAsia="zh-CN"/>
        </w:rPr>
      </w:pPr>
      <w:r>
        <w:rPr>
          <w:rFonts w:hint="eastAsia" w:ascii="宋体" w:hAnsi="宋体"/>
          <w:bCs/>
          <w:color w:val="auto"/>
          <w:sz w:val="30"/>
          <w:szCs w:val="30"/>
          <w:highlight w:val="none"/>
        </w:rPr>
        <w:t>项目编号：</w:t>
      </w:r>
      <w:r>
        <w:rPr>
          <w:rFonts w:hint="eastAsia" w:ascii="宋体" w:hAnsi="宋体"/>
          <w:bCs/>
          <w:color w:val="auto"/>
          <w:sz w:val="30"/>
          <w:szCs w:val="30"/>
          <w:highlight w:val="none"/>
          <w:lang w:eastAsia="zh-CN"/>
        </w:rPr>
        <w:t>WQ2024272-ZFCG072</w:t>
      </w:r>
    </w:p>
    <w:p w14:paraId="49EBEF00">
      <w:pPr>
        <w:shd w:val="clear" w:color="auto" w:fill="FFFFFF"/>
        <w:snapToGrid w:val="0"/>
        <w:spacing w:after="50"/>
        <w:ind w:firstLine="900" w:firstLineChars="300"/>
        <w:rPr>
          <w:rFonts w:ascii="宋体" w:hAnsi="宋体"/>
          <w:bCs/>
          <w:color w:val="auto"/>
          <w:sz w:val="30"/>
          <w:szCs w:val="30"/>
          <w:highlight w:val="none"/>
        </w:rPr>
      </w:pPr>
      <w:r>
        <w:rPr>
          <w:rFonts w:hint="eastAsia" w:ascii="宋体" w:hAnsi="宋体"/>
          <w:bCs/>
          <w:color w:val="auto"/>
          <w:sz w:val="30"/>
          <w:szCs w:val="30"/>
          <w:highlight w:val="none"/>
        </w:rPr>
        <w:t>供应商名称（电子签章/公章）：</w:t>
      </w:r>
    </w:p>
    <w:p w14:paraId="66090136">
      <w:pPr>
        <w:shd w:val="clear" w:color="auto" w:fill="FFFFFF"/>
        <w:snapToGrid w:val="0"/>
        <w:spacing w:after="50"/>
        <w:ind w:firstLine="900" w:firstLineChars="300"/>
        <w:rPr>
          <w:rFonts w:ascii="宋体" w:hAnsi="宋体"/>
          <w:bCs/>
          <w:color w:val="auto"/>
          <w:sz w:val="30"/>
          <w:szCs w:val="30"/>
          <w:highlight w:val="none"/>
        </w:rPr>
      </w:pPr>
      <w:r>
        <w:rPr>
          <w:rFonts w:hint="eastAsia" w:ascii="宋体" w:hAnsi="宋体"/>
          <w:bCs/>
          <w:color w:val="auto"/>
          <w:sz w:val="30"/>
          <w:szCs w:val="30"/>
          <w:highlight w:val="none"/>
        </w:rPr>
        <w:t>投标人地址：</w:t>
      </w:r>
    </w:p>
    <w:p w14:paraId="142620DC">
      <w:pPr>
        <w:shd w:val="clear" w:color="auto" w:fill="FFFFFF"/>
        <w:snapToGrid w:val="0"/>
        <w:spacing w:after="50"/>
        <w:ind w:firstLine="900" w:firstLineChars="300"/>
        <w:rPr>
          <w:rFonts w:ascii="宋体" w:hAnsi="宋体"/>
          <w:bCs/>
          <w:color w:val="auto"/>
          <w:sz w:val="30"/>
          <w:szCs w:val="30"/>
          <w:highlight w:val="none"/>
        </w:rPr>
      </w:pPr>
      <w:r>
        <w:rPr>
          <w:rFonts w:hint="eastAsia" w:ascii="宋体" w:hAnsi="宋体"/>
          <w:bCs/>
          <w:color w:val="auto"/>
          <w:sz w:val="30"/>
          <w:szCs w:val="30"/>
          <w:highlight w:val="none"/>
        </w:rPr>
        <w:t>联系电话：</w:t>
      </w:r>
    </w:p>
    <w:p w14:paraId="6F30A6F2">
      <w:pPr>
        <w:shd w:val="clear" w:color="auto" w:fill="FFFFFF"/>
        <w:snapToGrid w:val="0"/>
        <w:spacing w:before="50" w:after="50"/>
        <w:ind w:firstLine="960" w:firstLineChars="400"/>
        <w:rPr>
          <w:rFonts w:ascii="宋体" w:hAnsi="宋体"/>
          <w:bCs/>
          <w:color w:val="auto"/>
          <w:sz w:val="24"/>
          <w:highlight w:val="none"/>
        </w:rPr>
      </w:pPr>
      <w:r>
        <w:rPr>
          <w:rFonts w:hint="eastAsia" w:ascii="宋体" w:hAnsi="宋体"/>
          <w:bCs/>
          <w:color w:val="auto"/>
          <w:sz w:val="24"/>
          <w:highlight w:val="none"/>
        </w:rPr>
        <w:t> </w:t>
      </w:r>
    </w:p>
    <w:p w14:paraId="29472AA9">
      <w:pPr>
        <w:shd w:val="clear" w:color="auto" w:fill="FFFFFF"/>
        <w:snapToGrid w:val="0"/>
        <w:spacing w:after="50"/>
        <w:ind w:firstLine="4080" w:firstLineChars="1700"/>
        <w:rPr>
          <w:rFonts w:ascii="宋体" w:hAnsi="宋体"/>
          <w:color w:val="auto"/>
          <w:sz w:val="32"/>
          <w:szCs w:val="22"/>
          <w:highlight w:val="none"/>
        </w:rPr>
      </w:pPr>
      <w:r>
        <w:rPr>
          <w:rFonts w:hint="eastAsia" w:ascii="宋体" w:hAnsi="宋体"/>
          <w:color w:val="auto"/>
          <w:sz w:val="24"/>
          <w:szCs w:val="20"/>
          <w:highlight w:val="none"/>
        </w:rPr>
        <w:t> </w:t>
      </w:r>
    </w:p>
    <w:p w14:paraId="56483138">
      <w:pPr>
        <w:shd w:val="clear" w:color="auto" w:fill="FFFFFF"/>
        <w:snapToGrid w:val="0"/>
        <w:spacing w:after="50"/>
        <w:ind w:firstLine="640"/>
        <w:jc w:val="center"/>
        <w:rPr>
          <w:rFonts w:ascii="宋体" w:hAnsi="宋体"/>
          <w:color w:val="auto"/>
          <w:sz w:val="32"/>
          <w:szCs w:val="22"/>
          <w:highlight w:val="none"/>
        </w:rPr>
      </w:pPr>
      <w:r>
        <w:rPr>
          <w:rFonts w:hint="eastAsia" w:ascii="宋体" w:hAnsi="宋体"/>
          <w:color w:val="auto"/>
          <w:sz w:val="32"/>
          <w:szCs w:val="32"/>
          <w:highlight w:val="none"/>
        </w:rPr>
        <w:t xml:space="preserve">                        年  月  日</w:t>
      </w:r>
    </w:p>
    <w:p w14:paraId="6D5D806F">
      <w:pPr>
        <w:snapToGrid w:val="0"/>
        <w:spacing w:line="360" w:lineRule="auto"/>
        <w:ind w:firstLine="602"/>
        <w:jc w:val="center"/>
        <w:rPr>
          <w:rFonts w:ascii="宋体" w:hAnsi="宋体"/>
          <w:b/>
          <w:color w:val="auto"/>
          <w:sz w:val="28"/>
          <w:szCs w:val="28"/>
          <w:highlight w:val="none"/>
        </w:rPr>
      </w:pPr>
      <w:r>
        <w:rPr>
          <w:rFonts w:ascii="宋体" w:hAnsi="宋体"/>
          <w:b/>
          <w:color w:val="auto"/>
          <w:sz w:val="30"/>
          <w:highlight w:val="none"/>
        </w:rPr>
        <w:br w:type="page"/>
      </w:r>
    </w:p>
    <w:p w14:paraId="2DA5CB6C">
      <w:pPr>
        <w:snapToGrid w:val="0"/>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商务技术文件目录</w:t>
      </w:r>
    </w:p>
    <w:p w14:paraId="07B8BB9A">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ascii="宋体" w:hAnsi="宋体" w:cs="Courier New"/>
          <w:color w:val="auto"/>
          <w:kern w:val="0"/>
          <w:sz w:val="24"/>
          <w:highlight w:val="none"/>
        </w:rPr>
      </w:pPr>
      <w:r>
        <w:rPr>
          <w:rFonts w:hint="eastAsia" w:ascii="宋体" w:hAnsi="宋体" w:cs="Courier New"/>
          <w:color w:val="auto"/>
          <w:kern w:val="0"/>
          <w:sz w:val="24"/>
          <w:highlight w:val="none"/>
        </w:rPr>
        <w:t>一、投标声明书；</w:t>
      </w:r>
    </w:p>
    <w:p w14:paraId="40947DA1">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ascii="宋体" w:hAnsi="宋体" w:cs="Courier New"/>
          <w:color w:val="auto"/>
          <w:kern w:val="0"/>
          <w:sz w:val="24"/>
          <w:highlight w:val="none"/>
        </w:rPr>
      </w:pPr>
      <w:r>
        <w:rPr>
          <w:rFonts w:hint="eastAsia" w:ascii="宋体" w:hAnsi="宋体" w:cs="Courier New"/>
          <w:color w:val="auto"/>
          <w:kern w:val="0"/>
          <w:sz w:val="24"/>
          <w:highlight w:val="none"/>
        </w:rPr>
        <w:t>二、法定代表人授权委托书（非法人本人参加投标时提供；法定代表人本人参加投标时无须提供授权）；</w:t>
      </w:r>
    </w:p>
    <w:p w14:paraId="6212F813">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ascii="宋体" w:hAnsi="宋体" w:cs="Courier New"/>
          <w:color w:val="auto"/>
          <w:kern w:val="0"/>
          <w:sz w:val="24"/>
          <w:highlight w:val="none"/>
        </w:rPr>
      </w:pPr>
      <w:r>
        <w:rPr>
          <w:rFonts w:hint="eastAsia" w:ascii="宋体" w:hAnsi="宋体" w:cs="Courier New"/>
          <w:color w:val="auto"/>
          <w:kern w:val="0"/>
          <w:sz w:val="24"/>
          <w:highlight w:val="none"/>
        </w:rPr>
        <w:t>三、投标人基本情况（如企业简介，经营状况、财务状况、专业能力，企业荣誉，企业资质，拥有相关认证情况等等）；</w:t>
      </w:r>
    </w:p>
    <w:p w14:paraId="5159E60C">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四、</w:t>
      </w:r>
      <w:r>
        <w:rPr>
          <w:rFonts w:hint="eastAsia" w:ascii="宋体" w:hAnsi="宋体" w:cs="宋体"/>
          <w:color w:val="auto"/>
          <w:sz w:val="24"/>
          <w:highlight w:val="none"/>
          <w:lang w:eastAsia="zh-CN"/>
        </w:rPr>
        <w:t>投</w:t>
      </w:r>
      <w:r>
        <w:rPr>
          <w:rFonts w:hint="eastAsia" w:ascii="宋体" w:hAnsi="宋体" w:cs="宋体"/>
          <w:color w:val="auto"/>
          <w:sz w:val="24"/>
          <w:highlight w:val="none"/>
        </w:rPr>
        <w:t>标人完成的同类项目业绩，提供业绩清单及合同复印件</w:t>
      </w:r>
      <w:r>
        <w:rPr>
          <w:rFonts w:hint="eastAsia" w:ascii="宋体" w:hAnsi="宋体" w:cs="Courier New"/>
          <w:color w:val="auto"/>
          <w:kern w:val="0"/>
          <w:sz w:val="24"/>
          <w:highlight w:val="none"/>
        </w:rPr>
        <w:t>；</w:t>
      </w:r>
    </w:p>
    <w:p w14:paraId="565814D3">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ascii="宋体" w:hAnsi="宋体" w:cs="Courier New"/>
          <w:color w:val="auto"/>
          <w:kern w:val="0"/>
          <w:sz w:val="24"/>
          <w:highlight w:val="none"/>
        </w:rPr>
      </w:pPr>
      <w:r>
        <w:rPr>
          <w:rFonts w:hint="eastAsia" w:ascii="宋体" w:hAnsi="宋体" w:cs="宋体"/>
          <w:color w:val="auto"/>
          <w:sz w:val="24"/>
          <w:highlight w:val="none"/>
        </w:rPr>
        <w:t>五、</w:t>
      </w:r>
      <w:r>
        <w:rPr>
          <w:rFonts w:hint="eastAsia" w:ascii="宋体" w:hAnsi="宋体" w:cs="Courier New"/>
          <w:color w:val="auto"/>
          <w:kern w:val="0"/>
          <w:sz w:val="24"/>
          <w:highlight w:val="none"/>
        </w:rPr>
        <w:t>技术/商务响应表</w:t>
      </w:r>
      <w:r>
        <w:rPr>
          <w:rFonts w:hint="eastAsia" w:ascii="宋体" w:hAnsi="宋体" w:cs="宋体"/>
          <w:color w:val="auto"/>
          <w:sz w:val="24"/>
          <w:highlight w:val="none"/>
        </w:rPr>
        <w:t>（必须针对“招标需求”所列的技术参数条目，说明无偏离、正偏离、负偏离等响应情况</w:t>
      </w:r>
      <w:r>
        <w:rPr>
          <w:rFonts w:hint="eastAsia" w:ascii="宋体" w:hAnsi="宋体" w:cs="Courier New"/>
          <w:color w:val="auto"/>
          <w:kern w:val="0"/>
          <w:sz w:val="24"/>
          <w:highlight w:val="none"/>
        </w:rPr>
        <w:t>）；</w:t>
      </w:r>
    </w:p>
    <w:p w14:paraId="5E2D4EFB">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cs="Courier New"/>
          <w:color w:val="auto"/>
          <w:kern w:val="0"/>
          <w:sz w:val="24"/>
          <w:highlight w:val="none"/>
          <w:lang w:val="en-US" w:eastAsia="zh-CN"/>
        </w:rPr>
      </w:pPr>
      <w:r>
        <w:rPr>
          <w:rFonts w:hint="eastAsia" w:ascii="宋体" w:hAnsi="宋体" w:cs="Courier New"/>
          <w:color w:val="auto"/>
          <w:kern w:val="0"/>
          <w:sz w:val="24"/>
          <w:highlight w:val="none"/>
        </w:rPr>
        <w:t>六、</w:t>
      </w:r>
      <w:r>
        <w:rPr>
          <w:rFonts w:hint="eastAsia" w:ascii="宋体" w:hAnsi="宋体" w:cs="Courier New"/>
          <w:color w:val="auto"/>
          <w:kern w:val="0"/>
          <w:sz w:val="24"/>
          <w:highlight w:val="none"/>
          <w:lang w:val="en-US" w:eastAsia="zh-CN"/>
        </w:rPr>
        <w:t>项目技术及实施方案；</w:t>
      </w:r>
    </w:p>
    <w:p w14:paraId="69E743F0">
      <w:pPr>
        <w:keepNext w:val="0"/>
        <w:keepLines w:val="0"/>
        <w:pageBreakBefore w:val="0"/>
        <w:widowControl w:val="0"/>
        <w:tabs>
          <w:tab w:val="left" w:pos="720"/>
        </w:tabs>
        <w:kinsoku/>
        <w:wordWrap/>
        <w:overflowPunct/>
        <w:topLinePunct w:val="0"/>
        <w:autoSpaceDE/>
        <w:autoSpaceDN/>
        <w:bidi w:val="0"/>
        <w:adjustRightInd/>
        <w:spacing w:line="360" w:lineRule="exact"/>
        <w:ind w:firstLine="480" w:firstLineChars="200"/>
        <w:textAlignment w:val="auto"/>
        <w:rPr>
          <w:rFonts w:hint="eastAsia" w:ascii="宋体" w:hAnsi="宋体" w:cs="Courier New"/>
          <w:color w:val="auto"/>
          <w:kern w:val="0"/>
          <w:sz w:val="24"/>
          <w:highlight w:val="none"/>
        </w:rPr>
      </w:pPr>
      <w:r>
        <w:rPr>
          <w:rFonts w:hint="eastAsia" w:ascii="宋体" w:hAnsi="宋体" w:cs="Courier New"/>
          <w:color w:val="auto"/>
          <w:kern w:val="0"/>
          <w:sz w:val="24"/>
          <w:highlight w:val="none"/>
        </w:rPr>
        <w:t>a.</w:t>
      </w:r>
      <w:r>
        <w:rPr>
          <w:rFonts w:hint="eastAsia" w:ascii="宋体" w:hAnsi="宋体" w:cs="宋体"/>
          <w:b w:val="0"/>
          <w:bCs w:val="0"/>
          <w:color w:val="auto"/>
          <w:sz w:val="24"/>
          <w:szCs w:val="24"/>
          <w:highlight w:val="none"/>
          <w:lang w:val="en-US" w:eastAsia="zh-CN"/>
        </w:rPr>
        <w:t>文物保护单位（古建筑）实施</w:t>
      </w:r>
      <w:r>
        <w:rPr>
          <w:rFonts w:hint="eastAsia" w:ascii="宋体" w:hAnsi="宋体" w:eastAsia="宋体" w:cs="宋体"/>
          <w:b w:val="0"/>
          <w:bCs w:val="0"/>
          <w:color w:val="auto"/>
          <w:sz w:val="24"/>
          <w:szCs w:val="24"/>
          <w:highlight w:val="none"/>
        </w:rPr>
        <w:t>展览需求分析</w:t>
      </w:r>
      <w:r>
        <w:rPr>
          <w:rFonts w:hint="eastAsia" w:ascii="宋体" w:hAnsi="宋体" w:cs="Courier New"/>
          <w:color w:val="auto"/>
          <w:kern w:val="0"/>
          <w:sz w:val="24"/>
          <w:highlight w:val="none"/>
        </w:rPr>
        <w:t>；</w:t>
      </w:r>
    </w:p>
    <w:p w14:paraId="095E8374">
      <w:pPr>
        <w:keepNext w:val="0"/>
        <w:keepLines w:val="0"/>
        <w:pageBreakBefore w:val="0"/>
        <w:widowControl w:val="0"/>
        <w:tabs>
          <w:tab w:val="left" w:pos="720"/>
        </w:tabs>
        <w:kinsoku/>
        <w:wordWrap/>
        <w:overflowPunct/>
        <w:topLinePunct w:val="0"/>
        <w:autoSpaceDE/>
        <w:autoSpaceDN/>
        <w:bidi w:val="0"/>
        <w:adjustRightInd/>
        <w:spacing w:line="360" w:lineRule="exact"/>
        <w:ind w:firstLine="480" w:firstLineChars="200"/>
        <w:textAlignment w:val="auto"/>
        <w:rPr>
          <w:rFonts w:hint="eastAsia" w:ascii="宋体" w:hAnsi="宋体" w:cs="Courier New"/>
          <w:color w:val="auto"/>
          <w:kern w:val="0"/>
          <w:sz w:val="24"/>
          <w:highlight w:val="none"/>
        </w:rPr>
      </w:pPr>
      <w:r>
        <w:rPr>
          <w:rFonts w:hint="eastAsia" w:ascii="宋体" w:hAnsi="宋体" w:cs="Courier New"/>
          <w:color w:val="auto"/>
          <w:kern w:val="0"/>
          <w:sz w:val="24"/>
          <w:highlight w:val="none"/>
        </w:rPr>
        <w:t>b.</w:t>
      </w:r>
      <w:r>
        <w:rPr>
          <w:rFonts w:hint="eastAsia" w:ascii="宋体" w:hAnsi="宋体" w:cs="宋体"/>
          <w:color w:val="auto"/>
          <w:sz w:val="24"/>
          <w:highlight w:val="none"/>
          <w:lang w:val="en-US" w:eastAsia="zh-CN"/>
        </w:rPr>
        <w:t>场地了解与分析</w:t>
      </w:r>
      <w:r>
        <w:rPr>
          <w:rFonts w:hint="eastAsia" w:ascii="宋体" w:hAnsi="宋体" w:cs="Courier New"/>
          <w:color w:val="auto"/>
          <w:kern w:val="0"/>
          <w:sz w:val="24"/>
          <w:highlight w:val="none"/>
        </w:rPr>
        <w:t>；</w:t>
      </w:r>
    </w:p>
    <w:p w14:paraId="015A528F">
      <w:pPr>
        <w:keepNext w:val="0"/>
        <w:keepLines w:val="0"/>
        <w:pageBreakBefore w:val="0"/>
        <w:widowControl w:val="0"/>
        <w:tabs>
          <w:tab w:val="left" w:pos="720"/>
        </w:tabs>
        <w:kinsoku/>
        <w:wordWrap/>
        <w:overflowPunct/>
        <w:topLinePunct w:val="0"/>
        <w:autoSpaceDE/>
        <w:autoSpaceDN/>
        <w:bidi w:val="0"/>
        <w:adjustRightInd/>
        <w:spacing w:line="360" w:lineRule="exact"/>
        <w:ind w:firstLine="480" w:firstLineChars="200"/>
        <w:textAlignment w:val="auto"/>
        <w:rPr>
          <w:rFonts w:hint="eastAsia" w:ascii="宋体" w:hAnsi="宋体" w:cs="Courier New"/>
          <w:color w:val="auto"/>
          <w:kern w:val="0"/>
          <w:sz w:val="24"/>
          <w:highlight w:val="none"/>
        </w:rPr>
      </w:pPr>
      <w:r>
        <w:rPr>
          <w:rFonts w:hint="eastAsia" w:ascii="宋体" w:hAnsi="宋体" w:cs="Courier New"/>
          <w:color w:val="auto"/>
          <w:kern w:val="0"/>
          <w:sz w:val="24"/>
          <w:highlight w:val="none"/>
        </w:rPr>
        <w:t>c.</w:t>
      </w:r>
      <w:r>
        <w:rPr>
          <w:rFonts w:hint="eastAsia" w:ascii="宋体" w:hAnsi="宋体" w:eastAsia="宋体" w:cs="宋体"/>
          <w:color w:val="auto"/>
          <w:sz w:val="24"/>
          <w:szCs w:val="24"/>
          <w:highlight w:val="none"/>
          <w:lang w:eastAsia="zh-CN"/>
        </w:rPr>
        <w:t>策划</w:t>
      </w:r>
      <w:r>
        <w:rPr>
          <w:rFonts w:hint="eastAsia" w:hAnsi="宋体" w:cs="宋体"/>
          <w:color w:val="auto"/>
          <w:sz w:val="24"/>
          <w:szCs w:val="24"/>
          <w:highlight w:val="none"/>
          <w:lang w:val="en-US" w:eastAsia="zh-CN"/>
        </w:rPr>
        <w:t>方案</w:t>
      </w:r>
      <w:r>
        <w:rPr>
          <w:rFonts w:hint="eastAsia" w:ascii="宋体" w:hAnsi="宋体" w:eastAsia="宋体" w:cs="宋体"/>
          <w:color w:val="auto"/>
          <w:sz w:val="24"/>
          <w:szCs w:val="24"/>
          <w:highlight w:val="none"/>
          <w:lang w:eastAsia="zh-CN"/>
        </w:rPr>
        <w:t>文本</w:t>
      </w:r>
      <w:r>
        <w:rPr>
          <w:rFonts w:hint="eastAsia" w:ascii="宋体" w:hAnsi="宋体" w:cs="Courier New"/>
          <w:color w:val="auto"/>
          <w:kern w:val="0"/>
          <w:sz w:val="24"/>
          <w:highlight w:val="none"/>
        </w:rPr>
        <w:t>；</w:t>
      </w:r>
    </w:p>
    <w:p w14:paraId="1581CA2D">
      <w:pPr>
        <w:keepNext w:val="0"/>
        <w:keepLines w:val="0"/>
        <w:pageBreakBefore w:val="0"/>
        <w:widowControl w:val="0"/>
        <w:tabs>
          <w:tab w:val="left" w:pos="720"/>
        </w:tabs>
        <w:kinsoku/>
        <w:wordWrap/>
        <w:overflowPunct/>
        <w:topLinePunct w:val="0"/>
        <w:autoSpaceDE/>
        <w:autoSpaceDN/>
        <w:bidi w:val="0"/>
        <w:adjustRightInd/>
        <w:spacing w:line="360" w:lineRule="exact"/>
        <w:ind w:firstLine="480" w:firstLineChars="200"/>
        <w:textAlignment w:val="auto"/>
        <w:rPr>
          <w:rFonts w:hint="eastAsia" w:ascii="宋体" w:hAnsi="宋体" w:cs="Courier New"/>
          <w:color w:val="auto"/>
          <w:kern w:val="0"/>
          <w:sz w:val="24"/>
          <w:highlight w:val="none"/>
        </w:rPr>
      </w:pPr>
      <w:r>
        <w:rPr>
          <w:rFonts w:hint="eastAsia" w:ascii="宋体" w:hAnsi="宋体" w:cs="Courier New"/>
          <w:color w:val="auto"/>
          <w:kern w:val="0"/>
          <w:sz w:val="24"/>
          <w:highlight w:val="none"/>
        </w:rPr>
        <w:t>d.</w:t>
      </w:r>
      <w:r>
        <w:rPr>
          <w:rFonts w:hint="eastAsia" w:ascii="宋体" w:hAnsi="宋体" w:cs="宋体"/>
          <w:color w:val="auto"/>
          <w:sz w:val="24"/>
          <w:highlight w:val="none"/>
          <w:lang w:val="en-US" w:eastAsia="zh-CN"/>
        </w:rPr>
        <w:t>设计方案及对应清单细化情况</w:t>
      </w:r>
      <w:r>
        <w:rPr>
          <w:rFonts w:hint="eastAsia" w:ascii="宋体" w:hAnsi="宋体" w:cs="Courier New"/>
          <w:color w:val="auto"/>
          <w:kern w:val="0"/>
          <w:sz w:val="24"/>
          <w:highlight w:val="none"/>
        </w:rPr>
        <w:t>；</w:t>
      </w:r>
    </w:p>
    <w:p w14:paraId="5E40492A">
      <w:pPr>
        <w:keepNext w:val="0"/>
        <w:keepLines w:val="0"/>
        <w:pageBreakBefore w:val="0"/>
        <w:widowControl w:val="0"/>
        <w:tabs>
          <w:tab w:val="left" w:pos="720"/>
        </w:tabs>
        <w:kinsoku/>
        <w:wordWrap/>
        <w:overflowPunct/>
        <w:topLinePunct w:val="0"/>
        <w:autoSpaceDE/>
        <w:autoSpaceDN/>
        <w:bidi w:val="0"/>
        <w:adjustRightInd/>
        <w:spacing w:line="360" w:lineRule="exact"/>
        <w:ind w:firstLine="480" w:firstLineChars="200"/>
        <w:textAlignment w:val="auto"/>
        <w:rPr>
          <w:rFonts w:hint="eastAsia" w:ascii="宋体" w:hAnsi="宋体" w:cs="Courier New"/>
          <w:color w:val="auto"/>
          <w:kern w:val="0"/>
          <w:sz w:val="24"/>
          <w:highlight w:val="none"/>
          <w:lang w:eastAsia="zh-CN"/>
        </w:rPr>
      </w:pPr>
      <w:r>
        <w:rPr>
          <w:rFonts w:hint="eastAsia" w:ascii="宋体" w:hAnsi="宋体" w:cs="Courier New"/>
          <w:color w:val="auto"/>
          <w:kern w:val="0"/>
          <w:sz w:val="24"/>
          <w:highlight w:val="none"/>
        </w:rPr>
        <w:t>e.</w:t>
      </w:r>
      <w:r>
        <w:rPr>
          <w:rFonts w:hint="eastAsia" w:ascii="宋体" w:hAnsi="宋体" w:cs="宋体"/>
          <w:color w:val="auto"/>
          <w:sz w:val="24"/>
          <w:szCs w:val="24"/>
          <w:highlight w:val="none"/>
          <w:lang w:val="en-US" w:eastAsia="zh-CN"/>
        </w:rPr>
        <w:t>实施</w:t>
      </w:r>
      <w:r>
        <w:rPr>
          <w:rFonts w:hint="eastAsia" w:hAnsi="宋体" w:cs="宋体"/>
          <w:color w:val="auto"/>
          <w:sz w:val="24"/>
          <w:szCs w:val="24"/>
          <w:highlight w:val="none"/>
          <w:lang w:val="en-US" w:eastAsia="zh-CN"/>
        </w:rPr>
        <w:t>组织</w:t>
      </w:r>
      <w:r>
        <w:rPr>
          <w:rFonts w:hint="eastAsia" w:ascii="宋体" w:hAnsi="宋体" w:cs="宋体"/>
          <w:color w:val="auto"/>
          <w:sz w:val="24"/>
          <w:szCs w:val="24"/>
          <w:highlight w:val="none"/>
          <w:lang w:val="en-US" w:eastAsia="zh-CN"/>
        </w:rPr>
        <w:t>方案</w:t>
      </w:r>
      <w:r>
        <w:rPr>
          <w:rFonts w:hint="eastAsia" w:ascii="宋体" w:hAnsi="宋体" w:cs="Courier New"/>
          <w:color w:val="auto"/>
          <w:kern w:val="0"/>
          <w:sz w:val="24"/>
          <w:highlight w:val="none"/>
          <w:lang w:eastAsia="zh-CN"/>
        </w:rPr>
        <w:t>；</w:t>
      </w:r>
    </w:p>
    <w:p w14:paraId="56BBA8E8">
      <w:pPr>
        <w:keepNext w:val="0"/>
        <w:keepLines w:val="0"/>
        <w:pageBreakBefore w:val="0"/>
        <w:widowControl w:val="0"/>
        <w:tabs>
          <w:tab w:val="left" w:pos="720"/>
        </w:tabs>
        <w:kinsoku/>
        <w:wordWrap/>
        <w:overflowPunct/>
        <w:topLinePunct w:val="0"/>
        <w:autoSpaceDE/>
        <w:autoSpaceDN/>
        <w:bidi w:val="0"/>
        <w:adjustRightInd/>
        <w:spacing w:line="360" w:lineRule="exact"/>
        <w:ind w:firstLine="480" w:firstLineChars="200"/>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f.</w:t>
      </w:r>
      <w:r>
        <w:rPr>
          <w:rFonts w:hint="eastAsia" w:ascii="宋体" w:hAnsi="宋体" w:cs="宋体"/>
          <w:color w:val="auto"/>
          <w:sz w:val="24"/>
          <w:szCs w:val="24"/>
          <w:highlight w:val="none"/>
          <w:lang w:val="en-US" w:eastAsia="zh-CN"/>
        </w:rPr>
        <w:t>布展材料及软硬件设施</w:t>
      </w:r>
      <w:r>
        <w:rPr>
          <w:rFonts w:hint="eastAsia" w:ascii="宋体" w:hAnsi="宋体" w:cs="宋体"/>
          <w:color w:val="auto"/>
          <w:kern w:val="2"/>
          <w:sz w:val="24"/>
          <w:szCs w:val="24"/>
          <w:highlight w:val="none"/>
          <w:lang w:val="en-US" w:eastAsia="zh-CN" w:bidi="ar-SA"/>
        </w:rPr>
        <w:t>；</w:t>
      </w:r>
    </w:p>
    <w:p w14:paraId="1FF34304">
      <w:pPr>
        <w:keepNext w:val="0"/>
        <w:keepLines w:val="0"/>
        <w:pageBreakBefore w:val="0"/>
        <w:widowControl w:val="0"/>
        <w:tabs>
          <w:tab w:val="left" w:pos="720"/>
        </w:tabs>
        <w:kinsoku/>
        <w:wordWrap/>
        <w:overflowPunct/>
        <w:topLinePunct w:val="0"/>
        <w:autoSpaceDE/>
        <w:autoSpaceDN/>
        <w:bidi w:val="0"/>
        <w:adjustRightInd/>
        <w:spacing w:line="360" w:lineRule="exact"/>
        <w:ind w:firstLine="480" w:firstLineChars="200"/>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g.</w:t>
      </w:r>
      <w:r>
        <w:rPr>
          <w:rFonts w:hint="eastAsia" w:ascii="宋体" w:hAnsi="宋体" w:eastAsia="宋体" w:cs="宋体"/>
          <w:color w:val="auto"/>
          <w:kern w:val="2"/>
          <w:sz w:val="24"/>
          <w:szCs w:val="24"/>
          <w:highlight w:val="none"/>
          <w:lang w:val="en-US" w:eastAsia="zh-CN" w:bidi="ar-SA"/>
        </w:rPr>
        <w:t>展览布</w:t>
      </w:r>
      <w:r>
        <w:rPr>
          <w:rFonts w:hint="eastAsia" w:ascii="宋体" w:hAnsi="宋体" w:cs="宋体"/>
          <w:color w:val="auto"/>
          <w:kern w:val="2"/>
          <w:sz w:val="24"/>
          <w:szCs w:val="24"/>
          <w:highlight w:val="none"/>
          <w:lang w:val="en-US" w:eastAsia="zh-CN" w:bidi="ar-SA"/>
        </w:rPr>
        <w:t>展</w:t>
      </w:r>
      <w:r>
        <w:rPr>
          <w:rFonts w:hint="eastAsia" w:ascii="宋体" w:hAnsi="宋体" w:eastAsia="宋体" w:cs="宋体"/>
          <w:color w:val="auto"/>
          <w:kern w:val="2"/>
          <w:sz w:val="24"/>
          <w:szCs w:val="24"/>
          <w:highlight w:val="none"/>
          <w:lang w:val="en-US" w:eastAsia="zh-CN" w:bidi="ar-SA"/>
        </w:rPr>
        <w:t>方案</w:t>
      </w:r>
      <w:r>
        <w:rPr>
          <w:rFonts w:hint="eastAsia" w:ascii="宋体" w:hAnsi="宋体" w:cs="宋体"/>
          <w:color w:val="auto"/>
          <w:sz w:val="24"/>
          <w:szCs w:val="24"/>
          <w:highlight w:val="none"/>
          <w:lang w:val="en-US" w:eastAsia="zh-CN"/>
        </w:rPr>
        <w:t>；</w:t>
      </w:r>
    </w:p>
    <w:p w14:paraId="3FF3B342">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ascii="宋体" w:hAnsi="宋体" w:cs="Courier New"/>
          <w:color w:val="auto"/>
          <w:kern w:val="0"/>
          <w:sz w:val="24"/>
          <w:highlight w:val="none"/>
        </w:rPr>
      </w:pPr>
      <w:r>
        <w:rPr>
          <w:rFonts w:hint="eastAsia" w:ascii="宋体" w:hAnsi="宋体" w:cs="Courier New"/>
          <w:color w:val="auto"/>
          <w:kern w:val="0"/>
          <w:sz w:val="24"/>
          <w:highlight w:val="none"/>
          <w:lang w:val="en-US" w:eastAsia="zh-CN"/>
        </w:rPr>
        <w:t>七</w:t>
      </w:r>
      <w:r>
        <w:rPr>
          <w:rFonts w:hint="eastAsia" w:ascii="宋体" w:hAnsi="宋体" w:cs="Courier New"/>
          <w:color w:val="auto"/>
          <w:kern w:val="0"/>
          <w:sz w:val="24"/>
          <w:highlight w:val="none"/>
        </w:rPr>
        <w:t>、拟派</w:t>
      </w:r>
      <w:r>
        <w:rPr>
          <w:rFonts w:hint="eastAsia" w:ascii="宋体" w:hAnsi="宋体" w:cs="宋体"/>
          <w:color w:val="auto"/>
          <w:sz w:val="24"/>
          <w:highlight w:val="none"/>
          <w:lang w:val="en-US" w:eastAsia="zh-CN"/>
        </w:rPr>
        <w:t>实施团队</w:t>
      </w:r>
      <w:r>
        <w:rPr>
          <w:rFonts w:hint="eastAsia" w:ascii="宋体" w:hAnsi="宋体" w:cs="宋体"/>
          <w:color w:val="auto"/>
          <w:sz w:val="24"/>
          <w:highlight w:val="none"/>
        </w:rPr>
        <w:t>人员</w:t>
      </w:r>
      <w:r>
        <w:rPr>
          <w:rFonts w:hint="eastAsia" w:ascii="宋体" w:hAnsi="宋体" w:cs="Courier New"/>
          <w:color w:val="auto"/>
          <w:kern w:val="0"/>
          <w:sz w:val="24"/>
          <w:highlight w:val="none"/>
        </w:rPr>
        <w:t>情况：投标人拟派项目</w:t>
      </w:r>
      <w:r>
        <w:rPr>
          <w:rFonts w:hint="eastAsia" w:ascii="宋体" w:hAnsi="宋体" w:cs="Courier New"/>
          <w:color w:val="auto"/>
          <w:kern w:val="0"/>
          <w:sz w:val="24"/>
          <w:highlight w:val="none"/>
          <w:lang w:eastAsia="zh-CN"/>
        </w:rPr>
        <w:t>团队</w:t>
      </w:r>
      <w:r>
        <w:rPr>
          <w:rFonts w:hint="eastAsia" w:ascii="宋体" w:hAnsi="宋体" w:cs="宋体"/>
          <w:color w:val="auto"/>
          <w:kern w:val="2"/>
          <w:sz w:val="24"/>
          <w:szCs w:val="21"/>
          <w:highlight w:val="none"/>
          <w:lang w:val="en-US" w:eastAsia="zh-CN" w:bidi="ar-SA"/>
        </w:rPr>
        <w:t>岗位配置、</w:t>
      </w:r>
      <w:r>
        <w:rPr>
          <w:rFonts w:hint="eastAsia" w:ascii="宋体" w:hAnsi="宋体" w:eastAsia="宋体" w:cs="宋体"/>
          <w:color w:val="auto"/>
          <w:kern w:val="2"/>
          <w:sz w:val="24"/>
          <w:szCs w:val="21"/>
          <w:highlight w:val="none"/>
          <w:lang w:val="en-US" w:eastAsia="zh-CN" w:bidi="ar-SA"/>
        </w:rPr>
        <w:t>从业经验丰富性与设计人员的相关专业技能</w:t>
      </w:r>
      <w:r>
        <w:rPr>
          <w:rFonts w:hint="eastAsia" w:ascii="宋体" w:hAnsi="宋体" w:cs="Courier New"/>
          <w:color w:val="auto"/>
          <w:kern w:val="0"/>
          <w:sz w:val="24"/>
          <w:highlight w:val="none"/>
        </w:rPr>
        <w:t>等情况；</w:t>
      </w:r>
    </w:p>
    <w:p w14:paraId="3F6B548B">
      <w:pPr>
        <w:keepNext w:val="0"/>
        <w:keepLines w:val="0"/>
        <w:pageBreakBefore w:val="0"/>
        <w:widowControl w:val="0"/>
        <w:tabs>
          <w:tab w:val="left" w:pos="720"/>
        </w:tabs>
        <w:kinsoku/>
        <w:wordWrap/>
        <w:overflowPunct/>
        <w:topLinePunct w:val="0"/>
        <w:autoSpaceDE/>
        <w:autoSpaceDN/>
        <w:bidi w:val="0"/>
        <w:adjustRightInd/>
        <w:spacing w:line="360" w:lineRule="exact"/>
        <w:ind w:firstLine="480" w:firstLineChars="200"/>
        <w:textAlignment w:val="auto"/>
        <w:rPr>
          <w:rFonts w:hint="default" w:ascii="宋体" w:hAnsi="宋体" w:cs="Courier New"/>
          <w:color w:val="auto"/>
          <w:kern w:val="0"/>
          <w:sz w:val="24"/>
          <w:highlight w:val="none"/>
          <w:lang w:val="en-US" w:eastAsia="zh-CN"/>
        </w:rPr>
      </w:pPr>
      <w:r>
        <w:rPr>
          <w:rFonts w:hint="eastAsia" w:ascii="宋体" w:hAnsi="宋体" w:cs="Courier New"/>
          <w:color w:val="auto"/>
          <w:kern w:val="0"/>
          <w:sz w:val="24"/>
          <w:highlight w:val="none"/>
          <w:lang w:val="en-US" w:eastAsia="zh-CN"/>
        </w:rPr>
        <w:t>八、</w:t>
      </w:r>
      <w:r>
        <w:rPr>
          <w:rFonts w:hint="eastAsia" w:ascii="宋体" w:hAnsi="宋体" w:eastAsia="宋体" w:cs="宋体"/>
          <w:color w:val="auto"/>
          <w:sz w:val="24"/>
          <w:highlight w:val="none"/>
          <w:lang w:val="en-US" w:eastAsia="zh-CN"/>
        </w:rPr>
        <w:t>质量保修；</w:t>
      </w:r>
    </w:p>
    <w:p w14:paraId="5CFE0716">
      <w:pPr>
        <w:keepNext w:val="0"/>
        <w:keepLines w:val="0"/>
        <w:pageBreakBefore w:val="0"/>
        <w:widowControl w:val="0"/>
        <w:tabs>
          <w:tab w:val="left" w:pos="720"/>
        </w:tabs>
        <w:kinsoku/>
        <w:wordWrap/>
        <w:overflowPunct/>
        <w:topLinePunct w:val="0"/>
        <w:autoSpaceDE/>
        <w:autoSpaceDN/>
        <w:bidi w:val="0"/>
        <w:adjustRightInd/>
        <w:spacing w:line="360" w:lineRule="exact"/>
        <w:ind w:firstLine="480" w:firstLineChars="200"/>
        <w:textAlignment w:val="auto"/>
        <w:rPr>
          <w:rFonts w:ascii="宋体" w:hAnsi="宋体" w:cs="Courier New"/>
          <w:color w:val="auto"/>
          <w:kern w:val="0"/>
          <w:sz w:val="24"/>
          <w:highlight w:val="none"/>
        </w:rPr>
      </w:pPr>
      <w:r>
        <w:rPr>
          <w:rFonts w:hint="eastAsia" w:ascii="宋体" w:hAnsi="宋体" w:cs="Courier New"/>
          <w:color w:val="auto"/>
          <w:kern w:val="0"/>
          <w:sz w:val="24"/>
          <w:highlight w:val="none"/>
          <w:lang w:val="en-US" w:eastAsia="zh-CN"/>
        </w:rPr>
        <w:t>九</w:t>
      </w:r>
      <w:r>
        <w:rPr>
          <w:rFonts w:hint="eastAsia" w:ascii="宋体" w:hAnsi="宋体" w:cs="Courier New"/>
          <w:color w:val="auto"/>
          <w:kern w:val="0"/>
          <w:sz w:val="24"/>
          <w:highlight w:val="none"/>
        </w:rPr>
        <w:t>、合理化建议及措施；</w:t>
      </w:r>
    </w:p>
    <w:p w14:paraId="4B432DCB">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ascii="宋体" w:hAnsi="宋体" w:cs="宋体"/>
          <w:b/>
          <w:color w:val="auto"/>
          <w:kern w:val="0"/>
          <w:sz w:val="24"/>
          <w:highlight w:val="none"/>
        </w:rPr>
      </w:pPr>
      <w:r>
        <w:rPr>
          <w:rFonts w:hint="eastAsia" w:ascii="宋体" w:hAnsi="宋体" w:cs="宋体"/>
          <w:color w:val="auto"/>
          <w:sz w:val="24"/>
          <w:highlight w:val="none"/>
        </w:rPr>
        <w:t>十、投标人认为需要提供的其他材</w:t>
      </w:r>
      <w:r>
        <w:rPr>
          <w:rFonts w:hint="eastAsia" w:ascii="宋体" w:hAnsi="宋体" w:cs="Courier New"/>
          <w:color w:val="auto"/>
          <w:kern w:val="0"/>
          <w:sz w:val="24"/>
          <w:highlight w:val="none"/>
        </w:rPr>
        <w:t>料</w:t>
      </w:r>
      <w:r>
        <w:rPr>
          <w:rFonts w:hint="eastAsia" w:ascii="宋体" w:hAnsi="宋体" w:cs="Courier New"/>
          <w:b/>
          <w:bCs/>
          <w:color w:val="auto"/>
          <w:kern w:val="0"/>
          <w:sz w:val="24"/>
          <w:highlight w:val="none"/>
        </w:rPr>
        <w:t>[结合评分细则提供]</w:t>
      </w:r>
      <w:r>
        <w:rPr>
          <w:rFonts w:hint="eastAsia" w:ascii="宋体" w:hAnsi="宋体" w:cs="Courier New"/>
          <w:color w:val="auto"/>
          <w:kern w:val="0"/>
          <w:sz w:val="24"/>
          <w:highlight w:val="none"/>
        </w:rPr>
        <w:t>。</w:t>
      </w:r>
    </w:p>
    <w:p w14:paraId="79188E33">
      <w:pPr>
        <w:snapToGrid w:val="0"/>
        <w:spacing w:line="360" w:lineRule="auto"/>
        <w:ind w:firstLine="482"/>
        <w:jc w:val="center"/>
        <w:rPr>
          <w:rFonts w:hint="eastAsia" w:ascii="宋体" w:hAnsi="宋体" w:cs="宋体"/>
          <w:b/>
          <w:color w:val="auto"/>
          <w:kern w:val="0"/>
          <w:sz w:val="24"/>
          <w:highlight w:val="none"/>
        </w:rPr>
      </w:pPr>
    </w:p>
    <w:p w14:paraId="7870AD60">
      <w:pPr>
        <w:keepNext w:val="0"/>
        <w:keepLines w:val="0"/>
        <w:pageBreakBefore w:val="0"/>
        <w:widowControl w:val="0"/>
        <w:kinsoku/>
        <w:wordWrap/>
        <w:overflowPunct/>
        <w:topLinePunct w:val="0"/>
        <w:autoSpaceDE/>
        <w:autoSpaceDN/>
        <w:bidi w:val="0"/>
        <w:adjustRightInd/>
        <w:snapToGrid w:val="0"/>
        <w:spacing w:line="360" w:lineRule="auto"/>
        <w:ind w:firstLine="482"/>
        <w:jc w:val="center"/>
        <w:textAlignment w:val="auto"/>
        <w:rPr>
          <w:rFonts w:ascii="宋体" w:hAnsi="宋体" w:cs="宋体"/>
          <w:color w:val="auto"/>
          <w:kern w:val="0"/>
          <w:sz w:val="24"/>
          <w:highlight w:val="none"/>
        </w:rPr>
      </w:pPr>
      <w:r>
        <w:rPr>
          <w:rFonts w:hint="eastAsia" w:ascii="宋体" w:hAnsi="宋体" w:cs="宋体"/>
          <w:b/>
          <w:color w:val="auto"/>
          <w:kern w:val="0"/>
          <w:sz w:val="24"/>
          <w:highlight w:val="none"/>
        </w:rPr>
        <w:t>【1.无固定格式的由投标人自拟提供，投标文件内容需清晰，条理有序，与评分点关联，否则可能引起评标委员会的不利判定。】</w:t>
      </w:r>
    </w:p>
    <w:p w14:paraId="2ADB6CE9">
      <w:pPr>
        <w:snapToGrid w:val="0"/>
        <w:spacing w:line="360" w:lineRule="auto"/>
        <w:jc w:val="center"/>
        <w:rPr>
          <w:rFonts w:ascii="宋体" w:hAnsi="宋体"/>
          <w:b/>
          <w:color w:val="auto"/>
          <w:sz w:val="28"/>
          <w:szCs w:val="28"/>
          <w:highlight w:val="none"/>
        </w:rPr>
      </w:pPr>
      <w:r>
        <w:rPr>
          <w:rFonts w:ascii="宋体" w:hAnsi="宋体"/>
          <w:color w:val="auto"/>
          <w:szCs w:val="21"/>
          <w:highlight w:val="none"/>
        </w:rPr>
        <w:br w:type="page"/>
      </w:r>
      <w:r>
        <w:rPr>
          <w:rFonts w:hint="eastAsia" w:ascii="宋体" w:hAnsi="宋体"/>
          <w:b/>
          <w:color w:val="auto"/>
          <w:sz w:val="28"/>
          <w:szCs w:val="28"/>
          <w:highlight w:val="none"/>
        </w:rPr>
        <w:t>自评分表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1695"/>
        <w:gridCol w:w="3782"/>
        <w:gridCol w:w="1365"/>
        <w:gridCol w:w="1352"/>
      </w:tblGrid>
      <w:tr w14:paraId="2CD67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vAlign w:val="center"/>
          </w:tcPr>
          <w:p w14:paraId="73319210">
            <w:pPr>
              <w:snapToGrid w:val="0"/>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1695" w:type="dxa"/>
            <w:vAlign w:val="center"/>
          </w:tcPr>
          <w:p w14:paraId="5D4F6276">
            <w:pPr>
              <w:snapToGrid w:val="0"/>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评审项目</w:t>
            </w:r>
          </w:p>
        </w:tc>
        <w:tc>
          <w:tcPr>
            <w:tcW w:w="3782" w:type="dxa"/>
            <w:vAlign w:val="center"/>
          </w:tcPr>
          <w:p w14:paraId="35B681AE">
            <w:pPr>
              <w:snapToGrid w:val="0"/>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评分内容</w:t>
            </w:r>
          </w:p>
        </w:tc>
        <w:tc>
          <w:tcPr>
            <w:tcW w:w="1365" w:type="dxa"/>
            <w:vAlign w:val="center"/>
          </w:tcPr>
          <w:p w14:paraId="68E27C40">
            <w:pPr>
              <w:snapToGrid w:val="0"/>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自评分值</w:t>
            </w:r>
          </w:p>
        </w:tc>
        <w:tc>
          <w:tcPr>
            <w:tcW w:w="1352" w:type="dxa"/>
            <w:vAlign w:val="center"/>
          </w:tcPr>
          <w:p w14:paraId="63931295">
            <w:pPr>
              <w:snapToGrid w:val="0"/>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对应页码</w:t>
            </w:r>
          </w:p>
        </w:tc>
      </w:tr>
      <w:tr w14:paraId="301B2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tcPr>
          <w:p w14:paraId="2D3C51FF">
            <w:pPr>
              <w:snapToGrid w:val="0"/>
              <w:spacing w:line="360" w:lineRule="auto"/>
              <w:jc w:val="center"/>
              <w:rPr>
                <w:rFonts w:ascii="宋体" w:hAnsi="宋体" w:eastAsia="等线" w:cs="Courier New"/>
                <w:color w:val="auto"/>
                <w:kern w:val="0"/>
                <w:sz w:val="24"/>
                <w:highlight w:val="none"/>
              </w:rPr>
            </w:pPr>
          </w:p>
        </w:tc>
        <w:tc>
          <w:tcPr>
            <w:tcW w:w="1695" w:type="dxa"/>
          </w:tcPr>
          <w:p w14:paraId="0F1C75C0">
            <w:pPr>
              <w:snapToGrid w:val="0"/>
              <w:spacing w:line="360" w:lineRule="auto"/>
              <w:jc w:val="center"/>
              <w:rPr>
                <w:rFonts w:ascii="宋体" w:hAnsi="宋体" w:eastAsia="等线" w:cs="Courier New"/>
                <w:color w:val="auto"/>
                <w:kern w:val="0"/>
                <w:sz w:val="24"/>
                <w:highlight w:val="none"/>
              </w:rPr>
            </w:pPr>
          </w:p>
        </w:tc>
        <w:tc>
          <w:tcPr>
            <w:tcW w:w="3782" w:type="dxa"/>
          </w:tcPr>
          <w:p w14:paraId="5C1AAD5C">
            <w:pPr>
              <w:snapToGrid w:val="0"/>
              <w:spacing w:line="360" w:lineRule="auto"/>
              <w:jc w:val="center"/>
              <w:rPr>
                <w:rFonts w:ascii="宋体" w:hAnsi="宋体" w:eastAsia="等线" w:cs="Courier New"/>
                <w:color w:val="auto"/>
                <w:kern w:val="0"/>
                <w:sz w:val="24"/>
                <w:highlight w:val="none"/>
              </w:rPr>
            </w:pPr>
          </w:p>
        </w:tc>
        <w:tc>
          <w:tcPr>
            <w:tcW w:w="1365" w:type="dxa"/>
          </w:tcPr>
          <w:p w14:paraId="714056DE">
            <w:pPr>
              <w:snapToGrid w:val="0"/>
              <w:spacing w:line="360" w:lineRule="auto"/>
              <w:jc w:val="center"/>
              <w:rPr>
                <w:rFonts w:ascii="宋体" w:hAnsi="宋体" w:eastAsia="等线" w:cs="Courier New"/>
                <w:color w:val="auto"/>
                <w:kern w:val="0"/>
                <w:sz w:val="24"/>
                <w:highlight w:val="none"/>
              </w:rPr>
            </w:pPr>
          </w:p>
        </w:tc>
        <w:tc>
          <w:tcPr>
            <w:tcW w:w="1352" w:type="dxa"/>
          </w:tcPr>
          <w:p w14:paraId="72C1C5AB">
            <w:pPr>
              <w:snapToGrid w:val="0"/>
              <w:spacing w:line="360" w:lineRule="auto"/>
              <w:jc w:val="center"/>
              <w:rPr>
                <w:rFonts w:ascii="宋体" w:hAnsi="宋体" w:eastAsia="等线" w:cs="Courier New"/>
                <w:color w:val="auto"/>
                <w:kern w:val="0"/>
                <w:sz w:val="24"/>
                <w:highlight w:val="none"/>
              </w:rPr>
            </w:pPr>
          </w:p>
        </w:tc>
      </w:tr>
      <w:tr w14:paraId="42E6D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tcPr>
          <w:p w14:paraId="02CD64B5">
            <w:pPr>
              <w:snapToGrid w:val="0"/>
              <w:spacing w:line="360" w:lineRule="auto"/>
              <w:jc w:val="center"/>
              <w:rPr>
                <w:rFonts w:ascii="宋体" w:hAnsi="宋体" w:eastAsia="等线" w:cs="Courier New"/>
                <w:color w:val="auto"/>
                <w:kern w:val="0"/>
                <w:sz w:val="24"/>
                <w:highlight w:val="none"/>
              </w:rPr>
            </w:pPr>
          </w:p>
        </w:tc>
        <w:tc>
          <w:tcPr>
            <w:tcW w:w="1695" w:type="dxa"/>
          </w:tcPr>
          <w:p w14:paraId="220BCFF9">
            <w:pPr>
              <w:snapToGrid w:val="0"/>
              <w:spacing w:line="360" w:lineRule="auto"/>
              <w:jc w:val="center"/>
              <w:rPr>
                <w:rFonts w:ascii="宋体" w:hAnsi="宋体" w:eastAsia="等线" w:cs="Courier New"/>
                <w:color w:val="auto"/>
                <w:kern w:val="0"/>
                <w:sz w:val="24"/>
                <w:highlight w:val="none"/>
              </w:rPr>
            </w:pPr>
          </w:p>
        </w:tc>
        <w:tc>
          <w:tcPr>
            <w:tcW w:w="3782" w:type="dxa"/>
          </w:tcPr>
          <w:p w14:paraId="7EFA268C">
            <w:pPr>
              <w:snapToGrid w:val="0"/>
              <w:spacing w:line="360" w:lineRule="auto"/>
              <w:jc w:val="center"/>
              <w:rPr>
                <w:rFonts w:ascii="宋体" w:hAnsi="宋体" w:eastAsia="等线" w:cs="Courier New"/>
                <w:color w:val="auto"/>
                <w:kern w:val="0"/>
                <w:sz w:val="24"/>
                <w:highlight w:val="none"/>
              </w:rPr>
            </w:pPr>
          </w:p>
        </w:tc>
        <w:tc>
          <w:tcPr>
            <w:tcW w:w="1365" w:type="dxa"/>
          </w:tcPr>
          <w:p w14:paraId="10090627">
            <w:pPr>
              <w:snapToGrid w:val="0"/>
              <w:spacing w:line="360" w:lineRule="auto"/>
              <w:jc w:val="center"/>
              <w:rPr>
                <w:rFonts w:ascii="宋体" w:hAnsi="宋体" w:eastAsia="等线" w:cs="Courier New"/>
                <w:color w:val="auto"/>
                <w:kern w:val="0"/>
                <w:sz w:val="24"/>
                <w:highlight w:val="none"/>
              </w:rPr>
            </w:pPr>
          </w:p>
        </w:tc>
        <w:tc>
          <w:tcPr>
            <w:tcW w:w="1352" w:type="dxa"/>
          </w:tcPr>
          <w:p w14:paraId="36C4967E">
            <w:pPr>
              <w:snapToGrid w:val="0"/>
              <w:spacing w:line="360" w:lineRule="auto"/>
              <w:jc w:val="center"/>
              <w:rPr>
                <w:rFonts w:ascii="宋体" w:hAnsi="宋体" w:eastAsia="等线" w:cs="Courier New"/>
                <w:color w:val="auto"/>
                <w:kern w:val="0"/>
                <w:sz w:val="24"/>
                <w:highlight w:val="none"/>
              </w:rPr>
            </w:pPr>
          </w:p>
        </w:tc>
      </w:tr>
      <w:tr w14:paraId="0E161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tcPr>
          <w:p w14:paraId="15B96B27">
            <w:pPr>
              <w:snapToGrid w:val="0"/>
              <w:spacing w:line="360" w:lineRule="auto"/>
              <w:jc w:val="center"/>
              <w:rPr>
                <w:rFonts w:ascii="宋体" w:hAnsi="宋体" w:eastAsia="等线" w:cs="Courier New"/>
                <w:color w:val="auto"/>
                <w:kern w:val="0"/>
                <w:sz w:val="24"/>
                <w:highlight w:val="none"/>
              </w:rPr>
            </w:pPr>
          </w:p>
        </w:tc>
        <w:tc>
          <w:tcPr>
            <w:tcW w:w="1695" w:type="dxa"/>
          </w:tcPr>
          <w:p w14:paraId="75555DF7">
            <w:pPr>
              <w:snapToGrid w:val="0"/>
              <w:spacing w:line="360" w:lineRule="auto"/>
              <w:jc w:val="center"/>
              <w:rPr>
                <w:rFonts w:ascii="宋体" w:hAnsi="宋体" w:eastAsia="等线" w:cs="Courier New"/>
                <w:color w:val="auto"/>
                <w:kern w:val="0"/>
                <w:sz w:val="24"/>
                <w:highlight w:val="none"/>
              </w:rPr>
            </w:pPr>
          </w:p>
        </w:tc>
        <w:tc>
          <w:tcPr>
            <w:tcW w:w="3782" w:type="dxa"/>
          </w:tcPr>
          <w:p w14:paraId="0358A94C">
            <w:pPr>
              <w:snapToGrid w:val="0"/>
              <w:spacing w:line="360" w:lineRule="auto"/>
              <w:jc w:val="center"/>
              <w:rPr>
                <w:rFonts w:ascii="宋体" w:hAnsi="宋体" w:eastAsia="等线" w:cs="Courier New"/>
                <w:color w:val="auto"/>
                <w:kern w:val="0"/>
                <w:sz w:val="24"/>
                <w:highlight w:val="none"/>
              </w:rPr>
            </w:pPr>
          </w:p>
        </w:tc>
        <w:tc>
          <w:tcPr>
            <w:tcW w:w="1365" w:type="dxa"/>
          </w:tcPr>
          <w:p w14:paraId="5BA2A100">
            <w:pPr>
              <w:snapToGrid w:val="0"/>
              <w:spacing w:line="360" w:lineRule="auto"/>
              <w:jc w:val="center"/>
              <w:rPr>
                <w:rFonts w:ascii="宋体" w:hAnsi="宋体" w:eastAsia="等线" w:cs="Courier New"/>
                <w:color w:val="auto"/>
                <w:kern w:val="0"/>
                <w:sz w:val="24"/>
                <w:highlight w:val="none"/>
              </w:rPr>
            </w:pPr>
          </w:p>
        </w:tc>
        <w:tc>
          <w:tcPr>
            <w:tcW w:w="1352" w:type="dxa"/>
          </w:tcPr>
          <w:p w14:paraId="3A65B0E9">
            <w:pPr>
              <w:snapToGrid w:val="0"/>
              <w:spacing w:line="360" w:lineRule="auto"/>
              <w:jc w:val="center"/>
              <w:rPr>
                <w:rFonts w:ascii="宋体" w:hAnsi="宋体" w:eastAsia="等线" w:cs="Courier New"/>
                <w:color w:val="auto"/>
                <w:kern w:val="0"/>
                <w:sz w:val="24"/>
                <w:highlight w:val="none"/>
              </w:rPr>
            </w:pPr>
          </w:p>
        </w:tc>
      </w:tr>
      <w:tr w14:paraId="1082A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tcPr>
          <w:p w14:paraId="39A07231">
            <w:pPr>
              <w:snapToGrid w:val="0"/>
              <w:spacing w:line="360" w:lineRule="auto"/>
              <w:jc w:val="center"/>
              <w:rPr>
                <w:rFonts w:ascii="宋体" w:hAnsi="宋体" w:eastAsia="等线" w:cs="Courier New"/>
                <w:color w:val="auto"/>
                <w:kern w:val="0"/>
                <w:sz w:val="24"/>
                <w:highlight w:val="none"/>
              </w:rPr>
            </w:pPr>
          </w:p>
        </w:tc>
        <w:tc>
          <w:tcPr>
            <w:tcW w:w="1695" w:type="dxa"/>
          </w:tcPr>
          <w:p w14:paraId="1B61B60B">
            <w:pPr>
              <w:snapToGrid w:val="0"/>
              <w:spacing w:line="360" w:lineRule="auto"/>
              <w:jc w:val="center"/>
              <w:rPr>
                <w:rFonts w:ascii="宋体" w:hAnsi="宋体" w:eastAsia="等线" w:cs="Courier New"/>
                <w:color w:val="auto"/>
                <w:kern w:val="0"/>
                <w:sz w:val="24"/>
                <w:highlight w:val="none"/>
              </w:rPr>
            </w:pPr>
          </w:p>
        </w:tc>
        <w:tc>
          <w:tcPr>
            <w:tcW w:w="3782" w:type="dxa"/>
          </w:tcPr>
          <w:p w14:paraId="656BB218">
            <w:pPr>
              <w:snapToGrid w:val="0"/>
              <w:spacing w:line="360" w:lineRule="auto"/>
              <w:jc w:val="center"/>
              <w:rPr>
                <w:rFonts w:ascii="宋体" w:hAnsi="宋体" w:eastAsia="等线" w:cs="Courier New"/>
                <w:color w:val="auto"/>
                <w:kern w:val="0"/>
                <w:sz w:val="24"/>
                <w:highlight w:val="none"/>
              </w:rPr>
            </w:pPr>
          </w:p>
        </w:tc>
        <w:tc>
          <w:tcPr>
            <w:tcW w:w="1365" w:type="dxa"/>
          </w:tcPr>
          <w:p w14:paraId="76DA7EE6">
            <w:pPr>
              <w:snapToGrid w:val="0"/>
              <w:spacing w:line="360" w:lineRule="auto"/>
              <w:jc w:val="center"/>
              <w:rPr>
                <w:rFonts w:ascii="宋体" w:hAnsi="宋体" w:eastAsia="等线" w:cs="Courier New"/>
                <w:color w:val="auto"/>
                <w:kern w:val="0"/>
                <w:sz w:val="24"/>
                <w:highlight w:val="none"/>
              </w:rPr>
            </w:pPr>
          </w:p>
        </w:tc>
        <w:tc>
          <w:tcPr>
            <w:tcW w:w="1352" w:type="dxa"/>
          </w:tcPr>
          <w:p w14:paraId="05BC7734">
            <w:pPr>
              <w:snapToGrid w:val="0"/>
              <w:spacing w:line="360" w:lineRule="auto"/>
              <w:jc w:val="center"/>
              <w:rPr>
                <w:rFonts w:ascii="宋体" w:hAnsi="宋体" w:eastAsia="等线" w:cs="Courier New"/>
                <w:color w:val="auto"/>
                <w:kern w:val="0"/>
                <w:sz w:val="24"/>
                <w:highlight w:val="none"/>
              </w:rPr>
            </w:pPr>
          </w:p>
        </w:tc>
      </w:tr>
      <w:tr w14:paraId="3A84C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tcPr>
          <w:p w14:paraId="010C9BB7">
            <w:pPr>
              <w:snapToGrid w:val="0"/>
              <w:spacing w:line="360" w:lineRule="auto"/>
              <w:jc w:val="center"/>
              <w:rPr>
                <w:rFonts w:ascii="宋体" w:hAnsi="宋体" w:eastAsia="等线" w:cs="Courier New"/>
                <w:color w:val="auto"/>
                <w:kern w:val="0"/>
                <w:sz w:val="24"/>
                <w:highlight w:val="none"/>
              </w:rPr>
            </w:pPr>
          </w:p>
        </w:tc>
        <w:tc>
          <w:tcPr>
            <w:tcW w:w="1695" w:type="dxa"/>
          </w:tcPr>
          <w:p w14:paraId="623997D8">
            <w:pPr>
              <w:snapToGrid w:val="0"/>
              <w:spacing w:line="360" w:lineRule="auto"/>
              <w:jc w:val="center"/>
              <w:rPr>
                <w:rFonts w:ascii="宋体" w:hAnsi="宋体" w:eastAsia="等线" w:cs="Courier New"/>
                <w:color w:val="auto"/>
                <w:kern w:val="0"/>
                <w:sz w:val="24"/>
                <w:highlight w:val="none"/>
              </w:rPr>
            </w:pPr>
          </w:p>
        </w:tc>
        <w:tc>
          <w:tcPr>
            <w:tcW w:w="3782" w:type="dxa"/>
          </w:tcPr>
          <w:p w14:paraId="3DB60229">
            <w:pPr>
              <w:snapToGrid w:val="0"/>
              <w:spacing w:line="360" w:lineRule="auto"/>
              <w:jc w:val="center"/>
              <w:rPr>
                <w:rFonts w:ascii="宋体" w:hAnsi="宋体" w:eastAsia="等线" w:cs="Courier New"/>
                <w:color w:val="auto"/>
                <w:kern w:val="0"/>
                <w:sz w:val="24"/>
                <w:highlight w:val="none"/>
              </w:rPr>
            </w:pPr>
          </w:p>
        </w:tc>
        <w:tc>
          <w:tcPr>
            <w:tcW w:w="1365" w:type="dxa"/>
          </w:tcPr>
          <w:p w14:paraId="3368320C">
            <w:pPr>
              <w:snapToGrid w:val="0"/>
              <w:spacing w:line="360" w:lineRule="auto"/>
              <w:jc w:val="center"/>
              <w:rPr>
                <w:rFonts w:ascii="宋体" w:hAnsi="宋体" w:eastAsia="等线" w:cs="Courier New"/>
                <w:color w:val="auto"/>
                <w:kern w:val="0"/>
                <w:sz w:val="24"/>
                <w:highlight w:val="none"/>
              </w:rPr>
            </w:pPr>
          </w:p>
        </w:tc>
        <w:tc>
          <w:tcPr>
            <w:tcW w:w="1352" w:type="dxa"/>
          </w:tcPr>
          <w:p w14:paraId="600E3E64">
            <w:pPr>
              <w:snapToGrid w:val="0"/>
              <w:spacing w:line="360" w:lineRule="auto"/>
              <w:jc w:val="center"/>
              <w:rPr>
                <w:rFonts w:ascii="宋体" w:hAnsi="宋体" w:eastAsia="等线" w:cs="Courier New"/>
                <w:color w:val="auto"/>
                <w:kern w:val="0"/>
                <w:sz w:val="24"/>
                <w:highlight w:val="none"/>
              </w:rPr>
            </w:pPr>
          </w:p>
        </w:tc>
      </w:tr>
      <w:tr w14:paraId="4D097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tcPr>
          <w:p w14:paraId="5C5C62DF">
            <w:pPr>
              <w:snapToGrid w:val="0"/>
              <w:spacing w:line="360" w:lineRule="auto"/>
              <w:jc w:val="center"/>
              <w:rPr>
                <w:rFonts w:ascii="宋体" w:hAnsi="宋体" w:eastAsia="等线" w:cs="Courier New"/>
                <w:color w:val="auto"/>
                <w:kern w:val="0"/>
                <w:sz w:val="24"/>
                <w:highlight w:val="none"/>
              </w:rPr>
            </w:pPr>
          </w:p>
        </w:tc>
        <w:tc>
          <w:tcPr>
            <w:tcW w:w="1695" w:type="dxa"/>
          </w:tcPr>
          <w:p w14:paraId="370834BD">
            <w:pPr>
              <w:snapToGrid w:val="0"/>
              <w:spacing w:line="360" w:lineRule="auto"/>
              <w:jc w:val="center"/>
              <w:rPr>
                <w:rFonts w:ascii="宋体" w:hAnsi="宋体" w:eastAsia="等线" w:cs="Courier New"/>
                <w:color w:val="auto"/>
                <w:kern w:val="0"/>
                <w:sz w:val="24"/>
                <w:highlight w:val="none"/>
              </w:rPr>
            </w:pPr>
          </w:p>
        </w:tc>
        <w:tc>
          <w:tcPr>
            <w:tcW w:w="3782" w:type="dxa"/>
          </w:tcPr>
          <w:p w14:paraId="7CD57079">
            <w:pPr>
              <w:snapToGrid w:val="0"/>
              <w:spacing w:line="360" w:lineRule="auto"/>
              <w:jc w:val="center"/>
              <w:rPr>
                <w:rFonts w:ascii="宋体" w:hAnsi="宋体" w:eastAsia="等线" w:cs="Courier New"/>
                <w:color w:val="auto"/>
                <w:kern w:val="0"/>
                <w:sz w:val="24"/>
                <w:highlight w:val="none"/>
              </w:rPr>
            </w:pPr>
          </w:p>
        </w:tc>
        <w:tc>
          <w:tcPr>
            <w:tcW w:w="1365" w:type="dxa"/>
          </w:tcPr>
          <w:p w14:paraId="081D8737">
            <w:pPr>
              <w:snapToGrid w:val="0"/>
              <w:spacing w:line="360" w:lineRule="auto"/>
              <w:jc w:val="center"/>
              <w:rPr>
                <w:rFonts w:ascii="宋体" w:hAnsi="宋体" w:eastAsia="等线" w:cs="Courier New"/>
                <w:color w:val="auto"/>
                <w:kern w:val="0"/>
                <w:sz w:val="24"/>
                <w:highlight w:val="none"/>
              </w:rPr>
            </w:pPr>
          </w:p>
        </w:tc>
        <w:tc>
          <w:tcPr>
            <w:tcW w:w="1352" w:type="dxa"/>
          </w:tcPr>
          <w:p w14:paraId="3A4FC5D5">
            <w:pPr>
              <w:snapToGrid w:val="0"/>
              <w:spacing w:line="360" w:lineRule="auto"/>
              <w:jc w:val="center"/>
              <w:rPr>
                <w:rFonts w:ascii="宋体" w:hAnsi="宋体" w:eastAsia="等线" w:cs="Courier New"/>
                <w:color w:val="auto"/>
                <w:kern w:val="0"/>
                <w:sz w:val="24"/>
                <w:highlight w:val="none"/>
              </w:rPr>
            </w:pPr>
          </w:p>
        </w:tc>
      </w:tr>
      <w:tr w14:paraId="0DDCB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tcPr>
          <w:p w14:paraId="6F88828B">
            <w:pPr>
              <w:snapToGrid w:val="0"/>
              <w:spacing w:line="360" w:lineRule="auto"/>
              <w:jc w:val="center"/>
              <w:rPr>
                <w:rFonts w:ascii="宋体" w:hAnsi="宋体" w:eastAsia="等线" w:cs="Courier New"/>
                <w:color w:val="auto"/>
                <w:kern w:val="0"/>
                <w:sz w:val="24"/>
                <w:highlight w:val="none"/>
              </w:rPr>
            </w:pPr>
          </w:p>
        </w:tc>
        <w:tc>
          <w:tcPr>
            <w:tcW w:w="1695" w:type="dxa"/>
          </w:tcPr>
          <w:p w14:paraId="575E20C9">
            <w:pPr>
              <w:snapToGrid w:val="0"/>
              <w:spacing w:line="360" w:lineRule="auto"/>
              <w:jc w:val="center"/>
              <w:rPr>
                <w:rFonts w:ascii="宋体" w:hAnsi="宋体" w:eastAsia="等线" w:cs="Courier New"/>
                <w:color w:val="auto"/>
                <w:kern w:val="0"/>
                <w:sz w:val="24"/>
                <w:highlight w:val="none"/>
              </w:rPr>
            </w:pPr>
          </w:p>
        </w:tc>
        <w:tc>
          <w:tcPr>
            <w:tcW w:w="3782" w:type="dxa"/>
          </w:tcPr>
          <w:p w14:paraId="06FBC5CA">
            <w:pPr>
              <w:snapToGrid w:val="0"/>
              <w:spacing w:line="360" w:lineRule="auto"/>
              <w:jc w:val="center"/>
              <w:rPr>
                <w:rFonts w:ascii="宋体" w:hAnsi="宋体" w:eastAsia="等线" w:cs="Courier New"/>
                <w:color w:val="auto"/>
                <w:kern w:val="0"/>
                <w:sz w:val="24"/>
                <w:highlight w:val="none"/>
              </w:rPr>
            </w:pPr>
          </w:p>
        </w:tc>
        <w:tc>
          <w:tcPr>
            <w:tcW w:w="1365" w:type="dxa"/>
          </w:tcPr>
          <w:p w14:paraId="60E6AFA4">
            <w:pPr>
              <w:snapToGrid w:val="0"/>
              <w:spacing w:line="360" w:lineRule="auto"/>
              <w:jc w:val="center"/>
              <w:rPr>
                <w:rFonts w:ascii="宋体" w:hAnsi="宋体" w:eastAsia="等线" w:cs="Courier New"/>
                <w:color w:val="auto"/>
                <w:kern w:val="0"/>
                <w:sz w:val="24"/>
                <w:highlight w:val="none"/>
              </w:rPr>
            </w:pPr>
          </w:p>
        </w:tc>
        <w:tc>
          <w:tcPr>
            <w:tcW w:w="1352" w:type="dxa"/>
          </w:tcPr>
          <w:p w14:paraId="23591CBE">
            <w:pPr>
              <w:snapToGrid w:val="0"/>
              <w:spacing w:line="360" w:lineRule="auto"/>
              <w:jc w:val="center"/>
              <w:rPr>
                <w:rFonts w:ascii="宋体" w:hAnsi="宋体" w:eastAsia="等线" w:cs="Courier New"/>
                <w:color w:val="auto"/>
                <w:kern w:val="0"/>
                <w:sz w:val="24"/>
                <w:highlight w:val="none"/>
              </w:rPr>
            </w:pPr>
          </w:p>
        </w:tc>
      </w:tr>
      <w:tr w14:paraId="4298B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tcPr>
          <w:p w14:paraId="7310E2D9">
            <w:pPr>
              <w:snapToGrid w:val="0"/>
              <w:spacing w:line="360" w:lineRule="auto"/>
              <w:jc w:val="center"/>
              <w:rPr>
                <w:rFonts w:ascii="宋体" w:hAnsi="宋体" w:eastAsia="等线" w:cs="Courier New"/>
                <w:color w:val="auto"/>
                <w:kern w:val="0"/>
                <w:sz w:val="24"/>
                <w:highlight w:val="none"/>
              </w:rPr>
            </w:pPr>
          </w:p>
        </w:tc>
        <w:tc>
          <w:tcPr>
            <w:tcW w:w="1695" w:type="dxa"/>
          </w:tcPr>
          <w:p w14:paraId="1A266BBD">
            <w:pPr>
              <w:snapToGrid w:val="0"/>
              <w:spacing w:line="360" w:lineRule="auto"/>
              <w:jc w:val="center"/>
              <w:rPr>
                <w:rFonts w:ascii="宋体" w:hAnsi="宋体" w:eastAsia="等线" w:cs="Courier New"/>
                <w:color w:val="auto"/>
                <w:kern w:val="0"/>
                <w:sz w:val="24"/>
                <w:highlight w:val="none"/>
              </w:rPr>
            </w:pPr>
          </w:p>
        </w:tc>
        <w:tc>
          <w:tcPr>
            <w:tcW w:w="3782" w:type="dxa"/>
          </w:tcPr>
          <w:p w14:paraId="109353AD">
            <w:pPr>
              <w:snapToGrid w:val="0"/>
              <w:spacing w:line="360" w:lineRule="auto"/>
              <w:jc w:val="center"/>
              <w:rPr>
                <w:rFonts w:ascii="宋体" w:hAnsi="宋体" w:eastAsia="等线" w:cs="Courier New"/>
                <w:color w:val="auto"/>
                <w:kern w:val="0"/>
                <w:sz w:val="24"/>
                <w:highlight w:val="none"/>
              </w:rPr>
            </w:pPr>
          </w:p>
        </w:tc>
        <w:tc>
          <w:tcPr>
            <w:tcW w:w="1365" w:type="dxa"/>
          </w:tcPr>
          <w:p w14:paraId="4B132783">
            <w:pPr>
              <w:snapToGrid w:val="0"/>
              <w:spacing w:line="360" w:lineRule="auto"/>
              <w:jc w:val="center"/>
              <w:rPr>
                <w:rFonts w:ascii="宋体" w:hAnsi="宋体" w:eastAsia="等线" w:cs="Courier New"/>
                <w:color w:val="auto"/>
                <w:kern w:val="0"/>
                <w:sz w:val="24"/>
                <w:highlight w:val="none"/>
              </w:rPr>
            </w:pPr>
          </w:p>
        </w:tc>
        <w:tc>
          <w:tcPr>
            <w:tcW w:w="1352" w:type="dxa"/>
          </w:tcPr>
          <w:p w14:paraId="7519D0F6">
            <w:pPr>
              <w:snapToGrid w:val="0"/>
              <w:spacing w:line="360" w:lineRule="auto"/>
              <w:jc w:val="center"/>
              <w:rPr>
                <w:rFonts w:ascii="宋体" w:hAnsi="宋体" w:eastAsia="等线" w:cs="Courier New"/>
                <w:color w:val="auto"/>
                <w:kern w:val="0"/>
                <w:sz w:val="24"/>
                <w:highlight w:val="none"/>
              </w:rPr>
            </w:pPr>
          </w:p>
        </w:tc>
      </w:tr>
      <w:tr w14:paraId="50B9D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tcPr>
          <w:p w14:paraId="082F75D0">
            <w:pPr>
              <w:snapToGrid w:val="0"/>
              <w:spacing w:line="360" w:lineRule="auto"/>
              <w:jc w:val="center"/>
              <w:rPr>
                <w:rFonts w:ascii="宋体" w:hAnsi="宋体" w:eastAsia="等线" w:cs="Courier New"/>
                <w:color w:val="auto"/>
                <w:kern w:val="0"/>
                <w:sz w:val="24"/>
                <w:highlight w:val="none"/>
              </w:rPr>
            </w:pPr>
          </w:p>
        </w:tc>
        <w:tc>
          <w:tcPr>
            <w:tcW w:w="1695" w:type="dxa"/>
          </w:tcPr>
          <w:p w14:paraId="36599261">
            <w:pPr>
              <w:snapToGrid w:val="0"/>
              <w:spacing w:line="360" w:lineRule="auto"/>
              <w:jc w:val="center"/>
              <w:rPr>
                <w:rFonts w:ascii="宋体" w:hAnsi="宋体" w:eastAsia="等线" w:cs="Courier New"/>
                <w:color w:val="auto"/>
                <w:kern w:val="0"/>
                <w:sz w:val="24"/>
                <w:highlight w:val="none"/>
              </w:rPr>
            </w:pPr>
          </w:p>
        </w:tc>
        <w:tc>
          <w:tcPr>
            <w:tcW w:w="3782" w:type="dxa"/>
          </w:tcPr>
          <w:p w14:paraId="70817DEE">
            <w:pPr>
              <w:snapToGrid w:val="0"/>
              <w:spacing w:line="360" w:lineRule="auto"/>
              <w:jc w:val="center"/>
              <w:rPr>
                <w:rFonts w:ascii="宋体" w:hAnsi="宋体" w:eastAsia="等线" w:cs="Courier New"/>
                <w:color w:val="auto"/>
                <w:kern w:val="0"/>
                <w:sz w:val="24"/>
                <w:highlight w:val="none"/>
              </w:rPr>
            </w:pPr>
          </w:p>
        </w:tc>
        <w:tc>
          <w:tcPr>
            <w:tcW w:w="1365" w:type="dxa"/>
          </w:tcPr>
          <w:p w14:paraId="07DA1E2C">
            <w:pPr>
              <w:snapToGrid w:val="0"/>
              <w:spacing w:line="360" w:lineRule="auto"/>
              <w:jc w:val="center"/>
              <w:rPr>
                <w:rFonts w:ascii="宋体" w:hAnsi="宋体" w:eastAsia="等线" w:cs="Courier New"/>
                <w:color w:val="auto"/>
                <w:kern w:val="0"/>
                <w:sz w:val="24"/>
                <w:highlight w:val="none"/>
              </w:rPr>
            </w:pPr>
          </w:p>
        </w:tc>
        <w:tc>
          <w:tcPr>
            <w:tcW w:w="1352" w:type="dxa"/>
          </w:tcPr>
          <w:p w14:paraId="0ADC0067">
            <w:pPr>
              <w:snapToGrid w:val="0"/>
              <w:spacing w:line="360" w:lineRule="auto"/>
              <w:jc w:val="center"/>
              <w:rPr>
                <w:rFonts w:ascii="宋体" w:hAnsi="宋体" w:eastAsia="等线" w:cs="Courier New"/>
                <w:color w:val="auto"/>
                <w:kern w:val="0"/>
                <w:sz w:val="24"/>
                <w:highlight w:val="none"/>
              </w:rPr>
            </w:pPr>
          </w:p>
        </w:tc>
      </w:tr>
      <w:tr w14:paraId="54237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tcPr>
          <w:p w14:paraId="29C10055">
            <w:pPr>
              <w:snapToGrid w:val="0"/>
              <w:spacing w:line="360" w:lineRule="auto"/>
              <w:jc w:val="center"/>
              <w:rPr>
                <w:rFonts w:ascii="宋体" w:hAnsi="宋体" w:eastAsia="等线" w:cs="Courier New"/>
                <w:color w:val="auto"/>
                <w:kern w:val="0"/>
                <w:sz w:val="24"/>
                <w:highlight w:val="none"/>
              </w:rPr>
            </w:pPr>
          </w:p>
        </w:tc>
        <w:tc>
          <w:tcPr>
            <w:tcW w:w="1695" w:type="dxa"/>
          </w:tcPr>
          <w:p w14:paraId="5467C9BC">
            <w:pPr>
              <w:snapToGrid w:val="0"/>
              <w:spacing w:line="360" w:lineRule="auto"/>
              <w:jc w:val="center"/>
              <w:rPr>
                <w:rFonts w:ascii="宋体" w:hAnsi="宋体" w:eastAsia="等线" w:cs="Courier New"/>
                <w:color w:val="auto"/>
                <w:kern w:val="0"/>
                <w:sz w:val="24"/>
                <w:highlight w:val="none"/>
              </w:rPr>
            </w:pPr>
          </w:p>
        </w:tc>
        <w:tc>
          <w:tcPr>
            <w:tcW w:w="3782" w:type="dxa"/>
          </w:tcPr>
          <w:p w14:paraId="5E0F6F35">
            <w:pPr>
              <w:snapToGrid w:val="0"/>
              <w:spacing w:line="360" w:lineRule="auto"/>
              <w:jc w:val="center"/>
              <w:rPr>
                <w:rFonts w:ascii="宋体" w:hAnsi="宋体" w:eastAsia="等线" w:cs="Courier New"/>
                <w:color w:val="auto"/>
                <w:kern w:val="0"/>
                <w:sz w:val="24"/>
                <w:highlight w:val="none"/>
              </w:rPr>
            </w:pPr>
          </w:p>
        </w:tc>
        <w:tc>
          <w:tcPr>
            <w:tcW w:w="1365" w:type="dxa"/>
          </w:tcPr>
          <w:p w14:paraId="6B2667EC">
            <w:pPr>
              <w:snapToGrid w:val="0"/>
              <w:spacing w:line="360" w:lineRule="auto"/>
              <w:jc w:val="center"/>
              <w:rPr>
                <w:rFonts w:ascii="宋体" w:hAnsi="宋体" w:eastAsia="等线" w:cs="Courier New"/>
                <w:color w:val="auto"/>
                <w:kern w:val="0"/>
                <w:sz w:val="24"/>
                <w:highlight w:val="none"/>
              </w:rPr>
            </w:pPr>
          </w:p>
        </w:tc>
        <w:tc>
          <w:tcPr>
            <w:tcW w:w="1352" w:type="dxa"/>
          </w:tcPr>
          <w:p w14:paraId="58A2FF83">
            <w:pPr>
              <w:snapToGrid w:val="0"/>
              <w:spacing w:line="360" w:lineRule="auto"/>
              <w:jc w:val="center"/>
              <w:rPr>
                <w:rFonts w:ascii="宋体" w:hAnsi="宋体" w:eastAsia="等线" w:cs="Courier New"/>
                <w:color w:val="auto"/>
                <w:kern w:val="0"/>
                <w:sz w:val="24"/>
                <w:highlight w:val="none"/>
              </w:rPr>
            </w:pPr>
          </w:p>
        </w:tc>
      </w:tr>
      <w:tr w14:paraId="1A5AA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tcPr>
          <w:p w14:paraId="0D7CE287">
            <w:pPr>
              <w:snapToGrid w:val="0"/>
              <w:spacing w:line="360" w:lineRule="auto"/>
              <w:jc w:val="center"/>
              <w:rPr>
                <w:rFonts w:ascii="宋体" w:hAnsi="宋体" w:eastAsia="等线" w:cs="Courier New"/>
                <w:color w:val="auto"/>
                <w:kern w:val="0"/>
                <w:sz w:val="24"/>
                <w:highlight w:val="none"/>
              </w:rPr>
            </w:pPr>
          </w:p>
        </w:tc>
        <w:tc>
          <w:tcPr>
            <w:tcW w:w="1695" w:type="dxa"/>
          </w:tcPr>
          <w:p w14:paraId="7AD5466D">
            <w:pPr>
              <w:snapToGrid w:val="0"/>
              <w:spacing w:line="360" w:lineRule="auto"/>
              <w:jc w:val="center"/>
              <w:rPr>
                <w:rFonts w:ascii="宋体" w:hAnsi="宋体" w:eastAsia="等线" w:cs="Courier New"/>
                <w:color w:val="auto"/>
                <w:kern w:val="0"/>
                <w:sz w:val="24"/>
                <w:highlight w:val="none"/>
              </w:rPr>
            </w:pPr>
          </w:p>
        </w:tc>
        <w:tc>
          <w:tcPr>
            <w:tcW w:w="3782" w:type="dxa"/>
          </w:tcPr>
          <w:p w14:paraId="54332F70">
            <w:pPr>
              <w:snapToGrid w:val="0"/>
              <w:spacing w:line="360" w:lineRule="auto"/>
              <w:jc w:val="center"/>
              <w:rPr>
                <w:rFonts w:ascii="宋体" w:hAnsi="宋体" w:eastAsia="等线" w:cs="Courier New"/>
                <w:color w:val="auto"/>
                <w:kern w:val="0"/>
                <w:sz w:val="24"/>
                <w:highlight w:val="none"/>
              </w:rPr>
            </w:pPr>
          </w:p>
        </w:tc>
        <w:tc>
          <w:tcPr>
            <w:tcW w:w="1365" w:type="dxa"/>
          </w:tcPr>
          <w:p w14:paraId="17F439EC">
            <w:pPr>
              <w:snapToGrid w:val="0"/>
              <w:spacing w:line="360" w:lineRule="auto"/>
              <w:jc w:val="center"/>
              <w:rPr>
                <w:rFonts w:ascii="宋体" w:hAnsi="宋体" w:eastAsia="等线" w:cs="Courier New"/>
                <w:color w:val="auto"/>
                <w:kern w:val="0"/>
                <w:sz w:val="24"/>
                <w:highlight w:val="none"/>
              </w:rPr>
            </w:pPr>
          </w:p>
        </w:tc>
        <w:tc>
          <w:tcPr>
            <w:tcW w:w="1352" w:type="dxa"/>
          </w:tcPr>
          <w:p w14:paraId="1B0E0FBE">
            <w:pPr>
              <w:snapToGrid w:val="0"/>
              <w:spacing w:line="360" w:lineRule="auto"/>
              <w:jc w:val="center"/>
              <w:rPr>
                <w:rFonts w:ascii="宋体" w:hAnsi="宋体" w:eastAsia="等线" w:cs="Courier New"/>
                <w:color w:val="auto"/>
                <w:kern w:val="0"/>
                <w:sz w:val="24"/>
                <w:highlight w:val="none"/>
              </w:rPr>
            </w:pPr>
          </w:p>
        </w:tc>
      </w:tr>
      <w:tr w14:paraId="15CAC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tcPr>
          <w:p w14:paraId="00B2CD34">
            <w:pPr>
              <w:snapToGrid w:val="0"/>
              <w:spacing w:line="360" w:lineRule="auto"/>
              <w:jc w:val="center"/>
              <w:rPr>
                <w:rFonts w:ascii="宋体" w:hAnsi="宋体" w:eastAsia="等线" w:cs="Courier New"/>
                <w:color w:val="auto"/>
                <w:kern w:val="0"/>
                <w:sz w:val="24"/>
                <w:highlight w:val="none"/>
              </w:rPr>
            </w:pPr>
          </w:p>
        </w:tc>
        <w:tc>
          <w:tcPr>
            <w:tcW w:w="1695" w:type="dxa"/>
          </w:tcPr>
          <w:p w14:paraId="2EB42CD2">
            <w:pPr>
              <w:snapToGrid w:val="0"/>
              <w:spacing w:line="360" w:lineRule="auto"/>
              <w:jc w:val="center"/>
              <w:rPr>
                <w:rFonts w:ascii="宋体" w:hAnsi="宋体" w:eastAsia="等线" w:cs="Courier New"/>
                <w:color w:val="auto"/>
                <w:kern w:val="0"/>
                <w:sz w:val="24"/>
                <w:highlight w:val="none"/>
              </w:rPr>
            </w:pPr>
          </w:p>
        </w:tc>
        <w:tc>
          <w:tcPr>
            <w:tcW w:w="3782" w:type="dxa"/>
          </w:tcPr>
          <w:p w14:paraId="3BFF2D1A">
            <w:pPr>
              <w:snapToGrid w:val="0"/>
              <w:spacing w:line="360" w:lineRule="auto"/>
              <w:jc w:val="center"/>
              <w:rPr>
                <w:rFonts w:ascii="宋体" w:hAnsi="宋体" w:eastAsia="等线" w:cs="Courier New"/>
                <w:color w:val="auto"/>
                <w:kern w:val="0"/>
                <w:sz w:val="24"/>
                <w:highlight w:val="none"/>
              </w:rPr>
            </w:pPr>
          </w:p>
        </w:tc>
        <w:tc>
          <w:tcPr>
            <w:tcW w:w="1365" w:type="dxa"/>
          </w:tcPr>
          <w:p w14:paraId="0468326B">
            <w:pPr>
              <w:snapToGrid w:val="0"/>
              <w:spacing w:line="360" w:lineRule="auto"/>
              <w:jc w:val="center"/>
              <w:rPr>
                <w:rFonts w:ascii="宋体" w:hAnsi="宋体" w:eastAsia="等线" w:cs="Courier New"/>
                <w:color w:val="auto"/>
                <w:kern w:val="0"/>
                <w:sz w:val="24"/>
                <w:highlight w:val="none"/>
              </w:rPr>
            </w:pPr>
          </w:p>
        </w:tc>
        <w:tc>
          <w:tcPr>
            <w:tcW w:w="1352" w:type="dxa"/>
          </w:tcPr>
          <w:p w14:paraId="5AC1F60B">
            <w:pPr>
              <w:snapToGrid w:val="0"/>
              <w:spacing w:line="360" w:lineRule="auto"/>
              <w:jc w:val="center"/>
              <w:rPr>
                <w:rFonts w:ascii="宋体" w:hAnsi="宋体" w:eastAsia="等线" w:cs="Courier New"/>
                <w:color w:val="auto"/>
                <w:kern w:val="0"/>
                <w:sz w:val="24"/>
                <w:highlight w:val="none"/>
              </w:rPr>
            </w:pPr>
          </w:p>
        </w:tc>
      </w:tr>
      <w:tr w14:paraId="24332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tcPr>
          <w:p w14:paraId="1FD6E288">
            <w:pPr>
              <w:snapToGrid w:val="0"/>
              <w:spacing w:line="360" w:lineRule="auto"/>
              <w:jc w:val="center"/>
              <w:rPr>
                <w:rFonts w:ascii="宋体" w:hAnsi="宋体" w:eastAsia="等线" w:cs="Courier New"/>
                <w:color w:val="auto"/>
                <w:kern w:val="0"/>
                <w:sz w:val="24"/>
                <w:highlight w:val="none"/>
              </w:rPr>
            </w:pPr>
          </w:p>
        </w:tc>
        <w:tc>
          <w:tcPr>
            <w:tcW w:w="1695" w:type="dxa"/>
          </w:tcPr>
          <w:p w14:paraId="3F38B415">
            <w:pPr>
              <w:snapToGrid w:val="0"/>
              <w:spacing w:line="360" w:lineRule="auto"/>
              <w:jc w:val="center"/>
              <w:rPr>
                <w:rFonts w:ascii="宋体" w:hAnsi="宋体" w:eastAsia="等线" w:cs="Courier New"/>
                <w:color w:val="auto"/>
                <w:kern w:val="0"/>
                <w:sz w:val="24"/>
                <w:highlight w:val="none"/>
              </w:rPr>
            </w:pPr>
          </w:p>
        </w:tc>
        <w:tc>
          <w:tcPr>
            <w:tcW w:w="3782" w:type="dxa"/>
          </w:tcPr>
          <w:p w14:paraId="15CBF095">
            <w:pPr>
              <w:snapToGrid w:val="0"/>
              <w:spacing w:line="360" w:lineRule="auto"/>
              <w:jc w:val="center"/>
              <w:rPr>
                <w:rFonts w:ascii="宋体" w:hAnsi="宋体" w:eastAsia="等线" w:cs="Courier New"/>
                <w:color w:val="auto"/>
                <w:kern w:val="0"/>
                <w:sz w:val="24"/>
                <w:highlight w:val="none"/>
              </w:rPr>
            </w:pPr>
          </w:p>
        </w:tc>
        <w:tc>
          <w:tcPr>
            <w:tcW w:w="1365" w:type="dxa"/>
          </w:tcPr>
          <w:p w14:paraId="1FE06131">
            <w:pPr>
              <w:snapToGrid w:val="0"/>
              <w:spacing w:line="360" w:lineRule="auto"/>
              <w:jc w:val="center"/>
              <w:rPr>
                <w:rFonts w:ascii="宋体" w:hAnsi="宋体" w:eastAsia="等线" w:cs="Courier New"/>
                <w:color w:val="auto"/>
                <w:kern w:val="0"/>
                <w:sz w:val="24"/>
                <w:highlight w:val="none"/>
              </w:rPr>
            </w:pPr>
          </w:p>
        </w:tc>
        <w:tc>
          <w:tcPr>
            <w:tcW w:w="1352" w:type="dxa"/>
          </w:tcPr>
          <w:p w14:paraId="31BB8763">
            <w:pPr>
              <w:snapToGrid w:val="0"/>
              <w:spacing w:line="360" w:lineRule="auto"/>
              <w:jc w:val="center"/>
              <w:rPr>
                <w:rFonts w:ascii="宋体" w:hAnsi="宋体" w:eastAsia="等线" w:cs="Courier New"/>
                <w:color w:val="auto"/>
                <w:kern w:val="0"/>
                <w:sz w:val="24"/>
                <w:highlight w:val="none"/>
              </w:rPr>
            </w:pPr>
          </w:p>
        </w:tc>
      </w:tr>
      <w:tr w14:paraId="2DA8B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tcPr>
          <w:p w14:paraId="2C7ECADE">
            <w:pPr>
              <w:snapToGrid w:val="0"/>
              <w:spacing w:line="360" w:lineRule="auto"/>
              <w:jc w:val="center"/>
              <w:rPr>
                <w:rFonts w:ascii="宋体" w:hAnsi="宋体" w:eastAsia="等线" w:cs="Courier New"/>
                <w:color w:val="auto"/>
                <w:kern w:val="0"/>
                <w:sz w:val="24"/>
                <w:highlight w:val="none"/>
              </w:rPr>
            </w:pPr>
          </w:p>
        </w:tc>
        <w:tc>
          <w:tcPr>
            <w:tcW w:w="1695" w:type="dxa"/>
          </w:tcPr>
          <w:p w14:paraId="700210B8">
            <w:pPr>
              <w:snapToGrid w:val="0"/>
              <w:spacing w:line="360" w:lineRule="auto"/>
              <w:jc w:val="center"/>
              <w:rPr>
                <w:rFonts w:ascii="宋体" w:hAnsi="宋体" w:eastAsia="等线" w:cs="Courier New"/>
                <w:color w:val="auto"/>
                <w:kern w:val="0"/>
                <w:sz w:val="24"/>
                <w:highlight w:val="none"/>
              </w:rPr>
            </w:pPr>
          </w:p>
        </w:tc>
        <w:tc>
          <w:tcPr>
            <w:tcW w:w="3782" w:type="dxa"/>
          </w:tcPr>
          <w:p w14:paraId="4CA89E73">
            <w:pPr>
              <w:snapToGrid w:val="0"/>
              <w:spacing w:line="360" w:lineRule="auto"/>
              <w:jc w:val="center"/>
              <w:rPr>
                <w:rFonts w:ascii="宋体" w:hAnsi="宋体" w:eastAsia="等线" w:cs="Courier New"/>
                <w:color w:val="auto"/>
                <w:kern w:val="0"/>
                <w:sz w:val="24"/>
                <w:highlight w:val="none"/>
              </w:rPr>
            </w:pPr>
          </w:p>
        </w:tc>
        <w:tc>
          <w:tcPr>
            <w:tcW w:w="1365" w:type="dxa"/>
          </w:tcPr>
          <w:p w14:paraId="2EE59F00">
            <w:pPr>
              <w:snapToGrid w:val="0"/>
              <w:spacing w:line="360" w:lineRule="auto"/>
              <w:jc w:val="center"/>
              <w:rPr>
                <w:rFonts w:ascii="宋体" w:hAnsi="宋体" w:eastAsia="等线" w:cs="Courier New"/>
                <w:color w:val="auto"/>
                <w:kern w:val="0"/>
                <w:sz w:val="24"/>
                <w:highlight w:val="none"/>
              </w:rPr>
            </w:pPr>
          </w:p>
        </w:tc>
        <w:tc>
          <w:tcPr>
            <w:tcW w:w="1352" w:type="dxa"/>
          </w:tcPr>
          <w:p w14:paraId="4FE153CF">
            <w:pPr>
              <w:snapToGrid w:val="0"/>
              <w:spacing w:line="360" w:lineRule="auto"/>
              <w:jc w:val="center"/>
              <w:rPr>
                <w:rFonts w:ascii="宋体" w:hAnsi="宋体" w:eastAsia="等线" w:cs="Courier New"/>
                <w:color w:val="auto"/>
                <w:kern w:val="0"/>
                <w:sz w:val="24"/>
                <w:highlight w:val="none"/>
              </w:rPr>
            </w:pPr>
          </w:p>
        </w:tc>
      </w:tr>
      <w:tr w14:paraId="78C98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tcPr>
          <w:p w14:paraId="387CEEE7">
            <w:pPr>
              <w:snapToGrid w:val="0"/>
              <w:spacing w:line="360" w:lineRule="auto"/>
              <w:jc w:val="center"/>
              <w:rPr>
                <w:rFonts w:ascii="宋体" w:hAnsi="宋体" w:eastAsia="等线" w:cs="Courier New"/>
                <w:color w:val="auto"/>
                <w:kern w:val="0"/>
                <w:sz w:val="24"/>
                <w:highlight w:val="none"/>
              </w:rPr>
            </w:pPr>
          </w:p>
        </w:tc>
        <w:tc>
          <w:tcPr>
            <w:tcW w:w="1695" w:type="dxa"/>
          </w:tcPr>
          <w:p w14:paraId="2308F60F">
            <w:pPr>
              <w:snapToGrid w:val="0"/>
              <w:spacing w:line="360" w:lineRule="auto"/>
              <w:jc w:val="center"/>
              <w:rPr>
                <w:rFonts w:ascii="宋体" w:hAnsi="宋体" w:eastAsia="等线" w:cs="Courier New"/>
                <w:color w:val="auto"/>
                <w:kern w:val="0"/>
                <w:sz w:val="24"/>
                <w:highlight w:val="none"/>
              </w:rPr>
            </w:pPr>
          </w:p>
        </w:tc>
        <w:tc>
          <w:tcPr>
            <w:tcW w:w="3782" w:type="dxa"/>
          </w:tcPr>
          <w:p w14:paraId="5C22BABE">
            <w:pPr>
              <w:snapToGrid w:val="0"/>
              <w:spacing w:line="360" w:lineRule="auto"/>
              <w:jc w:val="center"/>
              <w:rPr>
                <w:rFonts w:ascii="宋体" w:hAnsi="宋体" w:eastAsia="等线" w:cs="Courier New"/>
                <w:color w:val="auto"/>
                <w:kern w:val="0"/>
                <w:sz w:val="24"/>
                <w:highlight w:val="none"/>
              </w:rPr>
            </w:pPr>
          </w:p>
        </w:tc>
        <w:tc>
          <w:tcPr>
            <w:tcW w:w="1365" w:type="dxa"/>
          </w:tcPr>
          <w:p w14:paraId="0F494D92">
            <w:pPr>
              <w:snapToGrid w:val="0"/>
              <w:spacing w:line="360" w:lineRule="auto"/>
              <w:jc w:val="center"/>
              <w:rPr>
                <w:rFonts w:ascii="宋体" w:hAnsi="宋体" w:eastAsia="等线" w:cs="Courier New"/>
                <w:color w:val="auto"/>
                <w:kern w:val="0"/>
                <w:sz w:val="24"/>
                <w:highlight w:val="none"/>
              </w:rPr>
            </w:pPr>
          </w:p>
        </w:tc>
        <w:tc>
          <w:tcPr>
            <w:tcW w:w="1352" w:type="dxa"/>
          </w:tcPr>
          <w:p w14:paraId="59BC5EC8">
            <w:pPr>
              <w:snapToGrid w:val="0"/>
              <w:spacing w:line="360" w:lineRule="auto"/>
              <w:jc w:val="center"/>
              <w:rPr>
                <w:rFonts w:ascii="宋体" w:hAnsi="宋体" w:eastAsia="等线" w:cs="Courier New"/>
                <w:color w:val="auto"/>
                <w:kern w:val="0"/>
                <w:sz w:val="24"/>
                <w:highlight w:val="none"/>
              </w:rPr>
            </w:pPr>
          </w:p>
        </w:tc>
      </w:tr>
      <w:tr w14:paraId="7970A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tcPr>
          <w:p w14:paraId="5B40F3C2">
            <w:pPr>
              <w:snapToGrid w:val="0"/>
              <w:spacing w:line="360" w:lineRule="auto"/>
              <w:jc w:val="center"/>
              <w:rPr>
                <w:rFonts w:ascii="宋体" w:hAnsi="宋体" w:eastAsia="等线" w:cs="Courier New"/>
                <w:color w:val="auto"/>
                <w:kern w:val="0"/>
                <w:sz w:val="24"/>
                <w:highlight w:val="none"/>
              </w:rPr>
            </w:pPr>
          </w:p>
        </w:tc>
        <w:tc>
          <w:tcPr>
            <w:tcW w:w="1695" w:type="dxa"/>
          </w:tcPr>
          <w:p w14:paraId="02A33112">
            <w:pPr>
              <w:snapToGrid w:val="0"/>
              <w:spacing w:line="360" w:lineRule="auto"/>
              <w:jc w:val="center"/>
              <w:rPr>
                <w:rFonts w:ascii="宋体" w:hAnsi="宋体" w:eastAsia="等线" w:cs="Courier New"/>
                <w:color w:val="auto"/>
                <w:kern w:val="0"/>
                <w:sz w:val="24"/>
                <w:highlight w:val="none"/>
              </w:rPr>
            </w:pPr>
          </w:p>
        </w:tc>
        <w:tc>
          <w:tcPr>
            <w:tcW w:w="3782" w:type="dxa"/>
          </w:tcPr>
          <w:p w14:paraId="70CC5B2A">
            <w:pPr>
              <w:snapToGrid w:val="0"/>
              <w:spacing w:line="360" w:lineRule="auto"/>
              <w:jc w:val="center"/>
              <w:rPr>
                <w:rFonts w:ascii="宋体" w:hAnsi="宋体" w:eastAsia="等线" w:cs="Courier New"/>
                <w:color w:val="auto"/>
                <w:kern w:val="0"/>
                <w:sz w:val="24"/>
                <w:highlight w:val="none"/>
              </w:rPr>
            </w:pPr>
          </w:p>
        </w:tc>
        <w:tc>
          <w:tcPr>
            <w:tcW w:w="1365" w:type="dxa"/>
          </w:tcPr>
          <w:p w14:paraId="4E8ED96F">
            <w:pPr>
              <w:snapToGrid w:val="0"/>
              <w:spacing w:line="360" w:lineRule="auto"/>
              <w:jc w:val="center"/>
              <w:rPr>
                <w:rFonts w:ascii="宋体" w:hAnsi="宋体" w:eastAsia="等线" w:cs="Courier New"/>
                <w:color w:val="auto"/>
                <w:kern w:val="0"/>
                <w:sz w:val="24"/>
                <w:highlight w:val="none"/>
              </w:rPr>
            </w:pPr>
          </w:p>
        </w:tc>
        <w:tc>
          <w:tcPr>
            <w:tcW w:w="1352" w:type="dxa"/>
          </w:tcPr>
          <w:p w14:paraId="1937F48F">
            <w:pPr>
              <w:snapToGrid w:val="0"/>
              <w:spacing w:line="360" w:lineRule="auto"/>
              <w:jc w:val="center"/>
              <w:rPr>
                <w:rFonts w:ascii="宋体" w:hAnsi="宋体" w:eastAsia="等线" w:cs="Courier New"/>
                <w:color w:val="auto"/>
                <w:kern w:val="0"/>
                <w:sz w:val="24"/>
                <w:highlight w:val="none"/>
              </w:rPr>
            </w:pPr>
          </w:p>
        </w:tc>
      </w:tr>
      <w:tr w14:paraId="3898E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tcPr>
          <w:p w14:paraId="4B4C391F">
            <w:pPr>
              <w:snapToGrid w:val="0"/>
              <w:spacing w:line="360" w:lineRule="auto"/>
              <w:jc w:val="center"/>
              <w:rPr>
                <w:rFonts w:ascii="宋体" w:hAnsi="宋体" w:eastAsia="等线" w:cs="Courier New"/>
                <w:color w:val="auto"/>
                <w:kern w:val="0"/>
                <w:sz w:val="24"/>
                <w:highlight w:val="none"/>
              </w:rPr>
            </w:pPr>
          </w:p>
        </w:tc>
        <w:tc>
          <w:tcPr>
            <w:tcW w:w="1695" w:type="dxa"/>
          </w:tcPr>
          <w:p w14:paraId="08C91C79">
            <w:pPr>
              <w:snapToGrid w:val="0"/>
              <w:spacing w:line="360" w:lineRule="auto"/>
              <w:jc w:val="center"/>
              <w:rPr>
                <w:rFonts w:ascii="宋体" w:hAnsi="宋体" w:eastAsia="等线" w:cs="Courier New"/>
                <w:color w:val="auto"/>
                <w:kern w:val="0"/>
                <w:sz w:val="24"/>
                <w:highlight w:val="none"/>
              </w:rPr>
            </w:pPr>
          </w:p>
        </w:tc>
        <w:tc>
          <w:tcPr>
            <w:tcW w:w="3782" w:type="dxa"/>
          </w:tcPr>
          <w:p w14:paraId="739E25C3">
            <w:pPr>
              <w:snapToGrid w:val="0"/>
              <w:spacing w:line="360" w:lineRule="auto"/>
              <w:jc w:val="center"/>
              <w:rPr>
                <w:rFonts w:ascii="宋体" w:hAnsi="宋体" w:eastAsia="等线" w:cs="Courier New"/>
                <w:color w:val="auto"/>
                <w:kern w:val="0"/>
                <w:sz w:val="24"/>
                <w:highlight w:val="none"/>
              </w:rPr>
            </w:pPr>
          </w:p>
        </w:tc>
        <w:tc>
          <w:tcPr>
            <w:tcW w:w="1365" w:type="dxa"/>
          </w:tcPr>
          <w:p w14:paraId="1C61DDCE">
            <w:pPr>
              <w:snapToGrid w:val="0"/>
              <w:spacing w:line="360" w:lineRule="auto"/>
              <w:jc w:val="center"/>
              <w:rPr>
                <w:rFonts w:ascii="宋体" w:hAnsi="宋体" w:eastAsia="等线" w:cs="Courier New"/>
                <w:color w:val="auto"/>
                <w:kern w:val="0"/>
                <w:sz w:val="24"/>
                <w:highlight w:val="none"/>
              </w:rPr>
            </w:pPr>
          </w:p>
        </w:tc>
        <w:tc>
          <w:tcPr>
            <w:tcW w:w="1352" w:type="dxa"/>
          </w:tcPr>
          <w:p w14:paraId="05C0685D">
            <w:pPr>
              <w:snapToGrid w:val="0"/>
              <w:spacing w:line="360" w:lineRule="auto"/>
              <w:jc w:val="center"/>
              <w:rPr>
                <w:rFonts w:ascii="宋体" w:hAnsi="宋体" w:eastAsia="等线" w:cs="Courier New"/>
                <w:color w:val="auto"/>
                <w:kern w:val="0"/>
                <w:sz w:val="24"/>
                <w:highlight w:val="none"/>
              </w:rPr>
            </w:pPr>
          </w:p>
        </w:tc>
      </w:tr>
      <w:tr w14:paraId="6C27B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965" w:type="dxa"/>
          </w:tcPr>
          <w:p w14:paraId="306442C8">
            <w:pPr>
              <w:snapToGrid w:val="0"/>
              <w:spacing w:line="360" w:lineRule="auto"/>
              <w:jc w:val="center"/>
              <w:rPr>
                <w:rFonts w:ascii="宋体" w:hAnsi="宋体" w:eastAsia="等线" w:cs="Courier New"/>
                <w:color w:val="auto"/>
                <w:kern w:val="0"/>
                <w:sz w:val="24"/>
                <w:highlight w:val="none"/>
              </w:rPr>
            </w:pPr>
          </w:p>
        </w:tc>
        <w:tc>
          <w:tcPr>
            <w:tcW w:w="1695" w:type="dxa"/>
          </w:tcPr>
          <w:p w14:paraId="36EDEEFF">
            <w:pPr>
              <w:snapToGrid w:val="0"/>
              <w:spacing w:line="360" w:lineRule="auto"/>
              <w:jc w:val="center"/>
              <w:rPr>
                <w:rFonts w:ascii="宋体" w:hAnsi="宋体" w:eastAsia="等线" w:cs="Courier New"/>
                <w:color w:val="auto"/>
                <w:kern w:val="0"/>
                <w:sz w:val="24"/>
                <w:highlight w:val="none"/>
              </w:rPr>
            </w:pPr>
          </w:p>
        </w:tc>
        <w:tc>
          <w:tcPr>
            <w:tcW w:w="3782" w:type="dxa"/>
          </w:tcPr>
          <w:p w14:paraId="5EDA5389">
            <w:pPr>
              <w:snapToGrid w:val="0"/>
              <w:spacing w:line="360" w:lineRule="auto"/>
              <w:jc w:val="center"/>
              <w:rPr>
                <w:rFonts w:ascii="宋体" w:hAnsi="宋体" w:eastAsia="等线" w:cs="Courier New"/>
                <w:color w:val="auto"/>
                <w:kern w:val="0"/>
                <w:sz w:val="24"/>
                <w:highlight w:val="none"/>
              </w:rPr>
            </w:pPr>
          </w:p>
        </w:tc>
        <w:tc>
          <w:tcPr>
            <w:tcW w:w="1365" w:type="dxa"/>
          </w:tcPr>
          <w:p w14:paraId="76DF96DA">
            <w:pPr>
              <w:snapToGrid w:val="0"/>
              <w:spacing w:line="360" w:lineRule="auto"/>
              <w:jc w:val="center"/>
              <w:rPr>
                <w:rFonts w:ascii="宋体" w:hAnsi="宋体" w:eastAsia="等线" w:cs="Courier New"/>
                <w:color w:val="auto"/>
                <w:kern w:val="0"/>
                <w:sz w:val="24"/>
                <w:highlight w:val="none"/>
              </w:rPr>
            </w:pPr>
          </w:p>
        </w:tc>
        <w:tc>
          <w:tcPr>
            <w:tcW w:w="1352" w:type="dxa"/>
          </w:tcPr>
          <w:p w14:paraId="6B46F061">
            <w:pPr>
              <w:snapToGrid w:val="0"/>
              <w:spacing w:line="360" w:lineRule="auto"/>
              <w:jc w:val="center"/>
              <w:rPr>
                <w:rFonts w:ascii="宋体" w:hAnsi="宋体" w:eastAsia="等线" w:cs="Courier New"/>
                <w:color w:val="auto"/>
                <w:kern w:val="0"/>
                <w:sz w:val="24"/>
                <w:highlight w:val="none"/>
              </w:rPr>
            </w:pPr>
          </w:p>
        </w:tc>
      </w:tr>
    </w:tbl>
    <w:p w14:paraId="40A65891">
      <w:pPr>
        <w:snapToGrid w:val="0"/>
        <w:spacing w:before="120" w:beforeLines="50" w:after="50"/>
        <w:jc w:val="center"/>
        <w:rPr>
          <w:rFonts w:ascii="宋体" w:hAnsi="宋体" w:cs="宋体"/>
          <w:b/>
          <w:color w:val="auto"/>
          <w:sz w:val="30"/>
          <w:szCs w:val="30"/>
          <w:highlight w:val="none"/>
        </w:rPr>
      </w:pPr>
      <w:r>
        <w:rPr>
          <w:rFonts w:hint="eastAsia" w:ascii="宋体" w:hAnsi="宋体" w:cs="Courier New"/>
          <w:color w:val="auto"/>
          <w:kern w:val="0"/>
          <w:sz w:val="24"/>
          <w:highlight w:val="none"/>
        </w:rPr>
        <w:br w:type="page"/>
      </w:r>
      <w:r>
        <w:rPr>
          <w:rFonts w:hint="eastAsia" w:ascii="宋体" w:hAnsi="宋体" w:cs="宋体"/>
          <w:b/>
          <w:color w:val="auto"/>
          <w:kern w:val="0"/>
          <w:sz w:val="32"/>
          <w:szCs w:val="32"/>
          <w:highlight w:val="none"/>
        </w:rPr>
        <w:t>一、投标声明书</w:t>
      </w:r>
    </w:p>
    <w:p w14:paraId="67BBDC7A">
      <w:pPr>
        <w:snapToGrid w:val="0"/>
        <w:spacing w:line="360" w:lineRule="auto"/>
        <w:rPr>
          <w:rFonts w:ascii="宋体" w:hAnsi="宋体" w:cs="宋体"/>
          <w:b/>
          <w:color w:val="auto"/>
          <w:sz w:val="24"/>
          <w:szCs w:val="20"/>
          <w:highlight w:val="none"/>
        </w:rPr>
      </w:pPr>
      <w:r>
        <w:rPr>
          <w:rFonts w:hint="eastAsia" w:ascii="宋体" w:hAnsi="宋体" w:cs="宋体"/>
          <w:color w:val="auto"/>
          <w:sz w:val="24"/>
          <w:highlight w:val="none"/>
          <w:lang w:eastAsia="zh-CN"/>
        </w:rPr>
        <w:t>金华市博物馆</w:t>
      </w:r>
      <w:r>
        <w:rPr>
          <w:rFonts w:hint="eastAsia" w:ascii="宋体" w:hAnsi="宋体" w:cs="宋体"/>
          <w:color w:val="auto"/>
          <w:sz w:val="24"/>
          <w:highlight w:val="none"/>
        </w:rPr>
        <w:t>：</w:t>
      </w:r>
    </w:p>
    <w:p w14:paraId="3F75BFA8">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u w:val="single"/>
        </w:rPr>
        <w:t>　　　　　　　　</w:t>
      </w:r>
      <w:r>
        <w:rPr>
          <w:rFonts w:hint="eastAsia" w:ascii="宋体" w:hAnsi="宋体" w:cs="宋体"/>
          <w:color w:val="auto"/>
          <w:sz w:val="24"/>
          <w:highlight w:val="none"/>
        </w:rPr>
        <w:t>（供应商名称）系中华人民共和国合法企业，经营地址。</w:t>
      </w:r>
    </w:p>
    <w:p w14:paraId="59BFDF1E">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w:t>
      </w:r>
      <w:r>
        <w:rPr>
          <w:rFonts w:hint="eastAsia" w:ascii="宋体" w:hAnsi="宋体" w:cs="宋体"/>
          <w:color w:val="auto"/>
          <w:sz w:val="24"/>
          <w:highlight w:val="none"/>
        </w:rPr>
        <w:t>（姓名）系</w:t>
      </w:r>
      <w:r>
        <w:rPr>
          <w:rFonts w:hint="eastAsia" w:ascii="宋体" w:hAnsi="宋体" w:cs="宋体"/>
          <w:color w:val="auto"/>
          <w:sz w:val="24"/>
          <w:highlight w:val="none"/>
          <w:u w:val="single"/>
        </w:rPr>
        <w:t>　　　　　　　　</w:t>
      </w:r>
      <w:r>
        <w:rPr>
          <w:rFonts w:hint="eastAsia" w:ascii="宋体" w:hAnsi="宋体" w:cs="宋体"/>
          <w:color w:val="auto"/>
          <w:sz w:val="24"/>
          <w:highlight w:val="none"/>
        </w:rPr>
        <w:t>（供应商名称）的法定代表人，我方愿意参加贵方组织的</w:t>
      </w:r>
      <w:r>
        <w:rPr>
          <w:rFonts w:hint="eastAsia" w:ascii="宋体" w:hAnsi="宋体" w:cs="宋体"/>
          <w:color w:val="auto"/>
          <w:sz w:val="24"/>
          <w:highlight w:val="none"/>
          <w:u w:val="single"/>
        </w:rPr>
        <w:t>　　　　  　　　  　</w:t>
      </w:r>
      <w:r>
        <w:rPr>
          <w:rFonts w:hint="eastAsia" w:ascii="宋体" w:hAnsi="宋体" w:cs="宋体"/>
          <w:color w:val="auto"/>
          <w:sz w:val="24"/>
          <w:highlight w:val="none"/>
        </w:rPr>
        <w:t>项目（项目编号：</w:t>
      </w:r>
      <w:r>
        <w:rPr>
          <w:rFonts w:hint="eastAsia" w:ascii="宋体" w:hAnsi="宋体" w:cs="宋体"/>
          <w:color w:val="auto"/>
          <w:sz w:val="24"/>
          <w:highlight w:val="none"/>
          <w:lang w:eastAsia="zh-CN"/>
        </w:rPr>
        <w:t>WQ2024272-ZFCG072</w:t>
      </w:r>
      <w:r>
        <w:rPr>
          <w:rFonts w:hint="eastAsia" w:ascii="宋体" w:hAnsi="宋体" w:cs="宋体"/>
          <w:color w:val="auto"/>
          <w:sz w:val="24"/>
          <w:highlight w:val="none"/>
        </w:rPr>
        <w:t>）的投标，为便于贵方公正、择优地确定中标人及其投标产品和服务，我方就本次投标有关事项郑重声明如下：</w:t>
      </w:r>
    </w:p>
    <w:p w14:paraId="536C5FD9">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1.我方完全响应招标文件所有条款。我方向贵方提交的所有投标文件、资料都是准确的和真实的。</w:t>
      </w:r>
    </w:p>
    <w:p w14:paraId="4594061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2.本次投标有效期自开标之日起90日。</w:t>
      </w:r>
    </w:p>
    <w:p w14:paraId="2EAAD38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3.我方不是采购人的附属机构；在获知本项目采购信息后，与采购人聘请的为此项目提供咨询服务的公司及其附属机构没有任何联系。</w:t>
      </w:r>
    </w:p>
    <w:p w14:paraId="78AFED2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4.以上事项如有虚假或隐瞒，我方愿意承担一切后果，并不再寻求任何旨在减轻或免除法律责任的辩解。</w:t>
      </w:r>
    </w:p>
    <w:p w14:paraId="00EF0FD4">
      <w:pPr>
        <w:snapToGrid w:val="0"/>
        <w:spacing w:line="360" w:lineRule="auto"/>
        <w:ind w:firstLine="480" w:firstLineChars="200"/>
        <w:rPr>
          <w:rFonts w:ascii="宋体" w:hAnsi="宋体" w:cs="宋体"/>
          <w:color w:val="auto"/>
          <w:sz w:val="24"/>
          <w:szCs w:val="20"/>
          <w:highlight w:val="none"/>
        </w:rPr>
      </w:pPr>
    </w:p>
    <w:p w14:paraId="36C030B1">
      <w:pPr>
        <w:pStyle w:val="20"/>
        <w:rPr>
          <w:color w:val="auto"/>
          <w:highlight w:val="none"/>
        </w:rPr>
      </w:pPr>
    </w:p>
    <w:p w14:paraId="4C8762CD">
      <w:pPr>
        <w:snapToGrid w:val="0"/>
        <w:spacing w:line="360" w:lineRule="auto"/>
        <w:jc w:val="right"/>
        <w:rPr>
          <w:rFonts w:ascii="宋体" w:hAnsi="宋体" w:cs="宋体"/>
          <w:color w:val="auto"/>
          <w:sz w:val="24"/>
          <w:highlight w:val="none"/>
        </w:rPr>
      </w:pPr>
      <w:r>
        <w:rPr>
          <w:rFonts w:hint="eastAsia" w:ascii="宋体" w:cs="宋体"/>
          <w:color w:val="auto"/>
          <w:sz w:val="24"/>
          <w:highlight w:val="none"/>
        </w:rPr>
        <w:t>供应商名称</w:t>
      </w:r>
      <w:r>
        <w:rPr>
          <w:rFonts w:hint="eastAsia" w:ascii="宋体" w:hAnsi="宋体" w:cs="宋体"/>
          <w:color w:val="auto"/>
          <w:sz w:val="24"/>
          <w:highlight w:val="none"/>
        </w:rPr>
        <w:t xml:space="preserve">（电子签章/公章）：         </w:t>
      </w:r>
    </w:p>
    <w:p w14:paraId="5C3C5F39">
      <w:pPr>
        <w:snapToGrid w:val="0"/>
        <w:spacing w:line="360" w:lineRule="auto"/>
        <w:jc w:val="right"/>
        <w:rPr>
          <w:rFonts w:ascii="宋体" w:hAnsi="宋体" w:cs="宋体"/>
          <w:color w:val="auto"/>
          <w:sz w:val="24"/>
          <w:highlight w:val="none"/>
        </w:rPr>
      </w:pPr>
      <w:r>
        <w:rPr>
          <w:rFonts w:hint="eastAsia" w:ascii="宋体" w:hAnsi="宋体" w:cs="宋体"/>
          <w:color w:val="auto"/>
          <w:sz w:val="24"/>
          <w:highlight w:val="none"/>
        </w:rPr>
        <w:t>年  月  日</w:t>
      </w:r>
    </w:p>
    <w:p w14:paraId="3D669B17">
      <w:pPr>
        <w:snapToGrid w:val="0"/>
        <w:spacing w:before="50" w:after="50" w:line="360" w:lineRule="auto"/>
        <w:ind w:firstLine="480"/>
        <w:rPr>
          <w:b/>
          <w:color w:val="auto"/>
          <w:highlight w:val="none"/>
        </w:rPr>
      </w:pPr>
      <w:r>
        <w:rPr>
          <w:rFonts w:hint="eastAsia" w:ascii="宋体" w:hAnsi="宋体" w:cs="宋体"/>
          <w:color w:val="auto"/>
          <w:sz w:val="24"/>
          <w:highlight w:val="none"/>
        </w:rPr>
        <w:br w:type="page"/>
      </w:r>
    </w:p>
    <w:p w14:paraId="381C9676">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中标后以分包方式履行合同的，提供分包意向协议（项目不允许分包或者中标后不以分包方式履行合同的不需要提供）：</w:t>
      </w:r>
    </w:p>
    <w:p w14:paraId="611EC1AE">
      <w:pPr>
        <w:tabs>
          <w:tab w:val="left" w:pos="3823"/>
          <w:tab w:val="center" w:pos="4622"/>
        </w:tabs>
        <w:snapToGrid w:val="0"/>
        <w:spacing w:line="360" w:lineRule="auto"/>
        <w:ind w:firstLine="482"/>
        <w:jc w:val="left"/>
        <w:rPr>
          <w:rFonts w:ascii="宋体" w:hAnsi="宋体" w:cs="宋体"/>
          <w:b/>
          <w:color w:val="auto"/>
          <w:sz w:val="24"/>
          <w:highlight w:val="none"/>
        </w:rPr>
      </w:pPr>
      <w:r>
        <w:rPr>
          <w:rFonts w:hint="eastAsia" w:ascii="宋体" w:hAnsi="宋体" w:cs="宋体"/>
          <w:b/>
          <w:color w:val="auto"/>
          <w:sz w:val="24"/>
          <w:highlight w:val="none"/>
        </w:rPr>
        <w:tab/>
      </w:r>
    </w:p>
    <w:p w14:paraId="77411340">
      <w:pPr>
        <w:tabs>
          <w:tab w:val="left" w:pos="3823"/>
          <w:tab w:val="center" w:pos="4622"/>
        </w:tabs>
        <w:snapToGrid w:val="0"/>
        <w:spacing w:line="360" w:lineRule="auto"/>
        <w:ind w:firstLine="482"/>
        <w:jc w:val="left"/>
        <w:rPr>
          <w:rFonts w:ascii="宋体" w:hAnsi="宋体" w:cs="宋体"/>
          <w:b/>
          <w:color w:val="auto"/>
          <w:sz w:val="24"/>
          <w:highlight w:val="none"/>
        </w:rPr>
      </w:pPr>
      <w:r>
        <w:rPr>
          <w:rFonts w:hint="eastAsia" w:ascii="宋体" w:hAnsi="宋体" w:cs="宋体"/>
          <w:b/>
          <w:color w:val="auto"/>
          <w:sz w:val="24"/>
          <w:highlight w:val="none"/>
        </w:rPr>
        <w:tab/>
      </w:r>
      <w:r>
        <w:rPr>
          <w:rFonts w:hint="eastAsia" w:ascii="宋体" w:hAnsi="宋体" w:cs="宋体"/>
          <w:b/>
          <w:color w:val="auto"/>
          <w:sz w:val="24"/>
          <w:highlight w:val="none"/>
        </w:rPr>
        <w:t>分包意向协议</w:t>
      </w:r>
    </w:p>
    <w:p w14:paraId="39F79CB2">
      <w:pPr>
        <w:spacing w:line="360" w:lineRule="auto"/>
        <w:ind w:firstLine="120" w:firstLineChars="50"/>
        <w:rPr>
          <w:rFonts w:ascii="宋体" w:hAnsi="宋体" w:cs="宋体"/>
          <w:color w:val="auto"/>
          <w:sz w:val="24"/>
          <w:highlight w:val="none"/>
        </w:rPr>
      </w:pPr>
    </w:p>
    <w:p w14:paraId="746AFF47">
      <w:pPr>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u w:val="single"/>
        </w:rPr>
        <w:t>（供应商名称）</w:t>
      </w:r>
      <w:r>
        <w:rPr>
          <w:rFonts w:hint="eastAsia" w:ascii="宋体" w:hAnsi="宋体" w:cs="宋体"/>
          <w:color w:val="auto"/>
          <w:sz w:val="24"/>
          <w:highlight w:val="none"/>
          <w:lang w:val="zh-CN"/>
        </w:rPr>
        <w:t>若成为</w:t>
      </w:r>
      <w:r>
        <w:rPr>
          <w:rFonts w:hint="eastAsia" w:ascii="宋体" w:hAnsi="宋体" w:cs="宋体"/>
          <w:color w:val="auto"/>
          <w:sz w:val="24"/>
          <w:highlight w:val="none"/>
        </w:rPr>
        <w:t>（项目名称）（项目编号）</w:t>
      </w:r>
      <w:r>
        <w:rPr>
          <w:rFonts w:hint="eastAsia" w:ascii="宋体" w:hAnsi="宋体" w:cs="宋体"/>
          <w:color w:val="auto"/>
          <w:sz w:val="24"/>
          <w:highlight w:val="none"/>
          <w:lang w:val="zh-CN"/>
        </w:rPr>
        <w:t>的供应商，将依法采取分包方式履行合同。</w:t>
      </w:r>
      <w:r>
        <w:rPr>
          <w:rFonts w:hint="eastAsia" w:ascii="宋体" w:hAnsi="宋体" w:cs="宋体"/>
          <w:color w:val="auto"/>
          <w:sz w:val="24"/>
          <w:highlight w:val="none"/>
          <w:u w:val="single"/>
        </w:rPr>
        <w:t>（供应商名称）</w:t>
      </w:r>
      <w:r>
        <w:rPr>
          <w:rFonts w:hint="eastAsia" w:ascii="宋体" w:hAnsi="宋体" w:cs="宋体"/>
          <w:color w:val="auto"/>
          <w:sz w:val="24"/>
          <w:highlight w:val="none"/>
        </w:rPr>
        <w:t>与</w:t>
      </w:r>
      <w:r>
        <w:rPr>
          <w:rFonts w:hint="eastAsia" w:ascii="宋体" w:hAnsi="宋体" w:cs="宋体"/>
          <w:color w:val="auto"/>
          <w:sz w:val="24"/>
          <w:highlight w:val="none"/>
          <w:u w:val="single"/>
        </w:rPr>
        <w:t>（所有分包供应商名称）</w:t>
      </w:r>
      <w:r>
        <w:rPr>
          <w:rFonts w:hint="eastAsia" w:ascii="宋体" w:hAnsi="宋体" w:cs="宋体"/>
          <w:color w:val="auto"/>
          <w:sz w:val="24"/>
          <w:highlight w:val="none"/>
        </w:rPr>
        <w:t>达成分包意向协议</w:t>
      </w:r>
      <w:r>
        <w:rPr>
          <w:rFonts w:hint="eastAsia" w:ascii="宋体" w:hAnsi="宋体" w:cs="宋体"/>
          <w:color w:val="auto"/>
          <w:sz w:val="24"/>
          <w:highlight w:val="none"/>
          <w:lang w:val="zh-CN"/>
        </w:rPr>
        <w:t xml:space="preserve">。 </w:t>
      </w:r>
    </w:p>
    <w:p w14:paraId="6FAE3B3E">
      <w:pPr>
        <w:snapToGrid w:val="0"/>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一、分包标的及数量</w:t>
      </w:r>
    </w:p>
    <w:p w14:paraId="2306ECBE">
      <w:pPr>
        <w:snapToGrid w:val="0"/>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u w:val="single"/>
        </w:rPr>
        <w:t>（供应商名称）</w:t>
      </w:r>
      <w:r>
        <w:rPr>
          <w:rFonts w:hint="eastAsia" w:ascii="宋体" w:hAnsi="宋体" w:cs="宋体"/>
          <w:color w:val="auto"/>
          <w:sz w:val="24"/>
          <w:highlight w:val="none"/>
          <w:lang w:val="zh-CN"/>
        </w:rPr>
        <w:t>将</w:t>
      </w:r>
      <w:r>
        <w:rPr>
          <w:rFonts w:hint="eastAsia" w:ascii="宋体" w:hAnsi="宋体" w:cs="宋体"/>
          <w:color w:val="auto"/>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sz w:val="24"/>
          <w:highlight w:val="none"/>
          <w:u w:val="single"/>
        </w:rPr>
        <w:t>（某分包供应商名称）</w:t>
      </w:r>
      <w:r>
        <w:rPr>
          <w:rFonts w:hint="eastAsia" w:ascii="宋体" w:hAnsi="宋体" w:cs="宋体"/>
          <w:color w:val="auto"/>
          <w:sz w:val="24"/>
          <w:highlight w:val="none"/>
          <w:lang w:val="zh-CN"/>
        </w:rPr>
        <w:t>，</w:t>
      </w:r>
      <w:r>
        <w:rPr>
          <w:rFonts w:hint="eastAsia" w:ascii="宋体" w:hAnsi="宋体" w:cs="宋体"/>
          <w:color w:val="auto"/>
          <w:sz w:val="24"/>
          <w:highlight w:val="none"/>
          <w:u w:val="single"/>
        </w:rPr>
        <w:t>（某分包供应商名称），</w:t>
      </w:r>
      <w:r>
        <w:rPr>
          <w:rFonts w:hint="eastAsia" w:ascii="宋体" w:hAnsi="宋体" w:cs="宋体"/>
          <w:color w:val="auto"/>
          <w:sz w:val="24"/>
          <w:highlight w:val="none"/>
          <w:lang w:val="zh-CN"/>
        </w:rPr>
        <w:t>具备承</w:t>
      </w:r>
      <w:r>
        <w:rPr>
          <w:rFonts w:hint="eastAsia" w:ascii="宋体" w:hAnsi="宋体" w:cs="宋体"/>
          <w:color w:val="auto"/>
          <w:sz w:val="24"/>
          <w:highlight w:val="none"/>
        </w:rPr>
        <w:t>担</w:t>
      </w:r>
      <w:r>
        <w:rPr>
          <w:rFonts w:hint="eastAsia" w:ascii="宋体" w:hAnsi="宋体" w:cs="宋体"/>
          <w:color w:val="auto"/>
          <w:sz w:val="24"/>
          <w:highlight w:val="none"/>
          <w:u w:val="single"/>
          <w:lang w:val="zh-CN"/>
        </w:rPr>
        <w:t>XX工作内容</w:t>
      </w:r>
      <w:r>
        <w:rPr>
          <w:rFonts w:hint="eastAsia" w:ascii="宋体" w:hAnsi="宋体" w:cs="宋体"/>
          <w:color w:val="auto"/>
          <w:sz w:val="24"/>
          <w:highlight w:val="none"/>
          <w:lang w:val="zh-CN"/>
        </w:rPr>
        <w:t>相应资质条件且不得再次分包；</w:t>
      </w:r>
    </w:p>
    <w:p w14:paraId="10FDF9AA">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w:t>
      </w:r>
    </w:p>
    <w:p w14:paraId="1C794E60">
      <w:pPr>
        <w:snapToGrid w:val="0"/>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二、分包工作履行期限、地点、方式</w:t>
      </w:r>
    </w:p>
    <w:p w14:paraId="735B73DA">
      <w:pPr>
        <w:snapToGrid w:val="0"/>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三、质量</w:t>
      </w:r>
    </w:p>
    <w:p w14:paraId="130C20BF">
      <w:pPr>
        <w:snapToGrid w:val="0"/>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四、价款或者报酬</w:t>
      </w:r>
    </w:p>
    <w:p w14:paraId="0F409297">
      <w:pPr>
        <w:snapToGrid w:val="0"/>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五、违约责任</w:t>
      </w:r>
    </w:p>
    <w:p w14:paraId="6ABCC342">
      <w:pPr>
        <w:snapToGrid w:val="0"/>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六、争议解决的办法</w:t>
      </w:r>
    </w:p>
    <w:p w14:paraId="066CCDD4">
      <w:pPr>
        <w:snapToGrid w:val="0"/>
        <w:spacing w:line="360" w:lineRule="auto"/>
        <w:ind w:firstLine="480"/>
        <w:rPr>
          <w:rFonts w:ascii="宋体" w:hAnsi="宋体" w:cs="宋体"/>
          <w:color w:val="auto"/>
          <w:sz w:val="24"/>
          <w:highlight w:val="none"/>
          <w:lang w:val="zh-CN"/>
        </w:rPr>
      </w:pPr>
      <w:bookmarkStart w:id="26" w:name="_Hlk99031765"/>
      <w:r>
        <w:rPr>
          <w:rFonts w:hint="eastAsia" w:ascii="宋体" w:hAnsi="宋体" w:cs="宋体"/>
          <w:color w:val="auto"/>
          <w:sz w:val="24"/>
          <w:highlight w:val="none"/>
          <w:lang w:val="zh-CN"/>
        </w:rPr>
        <w:t>七、其他</w:t>
      </w:r>
    </w:p>
    <w:p w14:paraId="216B6856">
      <w:pPr>
        <w:snapToGrid w:val="0"/>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rPr>
        <w:t>中小企业合同金额达到项目金额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%，小微企业合同金额达到项目金额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val="zh-CN"/>
        </w:rPr>
        <w:t xml:space="preserve">。  </w:t>
      </w:r>
    </w:p>
    <w:p w14:paraId="379C017D">
      <w:pPr>
        <w:snapToGrid w:val="0"/>
        <w:spacing w:line="360" w:lineRule="auto"/>
        <w:ind w:firstLine="480"/>
        <w:rPr>
          <w:rFonts w:ascii="宋体" w:hAnsi="宋体" w:cs="宋体"/>
          <w:b/>
          <w:color w:val="auto"/>
          <w:sz w:val="24"/>
          <w:highlight w:val="none"/>
          <w:lang w:val="zh-CN"/>
        </w:rPr>
      </w:pPr>
      <w:r>
        <w:rPr>
          <w:rFonts w:hint="eastAsia" w:ascii="宋体" w:hAnsi="宋体" w:cs="宋体"/>
          <w:color w:val="auto"/>
          <w:sz w:val="24"/>
          <w:highlight w:val="none"/>
        </w:rPr>
        <w:t>八、</w:t>
      </w:r>
      <w:r>
        <w:rPr>
          <w:rFonts w:hint="eastAsia" w:ascii="宋体" w:hAnsi="宋体" w:cs="宋体"/>
          <w:color w:val="auto"/>
          <w:sz w:val="24"/>
          <w:highlight w:val="none"/>
          <w:u w:val="single"/>
        </w:rPr>
        <w:t>（分包供应商名称）提供的服务全部由小微企业承接，</w:t>
      </w:r>
      <w:r>
        <w:rPr>
          <w:rFonts w:hint="eastAsia" w:ascii="宋体" w:hAnsi="宋体" w:cs="宋体"/>
          <w:color w:val="auto"/>
          <w:sz w:val="24"/>
          <w:highlight w:val="none"/>
        </w:rPr>
        <w:t>其合同份额占到合同总金额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%以上。</w:t>
      </w:r>
      <w:r>
        <w:rPr>
          <w:rFonts w:hint="eastAsia" w:ascii="宋体" w:hAnsi="宋体" w:cs="宋体"/>
          <w:b/>
          <w:color w:val="auto"/>
          <w:sz w:val="24"/>
          <w:highlight w:val="none"/>
          <w:lang w:val="zh-CN"/>
        </w:rPr>
        <w:t>（未预留份额专门面向中小企业采购的采购项目，以及预留份额中的非预留部分采购包，允许分包的，分包供应商提供的</w:t>
      </w:r>
      <w:r>
        <w:rPr>
          <w:rFonts w:hint="eastAsia" w:ascii="宋体" w:hAnsi="宋体" w:cs="宋体"/>
          <w:b/>
          <w:color w:val="auto"/>
          <w:sz w:val="24"/>
          <w:highlight w:val="none"/>
        </w:rPr>
        <w:t>服务</w:t>
      </w:r>
      <w:r>
        <w:rPr>
          <w:rFonts w:hint="eastAsia" w:ascii="宋体" w:hAnsi="宋体" w:cs="宋体"/>
          <w:b/>
          <w:color w:val="auto"/>
          <w:sz w:val="24"/>
          <w:highlight w:val="none"/>
          <w:lang w:val="zh-CN"/>
        </w:rPr>
        <w:t>全部由小微企业</w:t>
      </w:r>
      <w:r>
        <w:rPr>
          <w:rFonts w:hint="eastAsia" w:ascii="宋体" w:hAnsi="宋体" w:cs="宋体"/>
          <w:b/>
          <w:color w:val="auto"/>
          <w:sz w:val="24"/>
          <w:highlight w:val="none"/>
        </w:rPr>
        <w:t>承接</w:t>
      </w:r>
      <w:r>
        <w:rPr>
          <w:rFonts w:hint="eastAsia" w:ascii="宋体" w:hAnsi="宋体" w:cs="宋体"/>
          <w:b/>
          <w:color w:val="auto"/>
          <w:sz w:val="24"/>
          <w:highlight w:val="none"/>
          <w:lang w:val="zh-CN"/>
        </w:rPr>
        <w:t>，且其合同份额占到项目总金额 30%以上的，对大中型企业的报价给予</w:t>
      </w:r>
      <w:r>
        <w:rPr>
          <w:rFonts w:hint="eastAsia" w:ascii="宋体" w:hAnsi="宋体" w:cs="宋体"/>
          <w:b/>
          <w:color w:val="auto"/>
          <w:sz w:val="24"/>
          <w:highlight w:val="none"/>
        </w:rPr>
        <w:t>4</w:t>
      </w:r>
      <w:r>
        <w:rPr>
          <w:rFonts w:hint="eastAsia" w:ascii="宋体" w:hAnsi="宋体" w:cs="宋体"/>
          <w:b/>
          <w:color w:val="auto"/>
          <w:sz w:val="24"/>
          <w:highlight w:val="none"/>
          <w:lang w:val="zh-CN"/>
        </w:rPr>
        <w:t>%的扣除）</w:t>
      </w:r>
    </w:p>
    <w:bookmarkEnd w:id="26"/>
    <w:p w14:paraId="27567D73">
      <w:pPr>
        <w:snapToGrid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 xml:space="preserve">                                                   </w:t>
      </w:r>
    </w:p>
    <w:p w14:paraId="0E7B5EA5">
      <w:pPr>
        <w:snapToGrid w:val="0"/>
        <w:spacing w:line="360" w:lineRule="auto"/>
        <w:ind w:left="4650" w:leftChars="1300" w:hanging="1920" w:hangingChars="800"/>
        <w:rPr>
          <w:rFonts w:ascii="宋体" w:hAnsi="宋体" w:cs="宋体"/>
          <w:color w:val="auto"/>
          <w:sz w:val="24"/>
          <w:highlight w:val="none"/>
          <w:lang w:val="zh-CN"/>
        </w:rPr>
      </w:pPr>
      <w:r>
        <w:rPr>
          <w:rFonts w:hint="eastAsia" w:ascii="宋体" w:hAnsi="宋体" w:cs="宋体"/>
          <w:color w:val="auto"/>
          <w:sz w:val="24"/>
          <w:highlight w:val="none"/>
          <w:lang w:val="zh-CN"/>
        </w:rPr>
        <w:t xml:space="preserve">                      供应商名称（电子签章</w:t>
      </w:r>
      <w:r>
        <w:rPr>
          <w:rFonts w:hint="eastAsia" w:ascii="宋体" w:hAnsi="宋体" w:cs="宋体"/>
          <w:color w:val="auto"/>
          <w:sz w:val="24"/>
          <w:highlight w:val="none"/>
        </w:rPr>
        <w:t>/公章</w:t>
      </w:r>
      <w:r>
        <w:rPr>
          <w:rFonts w:hint="eastAsia" w:ascii="宋体" w:hAnsi="宋体" w:cs="宋体"/>
          <w:color w:val="auto"/>
          <w:sz w:val="24"/>
          <w:highlight w:val="none"/>
          <w:lang w:val="zh-CN"/>
        </w:rPr>
        <w:t>）：</w:t>
      </w:r>
    </w:p>
    <w:p w14:paraId="0498A26E">
      <w:pPr>
        <w:snapToGrid w:val="0"/>
        <w:spacing w:line="360" w:lineRule="auto"/>
        <w:jc w:val="right"/>
        <w:rPr>
          <w:rFonts w:ascii="宋体" w:hAnsi="宋体" w:cs="宋体"/>
          <w:color w:val="auto"/>
          <w:sz w:val="24"/>
          <w:highlight w:val="none"/>
          <w:lang w:val="zh-CN"/>
        </w:rPr>
      </w:pPr>
      <w:r>
        <w:rPr>
          <w:rFonts w:hint="eastAsia" w:ascii="宋体" w:hAnsi="宋体" w:cs="宋体"/>
          <w:color w:val="auto"/>
          <w:sz w:val="24"/>
          <w:highlight w:val="none"/>
          <w:lang w:val="zh-CN"/>
        </w:rPr>
        <w:t>分包供应商名称（电子签章</w:t>
      </w:r>
      <w:r>
        <w:rPr>
          <w:rFonts w:hint="eastAsia" w:ascii="宋体" w:hAnsi="宋体" w:cs="宋体"/>
          <w:color w:val="auto"/>
          <w:sz w:val="24"/>
          <w:highlight w:val="none"/>
        </w:rPr>
        <w:t>/公章</w:t>
      </w:r>
      <w:r>
        <w:rPr>
          <w:rFonts w:hint="eastAsia" w:ascii="宋体" w:hAnsi="宋体" w:cs="宋体"/>
          <w:color w:val="auto"/>
          <w:sz w:val="24"/>
          <w:highlight w:val="none"/>
          <w:lang w:val="zh-CN"/>
        </w:rPr>
        <w:t>）：</w:t>
      </w:r>
    </w:p>
    <w:p w14:paraId="58B9E7B5">
      <w:pPr>
        <w:snapToGrid w:val="0"/>
        <w:spacing w:line="360" w:lineRule="auto"/>
        <w:ind w:firstLine="5760" w:firstLineChars="2400"/>
        <w:rPr>
          <w:color w:val="auto"/>
          <w:highlight w:val="none"/>
          <w:lang w:val="zh-CN"/>
        </w:rPr>
      </w:pPr>
      <w:r>
        <w:rPr>
          <w:rFonts w:hint="eastAsia" w:ascii="宋体" w:hAnsi="宋体" w:cs="宋体"/>
          <w:color w:val="auto"/>
          <w:sz w:val="24"/>
          <w:highlight w:val="none"/>
          <w:lang w:val="zh-CN"/>
        </w:rPr>
        <w:t>……</w:t>
      </w:r>
    </w:p>
    <w:p w14:paraId="776C91C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w:t>
      </w:r>
      <w:r>
        <w:rPr>
          <w:rFonts w:hint="eastAsia" w:ascii="宋体" w:hAnsi="宋体" w:cs="宋体"/>
          <w:color w:val="auto"/>
          <w:sz w:val="24"/>
          <w:highlight w:val="none"/>
          <w:lang w:val="zh-CN"/>
        </w:rPr>
        <w:t xml:space="preserve">年  </w:t>
      </w: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月   日</w:t>
      </w:r>
    </w:p>
    <w:p w14:paraId="5475AA1A">
      <w:pPr>
        <w:spacing w:line="360" w:lineRule="auto"/>
        <w:jc w:val="center"/>
        <w:rPr>
          <w:rFonts w:ascii="宋体" w:hAnsi="宋体" w:cs="宋体"/>
          <w:color w:val="auto"/>
          <w:sz w:val="24"/>
          <w:highlight w:val="none"/>
        </w:rPr>
      </w:pPr>
    </w:p>
    <w:p w14:paraId="626B6396">
      <w:pPr>
        <w:ind w:firstLine="643"/>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781118F9">
      <w:pPr>
        <w:snapToGrid w:val="0"/>
        <w:spacing w:line="400" w:lineRule="exact"/>
        <w:jc w:val="center"/>
        <w:rPr>
          <w:rFonts w:ascii="宋体" w:hAnsi="宋体" w:cs="宋体"/>
          <w:b/>
          <w:color w:val="auto"/>
          <w:kern w:val="0"/>
          <w:sz w:val="32"/>
          <w:szCs w:val="32"/>
          <w:highlight w:val="none"/>
          <w:shd w:val="clear" w:color="auto" w:fill="FFFFFF"/>
        </w:rPr>
      </w:pPr>
      <w:r>
        <w:rPr>
          <w:rFonts w:hint="eastAsia" w:ascii="宋体" w:hAnsi="宋体" w:cs="宋体"/>
          <w:b/>
          <w:color w:val="auto"/>
          <w:kern w:val="0"/>
          <w:sz w:val="32"/>
          <w:szCs w:val="32"/>
          <w:highlight w:val="none"/>
        </w:rPr>
        <w:t>二、法定代表人授权委托书</w:t>
      </w:r>
    </w:p>
    <w:p w14:paraId="4CDB323C">
      <w:pPr>
        <w:shd w:val="clear" w:color="auto" w:fill="FFFFFF"/>
        <w:snapToGrid w:val="0"/>
        <w:spacing w:after="50"/>
        <w:ind w:firstLine="480"/>
        <w:rPr>
          <w:rFonts w:ascii="宋体" w:hAnsi="宋体" w:cs="宋体"/>
          <w:bCs/>
          <w:color w:val="auto"/>
          <w:sz w:val="24"/>
          <w:highlight w:val="none"/>
          <w:shd w:val="clear" w:color="auto" w:fill="FFFFFF"/>
        </w:rPr>
      </w:pPr>
      <w:r>
        <w:rPr>
          <w:rFonts w:ascii="_5b8b_4f53" w:hAnsi="_5b8b_4f53" w:eastAsia="_5b8b_4f53" w:cs="宋体"/>
          <w:color w:val="auto"/>
          <w:kern w:val="0"/>
          <w:szCs w:val="28"/>
          <w:highlight w:val="none"/>
          <w:shd w:val="clear" w:color="auto" w:fill="FFFFFF"/>
        </w:rPr>
        <w:t> </w:t>
      </w:r>
    </w:p>
    <w:p w14:paraId="13EB689B">
      <w:pPr>
        <w:shd w:val="clear" w:color="auto" w:fill="FFFFFF"/>
        <w:snapToGrid w:val="0"/>
        <w:spacing w:after="50" w:line="360" w:lineRule="auto"/>
        <w:rPr>
          <w:rFonts w:hAnsi="宋体" w:cs="宋体"/>
          <w:color w:val="auto"/>
          <w:sz w:val="24"/>
          <w:highlight w:val="none"/>
          <w:shd w:val="clear" w:color="auto" w:fill="FFFFFF"/>
        </w:rPr>
      </w:pPr>
    </w:p>
    <w:p w14:paraId="1D47667A">
      <w:pPr>
        <w:shd w:val="clear" w:color="auto" w:fill="FFFFFF"/>
        <w:snapToGrid w:val="0"/>
        <w:spacing w:after="50" w:line="360" w:lineRule="auto"/>
        <w:rPr>
          <w:rFonts w:hAnsi="宋体"/>
          <w:color w:val="auto"/>
          <w:sz w:val="24"/>
          <w:highlight w:val="none"/>
          <w:shd w:val="clear" w:color="auto" w:fill="FFFFFF"/>
        </w:rPr>
      </w:pPr>
      <w:r>
        <w:rPr>
          <w:rFonts w:hint="eastAsia" w:hAnsi="宋体" w:cs="宋体"/>
          <w:color w:val="auto"/>
          <w:sz w:val="24"/>
          <w:highlight w:val="none"/>
          <w:shd w:val="clear" w:color="auto" w:fill="FFFFFF"/>
          <w:lang w:eastAsia="zh-CN"/>
        </w:rPr>
        <w:t>金华市博物馆</w:t>
      </w:r>
      <w:r>
        <w:rPr>
          <w:rFonts w:hint="eastAsia" w:hAnsi="宋体" w:cs="宋体"/>
          <w:color w:val="auto"/>
          <w:sz w:val="24"/>
          <w:highlight w:val="none"/>
          <w:shd w:val="clear" w:color="auto" w:fill="FFFFFF"/>
        </w:rPr>
        <w:t>：</w:t>
      </w:r>
    </w:p>
    <w:p w14:paraId="7668C9AD">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现授权委托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w:t>
      </w:r>
      <w:r>
        <w:rPr>
          <w:color w:val="auto"/>
          <w:sz w:val="24"/>
          <w:highlight w:val="none"/>
          <w:lang w:val="zh-CN"/>
        </w:rPr>
        <w:t>（身份证号码：</w:t>
      </w:r>
      <w:r>
        <w:rPr>
          <w:color w:val="auto"/>
          <w:sz w:val="24"/>
          <w:highlight w:val="none"/>
          <w:u w:val="single"/>
          <w:lang w:val="zh-CN"/>
        </w:rPr>
        <w:t xml:space="preserve">          </w:t>
      </w:r>
      <w:r>
        <w:rPr>
          <w:color w:val="auto"/>
          <w:sz w:val="24"/>
          <w:highlight w:val="none"/>
          <w:lang w:val="zh-CN"/>
        </w:rPr>
        <w:t>，手机：</w:t>
      </w:r>
      <w:r>
        <w:rPr>
          <w:color w:val="auto"/>
          <w:sz w:val="24"/>
          <w:highlight w:val="none"/>
          <w:u w:val="single"/>
          <w:lang w:val="zh-CN"/>
        </w:rPr>
        <w:t xml:space="preserve">          </w:t>
      </w:r>
      <w:r>
        <w:rPr>
          <w:color w:val="auto"/>
          <w:sz w:val="24"/>
          <w:highlight w:val="none"/>
          <w:lang w:val="zh-CN"/>
        </w:rPr>
        <w:t>）</w:t>
      </w:r>
      <w:r>
        <w:rPr>
          <w:rFonts w:hint="eastAsia" w:ascii="宋体" w:hAnsi="宋体" w:cs="宋体"/>
          <w:color w:val="auto"/>
          <w:sz w:val="24"/>
          <w:highlight w:val="none"/>
        </w:rPr>
        <w:t>以我方的名义参加</w:t>
      </w:r>
      <w:r>
        <w:rPr>
          <w:rFonts w:hint="eastAsia" w:ascii="宋体" w:hAnsi="宋体" w:cs="宋体"/>
          <w:color w:val="auto"/>
          <w:sz w:val="24"/>
          <w:highlight w:val="none"/>
          <w:lang w:eastAsia="zh-CN"/>
        </w:rPr>
        <w:t>金华市博物馆邵飘萍旧居展陈提升项目</w:t>
      </w:r>
      <w:r>
        <w:rPr>
          <w:rFonts w:hint="eastAsia" w:ascii="宋体" w:hAnsi="宋体" w:cs="宋体"/>
          <w:color w:val="auto"/>
          <w:sz w:val="24"/>
          <w:highlight w:val="none"/>
        </w:rPr>
        <w:t>的投标活动，并代表我方全权办理针对上述项目的投标、开标、评标、签约等具体事务和签署相关文件。</w:t>
      </w:r>
    </w:p>
    <w:p w14:paraId="7AD67EEB">
      <w:pPr>
        <w:shd w:val="clear" w:color="auto" w:fill="FFFFFF"/>
        <w:snapToGrid w:val="0"/>
        <w:spacing w:after="50" w:line="360" w:lineRule="auto"/>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 xml:space="preserve">    我方对被授权人的签名事项负全部责任。</w:t>
      </w:r>
    </w:p>
    <w:p w14:paraId="799AC221">
      <w:pPr>
        <w:shd w:val="clear" w:color="auto" w:fill="FFFFFF"/>
        <w:snapToGrid w:val="0"/>
        <w:spacing w:after="50" w:line="360" w:lineRule="auto"/>
        <w:ind w:firstLine="480"/>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在撤销授权的书面通知以前，本授权书一直有效。被授权人在授权书有效期内签署的所有文件不因授权的撤销而失效。</w:t>
      </w:r>
    </w:p>
    <w:p w14:paraId="5BD79FCB">
      <w:pPr>
        <w:shd w:val="clear" w:color="auto" w:fill="FFFFFF"/>
        <w:snapToGrid w:val="0"/>
        <w:spacing w:after="50" w:line="360" w:lineRule="auto"/>
        <w:ind w:firstLine="480"/>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被授权人无转委托权，特此委托。</w:t>
      </w:r>
    </w:p>
    <w:p w14:paraId="0124DDE8">
      <w:pPr>
        <w:shd w:val="clear" w:color="auto" w:fill="FFFFFF"/>
        <w:snapToGrid w:val="0"/>
        <w:spacing w:after="50"/>
        <w:rPr>
          <w:rFonts w:ascii="宋体" w:hAnsi="宋体" w:cs="宋体"/>
          <w:color w:val="auto"/>
          <w:sz w:val="24"/>
          <w:szCs w:val="20"/>
          <w:highlight w:val="none"/>
          <w:shd w:val="clear" w:color="auto" w:fill="FFFFFF"/>
        </w:rPr>
      </w:pPr>
      <w:r>
        <w:rPr>
          <w:rFonts w:hint="eastAsia" w:ascii="宋体" w:hAnsi="宋体" w:cs="宋体"/>
          <w:color w:val="auto"/>
          <w:sz w:val="24"/>
          <w:szCs w:val="20"/>
          <w:highlight w:val="none"/>
          <w:shd w:val="clear" w:color="auto" w:fill="FFFFFF"/>
        </w:rPr>
        <w:t> </w:t>
      </w:r>
    </w:p>
    <w:p w14:paraId="6DB735E7">
      <w:pPr>
        <w:shd w:val="clear" w:color="auto" w:fill="FFFFFF"/>
        <w:snapToGrid w:val="0"/>
        <w:spacing w:after="50"/>
        <w:rPr>
          <w:rFonts w:ascii="宋体" w:hAnsi="宋体" w:cs="宋体"/>
          <w:color w:val="auto"/>
          <w:sz w:val="24"/>
          <w:szCs w:val="20"/>
          <w:highlight w:val="none"/>
          <w:u w:val="single"/>
          <w:shd w:val="clear" w:color="auto" w:fill="FFFFFF"/>
        </w:rPr>
      </w:pPr>
      <w:r>
        <w:rPr>
          <w:rFonts w:hint="eastAsia" w:ascii="宋体" w:hAnsi="宋体" w:cs="宋体"/>
          <w:color w:val="auto"/>
          <w:sz w:val="24"/>
          <w:highlight w:val="none"/>
          <w:shd w:val="clear" w:color="auto" w:fill="FFFFFF"/>
        </w:rPr>
        <w:t>法定代表人签名：</w:t>
      </w:r>
      <w:r>
        <w:rPr>
          <w:rFonts w:hint="eastAsia" w:ascii="宋体" w:hAnsi="宋体" w:cs="宋体"/>
          <w:color w:val="auto"/>
          <w:sz w:val="24"/>
          <w:highlight w:val="none"/>
          <w:u w:val="single"/>
          <w:shd w:val="clear" w:color="auto" w:fill="FFFFFF"/>
        </w:rPr>
        <w:t xml:space="preserve">           </w:t>
      </w:r>
      <w:r>
        <w:rPr>
          <w:rFonts w:hint="eastAsia" w:ascii="宋体" w:hAnsi="宋体" w:cs="宋体"/>
          <w:color w:val="auto"/>
          <w:sz w:val="24"/>
          <w:highlight w:val="none"/>
          <w:shd w:val="clear" w:color="auto" w:fill="FFFFFF"/>
        </w:rPr>
        <w:t xml:space="preserve">                 被授权人签名：</w:t>
      </w:r>
      <w:r>
        <w:rPr>
          <w:rFonts w:hint="eastAsia" w:ascii="宋体" w:hAnsi="宋体" w:cs="宋体"/>
          <w:color w:val="auto"/>
          <w:sz w:val="24"/>
          <w:highlight w:val="none"/>
          <w:u w:val="single"/>
          <w:shd w:val="clear" w:color="auto" w:fill="FFFFFF"/>
        </w:rPr>
        <w:t xml:space="preserve">          </w:t>
      </w:r>
    </w:p>
    <w:p w14:paraId="008F56D4">
      <w:pPr>
        <w:shd w:val="clear" w:color="auto" w:fill="FFFFFF"/>
        <w:snapToGrid w:val="0"/>
        <w:spacing w:after="50"/>
        <w:ind w:firstLine="1200" w:firstLineChars="500"/>
        <w:rPr>
          <w:rFonts w:ascii="宋体" w:hAnsi="宋体" w:cs="宋体"/>
          <w:color w:val="auto"/>
          <w:sz w:val="24"/>
          <w:szCs w:val="20"/>
          <w:highlight w:val="none"/>
          <w:shd w:val="clear" w:color="auto" w:fill="FFFFFF"/>
        </w:rPr>
      </w:pPr>
      <w:r>
        <w:rPr>
          <w:rFonts w:hint="eastAsia" w:ascii="宋体" w:hAnsi="宋体" w:cs="宋体"/>
          <w:color w:val="auto"/>
          <w:sz w:val="24"/>
          <w:highlight w:val="none"/>
          <w:shd w:val="clear" w:color="auto" w:fill="FFFFFF"/>
        </w:rPr>
        <w:t>职务：</w:t>
      </w:r>
      <w:r>
        <w:rPr>
          <w:rFonts w:hint="eastAsia" w:ascii="宋体" w:hAnsi="宋体" w:cs="宋体"/>
          <w:color w:val="auto"/>
          <w:sz w:val="24"/>
          <w:highlight w:val="none"/>
          <w:u w:val="single"/>
          <w:shd w:val="clear" w:color="auto" w:fill="FFFFFF"/>
        </w:rPr>
        <w:t xml:space="preserve">           </w:t>
      </w:r>
      <w:r>
        <w:rPr>
          <w:rFonts w:hint="eastAsia" w:ascii="宋体" w:hAnsi="宋体" w:cs="宋体"/>
          <w:color w:val="auto"/>
          <w:sz w:val="24"/>
          <w:highlight w:val="none"/>
          <w:shd w:val="clear" w:color="auto" w:fill="FFFFFF"/>
        </w:rPr>
        <w:t xml:space="preserve">                         职务：</w:t>
      </w:r>
      <w:r>
        <w:rPr>
          <w:rFonts w:hint="eastAsia" w:ascii="宋体" w:hAnsi="宋体" w:cs="宋体"/>
          <w:color w:val="auto"/>
          <w:sz w:val="24"/>
          <w:highlight w:val="none"/>
          <w:u w:val="single"/>
          <w:shd w:val="clear" w:color="auto" w:fill="FFFFFF"/>
        </w:rPr>
        <w:t xml:space="preserve">          </w:t>
      </w:r>
    </w:p>
    <w:p w14:paraId="00AE227B">
      <w:pPr>
        <w:shd w:val="clear" w:color="auto" w:fill="FFFFFF"/>
        <w:snapToGrid w:val="0"/>
        <w:spacing w:after="50"/>
        <w:rPr>
          <w:rFonts w:ascii="宋体" w:hAnsi="宋体" w:cs="宋体"/>
          <w:color w:val="auto"/>
          <w:sz w:val="24"/>
          <w:highlight w:val="none"/>
          <w:shd w:val="clear" w:color="auto" w:fill="FFFFFF"/>
        </w:rPr>
      </w:pPr>
    </w:p>
    <w:p w14:paraId="65EF4DB8">
      <w:pPr>
        <w:shd w:val="clear" w:color="auto" w:fill="FFFFFF"/>
        <w:snapToGrid w:val="0"/>
        <w:spacing w:after="50"/>
        <w:rPr>
          <w:rFonts w:ascii="宋体" w:hAnsi="宋体" w:cs="宋体"/>
          <w:color w:val="auto"/>
          <w:sz w:val="24"/>
          <w:highlight w:val="none"/>
          <w:shd w:val="clear" w:color="auto" w:fill="FFFFFF"/>
        </w:rPr>
      </w:pPr>
    </w:p>
    <w:p w14:paraId="5BE286CF">
      <w:pPr>
        <w:snapToGrid w:val="0"/>
        <w:spacing w:before="120" w:beforeLines="50" w:after="50" w:line="360" w:lineRule="auto"/>
        <w:ind w:firstLine="482"/>
        <w:rPr>
          <w:rFonts w:ascii="宋体" w:hAnsi="宋体" w:cs="宋体"/>
          <w:b/>
          <w:color w:val="auto"/>
          <w:sz w:val="24"/>
          <w:highlight w:val="none"/>
        </w:rPr>
      </w:pPr>
      <w:r>
        <w:rPr>
          <w:rFonts w:hint="eastAsia" w:ascii="宋体" w:hAnsi="宋体" w:cs="宋体"/>
          <w:b/>
          <w:color w:val="auto"/>
          <w:sz w:val="24"/>
          <w:highlight w:val="none"/>
        </w:rPr>
        <w:t>后附：1.法定代表人身份证复印件（双面）；</w:t>
      </w:r>
    </w:p>
    <w:p w14:paraId="28470AEA">
      <w:pPr>
        <w:snapToGrid w:val="0"/>
        <w:spacing w:before="120" w:beforeLines="50" w:after="50" w:line="360" w:lineRule="auto"/>
        <w:ind w:firstLine="1205" w:firstLineChars="500"/>
        <w:rPr>
          <w:rFonts w:ascii="宋体" w:hAnsi="宋体" w:cs="宋体"/>
          <w:b/>
          <w:color w:val="auto"/>
          <w:sz w:val="24"/>
          <w:szCs w:val="20"/>
          <w:highlight w:val="none"/>
        </w:rPr>
      </w:pPr>
      <w:r>
        <w:rPr>
          <w:rFonts w:hint="eastAsia" w:ascii="宋体" w:hAnsi="宋体" w:cs="宋体"/>
          <w:b/>
          <w:color w:val="auto"/>
          <w:sz w:val="24"/>
          <w:highlight w:val="none"/>
        </w:rPr>
        <w:t>2.被授权人身份证复印件（双面）；</w:t>
      </w:r>
    </w:p>
    <w:p w14:paraId="65400D02">
      <w:pPr>
        <w:shd w:val="clear" w:color="auto" w:fill="FFFFFF"/>
        <w:snapToGrid w:val="0"/>
        <w:spacing w:after="50"/>
        <w:rPr>
          <w:rFonts w:ascii="宋体" w:hAnsi="宋体" w:cs="宋体"/>
          <w:color w:val="auto"/>
          <w:sz w:val="24"/>
          <w:highlight w:val="none"/>
          <w:shd w:val="clear" w:color="auto" w:fill="FFFFFF"/>
        </w:rPr>
      </w:pPr>
    </w:p>
    <w:p w14:paraId="09CFAD3D">
      <w:pPr>
        <w:shd w:val="clear" w:color="auto" w:fill="FFFFFF"/>
        <w:snapToGrid w:val="0"/>
        <w:spacing w:after="50"/>
        <w:rPr>
          <w:rFonts w:ascii="宋体" w:hAnsi="宋体" w:cs="宋体"/>
          <w:color w:val="auto"/>
          <w:sz w:val="24"/>
          <w:highlight w:val="none"/>
          <w:shd w:val="clear" w:color="auto" w:fill="FFFFFF"/>
        </w:rPr>
      </w:pPr>
    </w:p>
    <w:p w14:paraId="1878DBE6">
      <w:pPr>
        <w:shd w:val="clear" w:color="auto" w:fill="FFFFFF"/>
        <w:snapToGrid w:val="0"/>
        <w:spacing w:after="50"/>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 </w:t>
      </w:r>
    </w:p>
    <w:p w14:paraId="6BAAE8C6">
      <w:pPr>
        <w:shd w:val="clear" w:color="auto" w:fill="FFFFFF"/>
        <w:snapToGrid w:val="0"/>
        <w:spacing w:after="50"/>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 </w:t>
      </w:r>
    </w:p>
    <w:p w14:paraId="065AD721">
      <w:pPr>
        <w:shd w:val="clear" w:color="auto" w:fill="FFFFFF"/>
        <w:snapToGrid w:val="0"/>
        <w:spacing w:after="50"/>
        <w:rPr>
          <w:rFonts w:ascii="宋体" w:hAnsi="宋体" w:cs="宋体"/>
          <w:color w:val="auto"/>
          <w:sz w:val="24"/>
          <w:szCs w:val="20"/>
          <w:highlight w:val="none"/>
          <w:shd w:val="clear" w:color="auto" w:fill="FFFFFF"/>
        </w:rPr>
      </w:pPr>
      <w:r>
        <w:rPr>
          <w:rFonts w:hint="eastAsia" w:ascii="宋体" w:hAnsi="宋体" w:cs="宋体"/>
          <w:color w:val="auto"/>
          <w:sz w:val="24"/>
          <w:highlight w:val="none"/>
          <w:shd w:val="clear" w:color="auto" w:fill="FFFFFF"/>
        </w:rPr>
        <w:t xml:space="preserve">  </w:t>
      </w:r>
      <w:r>
        <w:rPr>
          <w:rFonts w:hint="eastAsia" w:ascii="宋体" w:hAnsi="宋体" w:cs="宋体"/>
          <w:color w:val="auto"/>
          <w:sz w:val="24"/>
          <w:szCs w:val="20"/>
          <w:highlight w:val="none"/>
          <w:shd w:val="clear" w:color="auto" w:fill="FFFFFF"/>
        </w:rPr>
        <w:t> </w:t>
      </w:r>
    </w:p>
    <w:p w14:paraId="66EA4921">
      <w:pPr>
        <w:shd w:val="clear" w:color="auto" w:fill="FFFFFF"/>
        <w:snapToGrid w:val="0"/>
        <w:spacing w:after="50"/>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 xml:space="preserve">                                                供应商名称（电子签章/公章）：</w:t>
      </w:r>
    </w:p>
    <w:p w14:paraId="148CB936">
      <w:pPr>
        <w:pStyle w:val="183"/>
        <w:ind w:firstLine="480"/>
        <w:rPr>
          <w:rFonts w:ascii="宋体" w:hAnsi="宋体" w:cs="宋体"/>
          <w:color w:val="auto"/>
          <w:sz w:val="24"/>
          <w:highlight w:val="none"/>
          <w:shd w:val="clear" w:color="auto" w:fill="FFFFFF"/>
        </w:rPr>
      </w:pPr>
      <w:r>
        <w:rPr>
          <w:rFonts w:hint="eastAsia" w:ascii="宋体" w:hAnsi="宋体" w:cs="宋体"/>
          <w:color w:val="auto"/>
          <w:highlight w:val="none"/>
          <w:shd w:val="clear" w:color="auto" w:fill="FFFFFF"/>
        </w:rPr>
        <w:t xml:space="preserve">                                                ………</w:t>
      </w:r>
      <w:r>
        <w:rPr>
          <w:rFonts w:hint="eastAsia" w:ascii="宋体" w:hAnsi="宋体" w:cs="宋体"/>
          <w:color w:val="auto"/>
          <w:sz w:val="24"/>
          <w:highlight w:val="none"/>
          <w:shd w:val="clear" w:color="auto" w:fill="FFFFFF"/>
        </w:rPr>
        <w:t xml:space="preserve">                      </w:t>
      </w:r>
      <w:r>
        <w:rPr>
          <w:rFonts w:hint="eastAsia" w:ascii="宋体" w:hAnsi="宋体" w:cs="宋体"/>
          <w:b/>
          <w:bCs/>
          <w:color w:val="auto"/>
          <w:sz w:val="24"/>
          <w:highlight w:val="none"/>
          <w:shd w:val="clear" w:color="auto" w:fill="FFFFFF"/>
        </w:rPr>
        <w:t xml:space="preserve">      </w:t>
      </w:r>
      <w:r>
        <w:rPr>
          <w:rFonts w:hint="eastAsia" w:ascii="宋体" w:hAnsi="宋体" w:cs="宋体"/>
          <w:color w:val="auto"/>
          <w:sz w:val="24"/>
          <w:highlight w:val="none"/>
          <w:shd w:val="clear" w:color="auto" w:fill="FFFFFF"/>
        </w:rPr>
        <w:t xml:space="preserve">         </w:t>
      </w:r>
    </w:p>
    <w:p w14:paraId="61CE2EFD">
      <w:pPr>
        <w:shd w:val="clear" w:color="auto" w:fill="FFFFFF"/>
        <w:snapToGrid w:val="0"/>
        <w:spacing w:after="50"/>
        <w:jc w:val="righ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 xml:space="preserve">                                           年    月    日</w:t>
      </w:r>
    </w:p>
    <w:p w14:paraId="2DF77C14">
      <w:pPr>
        <w:widowControl/>
        <w:shd w:val="clear" w:color="auto" w:fill="FFFFFF"/>
        <w:spacing w:before="100" w:beforeAutospacing="1" w:after="100" w:afterAutospacing="1" w:line="440" w:lineRule="atLeast"/>
        <w:ind w:firstLine="540"/>
        <w:rPr>
          <w:rFonts w:cs="宋体"/>
          <w:color w:val="auto"/>
          <w:kern w:val="0"/>
          <w:sz w:val="27"/>
          <w:szCs w:val="27"/>
          <w:highlight w:val="none"/>
          <w:shd w:val="clear" w:color="auto" w:fill="FFFFFF"/>
        </w:rPr>
      </w:pPr>
      <w:r>
        <w:rPr>
          <w:rFonts w:ascii="_5b8b_4f53" w:hAnsi="_5b8b_4f53" w:eastAsia="_5b8b_4f53" w:cs="宋体"/>
          <w:color w:val="auto"/>
          <w:kern w:val="0"/>
          <w:sz w:val="27"/>
          <w:szCs w:val="27"/>
          <w:highlight w:val="none"/>
          <w:shd w:val="clear" w:color="auto" w:fill="FFFFFF"/>
        </w:rPr>
        <w:t> </w:t>
      </w:r>
      <w:r>
        <w:rPr>
          <w:rFonts w:cs="宋体"/>
          <w:color w:val="auto"/>
          <w:kern w:val="0"/>
          <w:sz w:val="27"/>
          <w:szCs w:val="27"/>
          <w:highlight w:val="none"/>
          <w:shd w:val="clear" w:color="auto" w:fill="FFFFFF"/>
        </w:rPr>
        <w:t> </w:t>
      </w:r>
    </w:p>
    <w:p w14:paraId="7F5C7901">
      <w:pPr>
        <w:widowControl/>
        <w:shd w:val="clear" w:color="auto" w:fill="FFFFFF"/>
        <w:spacing w:before="100" w:beforeAutospacing="1" w:after="100" w:afterAutospacing="1"/>
        <w:ind w:firstLine="562"/>
        <w:jc w:val="center"/>
        <w:rPr>
          <w:b/>
          <w:bCs/>
          <w:color w:val="auto"/>
          <w:sz w:val="28"/>
          <w:szCs w:val="28"/>
          <w:highlight w:val="none"/>
        </w:rPr>
      </w:pPr>
      <w:r>
        <w:rPr>
          <w:b/>
          <w:bCs/>
          <w:color w:val="auto"/>
          <w:sz w:val="28"/>
          <w:szCs w:val="28"/>
          <w:highlight w:val="none"/>
        </w:rPr>
        <w:br w:type="page"/>
      </w:r>
    </w:p>
    <w:p w14:paraId="142A27BA">
      <w:pPr>
        <w:widowControl/>
        <w:shd w:val="clear" w:color="auto" w:fill="FFFFFF"/>
        <w:spacing w:before="100" w:beforeAutospacing="1" w:after="100" w:afterAutospacing="1"/>
        <w:ind w:firstLine="542"/>
        <w:jc w:val="center"/>
        <w:rPr>
          <w:rFonts w:ascii="_5b8b_4f53" w:hAnsi="_5b8b_4f53" w:cs="宋体"/>
          <w:b/>
          <w:bCs/>
          <w:color w:val="auto"/>
          <w:kern w:val="0"/>
          <w:sz w:val="27"/>
          <w:szCs w:val="27"/>
          <w:highlight w:val="none"/>
          <w:shd w:val="clear" w:color="auto" w:fill="FFFFFF"/>
        </w:rPr>
      </w:pPr>
      <w:bookmarkStart w:id="27" w:name="_Toc24832"/>
      <w:bookmarkEnd w:id="27"/>
    </w:p>
    <w:p w14:paraId="5714D411">
      <w:pPr>
        <w:widowControl/>
        <w:shd w:val="clear" w:color="auto" w:fill="FFFFFF"/>
        <w:spacing w:before="100" w:beforeAutospacing="1" w:after="100" w:afterAutospacing="1"/>
        <w:jc w:val="center"/>
        <w:rPr>
          <w:rFonts w:ascii="宋体" w:hAnsi="宋体" w:cs="宋体"/>
          <w:b/>
          <w:bCs/>
          <w:color w:val="auto"/>
          <w:kern w:val="0"/>
          <w:sz w:val="27"/>
          <w:szCs w:val="27"/>
          <w:highlight w:val="none"/>
          <w:shd w:val="clear" w:color="auto" w:fill="FFFFFF"/>
        </w:rPr>
      </w:pPr>
      <w:r>
        <w:rPr>
          <w:rFonts w:hint="eastAsia" w:ascii="_5b8b_4f53" w:hAnsi="_5b8b_4f53" w:cs="宋体"/>
          <w:b/>
          <w:bCs/>
          <w:color w:val="auto"/>
          <w:kern w:val="0"/>
          <w:sz w:val="27"/>
          <w:szCs w:val="27"/>
          <w:highlight w:val="none"/>
          <w:shd w:val="clear" w:color="auto" w:fill="FFFFFF"/>
        </w:rPr>
        <w:t>法定代表人身份证明书</w:t>
      </w:r>
    </w:p>
    <w:p w14:paraId="24185ABF">
      <w:pPr>
        <w:widowControl/>
        <w:shd w:val="clear" w:color="auto" w:fill="FFFFFF"/>
        <w:spacing w:before="100" w:beforeAutospacing="1" w:after="100" w:afterAutospacing="1" w:line="500" w:lineRule="atLeast"/>
        <w:ind w:firstLine="512"/>
        <w:rPr>
          <w:rFonts w:ascii="宋体" w:hAnsi="宋体" w:cs="宋体"/>
          <w:color w:val="auto"/>
          <w:kern w:val="0"/>
          <w:sz w:val="27"/>
          <w:szCs w:val="27"/>
          <w:highlight w:val="none"/>
          <w:shd w:val="clear" w:color="auto" w:fill="FFFFFF"/>
        </w:rPr>
      </w:pPr>
      <w:r>
        <w:rPr>
          <w:rFonts w:hint="eastAsia" w:ascii="_5b8b_4f53" w:hAnsi="_5b8b_4f53" w:cs="宋体"/>
          <w:color w:val="auto"/>
          <w:spacing w:val="8"/>
          <w:kern w:val="0"/>
          <w:sz w:val="24"/>
          <w:highlight w:val="none"/>
          <w:shd w:val="clear" w:color="auto" w:fill="FFFFFF"/>
        </w:rPr>
        <w:t>单位名称：</w:t>
      </w:r>
    </w:p>
    <w:p w14:paraId="2BBBBDD7">
      <w:pPr>
        <w:widowControl/>
        <w:shd w:val="clear" w:color="auto" w:fill="FFFFFF"/>
        <w:spacing w:before="100" w:beforeAutospacing="1" w:after="100" w:afterAutospacing="1" w:line="500" w:lineRule="atLeast"/>
        <w:ind w:firstLine="512"/>
        <w:rPr>
          <w:rFonts w:ascii="宋体" w:hAnsi="宋体" w:cs="宋体"/>
          <w:color w:val="auto"/>
          <w:kern w:val="0"/>
          <w:sz w:val="27"/>
          <w:szCs w:val="27"/>
          <w:highlight w:val="none"/>
          <w:shd w:val="clear" w:color="auto" w:fill="FFFFFF"/>
        </w:rPr>
      </w:pPr>
      <w:r>
        <w:rPr>
          <w:rFonts w:ascii="_5b8b_4f53" w:hAnsi="_5b8b_4f53" w:eastAsia="_5b8b_4f53" w:cs="宋体"/>
          <w:color w:val="auto"/>
          <w:spacing w:val="8"/>
          <w:kern w:val="0"/>
          <w:sz w:val="24"/>
          <w:highlight w:val="none"/>
          <w:shd w:val="clear" w:color="auto" w:fill="FFFFFF"/>
        </w:rPr>
        <w:t> </w:t>
      </w:r>
    </w:p>
    <w:p w14:paraId="4B2F9E88">
      <w:pPr>
        <w:widowControl/>
        <w:shd w:val="clear" w:color="auto" w:fill="FFFFFF"/>
        <w:spacing w:before="100" w:beforeAutospacing="1" w:after="100" w:afterAutospacing="1" w:line="500" w:lineRule="atLeast"/>
        <w:ind w:firstLine="512"/>
        <w:rPr>
          <w:rFonts w:ascii="宋体" w:hAnsi="宋体" w:cs="宋体"/>
          <w:color w:val="auto"/>
          <w:kern w:val="0"/>
          <w:sz w:val="27"/>
          <w:szCs w:val="27"/>
          <w:highlight w:val="none"/>
          <w:shd w:val="clear" w:color="auto" w:fill="FFFFFF"/>
        </w:rPr>
      </w:pPr>
      <w:r>
        <w:rPr>
          <w:rFonts w:hint="eastAsia" w:ascii="_5b8b_4f53" w:hAnsi="_5b8b_4f53" w:cs="宋体"/>
          <w:color w:val="auto"/>
          <w:spacing w:val="8"/>
          <w:kern w:val="0"/>
          <w:sz w:val="24"/>
          <w:highlight w:val="none"/>
          <w:shd w:val="clear" w:color="auto" w:fill="FFFFFF"/>
        </w:rPr>
        <w:t>地</w:t>
      </w:r>
      <w:r>
        <w:rPr>
          <w:rFonts w:ascii="_5b8b_4f53" w:hAnsi="_5b8b_4f53" w:eastAsia="_5b8b_4f53" w:cs="宋体"/>
          <w:color w:val="auto"/>
          <w:spacing w:val="8"/>
          <w:kern w:val="0"/>
          <w:sz w:val="24"/>
          <w:highlight w:val="none"/>
          <w:shd w:val="clear" w:color="auto" w:fill="FFFFFF"/>
        </w:rPr>
        <w:t>    </w:t>
      </w:r>
      <w:r>
        <w:rPr>
          <w:rFonts w:hint="eastAsia" w:ascii="_5b8b_4f53" w:hAnsi="_5b8b_4f53" w:cs="宋体"/>
          <w:color w:val="auto"/>
          <w:spacing w:val="8"/>
          <w:kern w:val="0"/>
          <w:sz w:val="24"/>
          <w:highlight w:val="none"/>
          <w:shd w:val="clear" w:color="auto" w:fill="FFFFFF"/>
        </w:rPr>
        <w:t>址：</w:t>
      </w:r>
    </w:p>
    <w:p w14:paraId="4F96A679">
      <w:pPr>
        <w:widowControl/>
        <w:shd w:val="clear" w:color="auto" w:fill="FFFFFF"/>
        <w:spacing w:before="100" w:beforeAutospacing="1" w:after="100" w:afterAutospacing="1" w:line="500" w:lineRule="atLeast"/>
        <w:ind w:firstLine="512"/>
        <w:rPr>
          <w:rFonts w:ascii="宋体" w:hAnsi="宋体" w:cs="宋体"/>
          <w:color w:val="auto"/>
          <w:kern w:val="0"/>
          <w:sz w:val="27"/>
          <w:szCs w:val="27"/>
          <w:highlight w:val="none"/>
          <w:shd w:val="clear" w:color="auto" w:fill="FFFFFF"/>
        </w:rPr>
      </w:pPr>
      <w:r>
        <w:rPr>
          <w:rFonts w:ascii="_5b8b_4f53" w:hAnsi="_5b8b_4f53" w:eastAsia="_5b8b_4f53" w:cs="宋体"/>
          <w:color w:val="auto"/>
          <w:spacing w:val="8"/>
          <w:kern w:val="0"/>
          <w:sz w:val="24"/>
          <w:highlight w:val="none"/>
          <w:shd w:val="clear" w:color="auto" w:fill="FFFFFF"/>
        </w:rPr>
        <w:t> </w:t>
      </w:r>
    </w:p>
    <w:p w14:paraId="7B9DF7D8">
      <w:pPr>
        <w:widowControl/>
        <w:shd w:val="clear" w:color="auto" w:fill="FFFFFF"/>
        <w:spacing w:before="100" w:beforeAutospacing="1" w:after="100" w:afterAutospacing="1" w:line="500" w:lineRule="atLeast"/>
        <w:ind w:firstLine="512"/>
        <w:rPr>
          <w:rFonts w:ascii="宋体" w:hAnsi="宋体" w:cs="宋体"/>
          <w:color w:val="auto"/>
          <w:kern w:val="0"/>
          <w:sz w:val="27"/>
          <w:szCs w:val="27"/>
          <w:highlight w:val="none"/>
          <w:shd w:val="clear" w:color="auto" w:fill="FFFFFF"/>
        </w:rPr>
      </w:pPr>
      <w:r>
        <w:rPr>
          <w:rFonts w:hint="eastAsia" w:ascii="_5b8b_4f53" w:hAnsi="_5b8b_4f53" w:cs="宋体"/>
          <w:color w:val="auto"/>
          <w:spacing w:val="8"/>
          <w:kern w:val="0"/>
          <w:sz w:val="24"/>
          <w:highlight w:val="none"/>
          <w:shd w:val="clear" w:color="auto" w:fill="FFFFFF"/>
        </w:rPr>
        <w:t>姓名：</w:t>
      </w:r>
      <w:r>
        <w:rPr>
          <w:rFonts w:ascii="_5b8b_4f53" w:hAnsi="_5b8b_4f53" w:eastAsia="_5b8b_4f53" w:cs="宋体"/>
          <w:color w:val="auto"/>
          <w:spacing w:val="8"/>
          <w:kern w:val="0"/>
          <w:sz w:val="24"/>
          <w:highlight w:val="none"/>
          <w:u w:val="single"/>
          <w:shd w:val="clear" w:color="auto" w:fill="FFFFFF"/>
        </w:rPr>
        <w:t xml:space="preserve">          </w:t>
      </w:r>
      <w:r>
        <w:rPr>
          <w:rFonts w:hint="eastAsia" w:ascii="_5b8b_4f53" w:hAnsi="_5b8b_4f53" w:cs="宋体"/>
          <w:color w:val="auto"/>
          <w:spacing w:val="8"/>
          <w:kern w:val="0"/>
          <w:sz w:val="24"/>
          <w:highlight w:val="none"/>
          <w:shd w:val="clear" w:color="auto" w:fill="FFFFFF"/>
        </w:rPr>
        <w:t>性别：</w:t>
      </w:r>
      <w:r>
        <w:rPr>
          <w:rFonts w:ascii="_5b8b_4f53" w:hAnsi="_5b8b_4f53" w:eastAsia="_5b8b_4f53" w:cs="宋体"/>
          <w:color w:val="auto"/>
          <w:spacing w:val="8"/>
          <w:kern w:val="0"/>
          <w:sz w:val="24"/>
          <w:highlight w:val="none"/>
          <w:u w:val="single"/>
          <w:shd w:val="clear" w:color="auto" w:fill="FFFFFF"/>
        </w:rPr>
        <w:t>    </w:t>
      </w:r>
      <w:r>
        <w:rPr>
          <w:rFonts w:hint="eastAsia" w:ascii="_5b8b_4f53" w:hAnsi="_5b8b_4f53" w:cs="宋体"/>
          <w:color w:val="auto"/>
          <w:spacing w:val="8"/>
          <w:kern w:val="0"/>
          <w:sz w:val="24"/>
          <w:highlight w:val="none"/>
          <w:u w:val="single"/>
          <w:shd w:val="clear" w:color="auto" w:fill="FFFFFF"/>
        </w:rPr>
        <w:t xml:space="preserve">  </w:t>
      </w:r>
      <w:r>
        <w:rPr>
          <w:rFonts w:ascii="_5b8b_4f53" w:hAnsi="_5b8b_4f53" w:eastAsia="_5b8b_4f53" w:cs="宋体"/>
          <w:color w:val="auto"/>
          <w:spacing w:val="8"/>
          <w:kern w:val="0"/>
          <w:sz w:val="24"/>
          <w:highlight w:val="none"/>
          <w:u w:val="single"/>
          <w:shd w:val="clear" w:color="auto" w:fill="FFFFFF"/>
        </w:rPr>
        <w:t>   </w:t>
      </w:r>
      <w:r>
        <w:rPr>
          <w:rFonts w:hint="eastAsia" w:ascii="_5b8b_4f53" w:hAnsi="_5b8b_4f53" w:cs="宋体"/>
          <w:color w:val="auto"/>
          <w:spacing w:val="8"/>
          <w:kern w:val="0"/>
          <w:sz w:val="24"/>
          <w:highlight w:val="none"/>
          <w:shd w:val="clear" w:color="auto" w:fill="FFFFFF"/>
        </w:rPr>
        <w:t>年龄：</w:t>
      </w:r>
      <w:r>
        <w:rPr>
          <w:rFonts w:ascii="_5b8b_4f53" w:hAnsi="_5b8b_4f53" w:eastAsia="_5b8b_4f53" w:cs="宋体"/>
          <w:color w:val="auto"/>
          <w:spacing w:val="8"/>
          <w:kern w:val="0"/>
          <w:sz w:val="24"/>
          <w:highlight w:val="none"/>
          <w:u w:val="single"/>
          <w:shd w:val="clear" w:color="auto" w:fill="FFFFFF"/>
        </w:rPr>
        <w:t>  </w:t>
      </w:r>
      <w:r>
        <w:rPr>
          <w:rFonts w:hint="eastAsia" w:ascii="_5b8b_4f53" w:hAnsi="_5b8b_4f53" w:cs="宋体"/>
          <w:color w:val="auto"/>
          <w:spacing w:val="8"/>
          <w:kern w:val="0"/>
          <w:sz w:val="24"/>
          <w:highlight w:val="none"/>
          <w:u w:val="single"/>
          <w:shd w:val="clear" w:color="auto" w:fill="FFFFFF"/>
        </w:rPr>
        <w:t xml:space="preserve"> </w:t>
      </w:r>
      <w:r>
        <w:rPr>
          <w:rFonts w:ascii="_5b8b_4f53" w:hAnsi="_5b8b_4f53" w:eastAsia="_5b8b_4f53" w:cs="宋体"/>
          <w:color w:val="auto"/>
          <w:spacing w:val="8"/>
          <w:kern w:val="0"/>
          <w:sz w:val="24"/>
          <w:highlight w:val="none"/>
          <w:u w:val="single"/>
          <w:shd w:val="clear" w:color="auto" w:fill="FFFFFF"/>
        </w:rPr>
        <w:t> </w:t>
      </w:r>
      <w:r>
        <w:rPr>
          <w:rFonts w:hint="eastAsia" w:ascii="_5b8b_4f53" w:hAnsi="_5b8b_4f53" w:cs="宋体"/>
          <w:color w:val="auto"/>
          <w:spacing w:val="8"/>
          <w:kern w:val="0"/>
          <w:sz w:val="24"/>
          <w:highlight w:val="none"/>
          <w:u w:val="single"/>
          <w:shd w:val="clear" w:color="auto" w:fill="FFFFFF"/>
        </w:rPr>
        <w:t xml:space="preserve">  </w:t>
      </w:r>
      <w:r>
        <w:rPr>
          <w:rFonts w:ascii="_5b8b_4f53" w:hAnsi="_5b8b_4f53" w:eastAsia="_5b8b_4f53" w:cs="宋体"/>
          <w:color w:val="auto"/>
          <w:spacing w:val="8"/>
          <w:kern w:val="0"/>
          <w:sz w:val="24"/>
          <w:highlight w:val="none"/>
          <w:u w:val="single"/>
          <w:shd w:val="clear" w:color="auto" w:fill="FFFFFF"/>
        </w:rPr>
        <w:t>   </w:t>
      </w:r>
      <w:r>
        <w:rPr>
          <w:rFonts w:hint="eastAsia" w:ascii="_5b8b_4f53" w:hAnsi="_5b8b_4f53" w:cs="宋体"/>
          <w:color w:val="auto"/>
          <w:spacing w:val="8"/>
          <w:kern w:val="0"/>
          <w:sz w:val="24"/>
          <w:highlight w:val="none"/>
          <w:shd w:val="clear" w:color="auto" w:fill="FFFFFF"/>
        </w:rPr>
        <w:t>职务：</w:t>
      </w:r>
      <w:r>
        <w:rPr>
          <w:rFonts w:ascii="_5b8b_4f53" w:hAnsi="_5b8b_4f53" w:eastAsia="_5b8b_4f53" w:cs="宋体"/>
          <w:color w:val="auto"/>
          <w:spacing w:val="8"/>
          <w:kern w:val="0"/>
          <w:sz w:val="24"/>
          <w:highlight w:val="none"/>
          <w:u w:val="single"/>
          <w:shd w:val="clear" w:color="auto" w:fill="FFFFFF"/>
        </w:rPr>
        <w:t>   </w:t>
      </w:r>
      <w:r>
        <w:rPr>
          <w:rFonts w:hint="eastAsia" w:ascii="_5b8b_4f53" w:hAnsi="_5b8b_4f53" w:cs="宋体"/>
          <w:color w:val="auto"/>
          <w:spacing w:val="8"/>
          <w:kern w:val="0"/>
          <w:sz w:val="24"/>
          <w:highlight w:val="none"/>
          <w:u w:val="single"/>
          <w:shd w:val="clear" w:color="auto" w:fill="FFFFFF"/>
        </w:rPr>
        <w:t xml:space="preserve"> </w:t>
      </w:r>
      <w:r>
        <w:rPr>
          <w:rFonts w:ascii="_5b8b_4f53" w:hAnsi="_5b8b_4f53" w:eastAsia="_5b8b_4f53" w:cs="宋体"/>
          <w:color w:val="auto"/>
          <w:spacing w:val="8"/>
          <w:kern w:val="0"/>
          <w:sz w:val="24"/>
          <w:highlight w:val="none"/>
          <w:u w:val="single"/>
          <w:shd w:val="clear" w:color="auto" w:fill="FFFFFF"/>
        </w:rPr>
        <w:t> </w:t>
      </w:r>
      <w:r>
        <w:rPr>
          <w:rFonts w:hint="eastAsia" w:ascii="_5b8b_4f53" w:hAnsi="_5b8b_4f53" w:cs="宋体"/>
          <w:color w:val="auto"/>
          <w:spacing w:val="8"/>
          <w:kern w:val="0"/>
          <w:sz w:val="24"/>
          <w:highlight w:val="none"/>
          <w:u w:val="single"/>
          <w:shd w:val="clear" w:color="auto" w:fill="FFFFFF"/>
        </w:rPr>
        <w:t xml:space="preserve"> </w:t>
      </w:r>
      <w:r>
        <w:rPr>
          <w:rFonts w:ascii="_5b8b_4f53" w:hAnsi="_5b8b_4f53" w:eastAsia="_5b8b_4f53" w:cs="宋体"/>
          <w:color w:val="auto"/>
          <w:spacing w:val="8"/>
          <w:kern w:val="0"/>
          <w:sz w:val="24"/>
          <w:highlight w:val="none"/>
          <w:u w:val="single"/>
          <w:shd w:val="clear" w:color="auto" w:fill="FFFFFF"/>
        </w:rPr>
        <w:t>   </w:t>
      </w:r>
    </w:p>
    <w:p w14:paraId="39661DED">
      <w:pPr>
        <w:widowControl/>
        <w:shd w:val="clear" w:color="auto" w:fill="FFFFFF"/>
        <w:spacing w:before="100" w:beforeAutospacing="1" w:after="100" w:afterAutospacing="1" w:line="500" w:lineRule="atLeast"/>
        <w:ind w:firstLine="512"/>
        <w:rPr>
          <w:rFonts w:ascii="宋体" w:hAnsi="宋体" w:cs="宋体"/>
          <w:color w:val="auto"/>
          <w:kern w:val="0"/>
          <w:sz w:val="27"/>
          <w:szCs w:val="27"/>
          <w:highlight w:val="none"/>
          <w:shd w:val="clear" w:color="auto" w:fill="FFFFFF"/>
        </w:rPr>
      </w:pPr>
      <w:r>
        <w:rPr>
          <w:rFonts w:hint="eastAsia" w:ascii="_5b8b_4f53" w:hAnsi="_5b8b_4f53" w:cs="宋体"/>
          <w:color w:val="auto"/>
          <w:spacing w:val="8"/>
          <w:kern w:val="0"/>
          <w:sz w:val="24"/>
          <w:highlight w:val="none"/>
          <w:shd w:val="clear" w:color="auto" w:fill="FFFFFF"/>
        </w:rPr>
        <w:t>系</w:t>
      </w:r>
      <w:r>
        <w:rPr>
          <w:rFonts w:ascii="_5b8b_4f53" w:hAnsi="_5b8b_4f53" w:eastAsia="_5b8b_4f53" w:cs="宋体"/>
          <w:color w:val="auto"/>
          <w:spacing w:val="8"/>
          <w:kern w:val="0"/>
          <w:sz w:val="24"/>
          <w:highlight w:val="none"/>
          <w:shd w:val="clear" w:color="auto" w:fill="FFFFFF"/>
        </w:rPr>
        <w:t xml:space="preserve"> </w:t>
      </w:r>
      <w:r>
        <w:rPr>
          <w:rFonts w:ascii="_5b8b_4f53" w:hAnsi="_5b8b_4f53" w:eastAsia="_5b8b_4f53" w:cs="宋体"/>
          <w:color w:val="auto"/>
          <w:spacing w:val="8"/>
          <w:kern w:val="0"/>
          <w:sz w:val="24"/>
          <w:highlight w:val="none"/>
          <w:u w:val="single"/>
          <w:shd w:val="clear" w:color="auto" w:fill="FFFFFF"/>
        </w:rPr>
        <w:t xml:space="preserve">                           </w:t>
      </w:r>
      <w:r>
        <w:rPr>
          <w:rFonts w:ascii="_5b8b_4f53" w:hAnsi="_5b8b_4f53" w:eastAsia="_5b8b_4f53" w:cs="宋体"/>
          <w:color w:val="auto"/>
          <w:spacing w:val="8"/>
          <w:kern w:val="0"/>
          <w:sz w:val="24"/>
          <w:highlight w:val="none"/>
          <w:shd w:val="clear" w:color="auto" w:fill="FFFFFF"/>
        </w:rPr>
        <w:t xml:space="preserve"> </w:t>
      </w:r>
      <w:r>
        <w:rPr>
          <w:rFonts w:hint="eastAsia" w:ascii="_5b8b_4f53" w:hAnsi="_5b8b_4f53" w:cs="宋体"/>
          <w:color w:val="auto"/>
          <w:spacing w:val="8"/>
          <w:kern w:val="0"/>
          <w:sz w:val="24"/>
          <w:highlight w:val="none"/>
          <w:shd w:val="clear" w:color="auto" w:fill="FFFFFF"/>
        </w:rPr>
        <w:t>的法定代表人</w:t>
      </w:r>
      <w:r>
        <w:rPr>
          <w:rFonts w:ascii="_5b8b_4f53" w:hAnsi="_5b8b_4f53" w:eastAsia="_5b8b_4f53" w:cs="宋体"/>
          <w:color w:val="auto"/>
          <w:spacing w:val="8"/>
          <w:kern w:val="0"/>
          <w:sz w:val="24"/>
          <w:highlight w:val="none"/>
          <w:shd w:val="clear" w:color="auto" w:fill="FFFFFF"/>
        </w:rPr>
        <w:t> </w:t>
      </w:r>
    </w:p>
    <w:p w14:paraId="003EC76C">
      <w:pPr>
        <w:widowControl/>
        <w:shd w:val="clear" w:color="auto" w:fill="FFFFFF"/>
        <w:spacing w:before="100" w:beforeAutospacing="1" w:after="100" w:afterAutospacing="1" w:line="500" w:lineRule="atLeast"/>
        <w:ind w:firstLine="512"/>
        <w:rPr>
          <w:rFonts w:ascii="宋体" w:hAnsi="宋体" w:cs="宋体"/>
          <w:color w:val="auto"/>
          <w:kern w:val="0"/>
          <w:sz w:val="27"/>
          <w:szCs w:val="27"/>
          <w:highlight w:val="none"/>
          <w:shd w:val="clear" w:color="auto" w:fill="FFFFFF"/>
        </w:rPr>
      </w:pPr>
      <w:r>
        <w:rPr>
          <w:rFonts w:ascii="_5b8b_4f53" w:hAnsi="_5b8b_4f53" w:eastAsia="_5b8b_4f53" w:cs="宋体"/>
          <w:color w:val="auto"/>
          <w:spacing w:val="8"/>
          <w:kern w:val="0"/>
          <w:sz w:val="24"/>
          <w:highlight w:val="none"/>
          <w:shd w:val="clear" w:color="auto" w:fill="FFFFFF"/>
        </w:rPr>
        <w:t> </w:t>
      </w:r>
    </w:p>
    <w:p w14:paraId="63AF2B3F">
      <w:pPr>
        <w:widowControl/>
        <w:shd w:val="clear" w:color="auto" w:fill="FFFFFF"/>
        <w:spacing w:before="100" w:beforeAutospacing="1" w:after="100" w:afterAutospacing="1" w:line="500" w:lineRule="atLeast"/>
        <w:ind w:firstLine="512"/>
        <w:rPr>
          <w:rFonts w:ascii="宋体" w:hAnsi="宋体" w:cs="宋体"/>
          <w:color w:val="auto"/>
          <w:kern w:val="0"/>
          <w:sz w:val="27"/>
          <w:szCs w:val="27"/>
          <w:highlight w:val="none"/>
          <w:shd w:val="clear" w:color="auto" w:fill="FFFFFF"/>
        </w:rPr>
      </w:pPr>
      <w:r>
        <w:rPr>
          <w:rFonts w:hint="eastAsia" w:ascii="_5b8b_4f53" w:hAnsi="_5b8b_4f53" w:cs="宋体"/>
          <w:color w:val="auto"/>
          <w:spacing w:val="8"/>
          <w:kern w:val="0"/>
          <w:sz w:val="24"/>
          <w:highlight w:val="none"/>
          <w:shd w:val="clear" w:color="auto" w:fill="FFFFFF"/>
        </w:rPr>
        <w:t>特此证明。</w:t>
      </w:r>
    </w:p>
    <w:p w14:paraId="32F3F89C">
      <w:pPr>
        <w:widowControl/>
        <w:shd w:val="clear" w:color="auto" w:fill="FFFFFF"/>
        <w:spacing w:before="100" w:beforeAutospacing="1" w:after="100" w:afterAutospacing="1" w:line="500" w:lineRule="atLeast"/>
        <w:ind w:firstLine="480"/>
        <w:rPr>
          <w:rFonts w:ascii="宋体" w:hAnsi="宋体" w:cs="宋体"/>
          <w:color w:val="auto"/>
          <w:kern w:val="0"/>
          <w:sz w:val="27"/>
          <w:szCs w:val="27"/>
          <w:highlight w:val="none"/>
          <w:shd w:val="clear" w:color="auto" w:fill="FFFFFF"/>
        </w:rPr>
      </w:pPr>
      <w:r>
        <w:rPr>
          <w:rFonts w:ascii="_5b8b_4f53" w:hAnsi="_5b8b_4f53" w:eastAsia="_5b8b_4f53" w:cs="宋体"/>
          <w:color w:val="auto"/>
          <w:kern w:val="0"/>
          <w:szCs w:val="28"/>
          <w:highlight w:val="none"/>
          <w:shd w:val="clear" w:color="auto" w:fill="FFFFFF"/>
        </w:rPr>
        <w:t> </w:t>
      </w:r>
    </w:p>
    <w:p w14:paraId="07074A61">
      <w:pPr>
        <w:shd w:val="clear" w:color="auto" w:fill="FFFFFF"/>
        <w:snapToGrid w:val="0"/>
        <w:spacing w:after="50"/>
        <w:ind w:firstLine="480"/>
        <w:jc w:val="right"/>
        <w:rPr>
          <w:rFonts w:ascii="宋体" w:hAnsi="宋体" w:cs="宋体"/>
          <w:color w:val="auto"/>
          <w:sz w:val="24"/>
          <w:highlight w:val="none"/>
          <w:shd w:val="clear" w:color="auto" w:fill="FFFFFF"/>
        </w:rPr>
      </w:pPr>
      <w:r>
        <w:rPr>
          <w:rFonts w:ascii="_5b8b_4f53" w:hAnsi="_5b8b_4f53" w:eastAsia="_5b8b_4f53" w:cs="宋体"/>
          <w:color w:val="auto"/>
          <w:kern w:val="0"/>
          <w:szCs w:val="28"/>
          <w:highlight w:val="none"/>
          <w:shd w:val="clear" w:color="auto" w:fill="FFFFFF"/>
        </w:rPr>
        <w:t> </w:t>
      </w:r>
      <w:r>
        <w:rPr>
          <w:rFonts w:hint="eastAsia" w:ascii="宋体" w:hAnsi="宋体" w:cs="宋体"/>
          <w:color w:val="auto"/>
          <w:sz w:val="24"/>
          <w:highlight w:val="none"/>
          <w:shd w:val="clear" w:color="auto" w:fill="FFFFFF"/>
        </w:rPr>
        <w:t xml:space="preserve">                                              </w:t>
      </w:r>
    </w:p>
    <w:p w14:paraId="4E6EFD5B">
      <w:pPr>
        <w:shd w:val="clear" w:color="auto" w:fill="FFFFFF"/>
        <w:snapToGrid w:val="0"/>
        <w:spacing w:after="50"/>
        <w:jc w:val="center"/>
        <w:rPr>
          <w:rFonts w:ascii="宋体" w:hAnsi="宋体" w:cs="宋体"/>
          <w:color w:val="auto"/>
          <w:sz w:val="24"/>
          <w:szCs w:val="20"/>
          <w:highlight w:val="none"/>
          <w:shd w:val="clear" w:color="auto" w:fill="FFFFFF"/>
        </w:rPr>
      </w:pPr>
      <w:r>
        <w:rPr>
          <w:rFonts w:hint="eastAsia" w:ascii="宋体" w:hAnsi="宋体" w:cs="宋体"/>
          <w:color w:val="auto"/>
          <w:sz w:val="24"/>
          <w:highlight w:val="none"/>
        </w:rPr>
        <w:t xml:space="preserve">                                             </w:t>
      </w:r>
      <w:r>
        <w:rPr>
          <w:rFonts w:hint="eastAsia" w:ascii="宋体" w:hAnsi="宋体" w:cs="宋体"/>
          <w:color w:val="auto"/>
          <w:sz w:val="24"/>
          <w:highlight w:val="none"/>
          <w:shd w:val="clear" w:color="auto" w:fill="FFFFFF"/>
        </w:rPr>
        <w:t>供应商名称（电子签章/公章）：</w:t>
      </w:r>
    </w:p>
    <w:p w14:paraId="096647D2">
      <w:pPr>
        <w:shd w:val="clear" w:color="auto" w:fill="FFFFFF"/>
        <w:snapToGrid w:val="0"/>
        <w:spacing w:after="50"/>
        <w:jc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 xml:space="preserve">                                       </w:t>
      </w:r>
    </w:p>
    <w:p w14:paraId="42279618">
      <w:pPr>
        <w:shd w:val="clear" w:color="auto" w:fill="FFFFFF"/>
        <w:snapToGrid w:val="0"/>
        <w:spacing w:after="50"/>
        <w:jc w:val="righ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 xml:space="preserve">                                           年    月    日</w:t>
      </w:r>
    </w:p>
    <w:p w14:paraId="44A23EA2">
      <w:pPr>
        <w:widowControl/>
        <w:shd w:val="clear" w:color="auto" w:fill="FFFFFF"/>
        <w:spacing w:before="100" w:beforeAutospacing="1" w:after="100" w:afterAutospacing="1" w:line="500" w:lineRule="atLeast"/>
        <w:ind w:firstLine="482"/>
        <w:jc w:val="center"/>
        <w:rPr>
          <w:rFonts w:ascii="宋体" w:hAnsi="宋体" w:cs="宋体"/>
          <w:b/>
          <w:bCs/>
          <w:color w:val="auto"/>
          <w:kern w:val="0"/>
          <w:sz w:val="24"/>
          <w:highlight w:val="none"/>
          <w:shd w:val="clear" w:color="auto" w:fill="FFFFFF"/>
        </w:rPr>
      </w:pPr>
    </w:p>
    <w:p w14:paraId="3D4E6869">
      <w:pPr>
        <w:widowControl/>
        <w:shd w:val="clear" w:color="auto" w:fill="FFFFFF"/>
        <w:spacing w:before="100" w:beforeAutospacing="1" w:after="100" w:afterAutospacing="1" w:line="500" w:lineRule="atLeast"/>
        <w:ind w:firstLine="482"/>
        <w:jc w:val="center"/>
        <w:rPr>
          <w:rFonts w:ascii="宋体" w:hAnsi="宋体" w:cs="宋体"/>
          <w:color w:val="auto"/>
          <w:kern w:val="0"/>
          <w:sz w:val="24"/>
          <w:highlight w:val="none"/>
          <w:shd w:val="clear" w:color="auto" w:fill="FFFFFF"/>
        </w:rPr>
      </w:pPr>
      <w:r>
        <w:rPr>
          <w:rFonts w:hint="eastAsia" w:ascii="宋体" w:hAnsi="宋体" w:cs="宋体"/>
          <w:b/>
          <w:bCs/>
          <w:color w:val="auto"/>
          <w:kern w:val="0"/>
          <w:sz w:val="24"/>
          <w:highlight w:val="none"/>
          <w:shd w:val="clear" w:color="auto" w:fill="FFFFFF"/>
        </w:rPr>
        <w:t>注：法定代表人本人参加投标时无须提供授权，但须提供身份证双面复印件；</w:t>
      </w:r>
    </w:p>
    <w:p w14:paraId="77643E08">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ind w:firstLine="643"/>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64325BE8">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cs="宋体"/>
          <w:b/>
          <w:color w:val="auto"/>
          <w:sz w:val="24"/>
          <w:highlight w:val="none"/>
        </w:rPr>
      </w:pPr>
      <w:r>
        <w:rPr>
          <w:rFonts w:hint="eastAsia" w:ascii="宋体" w:hAnsi="宋体" w:cs="宋体"/>
          <w:b/>
          <w:color w:val="auto"/>
          <w:kern w:val="0"/>
          <w:sz w:val="32"/>
          <w:szCs w:val="32"/>
          <w:highlight w:val="none"/>
        </w:rPr>
        <w:t>三、投标人基本情况（如企业简介，经营状况、财务状况、专业能力，企业荣誉，企业资质，拥有相关认证情况等等）</w:t>
      </w:r>
    </w:p>
    <w:p w14:paraId="2E623481">
      <w:pPr>
        <w:snapToGrid w:val="0"/>
        <w:spacing w:line="460" w:lineRule="exact"/>
        <w:ind w:firstLine="643"/>
        <w:jc w:val="center"/>
        <w:rPr>
          <w:rFonts w:hint="eastAsia" w:ascii="宋体" w:hAnsi="宋体" w:cs="宋体"/>
          <w:b/>
          <w:color w:val="auto"/>
          <w:sz w:val="32"/>
          <w:szCs w:val="32"/>
          <w:highlight w:val="none"/>
        </w:rPr>
      </w:pPr>
    </w:p>
    <w:p w14:paraId="1C1A8A36">
      <w:pPr>
        <w:snapToGrid w:val="0"/>
        <w:spacing w:line="460" w:lineRule="exact"/>
        <w:ind w:firstLine="643"/>
        <w:jc w:val="center"/>
        <w:rPr>
          <w:rFonts w:ascii="宋体" w:hAnsi="宋体" w:cs="宋体"/>
          <w:b/>
          <w:color w:val="auto"/>
          <w:sz w:val="32"/>
          <w:szCs w:val="32"/>
          <w:highlight w:val="none"/>
        </w:rPr>
      </w:pPr>
      <w:r>
        <w:rPr>
          <w:rFonts w:hint="eastAsia" w:ascii="宋体" w:hAnsi="宋体" w:cs="宋体"/>
          <w:b/>
          <w:color w:val="auto"/>
          <w:sz w:val="32"/>
          <w:szCs w:val="32"/>
          <w:highlight w:val="none"/>
        </w:rPr>
        <w:t>基本格式表</w:t>
      </w:r>
    </w:p>
    <w:p w14:paraId="2BDA954A">
      <w:pPr>
        <w:snapToGrid w:val="0"/>
        <w:spacing w:line="460" w:lineRule="exact"/>
        <w:ind w:firstLine="643"/>
        <w:jc w:val="center"/>
        <w:rPr>
          <w:rFonts w:ascii="宋体" w:hAnsi="宋体" w:cs="宋体"/>
          <w:b/>
          <w:color w:val="auto"/>
          <w:sz w:val="30"/>
          <w:szCs w:val="30"/>
          <w:highlight w:val="none"/>
        </w:rPr>
      </w:pPr>
      <w:r>
        <w:rPr>
          <w:rFonts w:hint="eastAsia" w:ascii="宋体" w:hAnsi="宋体" w:cs="宋体"/>
          <w:b/>
          <w:color w:val="auto"/>
          <w:sz w:val="32"/>
          <w:szCs w:val="32"/>
          <w:highlight w:val="none"/>
        </w:rPr>
        <w:t>（可根据需要自行扩展相关内容）</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1"/>
        <w:gridCol w:w="1865"/>
        <w:gridCol w:w="511"/>
        <w:gridCol w:w="214"/>
        <w:gridCol w:w="2601"/>
        <w:gridCol w:w="106"/>
        <w:gridCol w:w="41"/>
        <w:gridCol w:w="1471"/>
      </w:tblGrid>
      <w:tr w14:paraId="46FB3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640" w:type="dxa"/>
            <w:gridSpan w:val="8"/>
            <w:tcBorders>
              <w:top w:val="single" w:color="auto" w:sz="4" w:space="0"/>
              <w:left w:val="single" w:color="auto" w:sz="4" w:space="0"/>
              <w:bottom w:val="single" w:color="auto" w:sz="4" w:space="0"/>
              <w:right w:val="single" w:color="auto" w:sz="4" w:space="0"/>
            </w:tcBorders>
          </w:tcPr>
          <w:p w14:paraId="081F9C98">
            <w:pPr>
              <w:widowControl/>
              <w:spacing w:line="500" w:lineRule="exact"/>
              <w:ind w:firstLine="482"/>
              <w:jc w:val="center"/>
              <w:rPr>
                <w:rFonts w:ascii="宋体" w:hAnsi="宋体" w:cs="宋体"/>
                <w:b/>
                <w:color w:val="auto"/>
                <w:sz w:val="24"/>
                <w:highlight w:val="none"/>
              </w:rPr>
            </w:pPr>
            <w:r>
              <w:rPr>
                <w:rFonts w:hint="eastAsia" w:ascii="宋体" w:hAnsi="宋体" w:cs="宋体"/>
                <w:b/>
                <w:color w:val="auto"/>
                <w:sz w:val="24"/>
                <w:highlight w:val="none"/>
              </w:rPr>
              <w:t>（一）一般情况</w:t>
            </w:r>
          </w:p>
        </w:tc>
      </w:tr>
      <w:tr w14:paraId="1EF04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831" w:type="dxa"/>
            <w:tcBorders>
              <w:top w:val="single" w:color="auto" w:sz="4" w:space="0"/>
              <w:left w:val="single" w:color="auto" w:sz="4" w:space="0"/>
              <w:bottom w:val="single" w:color="auto" w:sz="4" w:space="0"/>
              <w:right w:val="single" w:color="auto" w:sz="4" w:space="0"/>
            </w:tcBorders>
            <w:vAlign w:val="center"/>
          </w:tcPr>
          <w:p w14:paraId="6F44D3F8">
            <w:pPr>
              <w:widowControl/>
              <w:spacing w:line="500" w:lineRule="exact"/>
              <w:jc w:val="center"/>
              <w:rPr>
                <w:rFonts w:ascii="宋体" w:hAnsi="宋体" w:cs="宋体"/>
                <w:b/>
                <w:color w:val="auto"/>
                <w:sz w:val="24"/>
                <w:highlight w:val="none"/>
              </w:rPr>
            </w:pPr>
            <w:r>
              <w:rPr>
                <w:rFonts w:hint="eastAsia" w:ascii="宋体" w:hAnsi="宋体" w:cs="宋体"/>
                <w:color w:val="auto"/>
                <w:sz w:val="24"/>
                <w:highlight w:val="none"/>
              </w:rPr>
              <w:t>公司名称</w:t>
            </w:r>
          </w:p>
        </w:tc>
        <w:tc>
          <w:tcPr>
            <w:tcW w:w="6809" w:type="dxa"/>
            <w:gridSpan w:val="7"/>
            <w:tcBorders>
              <w:top w:val="single" w:color="auto" w:sz="4" w:space="0"/>
              <w:left w:val="single" w:color="auto" w:sz="4" w:space="0"/>
              <w:bottom w:val="single" w:color="auto" w:sz="4" w:space="0"/>
              <w:right w:val="single" w:color="auto" w:sz="4" w:space="0"/>
            </w:tcBorders>
          </w:tcPr>
          <w:p w14:paraId="78B6F5CD">
            <w:pPr>
              <w:widowControl/>
              <w:spacing w:line="500" w:lineRule="exact"/>
              <w:ind w:firstLine="482"/>
              <w:jc w:val="center"/>
              <w:rPr>
                <w:rFonts w:ascii="宋体" w:hAnsi="宋体" w:cs="宋体"/>
                <w:b/>
                <w:color w:val="auto"/>
                <w:sz w:val="24"/>
                <w:highlight w:val="none"/>
              </w:rPr>
            </w:pPr>
          </w:p>
        </w:tc>
      </w:tr>
      <w:tr w14:paraId="49AB7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831" w:type="dxa"/>
            <w:tcBorders>
              <w:top w:val="single" w:color="auto" w:sz="4" w:space="0"/>
              <w:left w:val="single" w:color="auto" w:sz="4" w:space="0"/>
              <w:bottom w:val="single" w:color="auto" w:sz="4" w:space="0"/>
              <w:right w:val="single" w:color="auto" w:sz="4" w:space="0"/>
            </w:tcBorders>
            <w:vAlign w:val="center"/>
          </w:tcPr>
          <w:p w14:paraId="10BCC626">
            <w:pPr>
              <w:widowControl/>
              <w:spacing w:line="500" w:lineRule="exact"/>
              <w:jc w:val="center"/>
              <w:rPr>
                <w:rFonts w:ascii="宋体" w:hAnsi="宋体" w:cs="宋体"/>
                <w:b/>
                <w:color w:val="auto"/>
                <w:sz w:val="24"/>
                <w:highlight w:val="none"/>
              </w:rPr>
            </w:pPr>
            <w:r>
              <w:rPr>
                <w:rFonts w:hint="eastAsia" w:ascii="宋体" w:hAnsi="宋体" w:cs="宋体"/>
                <w:color w:val="auto"/>
                <w:sz w:val="24"/>
                <w:highlight w:val="none"/>
              </w:rPr>
              <w:t>公司地址</w:t>
            </w:r>
          </w:p>
        </w:tc>
        <w:tc>
          <w:tcPr>
            <w:tcW w:w="6809" w:type="dxa"/>
            <w:gridSpan w:val="7"/>
            <w:tcBorders>
              <w:top w:val="single" w:color="auto" w:sz="4" w:space="0"/>
              <w:left w:val="single" w:color="auto" w:sz="4" w:space="0"/>
              <w:bottom w:val="single" w:color="auto" w:sz="4" w:space="0"/>
              <w:right w:val="single" w:color="auto" w:sz="4" w:space="0"/>
            </w:tcBorders>
          </w:tcPr>
          <w:p w14:paraId="7A67DD49">
            <w:pPr>
              <w:widowControl/>
              <w:spacing w:line="500" w:lineRule="exact"/>
              <w:ind w:firstLine="482"/>
              <w:jc w:val="center"/>
              <w:rPr>
                <w:rFonts w:ascii="宋体" w:hAnsi="宋体" w:cs="宋体"/>
                <w:b/>
                <w:color w:val="auto"/>
                <w:sz w:val="24"/>
                <w:highlight w:val="none"/>
              </w:rPr>
            </w:pPr>
          </w:p>
        </w:tc>
      </w:tr>
      <w:tr w14:paraId="44142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831" w:type="dxa"/>
            <w:tcBorders>
              <w:top w:val="single" w:color="auto" w:sz="4" w:space="0"/>
              <w:left w:val="single" w:color="auto" w:sz="4" w:space="0"/>
              <w:bottom w:val="single" w:color="auto" w:sz="4" w:space="0"/>
              <w:right w:val="single" w:color="auto" w:sz="4" w:space="0"/>
            </w:tcBorders>
            <w:vAlign w:val="center"/>
          </w:tcPr>
          <w:p w14:paraId="2A908695">
            <w:pPr>
              <w:widowControl/>
              <w:spacing w:line="500" w:lineRule="exact"/>
              <w:jc w:val="center"/>
              <w:rPr>
                <w:rFonts w:ascii="宋体" w:hAnsi="宋体" w:cs="宋体"/>
                <w:b/>
                <w:color w:val="auto"/>
                <w:sz w:val="24"/>
                <w:highlight w:val="none"/>
              </w:rPr>
            </w:pPr>
            <w:r>
              <w:rPr>
                <w:rFonts w:hint="eastAsia" w:ascii="宋体" w:hAnsi="宋体" w:cs="宋体"/>
                <w:color w:val="auto"/>
                <w:sz w:val="24"/>
                <w:highlight w:val="none"/>
              </w:rPr>
              <w:t>公司成立时间</w:t>
            </w:r>
          </w:p>
        </w:tc>
        <w:tc>
          <w:tcPr>
            <w:tcW w:w="6809" w:type="dxa"/>
            <w:gridSpan w:val="7"/>
            <w:tcBorders>
              <w:top w:val="single" w:color="auto" w:sz="4" w:space="0"/>
              <w:left w:val="single" w:color="auto" w:sz="4" w:space="0"/>
              <w:bottom w:val="single" w:color="auto" w:sz="4" w:space="0"/>
              <w:right w:val="single" w:color="auto" w:sz="4" w:space="0"/>
            </w:tcBorders>
          </w:tcPr>
          <w:p w14:paraId="66B58F57">
            <w:pPr>
              <w:widowControl/>
              <w:spacing w:line="500" w:lineRule="exact"/>
              <w:ind w:firstLine="482"/>
              <w:jc w:val="center"/>
              <w:rPr>
                <w:rFonts w:ascii="宋体" w:hAnsi="宋体" w:cs="宋体"/>
                <w:b/>
                <w:color w:val="auto"/>
                <w:sz w:val="24"/>
                <w:highlight w:val="none"/>
              </w:rPr>
            </w:pPr>
          </w:p>
        </w:tc>
      </w:tr>
      <w:tr w14:paraId="553BD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831" w:type="dxa"/>
            <w:tcBorders>
              <w:top w:val="single" w:color="auto" w:sz="4" w:space="0"/>
              <w:left w:val="single" w:color="auto" w:sz="4" w:space="0"/>
              <w:bottom w:val="single" w:color="auto" w:sz="4" w:space="0"/>
              <w:right w:val="single" w:color="auto" w:sz="4" w:space="0"/>
            </w:tcBorders>
            <w:vAlign w:val="center"/>
          </w:tcPr>
          <w:p w14:paraId="2E84EFFD">
            <w:pPr>
              <w:widowControl/>
              <w:spacing w:line="500" w:lineRule="exact"/>
              <w:jc w:val="center"/>
              <w:rPr>
                <w:rFonts w:ascii="宋体" w:hAnsi="宋体" w:cs="宋体"/>
                <w:color w:val="auto"/>
                <w:sz w:val="24"/>
                <w:highlight w:val="none"/>
              </w:rPr>
            </w:pPr>
            <w:r>
              <w:rPr>
                <w:rFonts w:hint="eastAsia" w:ascii="宋体" w:hAnsi="宋体" w:cs="宋体"/>
                <w:color w:val="auto"/>
                <w:sz w:val="24"/>
                <w:highlight w:val="none"/>
              </w:rPr>
              <w:t>法定代表人</w:t>
            </w:r>
          </w:p>
        </w:tc>
        <w:tc>
          <w:tcPr>
            <w:tcW w:w="6809" w:type="dxa"/>
            <w:gridSpan w:val="7"/>
            <w:tcBorders>
              <w:top w:val="single" w:color="auto" w:sz="4" w:space="0"/>
              <w:left w:val="single" w:color="auto" w:sz="4" w:space="0"/>
              <w:bottom w:val="single" w:color="auto" w:sz="4" w:space="0"/>
              <w:right w:val="single" w:color="auto" w:sz="4" w:space="0"/>
            </w:tcBorders>
          </w:tcPr>
          <w:p w14:paraId="41155F27">
            <w:pPr>
              <w:widowControl/>
              <w:spacing w:line="500" w:lineRule="exact"/>
              <w:ind w:firstLine="482"/>
              <w:jc w:val="center"/>
              <w:rPr>
                <w:rFonts w:ascii="宋体" w:hAnsi="宋体" w:cs="宋体"/>
                <w:b/>
                <w:color w:val="auto"/>
                <w:sz w:val="24"/>
                <w:highlight w:val="none"/>
              </w:rPr>
            </w:pPr>
          </w:p>
        </w:tc>
      </w:tr>
      <w:tr w14:paraId="6505B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831" w:type="dxa"/>
            <w:tcBorders>
              <w:top w:val="single" w:color="auto" w:sz="4" w:space="0"/>
              <w:left w:val="single" w:color="auto" w:sz="4" w:space="0"/>
              <w:bottom w:val="single" w:color="auto" w:sz="4" w:space="0"/>
              <w:right w:val="single" w:color="auto" w:sz="4" w:space="0"/>
            </w:tcBorders>
            <w:vAlign w:val="center"/>
          </w:tcPr>
          <w:p w14:paraId="66FA20B5">
            <w:pPr>
              <w:widowControl/>
              <w:spacing w:line="500" w:lineRule="exact"/>
              <w:jc w:val="center"/>
              <w:rPr>
                <w:rFonts w:ascii="宋体" w:hAnsi="宋体" w:cs="宋体"/>
                <w:color w:val="auto"/>
                <w:sz w:val="24"/>
                <w:highlight w:val="none"/>
              </w:rPr>
            </w:pPr>
            <w:r>
              <w:rPr>
                <w:rFonts w:hint="eastAsia" w:ascii="宋体" w:hAnsi="宋体" w:cs="宋体"/>
                <w:color w:val="auto"/>
                <w:sz w:val="24"/>
                <w:highlight w:val="none"/>
              </w:rPr>
              <w:t>注册资金</w:t>
            </w:r>
          </w:p>
        </w:tc>
        <w:tc>
          <w:tcPr>
            <w:tcW w:w="6809" w:type="dxa"/>
            <w:gridSpan w:val="7"/>
            <w:tcBorders>
              <w:top w:val="single" w:color="auto" w:sz="4" w:space="0"/>
              <w:left w:val="single" w:color="auto" w:sz="4" w:space="0"/>
              <w:bottom w:val="single" w:color="auto" w:sz="4" w:space="0"/>
              <w:right w:val="single" w:color="auto" w:sz="4" w:space="0"/>
            </w:tcBorders>
          </w:tcPr>
          <w:p w14:paraId="60DDE8D8">
            <w:pPr>
              <w:widowControl/>
              <w:spacing w:line="500" w:lineRule="exact"/>
              <w:ind w:firstLine="482"/>
              <w:jc w:val="center"/>
              <w:rPr>
                <w:rFonts w:ascii="宋体" w:hAnsi="宋体" w:cs="宋体"/>
                <w:b/>
                <w:color w:val="auto"/>
                <w:sz w:val="24"/>
                <w:highlight w:val="none"/>
              </w:rPr>
            </w:pPr>
          </w:p>
        </w:tc>
      </w:tr>
      <w:tr w14:paraId="222C2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831" w:type="dxa"/>
            <w:tcBorders>
              <w:top w:val="single" w:color="auto" w:sz="4" w:space="0"/>
              <w:left w:val="single" w:color="auto" w:sz="4" w:space="0"/>
              <w:bottom w:val="single" w:color="auto" w:sz="4" w:space="0"/>
              <w:right w:val="single" w:color="auto" w:sz="4" w:space="0"/>
            </w:tcBorders>
            <w:vAlign w:val="center"/>
          </w:tcPr>
          <w:p w14:paraId="4D287FD7">
            <w:pPr>
              <w:widowControl/>
              <w:spacing w:line="500" w:lineRule="exact"/>
              <w:jc w:val="center"/>
              <w:rPr>
                <w:rFonts w:ascii="宋体" w:hAnsi="宋体" w:cs="宋体"/>
                <w:b/>
                <w:color w:val="auto"/>
                <w:sz w:val="24"/>
                <w:highlight w:val="none"/>
              </w:rPr>
            </w:pPr>
            <w:r>
              <w:rPr>
                <w:rFonts w:hint="eastAsia" w:ascii="宋体" w:hAnsi="宋体" w:cs="宋体"/>
                <w:color w:val="auto"/>
                <w:sz w:val="24"/>
                <w:highlight w:val="none"/>
              </w:rPr>
              <w:t>公司主业</w:t>
            </w:r>
          </w:p>
        </w:tc>
        <w:tc>
          <w:tcPr>
            <w:tcW w:w="6809" w:type="dxa"/>
            <w:gridSpan w:val="7"/>
            <w:tcBorders>
              <w:top w:val="single" w:color="auto" w:sz="4" w:space="0"/>
              <w:left w:val="single" w:color="auto" w:sz="4" w:space="0"/>
              <w:bottom w:val="single" w:color="auto" w:sz="4" w:space="0"/>
              <w:right w:val="single" w:color="auto" w:sz="4" w:space="0"/>
            </w:tcBorders>
          </w:tcPr>
          <w:p w14:paraId="01D4D757">
            <w:pPr>
              <w:widowControl/>
              <w:spacing w:line="500" w:lineRule="exact"/>
              <w:ind w:firstLine="482"/>
              <w:jc w:val="center"/>
              <w:rPr>
                <w:rFonts w:ascii="宋体" w:hAnsi="宋体" w:cs="宋体"/>
                <w:b/>
                <w:color w:val="auto"/>
                <w:sz w:val="24"/>
                <w:highlight w:val="none"/>
              </w:rPr>
            </w:pPr>
          </w:p>
        </w:tc>
      </w:tr>
      <w:tr w14:paraId="3F7B9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831" w:type="dxa"/>
            <w:tcBorders>
              <w:top w:val="single" w:color="auto" w:sz="4" w:space="0"/>
              <w:left w:val="single" w:color="auto" w:sz="4" w:space="0"/>
              <w:bottom w:val="single" w:color="auto" w:sz="4" w:space="0"/>
              <w:right w:val="single" w:color="auto" w:sz="4" w:space="0"/>
            </w:tcBorders>
            <w:vAlign w:val="center"/>
          </w:tcPr>
          <w:p w14:paraId="7760D2B2">
            <w:pPr>
              <w:widowControl/>
              <w:spacing w:line="500" w:lineRule="exact"/>
              <w:jc w:val="center"/>
              <w:rPr>
                <w:rFonts w:ascii="宋体" w:hAnsi="宋体" w:cs="宋体"/>
                <w:b/>
                <w:color w:val="auto"/>
                <w:sz w:val="24"/>
                <w:highlight w:val="none"/>
              </w:rPr>
            </w:pPr>
            <w:r>
              <w:rPr>
                <w:rFonts w:hint="eastAsia" w:ascii="宋体" w:hAnsi="宋体" w:cs="宋体"/>
                <w:color w:val="auto"/>
                <w:sz w:val="24"/>
                <w:highlight w:val="none"/>
              </w:rPr>
              <w:t>业务范围</w:t>
            </w:r>
          </w:p>
        </w:tc>
        <w:tc>
          <w:tcPr>
            <w:tcW w:w="6809" w:type="dxa"/>
            <w:gridSpan w:val="7"/>
            <w:tcBorders>
              <w:top w:val="single" w:color="auto" w:sz="4" w:space="0"/>
              <w:left w:val="single" w:color="auto" w:sz="4" w:space="0"/>
              <w:bottom w:val="single" w:color="auto" w:sz="4" w:space="0"/>
              <w:right w:val="single" w:color="auto" w:sz="4" w:space="0"/>
            </w:tcBorders>
          </w:tcPr>
          <w:p w14:paraId="39CC9E79">
            <w:pPr>
              <w:widowControl/>
              <w:spacing w:line="500" w:lineRule="exact"/>
              <w:ind w:firstLine="482"/>
              <w:jc w:val="center"/>
              <w:rPr>
                <w:rFonts w:ascii="宋体" w:hAnsi="宋体" w:cs="宋体"/>
                <w:b/>
                <w:color w:val="auto"/>
                <w:sz w:val="24"/>
                <w:highlight w:val="none"/>
              </w:rPr>
            </w:pPr>
          </w:p>
        </w:tc>
      </w:tr>
      <w:tr w14:paraId="5D38E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831" w:type="dxa"/>
            <w:tcBorders>
              <w:top w:val="single" w:color="auto" w:sz="4" w:space="0"/>
              <w:left w:val="single" w:color="auto" w:sz="4" w:space="0"/>
              <w:bottom w:val="single" w:color="auto" w:sz="4" w:space="0"/>
              <w:right w:val="single" w:color="auto" w:sz="4" w:space="0"/>
            </w:tcBorders>
            <w:vAlign w:val="center"/>
          </w:tcPr>
          <w:p w14:paraId="2F60E216">
            <w:pPr>
              <w:widowControl/>
              <w:spacing w:line="500" w:lineRule="exact"/>
              <w:jc w:val="center"/>
              <w:rPr>
                <w:rFonts w:ascii="宋体" w:hAnsi="宋体" w:cs="宋体"/>
                <w:b/>
                <w:color w:val="auto"/>
                <w:sz w:val="24"/>
                <w:highlight w:val="none"/>
              </w:rPr>
            </w:pPr>
            <w:r>
              <w:rPr>
                <w:rFonts w:hint="eastAsia" w:ascii="宋体" w:hAnsi="宋体" w:cs="宋体"/>
                <w:color w:val="auto"/>
                <w:sz w:val="24"/>
                <w:highlight w:val="none"/>
              </w:rPr>
              <w:t>典型项目实例</w:t>
            </w:r>
          </w:p>
        </w:tc>
        <w:tc>
          <w:tcPr>
            <w:tcW w:w="6809" w:type="dxa"/>
            <w:gridSpan w:val="7"/>
            <w:tcBorders>
              <w:top w:val="single" w:color="auto" w:sz="4" w:space="0"/>
              <w:left w:val="single" w:color="auto" w:sz="4" w:space="0"/>
              <w:bottom w:val="single" w:color="auto" w:sz="4" w:space="0"/>
              <w:right w:val="single" w:color="auto" w:sz="4" w:space="0"/>
            </w:tcBorders>
          </w:tcPr>
          <w:p w14:paraId="7980777D">
            <w:pPr>
              <w:widowControl/>
              <w:spacing w:line="500" w:lineRule="exact"/>
              <w:ind w:firstLine="482"/>
              <w:jc w:val="center"/>
              <w:rPr>
                <w:rFonts w:ascii="宋体" w:hAnsi="宋体" w:cs="宋体"/>
                <w:b/>
                <w:color w:val="auto"/>
                <w:sz w:val="24"/>
                <w:highlight w:val="none"/>
              </w:rPr>
            </w:pPr>
          </w:p>
        </w:tc>
      </w:tr>
      <w:tr w14:paraId="3C190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640" w:type="dxa"/>
            <w:gridSpan w:val="8"/>
            <w:tcBorders>
              <w:top w:val="single" w:color="auto" w:sz="4" w:space="0"/>
              <w:left w:val="single" w:color="auto" w:sz="4" w:space="0"/>
              <w:bottom w:val="single" w:color="auto" w:sz="4" w:space="0"/>
              <w:right w:val="single" w:color="auto" w:sz="4" w:space="0"/>
            </w:tcBorders>
          </w:tcPr>
          <w:p w14:paraId="1545FAD5">
            <w:pPr>
              <w:widowControl/>
              <w:spacing w:line="500" w:lineRule="exact"/>
              <w:ind w:firstLine="482"/>
              <w:jc w:val="center"/>
              <w:rPr>
                <w:rFonts w:ascii="宋体" w:hAnsi="宋体" w:cs="宋体"/>
                <w:b/>
                <w:color w:val="auto"/>
                <w:sz w:val="24"/>
                <w:highlight w:val="none"/>
              </w:rPr>
            </w:pPr>
            <w:r>
              <w:rPr>
                <w:rFonts w:hint="eastAsia" w:ascii="宋体" w:hAnsi="宋体" w:cs="宋体"/>
                <w:b/>
                <w:color w:val="auto"/>
                <w:sz w:val="24"/>
                <w:highlight w:val="none"/>
              </w:rPr>
              <w:t>（二）公司的组织结构简图</w:t>
            </w:r>
          </w:p>
        </w:tc>
      </w:tr>
      <w:tr w14:paraId="4BCD0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831" w:type="dxa"/>
            <w:tcBorders>
              <w:top w:val="single" w:color="auto" w:sz="4" w:space="0"/>
              <w:left w:val="single" w:color="auto" w:sz="4" w:space="0"/>
              <w:bottom w:val="single" w:color="auto" w:sz="4" w:space="0"/>
              <w:right w:val="single" w:color="auto" w:sz="4" w:space="0"/>
            </w:tcBorders>
          </w:tcPr>
          <w:p w14:paraId="60547E9A">
            <w:pPr>
              <w:widowControl/>
              <w:spacing w:line="500" w:lineRule="exact"/>
              <w:ind w:firstLine="482"/>
              <w:jc w:val="center"/>
              <w:rPr>
                <w:rFonts w:ascii="宋体" w:hAnsi="宋体" w:cs="宋体"/>
                <w:b/>
                <w:color w:val="auto"/>
                <w:sz w:val="24"/>
                <w:highlight w:val="none"/>
              </w:rPr>
            </w:pPr>
            <w:r>
              <w:rPr>
                <w:rFonts w:hint="eastAsia" w:ascii="宋体" w:hAnsi="宋体" w:cs="宋体"/>
                <w:b/>
                <w:color w:val="auto"/>
                <w:sz w:val="24"/>
                <w:highlight w:val="none"/>
              </w:rPr>
              <w:t xml:space="preserve"> </w:t>
            </w:r>
          </w:p>
        </w:tc>
        <w:tc>
          <w:tcPr>
            <w:tcW w:w="6809" w:type="dxa"/>
            <w:gridSpan w:val="7"/>
            <w:tcBorders>
              <w:top w:val="single" w:color="auto" w:sz="4" w:space="0"/>
              <w:left w:val="single" w:color="auto" w:sz="4" w:space="0"/>
              <w:bottom w:val="single" w:color="auto" w:sz="4" w:space="0"/>
              <w:right w:val="single" w:color="auto" w:sz="4" w:space="0"/>
            </w:tcBorders>
          </w:tcPr>
          <w:p w14:paraId="1743A42A">
            <w:pPr>
              <w:widowControl/>
              <w:spacing w:line="500" w:lineRule="exact"/>
              <w:ind w:firstLine="482"/>
              <w:jc w:val="center"/>
              <w:rPr>
                <w:rFonts w:ascii="宋体" w:hAnsi="宋体" w:cs="宋体"/>
                <w:b/>
                <w:color w:val="auto"/>
                <w:sz w:val="24"/>
                <w:highlight w:val="none"/>
              </w:rPr>
            </w:pPr>
          </w:p>
        </w:tc>
      </w:tr>
      <w:tr w14:paraId="6F94B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640" w:type="dxa"/>
            <w:gridSpan w:val="8"/>
            <w:tcBorders>
              <w:top w:val="single" w:color="auto" w:sz="4" w:space="0"/>
              <w:left w:val="single" w:color="auto" w:sz="4" w:space="0"/>
              <w:bottom w:val="single" w:color="auto" w:sz="4" w:space="0"/>
              <w:right w:val="single" w:color="auto" w:sz="4" w:space="0"/>
            </w:tcBorders>
          </w:tcPr>
          <w:p w14:paraId="22677A0D">
            <w:pPr>
              <w:widowControl/>
              <w:spacing w:line="500" w:lineRule="exact"/>
              <w:ind w:firstLine="482"/>
              <w:jc w:val="center"/>
              <w:rPr>
                <w:rFonts w:ascii="宋体" w:hAnsi="宋体" w:cs="宋体"/>
                <w:b/>
                <w:color w:val="auto"/>
                <w:sz w:val="24"/>
                <w:highlight w:val="none"/>
              </w:rPr>
            </w:pPr>
            <w:r>
              <w:rPr>
                <w:rFonts w:hint="eastAsia" w:ascii="宋体" w:hAnsi="宋体" w:cs="宋体"/>
                <w:b/>
                <w:color w:val="auto"/>
                <w:sz w:val="24"/>
                <w:highlight w:val="none"/>
              </w:rPr>
              <w:t>（三）拥有的相关资质</w:t>
            </w:r>
          </w:p>
        </w:tc>
      </w:tr>
      <w:tr w14:paraId="0E8D7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tcPr>
          <w:p w14:paraId="0716365B">
            <w:pPr>
              <w:widowControl/>
              <w:spacing w:line="500" w:lineRule="exact"/>
              <w:jc w:val="center"/>
              <w:rPr>
                <w:rFonts w:ascii="宋体" w:hAnsi="宋体" w:cs="宋体"/>
                <w:color w:val="auto"/>
                <w:sz w:val="24"/>
                <w:highlight w:val="none"/>
              </w:rPr>
            </w:pPr>
            <w:r>
              <w:rPr>
                <w:rFonts w:hint="eastAsia" w:ascii="宋体" w:hAnsi="宋体" w:cs="宋体"/>
                <w:bCs/>
                <w:color w:val="auto"/>
                <w:sz w:val="24"/>
                <w:highlight w:val="none"/>
              </w:rPr>
              <w:t>资质名称</w:t>
            </w:r>
          </w:p>
        </w:tc>
        <w:tc>
          <w:tcPr>
            <w:tcW w:w="2601" w:type="dxa"/>
            <w:tcBorders>
              <w:top w:val="single" w:color="auto" w:sz="4" w:space="0"/>
              <w:left w:val="single" w:color="auto" w:sz="4" w:space="0"/>
              <w:bottom w:val="single" w:color="auto" w:sz="4" w:space="0"/>
              <w:right w:val="single" w:color="auto" w:sz="4" w:space="0"/>
            </w:tcBorders>
          </w:tcPr>
          <w:p w14:paraId="4B3957A6">
            <w:pPr>
              <w:widowControl/>
              <w:spacing w:line="500" w:lineRule="exact"/>
              <w:jc w:val="center"/>
              <w:rPr>
                <w:rFonts w:ascii="宋体" w:hAnsi="宋体" w:cs="宋体"/>
                <w:color w:val="auto"/>
                <w:sz w:val="24"/>
                <w:highlight w:val="none"/>
              </w:rPr>
            </w:pPr>
            <w:r>
              <w:rPr>
                <w:rFonts w:hint="eastAsia" w:ascii="宋体" w:hAnsi="宋体" w:cs="宋体"/>
                <w:color w:val="auto"/>
                <w:sz w:val="24"/>
                <w:highlight w:val="none"/>
              </w:rPr>
              <w:t>发证单位</w:t>
            </w:r>
          </w:p>
        </w:tc>
        <w:tc>
          <w:tcPr>
            <w:tcW w:w="1618" w:type="dxa"/>
            <w:gridSpan w:val="3"/>
            <w:tcBorders>
              <w:top w:val="single" w:color="auto" w:sz="4" w:space="0"/>
              <w:left w:val="single" w:color="auto" w:sz="4" w:space="0"/>
              <w:bottom w:val="single" w:color="auto" w:sz="4" w:space="0"/>
              <w:right w:val="single" w:color="auto" w:sz="4" w:space="0"/>
            </w:tcBorders>
          </w:tcPr>
          <w:p w14:paraId="00570B34">
            <w:pPr>
              <w:widowControl/>
              <w:spacing w:line="500" w:lineRule="exact"/>
              <w:jc w:val="center"/>
              <w:rPr>
                <w:rFonts w:ascii="宋体" w:hAnsi="宋体" w:cs="宋体"/>
                <w:color w:val="auto"/>
                <w:sz w:val="24"/>
                <w:highlight w:val="none"/>
              </w:rPr>
            </w:pPr>
            <w:r>
              <w:rPr>
                <w:rFonts w:hint="eastAsia" w:ascii="宋体" w:hAnsi="宋体" w:cs="宋体"/>
                <w:color w:val="auto"/>
                <w:sz w:val="24"/>
                <w:highlight w:val="none"/>
              </w:rPr>
              <w:t>获得时间</w:t>
            </w:r>
          </w:p>
        </w:tc>
      </w:tr>
      <w:tr w14:paraId="7B06A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tcPr>
          <w:p w14:paraId="14CEAA63">
            <w:pPr>
              <w:widowControl/>
              <w:spacing w:line="500" w:lineRule="exact"/>
              <w:ind w:firstLine="482"/>
              <w:jc w:val="center"/>
              <w:rPr>
                <w:rFonts w:ascii="宋体" w:hAnsi="宋体" w:cs="宋体"/>
                <w:b/>
                <w:color w:val="auto"/>
                <w:sz w:val="24"/>
                <w:highlight w:val="none"/>
              </w:rPr>
            </w:pPr>
          </w:p>
        </w:tc>
        <w:tc>
          <w:tcPr>
            <w:tcW w:w="2601" w:type="dxa"/>
            <w:tcBorders>
              <w:top w:val="single" w:color="auto" w:sz="4" w:space="0"/>
              <w:left w:val="single" w:color="auto" w:sz="4" w:space="0"/>
              <w:bottom w:val="single" w:color="auto" w:sz="4" w:space="0"/>
              <w:right w:val="single" w:color="auto" w:sz="4" w:space="0"/>
            </w:tcBorders>
          </w:tcPr>
          <w:p w14:paraId="4E1F2AD0">
            <w:pPr>
              <w:widowControl/>
              <w:spacing w:line="500" w:lineRule="exact"/>
              <w:ind w:firstLine="482"/>
              <w:jc w:val="center"/>
              <w:rPr>
                <w:rFonts w:ascii="宋体" w:hAnsi="宋体" w:cs="宋体"/>
                <w:b/>
                <w:color w:val="auto"/>
                <w:sz w:val="24"/>
                <w:highlight w:val="none"/>
              </w:rPr>
            </w:pPr>
          </w:p>
        </w:tc>
        <w:tc>
          <w:tcPr>
            <w:tcW w:w="1618" w:type="dxa"/>
            <w:gridSpan w:val="3"/>
            <w:tcBorders>
              <w:top w:val="single" w:color="auto" w:sz="4" w:space="0"/>
              <w:left w:val="single" w:color="auto" w:sz="4" w:space="0"/>
              <w:bottom w:val="single" w:color="auto" w:sz="4" w:space="0"/>
              <w:right w:val="single" w:color="auto" w:sz="4" w:space="0"/>
            </w:tcBorders>
          </w:tcPr>
          <w:p w14:paraId="494D9EC3">
            <w:pPr>
              <w:widowControl/>
              <w:spacing w:line="500" w:lineRule="exact"/>
              <w:ind w:firstLine="482"/>
              <w:jc w:val="center"/>
              <w:rPr>
                <w:rFonts w:ascii="宋体" w:hAnsi="宋体" w:cs="宋体"/>
                <w:b/>
                <w:color w:val="auto"/>
                <w:sz w:val="24"/>
                <w:highlight w:val="none"/>
              </w:rPr>
            </w:pPr>
          </w:p>
        </w:tc>
      </w:tr>
      <w:tr w14:paraId="2B701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tcPr>
          <w:p w14:paraId="74E756E5">
            <w:pPr>
              <w:widowControl/>
              <w:spacing w:line="500" w:lineRule="exact"/>
              <w:ind w:firstLine="482"/>
              <w:jc w:val="center"/>
              <w:rPr>
                <w:rFonts w:ascii="宋体" w:hAnsi="宋体" w:cs="宋体"/>
                <w:b/>
                <w:color w:val="auto"/>
                <w:sz w:val="24"/>
                <w:highlight w:val="none"/>
              </w:rPr>
            </w:pPr>
          </w:p>
        </w:tc>
        <w:tc>
          <w:tcPr>
            <w:tcW w:w="2601" w:type="dxa"/>
            <w:tcBorders>
              <w:top w:val="single" w:color="auto" w:sz="4" w:space="0"/>
              <w:left w:val="single" w:color="auto" w:sz="4" w:space="0"/>
              <w:bottom w:val="single" w:color="auto" w:sz="4" w:space="0"/>
              <w:right w:val="single" w:color="auto" w:sz="4" w:space="0"/>
            </w:tcBorders>
          </w:tcPr>
          <w:p w14:paraId="3A0E88ED">
            <w:pPr>
              <w:widowControl/>
              <w:spacing w:line="500" w:lineRule="exact"/>
              <w:ind w:firstLine="482"/>
              <w:jc w:val="center"/>
              <w:rPr>
                <w:rFonts w:ascii="宋体" w:hAnsi="宋体" w:cs="宋体"/>
                <w:b/>
                <w:color w:val="auto"/>
                <w:sz w:val="24"/>
                <w:highlight w:val="none"/>
              </w:rPr>
            </w:pPr>
          </w:p>
        </w:tc>
        <w:tc>
          <w:tcPr>
            <w:tcW w:w="1618" w:type="dxa"/>
            <w:gridSpan w:val="3"/>
            <w:tcBorders>
              <w:top w:val="single" w:color="auto" w:sz="4" w:space="0"/>
              <w:left w:val="single" w:color="auto" w:sz="4" w:space="0"/>
              <w:bottom w:val="single" w:color="auto" w:sz="4" w:space="0"/>
              <w:right w:val="single" w:color="auto" w:sz="4" w:space="0"/>
            </w:tcBorders>
          </w:tcPr>
          <w:p w14:paraId="5FB2A348">
            <w:pPr>
              <w:widowControl/>
              <w:spacing w:line="500" w:lineRule="exact"/>
              <w:ind w:firstLine="482"/>
              <w:jc w:val="center"/>
              <w:rPr>
                <w:rFonts w:ascii="宋体" w:hAnsi="宋体" w:cs="宋体"/>
                <w:b/>
                <w:color w:val="auto"/>
                <w:sz w:val="24"/>
                <w:highlight w:val="none"/>
              </w:rPr>
            </w:pPr>
          </w:p>
        </w:tc>
      </w:tr>
      <w:tr w14:paraId="4A8CC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tcPr>
          <w:p w14:paraId="459EBBBE">
            <w:pPr>
              <w:widowControl/>
              <w:spacing w:line="500" w:lineRule="exact"/>
              <w:ind w:firstLine="482"/>
              <w:jc w:val="center"/>
              <w:rPr>
                <w:rFonts w:ascii="宋体" w:hAnsi="宋体" w:cs="宋体"/>
                <w:b/>
                <w:color w:val="auto"/>
                <w:sz w:val="24"/>
                <w:highlight w:val="none"/>
              </w:rPr>
            </w:pPr>
          </w:p>
        </w:tc>
        <w:tc>
          <w:tcPr>
            <w:tcW w:w="2601" w:type="dxa"/>
            <w:tcBorders>
              <w:top w:val="single" w:color="auto" w:sz="4" w:space="0"/>
              <w:left w:val="single" w:color="auto" w:sz="4" w:space="0"/>
              <w:bottom w:val="single" w:color="auto" w:sz="4" w:space="0"/>
              <w:right w:val="single" w:color="auto" w:sz="4" w:space="0"/>
            </w:tcBorders>
          </w:tcPr>
          <w:p w14:paraId="604C05CF">
            <w:pPr>
              <w:widowControl/>
              <w:spacing w:line="500" w:lineRule="exact"/>
              <w:ind w:firstLine="482"/>
              <w:jc w:val="center"/>
              <w:rPr>
                <w:rFonts w:ascii="宋体" w:hAnsi="宋体" w:cs="宋体"/>
                <w:b/>
                <w:color w:val="auto"/>
                <w:sz w:val="24"/>
                <w:highlight w:val="none"/>
              </w:rPr>
            </w:pPr>
          </w:p>
        </w:tc>
        <w:tc>
          <w:tcPr>
            <w:tcW w:w="1618" w:type="dxa"/>
            <w:gridSpan w:val="3"/>
            <w:tcBorders>
              <w:top w:val="single" w:color="auto" w:sz="4" w:space="0"/>
              <w:left w:val="single" w:color="auto" w:sz="4" w:space="0"/>
              <w:bottom w:val="single" w:color="auto" w:sz="4" w:space="0"/>
              <w:right w:val="single" w:color="auto" w:sz="4" w:space="0"/>
            </w:tcBorders>
          </w:tcPr>
          <w:p w14:paraId="48D744AF">
            <w:pPr>
              <w:widowControl/>
              <w:spacing w:line="500" w:lineRule="exact"/>
              <w:ind w:firstLine="482"/>
              <w:jc w:val="center"/>
              <w:rPr>
                <w:rFonts w:ascii="宋体" w:hAnsi="宋体" w:cs="宋体"/>
                <w:b/>
                <w:color w:val="auto"/>
                <w:sz w:val="24"/>
                <w:highlight w:val="none"/>
              </w:rPr>
            </w:pPr>
          </w:p>
        </w:tc>
      </w:tr>
      <w:tr w14:paraId="23DC7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640" w:type="dxa"/>
            <w:gridSpan w:val="8"/>
            <w:tcBorders>
              <w:top w:val="single" w:color="auto" w:sz="4" w:space="0"/>
              <w:left w:val="single" w:color="auto" w:sz="4" w:space="0"/>
              <w:bottom w:val="single" w:color="auto" w:sz="4" w:space="0"/>
              <w:right w:val="single" w:color="auto" w:sz="4" w:space="0"/>
            </w:tcBorders>
          </w:tcPr>
          <w:p w14:paraId="4D56DA91">
            <w:pPr>
              <w:widowControl/>
              <w:spacing w:line="500" w:lineRule="exact"/>
              <w:ind w:firstLine="482"/>
              <w:jc w:val="center"/>
              <w:rPr>
                <w:rFonts w:ascii="宋体" w:hAnsi="宋体" w:cs="宋体"/>
                <w:b/>
                <w:color w:val="auto"/>
                <w:sz w:val="24"/>
                <w:highlight w:val="none"/>
              </w:rPr>
            </w:pPr>
            <w:r>
              <w:rPr>
                <w:rFonts w:hint="eastAsia" w:ascii="宋体" w:hAnsi="宋体" w:cs="宋体"/>
                <w:b/>
                <w:color w:val="auto"/>
                <w:sz w:val="24"/>
                <w:highlight w:val="none"/>
              </w:rPr>
              <w:t>（四）拥有的相关认证</w:t>
            </w:r>
          </w:p>
        </w:tc>
      </w:tr>
      <w:tr w14:paraId="15F0B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tcPr>
          <w:p w14:paraId="7071BED5">
            <w:pPr>
              <w:widowControl/>
              <w:spacing w:line="500" w:lineRule="exact"/>
              <w:jc w:val="center"/>
              <w:rPr>
                <w:rFonts w:ascii="宋体" w:hAnsi="宋体" w:cs="宋体"/>
                <w:bCs/>
                <w:color w:val="auto"/>
                <w:sz w:val="24"/>
                <w:highlight w:val="none"/>
              </w:rPr>
            </w:pPr>
            <w:r>
              <w:rPr>
                <w:rFonts w:hint="eastAsia" w:ascii="宋体" w:hAnsi="宋体" w:cs="宋体"/>
                <w:bCs/>
                <w:color w:val="auto"/>
                <w:sz w:val="24"/>
                <w:highlight w:val="none"/>
              </w:rPr>
              <w:t>认证名称</w:t>
            </w:r>
          </w:p>
        </w:tc>
        <w:tc>
          <w:tcPr>
            <w:tcW w:w="2601" w:type="dxa"/>
            <w:tcBorders>
              <w:top w:val="single" w:color="auto" w:sz="4" w:space="0"/>
              <w:left w:val="single" w:color="auto" w:sz="4" w:space="0"/>
              <w:bottom w:val="single" w:color="auto" w:sz="4" w:space="0"/>
              <w:right w:val="single" w:color="auto" w:sz="4" w:space="0"/>
            </w:tcBorders>
          </w:tcPr>
          <w:p w14:paraId="129CCAC0">
            <w:pPr>
              <w:widowControl/>
              <w:spacing w:line="500" w:lineRule="exact"/>
              <w:jc w:val="center"/>
              <w:rPr>
                <w:rFonts w:ascii="宋体" w:hAnsi="宋体" w:cs="宋体"/>
                <w:color w:val="auto"/>
                <w:sz w:val="24"/>
                <w:highlight w:val="none"/>
              </w:rPr>
            </w:pPr>
            <w:r>
              <w:rPr>
                <w:rFonts w:hint="eastAsia" w:ascii="宋体" w:hAnsi="宋体" w:cs="宋体"/>
                <w:color w:val="auto"/>
                <w:sz w:val="24"/>
                <w:highlight w:val="none"/>
              </w:rPr>
              <w:t>发证单位</w:t>
            </w:r>
          </w:p>
        </w:tc>
        <w:tc>
          <w:tcPr>
            <w:tcW w:w="1618" w:type="dxa"/>
            <w:gridSpan w:val="3"/>
            <w:tcBorders>
              <w:top w:val="single" w:color="auto" w:sz="4" w:space="0"/>
              <w:left w:val="single" w:color="auto" w:sz="4" w:space="0"/>
              <w:bottom w:val="single" w:color="auto" w:sz="4" w:space="0"/>
              <w:right w:val="single" w:color="auto" w:sz="4" w:space="0"/>
            </w:tcBorders>
          </w:tcPr>
          <w:p w14:paraId="19C8FA4B">
            <w:pPr>
              <w:widowControl/>
              <w:spacing w:line="500" w:lineRule="exact"/>
              <w:jc w:val="center"/>
              <w:rPr>
                <w:rFonts w:ascii="宋体" w:hAnsi="宋体" w:cs="宋体"/>
                <w:color w:val="auto"/>
                <w:sz w:val="24"/>
                <w:highlight w:val="none"/>
              </w:rPr>
            </w:pPr>
            <w:r>
              <w:rPr>
                <w:rFonts w:hint="eastAsia" w:ascii="宋体" w:hAnsi="宋体" w:cs="宋体"/>
                <w:color w:val="auto"/>
                <w:sz w:val="24"/>
                <w:highlight w:val="none"/>
              </w:rPr>
              <w:t>获得时间</w:t>
            </w:r>
          </w:p>
        </w:tc>
      </w:tr>
      <w:tr w14:paraId="0C54C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tcPr>
          <w:p w14:paraId="744440B3">
            <w:pPr>
              <w:widowControl/>
              <w:spacing w:line="500" w:lineRule="exact"/>
              <w:jc w:val="center"/>
              <w:rPr>
                <w:rFonts w:ascii="宋体" w:hAnsi="宋体" w:cs="宋体"/>
                <w:bCs/>
                <w:color w:val="auto"/>
                <w:sz w:val="24"/>
                <w:highlight w:val="none"/>
              </w:rPr>
            </w:pPr>
          </w:p>
        </w:tc>
        <w:tc>
          <w:tcPr>
            <w:tcW w:w="2601" w:type="dxa"/>
            <w:tcBorders>
              <w:top w:val="single" w:color="auto" w:sz="4" w:space="0"/>
              <w:left w:val="single" w:color="auto" w:sz="4" w:space="0"/>
              <w:bottom w:val="single" w:color="auto" w:sz="4" w:space="0"/>
              <w:right w:val="single" w:color="auto" w:sz="4" w:space="0"/>
            </w:tcBorders>
          </w:tcPr>
          <w:p w14:paraId="6293993C">
            <w:pPr>
              <w:widowControl/>
              <w:spacing w:line="500" w:lineRule="exact"/>
              <w:jc w:val="center"/>
              <w:rPr>
                <w:rFonts w:ascii="宋体" w:hAnsi="宋体" w:cs="宋体"/>
                <w:color w:val="auto"/>
                <w:sz w:val="24"/>
                <w:highlight w:val="none"/>
              </w:rPr>
            </w:pPr>
          </w:p>
        </w:tc>
        <w:tc>
          <w:tcPr>
            <w:tcW w:w="1618" w:type="dxa"/>
            <w:gridSpan w:val="3"/>
            <w:tcBorders>
              <w:top w:val="single" w:color="auto" w:sz="4" w:space="0"/>
              <w:left w:val="single" w:color="auto" w:sz="4" w:space="0"/>
              <w:bottom w:val="single" w:color="auto" w:sz="4" w:space="0"/>
              <w:right w:val="single" w:color="auto" w:sz="4" w:space="0"/>
            </w:tcBorders>
          </w:tcPr>
          <w:p w14:paraId="26E73DFB">
            <w:pPr>
              <w:widowControl/>
              <w:spacing w:line="500" w:lineRule="exact"/>
              <w:jc w:val="center"/>
              <w:rPr>
                <w:rFonts w:ascii="宋体" w:hAnsi="宋体" w:cs="宋体"/>
                <w:color w:val="auto"/>
                <w:sz w:val="24"/>
                <w:highlight w:val="none"/>
              </w:rPr>
            </w:pPr>
          </w:p>
        </w:tc>
      </w:tr>
      <w:tr w14:paraId="60C6A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tcPr>
          <w:p w14:paraId="64CB09CA">
            <w:pPr>
              <w:widowControl/>
              <w:spacing w:line="500" w:lineRule="exact"/>
              <w:jc w:val="center"/>
              <w:rPr>
                <w:rFonts w:ascii="宋体" w:hAnsi="宋体" w:cs="宋体"/>
                <w:bCs/>
                <w:color w:val="auto"/>
                <w:sz w:val="24"/>
                <w:highlight w:val="none"/>
              </w:rPr>
            </w:pPr>
          </w:p>
        </w:tc>
        <w:tc>
          <w:tcPr>
            <w:tcW w:w="2601" w:type="dxa"/>
            <w:tcBorders>
              <w:top w:val="single" w:color="auto" w:sz="4" w:space="0"/>
              <w:left w:val="single" w:color="auto" w:sz="4" w:space="0"/>
              <w:bottom w:val="single" w:color="auto" w:sz="4" w:space="0"/>
              <w:right w:val="single" w:color="auto" w:sz="4" w:space="0"/>
            </w:tcBorders>
          </w:tcPr>
          <w:p w14:paraId="434AD089">
            <w:pPr>
              <w:widowControl/>
              <w:spacing w:line="500" w:lineRule="exact"/>
              <w:jc w:val="center"/>
              <w:rPr>
                <w:rFonts w:ascii="宋体" w:hAnsi="宋体" w:cs="宋体"/>
                <w:color w:val="auto"/>
                <w:sz w:val="24"/>
                <w:highlight w:val="none"/>
              </w:rPr>
            </w:pPr>
          </w:p>
        </w:tc>
        <w:tc>
          <w:tcPr>
            <w:tcW w:w="1618" w:type="dxa"/>
            <w:gridSpan w:val="3"/>
            <w:tcBorders>
              <w:top w:val="single" w:color="auto" w:sz="4" w:space="0"/>
              <w:left w:val="single" w:color="auto" w:sz="4" w:space="0"/>
              <w:bottom w:val="single" w:color="auto" w:sz="4" w:space="0"/>
              <w:right w:val="single" w:color="auto" w:sz="4" w:space="0"/>
            </w:tcBorders>
          </w:tcPr>
          <w:p w14:paraId="0AD7955D">
            <w:pPr>
              <w:widowControl/>
              <w:spacing w:line="500" w:lineRule="exact"/>
              <w:jc w:val="center"/>
              <w:rPr>
                <w:rFonts w:ascii="宋体" w:hAnsi="宋体" w:cs="宋体"/>
                <w:color w:val="auto"/>
                <w:sz w:val="24"/>
                <w:highlight w:val="none"/>
              </w:rPr>
            </w:pPr>
          </w:p>
        </w:tc>
      </w:tr>
      <w:tr w14:paraId="51332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tcPr>
          <w:p w14:paraId="5188A4A9">
            <w:pPr>
              <w:widowControl/>
              <w:spacing w:line="500" w:lineRule="exact"/>
              <w:jc w:val="center"/>
              <w:rPr>
                <w:rFonts w:ascii="宋体" w:hAnsi="宋体" w:cs="宋体"/>
                <w:bCs/>
                <w:color w:val="auto"/>
                <w:sz w:val="24"/>
                <w:highlight w:val="none"/>
              </w:rPr>
            </w:pPr>
          </w:p>
        </w:tc>
        <w:tc>
          <w:tcPr>
            <w:tcW w:w="2601" w:type="dxa"/>
            <w:tcBorders>
              <w:top w:val="single" w:color="auto" w:sz="4" w:space="0"/>
              <w:left w:val="single" w:color="auto" w:sz="4" w:space="0"/>
              <w:bottom w:val="single" w:color="auto" w:sz="4" w:space="0"/>
              <w:right w:val="single" w:color="auto" w:sz="4" w:space="0"/>
            </w:tcBorders>
          </w:tcPr>
          <w:p w14:paraId="61D9C384">
            <w:pPr>
              <w:widowControl/>
              <w:spacing w:line="500" w:lineRule="exact"/>
              <w:jc w:val="center"/>
              <w:rPr>
                <w:rFonts w:ascii="宋体" w:hAnsi="宋体" w:cs="宋体"/>
                <w:color w:val="auto"/>
                <w:sz w:val="24"/>
                <w:highlight w:val="none"/>
              </w:rPr>
            </w:pPr>
          </w:p>
        </w:tc>
        <w:tc>
          <w:tcPr>
            <w:tcW w:w="1618" w:type="dxa"/>
            <w:gridSpan w:val="3"/>
            <w:tcBorders>
              <w:top w:val="single" w:color="auto" w:sz="4" w:space="0"/>
              <w:left w:val="single" w:color="auto" w:sz="4" w:space="0"/>
              <w:bottom w:val="single" w:color="auto" w:sz="4" w:space="0"/>
              <w:right w:val="single" w:color="auto" w:sz="4" w:space="0"/>
            </w:tcBorders>
          </w:tcPr>
          <w:p w14:paraId="7FA90FD5">
            <w:pPr>
              <w:widowControl/>
              <w:spacing w:line="500" w:lineRule="exact"/>
              <w:jc w:val="center"/>
              <w:rPr>
                <w:rFonts w:ascii="宋体" w:hAnsi="宋体" w:cs="宋体"/>
                <w:color w:val="auto"/>
                <w:sz w:val="24"/>
                <w:highlight w:val="none"/>
              </w:rPr>
            </w:pPr>
          </w:p>
        </w:tc>
      </w:tr>
      <w:tr w14:paraId="70B24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640" w:type="dxa"/>
            <w:gridSpan w:val="8"/>
            <w:tcBorders>
              <w:top w:val="single" w:color="auto" w:sz="4" w:space="0"/>
              <w:left w:val="single" w:color="auto" w:sz="4" w:space="0"/>
              <w:bottom w:val="single" w:color="auto" w:sz="4" w:space="0"/>
              <w:right w:val="single" w:color="auto" w:sz="4" w:space="0"/>
            </w:tcBorders>
          </w:tcPr>
          <w:p w14:paraId="0E66B56A">
            <w:pPr>
              <w:widowControl/>
              <w:spacing w:line="500" w:lineRule="exact"/>
              <w:ind w:firstLine="482"/>
              <w:jc w:val="center"/>
              <w:rPr>
                <w:rFonts w:ascii="宋体" w:hAnsi="宋体" w:cs="宋体"/>
                <w:color w:val="auto"/>
                <w:sz w:val="24"/>
                <w:highlight w:val="none"/>
              </w:rPr>
            </w:pPr>
            <w:r>
              <w:rPr>
                <w:rFonts w:hint="eastAsia" w:ascii="宋体" w:hAnsi="宋体" w:cs="宋体"/>
                <w:b/>
                <w:color w:val="auto"/>
                <w:sz w:val="24"/>
                <w:highlight w:val="none"/>
              </w:rPr>
              <w:t>（五）曾获得的荣誉</w:t>
            </w:r>
          </w:p>
        </w:tc>
      </w:tr>
      <w:tr w14:paraId="0BD8D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tcPr>
          <w:p w14:paraId="11157A18">
            <w:pPr>
              <w:widowControl/>
              <w:spacing w:line="500" w:lineRule="exact"/>
              <w:jc w:val="center"/>
              <w:rPr>
                <w:rFonts w:ascii="宋体" w:hAnsi="宋体" w:cs="宋体"/>
                <w:bCs/>
                <w:color w:val="auto"/>
                <w:sz w:val="24"/>
                <w:highlight w:val="none"/>
              </w:rPr>
            </w:pPr>
            <w:r>
              <w:rPr>
                <w:rFonts w:hint="eastAsia" w:ascii="宋体" w:hAnsi="宋体" w:cs="宋体"/>
                <w:bCs/>
                <w:color w:val="auto"/>
                <w:sz w:val="24"/>
                <w:highlight w:val="none"/>
              </w:rPr>
              <w:t>荣誉名称</w:t>
            </w:r>
          </w:p>
        </w:tc>
        <w:tc>
          <w:tcPr>
            <w:tcW w:w="2601" w:type="dxa"/>
            <w:tcBorders>
              <w:top w:val="single" w:color="auto" w:sz="4" w:space="0"/>
              <w:left w:val="single" w:color="auto" w:sz="4" w:space="0"/>
              <w:bottom w:val="single" w:color="auto" w:sz="4" w:space="0"/>
              <w:right w:val="single" w:color="auto" w:sz="4" w:space="0"/>
            </w:tcBorders>
          </w:tcPr>
          <w:p w14:paraId="0E99A2BB">
            <w:pPr>
              <w:widowControl/>
              <w:spacing w:line="500" w:lineRule="exact"/>
              <w:jc w:val="center"/>
              <w:rPr>
                <w:rFonts w:ascii="宋体" w:hAnsi="宋体" w:cs="宋体"/>
                <w:color w:val="auto"/>
                <w:sz w:val="24"/>
                <w:highlight w:val="none"/>
              </w:rPr>
            </w:pPr>
            <w:r>
              <w:rPr>
                <w:rFonts w:hint="eastAsia" w:ascii="宋体" w:hAnsi="宋体" w:cs="宋体"/>
                <w:color w:val="auto"/>
                <w:sz w:val="24"/>
                <w:highlight w:val="none"/>
              </w:rPr>
              <w:t>发证单位</w:t>
            </w:r>
          </w:p>
        </w:tc>
        <w:tc>
          <w:tcPr>
            <w:tcW w:w="1618" w:type="dxa"/>
            <w:gridSpan w:val="3"/>
            <w:tcBorders>
              <w:top w:val="single" w:color="auto" w:sz="4" w:space="0"/>
              <w:left w:val="single" w:color="auto" w:sz="4" w:space="0"/>
              <w:bottom w:val="single" w:color="auto" w:sz="4" w:space="0"/>
              <w:right w:val="single" w:color="auto" w:sz="4" w:space="0"/>
            </w:tcBorders>
          </w:tcPr>
          <w:p w14:paraId="3E606B9B">
            <w:pPr>
              <w:widowControl/>
              <w:spacing w:line="500" w:lineRule="exact"/>
              <w:jc w:val="center"/>
              <w:rPr>
                <w:rFonts w:ascii="宋体" w:hAnsi="宋体" w:cs="宋体"/>
                <w:color w:val="auto"/>
                <w:sz w:val="24"/>
                <w:highlight w:val="none"/>
              </w:rPr>
            </w:pPr>
            <w:r>
              <w:rPr>
                <w:rFonts w:hint="eastAsia" w:ascii="宋体" w:hAnsi="宋体" w:cs="宋体"/>
                <w:color w:val="auto"/>
                <w:sz w:val="24"/>
                <w:highlight w:val="none"/>
              </w:rPr>
              <w:t>获得时间</w:t>
            </w:r>
          </w:p>
        </w:tc>
      </w:tr>
      <w:tr w14:paraId="3740B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tcPr>
          <w:p w14:paraId="11A3D6B4">
            <w:pPr>
              <w:widowControl/>
              <w:spacing w:line="500" w:lineRule="exact"/>
              <w:jc w:val="center"/>
              <w:rPr>
                <w:rFonts w:ascii="宋体" w:hAnsi="宋体" w:cs="宋体"/>
                <w:bCs/>
                <w:color w:val="auto"/>
                <w:sz w:val="24"/>
                <w:highlight w:val="none"/>
              </w:rPr>
            </w:pPr>
          </w:p>
        </w:tc>
        <w:tc>
          <w:tcPr>
            <w:tcW w:w="2601" w:type="dxa"/>
            <w:tcBorders>
              <w:top w:val="single" w:color="auto" w:sz="4" w:space="0"/>
              <w:left w:val="single" w:color="auto" w:sz="4" w:space="0"/>
              <w:bottom w:val="single" w:color="auto" w:sz="4" w:space="0"/>
              <w:right w:val="single" w:color="auto" w:sz="4" w:space="0"/>
            </w:tcBorders>
          </w:tcPr>
          <w:p w14:paraId="09B7BC0C">
            <w:pPr>
              <w:widowControl/>
              <w:spacing w:line="500" w:lineRule="exact"/>
              <w:jc w:val="center"/>
              <w:rPr>
                <w:rFonts w:ascii="宋体" w:hAnsi="宋体" w:cs="宋体"/>
                <w:color w:val="auto"/>
                <w:sz w:val="24"/>
                <w:highlight w:val="none"/>
              </w:rPr>
            </w:pPr>
          </w:p>
        </w:tc>
        <w:tc>
          <w:tcPr>
            <w:tcW w:w="1618" w:type="dxa"/>
            <w:gridSpan w:val="3"/>
            <w:tcBorders>
              <w:top w:val="single" w:color="auto" w:sz="4" w:space="0"/>
              <w:left w:val="single" w:color="auto" w:sz="4" w:space="0"/>
              <w:bottom w:val="single" w:color="auto" w:sz="4" w:space="0"/>
              <w:right w:val="single" w:color="auto" w:sz="4" w:space="0"/>
            </w:tcBorders>
          </w:tcPr>
          <w:p w14:paraId="45BC5753">
            <w:pPr>
              <w:widowControl/>
              <w:spacing w:line="500" w:lineRule="exact"/>
              <w:jc w:val="center"/>
              <w:rPr>
                <w:rFonts w:ascii="宋体" w:hAnsi="宋体" w:cs="宋体"/>
                <w:color w:val="auto"/>
                <w:sz w:val="24"/>
                <w:highlight w:val="none"/>
              </w:rPr>
            </w:pPr>
          </w:p>
        </w:tc>
      </w:tr>
      <w:tr w14:paraId="625BB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tcPr>
          <w:p w14:paraId="08FA1DCE">
            <w:pPr>
              <w:widowControl/>
              <w:spacing w:line="500" w:lineRule="exact"/>
              <w:jc w:val="center"/>
              <w:rPr>
                <w:rFonts w:ascii="宋体" w:hAnsi="宋体" w:cs="宋体"/>
                <w:bCs/>
                <w:color w:val="auto"/>
                <w:sz w:val="24"/>
                <w:highlight w:val="none"/>
              </w:rPr>
            </w:pPr>
          </w:p>
        </w:tc>
        <w:tc>
          <w:tcPr>
            <w:tcW w:w="2601" w:type="dxa"/>
            <w:tcBorders>
              <w:top w:val="single" w:color="auto" w:sz="4" w:space="0"/>
              <w:left w:val="single" w:color="auto" w:sz="4" w:space="0"/>
              <w:bottom w:val="single" w:color="auto" w:sz="4" w:space="0"/>
              <w:right w:val="single" w:color="auto" w:sz="4" w:space="0"/>
            </w:tcBorders>
          </w:tcPr>
          <w:p w14:paraId="4CEAD3B7">
            <w:pPr>
              <w:widowControl/>
              <w:spacing w:line="500" w:lineRule="exact"/>
              <w:jc w:val="center"/>
              <w:rPr>
                <w:rFonts w:ascii="宋体" w:hAnsi="宋体" w:cs="宋体"/>
                <w:color w:val="auto"/>
                <w:sz w:val="24"/>
                <w:highlight w:val="none"/>
              </w:rPr>
            </w:pPr>
          </w:p>
        </w:tc>
        <w:tc>
          <w:tcPr>
            <w:tcW w:w="1618" w:type="dxa"/>
            <w:gridSpan w:val="3"/>
            <w:tcBorders>
              <w:top w:val="single" w:color="auto" w:sz="4" w:space="0"/>
              <w:left w:val="single" w:color="auto" w:sz="4" w:space="0"/>
              <w:bottom w:val="single" w:color="auto" w:sz="4" w:space="0"/>
              <w:right w:val="single" w:color="auto" w:sz="4" w:space="0"/>
            </w:tcBorders>
          </w:tcPr>
          <w:p w14:paraId="46787B05">
            <w:pPr>
              <w:widowControl/>
              <w:spacing w:line="500" w:lineRule="exact"/>
              <w:jc w:val="center"/>
              <w:rPr>
                <w:rFonts w:ascii="宋体" w:hAnsi="宋体" w:cs="宋体"/>
                <w:color w:val="auto"/>
                <w:sz w:val="24"/>
                <w:highlight w:val="none"/>
              </w:rPr>
            </w:pPr>
          </w:p>
        </w:tc>
      </w:tr>
      <w:tr w14:paraId="081E9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640" w:type="dxa"/>
            <w:gridSpan w:val="8"/>
            <w:tcBorders>
              <w:top w:val="single" w:color="auto" w:sz="4" w:space="0"/>
              <w:left w:val="single" w:color="auto" w:sz="4" w:space="0"/>
              <w:bottom w:val="single" w:color="auto" w:sz="4" w:space="0"/>
              <w:right w:val="single" w:color="auto" w:sz="4" w:space="0"/>
            </w:tcBorders>
          </w:tcPr>
          <w:p w14:paraId="68373C50">
            <w:pPr>
              <w:widowControl/>
              <w:spacing w:line="500" w:lineRule="exact"/>
              <w:ind w:firstLine="482"/>
              <w:jc w:val="center"/>
              <w:rPr>
                <w:rFonts w:ascii="宋体" w:hAnsi="宋体" w:cs="宋体"/>
                <w:color w:val="auto"/>
                <w:sz w:val="24"/>
                <w:highlight w:val="none"/>
              </w:rPr>
            </w:pPr>
            <w:r>
              <w:rPr>
                <w:rFonts w:hint="eastAsia" w:ascii="宋体" w:hAnsi="宋体" w:cs="宋体"/>
                <w:b/>
                <w:color w:val="auto"/>
                <w:sz w:val="24"/>
                <w:highlight w:val="none"/>
              </w:rPr>
              <w:t>（六）企业优势描述及需要说明的其他情况</w:t>
            </w:r>
          </w:p>
        </w:tc>
      </w:tr>
      <w:tr w14:paraId="7F48D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8640" w:type="dxa"/>
            <w:gridSpan w:val="8"/>
            <w:tcBorders>
              <w:top w:val="single" w:color="auto" w:sz="4" w:space="0"/>
              <w:left w:val="single" w:color="auto" w:sz="4" w:space="0"/>
              <w:bottom w:val="single" w:color="auto" w:sz="4" w:space="0"/>
              <w:right w:val="single" w:color="auto" w:sz="4" w:space="0"/>
            </w:tcBorders>
          </w:tcPr>
          <w:p w14:paraId="074823A6">
            <w:pPr>
              <w:widowControl/>
              <w:spacing w:line="500" w:lineRule="exact"/>
              <w:ind w:firstLine="482"/>
              <w:rPr>
                <w:rFonts w:ascii="宋体" w:hAnsi="宋体" w:cs="宋体"/>
                <w:b/>
                <w:color w:val="auto"/>
                <w:sz w:val="24"/>
                <w:highlight w:val="none"/>
              </w:rPr>
            </w:pPr>
            <w:r>
              <w:rPr>
                <w:rFonts w:hint="eastAsia" w:ascii="宋体" w:hAnsi="宋体" w:cs="宋体"/>
                <w:b/>
                <w:color w:val="auto"/>
                <w:sz w:val="24"/>
                <w:highlight w:val="none"/>
              </w:rPr>
              <w:t xml:space="preserve"> </w:t>
            </w:r>
          </w:p>
          <w:p w14:paraId="57D86E1A">
            <w:pPr>
              <w:widowControl/>
              <w:spacing w:line="500" w:lineRule="exact"/>
              <w:ind w:firstLine="482"/>
              <w:rPr>
                <w:rFonts w:ascii="宋体" w:hAnsi="宋体" w:cs="宋体"/>
                <w:b/>
                <w:color w:val="auto"/>
                <w:sz w:val="24"/>
                <w:highlight w:val="none"/>
              </w:rPr>
            </w:pPr>
          </w:p>
          <w:p w14:paraId="55855C83">
            <w:pPr>
              <w:widowControl/>
              <w:spacing w:line="500" w:lineRule="exact"/>
              <w:ind w:firstLine="482"/>
              <w:rPr>
                <w:rFonts w:ascii="宋体" w:hAnsi="宋体" w:cs="宋体"/>
                <w:b/>
                <w:color w:val="auto"/>
                <w:sz w:val="24"/>
                <w:highlight w:val="none"/>
              </w:rPr>
            </w:pPr>
          </w:p>
        </w:tc>
      </w:tr>
      <w:tr w14:paraId="7B333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640" w:type="dxa"/>
            <w:gridSpan w:val="8"/>
            <w:tcBorders>
              <w:top w:val="single" w:color="auto" w:sz="4" w:space="0"/>
              <w:left w:val="single" w:color="auto" w:sz="4" w:space="0"/>
              <w:bottom w:val="single" w:color="auto" w:sz="4" w:space="0"/>
              <w:right w:val="single" w:color="auto" w:sz="4" w:space="0"/>
            </w:tcBorders>
          </w:tcPr>
          <w:p w14:paraId="3B79B65E">
            <w:pPr>
              <w:widowControl/>
              <w:spacing w:line="500" w:lineRule="exact"/>
              <w:ind w:firstLine="482"/>
              <w:jc w:val="center"/>
              <w:rPr>
                <w:rFonts w:ascii="宋体" w:hAnsi="宋体" w:cs="宋体"/>
                <w:b/>
                <w:color w:val="auto"/>
                <w:sz w:val="24"/>
                <w:highlight w:val="none"/>
              </w:rPr>
            </w:pPr>
            <w:r>
              <w:rPr>
                <w:rFonts w:hint="eastAsia" w:ascii="宋体" w:hAnsi="宋体" w:cs="宋体"/>
                <w:b/>
                <w:color w:val="auto"/>
                <w:sz w:val="24"/>
                <w:highlight w:val="none"/>
              </w:rPr>
              <w:t>（七）与本企业法定代表人为同一人的单位情况</w:t>
            </w:r>
          </w:p>
        </w:tc>
      </w:tr>
      <w:tr w14:paraId="722DD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tcPr>
          <w:p w14:paraId="0ECA2CC2">
            <w:pPr>
              <w:widowControl/>
              <w:spacing w:line="500" w:lineRule="exact"/>
              <w:jc w:val="center"/>
              <w:rPr>
                <w:rFonts w:ascii="宋体" w:hAnsi="宋体" w:cs="宋体"/>
                <w:bCs/>
                <w:color w:val="auto"/>
                <w:sz w:val="24"/>
                <w:highlight w:val="none"/>
              </w:rPr>
            </w:pPr>
            <w:r>
              <w:rPr>
                <w:rFonts w:hint="eastAsia" w:ascii="宋体" w:hAnsi="宋体" w:cs="宋体"/>
                <w:bCs/>
                <w:color w:val="auto"/>
                <w:sz w:val="24"/>
                <w:highlight w:val="none"/>
              </w:rPr>
              <w:t>企业名称</w:t>
            </w:r>
          </w:p>
        </w:tc>
        <w:tc>
          <w:tcPr>
            <w:tcW w:w="2748" w:type="dxa"/>
            <w:gridSpan w:val="3"/>
            <w:tcBorders>
              <w:top w:val="single" w:color="auto" w:sz="4" w:space="0"/>
              <w:left w:val="single" w:color="auto" w:sz="4" w:space="0"/>
              <w:bottom w:val="single" w:color="auto" w:sz="4" w:space="0"/>
              <w:right w:val="single" w:color="auto" w:sz="4" w:space="0"/>
            </w:tcBorders>
          </w:tcPr>
          <w:p w14:paraId="47D26D03">
            <w:pPr>
              <w:widowControl/>
              <w:spacing w:line="500" w:lineRule="exact"/>
              <w:jc w:val="center"/>
              <w:rPr>
                <w:rFonts w:ascii="宋体" w:hAnsi="宋体" w:cs="宋体"/>
                <w:color w:val="auto"/>
                <w:sz w:val="24"/>
                <w:highlight w:val="none"/>
              </w:rPr>
            </w:pPr>
            <w:r>
              <w:rPr>
                <w:rFonts w:hint="eastAsia" w:ascii="宋体" w:hAnsi="宋体" w:cs="宋体"/>
                <w:color w:val="auto"/>
                <w:sz w:val="24"/>
                <w:highlight w:val="none"/>
              </w:rPr>
              <w:t>成立时间</w:t>
            </w:r>
          </w:p>
        </w:tc>
        <w:tc>
          <w:tcPr>
            <w:tcW w:w="1471" w:type="dxa"/>
            <w:tcBorders>
              <w:top w:val="single" w:color="auto" w:sz="4" w:space="0"/>
              <w:left w:val="single" w:color="auto" w:sz="4" w:space="0"/>
              <w:bottom w:val="single" w:color="auto" w:sz="4" w:space="0"/>
              <w:right w:val="single" w:color="auto" w:sz="4" w:space="0"/>
            </w:tcBorders>
          </w:tcPr>
          <w:p w14:paraId="46A32510">
            <w:pPr>
              <w:widowControl/>
              <w:spacing w:line="500" w:lineRule="exact"/>
              <w:jc w:val="center"/>
              <w:rPr>
                <w:rFonts w:ascii="宋体" w:hAnsi="宋体" w:cs="宋体"/>
                <w:color w:val="auto"/>
                <w:sz w:val="24"/>
                <w:highlight w:val="none"/>
              </w:rPr>
            </w:pPr>
            <w:r>
              <w:rPr>
                <w:rFonts w:hint="eastAsia" w:ascii="宋体" w:hAnsi="宋体" w:cs="宋体"/>
                <w:color w:val="auto"/>
                <w:sz w:val="24"/>
                <w:highlight w:val="none"/>
              </w:rPr>
              <w:t>法定代表人</w:t>
            </w:r>
          </w:p>
        </w:tc>
      </w:tr>
      <w:tr w14:paraId="4B534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tcPr>
          <w:p w14:paraId="27BBEE47">
            <w:pPr>
              <w:widowControl/>
              <w:spacing w:line="500" w:lineRule="exact"/>
              <w:ind w:firstLine="482"/>
              <w:jc w:val="center"/>
              <w:rPr>
                <w:rFonts w:ascii="宋体" w:hAnsi="宋体" w:cs="宋体"/>
                <w:b/>
                <w:color w:val="auto"/>
                <w:sz w:val="24"/>
                <w:highlight w:val="none"/>
              </w:rPr>
            </w:pPr>
          </w:p>
        </w:tc>
        <w:tc>
          <w:tcPr>
            <w:tcW w:w="2748" w:type="dxa"/>
            <w:gridSpan w:val="3"/>
            <w:tcBorders>
              <w:top w:val="single" w:color="auto" w:sz="4" w:space="0"/>
              <w:left w:val="single" w:color="auto" w:sz="4" w:space="0"/>
              <w:bottom w:val="single" w:color="auto" w:sz="4" w:space="0"/>
              <w:right w:val="single" w:color="auto" w:sz="4" w:space="0"/>
            </w:tcBorders>
          </w:tcPr>
          <w:p w14:paraId="65EC32BB">
            <w:pPr>
              <w:widowControl/>
              <w:spacing w:line="500" w:lineRule="exact"/>
              <w:ind w:firstLine="482"/>
              <w:jc w:val="center"/>
              <w:rPr>
                <w:rFonts w:ascii="宋体" w:hAnsi="宋体" w:cs="宋体"/>
                <w:b/>
                <w:color w:val="auto"/>
                <w:sz w:val="24"/>
                <w:highlight w:val="none"/>
              </w:rPr>
            </w:pPr>
          </w:p>
        </w:tc>
        <w:tc>
          <w:tcPr>
            <w:tcW w:w="1471" w:type="dxa"/>
            <w:tcBorders>
              <w:top w:val="single" w:color="auto" w:sz="4" w:space="0"/>
              <w:left w:val="single" w:color="auto" w:sz="4" w:space="0"/>
              <w:bottom w:val="single" w:color="auto" w:sz="4" w:space="0"/>
              <w:right w:val="single" w:color="auto" w:sz="4" w:space="0"/>
            </w:tcBorders>
          </w:tcPr>
          <w:p w14:paraId="1DAE3A63">
            <w:pPr>
              <w:widowControl/>
              <w:spacing w:line="500" w:lineRule="exact"/>
              <w:ind w:firstLine="482"/>
              <w:jc w:val="center"/>
              <w:rPr>
                <w:rFonts w:ascii="宋体" w:hAnsi="宋体" w:cs="宋体"/>
                <w:b/>
                <w:color w:val="auto"/>
                <w:sz w:val="24"/>
                <w:highlight w:val="none"/>
              </w:rPr>
            </w:pPr>
          </w:p>
        </w:tc>
      </w:tr>
      <w:tr w14:paraId="1DDC5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tcPr>
          <w:p w14:paraId="6FAC6A1D">
            <w:pPr>
              <w:widowControl/>
              <w:spacing w:line="500" w:lineRule="exact"/>
              <w:ind w:firstLine="482"/>
              <w:jc w:val="center"/>
              <w:rPr>
                <w:rFonts w:ascii="宋体" w:hAnsi="宋体" w:cs="宋体"/>
                <w:b/>
                <w:color w:val="auto"/>
                <w:sz w:val="24"/>
                <w:highlight w:val="none"/>
              </w:rPr>
            </w:pPr>
          </w:p>
        </w:tc>
        <w:tc>
          <w:tcPr>
            <w:tcW w:w="2748" w:type="dxa"/>
            <w:gridSpan w:val="3"/>
            <w:tcBorders>
              <w:top w:val="single" w:color="auto" w:sz="4" w:space="0"/>
              <w:left w:val="single" w:color="auto" w:sz="4" w:space="0"/>
              <w:bottom w:val="single" w:color="auto" w:sz="4" w:space="0"/>
              <w:right w:val="single" w:color="auto" w:sz="4" w:space="0"/>
            </w:tcBorders>
          </w:tcPr>
          <w:p w14:paraId="2FA86C6F">
            <w:pPr>
              <w:widowControl/>
              <w:spacing w:line="500" w:lineRule="exact"/>
              <w:ind w:firstLine="482"/>
              <w:jc w:val="center"/>
              <w:rPr>
                <w:rFonts w:ascii="宋体" w:hAnsi="宋体" w:cs="宋体"/>
                <w:b/>
                <w:color w:val="auto"/>
                <w:sz w:val="24"/>
                <w:highlight w:val="none"/>
              </w:rPr>
            </w:pPr>
          </w:p>
        </w:tc>
        <w:tc>
          <w:tcPr>
            <w:tcW w:w="1471" w:type="dxa"/>
            <w:tcBorders>
              <w:top w:val="single" w:color="auto" w:sz="4" w:space="0"/>
              <w:left w:val="single" w:color="auto" w:sz="4" w:space="0"/>
              <w:bottom w:val="single" w:color="auto" w:sz="4" w:space="0"/>
              <w:right w:val="single" w:color="auto" w:sz="4" w:space="0"/>
            </w:tcBorders>
          </w:tcPr>
          <w:p w14:paraId="19BAB133">
            <w:pPr>
              <w:widowControl/>
              <w:spacing w:line="500" w:lineRule="exact"/>
              <w:ind w:firstLine="482"/>
              <w:jc w:val="center"/>
              <w:rPr>
                <w:rFonts w:ascii="宋体" w:hAnsi="宋体" w:cs="宋体"/>
                <w:b/>
                <w:color w:val="auto"/>
                <w:sz w:val="24"/>
                <w:highlight w:val="none"/>
              </w:rPr>
            </w:pPr>
          </w:p>
        </w:tc>
      </w:tr>
      <w:tr w14:paraId="126E5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tcPr>
          <w:p w14:paraId="0847B85D">
            <w:pPr>
              <w:widowControl/>
              <w:spacing w:line="500" w:lineRule="exact"/>
              <w:ind w:firstLine="482"/>
              <w:jc w:val="center"/>
              <w:rPr>
                <w:rFonts w:ascii="宋体" w:hAnsi="宋体" w:cs="宋体"/>
                <w:b/>
                <w:color w:val="auto"/>
                <w:sz w:val="24"/>
                <w:highlight w:val="none"/>
              </w:rPr>
            </w:pPr>
          </w:p>
        </w:tc>
        <w:tc>
          <w:tcPr>
            <w:tcW w:w="2748" w:type="dxa"/>
            <w:gridSpan w:val="3"/>
            <w:tcBorders>
              <w:top w:val="single" w:color="auto" w:sz="4" w:space="0"/>
              <w:left w:val="single" w:color="auto" w:sz="4" w:space="0"/>
              <w:bottom w:val="single" w:color="auto" w:sz="4" w:space="0"/>
              <w:right w:val="single" w:color="auto" w:sz="4" w:space="0"/>
            </w:tcBorders>
          </w:tcPr>
          <w:p w14:paraId="2EDDFEAB">
            <w:pPr>
              <w:widowControl/>
              <w:spacing w:line="500" w:lineRule="exact"/>
              <w:ind w:firstLine="482"/>
              <w:jc w:val="center"/>
              <w:rPr>
                <w:rFonts w:ascii="宋体" w:hAnsi="宋体" w:cs="宋体"/>
                <w:b/>
                <w:color w:val="auto"/>
                <w:sz w:val="24"/>
                <w:highlight w:val="none"/>
              </w:rPr>
            </w:pPr>
          </w:p>
        </w:tc>
        <w:tc>
          <w:tcPr>
            <w:tcW w:w="1471" w:type="dxa"/>
            <w:tcBorders>
              <w:top w:val="single" w:color="auto" w:sz="4" w:space="0"/>
              <w:left w:val="single" w:color="auto" w:sz="4" w:space="0"/>
              <w:bottom w:val="single" w:color="auto" w:sz="4" w:space="0"/>
              <w:right w:val="single" w:color="auto" w:sz="4" w:space="0"/>
            </w:tcBorders>
          </w:tcPr>
          <w:p w14:paraId="42E467E7">
            <w:pPr>
              <w:widowControl/>
              <w:spacing w:line="500" w:lineRule="exact"/>
              <w:ind w:firstLine="482"/>
              <w:jc w:val="center"/>
              <w:rPr>
                <w:rFonts w:ascii="宋体" w:hAnsi="宋体" w:cs="宋体"/>
                <w:b/>
                <w:color w:val="auto"/>
                <w:sz w:val="24"/>
                <w:highlight w:val="none"/>
              </w:rPr>
            </w:pPr>
          </w:p>
        </w:tc>
      </w:tr>
      <w:tr w14:paraId="10F20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640" w:type="dxa"/>
            <w:gridSpan w:val="8"/>
            <w:tcBorders>
              <w:top w:val="single" w:color="auto" w:sz="4" w:space="0"/>
              <w:left w:val="single" w:color="auto" w:sz="4" w:space="0"/>
              <w:bottom w:val="single" w:color="auto" w:sz="4" w:space="0"/>
              <w:right w:val="single" w:color="auto" w:sz="4" w:space="0"/>
            </w:tcBorders>
          </w:tcPr>
          <w:p w14:paraId="3F8D2BB4">
            <w:pPr>
              <w:widowControl/>
              <w:spacing w:line="500" w:lineRule="exact"/>
              <w:ind w:firstLine="482"/>
              <w:jc w:val="center"/>
              <w:rPr>
                <w:rFonts w:ascii="宋体" w:hAnsi="宋体" w:cs="宋体"/>
                <w:b/>
                <w:color w:val="auto"/>
                <w:sz w:val="24"/>
                <w:highlight w:val="none"/>
              </w:rPr>
            </w:pPr>
            <w:r>
              <w:rPr>
                <w:rFonts w:hint="eastAsia" w:ascii="宋体" w:hAnsi="宋体" w:cs="宋体"/>
                <w:b/>
                <w:color w:val="auto"/>
                <w:sz w:val="24"/>
                <w:highlight w:val="none"/>
              </w:rPr>
              <w:t>（八）与本企业存在直接控股关系的单位情况</w:t>
            </w:r>
          </w:p>
        </w:tc>
      </w:tr>
      <w:tr w14:paraId="3CB03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tcPr>
          <w:p w14:paraId="0D7E723B">
            <w:pPr>
              <w:widowControl/>
              <w:spacing w:line="500" w:lineRule="exact"/>
              <w:jc w:val="center"/>
              <w:rPr>
                <w:rFonts w:ascii="宋体" w:hAnsi="宋体" w:cs="宋体"/>
                <w:bCs/>
                <w:color w:val="auto"/>
                <w:sz w:val="24"/>
                <w:highlight w:val="none"/>
              </w:rPr>
            </w:pPr>
            <w:r>
              <w:rPr>
                <w:rFonts w:hint="eastAsia" w:ascii="宋体" w:hAnsi="宋体" w:cs="宋体"/>
                <w:bCs/>
                <w:color w:val="auto"/>
                <w:sz w:val="24"/>
                <w:highlight w:val="none"/>
              </w:rPr>
              <w:t>企业名称</w:t>
            </w:r>
          </w:p>
        </w:tc>
        <w:tc>
          <w:tcPr>
            <w:tcW w:w="2707" w:type="dxa"/>
            <w:gridSpan w:val="2"/>
            <w:tcBorders>
              <w:top w:val="single" w:color="auto" w:sz="4" w:space="0"/>
              <w:left w:val="single" w:color="auto" w:sz="4" w:space="0"/>
              <w:bottom w:val="single" w:color="auto" w:sz="4" w:space="0"/>
              <w:right w:val="single" w:color="auto" w:sz="4" w:space="0"/>
            </w:tcBorders>
          </w:tcPr>
          <w:p w14:paraId="445FF02F">
            <w:pPr>
              <w:widowControl/>
              <w:spacing w:line="500" w:lineRule="exact"/>
              <w:jc w:val="center"/>
              <w:rPr>
                <w:rFonts w:ascii="宋体" w:hAnsi="宋体" w:cs="宋体"/>
                <w:color w:val="auto"/>
                <w:sz w:val="24"/>
                <w:highlight w:val="none"/>
              </w:rPr>
            </w:pPr>
            <w:r>
              <w:rPr>
                <w:rFonts w:hint="eastAsia" w:ascii="宋体" w:hAnsi="宋体" w:cs="宋体"/>
                <w:color w:val="auto"/>
                <w:sz w:val="24"/>
                <w:highlight w:val="none"/>
              </w:rPr>
              <w:t>成立时间</w:t>
            </w:r>
          </w:p>
        </w:tc>
        <w:tc>
          <w:tcPr>
            <w:tcW w:w="1512" w:type="dxa"/>
            <w:gridSpan w:val="2"/>
            <w:tcBorders>
              <w:top w:val="single" w:color="auto" w:sz="4" w:space="0"/>
              <w:left w:val="single" w:color="auto" w:sz="4" w:space="0"/>
              <w:bottom w:val="single" w:color="auto" w:sz="4" w:space="0"/>
              <w:right w:val="single" w:color="auto" w:sz="4" w:space="0"/>
            </w:tcBorders>
          </w:tcPr>
          <w:p w14:paraId="31314D72">
            <w:pPr>
              <w:widowControl/>
              <w:spacing w:line="500" w:lineRule="exact"/>
              <w:jc w:val="center"/>
              <w:rPr>
                <w:rFonts w:ascii="宋体" w:hAnsi="宋体" w:cs="宋体"/>
                <w:color w:val="auto"/>
                <w:sz w:val="24"/>
                <w:highlight w:val="none"/>
              </w:rPr>
            </w:pPr>
            <w:r>
              <w:rPr>
                <w:rFonts w:hint="eastAsia" w:ascii="宋体" w:hAnsi="宋体" w:cs="宋体"/>
                <w:color w:val="auto"/>
                <w:sz w:val="24"/>
                <w:highlight w:val="none"/>
              </w:rPr>
              <w:t>关系说明</w:t>
            </w:r>
          </w:p>
        </w:tc>
      </w:tr>
      <w:tr w14:paraId="1FD69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tcPr>
          <w:p w14:paraId="1D982932">
            <w:pPr>
              <w:widowControl/>
              <w:spacing w:line="500" w:lineRule="exact"/>
              <w:ind w:firstLine="482"/>
              <w:jc w:val="center"/>
              <w:rPr>
                <w:rFonts w:ascii="宋体" w:hAnsi="宋体" w:cs="宋体"/>
                <w:b/>
                <w:color w:val="auto"/>
                <w:sz w:val="24"/>
                <w:highlight w:val="none"/>
              </w:rPr>
            </w:pPr>
          </w:p>
        </w:tc>
        <w:tc>
          <w:tcPr>
            <w:tcW w:w="2707" w:type="dxa"/>
            <w:gridSpan w:val="2"/>
            <w:tcBorders>
              <w:top w:val="single" w:color="auto" w:sz="4" w:space="0"/>
              <w:left w:val="single" w:color="auto" w:sz="4" w:space="0"/>
              <w:bottom w:val="single" w:color="auto" w:sz="4" w:space="0"/>
              <w:right w:val="single" w:color="auto" w:sz="4" w:space="0"/>
            </w:tcBorders>
          </w:tcPr>
          <w:p w14:paraId="485E928A">
            <w:pPr>
              <w:widowControl/>
              <w:spacing w:line="500" w:lineRule="exact"/>
              <w:ind w:firstLine="482"/>
              <w:jc w:val="center"/>
              <w:rPr>
                <w:rFonts w:ascii="宋体" w:hAnsi="宋体" w:cs="宋体"/>
                <w:b/>
                <w:color w:val="auto"/>
                <w:sz w:val="24"/>
                <w:highlight w:val="none"/>
              </w:rPr>
            </w:pPr>
          </w:p>
        </w:tc>
        <w:tc>
          <w:tcPr>
            <w:tcW w:w="1512" w:type="dxa"/>
            <w:gridSpan w:val="2"/>
            <w:tcBorders>
              <w:top w:val="single" w:color="auto" w:sz="4" w:space="0"/>
              <w:left w:val="single" w:color="auto" w:sz="4" w:space="0"/>
              <w:bottom w:val="single" w:color="auto" w:sz="4" w:space="0"/>
              <w:right w:val="single" w:color="auto" w:sz="4" w:space="0"/>
            </w:tcBorders>
          </w:tcPr>
          <w:p w14:paraId="05E71A8D">
            <w:pPr>
              <w:widowControl/>
              <w:spacing w:line="500" w:lineRule="exact"/>
              <w:ind w:firstLine="482"/>
              <w:jc w:val="center"/>
              <w:rPr>
                <w:rFonts w:ascii="宋体" w:hAnsi="宋体" w:cs="宋体"/>
                <w:b/>
                <w:color w:val="auto"/>
                <w:sz w:val="24"/>
                <w:highlight w:val="none"/>
              </w:rPr>
            </w:pPr>
          </w:p>
        </w:tc>
      </w:tr>
      <w:tr w14:paraId="62149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tcPr>
          <w:p w14:paraId="2233403E">
            <w:pPr>
              <w:widowControl/>
              <w:spacing w:line="500" w:lineRule="exact"/>
              <w:ind w:firstLine="482"/>
              <w:jc w:val="center"/>
              <w:rPr>
                <w:rFonts w:ascii="宋体" w:hAnsi="宋体" w:cs="宋体"/>
                <w:b/>
                <w:color w:val="auto"/>
                <w:sz w:val="24"/>
                <w:highlight w:val="none"/>
              </w:rPr>
            </w:pPr>
          </w:p>
        </w:tc>
        <w:tc>
          <w:tcPr>
            <w:tcW w:w="2707" w:type="dxa"/>
            <w:gridSpan w:val="2"/>
            <w:tcBorders>
              <w:top w:val="single" w:color="auto" w:sz="4" w:space="0"/>
              <w:left w:val="single" w:color="auto" w:sz="4" w:space="0"/>
              <w:bottom w:val="single" w:color="auto" w:sz="4" w:space="0"/>
              <w:right w:val="single" w:color="auto" w:sz="4" w:space="0"/>
            </w:tcBorders>
          </w:tcPr>
          <w:p w14:paraId="7A77F296">
            <w:pPr>
              <w:widowControl/>
              <w:spacing w:line="500" w:lineRule="exact"/>
              <w:ind w:firstLine="482"/>
              <w:jc w:val="center"/>
              <w:rPr>
                <w:rFonts w:ascii="宋体" w:hAnsi="宋体" w:cs="宋体"/>
                <w:b/>
                <w:color w:val="auto"/>
                <w:sz w:val="24"/>
                <w:highlight w:val="none"/>
              </w:rPr>
            </w:pPr>
          </w:p>
        </w:tc>
        <w:tc>
          <w:tcPr>
            <w:tcW w:w="1512" w:type="dxa"/>
            <w:gridSpan w:val="2"/>
            <w:tcBorders>
              <w:top w:val="single" w:color="auto" w:sz="4" w:space="0"/>
              <w:left w:val="single" w:color="auto" w:sz="4" w:space="0"/>
              <w:bottom w:val="single" w:color="auto" w:sz="4" w:space="0"/>
              <w:right w:val="single" w:color="auto" w:sz="4" w:space="0"/>
            </w:tcBorders>
          </w:tcPr>
          <w:p w14:paraId="6A8D88B3">
            <w:pPr>
              <w:widowControl/>
              <w:spacing w:line="500" w:lineRule="exact"/>
              <w:ind w:firstLine="482"/>
              <w:jc w:val="center"/>
              <w:rPr>
                <w:rFonts w:ascii="宋体" w:hAnsi="宋体" w:cs="宋体"/>
                <w:b/>
                <w:color w:val="auto"/>
                <w:sz w:val="24"/>
                <w:highlight w:val="none"/>
              </w:rPr>
            </w:pPr>
          </w:p>
        </w:tc>
      </w:tr>
      <w:tr w14:paraId="147EF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640" w:type="dxa"/>
            <w:gridSpan w:val="8"/>
            <w:tcBorders>
              <w:top w:val="single" w:color="auto" w:sz="4" w:space="0"/>
              <w:left w:val="single" w:color="auto" w:sz="4" w:space="0"/>
              <w:bottom w:val="single" w:color="auto" w:sz="4" w:space="0"/>
              <w:right w:val="single" w:color="auto" w:sz="4" w:space="0"/>
            </w:tcBorders>
          </w:tcPr>
          <w:p w14:paraId="4E6E2B86">
            <w:pPr>
              <w:widowControl/>
              <w:spacing w:line="500" w:lineRule="exact"/>
              <w:ind w:firstLine="482"/>
              <w:jc w:val="center"/>
              <w:rPr>
                <w:rFonts w:ascii="宋体" w:hAnsi="宋体" w:cs="宋体"/>
                <w:b/>
                <w:color w:val="auto"/>
                <w:sz w:val="24"/>
                <w:highlight w:val="none"/>
              </w:rPr>
            </w:pPr>
            <w:r>
              <w:rPr>
                <w:rFonts w:hint="eastAsia" w:ascii="宋体" w:hAnsi="宋体" w:cs="宋体"/>
                <w:b/>
                <w:color w:val="auto"/>
                <w:sz w:val="24"/>
                <w:highlight w:val="none"/>
              </w:rPr>
              <w:t>（九）与本企业存在管理关系的单位情况</w:t>
            </w:r>
          </w:p>
        </w:tc>
      </w:tr>
      <w:tr w14:paraId="70506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tcPr>
          <w:p w14:paraId="35181B2E">
            <w:pPr>
              <w:widowControl/>
              <w:spacing w:line="500" w:lineRule="exact"/>
              <w:jc w:val="center"/>
              <w:rPr>
                <w:rFonts w:ascii="宋体" w:hAnsi="宋体" w:cs="宋体"/>
                <w:bCs/>
                <w:color w:val="auto"/>
                <w:sz w:val="24"/>
                <w:highlight w:val="none"/>
              </w:rPr>
            </w:pPr>
            <w:r>
              <w:rPr>
                <w:rFonts w:hint="eastAsia" w:ascii="宋体" w:hAnsi="宋体" w:cs="宋体"/>
                <w:bCs/>
                <w:color w:val="auto"/>
                <w:sz w:val="24"/>
                <w:highlight w:val="none"/>
              </w:rPr>
              <w:t>企业名称</w:t>
            </w:r>
          </w:p>
        </w:tc>
        <w:tc>
          <w:tcPr>
            <w:tcW w:w="2707" w:type="dxa"/>
            <w:gridSpan w:val="2"/>
            <w:tcBorders>
              <w:top w:val="single" w:color="auto" w:sz="4" w:space="0"/>
              <w:left w:val="single" w:color="auto" w:sz="4" w:space="0"/>
              <w:bottom w:val="single" w:color="auto" w:sz="4" w:space="0"/>
              <w:right w:val="single" w:color="auto" w:sz="4" w:space="0"/>
            </w:tcBorders>
          </w:tcPr>
          <w:p w14:paraId="435A6859">
            <w:pPr>
              <w:widowControl/>
              <w:spacing w:line="500" w:lineRule="exact"/>
              <w:jc w:val="center"/>
              <w:rPr>
                <w:rFonts w:ascii="宋体" w:hAnsi="宋体" w:cs="宋体"/>
                <w:color w:val="auto"/>
                <w:sz w:val="24"/>
                <w:highlight w:val="none"/>
              </w:rPr>
            </w:pPr>
            <w:r>
              <w:rPr>
                <w:rFonts w:hint="eastAsia" w:ascii="宋体" w:hAnsi="宋体" w:cs="宋体"/>
                <w:color w:val="auto"/>
                <w:sz w:val="24"/>
                <w:highlight w:val="none"/>
              </w:rPr>
              <w:t>成立时间</w:t>
            </w:r>
          </w:p>
        </w:tc>
        <w:tc>
          <w:tcPr>
            <w:tcW w:w="1512" w:type="dxa"/>
            <w:gridSpan w:val="2"/>
            <w:tcBorders>
              <w:top w:val="single" w:color="auto" w:sz="4" w:space="0"/>
              <w:left w:val="single" w:color="auto" w:sz="4" w:space="0"/>
              <w:bottom w:val="single" w:color="auto" w:sz="4" w:space="0"/>
              <w:right w:val="single" w:color="auto" w:sz="4" w:space="0"/>
            </w:tcBorders>
          </w:tcPr>
          <w:p w14:paraId="41937D20">
            <w:pPr>
              <w:widowControl/>
              <w:spacing w:line="500" w:lineRule="exact"/>
              <w:jc w:val="center"/>
              <w:rPr>
                <w:rFonts w:ascii="宋体" w:hAnsi="宋体" w:cs="宋体"/>
                <w:color w:val="auto"/>
                <w:sz w:val="24"/>
                <w:highlight w:val="none"/>
              </w:rPr>
            </w:pPr>
            <w:r>
              <w:rPr>
                <w:rFonts w:hint="eastAsia" w:ascii="宋体" w:hAnsi="宋体" w:cs="宋体"/>
                <w:color w:val="auto"/>
                <w:sz w:val="24"/>
                <w:highlight w:val="none"/>
              </w:rPr>
              <w:t>关系说明</w:t>
            </w:r>
          </w:p>
        </w:tc>
      </w:tr>
      <w:tr w14:paraId="1A8D4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tcPr>
          <w:p w14:paraId="7ADE7638">
            <w:pPr>
              <w:widowControl/>
              <w:spacing w:line="500" w:lineRule="exact"/>
              <w:ind w:firstLine="482"/>
              <w:jc w:val="center"/>
              <w:rPr>
                <w:rFonts w:ascii="宋体" w:hAnsi="宋体" w:cs="宋体"/>
                <w:b/>
                <w:color w:val="auto"/>
                <w:sz w:val="24"/>
                <w:highlight w:val="none"/>
              </w:rPr>
            </w:pPr>
          </w:p>
        </w:tc>
        <w:tc>
          <w:tcPr>
            <w:tcW w:w="2707" w:type="dxa"/>
            <w:gridSpan w:val="2"/>
            <w:tcBorders>
              <w:top w:val="single" w:color="auto" w:sz="4" w:space="0"/>
              <w:left w:val="single" w:color="auto" w:sz="4" w:space="0"/>
              <w:bottom w:val="single" w:color="auto" w:sz="4" w:space="0"/>
              <w:right w:val="single" w:color="auto" w:sz="4" w:space="0"/>
            </w:tcBorders>
          </w:tcPr>
          <w:p w14:paraId="655FD4B2">
            <w:pPr>
              <w:widowControl/>
              <w:spacing w:line="500" w:lineRule="exact"/>
              <w:ind w:firstLine="482"/>
              <w:jc w:val="center"/>
              <w:rPr>
                <w:rFonts w:ascii="宋体" w:hAnsi="宋体" w:cs="宋体"/>
                <w:b/>
                <w:color w:val="auto"/>
                <w:sz w:val="24"/>
                <w:highlight w:val="none"/>
              </w:rPr>
            </w:pPr>
          </w:p>
        </w:tc>
        <w:tc>
          <w:tcPr>
            <w:tcW w:w="1512" w:type="dxa"/>
            <w:gridSpan w:val="2"/>
            <w:tcBorders>
              <w:top w:val="single" w:color="auto" w:sz="4" w:space="0"/>
              <w:left w:val="single" w:color="auto" w:sz="4" w:space="0"/>
              <w:bottom w:val="single" w:color="auto" w:sz="4" w:space="0"/>
              <w:right w:val="single" w:color="auto" w:sz="4" w:space="0"/>
            </w:tcBorders>
          </w:tcPr>
          <w:p w14:paraId="3D209AF5">
            <w:pPr>
              <w:widowControl/>
              <w:spacing w:line="500" w:lineRule="exact"/>
              <w:ind w:firstLine="482"/>
              <w:jc w:val="center"/>
              <w:rPr>
                <w:rFonts w:ascii="宋体" w:hAnsi="宋体" w:cs="宋体"/>
                <w:b/>
                <w:color w:val="auto"/>
                <w:sz w:val="24"/>
                <w:highlight w:val="none"/>
              </w:rPr>
            </w:pPr>
          </w:p>
        </w:tc>
      </w:tr>
      <w:tr w14:paraId="0519E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tcPr>
          <w:p w14:paraId="252FD753">
            <w:pPr>
              <w:widowControl/>
              <w:spacing w:line="500" w:lineRule="exact"/>
              <w:ind w:firstLine="482"/>
              <w:jc w:val="center"/>
              <w:rPr>
                <w:rFonts w:ascii="宋体" w:hAnsi="宋体" w:cs="宋体"/>
                <w:b/>
                <w:color w:val="auto"/>
                <w:sz w:val="24"/>
                <w:highlight w:val="none"/>
              </w:rPr>
            </w:pPr>
          </w:p>
        </w:tc>
        <w:tc>
          <w:tcPr>
            <w:tcW w:w="2707" w:type="dxa"/>
            <w:gridSpan w:val="2"/>
            <w:tcBorders>
              <w:top w:val="single" w:color="auto" w:sz="4" w:space="0"/>
              <w:left w:val="single" w:color="auto" w:sz="4" w:space="0"/>
              <w:bottom w:val="single" w:color="auto" w:sz="4" w:space="0"/>
              <w:right w:val="single" w:color="auto" w:sz="4" w:space="0"/>
            </w:tcBorders>
          </w:tcPr>
          <w:p w14:paraId="191730B3">
            <w:pPr>
              <w:widowControl/>
              <w:spacing w:line="500" w:lineRule="exact"/>
              <w:ind w:firstLine="482"/>
              <w:jc w:val="center"/>
              <w:rPr>
                <w:rFonts w:ascii="宋体" w:hAnsi="宋体" w:cs="宋体"/>
                <w:b/>
                <w:color w:val="auto"/>
                <w:sz w:val="24"/>
                <w:highlight w:val="none"/>
              </w:rPr>
            </w:pPr>
          </w:p>
        </w:tc>
        <w:tc>
          <w:tcPr>
            <w:tcW w:w="1512" w:type="dxa"/>
            <w:gridSpan w:val="2"/>
            <w:tcBorders>
              <w:top w:val="single" w:color="auto" w:sz="4" w:space="0"/>
              <w:left w:val="single" w:color="auto" w:sz="4" w:space="0"/>
              <w:bottom w:val="single" w:color="auto" w:sz="4" w:space="0"/>
              <w:right w:val="single" w:color="auto" w:sz="4" w:space="0"/>
            </w:tcBorders>
          </w:tcPr>
          <w:p w14:paraId="4B5785F8">
            <w:pPr>
              <w:widowControl/>
              <w:spacing w:line="500" w:lineRule="exact"/>
              <w:ind w:firstLine="482"/>
              <w:jc w:val="center"/>
              <w:rPr>
                <w:rFonts w:ascii="宋体" w:hAnsi="宋体" w:cs="宋体"/>
                <w:b/>
                <w:color w:val="auto"/>
                <w:sz w:val="24"/>
                <w:highlight w:val="none"/>
              </w:rPr>
            </w:pPr>
          </w:p>
        </w:tc>
      </w:tr>
      <w:tr w14:paraId="64332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tcPr>
          <w:p w14:paraId="275E7E08">
            <w:pPr>
              <w:widowControl/>
              <w:spacing w:line="500" w:lineRule="exact"/>
              <w:ind w:firstLine="482"/>
              <w:jc w:val="center"/>
              <w:rPr>
                <w:rFonts w:ascii="宋体" w:hAnsi="宋体" w:cs="宋体"/>
                <w:b/>
                <w:color w:val="auto"/>
                <w:sz w:val="24"/>
                <w:highlight w:val="none"/>
              </w:rPr>
            </w:pPr>
          </w:p>
        </w:tc>
        <w:tc>
          <w:tcPr>
            <w:tcW w:w="2707" w:type="dxa"/>
            <w:gridSpan w:val="2"/>
            <w:tcBorders>
              <w:top w:val="single" w:color="auto" w:sz="4" w:space="0"/>
              <w:left w:val="single" w:color="auto" w:sz="4" w:space="0"/>
              <w:bottom w:val="single" w:color="auto" w:sz="4" w:space="0"/>
              <w:right w:val="single" w:color="auto" w:sz="4" w:space="0"/>
            </w:tcBorders>
          </w:tcPr>
          <w:p w14:paraId="2DD2C969">
            <w:pPr>
              <w:widowControl/>
              <w:spacing w:line="500" w:lineRule="exact"/>
              <w:ind w:firstLine="482"/>
              <w:jc w:val="center"/>
              <w:rPr>
                <w:rFonts w:ascii="宋体" w:hAnsi="宋体" w:cs="宋体"/>
                <w:b/>
                <w:color w:val="auto"/>
                <w:sz w:val="24"/>
                <w:highlight w:val="none"/>
              </w:rPr>
            </w:pPr>
          </w:p>
        </w:tc>
        <w:tc>
          <w:tcPr>
            <w:tcW w:w="1512" w:type="dxa"/>
            <w:gridSpan w:val="2"/>
            <w:tcBorders>
              <w:top w:val="single" w:color="auto" w:sz="4" w:space="0"/>
              <w:left w:val="single" w:color="auto" w:sz="4" w:space="0"/>
              <w:bottom w:val="single" w:color="auto" w:sz="4" w:space="0"/>
              <w:right w:val="single" w:color="auto" w:sz="4" w:space="0"/>
            </w:tcBorders>
          </w:tcPr>
          <w:p w14:paraId="483E78BF">
            <w:pPr>
              <w:widowControl/>
              <w:spacing w:line="500" w:lineRule="exact"/>
              <w:ind w:firstLine="482"/>
              <w:jc w:val="center"/>
              <w:rPr>
                <w:rFonts w:ascii="宋体" w:hAnsi="宋体" w:cs="宋体"/>
                <w:b/>
                <w:color w:val="auto"/>
                <w:sz w:val="24"/>
                <w:highlight w:val="none"/>
              </w:rPr>
            </w:pPr>
          </w:p>
        </w:tc>
      </w:tr>
      <w:tr w14:paraId="2C380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8640" w:type="dxa"/>
            <w:gridSpan w:val="8"/>
            <w:tcBorders>
              <w:top w:val="single" w:color="auto" w:sz="4" w:space="0"/>
              <w:left w:val="single" w:color="auto" w:sz="4" w:space="0"/>
              <w:bottom w:val="single" w:color="auto" w:sz="4" w:space="0"/>
              <w:right w:val="single" w:color="auto" w:sz="4" w:space="0"/>
            </w:tcBorders>
          </w:tcPr>
          <w:p w14:paraId="5259F8F3">
            <w:pPr>
              <w:widowControl/>
              <w:spacing w:line="420" w:lineRule="exact"/>
              <w:ind w:firstLine="482"/>
              <w:jc w:val="left"/>
              <w:rPr>
                <w:rFonts w:ascii="宋体" w:hAnsi="宋体" w:cs="宋体"/>
                <w:b/>
                <w:color w:val="auto"/>
                <w:sz w:val="24"/>
                <w:highlight w:val="none"/>
              </w:rPr>
            </w:pPr>
            <w:r>
              <w:rPr>
                <w:rFonts w:hint="eastAsia" w:ascii="宋体" w:hAnsi="宋体" w:cs="宋体"/>
                <w:b/>
                <w:color w:val="auto"/>
                <w:sz w:val="24"/>
                <w:highlight w:val="none"/>
              </w:rPr>
              <w:t>说明：根据《中华人民共和国政府采购法实施条例》第十八条规定，单位负责人为同一人或存在直接控股、管理关系的不同供应商（即存在本表七、八、九项情形），不得参加同一合同项下的政府采购活动。若存在以上情形的，均作无效投标处理。</w:t>
            </w:r>
          </w:p>
          <w:p w14:paraId="14BC3197">
            <w:pPr>
              <w:widowControl/>
              <w:spacing w:line="420" w:lineRule="exact"/>
              <w:ind w:firstLine="562"/>
              <w:jc w:val="left"/>
              <w:rPr>
                <w:rFonts w:ascii="宋体" w:hAnsi="宋体" w:cs="宋体"/>
                <w:b/>
                <w:color w:val="auto"/>
                <w:sz w:val="28"/>
                <w:szCs w:val="28"/>
                <w:highlight w:val="none"/>
              </w:rPr>
            </w:pPr>
          </w:p>
          <w:p w14:paraId="266091C9">
            <w:pPr>
              <w:widowControl/>
              <w:spacing w:line="420" w:lineRule="exact"/>
              <w:ind w:firstLine="562"/>
              <w:jc w:val="left"/>
              <w:rPr>
                <w:rFonts w:ascii="宋体" w:hAnsi="宋体" w:cs="宋体"/>
                <w:b/>
                <w:color w:val="auto"/>
                <w:sz w:val="28"/>
                <w:szCs w:val="28"/>
                <w:highlight w:val="none"/>
              </w:rPr>
            </w:pPr>
            <w:r>
              <w:rPr>
                <w:rFonts w:hint="eastAsia" w:ascii="宋体" w:hAnsi="宋体" w:cs="宋体"/>
                <w:b/>
                <w:color w:val="auto"/>
                <w:sz w:val="28"/>
                <w:szCs w:val="28"/>
                <w:highlight w:val="none"/>
              </w:rPr>
              <w:t>企业承诺：我单位在参加</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rPr>
              <w:t>项目的投标中，若有存在上述情形，同意作为无效投标处理。</w:t>
            </w:r>
          </w:p>
          <w:p w14:paraId="7B1A24B8">
            <w:pPr>
              <w:widowControl/>
              <w:spacing w:line="420" w:lineRule="exact"/>
              <w:ind w:firstLine="482"/>
              <w:jc w:val="left"/>
              <w:rPr>
                <w:rFonts w:ascii="宋体" w:hAnsi="宋体" w:cs="宋体"/>
                <w:b/>
                <w:color w:val="auto"/>
                <w:sz w:val="24"/>
                <w:highlight w:val="none"/>
              </w:rPr>
            </w:pPr>
          </w:p>
        </w:tc>
      </w:tr>
      <w:tr w14:paraId="1F24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8640" w:type="dxa"/>
            <w:gridSpan w:val="8"/>
            <w:tcBorders>
              <w:top w:val="single" w:color="auto" w:sz="4" w:space="0"/>
              <w:left w:val="single" w:color="auto" w:sz="4" w:space="0"/>
              <w:bottom w:val="single" w:color="auto" w:sz="4" w:space="0"/>
              <w:right w:val="single" w:color="auto" w:sz="4" w:space="0"/>
            </w:tcBorders>
            <w:vAlign w:val="center"/>
          </w:tcPr>
          <w:p w14:paraId="5D726946">
            <w:pPr>
              <w:pStyle w:val="151"/>
              <w:widowControl w:val="0"/>
              <w:snapToGrid w:val="0"/>
              <w:spacing w:line="276" w:lineRule="auto"/>
              <w:ind w:firstLine="482"/>
              <w:jc w:val="center"/>
              <w:rPr>
                <w:rFonts w:hint="default" w:hAnsi="宋体" w:cs="宋体"/>
                <w:b/>
                <w:color w:val="auto"/>
                <w:sz w:val="24"/>
                <w:highlight w:val="none"/>
              </w:rPr>
            </w:pPr>
            <w:r>
              <w:rPr>
                <w:rFonts w:hAnsi="宋体" w:cs="Calibri"/>
                <w:b/>
                <w:color w:val="auto"/>
                <w:sz w:val="24"/>
                <w:highlight w:val="none"/>
              </w:rPr>
              <w:t>（</w:t>
            </w:r>
            <w:r>
              <w:rPr>
                <w:rFonts w:hAnsi="宋体" w:cs="Calibri"/>
                <w:b/>
                <w:color w:val="auto"/>
                <w:sz w:val="24"/>
                <w:szCs w:val="24"/>
                <w:highlight w:val="none"/>
              </w:rPr>
              <w:t>十）企业与其他供应商存在利害关系情况</w:t>
            </w:r>
          </w:p>
        </w:tc>
      </w:tr>
      <w:tr w14:paraId="54E78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207" w:type="dxa"/>
            <w:gridSpan w:val="3"/>
            <w:tcBorders>
              <w:top w:val="single" w:color="auto" w:sz="4" w:space="0"/>
              <w:left w:val="single" w:color="auto" w:sz="4" w:space="0"/>
              <w:bottom w:val="single" w:color="auto" w:sz="4" w:space="0"/>
              <w:right w:val="single" w:color="auto" w:sz="4" w:space="0"/>
            </w:tcBorders>
            <w:vAlign w:val="center"/>
          </w:tcPr>
          <w:p w14:paraId="3B5D0126">
            <w:pPr>
              <w:pStyle w:val="151"/>
              <w:widowControl w:val="0"/>
              <w:snapToGrid w:val="0"/>
              <w:spacing w:line="276" w:lineRule="auto"/>
              <w:jc w:val="center"/>
              <w:rPr>
                <w:rFonts w:hint="default" w:hAnsi="宋体" w:cs="Calibri"/>
                <w:bCs/>
                <w:color w:val="auto"/>
                <w:sz w:val="24"/>
                <w:highlight w:val="none"/>
              </w:rPr>
            </w:pPr>
            <w:r>
              <w:rPr>
                <w:rFonts w:hAnsi="宋体" w:cs="Calibri"/>
                <w:bCs/>
                <w:color w:val="auto"/>
                <w:sz w:val="24"/>
                <w:highlight w:val="none"/>
              </w:rPr>
              <w:t>利害关系情形</w:t>
            </w:r>
          </w:p>
        </w:tc>
        <w:tc>
          <w:tcPr>
            <w:tcW w:w="2921" w:type="dxa"/>
            <w:gridSpan w:val="3"/>
            <w:tcBorders>
              <w:top w:val="single" w:color="auto" w:sz="4" w:space="0"/>
              <w:left w:val="single" w:color="auto" w:sz="4" w:space="0"/>
              <w:bottom w:val="single" w:color="auto" w:sz="4" w:space="0"/>
              <w:right w:val="single" w:color="auto" w:sz="4" w:space="0"/>
            </w:tcBorders>
            <w:vAlign w:val="center"/>
          </w:tcPr>
          <w:p w14:paraId="1019C470">
            <w:pPr>
              <w:pStyle w:val="151"/>
              <w:widowControl w:val="0"/>
              <w:snapToGrid w:val="0"/>
              <w:spacing w:line="276" w:lineRule="auto"/>
              <w:jc w:val="center"/>
              <w:rPr>
                <w:rFonts w:hint="default" w:hAnsi="宋体" w:cs="Calibri"/>
                <w:bCs/>
                <w:color w:val="auto"/>
                <w:sz w:val="24"/>
                <w:highlight w:val="none"/>
              </w:rPr>
            </w:pPr>
            <w:r>
              <w:rPr>
                <w:rFonts w:hAnsi="宋体" w:cs="Calibri"/>
                <w:bCs/>
                <w:color w:val="auto"/>
                <w:sz w:val="24"/>
                <w:highlight w:val="none"/>
              </w:rPr>
              <w:t>存在利害关系企业名称</w:t>
            </w:r>
          </w:p>
        </w:tc>
        <w:tc>
          <w:tcPr>
            <w:tcW w:w="1512" w:type="dxa"/>
            <w:gridSpan w:val="2"/>
            <w:tcBorders>
              <w:top w:val="single" w:color="auto" w:sz="4" w:space="0"/>
              <w:left w:val="single" w:color="auto" w:sz="4" w:space="0"/>
              <w:bottom w:val="single" w:color="auto" w:sz="4" w:space="0"/>
              <w:right w:val="single" w:color="auto" w:sz="4" w:space="0"/>
            </w:tcBorders>
          </w:tcPr>
          <w:p w14:paraId="3A6E24AC">
            <w:pPr>
              <w:widowControl/>
              <w:spacing w:line="500" w:lineRule="exact"/>
              <w:jc w:val="center"/>
              <w:rPr>
                <w:rFonts w:ascii="宋体" w:hAnsi="宋体" w:cs="宋体"/>
                <w:color w:val="auto"/>
                <w:sz w:val="24"/>
                <w:highlight w:val="none"/>
              </w:rPr>
            </w:pPr>
            <w:r>
              <w:rPr>
                <w:rFonts w:hint="eastAsia" w:ascii="宋体" w:hAnsi="宋体" w:cs="宋体"/>
                <w:color w:val="auto"/>
                <w:sz w:val="24"/>
                <w:highlight w:val="none"/>
              </w:rPr>
              <w:t>关系说明</w:t>
            </w:r>
          </w:p>
        </w:tc>
      </w:tr>
      <w:tr w14:paraId="3D038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4207" w:type="dxa"/>
            <w:gridSpan w:val="3"/>
            <w:tcBorders>
              <w:top w:val="single" w:color="auto" w:sz="4" w:space="0"/>
              <w:left w:val="single" w:color="auto" w:sz="4" w:space="0"/>
              <w:bottom w:val="single" w:color="auto" w:sz="4" w:space="0"/>
              <w:right w:val="single" w:color="auto" w:sz="4" w:space="0"/>
            </w:tcBorders>
          </w:tcPr>
          <w:p w14:paraId="2E3DF70A">
            <w:pPr>
              <w:pStyle w:val="151"/>
              <w:widowControl w:val="0"/>
              <w:snapToGrid w:val="0"/>
              <w:spacing w:line="276" w:lineRule="auto"/>
              <w:rPr>
                <w:rFonts w:hint="default" w:hAnsi="宋体" w:cs="Calibri"/>
                <w:color w:val="auto"/>
                <w:kern w:val="0"/>
                <w:sz w:val="24"/>
                <w:szCs w:val="24"/>
                <w:highlight w:val="none"/>
              </w:rPr>
            </w:pPr>
            <w:r>
              <w:rPr>
                <w:rFonts w:hAnsi="宋体" w:cs="Calibri"/>
                <w:color w:val="auto"/>
                <w:kern w:val="0"/>
                <w:sz w:val="24"/>
                <w:szCs w:val="24"/>
                <w:highlight w:val="none"/>
              </w:rPr>
              <w:t>A.法定代表人或负责人或实际控制人是同一人</w:t>
            </w:r>
          </w:p>
        </w:tc>
        <w:tc>
          <w:tcPr>
            <w:tcW w:w="2921" w:type="dxa"/>
            <w:gridSpan w:val="3"/>
            <w:tcBorders>
              <w:top w:val="single" w:color="auto" w:sz="4" w:space="0"/>
              <w:left w:val="single" w:color="auto" w:sz="4" w:space="0"/>
              <w:bottom w:val="single" w:color="auto" w:sz="4" w:space="0"/>
              <w:right w:val="single" w:color="auto" w:sz="4" w:space="0"/>
            </w:tcBorders>
          </w:tcPr>
          <w:p w14:paraId="0F03EE21">
            <w:pPr>
              <w:widowControl/>
              <w:spacing w:line="500" w:lineRule="exact"/>
              <w:ind w:firstLine="482"/>
              <w:jc w:val="center"/>
              <w:rPr>
                <w:rFonts w:ascii="宋体" w:hAnsi="宋体" w:cs="宋体"/>
                <w:b/>
                <w:color w:val="auto"/>
                <w:sz w:val="24"/>
                <w:highlight w:val="none"/>
              </w:rPr>
            </w:pPr>
          </w:p>
        </w:tc>
        <w:tc>
          <w:tcPr>
            <w:tcW w:w="1512" w:type="dxa"/>
            <w:gridSpan w:val="2"/>
            <w:tcBorders>
              <w:top w:val="single" w:color="auto" w:sz="4" w:space="0"/>
              <w:left w:val="single" w:color="auto" w:sz="4" w:space="0"/>
              <w:bottom w:val="single" w:color="auto" w:sz="4" w:space="0"/>
              <w:right w:val="single" w:color="auto" w:sz="4" w:space="0"/>
            </w:tcBorders>
          </w:tcPr>
          <w:p w14:paraId="11C8D5DD">
            <w:pPr>
              <w:widowControl/>
              <w:spacing w:line="500" w:lineRule="exact"/>
              <w:ind w:firstLine="482"/>
              <w:jc w:val="center"/>
              <w:rPr>
                <w:rFonts w:ascii="宋体" w:hAnsi="宋体" w:cs="宋体"/>
                <w:b/>
                <w:color w:val="auto"/>
                <w:sz w:val="24"/>
                <w:highlight w:val="none"/>
              </w:rPr>
            </w:pPr>
          </w:p>
        </w:tc>
      </w:tr>
      <w:tr w14:paraId="4061B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4207" w:type="dxa"/>
            <w:gridSpan w:val="3"/>
            <w:tcBorders>
              <w:top w:val="single" w:color="auto" w:sz="4" w:space="0"/>
              <w:left w:val="single" w:color="auto" w:sz="4" w:space="0"/>
              <w:bottom w:val="single" w:color="auto" w:sz="4" w:space="0"/>
              <w:right w:val="single" w:color="auto" w:sz="4" w:space="0"/>
            </w:tcBorders>
          </w:tcPr>
          <w:p w14:paraId="7CA8F541">
            <w:pPr>
              <w:pStyle w:val="151"/>
              <w:widowControl w:val="0"/>
              <w:snapToGrid w:val="0"/>
              <w:spacing w:line="276" w:lineRule="auto"/>
              <w:rPr>
                <w:rFonts w:hint="default" w:hAnsi="宋体" w:cs="Calibri"/>
                <w:color w:val="auto"/>
                <w:kern w:val="0"/>
                <w:sz w:val="24"/>
                <w:szCs w:val="24"/>
                <w:highlight w:val="none"/>
              </w:rPr>
            </w:pPr>
            <w:r>
              <w:rPr>
                <w:rFonts w:hAnsi="宋体" w:cs="Calibri"/>
                <w:color w:val="auto"/>
                <w:kern w:val="0"/>
                <w:sz w:val="24"/>
                <w:szCs w:val="24"/>
                <w:highlight w:val="none"/>
              </w:rPr>
              <w:t>B.法定代表人或负责人或实际控制人是夫妻关系</w:t>
            </w:r>
          </w:p>
        </w:tc>
        <w:tc>
          <w:tcPr>
            <w:tcW w:w="2921" w:type="dxa"/>
            <w:gridSpan w:val="3"/>
            <w:tcBorders>
              <w:top w:val="single" w:color="auto" w:sz="4" w:space="0"/>
              <w:left w:val="single" w:color="auto" w:sz="4" w:space="0"/>
              <w:bottom w:val="single" w:color="auto" w:sz="4" w:space="0"/>
              <w:right w:val="single" w:color="auto" w:sz="4" w:space="0"/>
            </w:tcBorders>
          </w:tcPr>
          <w:p w14:paraId="68FFDB6B">
            <w:pPr>
              <w:widowControl/>
              <w:spacing w:line="500" w:lineRule="exact"/>
              <w:ind w:firstLine="482"/>
              <w:jc w:val="center"/>
              <w:rPr>
                <w:rFonts w:ascii="宋体" w:hAnsi="宋体" w:cs="宋体"/>
                <w:b/>
                <w:color w:val="auto"/>
                <w:sz w:val="24"/>
                <w:highlight w:val="none"/>
              </w:rPr>
            </w:pPr>
          </w:p>
        </w:tc>
        <w:tc>
          <w:tcPr>
            <w:tcW w:w="1512" w:type="dxa"/>
            <w:gridSpan w:val="2"/>
            <w:tcBorders>
              <w:top w:val="single" w:color="auto" w:sz="4" w:space="0"/>
              <w:left w:val="single" w:color="auto" w:sz="4" w:space="0"/>
              <w:bottom w:val="single" w:color="auto" w:sz="4" w:space="0"/>
              <w:right w:val="single" w:color="auto" w:sz="4" w:space="0"/>
            </w:tcBorders>
          </w:tcPr>
          <w:p w14:paraId="64B408A0">
            <w:pPr>
              <w:widowControl/>
              <w:spacing w:line="500" w:lineRule="exact"/>
              <w:ind w:firstLine="482"/>
              <w:jc w:val="center"/>
              <w:rPr>
                <w:rFonts w:ascii="宋体" w:hAnsi="宋体" w:cs="宋体"/>
                <w:b/>
                <w:color w:val="auto"/>
                <w:sz w:val="24"/>
                <w:highlight w:val="none"/>
              </w:rPr>
            </w:pPr>
          </w:p>
        </w:tc>
      </w:tr>
      <w:tr w14:paraId="76B32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4207" w:type="dxa"/>
            <w:gridSpan w:val="3"/>
            <w:tcBorders>
              <w:top w:val="single" w:color="auto" w:sz="4" w:space="0"/>
              <w:left w:val="single" w:color="auto" w:sz="4" w:space="0"/>
              <w:bottom w:val="single" w:color="auto" w:sz="4" w:space="0"/>
              <w:right w:val="single" w:color="auto" w:sz="4" w:space="0"/>
            </w:tcBorders>
          </w:tcPr>
          <w:p w14:paraId="1ED1EF4E">
            <w:pPr>
              <w:pStyle w:val="151"/>
              <w:widowControl w:val="0"/>
              <w:snapToGrid w:val="0"/>
              <w:spacing w:line="276" w:lineRule="auto"/>
              <w:rPr>
                <w:rFonts w:hint="default" w:hAnsi="宋体" w:cs="Calibri"/>
                <w:color w:val="auto"/>
                <w:kern w:val="0"/>
                <w:sz w:val="24"/>
                <w:szCs w:val="24"/>
                <w:highlight w:val="none"/>
              </w:rPr>
            </w:pPr>
            <w:r>
              <w:rPr>
                <w:rFonts w:hAnsi="宋体" w:cs="Calibri"/>
                <w:color w:val="auto"/>
                <w:kern w:val="0"/>
                <w:sz w:val="24"/>
                <w:szCs w:val="24"/>
                <w:highlight w:val="none"/>
              </w:rPr>
              <w:t>C.法定代表人或负责人或实际控制人是直系血亲关系</w:t>
            </w:r>
          </w:p>
        </w:tc>
        <w:tc>
          <w:tcPr>
            <w:tcW w:w="2921" w:type="dxa"/>
            <w:gridSpan w:val="3"/>
            <w:tcBorders>
              <w:top w:val="single" w:color="auto" w:sz="4" w:space="0"/>
              <w:left w:val="single" w:color="auto" w:sz="4" w:space="0"/>
              <w:bottom w:val="single" w:color="auto" w:sz="4" w:space="0"/>
              <w:right w:val="single" w:color="auto" w:sz="4" w:space="0"/>
            </w:tcBorders>
          </w:tcPr>
          <w:p w14:paraId="580794BD">
            <w:pPr>
              <w:widowControl/>
              <w:spacing w:line="500" w:lineRule="exact"/>
              <w:ind w:firstLine="482"/>
              <w:jc w:val="center"/>
              <w:rPr>
                <w:rFonts w:ascii="宋体" w:hAnsi="宋体" w:cs="宋体"/>
                <w:b/>
                <w:color w:val="auto"/>
                <w:sz w:val="24"/>
                <w:highlight w:val="none"/>
              </w:rPr>
            </w:pPr>
          </w:p>
        </w:tc>
        <w:tc>
          <w:tcPr>
            <w:tcW w:w="1512" w:type="dxa"/>
            <w:gridSpan w:val="2"/>
            <w:tcBorders>
              <w:top w:val="single" w:color="auto" w:sz="4" w:space="0"/>
              <w:left w:val="single" w:color="auto" w:sz="4" w:space="0"/>
              <w:bottom w:val="single" w:color="auto" w:sz="4" w:space="0"/>
              <w:right w:val="single" w:color="auto" w:sz="4" w:space="0"/>
            </w:tcBorders>
          </w:tcPr>
          <w:p w14:paraId="7594BDF4">
            <w:pPr>
              <w:widowControl/>
              <w:spacing w:line="500" w:lineRule="exact"/>
              <w:ind w:firstLine="482"/>
              <w:jc w:val="center"/>
              <w:rPr>
                <w:rFonts w:ascii="宋体" w:hAnsi="宋体" w:cs="宋体"/>
                <w:b/>
                <w:color w:val="auto"/>
                <w:sz w:val="24"/>
                <w:highlight w:val="none"/>
              </w:rPr>
            </w:pPr>
          </w:p>
        </w:tc>
      </w:tr>
      <w:tr w14:paraId="57184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4207" w:type="dxa"/>
            <w:gridSpan w:val="3"/>
            <w:tcBorders>
              <w:top w:val="single" w:color="auto" w:sz="4" w:space="0"/>
              <w:left w:val="single" w:color="auto" w:sz="4" w:space="0"/>
              <w:bottom w:val="single" w:color="auto" w:sz="4" w:space="0"/>
              <w:right w:val="single" w:color="auto" w:sz="4" w:space="0"/>
            </w:tcBorders>
          </w:tcPr>
          <w:p w14:paraId="6A9D3453">
            <w:pPr>
              <w:pStyle w:val="151"/>
              <w:widowControl w:val="0"/>
              <w:snapToGrid w:val="0"/>
              <w:spacing w:line="276" w:lineRule="auto"/>
              <w:rPr>
                <w:rFonts w:hint="default" w:hAnsi="宋体" w:cs="Calibri"/>
                <w:color w:val="auto"/>
                <w:kern w:val="0"/>
                <w:sz w:val="24"/>
                <w:szCs w:val="24"/>
                <w:highlight w:val="none"/>
              </w:rPr>
            </w:pPr>
            <w:r>
              <w:rPr>
                <w:rFonts w:hAnsi="宋体" w:cs="Calibri"/>
                <w:color w:val="auto"/>
                <w:kern w:val="0"/>
                <w:sz w:val="24"/>
                <w:szCs w:val="24"/>
                <w:highlight w:val="none"/>
              </w:rPr>
              <w:t>D.法定代表人或负责人或实际控制人存在三代以内旁系血亲关系</w:t>
            </w:r>
          </w:p>
        </w:tc>
        <w:tc>
          <w:tcPr>
            <w:tcW w:w="2921" w:type="dxa"/>
            <w:gridSpan w:val="3"/>
            <w:tcBorders>
              <w:top w:val="single" w:color="auto" w:sz="4" w:space="0"/>
              <w:left w:val="single" w:color="auto" w:sz="4" w:space="0"/>
              <w:bottom w:val="single" w:color="auto" w:sz="4" w:space="0"/>
              <w:right w:val="single" w:color="auto" w:sz="4" w:space="0"/>
            </w:tcBorders>
          </w:tcPr>
          <w:p w14:paraId="131C09C8">
            <w:pPr>
              <w:widowControl/>
              <w:spacing w:line="500" w:lineRule="exact"/>
              <w:ind w:firstLine="482"/>
              <w:jc w:val="center"/>
              <w:rPr>
                <w:rFonts w:ascii="宋体" w:hAnsi="宋体" w:cs="宋体"/>
                <w:b/>
                <w:color w:val="auto"/>
                <w:sz w:val="24"/>
                <w:highlight w:val="none"/>
              </w:rPr>
            </w:pPr>
          </w:p>
        </w:tc>
        <w:tc>
          <w:tcPr>
            <w:tcW w:w="1512" w:type="dxa"/>
            <w:gridSpan w:val="2"/>
            <w:tcBorders>
              <w:top w:val="single" w:color="auto" w:sz="4" w:space="0"/>
              <w:left w:val="single" w:color="auto" w:sz="4" w:space="0"/>
              <w:bottom w:val="single" w:color="auto" w:sz="4" w:space="0"/>
              <w:right w:val="single" w:color="auto" w:sz="4" w:space="0"/>
            </w:tcBorders>
          </w:tcPr>
          <w:p w14:paraId="07DC08AD">
            <w:pPr>
              <w:widowControl/>
              <w:spacing w:line="500" w:lineRule="exact"/>
              <w:ind w:firstLine="482"/>
              <w:jc w:val="center"/>
              <w:rPr>
                <w:rFonts w:ascii="宋体" w:hAnsi="宋体" w:cs="宋体"/>
                <w:b/>
                <w:color w:val="auto"/>
                <w:sz w:val="24"/>
                <w:highlight w:val="none"/>
              </w:rPr>
            </w:pPr>
          </w:p>
        </w:tc>
      </w:tr>
      <w:tr w14:paraId="03572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4207" w:type="dxa"/>
            <w:gridSpan w:val="3"/>
            <w:tcBorders>
              <w:top w:val="single" w:color="auto" w:sz="4" w:space="0"/>
              <w:left w:val="single" w:color="auto" w:sz="4" w:space="0"/>
              <w:bottom w:val="single" w:color="auto" w:sz="4" w:space="0"/>
              <w:right w:val="single" w:color="auto" w:sz="4" w:space="0"/>
            </w:tcBorders>
          </w:tcPr>
          <w:p w14:paraId="6D568B46">
            <w:pPr>
              <w:pStyle w:val="151"/>
              <w:widowControl w:val="0"/>
              <w:snapToGrid w:val="0"/>
              <w:spacing w:line="276" w:lineRule="auto"/>
              <w:rPr>
                <w:rFonts w:hint="default" w:hAnsi="宋体" w:cs="Calibri"/>
                <w:color w:val="auto"/>
                <w:kern w:val="0"/>
                <w:sz w:val="24"/>
                <w:szCs w:val="24"/>
                <w:highlight w:val="none"/>
              </w:rPr>
            </w:pPr>
            <w:r>
              <w:rPr>
                <w:rFonts w:hAnsi="宋体" w:cs="Calibri"/>
                <w:color w:val="auto"/>
                <w:kern w:val="0"/>
                <w:sz w:val="24"/>
                <w:szCs w:val="24"/>
                <w:highlight w:val="none"/>
              </w:rPr>
              <w:t>E.法定代表人或负责人或实际控制人存在近姻亲关系</w:t>
            </w:r>
          </w:p>
        </w:tc>
        <w:tc>
          <w:tcPr>
            <w:tcW w:w="2921" w:type="dxa"/>
            <w:gridSpan w:val="3"/>
            <w:tcBorders>
              <w:top w:val="single" w:color="auto" w:sz="4" w:space="0"/>
              <w:left w:val="single" w:color="auto" w:sz="4" w:space="0"/>
              <w:bottom w:val="single" w:color="auto" w:sz="4" w:space="0"/>
              <w:right w:val="single" w:color="auto" w:sz="4" w:space="0"/>
            </w:tcBorders>
          </w:tcPr>
          <w:p w14:paraId="029EAF6F">
            <w:pPr>
              <w:widowControl/>
              <w:spacing w:line="500" w:lineRule="exact"/>
              <w:ind w:firstLine="482"/>
              <w:jc w:val="center"/>
              <w:rPr>
                <w:rFonts w:ascii="宋体" w:hAnsi="宋体" w:cs="宋体"/>
                <w:b/>
                <w:color w:val="auto"/>
                <w:sz w:val="24"/>
                <w:highlight w:val="none"/>
              </w:rPr>
            </w:pPr>
          </w:p>
        </w:tc>
        <w:tc>
          <w:tcPr>
            <w:tcW w:w="1512" w:type="dxa"/>
            <w:gridSpan w:val="2"/>
            <w:tcBorders>
              <w:top w:val="single" w:color="auto" w:sz="4" w:space="0"/>
              <w:left w:val="single" w:color="auto" w:sz="4" w:space="0"/>
              <w:bottom w:val="single" w:color="auto" w:sz="4" w:space="0"/>
              <w:right w:val="single" w:color="auto" w:sz="4" w:space="0"/>
            </w:tcBorders>
          </w:tcPr>
          <w:p w14:paraId="442CFDD0">
            <w:pPr>
              <w:widowControl/>
              <w:spacing w:line="500" w:lineRule="exact"/>
              <w:ind w:firstLine="482"/>
              <w:jc w:val="center"/>
              <w:rPr>
                <w:rFonts w:ascii="宋体" w:hAnsi="宋体" w:cs="宋体"/>
                <w:b/>
                <w:color w:val="auto"/>
                <w:sz w:val="24"/>
                <w:highlight w:val="none"/>
              </w:rPr>
            </w:pPr>
          </w:p>
        </w:tc>
      </w:tr>
      <w:tr w14:paraId="50170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4207" w:type="dxa"/>
            <w:gridSpan w:val="3"/>
            <w:tcBorders>
              <w:top w:val="single" w:color="auto" w:sz="4" w:space="0"/>
              <w:left w:val="single" w:color="auto" w:sz="4" w:space="0"/>
              <w:bottom w:val="single" w:color="auto" w:sz="4" w:space="0"/>
              <w:right w:val="single" w:color="auto" w:sz="4" w:space="0"/>
            </w:tcBorders>
          </w:tcPr>
          <w:p w14:paraId="642D930A">
            <w:pPr>
              <w:pStyle w:val="151"/>
              <w:widowControl w:val="0"/>
              <w:snapToGrid w:val="0"/>
              <w:spacing w:line="276" w:lineRule="auto"/>
              <w:rPr>
                <w:rFonts w:hint="default" w:hAnsi="宋体" w:cs="Calibri"/>
                <w:color w:val="auto"/>
                <w:kern w:val="0"/>
                <w:sz w:val="24"/>
                <w:szCs w:val="24"/>
                <w:highlight w:val="none"/>
              </w:rPr>
            </w:pPr>
            <w:r>
              <w:rPr>
                <w:rFonts w:hAnsi="宋体" w:cs="Calibri"/>
                <w:color w:val="auto"/>
                <w:kern w:val="0"/>
                <w:sz w:val="24"/>
                <w:szCs w:val="24"/>
                <w:highlight w:val="none"/>
              </w:rPr>
              <w:t>F.法定代表人或负责人或实际控制人存在股份控制或实际控制关系</w:t>
            </w:r>
          </w:p>
        </w:tc>
        <w:tc>
          <w:tcPr>
            <w:tcW w:w="2921" w:type="dxa"/>
            <w:gridSpan w:val="3"/>
            <w:tcBorders>
              <w:top w:val="single" w:color="auto" w:sz="4" w:space="0"/>
              <w:left w:val="single" w:color="auto" w:sz="4" w:space="0"/>
              <w:bottom w:val="single" w:color="auto" w:sz="4" w:space="0"/>
              <w:right w:val="single" w:color="auto" w:sz="4" w:space="0"/>
            </w:tcBorders>
          </w:tcPr>
          <w:p w14:paraId="6E4FE79C">
            <w:pPr>
              <w:widowControl/>
              <w:spacing w:line="500" w:lineRule="exact"/>
              <w:ind w:firstLine="482"/>
              <w:jc w:val="center"/>
              <w:rPr>
                <w:rFonts w:ascii="宋体" w:hAnsi="宋体" w:cs="宋体"/>
                <w:b/>
                <w:color w:val="auto"/>
                <w:sz w:val="24"/>
                <w:highlight w:val="none"/>
              </w:rPr>
            </w:pPr>
          </w:p>
        </w:tc>
        <w:tc>
          <w:tcPr>
            <w:tcW w:w="1512" w:type="dxa"/>
            <w:gridSpan w:val="2"/>
            <w:tcBorders>
              <w:top w:val="single" w:color="auto" w:sz="4" w:space="0"/>
              <w:left w:val="single" w:color="auto" w:sz="4" w:space="0"/>
              <w:bottom w:val="single" w:color="auto" w:sz="4" w:space="0"/>
              <w:right w:val="single" w:color="auto" w:sz="4" w:space="0"/>
            </w:tcBorders>
          </w:tcPr>
          <w:p w14:paraId="07F6FD6C">
            <w:pPr>
              <w:widowControl/>
              <w:spacing w:line="500" w:lineRule="exact"/>
              <w:ind w:firstLine="482"/>
              <w:jc w:val="center"/>
              <w:rPr>
                <w:rFonts w:ascii="宋体" w:hAnsi="宋体" w:cs="宋体"/>
                <w:b/>
                <w:color w:val="auto"/>
                <w:sz w:val="24"/>
                <w:highlight w:val="none"/>
              </w:rPr>
            </w:pPr>
          </w:p>
        </w:tc>
      </w:tr>
      <w:tr w14:paraId="180DE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4207" w:type="dxa"/>
            <w:gridSpan w:val="3"/>
            <w:tcBorders>
              <w:top w:val="single" w:color="auto" w:sz="4" w:space="0"/>
              <w:left w:val="single" w:color="auto" w:sz="4" w:space="0"/>
              <w:bottom w:val="single" w:color="auto" w:sz="4" w:space="0"/>
              <w:right w:val="single" w:color="auto" w:sz="4" w:space="0"/>
            </w:tcBorders>
          </w:tcPr>
          <w:p w14:paraId="7BACC329">
            <w:pPr>
              <w:pStyle w:val="151"/>
              <w:widowControl w:val="0"/>
              <w:snapToGrid w:val="0"/>
              <w:spacing w:line="276" w:lineRule="auto"/>
              <w:rPr>
                <w:rFonts w:hint="default" w:hAnsi="宋体" w:cs="Calibri"/>
                <w:color w:val="auto"/>
                <w:kern w:val="0"/>
                <w:sz w:val="24"/>
                <w:szCs w:val="24"/>
                <w:highlight w:val="none"/>
              </w:rPr>
            </w:pPr>
            <w:r>
              <w:rPr>
                <w:rFonts w:hAnsi="宋体" w:cs="Calibri"/>
                <w:color w:val="auto"/>
                <w:kern w:val="0"/>
                <w:sz w:val="24"/>
                <w:szCs w:val="24"/>
                <w:highlight w:val="none"/>
              </w:rPr>
              <w:t>G.存在共同直接或间接投资设立子公司、联营企业和合营企业情况</w:t>
            </w:r>
          </w:p>
        </w:tc>
        <w:tc>
          <w:tcPr>
            <w:tcW w:w="2921" w:type="dxa"/>
            <w:gridSpan w:val="3"/>
            <w:tcBorders>
              <w:top w:val="single" w:color="auto" w:sz="4" w:space="0"/>
              <w:left w:val="single" w:color="auto" w:sz="4" w:space="0"/>
              <w:bottom w:val="single" w:color="auto" w:sz="4" w:space="0"/>
              <w:right w:val="single" w:color="auto" w:sz="4" w:space="0"/>
            </w:tcBorders>
          </w:tcPr>
          <w:p w14:paraId="4F3DB355">
            <w:pPr>
              <w:widowControl/>
              <w:spacing w:line="500" w:lineRule="exact"/>
              <w:ind w:firstLine="482"/>
              <w:jc w:val="center"/>
              <w:rPr>
                <w:rFonts w:ascii="宋体" w:hAnsi="宋体" w:cs="宋体"/>
                <w:b/>
                <w:color w:val="auto"/>
                <w:sz w:val="24"/>
                <w:highlight w:val="none"/>
              </w:rPr>
            </w:pPr>
          </w:p>
        </w:tc>
        <w:tc>
          <w:tcPr>
            <w:tcW w:w="1512" w:type="dxa"/>
            <w:gridSpan w:val="2"/>
            <w:tcBorders>
              <w:top w:val="single" w:color="auto" w:sz="4" w:space="0"/>
              <w:left w:val="single" w:color="auto" w:sz="4" w:space="0"/>
              <w:bottom w:val="single" w:color="auto" w:sz="4" w:space="0"/>
              <w:right w:val="single" w:color="auto" w:sz="4" w:space="0"/>
            </w:tcBorders>
          </w:tcPr>
          <w:p w14:paraId="413EF95F">
            <w:pPr>
              <w:widowControl/>
              <w:spacing w:line="500" w:lineRule="exact"/>
              <w:ind w:firstLine="482"/>
              <w:jc w:val="center"/>
              <w:rPr>
                <w:rFonts w:ascii="宋体" w:hAnsi="宋体" w:cs="宋体"/>
                <w:b/>
                <w:color w:val="auto"/>
                <w:sz w:val="24"/>
                <w:highlight w:val="none"/>
              </w:rPr>
            </w:pPr>
          </w:p>
        </w:tc>
      </w:tr>
      <w:tr w14:paraId="6F66E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4207" w:type="dxa"/>
            <w:gridSpan w:val="3"/>
            <w:tcBorders>
              <w:top w:val="single" w:color="auto" w:sz="4" w:space="0"/>
              <w:left w:val="single" w:color="auto" w:sz="4" w:space="0"/>
              <w:bottom w:val="single" w:color="auto" w:sz="4" w:space="0"/>
              <w:right w:val="single" w:color="auto" w:sz="4" w:space="0"/>
            </w:tcBorders>
          </w:tcPr>
          <w:p w14:paraId="6CCF98CE">
            <w:pPr>
              <w:pStyle w:val="151"/>
              <w:widowControl w:val="0"/>
              <w:snapToGrid w:val="0"/>
              <w:spacing w:line="276" w:lineRule="auto"/>
              <w:rPr>
                <w:rFonts w:hint="default" w:hAnsi="宋体" w:cs="Calibri"/>
                <w:color w:val="auto"/>
                <w:kern w:val="0"/>
                <w:sz w:val="24"/>
                <w:szCs w:val="24"/>
                <w:highlight w:val="none"/>
              </w:rPr>
            </w:pPr>
            <w:r>
              <w:rPr>
                <w:rFonts w:hAnsi="宋体" w:cs="Calibri"/>
                <w:color w:val="auto"/>
                <w:kern w:val="0"/>
                <w:sz w:val="24"/>
                <w:szCs w:val="24"/>
                <w:highlight w:val="none"/>
              </w:rPr>
              <w:t>H.存在分级代理或代销关系、同一生产制造商关系、管理关系、重要业务（占主营业务收入50%以上）或重要财务往来关系（如融资）等其他实质性控制关系</w:t>
            </w:r>
          </w:p>
        </w:tc>
        <w:tc>
          <w:tcPr>
            <w:tcW w:w="2921" w:type="dxa"/>
            <w:gridSpan w:val="3"/>
            <w:tcBorders>
              <w:top w:val="single" w:color="auto" w:sz="4" w:space="0"/>
              <w:left w:val="single" w:color="auto" w:sz="4" w:space="0"/>
              <w:bottom w:val="single" w:color="auto" w:sz="4" w:space="0"/>
              <w:right w:val="single" w:color="auto" w:sz="4" w:space="0"/>
            </w:tcBorders>
          </w:tcPr>
          <w:p w14:paraId="54149D84">
            <w:pPr>
              <w:widowControl/>
              <w:spacing w:line="500" w:lineRule="exact"/>
              <w:ind w:firstLine="482"/>
              <w:jc w:val="center"/>
              <w:rPr>
                <w:rFonts w:ascii="宋体" w:hAnsi="宋体" w:cs="宋体"/>
                <w:b/>
                <w:color w:val="auto"/>
                <w:sz w:val="24"/>
                <w:highlight w:val="none"/>
              </w:rPr>
            </w:pPr>
          </w:p>
        </w:tc>
        <w:tc>
          <w:tcPr>
            <w:tcW w:w="1512" w:type="dxa"/>
            <w:gridSpan w:val="2"/>
            <w:tcBorders>
              <w:top w:val="single" w:color="auto" w:sz="4" w:space="0"/>
              <w:left w:val="single" w:color="auto" w:sz="4" w:space="0"/>
              <w:bottom w:val="single" w:color="auto" w:sz="4" w:space="0"/>
              <w:right w:val="single" w:color="auto" w:sz="4" w:space="0"/>
            </w:tcBorders>
          </w:tcPr>
          <w:p w14:paraId="7B48AD93">
            <w:pPr>
              <w:widowControl/>
              <w:spacing w:line="500" w:lineRule="exact"/>
              <w:ind w:firstLine="482"/>
              <w:jc w:val="center"/>
              <w:rPr>
                <w:rFonts w:ascii="宋体" w:hAnsi="宋体" w:cs="宋体"/>
                <w:b/>
                <w:color w:val="auto"/>
                <w:sz w:val="24"/>
                <w:highlight w:val="none"/>
              </w:rPr>
            </w:pPr>
          </w:p>
        </w:tc>
      </w:tr>
      <w:tr w14:paraId="6A0C2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640" w:type="dxa"/>
            <w:gridSpan w:val="8"/>
            <w:tcBorders>
              <w:top w:val="single" w:color="auto" w:sz="4" w:space="0"/>
              <w:left w:val="single" w:color="auto" w:sz="4" w:space="0"/>
              <w:bottom w:val="single" w:color="auto" w:sz="4" w:space="0"/>
              <w:right w:val="single" w:color="auto" w:sz="4" w:space="0"/>
            </w:tcBorders>
          </w:tcPr>
          <w:p w14:paraId="5255AC4F">
            <w:pPr>
              <w:widowControl/>
              <w:spacing w:line="500" w:lineRule="exact"/>
              <w:ind w:firstLine="482"/>
              <w:jc w:val="center"/>
              <w:rPr>
                <w:rFonts w:ascii="宋体" w:hAnsi="宋体" w:cs="宋体"/>
                <w:b/>
                <w:color w:val="auto"/>
                <w:sz w:val="24"/>
                <w:highlight w:val="none"/>
              </w:rPr>
            </w:pPr>
            <w:r>
              <w:rPr>
                <w:rFonts w:hint="eastAsia" w:ascii="宋体" w:hAnsi="宋体" w:cs="宋体"/>
                <w:b/>
                <w:color w:val="auto"/>
                <w:sz w:val="24"/>
                <w:highlight w:val="none"/>
              </w:rPr>
              <w:t>（十一）</w:t>
            </w:r>
            <w:r>
              <w:rPr>
                <w:rFonts w:hint="eastAsia" w:hAnsi="宋体" w:cs="宋体"/>
                <w:b/>
                <w:color w:val="auto"/>
                <w:sz w:val="24"/>
                <w:highlight w:val="none"/>
              </w:rPr>
              <w:t>企业与采购人之间存在利害关系情况</w:t>
            </w:r>
          </w:p>
        </w:tc>
      </w:tr>
      <w:tr w14:paraId="09B88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3696" w:type="dxa"/>
            <w:gridSpan w:val="2"/>
            <w:tcBorders>
              <w:top w:val="single" w:color="auto" w:sz="4" w:space="0"/>
              <w:left w:val="single" w:color="auto" w:sz="4" w:space="0"/>
              <w:bottom w:val="single" w:color="auto" w:sz="4" w:space="0"/>
              <w:right w:val="single" w:color="auto" w:sz="4" w:space="0"/>
            </w:tcBorders>
            <w:vAlign w:val="center"/>
          </w:tcPr>
          <w:p w14:paraId="7FC86972">
            <w:pPr>
              <w:pStyle w:val="151"/>
              <w:widowControl w:val="0"/>
              <w:snapToGrid w:val="0"/>
              <w:spacing w:line="276" w:lineRule="auto"/>
              <w:jc w:val="center"/>
              <w:rPr>
                <w:rFonts w:hint="default" w:hAnsi="宋体" w:cs="Calibri"/>
                <w:color w:val="auto"/>
                <w:kern w:val="0"/>
                <w:sz w:val="24"/>
                <w:szCs w:val="24"/>
                <w:highlight w:val="none"/>
              </w:rPr>
            </w:pPr>
            <w:r>
              <w:rPr>
                <w:rFonts w:hAnsi="宋体" w:cs="Calibri"/>
                <w:color w:val="auto"/>
                <w:kern w:val="0"/>
                <w:sz w:val="24"/>
                <w:szCs w:val="24"/>
                <w:highlight w:val="none"/>
              </w:rPr>
              <w:t>利害关系情形</w:t>
            </w:r>
          </w:p>
        </w:tc>
        <w:tc>
          <w:tcPr>
            <w:tcW w:w="3432" w:type="dxa"/>
            <w:gridSpan w:val="4"/>
            <w:tcBorders>
              <w:top w:val="single" w:color="auto" w:sz="4" w:space="0"/>
              <w:left w:val="single" w:color="auto" w:sz="4" w:space="0"/>
              <w:bottom w:val="single" w:color="auto" w:sz="4" w:space="0"/>
              <w:right w:val="single" w:color="auto" w:sz="4" w:space="0"/>
            </w:tcBorders>
          </w:tcPr>
          <w:p w14:paraId="065FE0D7">
            <w:pPr>
              <w:widowControl/>
              <w:spacing w:line="500" w:lineRule="exact"/>
              <w:jc w:val="center"/>
              <w:rPr>
                <w:rFonts w:ascii="宋体" w:hAnsi="宋体" w:cs="宋体"/>
                <w:color w:val="auto"/>
                <w:sz w:val="24"/>
                <w:highlight w:val="none"/>
              </w:rPr>
            </w:pPr>
            <w:r>
              <w:rPr>
                <w:rFonts w:hint="eastAsia" w:ascii="宋体" w:hAnsi="宋体" w:cs="宋体"/>
                <w:color w:val="auto"/>
                <w:sz w:val="24"/>
                <w:highlight w:val="none"/>
              </w:rPr>
              <w:t>是否存在</w:t>
            </w:r>
          </w:p>
        </w:tc>
        <w:tc>
          <w:tcPr>
            <w:tcW w:w="1512" w:type="dxa"/>
            <w:gridSpan w:val="2"/>
            <w:tcBorders>
              <w:top w:val="single" w:color="auto" w:sz="4" w:space="0"/>
              <w:left w:val="single" w:color="auto" w:sz="4" w:space="0"/>
              <w:bottom w:val="single" w:color="auto" w:sz="4" w:space="0"/>
              <w:right w:val="single" w:color="auto" w:sz="4" w:space="0"/>
            </w:tcBorders>
          </w:tcPr>
          <w:p w14:paraId="4CB6D061">
            <w:pPr>
              <w:widowControl/>
              <w:spacing w:line="500" w:lineRule="exact"/>
              <w:jc w:val="center"/>
              <w:rPr>
                <w:rFonts w:ascii="宋体" w:hAnsi="宋体" w:cs="宋体"/>
                <w:color w:val="auto"/>
                <w:sz w:val="24"/>
                <w:highlight w:val="none"/>
              </w:rPr>
            </w:pPr>
            <w:r>
              <w:rPr>
                <w:rFonts w:hint="eastAsia" w:ascii="宋体" w:hAnsi="宋体" w:cs="宋体"/>
                <w:color w:val="auto"/>
                <w:sz w:val="24"/>
                <w:highlight w:val="none"/>
              </w:rPr>
              <w:t>关系说明</w:t>
            </w:r>
          </w:p>
        </w:tc>
      </w:tr>
      <w:tr w14:paraId="7F6F5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3696" w:type="dxa"/>
            <w:gridSpan w:val="2"/>
            <w:tcBorders>
              <w:top w:val="single" w:color="auto" w:sz="4" w:space="0"/>
              <w:left w:val="single" w:color="auto" w:sz="4" w:space="0"/>
              <w:bottom w:val="single" w:color="auto" w:sz="4" w:space="0"/>
              <w:right w:val="single" w:color="auto" w:sz="4" w:space="0"/>
            </w:tcBorders>
            <w:vAlign w:val="center"/>
          </w:tcPr>
          <w:p w14:paraId="20B3B19C">
            <w:pPr>
              <w:pStyle w:val="151"/>
              <w:widowControl w:val="0"/>
              <w:snapToGrid w:val="0"/>
              <w:spacing w:line="276" w:lineRule="auto"/>
              <w:jc w:val="both"/>
              <w:rPr>
                <w:rFonts w:hint="default" w:hAnsi="宋体" w:cs="Calibri"/>
                <w:color w:val="auto"/>
                <w:kern w:val="0"/>
                <w:sz w:val="24"/>
                <w:szCs w:val="24"/>
                <w:highlight w:val="none"/>
              </w:rPr>
            </w:pPr>
            <w:r>
              <w:rPr>
                <w:rFonts w:hAnsi="宋体" w:cs="Calibri"/>
                <w:color w:val="auto"/>
                <w:kern w:val="0"/>
                <w:sz w:val="24"/>
                <w:szCs w:val="24"/>
                <w:highlight w:val="none"/>
              </w:rPr>
              <w:t xml:space="preserve">A.投资关系 </w:t>
            </w:r>
          </w:p>
        </w:tc>
        <w:tc>
          <w:tcPr>
            <w:tcW w:w="3432" w:type="dxa"/>
            <w:gridSpan w:val="4"/>
            <w:tcBorders>
              <w:top w:val="single" w:color="auto" w:sz="4" w:space="0"/>
              <w:left w:val="single" w:color="auto" w:sz="4" w:space="0"/>
              <w:bottom w:val="single" w:color="auto" w:sz="4" w:space="0"/>
              <w:right w:val="single" w:color="auto" w:sz="4" w:space="0"/>
            </w:tcBorders>
          </w:tcPr>
          <w:p w14:paraId="1196A220">
            <w:pPr>
              <w:widowControl/>
              <w:spacing w:line="500" w:lineRule="exact"/>
              <w:ind w:firstLine="482"/>
              <w:jc w:val="center"/>
              <w:rPr>
                <w:rFonts w:ascii="宋体" w:hAnsi="宋体" w:cs="宋体"/>
                <w:b/>
                <w:color w:val="auto"/>
                <w:sz w:val="24"/>
                <w:highlight w:val="none"/>
              </w:rPr>
            </w:pPr>
          </w:p>
        </w:tc>
        <w:tc>
          <w:tcPr>
            <w:tcW w:w="1512" w:type="dxa"/>
            <w:gridSpan w:val="2"/>
            <w:tcBorders>
              <w:top w:val="single" w:color="auto" w:sz="4" w:space="0"/>
              <w:left w:val="single" w:color="auto" w:sz="4" w:space="0"/>
              <w:bottom w:val="single" w:color="auto" w:sz="4" w:space="0"/>
              <w:right w:val="single" w:color="auto" w:sz="4" w:space="0"/>
            </w:tcBorders>
          </w:tcPr>
          <w:p w14:paraId="721CE6D8">
            <w:pPr>
              <w:widowControl/>
              <w:spacing w:line="500" w:lineRule="exact"/>
              <w:ind w:firstLine="482"/>
              <w:jc w:val="center"/>
              <w:rPr>
                <w:rFonts w:ascii="宋体" w:hAnsi="宋体" w:cs="宋体"/>
                <w:b/>
                <w:color w:val="auto"/>
                <w:sz w:val="24"/>
                <w:highlight w:val="none"/>
              </w:rPr>
            </w:pPr>
          </w:p>
        </w:tc>
      </w:tr>
      <w:tr w14:paraId="1AE26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3696" w:type="dxa"/>
            <w:gridSpan w:val="2"/>
            <w:tcBorders>
              <w:top w:val="single" w:color="auto" w:sz="4" w:space="0"/>
              <w:left w:val="single" w:color="auto" w:sz="4" w:space="0"/>
              <w:bottom w:val="single" w:color="auto" w:sz="4" w:space="0"/>
              <w:right w:val="single" w:color="auto" w:sz="4" w:space="0"/>
            </w:tcBorders>
            <w:vAlign w:val="center"/>
          </w:tcPr>
          <w:p w14:paraId="4B1810A7">
            <w:pPr>
              <w:pStyle w:val="151"/>
              <w:widowControl w:val="0"/>
              <w:snapToGrid w:val="0"/>
              <w:spacing w:line="276" w:lineRule="auto"/>
              <w:jc w:val="both"/>
              <w:rPr>
                <w:rFonts w:hint="default" w:hAnsi="宋体" w:cs="Calibri"/>
                <w:color w:val="auto"/>
                <w:kern w:val="0"/>
                <w:sz w:val="24"/>
                <w:szCs w:val="24"/>
                <w:highlight w:val="none"/>
              </w:rPr>
            </w:pPr>
            <w:r>
              <w:rPr>
                <w:rFonts w:hAnsi="宋体" w:cs="Calibri"/>
                <w:color w:val="auto"/>
                <w:kern w:val="0"/>
                <w:sz w:val="24"/>
                <w:szCs w:val="24"/>
                <w:highlight w:val="none"/>
              </w:rPr>
              <w:t>B.行政隶属关系</w:t>
            </w:r>
          </w:p>
        </w:tc>
        <w:tc>
          <w:tcPr>
            <w:tcW w:w="3432" w:type="dxa"/>
            <w:gridSpan w:val="4"/>
            <w:tcBorders>
              <w:top w:val="single" w:color="auto" w:sz="4" w:space="0"/>
              <w:left w:val="single" w:color="auto" w:sz="4" w:space="0"/>
              <w:bottom w:val="single" w:color="auto" w:sz="4" w:space="0"/>
              <w:right w:val="single" w:color="auto" w:sz="4" w:space="0"/>
            </w:tcBorders>
          </w:tcPr>
          <w:p w14:paraId="10CE8700">
            <w:pPr>
              <w:widowControl/>
              <w:spacing w:line="500" w:lineRule="exact"/>
              <w:ind w:firstLine="482"/>
              <w:jc w:val="center"/>
              <w:rPr>
                <w:rFonts w:ascii="宋体" w:hAnsi="宋体" w:cs="宋体"/>
                <w:b/>
                <w:color w:val="auto"/>
                <w:sz w:val="24"/>
                <w:highlight w:val="none"/>
              </w:rPr>
            </w:pPr>
          </w:p>
        </w:tc>
        <w:tc>
          <w:tcPr>
            <w:tcW w:w="1512" w:type="dxa"/>
            <w:gridSpan w:val="2"/>
            <w:tcBorders>
              <w:top w:val="single" w:color="auto" w:sz="4" w:space="0"/>
              <w:left w:val="single" w:color="auto" w:sz="4" w:space="0"/>
              <w:bottom w:val="single" w:color="auto" w:sz="4" w:space="0"/>
              <w:right w:val="single" w:color="auto" w:sz="4" w:space="0"/>
            </w:tcBorders>
          </w:tcPr>
          <w:p w14:paraId="0A6AC814">
            <w:pPr>
              <w:widowControl/>
              <w:spacing w:line="500" w:lineRule="exact"/>
              <w:ind w:firstLine="482"/>
              <w:jc w:val="center"/>
              <w:rPr>
                <w:rFonts w:ascii="宋体" w:hAnsi="宋体" w:cs="宋体"/>
                <w:b/>
                <w:color w:val="auto"/>
                <w:sz w:val="24"/>
                <w:highlight w:val="none"/>
              </w:rPr>
            </w:pPr>
          </w:p>
        </w:tc>
      </w:tr>
      <w:tr w14:paraId="363E3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3696" w:type="dxa"/>
            <w:gridSpan w:val="2"/>
            <w:tcBorders>
              <w:top w:val="single" w:color="auto" w:sz="4" w:space="0"/>
              <w:left w:val="single" w:color="auto" w:sz="4" w:space="0"/>
              <w:bottom w:val="single" w:color="auto" w:sz="4" w:space="0"/>
              <w:right w:val="single" w:color="auto" w:sz="4" w:space="0"/>
            </w:tcBorders>
            <w:vAlign w:val="center"/>
          </w:tcPr>
          <w:p w14:paraId="575FD29E">
            <w:pPr>
              <w:pStyle w:val="151"/>
              <w:widowControl w:val="0"/>
              <w:snapToGrid w:val="0"/>
              <w:spacing w:line="276" w:lineRule="auto"/>
              <w:jc w:val="both"/>
              <w:rPr>
                <w:rFonts w:hint="default" w:hAnsi="宋体" w:cs="Calibri"/>
                <w:color w:val="auto"/>
                <w:kern w:val="0"/>
                <w:sz w:val="24"/>
                <w:szCs w:val="24"/>
                <w:highlight w:val="none"/>
              </w:rPr>
            </w:pPr>
            <w:r>
              <w:rPr>
                <w:rFonts w:hAnsi="宋体" w:cs="Calibri"/>
                <w:color w:val="auto"/>
                <w:kern w:val="0"/>
                <w:sz w:val="24"/>
                <w:szCs w:val="24"/>
                <w:highlight w:val="none"/>
              </w:rPr>
              <w:t>C.业务指导关系</w:t>
            </w:r>
          </w:p>
        </w:tc>
        <w:tc>
          <w:tcPr>
            <w:tcW w:w="3432" w:type="dxa"/>
            <w:gridSpan w:val="4"/>
            <w:tcBorders>
              <w:top w:val="single" w:color="auto" w:sz="4" w:space="0"/>
              <w:left w:val="single" w:color="auto" w:sz="4" w:space="0"/>
              <w:bottom w:val="single" w:color="auto" w:sz="4" w:space="0"/>
              <w:right w:val="single" w:color="auto" w:sz="4" w:space="0"/>
            </w:tcBorders>
          </w:tcPr>
          <w:p w14:paraId="32CDF626">
            <w:pPr>
              <w:widowControl/>
              <w:spacing w:line="500" w:lineRule="exact"/>
              <w:ind w:firstLine="482"/>
              <w:jc w:val="center"/>
              <w:rPr>
                <w:rFonts w:ascii="宋体" w:hAnsi="宋体" w:cs="宋体"/>
                <w:b/>
                <w:color w:val="auto"/>
                <w:sz w:val="24"/>
                <w:highlight w:val="none"/>
              </w:rPr>
            </w:pPr>
          </w:p>
        </w:tc>
        <w:tc>
          <w:tcPr>
            <w:tcW w:w="1512" w:type="dxa"/>
            <w:gridSpan w:val="2"/>
            <w:tcBorders>
              <w:top w:val="single" w:color="auto" w:sz="4" w:space="0"/>
              <w:left w:val="single" w:color="auto" w:sz="4" w:space="0"/>
              <w:bottom w:val="single" w:color="auto" w:sz="4" w:space="0"/>
              <w:right w:val="single" w:color="auto" w:sz="4" w:space="0"/>
            </w:tcBorders>
          </w:tcPr>
          <w:p w14:paraId="74FD852D">
            <w:pPr>
              <w:widowControl/>
              <w:spacing w:line="500" w:lineRule="exact"/>
              <w:ind w:firstLine="482"/>
              <w:jc w:val="center"/>
              <w:rPr>
                <w:rFonts w:ascii="宋体" w:hAnsi="宋体" w:cs="宋体"/>
                <w:b/>
                <w:color w:val="auto"/>
                <w:sz w:val="24"/>
                <w:highlight w:val="none"/>
              </w:rPr>
            </w:pPr>
          </w:p>
        </w:tc>
      </w:tr>
    </w:tbl>
    <w:p w14:paraId="5B1881C5">
      <w:pPr>
        <w:snapToGrid w:val="0"/>
        <w:spacing w:line="360" w:lineRule="auto"/>
        <w:ind w:firstLine="2640" w:firstLineChars="1100"/>
        <w:jc w:val="right"/>
        <w:rPr>
          <w:rFonts w:ascii="宋体" w:hAnsi="宋体" w:cs="宋体"/>
          <w:color w:val="auto"/>
          <w:sz w:val="24"/>
          <w:highlight w:val="none"/>
        </w:rPr>
      </w:pPr>
      <w:r>
        <w:rPr>
          <w:rFonts w:hint="eastAsia" w:ascii="宋体" w:hAnsi="宋体" w:cs="宋体"/>
          <w:color w:val="auto"/>
          <w:sz w:val="24"/>
          <w:highlight w:val="none"/>
          <w:shd w:val="clear" w:color="auto" w:fill="FFFFFF"/>
        </w:rPr>
        <w:t xml:space="preserve"> </w:t>
      </w:r>
    </w:p>
    <w:p w14:paraId="10AE4A9B">
      <w:pPr>
        <w:snapToGrid w:val="0"/>
        <w:spacing w:line="360" w:lineRule="auto"/>
        <w:ind w:firstLine="2640" w:firstLineChars="1100"/>
        <w:jc w:val="right"/>
        <w:rPr>
          <w:rFonts w:ascii="宋体" w:hAnsi="宋体" w:cs="宋体"/>
          <w:color w:val="auto"/>
          <w:sz w:val="24"/>
          <w:szCs w:val="20"/>
          <w:highlight w:val="none"/>
        </w:rPr>
      </w:pPr>
      <w:r>
        <w:rPr>
          <w:rFonts w:hint="eastAsia" w:ascii="宋体" w:hAnsi="宋体" w:cs="宋体"/>
          <w:color w:val="auto"/>
          <w:sz w:val="24"/>
          <w:highlight w:val="none"/>
        </w:rPr>
        <w:t xml:space="preserve">   供应商名称（电子签章/公章）：___________________</w:t>
      </w:r>
    </w:p>
    <w:p w14:paraId="0ACB34B3">
      <w:pPr>
        <w:snapToGrid w:val="0"/>
        <w:spacing w:line="360" w:lineRule="auto"/>
        <w:jc w:val="right"/>
        <w:rPr>
          <w:rFonts w:ascii="宋体" w:hAnsi="宋体" w:cs="宋体"/>
          <w:color w:val="auto"/>
          <w:sz w:val="30"/>
          <w:szCs w:val="20"/>
          <w:highlight w:val="none"/>
        </w:rPr>
      </w:pPr>
      <w:r>
        <w:rPr>
          <w:rFonts w:hint="eastAsia" w:ascii="宋体" w:hAnsi="宋体" w:cs="宋体"/>
          <w:color w:val="auto"/>
          <w:sz w:val="24"/>
          <w:highlight w:val="none"/>
        </w:rPr>
        <w:t xml:space="preserve">               年  月  日</w:t>
      </w:r>
    </w:p>
    <w:p w14:paraId="25E9F956">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79BA4B5C">
      <w:pPr>
        <w:snapToGrid w:val="0"/>
        <w:spacing w:before="50" w:after="120" w:afterLines="50"/>
        <w:jc w:val="center"/>
        <w:rPr>
          <w:rFonts w:ascii="宋体" w:hAnsi="宋体" w:cs="宋体"/>
          <w:b/>
          <w:color w:val="auto"/>
          <w:sz w:val="30"/>
          <w:szCs w:val="30"/>
          <w:highlight w:val="none"/>
        </w:rPr>
      </w:pPr>
      <w:r>
        <w:rPr>
          <w:rFonts w:hint="eastAsia" w:ascii="宋体" w:hAnsi="宋体" w:cs="宋体"/>
          <w:b/>
          <w:color w:val="auto"/>
          <w:kern w:val="0"/>
          <w:sz w:val="32"/>
          <w:szCs w:val="32"/>
          <w:highlight w:val="none"/>
        </w:rPr>
        <w:t>四、投标人完成的同类项目业绩，提供业绩清单及合同复印件；</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8"/>
        <w:gridCol w:w="1961"/>
        <w:gridCol w:w="1479"/>
        <w:gridCol w:w="1785"/>
        <w:gridCol w:w="1555"/>
        <w:gridCol w:w="1150"/>
      </w:tblGrid>
      <w:tr w14:paraId="0622A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atLeast"/>
          <w:jc w:val="center"/>
        </w:trPr>
        <w:tc>
          <w:tcPr>
            <w:tcW w:w="848" w:type="dxa"/>
            <w:tcMar>
              <w:left w:w="108" w:type="dxa"/>
              <w:right w:w="108" w:type="dxa"/>
            </w:tcMar>
            <w:vAlign w:val="center"/>
          </w:tcPr>
          <w:p w14:paraId="268ECD97">
            <w:pPr>
              <w:widowControl/>
              <w:spacing w:before="100" w:beforeAutospacing="1" w:after="100" w:afterAutospacing="1" w:line="360" w:lineRule="atLeast"/>
              <w:jc w:val="center"/>
              <w:rPr>
                <w:rFonts w:ascii="宋体" w:hAnsi="宋体" w:cs="宋体"/>
                <w:color w:val="auto"/>
                <w:sz w:val="24"/>
                <w:highlight w:val="none"/>
              </w:rPr>
            </w:pPr>
            <w:r>
              <w:rPr>
                <w:rFonts w:hint="eastAsia" w:cs="宋体"/>
                <w:color w:val="auto"/>
                <w:sz w:val="24"/>
                <w:highlight w:val="none"/>
              </w:rPr>
              <w:t>序号</w:t>
            </w:r>
          </w:p>
        </w:tc>
        <w:tc>
          <w:tcPr>
            <w:tcW w:w="1961" w:type="dxa"/>
            <w:tcMar>
              <w:left w:w="108" w:type="dxa"/>
              <w:right w:w="108" w:type="dxa"/>
            </w:tcMar>
            <w:vAlign w:val="center"/>
          </w:tcPr>
          <w:p w14:paraId="22B65696">
            <w:pPr>
              <w:widowControl/>
              <w:spacing w:before="100" w:beforeAutospacing="1" w:after="100" w:afterAutospacing="1" w:line="360" w:lineRule="atLeast"/>
              <w:jc w:val="center"/>
              <w:rPr>
                <w:rFonts w:ascii="宋体" w:hAnsi="宋体" w:cs="宋体"/>
                <w:color w:val="auto"/>
                <w:sz w:val="27"/>
                <w:szCs w:val="27"/>
                <w:highlight w:val="none"/>
              </w:rPr>
            </w:pPr>
            <w:r>
              <w:rPr>
                <w:rFonts w:hint="eastAsia" w:ascii="宋体" w:hAnsi="宋体" w:cs="宋体"/>
                <w:color w:val="auto"/>
                <w:sz w:val="24"/>
                <w:highlight w:val="none"/>
              </w:rPr>
              <w:t>项目名称</w:t>
            </w:r>
          </w:p>
        </w:tc>
        <w:tc>
          <w:tcPr>
            <w:tcW w:w="1479" w:type="dxa"/>
            <w:tcMar>
              <w:left w:w="108" w:type="dxa"/>
              <w:right w:w="108" w:type="dxa"/>
            </w:tcMar>
            <w:vAlign w:val="center"/>
          </w:tcPr>
          <w:p w14:paraId="6CA5A01C">
            <w:pPr>
              <w:widowControl/>
              <w:spacing w:before="100" w:beforeAutospacing="1" w:after="100" w:afterAutospacing="1" w:line="360" w:lineRule="atLeast"/>
              <w:jc w:val="center"/>
              <w:rPr>
                <w:rFonts w:ascii="宋体" w:hAnsi="宋体" w:cs="宋体"/>
                <w:color w:val="auto"/>
                <w:sz w:val="24"/>
                <w:highlight w:val="none"/>
              </w:rPr>
            </w:pPr>
            <w:r>
              <w:rPr>
                <w:rFonts w:hint="eastAsia" w:ascii="宋体" w:hAnsi="宋体" w:cs="宋体"/>
                <w:color w:val="auto"/>
                <w:sz w:val="24"/>
                <w:highlight w:val="none"/>
              </w:rPr>
              <w:t>合同金额</w:t>
            </w:r>
          </w:p>
        </w:tc>
        <w:tc>
          <w:tcPr>
            <w:tcW w:w="1785" w:type="dxa"/>
            <w:tcMar>
              <w:left w:w="108" w:type="dxa"/>
              <w:right w:w="108" w:type="dxa"/>
            </w:tcMar>
            <w:vAlign w:val="center"/>
          </w:tcPr>
          <w:p w14:paraId="4351FBF0">
            <w:pPr>
              <w:widowControl/>
              <w:spacing w:before="100" w:beforeAutospacing="1" w:after="100" w:afterAutospacing="1" w:line="360" w:lineRule="atLeast"/>
              <w:jc w:val="center"/>
              <w:rPr>
                <w:rFonts w:ascii="宋体" w:hAnsi="宋体" w:cs="宋体"/>
                <w:color w:val="auto"/>
                <w:sz w:val="24"/>
                <w:highlight w:val="none"/>
              </w:rPr>
            </w:pPr>
            <w:r>
              <w:rPr>
                <w:rFonts w:hint="eastAsia" w:ascii="宋体" w:hAnsi="宋体" w:cs="宋体"/>
                <w:color w:val="auto"/>
                <w:sz w:val="24"/>
                <w:highlight w:val="none"/>
              </w:rPr>
              <w:t>完成时间</w:t>
            </w:r>
          </w:p>
        </w:tc>
        <w:tc>
          <w:tcPr>
            <w:tcW w:w="1555" w:type="dxa"/>
            <w:tcMar>
              <w:left w:w="108" w:type="dxa"/>
              <w:right w:w="108" w:type="dxa"/>
            </w:tcMar>
            <w:vAlign w:val="center"/>
          </w:tcPr>
          <w:p w14:paraId="7D256C2A">
            <w:pPr>
              <w:widowControl/>
              <w:spacing w:before="100" w:beforeAutospacing="1" w:after="100" w:afterAutospacing="1" w:line="360" w:lineRule="atLeast"/>
              <w:jc w:val="center"/>
              <w:rPr>
                <w:rFonts w:ascii="宋体" w:hAnsi="宋体" w:cs="宋体"/>
                <w:color w:val="auto"/>
                <w:sz w:val="24"/>
                <w:highlight w:val="none"/>
              </w:rPr>
            </w:pPr>
            <w:r>
              <w:rPr>
                <w:rFonts w:hint="eastAsia" w:ascii="宋体" w:hAnsi="宋体" w:cs="宋体"/>
                <w:color w:val="auto"/>
                <w:sz w:val="24"/>
                <w:highlight w:val="none"/>
              </w:rPr>
              <w:t>业主名称及联系方式</w:t>
            </w:r>
          </w:p>
        </w:tc>
        <w:tc>
          <w:tcPr>
            <w:tcW w:w="1150" w:type="dxa"/>
            <w:tcMar>
              <w:left w:w="108" w:type="dxa"/>
              <w:right w:w="108" w:type="dxa"/>
            </w:tcMar>
            <w:vAlign w:val="center"/>
          </w:tcPr>
          <w:p w14:paraId="4DE8BF0C">
            <w:pPr>
              <w:widowControl/>
              <w:spacing w:before="100" w:beforeAutospacing="1" w:after="100" w:afterAutospacing="1" w:line="360" w:lineRule="atLeast"/>
              <w:jc w:val="center"/>
              <w:rPr>
                <w:rFonts w:ascii="宋体" w:hAnsi="宋体" w:cs="宋体"/>
                <w:color w:val="auto"/>
                <w:sz w:val="24"/>
                <w:highlight w:val="none"/>
              </w:rPr>
            </w:pPr>
            <w:r>
              <w:rPr>
                <w:rFonts w:hint="eastAsia" w:ascii="宋体" w:hAnsi="宋体" w:cs="宋体"/>
                <w:color w:val="auto"/>
                <w:sz w:val="24"/>
                <w:highlight w:val="none"/>
              </w:rPr>
              <w:t>备注</w:t>
            </w:r>
          </w:p>
        </w:tc>
      </w:tr>
      <w:tr w14:paraId="2C33F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9" w:hRule="atLeast"/>
          <w:jc w:val="center"/>
        </w:trPr>
        <w:tc>
          <w:tcPr>
            <w:tcW w:w="848" w:type="dxa"/>
            <w:tcMar>
              <w:left w:w="108" w:type="dxa"/>
              <w:right w:w="108" w:type="dxa"/>
            </w:tcMar>
            <w:vAlign w:val="center"/>
          </w:tcPr>
          <w:p w14:paraId="1711221E">
            <w:pPr>
              <w:widowControl/>
              <w:spacing w:before="100" w:beforeAutospacing="1" w:after="100" w:afterAutospacing="1" w:line="360" w:lineRule="atLeast"/>
              <w:jc w:val="center"/>
              <w:rPr>
                <w:rFonts w:ascii="宋体" w:hAnsi="宋体" w:cs="宋体"/>
                <w:color w:val="auto"/>
                <w:sz w:val="24"/>
                <w:highlight w:val="none"/>
              </w:rPr>
            </w:pPr>
            <w:r>
              <w:rPr>
                <w:rFonts w:hint="eastAsia" w:ascii="宋体" w:hAnsi="宋体" w:cs="宋体"/>
                <w:color w:val="auto"/>
                <w:sz w:val="24"/>
                <w:highlight w:val="none"/>
              </w:rPr>
              <w:t>1</w:t>
            </w:r>
          </w:p>
        </w:tc>
        <w:tc>
          <w:tcPr>
            <w:tcW w:w="1961" w:type="dxa"/>
            <w:tcMar>
              <w:left w:w="108" w:type="dxa"/>
              <w:right w:w="108" w:type="dxa"/>
            </w:tcMar>
            <w:vAlign w:val="center"/>
          </w:tcPr>
          <w:p w14:paraId="5C7CABD1">
            <w:pPr>
              <w:widowControl/>
              <w:spacing w:before="100" w:beforeAutospacing="1" w:after="100" w:afterAutospacing="1" w:line="360" w:lineRule="atLeast"/>
              <w:jc w:val="center"/>
              <w:rPr>
                <w:rFonts w:ascii="宋体" w:hAnsi="宋体" w:cs="宋体"/>
                <w:color w:val="auto"/>
                <w:sz w:val="24"/>
                <w:highlight w:val="none"/>
              </w:rPr>
            </w:pPr>
          </w:p>
        </w:tc>
        <w:tc>
          <w:tcPr>
            <w:tcW w:w="1479" w:type="dxa"/>
            <w:tcMar>
              <w:left w:w="108" w:type="dxa"/>
              <w:right w:w="108" w:type="dxa"/>
            </w:tcMar>
            <w:vAlign w:val="center"/>
          </w:tcPr>
          <w:p w14:paraId="329146A6">
            <w:pPr>
              <w:widowControl/>
              <w:spacing w:before="100" w:beforeAutospacing="1" w:after="100" w:afterAutospacing="1" w:line="360" w:lineRule="atLeast"/>
              <w:jc w:val="center"/>
              <w:rPr>
                <w:rFonts w:ascii="宋体" w:hAnsi="宋体" w:cs="宋体"/>
                <w:color w:val="auto"/>
                <w:sz w:val="24"/>
                <w:highlight w:val="none"/>
              </w:rPr>
            </w:pPr>
            <w:r>
              <w:rPr>
                <w:rFonts w:hint="eastAsia" w:ascii="宋体" w:hAnsi="宋体" w:cs="宋体"/>
                <w:color w:val="auto"/>
                <w:sz w:val="24"/>
                <w:highlight w:val="none"/>
              </w:rPr>
              <w:t> </w:t>
            </w:r>
          </w:p>
        </w:tc>
        <w:tc>
          <w:tcPr>
            <w:tcW w:w="1785" w:type="dxa"/>
            <w:tcMar>
              <w:left w:w="108" w:type="dxa"/>
              <w:right w:w="108" w:type="dxa"/>
            </w:tcMar>
            <w:vAlign w:val="center"/>
          </w:tcPr>
          <w:p w14:paraId="2F600AF6">
            <w:pPr>
              <w:widowControl/>
              <w:spacing w:before="100" w:beforeAutospacing="1" w:after="100" w:afterAutospacing="1" w:line="360" w:lineRule="atLeast"/>
              <w:jc w:val="center"/>
              <w:rPr>
                <w:rFonts w:ascii="宋体" w:hAnsi="宋体" w:cs="宋体"/>
                <w:color w:val="auto"/>
                <w:sz w:val="24"/>
                <w:highlight w:val="none"/>
              </w:rPr>
            </w:pPr>
            <w:r>
              <w:rPr>
                <w:rFonts w:hint="eastAsia" w:ascii="宋体" w:hAnsi="宋体" w:cs="宋体"/>
                <w:color w:val="auto"/>
                <w:sz w:val="24"/>
                <w:highlight w:val="none"/>
              </w:rPr>
              <w:t> </w:t>
            </w:r>
          </w:p>
        </w:tc>
        <w:tc>
          <w:tcPr>
            <w:tcW w:w="1555" w:type="dxa"/>
            <w:tcMar>
              <w:left w:w="108" w:type="dxa"/>
              <w:right w:w="108" w:type="dxa"/>
            </w:tcMar>
            <w:vAlign w:val="center"/>
          </w:tcPr>
          <w:p w14:paraId="16B11FA0">
            <w:pPr>
              <w:widowControl/>
              <w:spacing w:before="100" w:beforeAutospacing="1" w:after="100" w:afterAutospacing="1" w:line="360" w:lineRule="atLeast"/>
              <w:jc w:val="center"/>
              <w:rPr>
                <w:rFonts w:ascii="宋体" w:hAnsi="宋体" w:cs="宋体"/>
                <w:color w:val="auto"/>
                <w:sz w:val="24"/>
                <w:highlight w:val="none"/>
              </w:rPr>
            </w:pPr>
          </w:p>
        </w:tc>
        <w:tc>
          <w:tcPr>
            <w:tcW w:w="1150" w:type="dxa"/>
            <w:tcMar>
              <w:left w:w="108" w:type="dxa"/>
              <w:right w:w="108" w:type="dxa"/>
            </w:tcMar>
            <w:vAlign w:val="center"/>
          </w:tcPr>
          <w:p w14:paraId="2F31213C">
            <w:pPr>
              <w:widowControl/>
              <w:spacing w:before="100" w:beforeAutospacing="1" w:after="100" w:afterAutospacing="1" w:line="360" w:lineRule="atLeast"/>
              <w:jc w:val="center"/>
              <w:rPr>
                <w:rFonts w:ascii="宋体" w:hAnsi="宋体" w:cs="宋体"/>
                <w:color w:val="auto"/>
                <w:sz w:val="24"/>
                <w:highlight w:val="none"/>
              </w:rPr>
            </w:pPr>
            <w:r>
              <w:rPr>
                <w:rFonts w:hint="eastAsia" w:ascii="宋体" w:hAnsi="宋体" w:cs="宋体"/>
                <w:color w:val="auto"/>
                <w:sz w:val="24"/>
                <w:highlight w:val="none"/>
              </w:rPr>
              <w:t> </w:t>
            </w:r>
          </w:p>
        </w:tc>
      </w:tr>
      <w:tr w14:paraId="55703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7" w:hRule="atLeast"/>
          <w:jc w:val="center"/>
        </w:trPr>
        <w:tc>
          <w:tcPr>
            <w:tcW w:w="848" w:type="dxa"/>
            <w:tcMar>
              <w:left w:w="108" w:type="dxa"/>
              <w:right w:w="108" w:type="dxa"/>
            </w:tcMar>
            <w:vAlign w:val="center"/>
          </w:tcPr>
          <w:p w14:paraId="5B478628">
            <w:pPr>
              <w:widowControl/>
              <w:spacing w:before="100" w:beforeAutospacing="1" w:after="100" w:afterAutospacing="1" w:line="360" w:lineRule="atLeast"/>
              <w:jc w:val="center"/>
              <w:rPr>
                <w:rFonts w:ascii="宋体" w:hAnsi="宋体" w:cs="宋体"/>
                <w:color w:val="auto"/>
                <w:sz w:val="24"/>
                <w:highlight w:val="none"/>
              </w:rPr>
            </w:pPr>
            <w:r>
              <w:rPr>
                <w:rFonts w:hint="eastAsia" w:ascii="宋体" w:hAnsi="宋体" w:cs="宋体"/>
                <w:color w:val="auto"/>
                <w:sz w:val="24"/>
                <w:highlight w:val="none"/>
              </w:rPr>
              <w:t>2</w:t>
            </w:r>
          </w:p>
        </w:tc>
        <w:tc>
          <w:tcPr>
            <w:tcW w:w="1961" w:type="dxa"/>
            <w:tcMar>
              <w:left w:w="108" w:type="dxa"/>
              <w:right w:w="108" w:type="dxa"/>
            </w:tcMar>
            <w:vAlign w:val="center"/>
          </w:tcPr>
          <w:p w14:paraId="3026A433">
            <w:pPr>
              <w:widowControl/>
              <w:spacing w:before="100" w:beforeAutospacing="1" w:after="100" w:afterAutospacing="1" w:line="360" w:lineRule="atLeast"/>
              <w:jc w:val="center"/>
              <w:rPr>
                <w:rFonts w:ascii="宋体" w:hAnsi="宋体" w:cs="宋体"/>
                <w:color w:val="auto"/>
                <w:sz w:val="24"/>
                <w:highlight w:val="none"/>
              </w:rPr>
            </w:pPr>
          </w:p>
        </w:tc>
        <w:tc>
          <w:tcPr>
            <w:tcW w:w="1479" w:type="dxa"/>
            <w:tcMar>
              <w:left w:w="108" w:type="dxa"/>
              <w:right w:w="108" w:type="dxa"/>
            </w:tcMar>
            <w:vAlign w:val="center"/>
          </w:tcPr>
          <w:p w14:paraId="148C010A">
            <w:pPr>
              <w:widowControl/>
              <w:spacing w:before="100" w:beforeAutospacing="1" w:after="100" w:afterAutospacing="1" w:line="360" w:lineRule="atLeast"/>
              <w:jc w:val="center"/>
              <w:rPr>
                <w:rFonts w:ascii="宋体" w:hAnsi="宋体" w:cs="宋体"/>
                <w:color w:val="auto"/>
                <w:sz w:val="24"/>
                <w:highlight w:val="none"/>
              </w:rPr>
            </w:pPr>
            <w:r>
              <w:rPr>
                <w:rFonts w:hint="eastAsia" w:ascii="宋体" w:hAnsi="宋体" w:cs="宋体"/>
                <w:color w:val="auto"/>
                <w:sz w:val="24"/>
                <w:highlight w:val="none"/>
              </w:rPr>
              <w:t> </w:t>
            </w:r>
          </w:p>
        </w:tc>
        <w:tc>
          <w:tcPr>
            <w:tcW w:w="1785" w:type="dxa"/>
            <w:tcMar>
              <w:left w:w="108" w:type="dxa"/>
              <w:right w:w="108" w:type="dxa"/>
            </w:tcMar>
            <w:vAlign w:val="center"/>
          </w:tcPr>
          <w:p w14:paraId="0378BDD1">
            <w:pPr>
              <w:widowControl/>
              <w:spacing w:before="100" w:beforeAutospacing="1" w:after="100" w:afterAutospacing="1" w:line="360" w:lineRule="atLeast"/>
              <w:jc w:val="center"/>
              <w:rPr>
                <w:rFonts w:ascii="宋体" w:hAnsi="宋体" w:cs="宋体"/>
                <w:color w:val="auto"/>
                <w:sz w:val="24"/>
                <w:highlight w:val="none"/>
              </w:rPr>
            </w:pPr>
            <w:r>
              <w:rPr>
                <w:rFonts w:hint="eastAsia" w:ascii="宋体" w:hAnsi="宋体" w:cs="宋体"/>
                <w:color w:val="auto"/>
                <w:sz w:val="24"/>
                <w:highlight w:val="none"/>
              </w:rPr>
              <w:t> </w:t>
            </w:r>
          </w:p>
        </w:tc>
        <w:tc>
          <w:tcPr>
            <w:tcW w:w="1555" w:type="dxa"/>
            <w:tcMar>
              <w:left w:w="108" w:type="dxa"/>
              <w:right w:w="108" w:type="dxa"/>
            </w:tcMar>
            <w:vAlign w:val="center"/>
          </w:tcPr>
          <w:p w14:paraId="586DA60A">
            <w:pPr>
              <w:widowControl/>
              <w:spacing w:before="100" w:beforeAutospacing="1" w:after="100" w:afterAutospacing="1" w:line="360" w:lineRule="atLeast"/>
              <w:jc w:val="center"/>
              <w:rPr>
                <w:rFonts w:ascii="宋体" w:hAnsi="宋体" w:cs="宋体"/>
                <w:color w:val="auto"/>
                <w:sz w:val="24"/>
                <w:highlight w:val="none"/>
              </w:rPr>
            </w:pPr>
          </w:p>
        </w:tc>
        <w:tc>
          <w:tcPr>
            <w:tcW w:w="1150" w:type="dxa"/>
            <w:tcMar>
              <w:left w:w="108" w:type="dxa"/>
              <w:right w:w="108" w:type="dxa"/>
            </w:tcMar>
            <w:vAlign w:val="center"/>
          </w:tcPr>
          <w:p w14:paraId="3F44684E">
            <w:pPr>
              <w:widowControl/>
              <w:spacing w:before="100" w:beforeAutospacing="1" w:after="100" w:afterAutospacing="1" w:line="360" w:lineRule="atLeast"/>
              <w:jc w:val="center"/>
              <w:rPr>
                <w:rFonts w:ascii="宋体" w:hAnsi="宋体" w:cs="宋体"/>
                <w:color w:val="auto"/>
                <w:sz w:val="24"/>
                <w:highlight w:val="none"/>
              </w:rPr>
            </w:pPr>
            <w:r>
              <w:rPr>
                <w:rFonts w:hint="eastAsia" w:ascii="宋体" w:hAnsi="宋体" w:cs="宋体"/>
                <w:color w:val="auto"/>
                <w:sz w:val="24"/>
                <w:highlight w:val="none"/>
              </w:rPr>
              <w:t> </w:t>
            </w:r>
          </w:p>
        </w:tc>
      </w:tr>
      <w:tr w14:paraId="02131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atLeast"/>
          <w:jc w:val="center"/>
        </w:trPr>
        <w:tc>
          <w:tcPr>
            <w:tcW w:w="848" w:type="dxa"/>
            <w:tcMar>
              <w:left w:w="108" w:type="dxa"/>
              <w:right w:w="108" w:type="dxa"/>
            </w:tcMar>
            <w:vAlign w:val="center"/>
          </w:tcPr>
          <w:p w14:paraId="1D4A1E6E">
            <w:pPr>
              <w:widowControl/>
              <w:spacing w:before="100" w:beforeAutospacing="1" w:after="100" w:afterAutospacing="1" w:line="360" w:lineRule="atLeast"/>
              <w:jc w:val="center"/>
              <w:rPr>
                <w:rFonts w:ascii="宋体" w:hAnsi="宋体" w:cs="宋体"/>
                <w:color w:val="auto"/>
                <w:sz w:val="24"/>
                <w:highlight w:val="none"/>
              </w:rPr>
            </w:pPr>
            <w:r>
              <w:rPr>
                <w:rFonts w:hint="eastAsia" w:ascii="宋体" w:hAnsi="宋体" w:cs="宋体"/>
                <w:color w:val="auto"/>
                <w:sz w:val="24"/>
                <w:highlight w:val="none"/>
              </w:rPr>
              <w:t>3</w:t>
            </w:r>
          </w:p>
        </w:tc>
        <w:tc>
          <w:tcPr>
            <w:tcW w:w="1961" w:type="dxa"/>
            <w:tcMar>
              <w:left w:w="108" w:type="dxa"/>
              <w:right w:w="108" w:type="dxa"/>
            </w:tcMar>
            <w:vAlign w:val="center"/>
          </w:tcPr>
          <w:p w14:paraId="131B156C">
            <w:pPr>
              <w:widowControl/>
              <w:spacing w:before="100" w:beforeAutospacing="1" w:after="100" w:afterAutospacing="1" w:line="360" w:lineRule="atLeast"/>
              <w:jc w:val="center"/>
              <w:rPr>
                <w:rFonts w:ascii="宋体" w:hAnsi="宋体" w:cs="宋体"/>
                <w:color w:val="auto"/>
                <w:sz w:val="24"/>
                <w:highlight w:val="none"/>
              </w:rPr>
            </w:pPr>
          </w:p>
        </w:tc>
        <w:tc>
          <w:tcPr>
            <w:tcW w:w="1479" w:type="dxa"/>
            <w:tcMar>
              <w:left w:w="108" w:type="dxa"/>
              <w:right w:w="108" w:type="dxa"/>
            </w:tcMar>
            <w:vAlign w:val="center"/>
          </w:tcPr>
          <w:p w14:paraId="44266280">
            <w:pPr>
              <w:widowControl/>
              <w:spacing w:before="100" w:beforeAutospacing="1" w:after="100" w:afterAutospacing="1" w:line="360" w:lineRule="atLeast"/>
              <w:jc w:val="center"/>
              <w:rPr>
                <w:rFonts w:ascii="宋体" w:hAnsi="宋体" w:cs="宋体"/>
                <w:color w:val="auto"/>
                <w:sz w:val="24"/>
                <w:highlight w:val="none"/>
              </w:rPr>
            </w:pPr>
            <w:r>
              <w:rPr>
                <w:rFonts w:hint="eastAsia" w:ascii="宋体" w:hAnsi="宋体" w:cs="宋体"/>
                <w:color w:val="auto"/>
                <w:sz w:val="24"/>
                <w:highlight w:val="none"/>
              </w:rPr>
              <w:t> </w:t>
            </w:r>
          </w:p>
        </w:tc>
        <w:tc>
          <w:tcPr>
            <w:tcW w:w="1785" w:type="dxa"/>
            <w:tcMar>
              <w:left w:w="108" w:type="dxa"/>
              <w:right w:w="108" w:type="dxa"/>
            </w:tcMar>
            <w:vAlign w:val="center"/>
          </w:tcPr>
          <w:p w14:paraId="3C2D18F3">
            <w:pPr>
              <w:widowControl/>
              <w:spacing w:before="100" w:beforeAutospacing="1" w:after="100" w:afterAutospacing="1" w:line="360" w:lineRule="atLeast"/>
              <w:jc w:val="center"/>
              <w:rPr>
                <w:rFonts w:ascii="宋体" w:hAnsi="宋体" w:cs="宋体"/>
                <w:color w:val="auto"/>
                <w:sz w:val="24"/>
                <w:highlight w:val="none"/>
              </w:rPr>
            </w:pPr>
            <w:r>
              <w:rPr>
                <w:rFonts w:hint="eastAsia" w:ascii="宋体" w:hAnsi="宋体" w:cs="宋体"/>
                <w:color w:val="auto"/>
                <w:sz w:val="24"/>
                <w:highlight w:val="none"/>
              </w:rPr>
              <w:t> </w:t>
            </w:r>
          </w:p>
        </w:tc>
        <w:tc>
          <w:tcPr>
            <w:tcW w:w="1555" w:type="dxa"/>
            <w:tcMar>
              <w:left w:w="108" w:type="dxa"/>
              <w:right w:w="108" w:type="dxa"/>
            </w:tcMar>
            <w:vAlign w:val="center"/>
          </w:tcPr>
          <w:p w14:paraId="7DC7D822">
            <w:pPr>
              <w:widowControl/>
              <w:spacing w:before="100" w:beforeAutospacing="1" w:after="100" w:afterAutospacing="1" w:line="360" w:lineRule="atLeast"/>
              <w:jc w:val="center"/>
              <w:rPr>
                <w:rFonts w:ascii="宋体" w:hAnsi="宋体" w:cs="宋体"/>
                <w:color w:val="auto"/>
                <w:sz w:val="24"/>
                <w:highlight w:val="none"/>
              </w:rPr>
            </w:pPr>
          </w:p>
        </w:tc>
        <w:tc>
          <w:tcPr>
            <w:tcW w:w="1150" w:type="dxa"/>
            <w:tcMar>
              <w:left w:w="108" w:type="dxa"/>
              <w:right w:w="108" w:type="dxa"/>
            </w:tcMar>
            <w:vAlign w:val="center"/>
          </w:tcPr>
          <w:p w14:paraId="21BB9E61">
            <w:pPr>
              <w:widowControl/>
              <w:spacing w:before="100" w:beforeAutospacing="1" w:after="100" w:afterAutospacing="1" w:line="360" w:lineRule="atLeast"/>
              <w:jc w:val="center"/>
              <w:rPr>
                <w:rFonts w:ascii="宋体" w:hAnsi="宋体" w:cs="宋体"/>
                <w:color w:val="auto"/>
                <w:sz w:val="24"/>
                <w:highlight w:val="none"/>
              </w:rPr>
            </w:pPr>
            <w:r>
              <w:rPr>
                <w:rFonts w:hint="eastAsia" w:ascii="宋体" w:hAnsi="宋体" w:cs="宋体"/>
                <w:color w:val="auto"/>
                <w:sz w:val="24"/>
                <w:highlight w:val="none"/>
              </w:rPr>
              <w:t> </w:t>
            </w:r>
          </w:p>
        </w:tc>
      </w:tr>
      <w:tr w14:paraId="3B02F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8" w:hRule="atLeast"/>
          <w:jc w:val="center"/>
        </w:trPr>
        <w:tc>
          <w:tcPr>
            <w:tcW w:w="848" w:type="dxa"/>
            <w:tcMar>
              <w:left w:w="108" w:type="dxa"/>
              <w:right w:w="108" w:type="dxa"/>
            </w:tcMar>
            <w:vAlign w:val="center"/>
          </w:tcPr>
          <w:p w14:paraId="2E8ED407">
            <w:pPr>
              <w:widowControl/>
              <w:spacing w:before="100" w:beforeAutospacing="1" w:after="100" w:afterAutospacing="1" w:line="360" w:lineRule="atLeast"/>
              <w:jc w:val="center"/>
              <w:rPr>
                <w:rFonts w:ascii="宋体" w:hAnsi="宋体" w:cs="宋体"/>
                <w:color w:val="auto"/>
                <w:sz w:val="24"/>
                <w:highlight w:val="none"/>
              </w:rPr>
            </w:pPr>
            <w:r>
              <w:rPr>
                <w:rFonts w:hint="eastAsia" w:ascii="宋体" w:hAnsi="宋体" w:cs="宋体"/>
                <w:color w:val="auto"/>
                <w:sz w:val="24"/>
                <w:highlight w:val="none"/>
              </w:rPr>
              <w:t>···</w:t>
            </w:r>
          </w:p>
        </w:tc>
        <w:tc>
          <w:tcPr>
            <w:tcW w:w="1961" w:type="dxa"/>
            <w:tcMar>
              <w:left w:w="108" w:type="dxa"/>
              <w:right w:w="108" w:type="dxa"/>
            </w:tcMar>
            <w:vAlign w:val="center"/>
          </w:tcPr>
          <w:p w14:paraId="7645770F">
            <w:pPr>
              <w:widowControl/>
              <w:spacing w:before="100" w:beforeAutospacing="1" w:after="100" w:afterAutospacing="1" w:line="360" w:lineRule="atLeast"/>
              <w:jc w:val="center"/>
              <w:rPr>
                <w:rFonts w:ascii="宋体" w:hAnsi="宋体" w:cs="宋体"/>
                <w:color w:val="auto"/>
                <w:sz w:val="24"/>
                <w:highlight w:val="none"/>
              </w:rPr>
            </w:pPr>
          </w:p>
        </w:tc>
        <w:tc>
          <w:tcPr>
            <w:tcW w:w="1479" w:type="dxa"/>
            <w:tcMar>
              <w:left w:w="108" w:type="dxa"/>
              <w:right w:w="108" w:type="dxa"/>
            </w:tcMar>
            <w:vAlign w:val="center"/>
          </w:tcPr>
          <w:p w14:paraId="4975D2CD">
            <w:pPr>
              <w:widowControl/>
              <w:spacing w:before="100" w:beforeAutospacing="1" w:after="100" w:afterAutospacing="1" w:line="360" w:lineRule="atLeast"/>
              <w:jc w:val="center"/>
              <w:rPr>
                <w:rFonts w:ascii="宋体" w:hAnsi="宋体" w:cs="宋体"/>
                <w:color w:val="auto"/>
                <w:sz w:val="24"/>
                <w:highlight w:val="none"/>
              </w:rPr>
            </w:pPr>
            <w:r>
              <w:rPr>
                <w:rFonts w:hint="eastAsia" w:ascii="宋体" w:hAnsi="宋体" w:cs="宋体"/>
                <w:color w:val="auto"/>
                <w:sz w:val="24"/>
                <w:highlight w:val="none"/>
              </w:rPr>
              <w:t> </w:t>
            </w:r>
          </w:p>
        </w:tc>
        <w:tc>
          <w:tcPr>
            <w:tcW w:w="1785" w:type="dxa"/>
            <w:tcMar>
              <w:left w:w="108" w:type="dxa"/>
              <w:right w:w="108" w:type="dxa"/>
            </w:tcMar>
            <w:vAlign w:val="center"/>
          </w:tcPr>
          <w:p w14:paraId="18C718C3">
            <w:pPr>
              <w:widowControl/>
              <w:spacing w:before="100" w:beforeAutospacing="1" w:after="100" w:afterAutospacing="1" w:line="360" w:lineRule="atLeast"/>
              <w:jc w:val="center"/>
              <w:rPr>
                <w:rFonts w:ascii="宋体" w:hAnsi="宋体" w:cs="宋体"/>
                <w:color w:val="auto"/>
                <w:sz w:val="24"/>
                <w:highlight w:val="none"/>
              </w:rPr>
            </w:pPr>
            <w:r>
              <w:rPr>
                <w:rFonts w:hint="eastAsia" w:ascii="宋体" w:hAnsi="宋体" w:cs="宋体"/>
                <w:color w:val="auto"/>
                <w:sz w:val="24"/>
                <w:highlight w:val="none"/>
              </w:rPr>
              <w:t> </w:t>
            </w:r>
          </w:p>
        </w:tc>
        <w:tc>
          <w:tcPr>
            <w:tcW w:w="1555" w:type="dxa"/>
            <w:tcMar>
              <w:left w:w="108" w:type="dxa"/>
              <w:right w:w="108" w:type="dxa"/>
            </w:tcMar>
            <w:vAlign w:val="center"/>
          </w:tcPr>
          <w:p w14:paraId="26F014D0">
            <w:pPr>
              <w:widowControl/>
              <w:spacing w:before="100" w:beforeAutospacing="1" w:after="100" w:afterAutospacing="1" w:line="360" w:lineRule="atLeast"/>
              <w:jc w:val="center"/>
              <w:rPr>
                <w:rFonts w:ascii="宋体" w:hAnsi="宋体" w:cs="宋体"/>
                <w:color w:val="auto"/>
                <w:sz w:val="24"/>
                <w:highlight w:val="none"/>
              </w:rPr>
            </w:pPr>
          </w:p>
        </w:tc>
        <w:tc>
          <w:tcPr>
            <w:tcW w:w="1150" w:type="dxa"/>
            <w:tcMar>
              <w:left w:w="108" w:type="dxa"/>
              <w:right w:w="108" w:type="dxa"/>
            </w:tcMar>
            <w:vAlign w:val="center"/>
          </w:tcPr>
          <w:p w14:paraId="7157AD3D">
            <w:pPr>
              <w:widowControl/>
              <w:spacing w:before="100" w:beforeAutospacing="1" w:after="100" w:afterAutospacing="1" w:line="360" w:lineRule="atLeast"/>
              <w:jc w:val="center"/>
              <w:rPr>
                <w:rFonts w:ascii="宋体" w:hAnsi="宋体" w:cs="宋体"/>
                <w:color w:val="auto"/>
                <w:sz w:val="24"/>
                <w:highlight w:val="none"/>
              </w:rPr>
            </w:pPr>
            <w:r>
              <w:rPr>
                <w:rFonts w:hint="eastAsia" w:ascii="宋体" w:hAnsi="宋体" w:cs="宋体"/>
                <w:color w:val="auto"/>
                <w:sz w:val="24"/>
                <w:highlight w:val="none"/>
              </w:rPr>
              <w:t> </w:t>
            </w:r>
          </w:p>
        </w:tc>
      </w:tr>
    </w:tbl>
    <w:p w14:paraId="76ABD1DA">
      <w:pPr>
        <w:widowControl/>
        <w:shd w:val="clear" w:color="auto" w:fill="FFFFFF"/>
        <w:spacing w:before="100" w:beforeAutospacing="1" w:after="100" w:afterAutospacing="1" w:line="360" w:lineRule="atLeast"/>
        <w:ind w:firstLine="240" w:firstLineChars="100"/>
        <w:rPr>
          <w:rFonts w:ascii="宋体" w:hAnsi="宋体" w:cs="宋体"/>
          <w:color w:val="auto"/>
          <w:kern w:val="0"/>
          <w:sz w:val="27"/>
          <w:szCs w:val="27"/>
          <w:highlight w:val="none"/>
          <w:shd w:val="clear" w:color="auto" w:fill="FFFFFF"/>
        </w:rPr>
      </w:pPr>
      <w:r>
        <w:rPr>
          <w:rFonts w:hint="eastAsia" w:ascii="宋体" w:hAnsi="宋体" w:cs="宋体"/>
          <w:color w:val="auto"/>
          <w:kern w:val="0"/>
          <w:sz w:val="24"/>
          <w:highlight w:val="none"/>
          <w:shd w:val="clear" w:color="auto" w:fill="FFFFFF"/>
        </w:rPr>
        <w:t>注：合同复印件附后。</w:t>
      </w:r>
    </w:p>
    <w:p w14:paraId="15F9139C">
      <w:pPr>
        <w:snapToGrid w:val="0"/>
        <w:spacing w:line="360" w:lineRule="auto"/>
        <w:ind w:right="360" w:firstLine="566" w:firstLineChars="235"/>
        <w:jc w:val="left"/>
        <w:rPr>
          <w:rFonts w:ascii="宋体" w:hAnsi="宋体" w:cs="Arial"/>
          <w:b/>
          <w:color w:val="auto"/>
          <w:sz w:val="24"/>
          <w:highlight w:val="none"/>
        </w:rPr>
      </w:pPr>
      <w:r>
        <w:rPr>
          <w:rFonts w:hint="eastAsia" w:ascii="宋体" w:hAnsi="宋体" w:cs="Arial"/>
          <w:b/>
          <w:color w:val="auto"/>
          <w:sz w:val="24"/>
          <w:highlight w:val="none"/>
        </w:rPr>
        <w:t>此表格式供参考，也可按需要自行制作。</w:t>
      </w:r>
    </w:p>
    <w:p w14:paraId="3E0C9954">
      <w:pPr>
        <w:pStyle w:val="37"/>
        <w:snapToGrid w:val="0"/>
        <w:spacing w:before="152" w:after="160"/>
        <w:rPr>
          <w:rFonts w:ascii="宋体" w:hAnsi="宋体" w:cs="宋体"/>
          <w:color w:val="auto"/>
          <w:szCs w:val="20"/>
          <w:highlight w:val="none"/>
        </w:rPr>
      </w:pPr>
    </w:p>
    <w:p w14:paraId="07F451FB">
      <w:pPr>
        <w:snapToGrid w:val="0"/>
        <w:spacing w:line="360" w:lineRule="auto"/>
        <w:ind w:firstLine="2640" w:firstLineChars="1100"/>
        <w:jc w:val="right"/>
        <w:rPr>
          <w:rFonts w:ascii="宋体" w:hAnsi="宋体" w:cs="宋体"/>
          <w:color w:val="auto"/>
          <w:sz w:val="24"/>
          <w:highlight w:val="none"/>
        </w:rPr>
      </w:pPr>
      <w:r>
        <w:rPr>
          <w:rFonts w:hint="eastAsia" w:ascii="宋体" w:hAnsi="宋体" w:cs="宋体"/>
          <w:color w:val="auto"/>
          <w:sz w:val="24"/>
          <w:highlight w:val="none"/>
          <w:shd w:val="clear" w:color="auto" w:fill="FFFFFF"/>
        </w:rPr>
        <w:t xml:space="preserve"> </w:t>
      </w:r>
      <w:r>
        <w:rPr>
          <w:rFonts w:hint="eastAsia" w:ascii="宋体" w:hAnsi="宋体" w:cs="Arial"/>
          <w:b/>
          <w:bCs/>
          <w:color w:val="auto"/>
          <w:sz w:val="24"/>
          <w:highlight w:val="none"/>
        </w:rPr>
        <w:t> </w:t>
      </w:r>
      <w:r>
        <w:rPr>
          <w:rFonts w:hint="eastAsia" w:ascii="宋体" w:hAnsi="宋体" w:cs="宋体"/>
          <w:color w:val="auto"/>
          <w:sz w:val="24"/>
          <w:highlight w:val="none"/>
        </w:rPr>
        <w:t xml:space="preserve">供应商名称（电子签章/公章）：___________________                      </w:t>
      </w:r>
    </w:p>
    <w:p w14:paraId="22A666A6">
      <w:pPr>
        <w:snapToGrid w:val="0"/>
        <w:spacing w:line="360" w:lineRule="auto"/>
        <w:jc w:val="right"/>
        <w:rPr>
          <w:rFonts w:ascii="宋体" w:hAnsi="宋体" w:cs="宋体"/>
          <w:color w:val="auto"/>
          <w:sz w:val="24"/>
          <w:highlight w:val="none"/>
        </w:rPr>
      </w:pPr>
      <w:r>
        <w:rPr>
          <w:rFonts w:hint="eastAsia" w:ascii="宋体" w:hAnsi="宋体" w:cs="宋体"/>
          <w:color w:val="auto"/>
          <w:sz w:val="24"/>
          <w:highlight w:val="none"/>
        </w:rPr>
        <w:t>_____年___月___日</w:t>
      </w:r>
    </w:p>
    <w:p w14:paraId="0C39A110">
      <w:pPr>
        <w:snapToGrid w:val="0"/>
        <w:spacing w:line="360" w:lineRule="auto"/>
        <w:jc w:val="center"/>
        <w:rPr>
          <w:rFonts w:ascii="宋体" w:hAnsi="宋体" w:cs="宋体"/>
          <w:color w:val="auto"/>
          <w:sz w:val="24"/>
          <w:highlight w:val="none"/>
          <w:shd w:val="clear" w:color="auto" w:fill="FFFFFF"/>
        </w:rPr>
      </w:pPr>
    </w:p>
    <w:p w14:paraId="29877EC4">
      <w:pPr>
        <w:pStyle w:val="183"/>
        <w:spacing w:line="240" w:lineRule="auto"/>
        <w:ind w:firstLine="480"/>
        <w:rPr>
          <w:rFonts w:ascii="宋体" w:hAnsi="宋体" w:cs="宋体"/>
          <w:color w:val="auto"/>
          <w:highlight w:val="none"/>
          <w:shd w:val="clear" w:color="auto" w:fill="FFFFFF"/>
        </w:rPr>
      </w:pPr>
    </w:p>
    <w:p w14:paraId="57A9A5CE">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五、技术/商务响应表</w:t>
      </w:r>
    </w:p>
    <w:p w14:paraId="40ACC6EF">
      <w:pPr>
        <w:snapToGrid w:val="0"/>
        <w:spacing w:line="360" w:lineRule="auto"/>
        <w:ind w:firstLine="482"/>
        <w:rPr>
          <w:rFonts w:ascii="宋体" w:hAnsi="宋体" w:cs="宋体"/>
          <w:b/>
          <w:color w:val="auto"/>
          <w:kern w:val="0"/>
          <w:sz w:val="24"/>
          <w:highlight w:val="none"/>
        </w:rPr>
      </w:pPr>
      <w:r>
        <w:rPr>
          <w:rFonts w:hint="eastAsia" w:ascii="宋体" w:hAnsi="宋体" w:cs="宋体"/>
          <w:b/>
          <w:color w:val="auto"/>
          <w:kern w:val="0"/>
          <w:sz w:val="24"/>
          <w:highlight w:val="none"/>
        </w:rPr>
        <w:t>（必须针对“招标需求”所列的技术参数条目，说明无偏离、正偏离、负偏离等响应情况）</w:t>
      </w:r>
    </w:p>
    <w:p w14:paraId="2464ADC3">
      <w:pPr>
        <w:shd w:val="clear" w:color="auto" w:fill="FFFFFF"/>
        <w:snapToGrid w:val="0"/>
        <w:ind w:firstLine="482"/>
        <w:jc w:val="center"/>
        <w:rPr>
          <w:rFonts w:ascii="宋体" w:hAnsi="宋体"/>
          <w:b/>
          <w:bCs/>
          <w:color w:val="auto"/>
          <w:sz w:val="24"/>
          <w:highlight w:val="none"/>
        </w:rPr>
      </w:pPr>
    </w:p>
    <w:tbl>
      <w:tblPr>
        <w:tblStyle w:val="4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46"/>
        <w:gridCol w:w="3099"/>
        <w:gridCol w:w="2971"/>
        <w:gridCol w:w="1904"/>
      </w:tblGrid>
      <w:tr w14:paraId="0FD276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6" w:hRule="atLeast"/>
          <w:jc w:val="center"/>
        </w:trPr>
        <w:tc>
          <w:tcPr>
            <w:tcW w:w="9020" w:type="dxa"/>
            <w:gridSpan w:val="4"/>
            <w:tcBorders>
              <w:top w:val="single" w:color="auto" w:sz="4" w:space="0"/>
              <w:left w:val="single" w:color="auto" w:sz="4" w:space="0"/>
              <w:bottom w:val="single" w:color="auto" w:sz="4" w:space="0"/>
              <w:right w:val="single" w:color="auto" w:sz="4" w:space="0"/>
            </w:tcBorders>
            <w:vAlign w:val="center"/>
          </w:tcPr>
          <w:p w14:paraId="3E2BB257">
            <w:pPr>
              <w:adjustRightInd w:val="0"/>
              <w:snapToGrid w:val="0"/>
              <w:jc w:val="center"/>
              <w:textAlignment w:val="baseline"/>
              <w:rPr>
                <w:color w:val="auto"/>
                <w:sz w:val="24"/>
                <w:highlight w:val="none"/>
              </w:rPr>
            </w:pPr>
            <w:r>
              <w:rPr>
                <w:rFonts w:hint="eastAsia"/>
                <w:b/>
                <w:bCs/>
                <w:color w:val="auto"/>
                <w:sz w:val="24"/>
                <w:highlight w:val="none"/>
              </w:rPr>
              <w:t>商务部分</w:t>
            </w:r>
          </w:p>
        </w:tc>
      </w:tr>
      <w:tr w14:paraId="6A5F93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1046" w:type="dxa"/>
            <w:tcBorders>
              <w:top w:val="single" w:color="auto" w:sz="4" w:space="0"/>
              <w:left w:val="single" w:color="auto" w:sz="4" w:space="0"/>
              <w:bottom w:val="single" w:color="auto" w:sz="4" w:space="0"/>
              <w:right w:val="single" w:color="auto" w:sz="4" w:space="0"/>
            </w:tcBorders>
            <w:vAlign w:val="center"/>
          </w:tcPr>
          <w:p w14:paraId="27C63F87">
            <w:pPr>
              <w:adjustRightInd w:val="0"/>
              <w:snapToGrid w:val="0"/>
              <w:jc w:val="center"/>
              <w:textAlignment w:val="baseline"/>
              <w:rPr>
                <w:b/>
                <w:bCs/>
                <w:color w:val="auto"/>
                <w:sz w:val="24"/>
                <w:highlight w:val="none"/>
              </w:rPr>
            </w:pPr>
            <w:r>
              <w:rPr>
                <w:rFonts w:hint="eastAsia"/>
                <w:b/>
                <w:bCs/>
                <w:color w:val="auto"/>
                <w:sz w:val="24"/>
                <w:highlight w:val="none"/>
              </w:rPr>
              <w:t>序号</w:t>
            </w:r>
          </w:p>
        </w:tc>
        <w:tc>
          <w:tcPr>
            <w:tcW w:w="3099" w:type="dxa"/>
            <w:tcBorders>
              <w:top w:val="single" w:color="auto" w:sz="4" w:space="0"/>
              <w:left w:val="single" w:color="auto" w:sz="4" w:space="0"/>
              <w:bottom w:val="single" w:color="auto" w:sz="4" w:space="0"/>
              <w:right w:val="single" w:color="auto" w:sz="4" w:space="0"/>
            </w:tcBorders>
            <w:vAlign w:val="center"/>
          </w:tcPr>
          <w:p w14:paraId="1E89C982">
            <w:pPr>
              <w:adjustRightInd w:val="0"/>
              <w:snapToGrid w:val="0"/>
              <w:jc w:val="center"/>
              <w:textAlignment w:val="baseline"/>
              <w:rPr>
                <w:b/>
                <w:bCs/>
                <w:color w:val="auto"/>
                <w:sz w:val="24"/>
                <w:highlight w:val="none"/>
              </w:rPr>
            </w:pPr>
            <w:r>
              <w:rPr>
                <w:rFonts w:hint="eastAsia"/>
                <w:b/>
                <w:bCs/>
                <w:color w:val="auto"/>
                <w:sz w:val="24"/>
                <w:highlight w:val="none"/>
              </w:rPr>
              <w:t>招标文件要求</w:t>
            </w:r>
          </w:p>
        </w:tc>
        <w:tc>
          <w:tcPr>
            <w:tcW w:w="2971" w:type="dxa"/>
            <w:tcBorders>
              <w:top w:val="single" w:color="auto" w:sz="4" w:space="0"/>
              <w:left w:val="single" w:color="auto" w:sz="4" w:space="0"/>
              <w:bottom w:val="single" w:color="auto" w:sz="4" w:space="0"/>
              <w:right w:val="single" w:color="auto" w:sz="4" w:space="0"/>
            </w:tcBorders>
            <w:vAlign w:val="center"/>
          </w:tcPr>
          <w:p w14:paraId="0FC5E8EC">
            <w:pPr>
              <w:adjustRightInd w:val="0"/>
              <w:snapToGrid w:val="0"/>
              <w:jc w:val="center"/>
              <w:textAlignment w:val="baseline"/>
              <w:rPr>
                <w:rFonts w:hAnsi="宋体"/>
                <w:b/>
                <w:bCs/>
                <w:color w:val="auto"/>
                <w:sz w:val="24"/>
                <w:highlight w:val="none"/>
              </w:rPr>
            </w:pPr>
            <w:r>
              <w:rPr>
                <w:rFonts w:hint="eastAsia" w:hAnsi="宋体"/>
                <w:b/>
                <w:bCs/>
                <w:color w:val="auto"/>
                <w:sz w:val="24"/>
                <w:highlight w:val="none"/>
              </w:rPr>
              <w:t>投标文件响应情况</w:t>
            </w:r>
          </w:p>
        </w:tc>
        <w:tc>
          <w:tcPr>
            <w:tcW w:w="1904" w:type="dxa"/>
            <w:tcBorders>
              <w:top w:val="single" w:color="auto" w:sz="4" w:space="0"/>
              <w:left w:val="single" w:color="auto" w:sz="4" w:space="0"/>
              <w:bottom w:val="single" w:color="auto" w:sz="4" w:space="0"/>
              <w:right w:val="single" w:color="auto" w:sz="4" w:space="0"/>
            </w:tcBorders>
            <w:vAlign w:val="center"/>
          </w:tcPr>
          <w:p w14:paraId="191AB785">
            <w:pPr>
              <w:adjustRightInd w:val="0"/>
              <w:snapToGrid w:val="0"/>
              <w:jc w:val="center"/>
              <w:textAlignment w:val="baseline"/>
              <w:rPr>
                <w:rFonts w:hAnsi="宋体"/>
                <w:b/>
                <w:bCs/>
                <w:color w:val="auto"/>
                <w:sz w:val="24"/>
                <w:highlight w:val="none"/>
              </w:rPr>
            </w:pPr>
            <w:r>
              <w:rPr>
                <w:rFonts w:hint="eastAsia" w:hAnsi="宋体"/>
                <w:b/>
                <w:bCs/>
                <w:color w:val="auto"/>
                <w:sz w:val="24"/>
                <w:highlight w:val="none"/>
              </w:rPr>
              <w:t>偏离情况</w:t>
            </w:r>
          </w:p>
        </w:tc>
      </w:tr>
      <w:tr w14:paraId="49C114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6" w:hRule="atLeast"/>
          <w:jc w:val="center"/>
        </w:trPr>
        <w:tc>
          <w:tcPr>
            <w:tcW w:w="1046" w:type="dxa"/>
            <w:tcBorders>
              <w:top w:val="single" w:color="auto" w:sz="4" w:space="0"/>
              <w:left w:val="single" w:color="auto" w:sz="4" w:space="0"/>
              <w:bottom w:val="single" w:color="auto" w:sz="4" w:space="0"/>
              <w:right w:val="single" w:color="auto" w:sz="4" w:space="0"/>
            </w:tcBorders>
            <w:vAlign w:val="center"/>
          </w:tcPr>
          <w:p w14:paraId="59203652">
            <w:pPr>
              <w:adjustRightInd w:val="0"/>
              <w:snapToGrid w:val="0"/>
              <w:jc w:val="center"/>
              <w:textAlignment w:val="baseline"/>
              <w:rPr>
                <w:color w:val="auto"/>
                <w:sz w:val="24"/>
                <w:highlight w:val="none"/>
              </w:rPr>
            </w:pPr>
          </w:p>
        </w:tc>
        <w:tc>
          <w:tcPr>
            <w:tcW w:w="3099" w:type="dxa"/>
            <w:tcBorders>
              <w:top w:val="single" w:color="auto" w:sz="4" w:space="0"/>
              <w:left w:val="single" w:color="auto" w:sz="4" w:space="0"/>
              <w:bottom w:val="single" w:color="auto" w:sz="4" w:space="0"/>
              <w:right w:val="single" w:color="auto" w:sz="4" w:space="0"/>
            </w:tcBorders>
            <w:vAlign w:val="center"/>
          </w:tcPr>
          <w:p w14:paraId="44E3D92C">
            <w:pPr>
              <w:adjustRightInd w:val="0"/>
              <w:snapToGrid w:val="0"/>
              <w:jc w:val="center"/>
              <w:textAlignment w:val="baseline"/>
              <w:rPr>
                <w:color w:val="auto"/>
                <w:sz w:val="24"/>
                <w:highlight w:val="none"/>
              </w:rPr>
            </w:pPr>
          </w:p>
        </w:tc>
        <w:tc>
          <w:tcPr>
            <w:tcW w:w="2971" w:type="dxa"/>
            <w:tcBorders>
              <w:top w:val="single" w:color="auto" w:sz="4" w:space="0"/>
              <w:left w:val="single" w:color="auto" w:sz="4" w:space="0"/>
              <w:bottom w:val="single" w:color="auto" w:sz="4" w:space="0"/>
              <w:right w:val="single" w:color="auto" w:sz="4" w:space="0"/>
            </w:tcBorders>
            <w:vAlign w:val="center"/>
          </w:tcPr>
          <w:p w14:paraId="46B3A08B">
            <w:pPr>
              <w:adjustRightInd w:val="0"/>
              <w:snapToGrid w:val="0"/>
              <w:jc w:val="center"/>
              <w:textAlignment w:val="baseline"/>
              <w:rPr>
                <w:color w:val="auto"/>
                <w:sz w:val="24"/>
                <w:highlight w:val="none"/>
              </w:rPr>
            </w:pPr>
          </w:p>
        </w:tc>
        <w:tc>
          <w:tcPr>
            <w:tcW w:w="1904" w:type="dxa"/>
            <w:tcBorders>
              <w:top w:val="single" w:color="auto" w:sz="4" w:space="0"/>
              <w:left w:val="single" w:color="auto" w:sz="4" w:space="0"/>
              <w:bottom w:val="single" w:color="auto" w:sz="4" w:space="0"/>
              <w:right w:val="single" w:color="auto" w:sz="4" w:space="0"/>
            </w:tcBorders>
            <w:vAlign w:val="center"/>
          </w:tcPr>
          <w:p w14:paraId="26BAB98A">
            <w:pPr>
              <w:adjustRightInd w:val="0"/>
              <w:snapToGrid w:val="0"/>
              <w:jc w:val="center"/>
              <w:textAlignment w:val="baseline"/>
              <w:rPr>
                <w:color w:val="auto"/>
                <w:sz w:val="24"/>
                <w:highlight w:val="none"/>
              </w:rPr>
            </w:pPr>
          </w:p>
        </w:tc>
      </w:tr>
      <w:tr w14:paraId="60CAFB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6" w:hRule="atLeast"/>
          <w:jc w:val="center"/>
        </w:trPr>
        <w:tc>
          <w:tcPr>
            <w:tcW w:w="1046" w:type="dxa"/>
            <w:tcBorders>
              <w:top w:val="single" w:color="auto" w:sz="4" w:space="0"/>
              <w:left w:val="single" w:color="auto" w:sz="4" w:space="0"/>
              <w:bottom w:val="single" w:color="auto" w:sz="4" w:space="0"/>
              <w:right w:val="single" w:color="auto" w:sz="4" w:space="0"/>
            </w:tcBorders>
            <w:vAlign w:val="center"/>
          </w:tcPr>
          <w:p w14:paraId="50677724">
            <w:pPr>
              <w:adjustRightInd w:val="0"/>
              <w:snapToGrid w:val="0"/>
              <w:jc w:val="center"/>
              <w:textAlignment w:val="baseline"/>
              <w:rPr>
                <w:color w:val="auto"/>
                <w:sz w:val="24"/>
                <w:highlight w:val="none"/>
              </w:rPr>
            </w:pPr>
          </w:p>
        </w:tc>
        <w:tc>
          <w:tcPr>
            <w:tcW w:w="3099" w:type="dxa"/>
            <w:tcBorders>
              <w:top w:val="single" w:color="auto" w:sz="4" w:space="0"/>
              <w:left w:val="single" w:color="auto" w:sz="4" w:space="0"/>
              <w:bottom w:val="single" w:color="auto" w:sz="4" w:space="0"/>
              <w:right w:val="single" w:color="auto" w:sz="4" w:space="0"/>
            </w:tcBorders>
            <w:vAlign w:val="center"/>
          </w:tcPr>
          <w:p w14:paraId="3A57DAFF">
            <w:pPr>
              <w:adjustRightInd w:val="0"/>
              <w:snapToGrid w:val="0"/>
              <w:jc w:val="center"/>
              <w:textAlignment w:val="baseline"/>
              <w:rPr>
                <w:color w:val="auto"/>
                <w:sz w:val="24"/>
                <w:highlight w:val="none"/>
              </w:rPr>
            </w:pPr>
          </w:p>
        </w:tc>
        <w:tc>
          <w:tcPr>
            <w:tcW w:w="2971" w:type="dxa"/>
            <w:tcBorders>
              <w:top w:val="single" w:color="auto" w:sz="4" w:space="0"/>
              <w:left w:val="single" w:color="auto" w:sz="4" w:space="0"/>
              <w:bottom w:val="single" w:color="auto" w:sz="4" w:space="0"/>
              <w:right w:val="single" w:color="auto" w:sz="4" w:space="0"/>
            </w:tcBorders>
            <w:vAlign w:val="center"/>
          </w:tcPr>
          <w:p w14:paraId="7521CB2A">
            <w:pPr>
              <w:adjustRightInd w:val="0"/>
              <w:snapToGrid w:val="0"/>
              <w:jc w:val="center"/>
              <w:textAlignment w:val="baseline"/>
              <w:rPr>
                <w:color w:val="auto"/>
                <w:sz w:val="24"/>
                <w:highlight w:val="none"/>
              </w:rPr>
            </w:pPr>
          </w:p>
        </w:tc>
        <w:tc>
          <w:tcPr>
            <w:tcW w:w="1904" w:type="dxa"/>
            <w:tcBorders>
              <w:top w:val="single" w:color="auto" w:sz="4" w:space="0"/>
              <w:left w:val="single" w:color="auto" w:sz="4" w:space="0"/>
              <w:bottom w:val="single" w:color="auto" w:sz="4" w:space="0"/>
              <w:right w:val="single" w:color="auto" w:sz="4" w:space="0"/>
            </w:tcBorders>
            <w:vAlign w:val="center"/>
          </w:tcPr>
          <w:p w14:paraId="5C510EE0">
            <w:pPr>
              <w:adjustRightInd w:val="0"/>
              <w:snapToGrid w:val="0"/>
              <w:jc w:val="center"/>
              <w:textAlignment w:val="baseline"/>
              <w:rPr>
                <w:color w:val="auto"/>
                <w:sz w:val="24"/>
                <w:highlight w:val="none"/>
              </w:rPr>
            </w:pPr>
          </w:p>
        </w:tc>
      </w:tr>
      <w:tr w14:paraId="270F15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6" w:hRule="atLeast"/>
          <w:jc w:val="center"/>
        </w:trPr>
        <w:tc>
          <w:tcPr>
            <w:tcW w:w="1046" w:type="dxa"/>
            <w:tcBorders>
              <w:top w:val="single" w:color="auto" w:sz="4" w:space="0"/>
              <w:left w:val="single" w:color="auto" w:sz="4" w:space="0"/>
              <w:bottom w:val="single" w:color="auto" w:sz="4" w:space="0"/>
              <w:right w:val="single" w:color="auto" w:sz="4" w:space="0"/>
            </w:tcBorders>
            <w:vAlign w:val="center"/>
          </w:tcPr>
          <w:p w14:paraId="1D7D5FB5">
            <w:pPr>
              <w:adjustRightInd w:val="0"/>
              <w:snapToGrid w:val="0"/>
              <w:jc w:val="center"/>
              <w:textAlignment w:val="baseline"/>
              <w:rPr>
                <w:color w:val="auto"/>
                <w:sz w:val="24"/>
                <w:highlight w:val="none"/>
              </w:rPr>
            </w:pPr>
          </w:p>
        </w:tc>
        <w:tc>
          <w:tcPr>
            <w:tcW w:w="3099" w:type="dxa"/>
            <w:tcBorders>
              <w:top w:val="single" w:color="auto" w:sz="4" w:space="0"/>
              <w:left w:val="single" w:color="auto" w:sz="4" w:space="0"/>
              <w:bottom w:val="single" w:color="auto" w:sz="4" w:space="0"/>
              <w:right w:val="single" w:color="auto" w:sz="4" w:space="0"/>
            </w:tcBorders>
            <w:vAlign w:val="center"/>
          </w:tcPr>
          <w:p w14:paraId="7C6B1BBC">
            <w:pPr>
              <w:adjustRightInd w:val="0"/>
              <w:snapToGrid w:val="0"/>
              <w:jc w:val="center"/>
              <w:textAlignment w:val="baseline"/>
              <w:rPr>
                <w:color w:val="auto"/>
                <w:sz w:val="24"/>
                <w:highlight w:val="none"/>
              </w:rPr>
            </w:pPr>
          </w:p>
        </w:tc>
        <w:tc>
          <w:tcPr>
            <w:tcW w:w="2971" w:type="dxa"/>
            <w:tcBorders>
              <w:top w:val="single" w:color="auto" w:sz="4" w:space="0"/>
              <w:left w:val="single" w:color="auto" w:sz="4" w:space="0"/>
              <w:bottom w:val="single" w:color="auto" w:sz="4" w:space="0"/>
              <w:right w:val="single" w:color="auto" w:sz="4" w:space="0"/>
            </w:tcBorders>
            <w:vAlign w:val="center"/>
          </w:tcPr>
          <w:p w14:paraId="7F9E771E">
            <w:pPr>
              <w:adjustRightInd w:val="0"/>
              <w:snapToGrid w:val="0"/>
              <w:jc w:val="center"/>
              <w:textAlignment w:val="baseline"/>
              <w:rPr>
                <w:color w:val="auto"/>
                <w:sz w:val="24"/>
                <w:highlight w:val="none"/>
              </w:rPr>
            </w:pPr>
          </w:p>
        </w:tc>
        <w:tc>
          <w:tcPr>
            <w:tcW w:w="1904" w:type="dxa"/>
            <w:tcBorders>
              <w:top w:val="single" w:color="auto" w:sz="4" w:space="0"/>
              <w:left w:val="single" w:color="auto" w:sz="4" w:space="0"/>
              <w:bottom w:val="single" w:color="auto" w:sz="4" w:space="0"/>
              <w:right w:val="single" w:color="auto" w:sz="4" w:space="0"/>
            </w:tcBorders>
            <w:vAlign w:val="center"/>
          </w:tcPr>
          <w:p w14:paraId="0FDB4754">
            <w:pPr>
              <w:adjustRightInd w:val="0"/>
              <w:snapToGrid w:val="0"/>
              <w:jc w:val="center"/>
              <w:textAlignment w:val="baseline"/>
              <w:rPr>
                <w:color w:val="auto"/>
                <w:sz w:val="24"/>
                <w:highlight w:val="none"/>
              </w:rPr>
            </w:pPr>
          </w:p>
        </w:tc>
      </w:tr>
      <w:tr w14:paraId="5117AB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6" w:hRule="atLeast"/>
          <w:jc w:val="center"/>
        </w:trPr>
        <w:tc>
          <w:tcPr>
            <w:tcW w:w="1046" w:type="dxa"/>
            <w:tcBorders>
              <w:top w:val="single" w:color="auto" w:sz="4" w:space="0"/>
              <w:left w:val="single" w:color="auto" w:sz="4" w:space="0"/>
              <w:bottom w:val="single" w:color="auto" w:sz="4" w:space="0"/>
              <w:right w:val="single" w:color="auto" w:sz="4" w:space="0"/>
            </w:tcBorders>
            <w:vAlign w:val="center"/>
          </w:tcPr>
          <w:p w14:paraId="24A789F6">
            <w:pPr>
              <w:adjustRightInd w:val="0"/>
              <w:snapToGrid w:val="0"/>
              <w:jc w:val="center"/>
              <w:textAlignment w:val="baseline"/>
              <w:rPr>
                <w:color w:val="auto"/>
                <w:sz w:val="24"/>
                <w:highlight w:val="none"/>
              </w:rPr>
            </w:pPr>
          </w:p>
        </w:tc>
        <w:tc>
          <w:tcPr>
            <w:tcW w:w="3099" w:type="dxa"/>
            <w:tcBorders>
              <w:top w:val="single" w:color="auto" w:sz="4" w:space="0"/>
              <w:left w:val="single" w:color="auto" w:sz="4" w:space="0"/>
              <w:bottom w:val="single" w:color="auto" w:sz="4" w:space="0"/>
              <w:right w:val="single" w:color="auto" w:sz="4" w:space="0"/>
            </w:tcBorders>
            <w:vAlign w:val="center"/>
          </w:tcPr>
          <w:p w14:paraId="13D0879A">
            <w:pPr>
              <w:adjustRightInd w:val="0"/>
              <w:snapToGrid w:val="0"/>
              <w:jc w:val="center"/>
              <w:textAlignment w:val="baseline"/>
              <w:rPr>
                <w:color w:val="auto"/>
                <w:sz w:val="24"/>
                <w:highlight w:val="none"/>
              </w:rPr>
            </w:pPr>
          </w:p>
        </w:tc>
        <w:tc>
          <w:tcPr>
            <w:tcW w:w="2971" w:type="dxa"/>
            <w:tcBorders>
              <w:top w:val="single" w:color="auto" w:sz="4" w:space="0"/>
              <w:left w:val="single" w:color="auto" w:sz="4" w:space="0"/>
              <w:bottom w:val="single" w:color="auto" w:sz="4" w:space="0"/>
              <w:right w:val="single" w:color="auto" w:sz="4" w:space="0"/>
            </w:tcBorders>
            <w:vAlign w:val="center"/>
          </w:tcPr>
          <w:p w14:paraId="667C6D57">
            <w:pPr>
              <w:adjustRightInd w:val="0"/>
              <w:snapToGrid w:val="0"/>
              <w:jc w:val="center"/>
              <w:textAlignment w:val="baseline"/>
              <w:rPr>
                <w:color w:val="auto"/>
                <w:sz w:val="24"/>
                <w:highlight w:val="none"/>
              </w:rPr>
            </w:pPr>
          </w:p>
        </w:tc>
        <w:tc>
          <w:tcPr>
            <w:tcW w:w="1904" w:type="dxa"/>
            <w:tcBorders>
              <w:top w:val="single" w:color="auto" w:sz="4" w:space="0"/>
              <w:left w:val="single" w:color="auto" w:sz="4" w:space="0"/>
              <w:bottom w:val="single" w:color="auto" w:sz="4" w:space="0"/>
              <w:right w:val="single" w:color="auto" w:sz="4" w:space="0"/>
            </w:tcBorders>
            <w:vAlign w:val="center"/>
          </w:tcPr>
          <w:p w14:paraId="59BF7C0D">
            <w:pPr>
              <w:adjustRightInd w:val="0"/>
              <w:snapToGrid w:val="0"/>
              <w:jc w:val="center"/>
              <w:textAlignment w:val="baseline"/>
              <w:rPr>
                <w:color w:val="auto"/>
                <w:sz w:val="24"/>
                <w:highlight w:val="none"/>
              </w:rPr>
            </w:pPr>
          </w:p>
        </w:tc>
      </w:tr>
      <w:tr w14:paraId="74332B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6" w:hRule="atLeast"/>
          <w:jc w:val="center"/>
        </w:trPr>
        <w:tc>
          <w:tcPr>
            <w:tcW w:w="1046" w:type="dxa"/>
            <w:tcBorders>
              <w:top w:val="single" w:color="auto" w:sz="4" w:space="0"/>
              <w:left w:val="single" w:color="auto" w:sz="4" w:space="0"/>
              <w:bottom w:val="single" w:color="auto" w:sz="4" w:space="0"/>
              <w:right w:val="single" w:color="auto" w:sz="4" w:space="0"/>
            </w:tcBorders>
            <w:vAlign w:val="center"/>
          </w:tcPr>
          <w:p w14:paraId="4738F62A">
            <w:pPr>
              <w:adjustRightInd w:val="0"/>
              <w:snapToGrid w:val="0"/>
              <w:jc w:val="center"/>
              <w:textAlignment w:val="baseline"/>
              <w:rPr>
                <w:color w:val="auto"/>
                <w:sz w:val="24"/>
                <w:highlight w:val="none"/>
              </w:rPr>
            </w:pPr>
          </w:p>
        </w:tc>
        <w:tc>
          <w:tcPr>
            <w:tcW w:w="3099" w:type="dxa"/>
            <w:tcBorders>
              <w:top w:val="single" w:color="auto" w:sz="4" w:space="0"/>
              <w:left w:val="single" w:color="auto" w:sz="4" w:space="0"/>
              <w:bottom w:val="single" w:color="auto" w:sz="4" w:space="0"/>
              <w:right w:val="single" w:color="auto" w:sz="4" w:space="0"/>
            </w:tcBorders>
            <w:vAlign w:val="center"/>
          </w:tcPr>
          <w:p w14:paraId="1A11D89F">
            <w:pPr>
              <w:adjustRightInd w:val="0"/>
              <w:snapToGrid w:val="0"/>
              <w:jc w:val="center"/>
              <w:textAlignment w:val="baseline"/>
              <w:rPr>
                <w:color w:val="auto"/>
                <w:sz w:val="24"/>
                <w:highlight w:val="none"/>
              </w:rPr>
            </w:pPr>
          </w:p>
        </w:tc>
        <w:tc>
          <w:tcPr>
            <w:tcW w:w="2971" w:type="dxa"/>
            <w:tcBorders>
              <w:top w:val="single" w:color="auto" w:sz="4" w:space="0"/>
              <w:left w:val="single" w:color="auto" w:sz="4" w:space="0"/>
              <w:bottom w:val="single" w:color="auto" w:sz="4" w:space="0"/>
              <w:right w:val="single" w:color="auto" w:sz="4" w:space="0"/>
            </w:tcBorders>
            <w:vAlign w:val="center"/>
          </w:tcPr>
          <w:p w14:paraId="05CB7297">
            <w:pPr>
              <w:adjustRightInd w:val="0"/>
              <w:snapToGrid w:val="0"/>
              <w:jc w:val="center"/>
              <w:textAlignment w:val="baseline"/>
              <w:rPr>
                <w:color w:val="auto"/>
                <w:sz w:val="24"/>
                <w:highlight w:val="none"/>
              </w:rPr>
            </w:pPr>
          </w:p>
        </w:tc>
        <w:tc>
          <w:tcPr>
            <w:tcW w:w="1904" w:type="dxa"/>
            <w:tcBorders>
              <w:top w:val="single" w:color="auto" w:sz="4" w:space="0"/>
              <w:left w:val="single" w:color="auto" w:sz="4" w:space="0"/>
              <w:bottom w:val="single" w:color="auto" w:sz="4" w:space="0"/>
              <w:right w:val="single" w:color="auto" w:sz="4" w:space="0"/>
            </w:tcBorders>
            <w:vAlign w:val="center"/>
          </w:tcPr>
          <w:p w14:paraId="5D2EE6BA">
            <w:pPr>
              <w:adjustRightInd w:val="0"/>
              <w:snapToGrid w:val="0"/>
              <w:jc w:val="center"/>
              <w:textAlignment w:val="baseline"/>
              <w:rPr>
                <w:color w:val="auto"/>
                <w:sz w:val="24"/>
                <w:highlight w:val="none"/>
              </w:rPr>
            </w:pPr>
          </w:p>
        </w:tc>
      </w:tr>
      <w:tr w14:paraId="4F7317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6" w:hRule="atLeast"/>
          <w:jc w:val="center"/>
        </w:trPr>
        <w:tc>
          <w:tcPr>
            <w:tcW w:w="9020" w:type="dxa"/>
            <w:gridSpan w:val="4"/>
            <w:tcBorders>
              <w:top w:val="single" w:color="auto" w:sz="4" w:space="0"/>
              <w:left w:val="single" w:color="auto" w:sz="4" w:space="0"/>
              <w:bottom w:val="single" w:color="auto" w:sz="4" w:space="0"/>
              <w:right w:val="single" w:color="auto" w:sz="4" w:space="0"/>
            </w:tcBorders>
            <w:vAlign w:val="center"/>
          </w:tcPr>
          <w:p w14:paraId="2E3E7E05">
            <w:pPr>
              <w:adjustRightInd w:val="0"/>
              <w:snapToGrid w:val="0"/>
              <w:jc w:val="center"/>
              <w:textAlignment w:val="baseline"/>
              <w:rPr>
                <w:b/>
                <w:bCs/>
                <w:color w:val="auto"/>
                <w:sz w:val="24"/>
                <w:highlight w:val="none"/>
              </w:rPr>
            </w:pPr>
            <w:r>
              <w:rPr>
                <w:rFonts w:hint="eastAsia"/>
                <w:b/>
                <w:bCs/>
                <w:color w:val="auto"/>
                <w:sz w:val="24"/>
                <w:highlight w:val="none"/>
              </w:rPr>
              <w:t>技术部分</w:t>
            </w:r>
          </w:p>
        </w:tc>
      </w:tr>
      <w:tr w14:paraId="49CDF2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6" w:hRule="atLeast"/>
          <w:jc w:val="center"/>
        </w:trPr>
        <w:tc>
          <w:tcPr>
            <w:tcW w:w="1046" w:type="dxa"/>
            <w:tcBorders>
              <w:top w:val="single" w:color="auto" w:sz="4" w:space="0"/>
              <w:left w:val="single" w:color="auto" w:sz="4" w:space="0"/>
              <w:bottom w:val="single" w:color="auto" w:sz="4" w:space="0"/>
              <w:right w:val="single" w:color="auto" w:sz="4" w:space="0"/>
            </w:tcBorders>
            <w:vAlign w:val="center"/>
          </w:tcPr>
          <w:p w14:paraId="0783E6DD">
            <w:pPr>
              <w:adjustRightInd w:val="0"/>
              <w:snapToGrid w:val="0"/>
              <w:jc w:val="center"/>
              <w:textAlignment w:val="baseline"/>
              <w:rPr>
                <w:color w:val="auto"/>
                <w:sz w:val="24"/>
                <w:highlight w:val="none"/>
              </w:rPr>
            </w:pPr>
            <w:r>
              <w:rPr>
                <w:rFonts w:hint="eastAsia"/>
                <w:b/>
                <w:bCs/>
                <w:color w:val="auto"/>
                <w:sz w:val="24"/>
                <w:highlight w:val="none"/>
              </w:rPr>
              <w:t>序号</w:t>
            </w:r>
          </w:p>
        </w:tc>
        <w:tc>
          <w:tcPr>
            <w:tcW w:w="3099" w:type="dxa"/>
            <w:tcBorders>
              <w:top w:val="single" w:color="auto" w:sz="4" w:space="0"/>
              <w:left w:val="single" w:color="auto" w:sz="4" w:space="0"/>
              <w:bottom w:val="single" w:color="auto" w:sz="4" w:space="0"/>
              <w:right w:val="single" w:color="auto" w:sz="4" w:space="0"/>
            </w:tcBorders>
            <w:vAlign w:val="center"/>
          </w:tcPr>
          <w:p w14:paraId="5B6EA6EA">
            <w:pPr>
              <w:adjustRightInd w:val="0"/>
              <w:snapToGrid w:val="0"/>
              <w:jc w:val="center"/>
              <w:textAlignment w:val="baseline"/>
              <w:rPr>
                <w:color w:val="auto"/>
                <w:sz w:val="24"/>
                <w:highlight w:val="none"/>
              </w:rPr>
            </w:pPr>
            <w:r>
              <w:rPr>
                <w:rFonts w:hint="eastAsia"/>
                <w:b/>
                <w:bCs/>
                <w:color w:val="auto"/>
                <w:sz w:val="24"/>
                <w:highlight w:val="none"/>
              </w:rPr>
              <w:t>招标文件要求</w:t>
            </w:r>
          </w:p>
        </w:tc>
        <w:tc>
          <w:tcPr>
            <w:tcW w:w="2971" w:type="dxa"/>
            <w:tcBorders>
              <w:top w:val="single" w:color="auto" w:sz="4" w:space="0"/>
              <w:left w:val="single" w:color="auto" w:sz="4" w:space="0"/>
              <w:bottom w:val="single" w:color="auto" w:sz="4" w:space="0"/>
              <w:right w:val="single" w:color="auto" w:sz="4" w:space="0"/>
            </w:tcBorders>
            <w:vAlign w:val="center"/>
          </w:tcPr>
          <w:p w14:paraId="67287A67">
            <w:pPr>
              <w:adjustRightInd w:val="0"/>
              <w:snapToGrid w:val="0"/>
              <w:jc w:val="center"/>
              <w:textAlignment w:val="baseline"/>
              <w:rPr>
                <w:color w:val="auto"/>
                <w:sz w:val="24"/>
                <w:highlight w:val="none"/>
              </w:rPr>
            </w:pPr>
            <w:r>
              <w:rPr>
                <w:rFonts w:hint="eastAsia" w:hAnsi="宋体"/>
                <w:b/>
                <w:bCs/>
                <w:color w:val="auto"/>
                <w:sz w:val="24"/>
                <w:highlight w:val="none"/>
              </w:rPr>
              <w:t>投标文件响应情况</w:t>
            </w:r>
          </w:p>
        </w:tc>
        <w:tc>
          <w:tcPr>
            <w:tcW w:w="1904" w:type="dxa"/>
            <w:tcBorders>
              <w:top w:val="single" w:color="auto" w:sz="4" w:space="0"/>
              <w:left w:val="single" w:color="auto" w:sz="4" w:space="0"/>
              <w:bottom w:val="single" w:color="auto" w:sz="4" w:space="0"/>
              <w:right w:val="single" w:color="auto" w:sz="4" w:space="0"/>
            </w:tcBorders>
            <w:vAlign w:val="center"/>
          </w:tcPr>
          <w:p w14:paraId="2823336E">
            <w:pPr>
              <w:adjustRightInd w:val="0"/>
              <w:snapToGrid w:val="0"/>
              <w:jc w:val="center"/>
              <w:textAlignment w:val="baseline"/>
              <w:rPr>
                <w:color w:val="auto"/>
                <w:sz w:val="24"/>
                <w:highlight w:val="none"/>
              </w:rPr>
            </w:pPr>
            <w:r>
              <w:rPr>
                <w:rFonts w:hint="eastAsia" w:hAnsi="宋体"/>
                <w:b/>
                <w:bCs/>
                <w:color w:val="auto"/>
                <w:sz w:val="24"/>
                <w:highlight w:val="none"/>
              </w:rPr>
              <w:t>偏离情况</w:t>
            </w:r>
          </w:p>
        </w:tc>
      </w:tr>
      <w:tr w14:paraId="3302D0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6" w:hRule="atLeast"/>
          <w:jc w:val="center"/>
        </w:trPr>
        <w:tc>
          <w:tcPr>
            <w:tcW w:w="1046" w:type="dxa"/>
            <w:tcBorders>
              <w:top w:val="single" w:color="auto" w:sz="4" w:space="0"/>
              <w:left w:val="single" w:color="auto" w:sz="4" w:space="0"/>
              <w:bottom w:val="single" w:color="auto" w:sz="4" w:space="0"/>
              <w:right w:val="single" w:color="auto" w:sz="4" w:space="0"/>
            </w:tcBorders>
            <w:vAlign w:val="center"/>
          </w:tcPr>
          <w:p w14:paraId="1F0C2E93">
            <w:pPr>
              <w:adjustRightInd w:val="0"/>
              <w:snapToGrid w:val="0"/>
              <w:jc w:val="center"/>
              <w:textAlignment w:val="baseline"/>
              <w:rPr>
                <w:color w:val="auto"/>
                <w:sz w:val="24"/>
                <w:highlight w:val="none"/>
              </w:rPr>
            </w:pPr>
            <w:r>
              <w:rPr>
                <w:color w:val="auto"/>
                <w:sz w:val="24"/>
                <w:highlight w:val="none"/>
              </w:rPr>
              <w:t> </w:t>
            </w:r>
          </w:p>
        </w:tc>
        <w:tc>
          <w:tcPr>
            <w:tcW w:w="3099" w:type="dxa"/>
            <w:tcBorders>
              <w:top w:val="single" w:color="auto" w:sz="4" w:space="0"/>
              <w:left w:val="single" w:color="auto" w:sz="4" w:space="0"/>
              <w:bottom w:val="single" w:color="auto" w:sz="4" w:space="0"/>
              <w:right w:val="single" w:color="auto" w:sz="4" w:space="0"/>
            </w:tcBorders>
            <w:vAlign w:val="center"/>
          </w:tcPr>
          <w:p w14:paraId="3D51697A">
            <w:pPr>
              <w:adjustRightInd w:val="0"/>
              <w:snapToGrid w:val="0"/>
              <w:jc w:val="center"/>
              <w:textAlignment w:val="baseline"/>
              <w:rPr>
                <w:color w:val="auto"/>
                <w:sz w:val="24"/>
                <w:highlight w:val="none"/>
              </w:rPr>
            </w:pPr>
            <w:r>
              <w:rPr>
                <w:color w:val="auto"/>
                <w:sz w:val="24"/>
                <w:highlight w:val="none"/>
              </w:rPr>
              <w:t> </w:t>
            </w:r>
          </w:p>
        </w:tc>
        <w:tc>
          <w:tcPr>
            <w:tcW w:w="2971" w:type="dxa"/>
            <w:tcBorders>
              <w:top w:val="single" w:color="auto" w:sz="4" w:space="0"/>
              <w:left w:val="single" w:color="auto" w:sz="4" w:space="0"/>
              <w:bottom w:val="single" w:color="auto" w:sz="4" w:space="0"/>
              <w:right w:val="single" w:color="auto" w:sz="4" w:space="0"/>
            </w:tcBorders>
            <w:vAlign w:val="center"/>
          </w:tcPr>
          <w:p w14:paraId="4A2DF173">
            <w:pPr>
              <w:adjustRightInd w:val="0"/>
              <w:snapToGrid w:val="0"/>
              <w:jc w:val="center"/>
              <w:textAlignment w:val="baseline"/>
              <w:rPr>
                <w:color w:val="auto"/>
                <w:sz w:val="24"/>
                <w:highlight w:val="none"/>
              </w:rPr>
            </w:pPr>
            <w:r>
              <w:rPr>
                <w:color w:val="auto"/>
                <w:sz w:val="24"/>
                <w:highlight w:val="none"/>
              </w:rPr>
              <w:t> </w:t>
            </w:r>
          </w:p>
        </w:tc>
        <w:tc>
          <w:tcPr>
            <w:tcW w:w="1904" w:type="dxa"/>
            <w:tcBorders>
              <w:top w:val="single" w:color="auto" w:sz="4" w:space="0"/>
              <w:left w:val="single" w:color="auto" w:sz="4" w:space="0"/>
              <w:bottom w:val="single" w:color="auto" w:sz="4" w:space="0"/>
              <w:right w:val="single" w:color="auto" w:sz="4" w:space="0"/>
            </w:tcBorders>
            <w:vAlign w:val="center"/>
          </w:tcPr>
          <w:p w14:paraId="30B30091">
            <w:pPr>
              <w:adjustRightInd w:val="0"/>
              <w:snapToGrid w:val="0"/>
              <w:jc w:val="center"/>
              <w:textAlignment w:val="baseline"/>
              <w:rPr>
                <w:color w:val="auto"/>
                <w:sz w:val="24"/>
                <w:highlight w:val="none"/>
              </w:rPr>
            </w:pPr>
            <w:r>
              <w:rPr>
                <w:color w:val="auto"/>
                <w:sz w:val="24"/>
                <w:highlight w:val="none"/>
              </w:rPr>
              <w:t> </w:t>
            </w:r>
          </w:p>
        </w:tc>
      </w:tr>
      <w:tr w14:paraId="2D6008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0" w:hRule="atLeast"/>
          <w:jc w:val="center"/>
        </w:trPr>
        <w:tc>
          <w:tcPr>
            <w:tcW w:w="1046" w:type="dxa"/>
            <w:tcBorders>
              <w:top w:val="single" w:color="auto" w:sz="4" w:space="0"/>
              <w:left w:val="single" w:color="auto" w:sz="4" w:space="0"/>
              <w:bottom w:val="single" w:color="auto" w:sz="4" w:space="0"/>
              <w:right w:val="single" w:color="auto" w:sz="4" w:space="0"/>
            </w:tcBorders>
            <w:vAlign w:val="center"/>
          </w:tcPr>
          <w:p w14:paraId="081499EB">
            <w:pPr>
              <w:adjustRightInd w:val="0"/>
              <w:snapToGrid w:val="0"/>
              <w:jc w:val="center"/>
              <w:textAlignment w:val="baseline"/>
              <w:rPr>
                <w:color w:val="auto"/>
                <w:sz w:val="24"/>
                <w:highlight w:val="none"/>
              </w:rPr>
            </w:pPr>
            <w:r>
              <w:rPr>
                <w:color w:val="auto"/>
                <w:sz w:val="24"/>
                <w:highlight w:val="none"/>
              </w:rPr>
              <w:t> </w:t>
            </w:r>
          </w:p>
        </w:tc>
        <w:tc>
          <w:tcPr>
            <w:tcW w:w="3099" w:type="dxa"/>
            <w:tcBorders>
              <w:top w:val="single" w:color="auto" w:sz="4" w:space="0"/>
              <w:left w:val="single" w:color="auto" w:sz="4" w:space="0"/>
              <w:bottom w:val="single" w:color="auto" w:sz="4" w:space="0"/>
              <w:right w:val="single" w:color="auto" w:sz="4" w:space="0"/>
            </w:tcBorders>
            <w:vAlign w:val="center"/>
          </w:tcPr>
          <w:p w14:paraId="7089DEB5">
            <w:pPr>
              <w:adjustRightInd w:val="0"/>
              <w:snapToGrid w:val="0"/>
              <w:jc w:val="center"/>
              <w:textAlignment w:val="baseline"/>
              <w:rPr>
                <w:color w:val="auto"/>
                <w:sz w:val="24"/>
                <w:highlight w:val="none"/>
              </w:rPr>
            </w:pPr>
            <w:r>
              <w:rPr>
                <w:color w:val="auto"/>
                <w:sz w:val="24"/>
                <w:highlight w:val="none"/>
              </w:rPr>
              <w:t> </w:t>
            </w:r>
          </w:p>
        </w:tc>
        <w:tc>
          <w:tcPr>
            <w:tcW w:w="2971" w:type="dxa"/>
            <w:tcBorders>
              <w:top w:val="single" w:color="auto" w:sz="4" w:space="0"/>
              <w:left w:val="single" w:color="auto" w:sz="4" w:space="0"/>
              <w:bottom w:val="single" w:color="auto" w:sz="4" w:space="0"/>
              <w:right w:val="single" w:color="auto" w:sz="4" w:space="0"/>
            </w:tcBorders>
            <w:vAlign w:val="center"/>
          </w:tcPr>
          <w:p w14:paraId="35F9825A">
            <w:pPr>
              <w:adjustRightInd w:val="0"/>
              <w:snapToGrid w:val="0"/>
              <w:jc w:val="center"/>
              <w:textAlignment w:val="baseline"/>
              <w:rPr>
                <w:color w:val="auto"/>
                <w:sz w:val="24"/>
                <w:highlight w:val="none"/>
              </w:rPr>
            </w:pPr>
            <w:r>
              <w:rPr>
                <w:color w:val="auto"/>
                <w:sz w:val="24"/>
                <w:highlight w:val="none"/>
              </w:rPr>
              <w:t> </w:t>
            </w:r>
          </w:p>
        </w:tc>
        <w:tc>
          <w:tcPr>
            <w:tcW w:w="1904" w:type="dxa"/>
            <w:tcBorders>
              <w:top w:val="single" w:color="auto" w:sz="4" w:space="0"/>
              <w:left w:val="single" w:color="auto" w:sz="4" w:space="0"/>
              <w:bottom w:val="single" w:color="auto" w:sz="4" w:space="0"/>
              <w:right w:val="single" w:color="auto" w:sz="4" w:space="0"/>
            </w:tcBorders>
            <w:vAlign w:val="center"/>
          </w:tcPr>
          <w:p w14:paraId="1D95B696">
            <w:pPr>
              <w:adjustRightInd w:val="0"/>
              <w:snapToGrid w:val="0"/>
              <w:jc w:val="center"/>
              <w:textAlignment w:val="baseline"/>
              <w:rPr>
                <w:color w:val="auto"/>
                <w:sz w:val="24"/>
                <w:highlight w:val="none"/>
              </w:rPr>
            </w:pPr>
            <w:r>
              <w:rPr>
                <w:color w:val="auto"/>
                <w:sz w:val="24"/>
                <w:highlight w:val="none"/>
              </w:rPr>
              <w:t> </w:t>
            </w:r>
          </w:p>
        </w:tc>
      </w:tr>
      <w:tr w14:paraId="2A743A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8" w:hRule="atLeast"/>
          <w:jc w:val="center"/>
        </w:trPr>
        <w:tc>
          <w:tcPr>
            <w:tcW w:w="1046" w:type="dxa"/>
            <w:tcBorders>
              <w:top w:val="single" w:color="auto" w:sz="4" w:space="0"/>
              <w:left w:val="single" w:color="auto" w:sz="4" w:space="0"/>
              <w:bottom w:val="single" w:color="auto" w:sz="4" w:space="0"/>
              <w:right w:val="single" w:color="auto" w:sz="4" w:space="0"/>
            </w:tcBorders>
            <w:vAlign w:val="center"/>
          </w:tcPr>
          <w:p w14:paraId="5E099A39">
            <w:pPr>
              <w:adjustRightInd w:val="0"/>
              <w:snapToGrid w:val="0"/>
              <w:jc w:val="center"/>
              <w:textAlignment w:val="baseline"/>
              <w:rPr>
                <w:color w:val="auto"/>
                <w:sz w:val="24"/>
                <w:highlight w:val="none"/>
              </w:rPr>
            </w:pPr>
          </w:p>
        </w:tc>
        <w:tc>
          <w:tcPr>
            <w:tcW w:w="3099" w:type="dxa"/>
            <w:tcBorders>
              <w:top w:val="single" w:color="auto" w:sz="4" w:space="0"/>
              <w:left w:val="single" w:color="auto" w:sz="4" w:space="0"/>
              <w:bottom w:val="single" w:color="auto" w:sz="4" w:space="0"/>
              <w:right w:val="single" w:color="auto" w:sz="4" w:space="0"/>
            </w:tcBorders>
            <w:vAlign w:val="center"/>
          </w:tcPr>
          <w:p w14:paraId="0AA9D100">
            <w:pPr>
              <w:adjustRightInd w:val="0"/>
              <w:snapToGrid w:val="0"/>
              <w:jc w:val="center"/>
              <w:textAlignment w:val="baseline"/>
              <w:rPr>
                <w:color w:val="auto"/>
                <w:sz w:val="24"/>
                <w:highlight w:val="none"/>
              </w:rPr>
            </w:pPr>
          </w:p>
        </w:tc>
        <w:tc>
          <w:tcPr>
            <w:tcW w:w="2971" w:type="dxa"/>
            <w:tcBorders>
              <w:top w:val="single" w:color="auto" w:sz="4" w:space="0"/>
              <w:left w:val="single" w:color="auto" w:sz="4" w:space="0"/>
              <w:bottom w:val="single" w:color="auto" w:sz="4" w:space="0"/>
              <w:right w:val="single" w:color="auto" w:sz="4" w:space="0"/>
            </w:tcBorders>
            <w:vAlign w:val="center"/>
          </w:tcPr>
          <w:p w14:paraId="4BA81863">
            <w:pPr>
              <w:adjustRightInd w:val="0"/>
              <w:snapToGrid w:val="0"/>
              <w:jc w:val="center"/>
              <w:textAlignment w:val="baseline"/>
              <w:rPr>
                <w:color w:val="auto"/>
                <w:sz w:val="24"/>
                <w:highlight w:val="none"/>
              </w:rPr>
            </w:pPr>
          </w:p>
        </w:tc>
        <w:tc>
          <w:tcPr>
            <w:tcW w:w="1904" w:type="dxa"/>
            <w:tcBorders>
              <w:top w:val="single" w:color="auto" w:sz="4" w:space="0"/>
              <w:left w:val="single" w:color="auto" w:sz="4" w:space="0"/>
              <w:bottom w:val="single" w:color="auto" w:sz="4" w:space="0"/>
              <w:right w:val="single" w:color="auto" w:sz="4" w:space="0"/>
            </w:tcBorders>
            <w:vAlign w:val="center"/>
          </w:tcPr>
          <w:p w14:paraId="26FE549E">
            <w:pPr>
              <w:adjustRightInd w:val="0"/>
              <w:snapToGrid w:val="0"/>
              <w:jc w:val="center"/>
              <w:textAlignment w:val="baseline"/>
              <w:rPr>
                <w:color w:val="auto"/>
                <w:sz w:val="24"/>
                <w:highlight w:val="none"/>
              </w:rPr>
            </w:pPr>
          </w:p>
        </w:tc>
      </w:tr>
      <w:tr w14:paraId="67AC0F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8" w:hRule="atLeast"/>
          <w:jc w:val="center"/>
        </w:trPr>
        <w:tc>
          <w:tcPr>
            <w:tcW w:w="1046" w:type="dxa"/>
            <w:tcBorders>
              <w:top w:val="single" w:color="auto" w:sz="4" w:space="0"/>
              <w:left w:val="single" w:color="auto" w:sz="4" w:space="0"/>
              <w:bottom w:val="single" w:color="auto" w:sz="4" w:space="0"/>
              <w:right w:val="single" w:color="auto" w:sz="4" w:space="0"/>
            </w:tcBorders>
            <w:vAlign w:val="center"/>
          </w:tcPr>
          <w:p w14:paraId="0291AE2D">
            <w:pPr>
              <w:adjustRightInd w:val="0"/>
              <w:snapToGrid w:val="0"/>
              <w:jc w:val="center"/>
              <w:textAlignment w:val="baseline"/>
              <w:rPr>
                <w:color w:val="auto"/>
                <w:sz w:val="24"/>
                <w:highlight w:val="none"/>
              </w:rPr>
            </w:pPr>
          </w:p>
        </w:tc>
        <w:tc>
          <w:tcPr>
            <w:tcW w:w="3099" w:type="dxa"/>
            <w:tcBorders>
              <w:top w:val="single" w:color="auto" w:sz="4" w:space="0"/>
              <w:left w:val="single" w:color="auto" w:sz="4" w:space="0"/>
              <w:bottom w:val="single" w:color="auto" w:sz="4" w:space="0"/>
              <w:right w:val="single" w:color="auto" w:sz="4" w:space="0"/>
            </w:tcBorders>
            <w:vAlign w:val="center"/>
          </w:tcPr>
          <w:p w14:paraId="7B5280CB">
            <w:pPr>
              <w:adjustRightInd w:val="0"/>
              <w:snapToGrid w:val="0"/>
              <w:jc w:val="center"/>
              <w:textAlignment w:val="baseline"/>
              <w:rPr>
                <w:color w:val="auto"/>
                <w:sz w:val="24"/>
                <w:highlight w:val="none"/>
              </w:rPr>
            </w:pPr>
          </w:p>
        </w:tc>
        <w:tc>
          <w:tcPr>
            <w:tcW w:w="2971" w:type="dxa"/>
            <w:tcBorders>
              <w:top w:val="single" w:color="auto" w:sz="4" w:space="0"/>
              <w:left w:val="single" w:color="auto" w:sz="4" w:space="0"/>
              <w:bottom w:val="single" w:color="auto" w:sz="4" w:space="0"/>
              <w:right w:val="single" w:color="auto" w:sz="4" w:space="0"/>
            </w:tcBorders>
            <w:vAlign w:val="center"/>
          </w:tcPr>
          <w:p w14:paraId="5AEE602E">
            <w:pPr>
              <w:adjustRightInd w:val="0"/>
              <w:snapToGrid w:val="0"/>
              <w:jc w:val="center"/>
              <w:textAlignment w:val="baseline"/>
              <w:rPr>
                <w:color w:val="auto"/>
                <w:sz w:val="24"/>
                <w:highlight w:val="none"/>
              </w:rPr>
            </w:pPr>
          </w:p>
        </w:tc>
        <w:tc>
          <w:tcPr>
            <w:tcW w:w="1904" w:type="dxa"/>
            <w:tcBorders>
              <w:top w:val="single" w:color="auto" w:sz="4" w:space="0"/>
              <w:left w:val="single" w:color="auto" w:sz="4" w:space="0"/>
              <w:bottom w:val="single" w:color="auto" w:sz="4" w:space="0"/>
              <w:right w:val="single" w:color="auto" w:sz="4" w:space="0"/>
            </w:tcBorders>
            <w:vAlign w:val="center"/>
          </w:tcPr>
          <w:p w14:paraId="48E695A1">
            <w:pPr>
              <w:adjustRightInd w:val="0"/>
              <w:snapToGrid w:val="0"/>
              <w:jc w:val="center"/>
              <w:textAlignment w:val="baseline"/>
              <w:rPr>
                <w:color w:val="auto"/>
                <w:sz w:val="24"/>
                <w:highlight w:val="none"/>
              </w:rPr>
            </w:pPr>
          </w:p>
        </w:tc>
      </w:tr>
      <w:tr w14:paraId="564626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7" w:hRule="atLeast"/>
          <w:jc w:val="center"/>
        </w:trPr>
        <w:tc>
          <w:tcPr>
            <w:tcW w:w="1046" w:type="dxa"/>
            <w:tcBorders>
              <w:top w:val="single" w:color="auto" w:sz="4" w:space="0"/>
              <w:left w:val="single" w:color="auto" w:sz="4" w:space="0"/>
              <w:bottom w:val="single" w:color="auto" w:sz="4" w:space="0"/>
              <w:right w:val="single" w:color="auto" w:sz="4" w:space="0"/>
            </w:tcBorders>
            <w:vAlign w:val="center"/>
          </w:tcPr>
          <w:p w14:paraId="40F28123">
            <w:pPr>
              <w:adjustRightInd w:val="0"/>
              <w:snapToGrid w:val="0"/>
              <w:jc w:val="center"/>
              <w:textAlignment w:val="baseline"/>
              <w:rPr>
                <w:color w:val="auto"/>
                <w:sz w:val="24"/>
                <w:highlight w:val="none"/>
              </w:rPr>
            </w:pPr>
          </w:p>
        </w:tc>
        <w:tc>
          <w:tcPr>
            <w:tcW w:w="3099" w:type="dxa"/>
            <w:tcBorders>
              <w:top w:val="single" w:color="auto" w:sz="4" w:space="0"/>
              <w:left w:val="single" w:color="auto" w:sz="4" w:space="0"/>
              <w:bottom w:val="single" w:color="auto" w:sz="4" w:space="0"/>
              <w:right w:val="single" w:color="auto" w:sz="4" w:space="0"/>
            </w:tcBorders>
            <w:vAlign w:val="center"/>
          </w:tcPr>
          <w:p w14:paraId="2A1E720B">
            <w:pPr>
              <w:adjustRightInd w:val="0"/>
              <w:snapToGrid w:val="0"/>
              <w:jc w:val="center"/>
              <w:textAlignment w:val="baseline"/>
              <w:rPr>
                <w:color w:val="auto"/>
                <w:sz w:val="24"/>
                <w:highlight w:val="none"/>
              </w:rPr>
            </w:pPr>
          </w:p>
        </w:tc>
        <w:tc>
          <w:tcPr>
            <w:tcW w:w="2971" w:type="dxa"/>
            <w:tcBorders>
              <w:top w:val="single" w:color="auto" w:sz="4" w:space="0"/>
              <w:left w:val="single" w:color="auto" w:sz="4" w:space="0"/>
              <w:bottom w:val="single" w:color="auto" w:sz="4" w:space="0"/>
              <w:right w:val="single" w:color="auto" w:sz="4" w:space="0"/>
            </w:tcBorders>
            <w:vAlign w:val="center"/>
          </w:tcPr>
          <w:p w14:paraId="5ED9F963">
            <w:pPr>
              <w:adjustRightInd w:val="0"/>
              <w:snapToGrid w:val="0"/>
              <w:jc w:val="center"/>
              <w:textAlignment w:val="baseline"/>
              <w:rPr>
                <w:color w:val="auto"/>
                <w:sz w:val="24"/>
                <w:highlight w:val="none"/>
              </w:rPr>
            </w:pPr>
          </w:p>
        </w:tc>
        <w:tc>
          <w:tcPr>
            <w:tcW w:w="1904" w:type="dxa"/>
            <w:tcBorders>
              <w:top w:val="single" w:color="auto" w:sz="4" w:space="0"/>
              <w:left w:val="single" w:color="auto" w:sz="4" w:space="0"/>
              <w:bottom w:val="single" w:color="auto" w:sz="4" w:space="0"/>
              <w:right w:val="single" w:color="auto" w:sz="4" w:space="0"/>
            </w:tcBorders>
            <w:vAlign w:val="center"/>
          </w:tcPr>
          <w:p w14:paraId="478D03D7">
            <w:pPr>
              <w:adjustRightInd w:val="0"/>
              <w:snapToGrid w:val="0"/>
              <w:jc w:val="center"/>
              <w:textAlignment w:val="baseline"/>
              <w:rPr>
                <w:color w:val="auto"/>
                <w:sz w:val="24"/>
                <w:highlight w:val="none"/>
              </w:rPr>
            </w:pPr>
          </w:p>
        </w:tc>
      </w:tr>
    </w:tbl>
    <w:p w14:paraId="2C922569">
      <w:pPr>
        <w:snapToGrid w:val="0"/>
        <w:spacing w:line="360" w:lineRule="auto"/>
        <w:ind w:firstLine="482"/>
        <w:rPr>
          <w:rFonts w:ascii="宋体" w:hAnsi="宋体" w:cs="宋体"/>
          <w:color w:val="auto"/>
          <w:sz w:val="24"/>
          <w:highlight w:val="none"/>
        </w:rPr>
      </w:pPr>
      <w:r>
        <w:rPr>
          <w:rFonts w:hint="eastAsia" w:ascii="宋体" w:hAnsi="宋体" w:cs="宋体"/>
          <w:b/>
          <w:color w:val="auto"/>
          <w:kern w:val="0"/>
          <w:sz w:val="24"/>
          <w:highlight w:val="none"/>
        </w:rPr>
        <w:t>供应商拟提供的技术或服务与本招标文件中采购项目要求不一致时，则必须在《技术/商务响应表》中予以明确，否则将视为供应商完全响应招标文件的要求，并以招标文件作为合同条件。</w:t>
      </w:r>
    </w:p>
    <w:p w14:paraId="180FE780">
      <w:pPr>
        <w:shd w:val="clear" w:color="auto" w:fill="FFFFFF"/>
        <w:snapToGrid w:val="0"/>
        <w:spacing w:after="50"/>
        <w:ind w:firstLine="3240" w:firstLineChars="1350"/>
        <w:rPr>
          <w:rFonts w:ascii="宋体" w:hAnsi="宋体"/>
          <w:color w:val="auto"/>
          <w:sz w:val="24"/>
          <w:highlight w:val="none"/>
        </w:rPr>
      </w:pPr>
    </w:p>
    <w:p w14:paraId="3C077335">
      <w:pPr>
        <w:snapToGrid w:val="0"/>
        <w:spacing w:line="360" w:lineRule="auto"/>
        <w:ind w:firstLine="2640" w:firstLineChars="1100"/>
        <w:jc w:val="right"/>
        <w:rPr>
          <w:rFonts w:ascii="宋体" w:hAnsi="宋体" w:cs="宋体"/>
          <w:color w:val="auto"/>
          <w:sz w:val="24"/>
          <w:highlight w:val="none"/>
        </w:rPr>
      </w:pPr>
      <w:r>
        <w:rPr>
          <w:rFonts w:hint="eastAsia" w:ascii="宋体" w:hAnsi="宋体" w:cs="宋体"/>
          <w:color w:val="auto"/>
          <w:sz w:val="24"/>
          <w:highlight w:val="none"/>
        </w:rPr>
        <w:t xml:space="preserve">供应商名称（电子签章/公章）：___________________                              </w:t>
      </w:r>
    </w:p>
    <w:p w14:paraId="0EEEFD3F">
      <w:pPr>
        <w:snapToGrid w:val="0"/>
        <w:spacing w:before="50" w:after="120" w:afterLines="50"/>
        <w:ind w:firstLine="4800" w:firstLineChars="2000"/>
        <w:jc w:val="left"/>
        <w:rPr>
          <w:rFonts w:ascii="宋体" w:hAnsi="宋体" w:cs="宋体"/>
          <w:b/>
          <w:color w:val="auto"/>
          <w:kern w:val="0"/>
          <w:sz w:val="32"/>
          <w:szCs w:val="32"/>
          <w:highlight w:val="none"/>
        </w:rPr>
      </w:pPr>
      <w:r>
        <w:rPr>
          <w:rFonts w:hint="eastAsia" w:ascii="宋体" w:hAnsi="宋体" w:cs="宋体"/>
          <w:color w:val="auto"/>
          <w:sz w:val="24"/>
          <w:highlight w:val="none"/>
        </w:rPr>
        <w:t>_____年___月___日</w:t>
      </w:r>
    </w:p>
    <w:p w14:paraId="04C86BC5">
      <w:pPr>
        <w:ind w:firstLine="643"/>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04E9C264">
      <w:pPr>
        <w:snapToGrid w:val="0"/>
        <w:spacing w:line="400" w:lineRule="exact"/>
        <w:jc w:val="center"/>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rPr>
        <w:t>六、</w:t>
      </w:r>
      <w:r>
        <w:rPr>
          <w:rFonts w:hint="eastAsia" w:ascii="宋体" w:hAnsi="宋体" w:cs="宋体"/>
          <w:b/>
          <w:color w:val="auto"/>
          <w:kern w:val="0"/>
          <w:sz w:val="32"/>
          <w:szCs w:val="32"/>
          <w:highlight w:val="none"/>
          <w:lang w:val="en-US" w:eastAsia="zh-CN"/>
        </w:rPr>
        <w:t>项目技术及实施方案；</w:t>
      </w:r>
    </w:p>
    <w:p w14:paraId="485C5E61">
      <w:pPr>
        <w:keepNext w:val="0"/>
        <w:keepLines w:val="0"/>
        <w:pageBreakBefore w:val="0"/>
        <w:widowControl w:val="0"/>
        <w:tabs>
          <w:tab w:val="left" w:pos="720"/>
        </w:tabs>
        <w:kinsoku/>
        <w:wordWrap/>
        <w:overflowPunct/>
        <w:topLinePunct w:val="0"/>
        <w:autoSpaceDE/>
        <w:autoSpaceDN/>
        <w:bidi w:val="0"/>
        <w:adjustRightInd/>
        <w:spacing w:line="360" w:lineRule="exact"/>
        <w:ind w:firstLine="480" w:firstLineChars="200"/>
        <w:textAlignment w:val="auto"/>
        <w:rPr>
          <w:rFonts w:hint="eastAsia" w:ascii="宋体" w:hAnsi="宋体" w:cs="Courier New"/>
          <w:color w:val="auto"/>
          <w:kern w:val="0"/>
          <w:sz w:val="24"/>
          <w:highlight w:val="none"/>
        </w:rPr>
      </w:pPr>
      <w:r>
        <w:rPr>
          <w:rFonts w:hint="eastAsia" w:ascii="宋体" w:hAnsi="宋体" w:cs="Courier New"/>
          <w:color w:val="auto"/>
          <w:kern w:val="0"/>
          <w:sz w:val="24"/>
          <w:highlight w:val="none"/>
        </w:rPr>
        <w:t>a.</w:t>
      </w:r>
      <w:r>
        <w:rPr>
          <w:rFonts w:hint="eastAsia" w:ascii="宋体" w:hAnsi="宋体" w:cs="宋体"/>
          <w:b w:val="0"/>
          <w:bCs w:val="0"/>
          <w:color w:val="auto"/>
          <w:sz w:val="24"/>
          <w:szCs w:val="24"/>
          <w:highlight w:val="none"/>
          <w:lang w:val="en-US" w:eastAsia="zh-CN"/>
        </w:rPr>
        <w:t>文物保护单位（古建筑）实施</w:t>
      </w:r>
      <w:r>
        <w:rPr>
          <w:rFonts w:hint="eastAsia" w:ascii="宋体" w:hAnsi="宋体" w:eastAsia="宋体" w:cs="宋体"/>
          <w:b w:val="0"/>
          <w:bCs w:val="0"/>
          <w:color w:val="auto"/>
          <w:sz w:val="24"/>
          <w:szCs w:val="24"/>
          <w:highlight w:val="none"/>
        </w:rPr>
        <w:t>展览需求分析</w:t>
      </w:r>
      <w:r>
        <w:rPr>
          <w:rFonts w:hint="eastAsia" w:ascii="宋体" w:hAnsi="宋体" w:cs="Courier New"/>
          <w:color w:val="auto"/>
          <w:kern w:val="0"/>
          <w:sz w:val="24"/>
          <w:highlight w:val="none"/>
        </w:rPr>
        <w:t>；</w:t>
      </w:r>
    </w:p>
    <w:p w14:paraId="2BC493A7">
      <w:pPr>
        <w:keepNext w:val="0"/>
        <w:keepLines w:val="0"/>
        <w:pageBreakBefore w:val="0"/>
        <w:widowControl w:val="0"/>
        <w:tabs>
          <w:tab w:val="left" w:pos="720"/>
        </w:tabs>
        <w:kinsoku/>
        <w:wordWrap/>
        <w:overflowPunct/>
        <w:topLinePunct w:val="0"/>
        <w:autoSpaceDE/>
        <w:autoSpaceDN/>
        <w:bidi w:val="0"/>
        <w:adjustRightInd/>
        <w:spacing w:line="360" w:lineRule="exact"/>
        <w:ind w:firstLine="480" w:firstLineChars="200"/>
        <w:textAlignment w:val="auto"/>
        <w:rPr>
          <w:rFonts w:hint="eastAsia" w:ascii="宋体" w:hAnsi="宋体" w:cs="Courier New"/>
          <w:color w:val="auto"/>
          <w:kern w:val="0"/>
          <w:sz w:val="24"/>
          <w:highlight w:val="none"/>
        </w:rPr>
      </w:pPr>
      <w:r>
        <w:rPr>
          <w:rFonts w:hint="eastAsia" w:ascii="宋体" w:hAnsi="宋体" w:cs="Courier New"/>
          <w:color w:val="auto"/>
          <w:kern w:val="0"/>
          <w:sz w:val="24"/>
          <w:highlight w:val="none"/>
        </w:rPr>
        <w:t>b.</w:t>
      </w:r>
      <w:r>
        <w:rPr>
          <w:rFonts w:hint="eastAsia" w:ascii="宋体" w:hAnsi="宋体" w:cs="宋体"/>
          <w:color w:val="auto"/>
          <w:sz w:val="24"/>
          <w:highlight w:val="none"/>
          <w:lang w:val="en-US" w:eastAsia="zh-CN"/>
        </w:rPr>
        <w:t>场地了解与分析</w:t>
      </w:r>
      <w:r>
        <w:rPr>
          <w:rFonts w:hint="eastAsia" w:ascii="宋体" w:hAnsi="宋体" w:cs="Courier New"/>
          <w:color w:val="auto"/>
          <w:kern w:val="0"/>
          <w:sz w:val="24"/>
          <w:highlight w:val="none"/>
        </w:rPr>
        <w:t>；</w:t>
      </w:r>
    </w:p>
    <w:p w14:paraId="2BB0A809">
      <w:pPr>
        <w:keepNext w:val="0"/>
        <w:keepLines w:val="0"/>
        <w:pageBreakBefore w:val="0"/>
        <w:widowControl w:val="0"/>
        <w:tabs>
          <w:tab w:val="left" w:pos="720"/>
        </w:tabs>
        <w:kinsoku/>
        <w:wordWrap/>
        <w:overflowPunct/>
        <w:topLinePunct w:val="0"/>
        <w:autoSpaceDE/>
        <w:autoSpaceDN/>
        <w:bidi w:val="0"/>
        <w:adjustRightInd/>
        <w:spacing w:line="360" w:lineRule="exact"/>
        <w:ind w:firstLine="480" w:firstLineChars="200"/>
        <w:textAlignment w:val="auto"/>
        <w:rPr>
          <w:rFonts w:hint="eastAsia" w:ascii="宋体" w:hAnsi="宋体" w:cs="Courier New"/>
          <w:color w:val="auto"/>
          <w:kern w:val="0"/>
          <w:sz w:val="24"/>
          <w:highlight w:val="none"/>
        </w:rPr>
      </w:pPr>
      <w:r>
        <w:rPr>
          <w:rFonts w:hint="eastAsia" w:ascii="宋体" w:hAnsi="宋体" w:cs="Courier New"/>
          <w:color w:val="auto"/>
          <w:kern w:val="0"/>
          <w:sz w:val="24"/>
          <w:highlight w:val="none"/>
        </w:rPr>
        <w:t>c.</w:t>
      </w:r>
      <w:r>
        <w:rPr>
          <w:rFonts w:hint="eastAsia" w:ascii="宋体" w:hAnsi="宋体" w:eastAsia="宋体" w:cs="宋体"/>
          <w:color w:val="auto"/>
          <w:sz w:val="24"/>
          <w:szCs w:val="24"/>
          <w:highlight w:val="none"/>
          <w:lang w:eastAsia="zh-CN"/>
        </w:rPr>
        <w:t>策划</w:t>
      </w:r>
      <w:r>
        <w:rPr>
          <w:rFonts w:hint="eastAsia" w:hAnsi="宋体" w:cs="宋体"/>
          <w:color w:val="auto"/>
          <w:sz w:val="24"/>
          <w:szCs w:val="24"/>
          <w:highlight w:val="none"/>
          <w:lang w:val="en-US" w:eastAsia="zh-CN"/>
        </w:rPr>
        <w:t>方案</w:t>
      </w:r>
      <w:r>
        <w:rPr>
          <w:rFonts w:hint="eastAsia" w:ascii="宋体" w:hAnsi="宋体" w:eastAsia="宋体" w:cs="宋体"/>
          <w:color w:val="auto"/>
          <w:sz w:val="24"/>
          <w:szCs w:val="24"/>
          <w:highlight w:val="none"/>
          <w:lang w:eastAsia="zh-CN"/>
        </w:rPr>
        <w:t>文本</w:t>
      </w:r>
      <w:r>
        <w:rPr>
          <w:rFonts w:hint="eastAsia" w:ascii="宋体" w:hAnsi="宋体" w:cs="Courier New"/>
          <w:color w:val="auto"/>
          <w:kern w:val="0"/>
          <w:sz w:val="24"/>
          <w:highlight w:val="none"/>
        </w:rPr>
        <w:t>；</w:t>
      </w:r>
    </w:p>
    <w:p w14:paraId="229E5FA7">
      <w:pPr>
        <w:keepNext w:val="0"/>
        <w:keepLines w:val="0"/>
        <w:pageBreakBefore w:val="0"/>
        <w:widowControl w:val="0"/>
        <w:tabs>
          <w:tab w:val="left" w:pos="720"/>
        </w:tabs>
        <w:kinsoku/>
        <w:wordWrap/>
        <w:overflowPunct/>
        <w:topLinePunct w:val="0"/>
        <w:autoSpaceDE/>
        <w:autoSpaceDN/>
        <w:bidi w:val="0"/>
        <w:adjustRightInd/>
        <w:spacing w:line="360" w:lineRule="exact"/>
        <w:ind w:firstLine="480" w:firstLineChars="200"/>
        <w:textAlignment w:val="auto"/>
        <w:rPr>
          <w:rFonts w:hint="eastAsia" w:ascii="宋体" w:hAnsi="宋体" w:cs="Courier New"/>
          <w:color w:val="auto"/>
          <w:kern w:val="0"/>
          <w:sz w:val="24"/>
          <w:highlight w:val="none"/>
        </w:rPr>
      </w:pPr>
      <w:r>
        <w:rPr>
          <w:rFonts w:hint="eastAsia" w:ascii="宋体" w:hAnsi="宋体" w:cs="Courier New"/>
          <w:color w:val="auto"/>
          <w:kern w:val="0"/>
          <w:sz w:val="24"/>
          <w:highlight w:val="none"/>
        </w:rPr>
        <w:t>d.</w:t>
      </w:r>
      <w:r>
        <w:rPr>
          <w:rFonts w:hint="eastAsia" w:ascii="宋体" w:hAnsi="宋体" w:cs="宋体"/>
          <w:color w:val="auto"/>
          <w:sz w:val="24"/>
          <w:highlight w:val="none"/>
          <w:lang w:val="en-US" w:eastAsia="zh-CN"/>
        </w:rPr>
        <w:t>设计方案及对应清单细化情况</w:t>
      </w:r>
      <w:r>
        <w:rPr>
          <w:rFonts w:hint="eastAsia" w:ascii="宋体" w:hAnsi="宋体" w:cs="Courier New"/>
          <w:color w:val="auto"/>
          <w:kern w:val="0"/>
          <w:sz w:val="24"/>
          <w:highlight w:val="none"/>
        </w:rPr>
        <w:t>；</w:t>
      </w:r>
    </w:p>
    <w:p w14:paraId="7F5E53B7">
      <w:pPr>
        <w:pStyle w:val="4"/>
        <w:rPr>
          <w:rFonts w:hint="eastAsia" w:ascii="宋体" w:hAnsi="宋体" w:cs="Courier New"/>
          <w:b w:val="0"/>
          <w:bCs/>
          <w:color w:val="auto"/>
          <w:kern w:val="0"/>
          <w:sz w:val="24"/>
          <w:highlight w:val="none"/>
          <w:lang w:val="en-US" w:eastAsia="zh-CN"/>
        </w:rPr>
      </w:pPr>
      <w:r>
        <w:rPr>
          <w:rFonts w:hint="eastAsia" w:ascii="宋体" w:hAnsi="宋体" w:cs="Courier New"/>
          <w:b w:val="0"/>
          <w:bCs/>
          <w:color w:val="auto"/>
          <w:kern w:val="0"/>
          <w:sz w:val="24"/>
          <w:highlight w:val="none"/>
          <w:lang w:eastAsia="zh-CN"/>
        </w:rPr>
        <w:t>（</w:t>
      </w:r>
      <w:r>
        <w:rPr>
          <w:rFonts w:hint="eastAsia" w:ascii="宋体" w:hAnsi="宋体" w:cs="Courier New"/>
          <w:b w:val="0"/>
          <w:bCs/>
          <w:color w:val="auto"/>
          <w:kern w:val="0"/>
          <w:sz w:val="24"/>
          <w:highlight w:val="none"/>
          <w:lang w:val="en-US" w:eastAsia="zh-CN"/>
        </w:rPr>
        <w:t>1</w:t>
      </w:r>
      <w:r>
        <w:rPr>
          <w:rFonts w:hint="eastAsia" w:ascii="宋体" w:hAnsi="宋体" w:cs="Courier New"/>
          <w:b w:val="0"/>
          <w:bCs/>
          <w:color w:val="auto"/>
          <w:kern w:val="0"/>
          <w:sz w:val="24"/>
          <w:highlight w:val="none"/>
          <w:lang w:eastAsia="zh-CN"/>
        </w:rPr>
        <w:t>）</w:t>
      </w:r>
      <w:r>
        <w:rPr>
          <w:rFonts w:hint="eastAsia" w:ascii="宋体" w:hAnsi="宋体" w:cs="Courier New"/>
          <w:b w:val="0"/>
          <w:bCs/>
          <w:color w:val="auto"/>
          <w:kern w:val="0"/>
          <w:sz w:val="24"/>
          <w:highlight w:val="none"/>
          <w:lang w:val="en-US" w:eastAsia="zh-CN"/>
        </w:rPr>
        <w:t>设计方案；</w:t>
      </w:r>
    </w:p>
    <w:p w14:paraId="1A099CC7">
      <w:pPr>
        <w:rPr>
          <w:rFonts w:hint="default"/>
          <w:color w:val="auto"/>
          <w:highlight w:val="none"/>
          <w:lang w:val="en-US" w:eastAsia="zh-CN"/>
        </w:rPr>
      </w:pPr>
      <w:r>
        <w:rPr>
          <w:rFonts w:hint="eastAsia" w:ascii="宋体" w:hAnsi="宋体" w:cs="Courier New"/>
          <w:color w:val="auto"/>
          <w:kern w:val="0"/>
          <w:sz w:val="24"/>
          <w:highlight w:val="none"/>
          <w:lang w:val="en-US" w:eastAsia="zh-CN"/>
        </w:rPr>
        <w:t>（2）</w:t>
      </w:r>
      <w:r>
        <w:rPr>
          <w:rFonts w:hint="eastAsia" w:ascii="宋体" w:hAnsi="宋体" w:cs="宋体"/>
          <w:color w:val="auto"/>
          <w:sz w:val="24"/>
          <w:highlight w:val="none"/>
          <w:lang w:val="en-US" w:eastAsia="zh-CN"/>
        </w:rPr>
        <w:t>对应清单细化清单</w:t>
      </w:r>
    </w:p>
    <w:tbl>
      <w:tblPr>
        <w:tblStyle w:val="42"/>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047"/>
        <w:gridCol w:w="1422"/>
        <w:gridCol w:w="1453"/>
        <w:gridCol w:w="1297"/>
        <w:gridCol w:w="1492"/>
      </w:tblGrid>
      <w:tr w14:paraId="5FBEC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47" w:type="dxa"/>
            <w:vAlign w:val="center"/>
          </w:tcPr>
          <w:p w14:paraId="1006096A">
            <w:pPr>
              <w:keepNext w:val="0"/>
              <w:keepLines w:val="0"/>
              <w:pageBreakBefore w:val="0"/>
              <w:widowControl/>
              <w:kinsoku/>
              <w:wordWrap/>
              <w:overflowPunct/>
              <w:topLinePunct w:val="0"/>
              <w:autoSpaceDE/>
              <w:autoSpaceDN/>
              <w:bidi w:val="0"/>
              <w:adjustRightInd/>
              <w:spacing w:line="24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047" w:type="dxa"/>
            <w:vAlign w:val="center"/>
          </w:tcPr>
          <w:p w14:paraId="6BE5DE29">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b/>
                <w:bCs/>
                <w:color w:val="auto"/>
                <w:kern w:val="0"/>
                <w:sz w:val="24"/>
                <w:highlight w:val="none"/>
                <w:lang w:val="en-US" w:eastAsia="zh-CN"/>
              </w:rPr>
            </w:pPr>
            <w:r>
              <w:rPr>
                <w:rFonts w:hint="eastAsia" w:ascii="宋体" w:hAnsi="宋体" w:eastAsia="宋体" w:cs="宋体"/>
                <w:b/>
                <w:bCs/>
                <w:i w:val="0"/>
                <w:iCs w:val="0"/>
                <w:color w:val="auto"/>
                <w:kern w:val="0"/>
                <w:sz w:val="24"/>
                <w:szCs w:val="24"/>
                <w:highlight w:val="none"/>
                <w:u w:val="none"/>
                <w:lang w:val="en-US" w:eastAsia="zh-CN" w:bidi="ar"/>
              </w:rPr>
              <w:t>服务</w:t>
            </w:r>
            <w:r>
              <w:rPr>
                <w:rFonts w:hint="eastAsia" w:ascii="宋体" w:hAnsi="宋体" w:cs="宋体"/>
                <w:b/>
                <w:bCs/>
                <w:i w:val="0"/>
                <w:iCs w:val="0"/>
                <w:color w:val="auto"/>
                <w:kern w:val="0"/>
                <w:sz w:val="24"/>
                <w:szCs w:val="24"/>
                <w:highlight w:val="none"/>
                <w:u w:val="none"/>
                <w:lang w:val="en-US" w:eastAsia="zh-CN" w:bidi="ar"/>
              </w:rPr>
              <w:t>项</w:t>
            </w:r>
          </w:p>
        </w:tc>
        <w:tc>
          <w:tcPr>
            <w:tcW w:w="1422" w:type="dxa"/>
            <w:vAlign w:val="center"/>
          </w:tcPr>
          <w:p w14:paraId="648DE272">
            <w:pPr>
              <w:keepNext w:val="0"/>
              <w:keepLines w:val="0"/>
              <w:pageBreakBefore w:val="0"/>
              <w:widowControl/>
              <w:kinsoku/>
              <w:wordWrap/>
              <w:overflowPunct/>
              <w:topLinePunct w:val="0"/>
              <w:autoSpaceDE/>
              <w:autoSpaceDN/>
              <w:bidi w:val="0"/>
              <w:adjustRightInd/>
              <w:spacing w:line="240" w:lineRule="auto"/>
              <w:jc w:val="center"/>
              <w:rPr>
                <w:rFonts w:hint="default" w:ascii="宋体" w:hAnsi="宋体" w:cs="宋体"/>
                <w:b/>
                <w:bCs/>
                <w:color w:val="auto"/>
                <w:kern w:val="0"/>
                <w:sz w:val="24"/>
                <w:highlight w:val="none"/>
                <w:lang w:val="en-US" w:eastAsia="zh-CN"/>
              </w:rPr>
            </w:pPr>
            <w:r>
              <w:rPr>
                <w:rFonts w:hint="eastAsia" w:ascii="宋体" w:hAnsi="宋体" w:cs="宋体"/>
                <w:b/>
                <w:bCs/>
                <w:color w:val="auto"/>
                <w:kern w:val="0"/>
                <w:sz w:val="24"/>
                <w:highlight w:val="none"/>
                <w:lang w:val="en-US" w:eastAsia="zh-CN"/>
              </w:rPr>
              <w:t>服务内容</w:t>
            </w:r>
          </w:p>
        </w:tc>
        <w:tc>
          <w:tcPr>
            <w:tcW w:w="1453" w:type="dxa"/>
            <w:vAlign w:val="center"/>
          </w:tcPr>
          <w:p w14:paraId="2BD1EA71">
            <w:pPr>
              <w:keepNext w:val="0"/>
              <w:keepLines w:val="0"/>
              <w:pageBreakBefore w:val="0"/>
              <w:widowControl/>
              <w:kinsoku/>
              <w:wordWrap/>
              <w:overflowPunct/>
              <w:topLinePunct w:val="0"/>
              <w:autoSpaceDE/>
              <w:autoSpaceDN/>
              <w:bidi w:val="0"/>
              <w:adjustRightInd/>
              <w:spacing w:line="240" w:lineRule="auto"/>
              <w:jc w:val="center"/>
              <w:rPr>
                <w:rFonts w:hint="default" w:ascii="宋体" w:hAnsi="宋体" w:eastAsia="宋体" w:cs="宋体"/>
                <w:b/>
                <w:bCs/>
                <w:color w:val="auto"/>
                <w:kern w:val="0"/>
                <w:sz w:val="24"/>
                <w:highlight w:val="none"/>
                <w:lang w:val="en-US" w:eastAsia="zh-CN"/>
              </w:rPr>
            </w:pPr>
            <w:r>
              <w:rPr>
                <w:rFonts w:hint="eastAsia" w:ascii="宋体" w:hAnsi="宋体" w:cs="宋体"/>
                <w:b/>
                <w:bCs/>
                <w:color w:val="auto"/>
                <w:kern w:val="0"/>
                <w:sz w:val="24"/>
                <w:highlight w:val="none"/>
                <w:lang w:val="en-US" w:eastAsia="zh-CN"/>
              </w:rPr>
              <w:t>规格/尺寸</w:t>
            </w:r>
          </w:p>
        </w:tc>
        <w:tc>
          <w:tcPr>
            <w:tcW w:w="1297" w:type="dxa"/>
            <w:vAlign w:val="center"/>
          </w:tcPr>
          <w:p w14:paraId="7F273E6F">
            <w:pPr>
              <w:keepNext w:val="0"/>
              <w:keepLines w:val="0"/>
              <w:pageBreakBefore w:val="0"/>
              <w:widowControl/>
              <w:kinsoku/>
              <w:wordWrap/>
              <w:overflowPunct/>
              <w:topLinePunct w:val="0"/>
              <w:autoSpaceDE/>
              <w:autoSpaceDN/>
              <w:bidi w:val="0"/>
              <w:adjustRightInd/>
              <w:spacing w:line="24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数量</w:t>
            </w:r>
          </w:p>
        </w:tc>
        <w:tc>
          <w:tcPr>
            <w:tcW w:w="1492" w:type="dxa"/>
            <w:vAlign w:val="center"/>
          </w:tcPr>
          <w:p w14:paraId="470D9E62">
            <w:pPr>
              <w:keepNext w:val="0"/>
              <w:keepLines w:val="0"/>
              <w:pageBreakBefore w:val="0"/>
              <w:widowControl/>
              <w:kinsoku/>
              <w:wordWrap/>
              <w:overflowPunct/>
              <w:topLinePunct w:val="0"/>
              <w:autoSpaceDE/>
              <w:autoSpaceDN/>
              <w:bidi w:val="0"/>
              <w:adjustRightInd/>
              <w:spacing w:line="240" w:lineRule="auto"/>
              <w:jc w:val="center"/>
              <w:rPr>
                <w:rFonts w:hint="default" w:ascii="宋体" w:hAnsi="宋体" w:eastAsia="宋体" w:cs="宋体"/>
                <w:b/>
                <w:bCs/>
                <w:color w:val="auto"/>
                <w:kern w:val="0"/>
                <w:sz w:val="24"/>
                <w:highlight w:val="none"/>
                <w:lang w:val="en-US" w:eastAsia="zh-CN"/>
              </w:rPr>
            </w:pPr>
            <w:r>
              <w:rPr>
                <w:rFonts w:hint="eastAsia" w:ascii="宋体" w:hAnsi="宋体" w:cs="宋体"/>
                <w:b/>
                <w:bCs/>
                <w:color w:val="auto"/>
                <w:kern w:val="0"/>
                <w:sz w:val="24"/>
                <w:highlight w:val="none"/>
              </w:rPr>
              <w:t>备注</w:t>
            </w:r>
            <w:r>
              <w:rPr>
                <w:rFonts w:hint="eastAsia" w:ascii="宋体" w:hAnsi="宋体" w:cs="宋体"/>
                <w:b/>
                <w:bCs/>
                <w:color w:val="auto"/>
                <w:kern w:val="0"/>
                <w:sz w:val="24"/>
                <w:highlight w:val="none"/>
                <w:lang w:val="en-US" w:eastAsia="zh-CN"/>
              </w:rPr>
              <w:t>或说明</w:t>
            </w:r>
          </w:p>
        </w:tc>
      </w:tr>
      <w:tr w14:paraId="66F5C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47" w:type="dxa"/>
            <w:vAlign w:val="center"/>
          </w:tcPr>
          <w:p w14:paraId="29080F89">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cs="宋体"/>
                <w:b/>
                <w:bCs/>
                <w:color w:val="auto"/>
                <w:kern w:val="0"/>
                <w:sz w:val="24"/>
                <w:highlight w:val="none"/>
              </w:rPr>
            </w:pPr>
          </w:p>
        </w:tc>
        <w:tc>
          <w:tcPr>
            <w:tcW w:w="2047" w:type="dxa"/>
            <w:vAlign w:val="center"/>
          </w:tcPr>
          <w:p w14:paraId="7430A9AA">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1422" w:type="dxa"/>
            <w:vAlign w:val="center"/>
          </w:tcPr>
          <w:p w14:paraId="160C4B49">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cs="宋体"/>
                <w:b/>
                <w:bCs/>
                <w:color w:val="auto"/>
                <w:kern w:val="0"/>
                <w:sz w:val="24"/>
                <w:highlight w:val="none"/>
                <w:lang w:val="en-US" w:eastAsia="zh-CN"/>
              </w:rPr>
            </w:pPr>
          </w:p>
        </w:tc>
        <w:tc>
          <w:tcPr>
            <w:tcW w:w="1453" w:type="dxa"/>
            <w:vAlign w:val="center"/>
          </w:tcPr>
          <w:p w14:paraId="0BC0CE95">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cs="宋体"/>
                <w:b/>
                <w:bCs/>
                <w:color w:val="auto"/>
                <w:kern w:val="0"/>
                <w:sz w:val="24"/>
                <w:highlight w:val="none"/>
                <w:lang w:val="en-US" w:eastAsia="zh-CN"/>
              </w:rPr>
            </w:pPr>
          </w:p>
        </w:tc>
        <w:tc>
          <w:tcPr>
            <w:tcW w:w="1297" w:type="dxa"/>
            <w:vAlign w:val="center"/>
          </w:tcPr>
          <w:p w14:paraId="24608FA7">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cs="宋体"/>
                <w:b/>
                <w:bCs/>
                <w:color w:val="auto"/>
                <w:kern w:val="0"/>
                <w:sz w:val="24"/>
                <w:highlight w:val="none"/>
              </w:rPr>
            </w:pPr>
          </w:p>
        </w:tc>
        <w:tc>
          <w:tcPr>
            <w:tcW w:w="1492" w:type="dxa"/>
            <w:vAlign w:val="center"/>
          </w:tcPr>
          <w:p w14:paraId="2EC430D0">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cs="宋体"/>
                <w:b/>
                <w:bCs/>
                <w:color w:val="auto"/>
                <w:kern w:val="0"/>
                <w:sz w:val="24"/>
                <w:highlight w:val="none"/>
              </w:rPr>
            </w:pPr>
          </w:p>
        </w:tc>
      </w:tr>
      <w:tr w14:paraId="459AD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47" w:type="dxa"/>
            <w:vAlign w:val="center"/>
          </w:tcPr>
          <w:p w14:paraId="7DF2ECA0">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cs="宋体"/>
                <w:b/>
                <w:bCs/>
                <w:color w:val="auto"/>
                <w:kern w:val="0"/>
                <w:sz w:val="24"/>
                <w:highlight w:val="none"/>
              </w:rPr>
            </w:pPr>
          </w:p>
        </w:tc>
        <w:tc>
          <w:tcPr>
            <w:tcW w:w="2047" w:type="dxa"/>
            <w:vAlign w:val="center"/>
          </w:tcPr>
          <w:p w14:paraId="63F0150E">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1422" w:type="dxa"/>
            <w:vAlign w:val="center"/>
          </w:tcPr>
          <w:p w14:paraId="57659843">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cs="宋体"/>
                <w:b/>
                <w:bCs/>
                <w:color w:val="auto"/>
                <w:kern w:val="0"/>
                <w:sz w:val="24"/>
                <w:highlight w:val="none"/>
                <w:lang w:val="en-US" w:eastAsia="zh-CN"/>
              </w:rPr>
            </w:pPr>
          </w:p>
        </w:tc>
        <w:tc>
          <w:tcPr>
            <w:tcW w:w="1453" w:type="dxa"/>
            <w:vAlign w:val="center"/>
          </w:tcPr>
          <w:p w14:paraId="796BBD3B">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cs="宋体"/>
                <w:b/>
                <w:bCs/>
                <w:color w:val="auto"/>
                <w:kern w:val="0"/>
                <w:sz w:val="24"/>
                <w:highlight w:val="none"/>
                <w:lang w:val="en-US" w:eastAsia="zh-CN"/>
              </w:rPr>
            </w:pPr>
          </w:p>
        </w:tc>
        <w:tc>
          <w:tcPr>
            <w:tcW w:w="1297" w:type="dxa"/>
            <w:vAlign w:val="center"/>
          </w:tcPr>
          <w:p w14:paraId="495DFCD1">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cs="宋体"/>
                <w:b/>
                <w:bCs/>
                <w:color w:val="auto"/>
                <w:kern w:val="0"/>
                <w:sz w:val="24"/>
                <w:highlight w:val="none"/>
              </w:rPr>
            </w:pPr>
          </w:p>
        </w:tc>
        <w:tc>
          <w:tcPr>
            <w:tcW w:w="1492" w:type="dxa"/>
            <w:vAlign w:val="center"/>
          </w:tcPr>
          <w:p w14:paraId="2B5F05A7">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cs="宋体"/>
                <w:b/>
                <w:bCs/>
                <w:color w:val="auto"/>
                <w:kern w:val="0"/>
                <w:sz w:val="24"/>
                <w:highlight w:val="none"/>
              </w:rPr>
            </w:pPr>
          </w:p>
        </w:tc>
      </w:tr>
      <w:tr w14:paraId="6720F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47" w:type="dxa"/>
            <w:vAlign w:val="center"/>
          </w:tcPr>
          <w:p w14:paraId="05704839">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cs="宋体"/>
                <w:b/>
                <w:bCs/>
                <w:color w:val="auto"/>
                <w:kern w:val="0"/>
                <w:sz w:val="24"/>
                <w:highlight w:val="none"/>
              </w:rPr>
            </w:pPr>
          </w:p>
        </w:tc>
        <w:tc>
          <w:tcPr>
            <w:tcW w:w="2047" w:type="dxa"/>
            <w:vAlign w:val="center"/>
          </w:tcPr>
          <w:p w14:paraId="511D5ED7">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1422" w:type="dxa"/>
            <w:vAlign w:val="center"/>
          </w:tcPr>
          <w:p w14:paraId="222CF9F0">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cs="宋体"/>
                <w:b/>
                <w:bCs/>
                <w:color w:val="auto"/>
                <w:kern w:val="0"/>
                <w:sz w:val="24"/>
                <w:highlight w:val="none"/>
                <w:lang w:val="en-US" w:eastAsia="zh-CN"/>
              </w:rPr>
            </w:pPr>
          </w:p>
        </w:tc>
        <w:tc>
          <w:tcPr>
            <w:tcW w:w="1453" w:type="dxa"/>
            <w:vAlign w:val="center"/>
          </w:tcPr>
          <w:p w14:paraId="518C1E93">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cs="宋体"/>
                <w:b/>
                <w:bCs/>
                <w:color w:val="auto"/>
                <w:kern w:val="0"/>
                <w:sz w:val="24"/>
                <w:highlight w:val="none"/>
                <w:lang w:val="en-US" w:eastAsia="zh-CN"/>
              </w:rPr>
            </w:pPr>
          </w:p>
        </w:tc>
        <w:tc>
          <w:tcPr>
            <w:tcW w:w="1297" w:type="dxa"/>
            <w:vAlign w:val="center"/>
          </w:tcPr>
          <w:p w14:paraId="29F3CFBC">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cs="宋体"/>
                <w:b/>
                <w:bCs/>
                <w:color w:val="auto"/>
                <w:kern w:val="0"/>
                <w:sz w:val="24"/>
                <w:highlight w:val="none"/>
              </w:rPr>
            </w:pPr>
          </w:p>
        </w:tc>
        <w:tc>
          <w:tcPr>
            <w:tcW w:w="1492" w:type="dxa"/>
            <w:vAlign w:val="center"/>
          </w:tcPr>
          <w:p w14:paraId="0BBD1541">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cs="宋体"/>
                <w:b/>
                <w:bCs/>
                <w:color w:val="auto"/>
                <w:kern w:val="0"/>
                <w:sz w:val="24"/>
                <w:highlight w:val="none"/>
              </w:rPr>
            </w:pPr>
          </w:p>
        </w:tc>
      </w:tr>
      <w:tr w14:paraId="2D91E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47" w:type="dxa"/>
            <w:vAlign w:val="center"/>
          </w:tcPr>
          <w:p w14:paraId="1B6D5631">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cs="宋体"/>
                <w:b/>
                <w:bCs/>
                <w:color w:val="auto"/>
                <w:kern w:val="0"/>
                <w:sz w:val="24"/>
                <w:highlight w:val="none"/>
              </w:rPr>
            </w:pPr>
          </w:p>
        </w:tc>
        <w:tc>
          <w:tcPr>
            <w:tcW w:w="2047" w:type="dxa"/>
            <w:vAlign w:val="center"/>
          </w:tcPr>
          <w:p w14:paraId="72B899E5">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1422" w:type="dxa"/>
            <w:vAlign w:val="center"/>
          </w:tcPr>
          <w:p w14:paraId="6E473B31">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cs="宋体"/>
                <w:b/>
                <w:bCs/>
                <w:color w:val="auto"/>
                <w:kern w:val="0"/>
                <w:sz w:val="24"/>
                <w:highlight w:val="none"/>
                <w:lang w:val="en-US" w:eastAsia="zh-CN"/>
              </w:rPr>
            </w:pPr>
          </w:p>
        </w:tc>
        <w:tc>
          <w:tcPr>
            <w:tcW w:w="1453" w:type="dxa"/>
            <w:vAlign w:val="center"/>
          </w:tcPr>
          <w:p w14:paraId="51C5366D">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cs="宋体"/>
                <w:b/>
                <w:bCs/>
                <w:color w:val="auto"/>
                <w:kern w:val="0"/>
                <w:sz w:val="24"/>
                <w:highlight w:val="none"/>
                <w:lang w:val="en-US" w:eastAsia="zh-CN"/>
              </w:rPr>
            </w:pPr>
          </w:p>
        </w:tc>
        <w:tc>
          <w:tcPr>
            <w:tcW w:w="1297" w:type="dxa"/>
            <w:vAlign w:val="center"/>
          </w:tcPr>
          <w:p w14:paraId="38D209EC">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cs="宋体"/>
                <w:b/>
                <w:bCs/>
                <w:color w:val="auto"/>
                <w:kern w:val="0"/>
                <w:sz w:val="24"/>
                <w:highlight w:val="none"/>
              </w:rPr>
            </w:pPr>
          </w:p>
        </w:tc>
        <w:tc>
          <w:tcPr>
            <w:tcW w:w="1492" w:type="dxa"/>
            <w:vAlign w:val="center"/>
          </w:tcPr>
          <w:p w14:paraId="70A57765">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cs="宋体"/>
                <w:b/>
                <w:bCs/>
                <w:color w:val="auto"/>
                <w:kern w:val="0"/>
                <w:sz w:val="24"/>
                <w:highlight w:val="none"/>
              </w:rPr>
            </w:pPr>
          </w:p>
        </w:tc>
      </w:tr>
      <w:tr w14:paraId="68894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47" w:type="dxa"/>
            <w:vAlign w:val="center"/>
          </w:tcPr>
          <w:p w14:paraId="0286F7DD">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cs="宋体"/>
                <w:b/>
                <w:bCs/>
                <w:color w:val="auto"/>
                <w:kern w:val="0"/>
                <w:sz w:val="24"/>
                <w:highlight w:val="none"/>
              </w:rPr>
            </w:pPr>
          </w:p>
        </w:tc>
        <w:tc>
          <w:tcPr>
            <w:tcW w:w="2047" w:type="dxa"/>
            <w:vAlign w:val="center"/>
          </w:tcPr>
          <w:p w14:paraId="3867EB2C">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1422" w:type="dxa"/>
            <w:vAlign w:val="center"/>
          </w:tcPr>
          <w:p w14:paraId="3BFD71B9">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cs="宋体"/>
                <w:b/>
                <w:bCs/>
                <w:color w:val="auto"/>
                <w:kern w:val="0"/>
                <w:sz w:val="24"/>
                <w:highlight w:val="none"/>
                <w:lang w:val="en-US" w:eastAsia="zh-CN"/>
              </w:rPr>
            </w:pPr>
          </w:p>
        </w:tc>
        <w:tc>
          <w:tcPr>
            <w:tcW w:w="1453" w:type="dxa"/>
            <w:vAlign w:val="center"/>
          </w:tcPr>
          <w:p w14:paraId="2AD01BF0">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cs="宋体"/>
                <w:b/>
                <w:bCs/>
                <w:color w:val="auto"/>
                <w:kern w:val="0"/>
                <w:sz w:val="24"/>
                <w:highlight w:val="none"/>
                <w:lang w:val="en-US" w:eastAsia="zh-CN"/>
              </w:rPr>
            </w:pPr>
          </w:p>
        </w:tc>
        <w:tc>
          <w:tcPr>
            <w:tcW w:w="1297" w:type="dxa"/>
            <w:vAlign w:val="center"/>
          </w:tcPr>
          <w:p w14:paraId="4DA6AD94">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cs="宋体"/>
                <w:b/>
                <w:bCs/>
                <w:color w:val="auto"/>
                <w:kern w:val="0"/>
                <w:sz w:val="24"/>
                <w:highlight w:val="none"/>
              </w:rPr>
            </w:pPr>
          </w:p>
        </w:tc>
        <w:tc>
          <w:tcPr>
            <w:tcW w:w="1492" w:type="dxa"/>
            <w:vAlign w:val="center"/>
          </w:tcPr>
          <w:p w14:paraId="647E115D">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cs="宋体"/>
                <w:b/>
                <w:bCs/>
                <w:color w:val="auto"/>
                <w:kern w:val="0"/>
                <w:sz w:val="24"/>
                <w:highlight w:val="none"/>
              </w:rPr>
            </w:pPr>
          </w:p>
        </w:tc>
      </w:tr>
      <w:tr w14:paraId="6200B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47" w:type="dxa"/>
            <w:vAlign w:val="center"/>
          </w:tcPr>
          <w:p w14:paraId="35CB7CAE">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cs="宋体"/>
                <w:b/>
                <w:bCs/>
                <w:color w:val="auto"/>
                <w:kern w:val="0"/>
                <w:sz w:val="24"/>
                <w:highlight w:val="none"/>
              </w:rPr>
            </w:pPr>
          </w:p>
        </w:tc>
        <w:tc>
          <w:tcPr>
            <w:tcW w:w="2047" w:type="dxa"/>
            <w:vAlign w:val="center"/>
          </w:tcPr>
          <w:p w14:paraId="76E6B2FC">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1422" w:type="dxa"/>
            <w:vAlign w:val="center"/>
          </w:tcPr>
          <w:p w14:paraId="1122F2BD">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cs="宋体"/>
                <w:b/>
                <w:bCs/>
                <w:color w:val="auto"/>
                <w:kern w:val="0"/>
                <w:sz w:val="24"/>
                <w:highlight w:val="none"/>
                <w:lang w:val="en-US" w:eastAsia="zh-CN"/>
              </w:rPr>
            </w:pPr>
          </w:p>
        </w:tc>
        <w:tc>
          <w:tcPr>
            <w:tcW w:w="1453" w:type="dxa"/>
            <w:vAlign w:val="center"/>
          </w:tcPr>
          <w:p w14:paraId="7E72D598">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cs="宋体"/>
                <w:b/>
                <w:bCs/>
                <w:color w:val="auto"/>
                <w:kern w:val="0"/>
                <w:sz w:val="24"/>
                <w:highlight w:val="none"/>
                <w:lang w:val="en-US" w:eastAsia="zh-CN"/>
              </w:rPr>
            </w:pPr>
          </w:p>
        </w:tc>
        <w:tc>
          <w:tcPr>
            <w:tcW w:w="1297" w:type="dxa"/>
            <w:vAlign w:val="center"/>
          </w:tcPr>
          <w:p w14:paraId="65BB55C2">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cs="宋体"/>
                <w:b/>
                <w:bCs/>
                <w:color w:val="auto"/>
                <w:kern w:val="0"/>
                <w:sz w:val="24"/>
                <w:highlight w:val="none"/>
              </w:rPr>
            </w:pPr>
          </w:p>
        </w:tc>
        <w:tc>
          <w:tcPr>
            <w:tcW w:w="1492" w:type="dxa"/>
            <w:vAlign w:val="center"/>
          </w:tcPr>
          <w:p w14:paraId="436CAF02">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cs="宋体"/>
                <w:b/>
                <w:bCs/>
                <w:color w:val="auto"/>
                <w:kern w:val="0"/>
                <w:sz w:val="24"/>
                <w:highlight w:val="none"/>
              </w:rPr>
            </w:pPr>
          </w:p>
        </w:tc>
      </w:tr>
      <w:tr w14:paraId="2FDBA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47" w:type="dxa"/>
            <w:vAlign w:val="center"/>
          </w:tcPr>
          <w:p w14:paraId="50852176">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cs="宋体"/>
                <w:b/>
                <w:bCs/>
                <w:color w:val="auto"/>
                <w:kern w:val="0"/>
                <w:sz w:val="24"/>
                <w:highlight w:val="none"/>
              </w:rPr>
            </w:pPr>
          </w:p>
        </w:tc>
        <w:tc>
          <w:tcPr>
            <w:tcW w:w="2047" w:type="dxa"/>
            <w:vAlign w:val="center"/>
          </w:tcPr>
          <w:p w14:paraId="68974A34">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1422" w:type="dxa"/>
            <w:vAlign w:val="center"/>
          </w:tcPr>
          <w:p w14:paraId="68B16577">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cs="宋体"/>
                <w:b/>
                <w:bCs/>
                <w:color w:val="auto"/>
                <w:kern w:val="0"/>
                <w:sz w:val="24"/>
                <w:highlight w:val="none"/>
                <w:lang w:val="en-US" w:eastAsia="zh-CN"/>
              </w:rPr>
            </w:pPr>
          </w:p>
        </w:tc>
        <w:tc>
          <w:tcPr>
            <w:tcW w:w="1453" w:type="dxa"/>
            <w:vAlign w:val="center"/>
          </w:tcPr>
          <w:p w14:paraId="76FB996C">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cs="宋体"/>
                <w:b/>
                <w:bCs/>
                <w:color w:val="auto"/>
                <w:kern w:val="0"/>
                <w:sz w:val="24"/>
                <w:highlight w:val="none"/>
                <w:lang w:val="en-US" w:eastAsia="zh-CN"/>
              </w:rPr>
            </w:pPr>
          </w:p>
        </w:tc>
        <w:tc>
          <w:tcPr>
            <w:tcW w:w="1297" w:type="dxa"/>
            <w:vAlign w:val="center"/>
          </w:tcPr>
          <w:p w14:paraId="79856456">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cs="宋体"/>
                <w:b/>
                <w:bCs/>
                <w:color w:val="auto"/>
                <w:kern w:val="0"/>
                <w:sz w:val="24"/>
                <w:highlight w:val="none"/>
              </w:rPr>
            </w:pPr>
          </w:p>
        </w:tc>
        <w:tc>
          <w:tcPr>
            <w:tcW w:w="1492" w:type="dxa"/>
            <w:vAlign w:val="center"/>
          </w:tcPr>
          <w:p w14:paraId="066BB96F">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cs="宋体"/>
                <w:b/>
                <w:bCs/>
                <w:color w:val="auto"/>
                <w:kern w:val="0"/>
                <w:sz w:val="24"/>
                <w:highlight w:val="none"/>
              </w:rPr>
            </w:pPr>
          </w:p>
        </w:tc>
      </w:tr>
      <w:tr w14:paraId="7401B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47" w:type="dxa"/>
            <w:vAlign w:val="center"/>
          </w:tcPr>
          <w:p w14:paraId="229CF068">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cs="宋体"/>
                <w:b/>
                <w:bCs/>
                <w:color w:val="auto"/>
                <w:kern w:val="0"/>
                <w:sz w:val="24"/>
                <w:highlight w:val="none"/>
              </w:rPr>
            </w:pPr>
          </w:p>
        </w:tc>
        <w:tc>
          <w:tcPr>
            <w:tcW w:w="2047" w:type="dxa"/>
            <w:vAlign w:val="center"/>
          </w:tcPr>
          <w:p w14:paraId="66ADDE33">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1422" w:type="dxa"/>
            <w:vAlign w:val="center"/>
          </w:tcPr>
          <w:p w14:paraId="1864D331">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cs="宋体"/>
                <w:b/>
                <w:bCs/>
                <w:color w:val="auto"/>
                <w:kern w:val="0"/>
                <w:sz w:val="24"/>
                <w:highlight w:val="none"/>
                <w:lang w:val="en-US" w:eastAsia="zh-CN"/>
              </w:rPr>
            </w:pPr>
          </w:p>
        </w:tc>
        <w:tc>
          <w:tcPr>
            <w:tcW w:w="1453" w:type="dxa"/>
            <w:vAlign w:val="center"/>
          </w:tcPr>
          <w:p w14:paraId="30F3FFE5">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cs="宋体"/>
                <w:b/>
                <w:bCs/>
                <w:color w:val="auto"/>
                <w:kern w:val="0"/>
                <w:sz w:val="24"/>
                <w:highlight w:val="none"/>
                <w:lang w:val="en-US" w:eastAsia="zh-CN"/>
              </w:rPr>
            </w:pPr>
          </w:p>
        </w:tc>
        <w:tc>
          <w:tcPr>
            <w:tcW w:w="1297" w:type="dxa"/>
            <w:vAlign w:val="center"/>
          </w:tcPr>
          <w:p w14:paraId="13D52A39">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cs="宋体"/>
                <w:b/>
                <w:bCs/>
                <w:color w:val="auto"/>
                <w:kern w:val="0"/>
                <w:sz w:val="24"/>
                <w:highlight w:val="none"/>
              </w:rPr>
            </w:pPr>
          </w:p>
        </w:tc>
        <w:tc>
          <w:tcPr>
            <w:tcW w:w="1492" w:type="dxa"/>
            <w:vAlign w:val="center"/>
          </w:tcPr>
          <w:p w14:paraId="736E43BF">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cs="宋体"/>
                <w:b/>
                <w:bCs/>
                <w:color w:val="auto"/>
                <w:kern w:val="0"/>
                <w:sz w:val="24"/>
                <w:highlight w:val="none"/>
              </w:rPr>
            </w:pPr>
          </w:p>
        </w:tc>
      </w:tr>
      <w:tr w14:paraId="3C640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47" w:type="dxa"/>
            <w:vAlign w:val="center"/>
          </w:tcPr>
          <w:p w14:paraId="48F09718">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cs="宋体"/>
                <w:b/>
                <w:bCs/>
                <w:color w:val="auto"/>
                <w:kern w:val="0"/>
                <w:sz w:val="24"/>
                <w:highlight w:val="none"/>
              </w:rPr>
            </w:pPr>
          </w:p>
        </w:tc>
        <w:tc>
          <w:tcPr>
            <w:tcW w:w="2047" w:type="dxa"/>
            <w:vAlign w:val="center"/>
          </w:tcPr>
          <w:p w14:paraId="6BE01E6B">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1422" w:type="dxa"/>
            <w:vAlign w:val="center"/>
          </w:tcPr>
          <w:p w14:paraId="233432F4">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cs="宋体"/>
                <w:b/>
                <w:bCs/>
                <w:color w:val="auto"/>
                <w:kern w:val="0"/>
                <w:sz w:val="24"/>
                <w:highlight w:val="none"/>
                <w:lang w:val="en-US" w:eastAsia="zh-CN"/>
              </w:rPr>
            </w:pPr>
          </w:p>
        </w:tc>
        <w:tc>
          <w:tcPr>
            <w:tcW w:w="1453" w:type="dxa"/>
            <w:vAlign w:val="center"/>
          </w:tcPr>
          <w:p w14:paraId="69B277C0">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cs="宋体"/>
                <w:b/>
                <w:bCs/>
                <w:color w:val="auto"/>
                <w:kern w:val="0"/>
                <w:sz w:val="24"/>
                <w:highlight w:val="none"/>
                <w:lang w:val="en-US" w:eastAsia="zh-CN"/>
              </w:rPr>
            </w:pPr>
          </w:p>
        </w:tc>
        <w:tc>
          <w:tcPr>
            <w:tcW w:w="1297" w:type="dxa"/>
            <w:vAlign w:val="center"/>
          </w:tcPr>
          <w:p w14:paraId="52567A8F">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cs="宋体"/>
                <w:b/>
                <w:bCs/>
                <w:color w:val="auto"/>
                <w:kern w:val="0"/>
                <w:sz w:val="24"/>
                <w:highlight w:val="none"/>
              </w:rPr>
            </w:pPr>
          </w:p>
        </w:tc>
        <w:tc>
          <w:tcPr>
            <w:tcW w:w="1492" w:type="dxa"/>
            <w:vAlign w:val="center"/>
          </w:tcPr>
          <w:p w14:paraId="1C4D6A36">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cs="宋体"/>
                <w:b/>
                <w:bCs/>
                <w:color w:val="auto"/>
                <w:kern w:val="0"/>
                <w:sz w:val="24"/>
                <w:highlight w:val="none"/>
              </w:rPr>
            </w:pPr>
          </w:p>
        </w:tc>
      </w:tr>
    </w:tbl>
    <w:p w14:paraId="0E7F1B2C">
      <w:pPr>
        <w:keepNext w:val="0"/>
        <w:keepLines w:val="0"/>
        <w:pageBreakBefore w:val="0"/>
        <w:widowControl w:val="0"/>
        <w:tabs>
          <w:tab w:val="left" w:pos="720"/>
        </w:tabs>
        <w:kinsoku/>
        <w:wordWrap/>
        <w:overflowPunct/>
        <w:topLinePunct w:val="0"/>
        <w:autoSpaceDE/>
        <w:autoSpaceDN/>
        <w:bidi w:val="0"/>
        <w:adjustRightInd/>
        <w:spacing w:line="360" w:lineRule="exact"/>
        <w:ind w:firstLine="6720" w:firstLineChars="2800"/>
        <w:textAlignment w:val="auto"/>
        <w:rPr>
          <w:rFonts w:hint="eastAsia" w:ascii="宋体" w:hAnsi="宋体" w:eastAsia="宋体" w:cs="Courier New"/>
          <w:color w:val="auto"/>
          <w:kern w:val="0"/>
          <w:sz w:val="24"/>
          <w:highlight w:val="none"/>
          <w:lang w:eastAsia="zh-CN"/>
        </w:rPr>
      </w:pPr>
      <w:r>
        <w:rPr>
          <w:rFonts w:hint="eastAsia" w:ascii="宋体" w:hAnsi="宋体" w:cs="Courier New"/>
          <w:color w:val="auto"/>
          <w:kern w:val="0"/>
          <w:sz w:val="24"/>
          <w:highlight w:val="none"/>
          <w:lang w:eastAsia="zh-CN"/>
        </w:rPr>
        <w:t>（</w:t>
      </w:r>
      <w:r>
        <w:rPr>
          <w:rFonts w:hint="eastAsia" w:ascii="宋体" w:hAnsi="宋体" w:cs="Courier New"/>
          <w:color w:val="auto"/>
          <w:kern w:val="0"/>
          <w:sz w:val="24"/>
          <w:highlight w:val="none"/>
          <w:lang w:val="en-US" w:eastAsia="zh-CN"/>
        </w:rPr>
        <w:t>格式可自行细化</w:t>
      </w:r>
      <w:r>
        <w:rPr>
          <w:rFonts w:hint="eastAsia" w:ascii="宋体" w:hAnsi="宋体" w:cs="Courier New"/>
          <w:color w:val="auto"/>
          <w:kern w:val="0"/>
          <w:sz w:val="24"/>
          <w:highlight w:val="none"/>
          <w:lang w:eastAsia="zh-CN"/>
        </w:rPr>
        <w:t>）</w:t>
      </w:r>
    </w:p>
    <w:p w14:paraId="35F5DDBD">
      <w:pPr>
        <w:keepNext w:val="0"/>
        <w:keepLines w:val="0"/>
        <w:pageBreakBefore w:val="0"/>
        <w:widowControl w:val="0"/>
        <w:tabs>
          <w:tab w:val="left" w:pos="720"/>
        </w:tabs>
        <w:kinsoku/>
        <w:wordWrap/>
        <w:overflowPunct/>
        <w:topLinePunct w:val="0"/>
        <w:autoSpaceDE/>
        <w:autoSpaceDN/>
        <w:bidi w:val="0"/>
        <w:adjustRightInd/>
        <w:spacing w:line="360" w:lineRule="exact"/>
        <w:ind w:firstLine="480" w:firstLineChars="200"/>
        <w:textAlignment w:val="auto"/>
        <w:rPr>
          <w:rFonts w:hint="eastAsia" w:ascii="宋体" w:hAnsi="宋体" w:cs="Courier New"/>
          <w:color w:val="auto"/>
          <w:kern w:val="0"/>
          <w:sz w:val="24"/>
          <w:highlight w:val="none"/>
          <w:lang w:eastAsia="zh-CN"/>
        </w:rPr>
      </w:pPr>
      <w:r>
        <w:rPr>
          <w:rFonts w:hint="eastAsia" w:ascii="宋体" w:hAnsi="宋体" w:cs="Courier New"/>
          <w:color w:val="auto"/>
          <w:kern w:val="0"/>
          <w:sz w:val="24"/>
          <w:highlight w:val="none"/>
        </w:rPr>
        <w:t>e.</w:t>
      </w:r>
      <w:r>
        <w:rPr>
          <w:rFonts w:hint="eastAsia" w:ascii="宋体" w:hAnsi="宋体" w:cs="宋体"/>
          <w:color w:val="auto"/>
          <w:sz w:val="24"/>
          <w:szCs w:val="24"/>
          <w:highlight w:val="none"/>
          <w:lang w:val="en-US" w:eastAsia="zh-CN"/>
        </w:rPr>
        <w:t>实施</w:t>
      </w:r>
      <w:r>
        <w:rPr>
          <w:rFonts w:hint="eastAsia" w:hAnsi="宋体" w:cs="宋体"/>
          <w:color w:val="auto"/>
          <w:sz w:val="24"/>
          <w:szCs w:val="24"/>
          <w:highlight w:val="none"/>
          <w:lang w:val="en-US" w:eastAsia="zh-CN"/>
        </w:rPr>
        <w:t>组织</w:t>
      </w:r>
      <w:r>
        <w:rPr>
          <w:rFonts w:hint="eastAsia" w:ascii="宋体" w:hAnsi="宋体" w:cs="宋体"/>
          <w:color w:val="auto"/>
          <w:sz w:val="24"/>
          <w:szCs w:val="24"/>
          <w:highlight w:val="none"/>
          <w:lang w:val="en-US" w:eastAsia="zh-CN"/>
        </w:rPr>
        <w:t>方案</w:t>
      </w:r>
      <w:r>
        <w:rPr>
          <w:rFonts w:hint="eastAsia" w:ascii="宋体" w:hAnsi="宋体" w:cs="Courier New"/>
          <w:color w:val="auto"/>
          <w:kern w:val="0"/>
          <w:sz w:val="24"/>
          <w:highlight w:val="none"/>
          <w:lang w:eastAsia="zh-CN"/>
        </w:rPr>
        <w:t>；</w:t>
      </w:r>
    </w:p>
    <w:p w14:paraId="7D7BA053">
      <w:pPr>
        <w:keepNext w:val="0"/>
        <w:keepLines w:val="0"/>
        <w:pageBreakBefore w:val="0"/>
        <w:widowControl w:val="0"/>
        <w:tabs>
          <w:tab w:val="left" w:pos="720"/>
        </w:tabs>
        <w:kinsoku/>
        <w:wordWrap/>
        <w:overflowPunct/>
        <w:topLinePunct w:val="0"/>
        <w:autoSpaceDE/>
        <w:autoSpaceDN/>
        <w:bidi w:val="0"/>
        <w:adjustRightInd/>
        <w:spacing w:line="360" w:lineRule="exact"/>
        <w:ind w:firstLine="480" w:firstLineChars="200"/>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f.</w:t>
      </w:r>
      <w:r>
        <w:rPr>
          <w:rFonts w:hint="eastAsia" w:ascii="宋体" w:hAnsi="宋体" w:cs="宋体"/>
          <w:color w:val="auto"/>
          <w:sz w:val="24"/>
          <w:szCs w:val="24"/>
          <w:highlight w:val="none"/>
          <w:lang w:val="en-US" w:eastAsia="zh-CN"/>
        </w:rPr>
        <w:t>布展材料及软硬件设施</w:t>
      </w:r>
      <w:r>
        <w:rPr>
          <w:rFonts w:hint="eastAsia" w:ascii="宋体" w:hAnsi="宋体" w:cs="宋体"/>
          <w:color w:val="auto"/>
          <w:kern w:val="2"/>
          <w:sz w:val="24"/>
          <w:szCs w:val="24"/>
          <w:highlight w:val="none"/>
          <w:lang w:val="en-US" w:eastAsia="zh-CN" w:bidi="ar-SA"/>
        </w:rPr>
        <w:t>；</w:t>
      </w:r>
    </w:p>
    <w:p w14:paraId="2B7498F4">
      <w:pPr>
        <w:keepNext w:val="0"/>
        <w:keepLines w:val="0"/>
        <w:pageBreakBefore w:val="0"/>
        <w:widowControl w:val="0"/>
        <w:tabs>
          <w:tab w:val="left" w:pos="720"/>
        </w:tabs>
        <w:kinsoku/>
        <w:wordWrap/>
        <w:overflowPunct/>
        <w:topLinePunct w:val="0"/>
        <w:autoSpaceDE/>
        <w:autoSpaceDN/>
        <w:bidi w:val="0"/>
        <w:adjustRightInd/>
        <w:spacing w:line="360" w:lineRule="exact"/>
        <w:ind w:firstLine="480" w:firstLineChars="200"/>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g.</w:t>
      </w:r>
      <w:r>
        <w:rPr>
          <w:rFonts w:hint="eastAsia" w:ascii="宋体" w:hAnsi="宋体" w:eastAsia="宋体" w:cs="宋体"/>
          <w:color w:val="auto"/>
          <w:kern w:val="2"/>
          <w:sz w:val="24"/>
          <w:szCs w:val="24"/>
          <w:highlight w:val="none"/>
          <w:lang w:val="en-US" w:eastAsia="zh-CN" w:bidi="ar-SA"/>
        </w:rPr>
        <w:t>展览布</w:t>
      </w:r>
      <w:r>
        <w:rPr>
          <w:rFonts w:hint="eastAsia" w:ascii="宋体" w:hAnsi="宋体" w:cs="宋体"/>
          <w:color w:val="auto"/>
          <w:kern w:val="2"/>
          <w:sz w:val="24"/>
          <w:szCs w:val="24"/>
          <w:highlight w:val="none"/>
          <w:lang w:val="en-US" w:eastAsia="zh-CN" w:bidi="ar-SA"/>
        </w:rPr>
        <w:t>展</w:t>
      </w:r>
      <w:r>
        <w:rPr>
          <w:rFonts w:hint="eastAsia" w:ascii="宋体" w:hAnsi="宋体" w:eastAsia="宋体" w:cs="宋体"/>
          <w:color w:val="auto"/>
          <w:kern w:val="2"/>
          <w:sz w:val="24"/>
          <w:szCs w:val="24"/>
          <w:highlight w:val="none"/>
          <w:lang w:val="en-US" w:eastAsia="zh-CN" w:bidi="ar-SA"/>
        </w:rPr>
        <w:t>方案</w:t>
      </w:r>
      <w:r>
        <w:rPr>
          <w:rFonts w:hint="eastAsia" w:ascii="宋体" w:hAnsi="宋体" w:cs="宋体"/>
          <w:color w:val="auto"/>
          <w:sz w:val="24"/>
          <w:szCs w:val="24"/>
          <w:highlight w:val="none"/>
          <w:lang w:val="en-US" w:eastAsia="zh-CN"/>
        </w:rPr>
        <w:t>；</w:t>
      </w:r>
    </w:p>
    <w:p w14:paraId="595E82DB">
      <w:pPr>
        <w:keepNext w:val="0"/>
        <w:keepLines w:val="0"/>
        <w:pageBreakBefore w:val="0"/>
        <w:widowControl w:val="0"/>
        <w:tabs>
          <w:tab w:val="left" w:pos="720"/>
        </w:tabs>
        <w:kinsoku/>
        <w:wordWrap/>
        <w:overflowPunct/>
        <w:topLinePunct w:val="0"/>
        <w:autoSpaceDE/>
        <w:autoSpaceDN/>
        <w:bidi w:val="0"/>
        <w:adjustRightInd/>
        <w:spacing w:line="360" w:lineRule="exact"/>
        <w:ind w:firstLine="480" w:firstLineChars="200"/>
        <w:textAlignment w:val="auto"/>
        <w:rPr>
          <w:rFonts w:hint="eastAsia" w:ascii="宋体" w:hAnsi="宋体" w:eastAsia="宋体" w:cs="Courier New"/>
          <w:color w:val="auto"/>
          <w:kern w:val="0"/>
          <w:sz w:val="24"/>
          <w:highlight w:val="none"/>
          <w:lang w:eastAsia="zh-CN"/>
        </w:rPr>
      </w:pPr>
    </w:p>
    <w:p w14:paraId="39DABC7C">
      <w:pPr>
        <w:snapToGrid w:val="0"/>
        <w:spacing w:line="400" w:lineRule="exact"/>
        <w:ind w:firstLine="480" w:firstLineChars="200"/>
        <w:jc w:val="left"/>
        <w:rPr>
          <w:rFonts w:ascii="宋体" w:hAnsi="宋体" w:cs="宋体"/>
          <w:color w:val="auto"/>
          <w:sz w:val="24"/>
          <w:highlight w:val="none"/>
        </w:rPr>
      </w:pPr>
    </w:p>
    <w:p w14:paraId="500BC7ED">
      <w:pPr>
        <w:snapToGrid w:val="0"/>
        <w:spacing w:line="400" w:lineRule="exact"/>
        <w:jc w:val="left"/>
        <w:rPr>
          <w:rFonts w:hint="eastAsia" w:ascii="宋体" w:hAnsi="宋体" w:cs="宋体"/>
          <w:b/>
          <w:color w:val="auto"/>
          <w:kern w:val="0"/>
          <w:sz w:val="32"/>
          <w:szCs w:val="32"/>
          <w:highlight w:val="none"/>
        </w:rPr>
      </w:pPr>
    </w:p>
    <w:p w14:paraId="16E1DC68">
      <w:pPr>
        <w:snapToGrid w:val="0"/>
        <w:spacing w:line="400" w:lineRule="exact"/>
        <w:jc w:val="left"/>
        <w:rPr>
          <w:rFonts w:hint="eastAsia" w:ascii="宋体" w:hAnsi="宋体" w:cs="宋体"/>
          <w:b/>
          <w:color w:val="auto"/>
          <w:kern w:val="0"/>
          <w:sz w:val="32"/>
          <w:szCs w:val="32"/>
          <w:highlight w:val="none"/>
        </w:rPr>
      </w:pPr>
    </w:p>
    <w:p w14:paraId="0F536449">
      <w:pPr>
        <w:snapToGrid w:val="0"/>
        <w:spacing w:line="400" w:lineRule="exact"/>
        <w:jc w:val="left"/>
        <w:rPr>
          <w:rFonts w:hint="eastAsia" w:ascii="宋体" w:hAnsi="宋体" w:cs="宋体"/>
          <w:b/>
          <w:color w:val="auto"/>
          <w:kern w:val="0"/>
          <w:sz w:val="32"/>
          <w:szCs w:val="32"/>
          <w:highlight w:val="none"/>
        </w:rPr>
      </w:pPr>
    </w:p>
    <w:p w14:paraId="6BDE38C8">
      <w:pPr>
        <w:snapToGrid w:val="0"/>
        <w:spacing w:line="400" w:lineRule="exact"/>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七</w:t>
      </w:r>
      <w:r>
        <w:rPr>
          <w:rFonts w:hint="eastAsia" w:ascii="宋体" w:hAnsi="宋体" w:cs="宋体"/>
          <w:b/>
          <w:color w:val="auto"/>
          <w:kern w:val="0"/>
          <w:sz w:val="32"/>
          <w:szCs w:val="32"/>
          <w:highlight w:val="none"/>
        </w:rPr>
        <w:t>、拟派</w:t>
      </w:r>
      <w:r>
        <w:rPr>
          <w:rFonts w:hint="eastAsia" w:ascii="宋体" w:hAnsi="宋体" w:cs="宋体"/>
          <w:b/>
          <w:color w:val="auto"/>
          <w:kern w:val="0"/>
          <w:sz w:val="32"/>
          <w:szCs w:val="32"/>
          <w:highlight w:val="none"/>
          <w:lang w:val="en-US" w:eastAsia="zh-CN"/>
        </w:rPr>
        <w:t>实施团队</w:t>
      </w:r>
      <w:r>
        <w:rPr>
          <w:rFonts w:hint="eastAsia" w:ascii="宋体" w:hAnsi="宋体" w:cs="宋体"/>
          <w:b/>
          <w:color w:val="auto"/>
          <w:kern w:val="0"/>
          <w:sz w:val="32"/>
          <w:szCs w:val="32"/>
          <w:highlight w:val="none"/>
        </w:rPr>
        <w:t>人员情况：投标人拟派项目</w:t>
      </w:r>
      <w:r>
        <w:rPr>
          <w:rFonts w:hint="eastAsia" w:ascii="宋体" w:hAnsi="宋体" w:cs="宋体"/>
          <w:b/>
          <w:color w:val="auto"/>
          <w:kern w:val="0"/>
          <w:sz w:val="32"/>
          <w:szCs w:val="32"/>
          <w:highlight w:val="none"/>
          <w:lang w:eastAsia="zh-CN"/>
        </w:rPr>
        <w:t>团队</w:t>
      </w:r>
      <w:r>
        <w:rPr>
          <w:rFonts w:hint="eastAsia" w:ascii="宋体" w:hAnsi="宋体" w:cs="宋体"/>
          <w:b/>
          <w:color w:val="auto"/>
          <w:kern w:val="0"/>
          <w:sz w:val="32"/>
          <w:szCs w:val="32"/>
          <w:highlight w:val="none"/>
          <w:lang w:val="en-US" w:eastAsia="zh-CN"/>
        </w:rPr>
        <w:t>岗位配置、从业经验丰富性与设计人员的相关专业技能</w:t>
      </w:r>
      <w:r>
        <w:rPr>
          <w:rFonts w:hint="eastAsia" w:ascii="宋体" w:hAnsi="宋体" w:cs="宋体"/>
          <w:b/>
          <w:color w:val="auto"/>
          <w:kern w:val="0"/>
          <w:sz w:val="32"/>
          <w:szCs w:val="32"/>
          <w:highlight w:val="none"/>
        </w:rPr>
        <w:t>等情况；</w:t>
      </w:r>
    </w:p>
    <w:p w14:paraId="0B95FFB6">
      <w:pPr>
        <w:shd w:val="clear" w:color="auto" w:fill="FFFFFF"/>
        <w:snapToGrid w:val="0"/>
        <w:ind w:firstLine="643"/>
        <w:jc w:val="center"/>
        <w:rPr>
          <w:rFonts w:ascii="宋体" w:hAnsi="宋体" w:cs="宋体"/>
          <w:b/>
          <w:color w:val="auto"/>
          <w:kern w:val="0"/>
          <w:sz w:val="32"/>
          <w:szCs w:val="32"/>
          <w:highlight w:val="none"/>
        </w:rPr>
      </w:pPr>
    </w:p>
    <w:p w14:paraId="6B3AF67D">
      <w:pPr>
        <w:shd w:val="clear" w:color="auto" w:fill="FFFFFF"/>
        <w:snapToGrid w:val="0"/>
        <w:ind w:firstLine="643"/>
        <w:jc w:val="center"/>
        <w:rPr>
          <w:rFonts w:ascii="宋体" w:hAnsi="宋体"/>
          <w:b/>
          <w:bCs/>
          <w:color w:val="auto"/>
          <w:sz w:val="24"/>
          <w:highlight w:val="none"/>
        </w:rPr>
      </w:pPr>
      <w:r>
        <w:rPr>
          <w:rFonts w:hint="eastAsia" w:ascii="宋体" w:hAnsi="宋体" w:cs="宋体"/>
          <w:b/>
          <w:color w:val="auto"/>
          <w:kern w:val="0"/>
          <w:sz w:val="32"/>
          <w:szCs w:val="32"/>
          <w:highlight w:val="none"/>
        </w:rPr>
        <w:t>项目实施人员人力安排</w:t>
      </w:r>
    </w:p>
    <w:tbl>
      <w:tblPr>
        <w:tblStyle w:val="4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5"/>
        <w:gridCol w:w="1260"/>
        <w:gridCol w:w="1669"/>
        <w:gridCol w:w="1265"/>
        <w:gridCol w:w="2528"/>
        <w:gridCol w:w="1843"/>
      </w:tblGrid>
      <w:tr w14:paraId="21EFBA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55" w:type="dxa"/>
            <w:tcBorders>
              <w:top w:val="single" w:color="auto" w:sz="4" w:space="0"/>
              <w:left w:val="single" w:color="auto" w:sz="4" w:space="0"/>
              <w:bottom w:val="single" w:color="auto" w:sz="4" w:space="0"/>
              <w:right w:val="single" w:color="auto" w:sz="4" w:space="0"/>
            </w:tcBorders>
            <w:vAlign w:val="center"/>
          </w:tcPr>
          <w:p w14:paraId="6284AF96">
            <w:pPr>
              <w:adjustRightInd w:val="0"/>
              <w:snapToGrid w:val="0"/>
              <w:jc w:val="center"/>
              <w:textAlignment w:val="baseline"/>
              <w:rPr>
                <w:b/>
                <w:bCs/>
                <w:color w:val="auto"/>
                <w:sz w:val="24"/>
                <w:highlight w:val="none"/>
              </w:rPr>
            </w:pPr>
            <w:r>
              <w:rPr>
                <w:rFonts w:hint="eastAsia"/>
                <w:b/>
                <w:bCs/>
                <w:color w:val="auto"/>
                <w:sz w:val="24"/>
                <w:highlight w:val="none"/>
              </w:rPr>
              <w:t>序号</w:t>
            </w:r>
          </w:p>
        </w:tc>
        <w:tc>
          <w:tcPr>
            <w:tcW w:w="1260" w:type="dxa"/>
            <w:tcBorders>
              <w:top w:val="single" w:color="auto" w:sz="4" w:space="0"/>
              <w:left w:val="single" w:color="auto" w:sz="4" w:space="0"/>
              <w:bottom w:val="single" w:color="auto" w:sz="4" w:space="0"/>
              <w:right w:val="single" w:color="auto" w:sz="4" w:space="0"/>
            </w:tcBorders>
            <w:vAlign w:val="center"/>
          </w:tcPr>
          <w:p w14:paraId="62E1FE9C">
            <w:pPr>
              <w:adjustRightInd w:val="0"/>
              <w:snapToGrid w:val="0"/>
              <w:jc w:val="center"/>
              <w:textAlignment w:val="baseline"/>
              <w:rPr>
                <w:b/>
                <w:bCs/>
                <w:color w:val="auto"/>
                <w:sz w:val="24"/>
                <w:highlight w:val="none"/>
              </w:rPr>
            </w:pPr>
            <w:r>
              <w:rPr>
                <w:rFonts w:hint="eastAsia"/>
                <w:b/>
                <w:bCs/>
                <w:color w:val="auto"/>
                <w:sz w:val="24"/>
                <w:highlight w:val="none"/>
              </w:rPr>
              <w:t>姓名</w:t>
            </w:r>
          </w:p>
        </w:tc>
        <w:tc>
          <w:tcPr>
            <w:tcW w:w="1669" w:type="dxa"/>
            <w:tcBorders>
              <w:top w:val="single" w:color="auto" w:sz="4" w:space="0"/>
              <w:left w:val="single" w:color="auto" w:sz="4" w:space="0"/>
              <w:bottom w:val="single" w:color="auto" w:sz="4" w:space="0"/>
              <w:right w:val="single" w:color="auto" w:sz="4" w:space="0"/>
            </w:tcBorders>
            <w:vAlign w:val="center"/>
          </w:tcPr>
          <w:p w14:paraId="5F3610FD">
            <w:pPr>
              <w:adjustRightInd w:val="0"/>
              <w:snapToGrid w:val="0"/>
              <w:jc w:val="center"/>
              <w:textAlignment w:val="baseline"/>
              <w:rPr>
                <w:b/>
                <w:bCs/>
                <w:color w:val="auto"/>
                <w:sz w:val="24"/>
                <w:highlight w:val="none"/>
              </w:rPr>
            </w:pPr>
            <w:r>
              <w:rPr>
                <w:rFonts w:hint="eastAsia"/>
                <w:b/>
                <w:bCs/>
                <w:color w:val="auto"/>
                <w:sz w:val="24"/>
                <w:highlight w:val="none"/>
              </w:rPr>
              <w:t>专业技术资格</w:t>
            </w:r>
          </w:p>
        </w:tc>
        <w:tc>
          <w:tcPr>
            <w:tcW w:w="1265" w:type="dxa"/>
            <w:tcBorders>
              <w:top w:val="single" w:color="auto" w:sz="4" w:space="0"/>
              <w:left w:val="single" w:color="auto" w:sz="4" w:space="0"/>
              <w:bottom w:val="single" w:color="auto" w:sz="4" w:space="0"/>
              <w:right w:val="single" w:color="auto" w:sz="4" w:space="0"/>
            </w:tcBorders>
            <w:vAlign w:val="center"/>
          </w:tcPr>
          <w:p w14:paraId="738EE640">
            <w:pPr>
              <w:adjustRightInd w:val="0"/>
              <w:snapToGrid w:val="0"/>
              <w:jc w:val="center"/>
              <w:textAlignment w:val="baseline"/>
              <w:rPr>
                <w:b/>
                <w:bCs/>
                <w:color w:val="auto"/>
                <w:sz w:val="24"/>
                <w:highlight w:val="none"/>
              </w:rPr>
            </w:pPr>
            <w:r>
              <w:rPr>
                <w:rFonts w:hint="eastAsia"/>
                <w:b/>
                <w:bCs/>
                <w:color w:val="auto"/>
                <w:sz w:val="24"/>
                <w:highlight w:val="none"/>
              </w:rPr>
              <w:t>证书编号</w:t>
            </w:r>
          </w:p>
        </w:tc>
        <w:tc>
          <w:tcPr>
            <w:tcW w:w="2528" w:type="dxa"/>
            <w:tcBorders>
              <w:top w:val="single" w:color="auto" w:sz="4" w:space="0"/>
              <w:left w:val="single" w:color="auto" w:sz="4" w:space="0"/>
              <w:bottom w:val="single" w:color="auto" w:sz="4" w:space="0"/>
              <w:right w:val="single" w:color="auto" w:sz="4" w:space="0"/>
            </w:tcBorders>
            <w:vAlign w:val="center"/>
          </w:tcPr>
          <w:p w14:paraId="4718974A">
            <w:pPr>
              <w:adjustRightInd w:val="0"/>
              <w:snapToGrid w:val="0"/>
              <w:jc w:val="center"/>
              <w:textAlignment w:val="baseline"/>
              <w:rPr>
                <w:b/>
                <w:bCs/>
                <w:color w:val="auto"/>
                <w:sz w:val="24"/>
                <w:highlight w:val="none"/>
              </w:rPr>
            </w:pPr>
            <w:r>
              <w:rPr>
                <w:rFonts w:hint="eastAsia"/>
                <w:b/>
                <w:bCs/>
                <w:color w:val="auto"/>
                <w:sz w:val="24"/>
                <w:highlight w:val="none"/>
              </w:rPr>
              <w:t>参加本单位工作时间</w:t>
            </w:r>
          </w:p>
        </w:tc>
        <w:tc>
          <w:tcPr>
            <w:tcW w:w="1843" w:type="dxa"/>
            <w:tcBorders>
              <w:top w:val="single" w:color="auto" w:sz="4" w:space="0"/>
              <w:left w:val="single" w:color="auto" w:sz="4" w:space="0"/>
              <w:bottom w:val="single" w:color="auto" w:sz="4" w:space="0"/>
              <w:right w:val="single" w:color="auto" w:sz="4" w:space="0"/>
            </w:tcBorders>
            <w:vAlign w:val="center"/>
          </w:tcPr>
          <w:p w14:paraId="6273FA8A">
            <w:pPr>
              <w:adjustRightInd w:val="0"/>
              <w:snapToGrid w:val="0"/>
              <w:jc w:val="center"/>
              <w:textAlignment w:val="baseline"/>
              <w:rPr>
                <w:b/>
                <w:bCs/>
                <w:color w:val="auto"/>
                <w:sz w:val="24"/>
                <w:highlight w:val="none"/>
              </w:rPr>
            </w:pPr>
            <w:r>
              <w:rPr>
                <w:rFonts w:hint="eastAsia"/>
                <w:b/>
                <w:bCs/>
                <w:color w:val="auto"/>
                <w:sz w:val="24"/>
                <w:highlight w:val="none"/>
              </w:rPr>
              <w:t>岗位/职务</w:t>
            </w:r>
          </w:p>
        </w:tc>
      </w:tr>
      <w:tr w14:paraId="60F83C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6" w:hRule="atLeast"/>
          <w:jc w:val="center"/>
        </w:trPr>
        <w:tc>
          <w:tcPr>
            <w:tcW w:w="755" w:type="dxa"/>
            <w:tcBorders>
              <w:top w:val="single" w:color="auto" w:sz="4" w:space="0"/>
              <w:left w:val="single" w:color="auto" w:sz="4" w:space="0"/>
              <w:bottom w:val="single" w:color="auto" w:sz="4" w:space="0"/>
              <w:right w:val="single" w:color="auto" w:sz="4" w:space="0"/>
            </w:tcBorders>
            <w:vAlign w:val="center"/>
          </w:tcPr>
          <w:p w14:paraId="1D089B13">
            <w:pPr>
              <w:snapToGrid w:val="0"/>
              <w:spacing w:before="50" w:after="50"/>
              <w:jc w:val="center"/>
              <w:rPr>
                <w:color w:val="auto"/>
                <w:sz w:val="24"/>
                <w:highlight w:val="none"/>
              </w:rPr>
            </w:pPr>
            <w:r>
              <w:rPr>
                <w:rFonts w:hint="eastAsia" w:ascii="宋体" w:hAnsi="宋体" w:cs="宋体"/>
                <w:color w:val="auto"/>
                <w:sz w:val="24"/>
                <w:szCs w:val="20"/>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14:paraId="6487DAD3">
            <w:pPr>
              <w:adjustRightInd w:val="0"/>
              <w:snapToGrid w:val="0"/>
              <w:jc w:val="center"/>
              <w:textAlignment w:val="baseline"/>
              <w:rPr>
                <w:color w:val="auto"/>
                <w:sz w:val="24"/>
                <w:highlight w:val="none"/>
              </w:rPr>
            </w:pPr>
            <w:r>
              <w:rPr>
                <w:color w:val="auto"/>
                <w:sz w:val="24"/>
                <w:highlight w:val="none"/>
              </w:rPr>
              <w:t> </w:t>
            </w:r>
          </w:p>
        </w:tc>
        <w:tc>
          <w:tcPr>
            <w:tcW w:w="1669" w:type="dxa"/>
            <w:tcBorders>
              <w:top w:val="single" w:color="auto" w:sz="4" w:space="0"/>
              <w:left w:val="single" w:color="auto" w:sz="4" w:space="0"/>
              <w:bottom w:val="single" w:color="auto" w:sz="4" w:space="0"/>
              <w:right w:val="single" w:color="auto" w:sz="4" w:space="0"/>
            </w:tcBorders>
            <w:vAlign w:val="center"/>
          </w:tcPr>
          <w:p w14:paraId="229C10DE">
            <w:pPr>
              <w:adjustRightInd w:val="0"/>
              <w:snapToGrid w:val="0"/>
              <w:jc w:val="center"/>
              <w:textAlignment w:val="baseline"/>
              <w:rPr>
                <w:color w:val="auto"/>
                <w:sz w:val="24"/>
                <w:highlight w:val="none"/>
              </w:rPr>
            </w:pPr>
            <w:r>
              <w:rPr>
                <w:color w:val="auto"/>
                <w:sz w:val="24"/>
                <w:highlight w:val="none"/>
              </w:rPr>
              <w:t> </w:t>
            </w:r>
          </w:p>
        </w:tc>
        <w:tc>
          <w:tcPr>
            <w:tcW w:w="1265" w:type="dxa"/>
            <w:tcBorders>
              <w:top w:val="single" w:color="auto" w:sz="4" w:space="0"/>
              <w:left w:val="single" w:color="auto" w:sz="4" w:space="0"/>
              <w:bottom w:val="single" w:color="auto" w:sz="4" w:space="0"/>
              <w:right w:val="single" w:color="auto" w:sz="4" w:space="0"/>
            </w:tcBorders>
            <w:vAlign w:val="center"/>
          </w:tcPr>
          <w:p w14:paraId="62D65E99">
            <w:pPr>
              <w:adjustRightInd w:val="0"/>
              <w:snapToGrid w:val="0"/>
              <w:jc w:val="center"/>
              <w:textAlignment w:val="baseline"/>
              <w:rPr>
                <w:color w:val="auto"/>
                <w:sz w:val="24"/>
                <w:highlight w:val="none"/>
              </w:rPr>
            </w:pPr>
            <w:r>
              <w:rPr>
                <w:color w:val="auto"/>
                <w:sz w:val="24"/>
                <w:highlight w:val="none"/>
              </w:rPr>
              <w:t> </w:t>
            </w:r>
          </w:p>
        </w:tc>
        <w:tc>
          <w:tcPr>
            <w:tcW w:w="2528" w:type="dxa"/>
            <w:tcBorders>
              <w:top w:val="single" w:color="auto" w:sz="4" w:space="0"/>
              <w:left w:val="single" w:color="auto" w:sz="4" w:space="0"/>
              <w:bottom w:val="single" w:color="auto" w:sz="4" w:space="0"/>
              <w:right w:val="single" w:color="auto" w:sz="4" w:space="0"/>
            </w:tcBorders>
            <w:vAlign w:val="center"/>
          </w:tcPr>
          <w:p w14:paraId="131CE92D">
            <w:pPr>
              <w:adjustRightInd w:val="0"/>
              <w:snapToGrid w:val="0"/>
              <w:jc w:val="center"/>
              <w:textAlignment w:val="baseline"/>
              <w:rPr>
                <w:color w:val="auto"/>
                <w:sz w:val="24"/>
                <w:highlight w:val="none"/>
              </w:rPr>
            </w:pPr>
            <w:r>
              <w:rPr>
                <w:color w:val="auto"/>
                <w:sz w:val="24"/>
                <w:highlight w:val="none"/>
              </w:rPr>
              <w:t> </w:t>
            </w:r>
          </w:p>
        </w:tc>
        <w:tc>
          <w:tcPr>
            <w:tcW w:w="1843" w:type="dxa"/>
            <w:tcBorders>
              <w:top w:val="single" w:color="auto" w:sz="4" w:space="0"/>
              <w:left w:val="single" w:color="auto" w:sz="4" w:space="0"/>
              <w:bottom w:val="single" w:color="auto" w:sz="4" w:space="0"/>
              <w:right w:val="single" w:color="auto" w:sz="4" w:space="0"/>
            </w:tcBorders>
            <w:vAlign w:val="center"/>
          </w:tcPr>
          <w:p w14:paraId="3A8A905C">
            <w:pPr>
              <w:adjustRightInd w:val="0"/>
              <w:snapToGrid w:val="0"/>
              <w:jc w:val="center"/>
              <w:textAlignment w:val="baseline"/>
              <w:rPr>
                <w:color w:val="auto"/>
                <w:sz w:val="24"/>
                <w:highlight w:val="none"/>
              </w:rPr>
            </w:pPr>
            <w:r>
              <w:rPr>
                <w:color w:val="auto"/>
                <w:sz w:val="24"/>
                <w:highlight w:val="none"/>
              </w:rPr>
              <w:t> </w:t>
            </w:r>
          </w:p>
        </w:tc>
      </w:tr>
      <w:tr w14:paraId="6702A0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6" w:hRule="atLeast"/>
          <w:jc w:val="center"/>
        </w:trPr>
        <w:tc>
          <w:tcPr>
            <w:tcW w:w="755" w:type="dxa"/>
            <w:tcBorders>
              <w:top w:val="single" w:color="auto" w:sz="4" w:space="0"/>
              <w:left w:val="single" w:color="auto" w:sz="4" w:space="0"/>
              <w:bottom w:val="single" w:color="auto" w:sz="4" w:space="0"/>
              <w:right w:val="single" w:color="auto" w:sz="4" w:space="0"/>
            </w:tcBorders>
            <w:vAlign w:val="center"/>
          </w:tcPr>
          <w:p w14:paraId="6CFA0CD2">
            <w:pPr>
              <w:snapToGrid w:val="0"/>
              <w:spacing w:before="50" w:after="50"/>
              <w:jc w:val="center"/>
              <w:rPr>
                <w:color w:val="auto"/>
                <w:sz w:val="24"/>
                <w:highlight w:val="none"/>
              </w:rPr>
            </w:pPr>
            <w:r>
              <w:rPr>
                <w:rFonts w:hint="eastAsia" w:ascii="宋体" w:hAnsi="宋体" w:cs="宋体"/>
                <w:color w:val="auto"/>
                <w:sz w:val="24"/>
                <w:szCs w:val="20"/>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14:paraId="439A14EB">
            <w:pPr>
              <w:adjustRightInd w:val="0"/>
              <w:snapToGrid w:val="0"/>
              <w:jc w:val="center"/>
              <w:textAlignment w:val="baseline"/>
              <w:rPr>
                <w:color w:val="auto"/>
                <w:sz w:val="24"/>
                <w:highlight w:val="none"/>
              </w:rPr>
            </w:pPr>
            <w:r>
              <w:rPr>
                <w:color w:val="auto"/>
                <w:sz w:val="24"/>
                <w:highlight w:val="none"/>
              </w:rPr>
              <w:t> </w:t>
            </w:r>
          </w:p>
        </w:tc>
        <w:tc>
          <w:tcPr>
            <w:tcW w:w="1669" w:type="dxa"/>
            <w:tcBorders>
              <w:top w:val="single" w:color="auto" w:sz="4" w:space="0"/>
              <w:left w:val="single" w:color="auto" w:sz="4" w:space="0"/>
              <w:bottom w:val="single" w:color="auto" w:sz="4" w:space="0"/>
              <w:right w:val="single" w:color="auto" w:sz="4" w:space="0"/>
            </w:tcBorders>
            <w:vAlign w:val="center"/>
          </w:tcPr>
          <w:p w14:paraId="14001D24">
            <w:pPr>
              <w:adjustRightInd w:val="0"/>
              <w:snapToGrid w:val="0"/>
              <w:jc w:val="center"/>
              <w:textAlignment w:val="baseline"/>
              <w:rPr>
                <w:color w:val="auto"/>
                <w:sz w:val="24"/>
                <w:highlight w:val="none"/>
              </w:rPr>
            </w:pPr>
            <w:r>
              <w:rPr>
                <w:color w:val="auto"/>
                <w:sz w:val="24"/>
                <w:highlight w:val="none"/>
              </w:rPr>
              <w:t> </w:t>
            </w:r>
          </w:p>
        </w:tc>
        <w:tc>
          <w:tcPr>
            <w:tcW w:w="1265" w:type="dxa"/>
            <w:tcBorders>
              <w:top w:val="single" w:color="auto" w:sz="4" w:space="0"/>
              <w:left w:val="single" w:color="auto" w:sz="4" w:space="0"/>
              <w:bottom w:val="single" w:color="auto" w:sz="4" w:space="0"/>
              <w:right w:val="single" w:color="auto" w:sz="4" w:space="0"/>
            </w:tcBorders>
            <w:vAlign w:val="center"/>
          </w:tcPr>
          <w:p w14:paraId="4E35BAAB">
            <w:pPr>
              <w:adjustRightInd w:val="0"/>
              <w:snapToGrid w:val="0"/>
              <w:jc w:val="center"/>
              <w:textAlignment w:val="baseline"/>
              <w:rPr>
                <w:color w:val="auto"/>
                <w:sz w:val="24"/>
                <w:highlight w:val="none"/>
              </w:rPr>
            </w:pPr>
            <w:r>
              <w:rPr>
                <w:color w:val="auto"/>
                <w:sz w:val="24"/>
                <w:highlight w:val="none"/>
              </w:rPr>
              <w:t> </w:t>
            </w:r>
          </w:p>
        </w:tc>
        <w:tc>
          <w:tcPr>
            <w:tcW w:w="2528" w:type="dxa"/>
            <w:tcBorders>
              <w:top w:val="single" w:color="auto" w:sz="4" w:space="0"/>
              <w:left w:val="single" w:color="auto" w:sz="4" w:space="0"/>
              <w:bottom w:val="single" w:color="auto" w:sz="4" w:space="0"/>
              <w:right w:val="single" w:color="auto" w:sz="4" w:space="0"/>
            </w:tcBorders>
            <w:vAlign w:val="center"/>
          </w:tcPr>
          <w:p w14:paraId="663C1B3F">
            <w:pPr>
              <w:adjustRightInd w:val="0"/>
              <w:snapToGrid w:val="0"/>
              <w:jc w:val="center"/>
              <w:textAlignment w:val="baseline"/>
              <w:rPr>
                <w:color w:val="auto"/>
                <w:sz w:val="24"/>
                <w:highlight w:val="none"/>
              </w:rPr>
            </w:pPr>
            <w:r>
              <w:rPr>
                <w:color w:val="auto"/>
                <w:sz w:val="24"/>
                <w:highlight w:val="none"/>
              </w:rPr>
              <w:t> </w:t>
            </w:r>
          </w:p>
        </w:tc>
        <w:tc>
          <w:tcPr>
            <w:tcW w:w="1843" w:type="dxa"/>
            <w:tcBorders>
              <w:top w:val="single" w:color="auto" w:sz="4" w:space="0"/>
              <w:left w:val="single" w:color="auto" w:sz="4" w:space="0"/>
              <w:bottom w:val="single" w:color="auto" w:sz="4" w:space="0"/>
              <w:right w:val="single" w:color="auto" w:sz="4" w:space="0"/>
            </w:tcBorders>
            <w:vAlign w:val="center"/>
          </w:tcPr>
          <w:p w14:paraId="087BECC2">
            <w:pPr>
              <w:adjustRightInd w:val="0"/>
              <w:snapToGrid w:val="0"/>
              <w:jc w:val="center"/>
              <w:textAlignment w:val="baseline"/>
              <w:rPr>
                <w:color w:val="auto"/>
                <w:sz w:val="24"/>
                <w:highlight w:val="none"/>
              </w:rPr>
            </w:pPr>
            <w:r>
              <w:rPr>
                <w:color w:val="auto"/>
                <w:sz w:val="24"/>
                <w:highlight w:val="none"/>
              </w:rPr>
              <w:t> </w:t>
            </w:r>
          </w:p>
        </w:tc>
      </w:tr>
      <w:tr w14:paraId="18C78A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6" w:hRule="atLeast"/>
          <w:jc w:val="center"/>
        </w:trPr>
        <w:tc>
          <w:tcPr>
            <w:tcW w:w="755" w:type="dxa"/>
            <w:tcBorders>
              <w:top w:val="single" w:color="auto" w:sz="4" w:space="0"/>
              <w:left w:val="single" w:color="auto" w:sz="4" w:space="0"/>
              <w:bottom w:val="single" w:color="auto" w:sz="4" w:space="0"/>
              <w:right w:val="single" w:color="auto" w:sz="4" w:space="0"/>
            </w:tcBorders>
            <w:vAlign w:val="center"/>
          </w:tcPr>
          <w:p w14:paraId="24DDF08B">
            <w:pPr>
              <w:snapToGrid w:val="0"/>
              <w:spacing w:before="50" w:after="50"/>
              <w:jc w:val="center"/>
              <w:rPr>
                <w:rFonts w:ascii="宋体" w:hAnsi="宋体" w:cs="宋体"/>
                <w:color w:val="auto"/>
                <w:sz w:val="24"/>
                <w:highlight w:val="none"/>
              </w:rPr>
            </w:pPr>
            <w:r>
              <w:rPr>
                <w:rFonts w:hint="eastAsia" w:ascii="宋体" w:hAnsi="宋体" w:cs="宋体"/>
                <w:color w:val="auto"/>
                <w:sz w:val="24"/>
                <w:szCs w:val="20"/>
                <w:highlight w:val="none"/>
              </w:rPr>
              <w:t>3</w:t>
            </w:r>
          </w:p>
        </w:tc>
        <w:tc>
          <w:tcPr>
            <w:tcW w:w="1260" w:type="dxa"/>
            <w:tcBorders>
              <w:top w:val="single" w:color="auto" w:sz="4" w:space="0"/>
              <w:left w:val="single" w:color="auto" w:sz="4" w:space="0"/>
              <w:bottom w:val="single" w:color="auto" w:sz="4" w:space="0"/>
              <w:right w:val="single" w:color="auto" w:sz="4" w:space="0"/>
            </w:tcBorders>
            <w:vAlign w:val="center"/>
          </w:tcPr>
          <w:p w14:paraId="44389401">
            <w:pPr>
              <w:adjustRightInd w:val="0"/>
              <w:snapToGrid w:val="0"/>
              <w:jc w:val="center"/>
              <w:textAlignment w:val="baseline"/>
              <w:rPr>
                <w:color w:val="auto"/>
                <w:sz w:val="24"/>
                <w:highlight w:val="none"/>
              </w:rPr>
            </w:pPr>
            <w:r>
              <w:rPr>
                <w:color w:val="auto"/>
                <w:sz w:val="24"/>
                <w:highlight w:val="none"/>
              </w:rPr>
              <w:t> </w:t>
            </w:r>
          </w:p>
        </w:tc>
        <w:tc>
          <w:tcPr>
            <w:tcW w:w="1669" w:type="dxa"/>
            <w:tcBorders>
              <w:top w:val="single" w:color="auto" w:sz="4" w:space="0"/>
              <w:left w:val="single" w:color="auto" w:sz="4" w:space="0"/>
              <w:bottom w:val="single" w:color="auto" w:sz="4" w:space="0"/>
              <w:right w:val="single" w:color="auto" w:sz="4" w:space="0"/>
            </w:tcBorders>
            <w:vAlign w:val="center"/>
          </w:tcPr>
          <w:p w14:paraId="1640010A">
            <w:pPr>
              <w:adjustRightInd w:val="0"/>
              <w:snapToGrid w:val="0"/>
              <w:jc w:val="center"/>
              <w:textAlignment w:val="baseline"/>
              <w:rPr>
                <w:color w:val="auto"/>
                <w:sz w:val="24"/>
                <w:highlight w:val="none"/>
              </w:rPr>
            </w:pPr>
            <w:r>
              <w:rPr>
                <w:color w:val="auto"/>
                <w:sz w:val="24"/>
                <w:highlight w:val="none"/>
              </w:rPr>
              <w:t> </w:t>
            </w:r>
          </w:p>
        </w:tc>
        <w:tc>
          <w:tcPr>
            <w:tcW w:w="1265" w:type="dxa"/>
            <w:tcBorders>
              <w:top w:val="single" w:color="auto" w:sz="4" w:space="0"/>
              <w:left w:val="single" w:color="auto" w:sz="4" w:space="0"/>
              <w:bottom w:val="single" w:color="auto" w:sz="4" w:space="0"/>
              <w:right w:val="single" w:color="auto" w:sz="4" w:space="0"/>
            </w:tcBorders>
            <w:vAlign w:val="center"/>
          </w:tcPr>
          <w:p w14:paraId="5E3C4A3F">
            <w:pPr>
              <w:adjustRightInd w:val="0"/>
              <w:snapToGrid w:val="0"/>
              <w:jc w:val="center"/>
              <w:textAlignment w:val="baseline"/>
              <w:rPr>
                <w:color w:val="auto"/>
                <w:sz w:val="24"/>
                <w:highlight w:val="none"/>
              </w:rPr>
            </w:pPr>
            <w:r>
              <w:rPr>
                <w:color w:val="auto"/>
                <w:sz w:val="24"/>
                <w:highlight w:val="none"/>
              </w:rPr>
              <w:t> </w:t>
            </w:r>
          </w:p>
        </w:tc>
        <w:tc>
          <w:tcPr>
            <w:tcW w:w="2528" w:type="dxa"/>
            <w:tcBorders>
              <w:top w:val="single" w:color="auto" w:sz="4" w:space="0"/>
              <w:left w:val="single" w:color="auto" w:sz="4" w:space="0"/>
              <w:bottom w:val="single" w:color="auto" w:sz="4" w:space="0"/>
              <w:right w:val="single" w:color="auto" w:sz="4" w:space="0"/>
            </w:tcBorders>
            <w:vAlign w:val="center"/>
          </w:tcPr>
          <w:p w14:paraId="2B4E2F53">
            <w:pPr>
              <w:adjustRightInd w:val="0"/>
              <w:snapToGrid w:val="0"/>
              <w:jc w:val="center"/>
              <w:textAlignment w:val="baseline"/>
              <w:rPr>
                <w:color w:val="auto"/>
                <w:sz w:val="24"/>
                <w:highlight w:val="none"/>
              </w:rPr>
            </w:pPr>
            <w:r>
              <w:rPr>
                <w:color w:val="auto"/>
                <w:sz w:val="24"/>
                <w:highlight w:val="none"/>
              </w:rPr>
              <w:t> </w:t>
            </w:r>
          </w:p>
        </w:tc>
        <w:tc>
          <w:tcPr>
            <w:tcW w:w="1843" w:type="dxa"/>
            <w:tcBorders>
              <w:top w:val="single" w:color="auto" w:sz="4" w:space="0"/>
              <w:left w:val="single" w:color="auto" w:sz="4" w:space="0"/>
              <w:bottom w:val="single" w:color="auto" w:sz="4" w:space="0"/>
              <w:right w:val="single" w:color="auto" w:sz="4" w:space="0"/>
            </w:tcBorders>
            <w:vAlign w:val="center"/>
          </w:tcPr>
          <w:p w14:paraId="23FEFBCE">
            <w:pPr>
              <w:adjustRightInd w:val="0"/>
              <w:snapToGrid w:val="0"/>
              <w:jc w:val="center"/>
              <w:textAlignment w:val="baseline"/>
              <w:rPr>
                <w:color w:val="auto"/>
                <w:sz w:val="24"/>
                <w:highlight w:val="none"/>
              </w:rPr>
            </w:pPr>
            <w:r>
              <w:rPr>
                <w:color w:val="auto"/>
                <w:sz w:val="24"/>
                <w:highlight w:val="none"/>
              </w:rPr>
              <w:t> </w:t>
            </w:r>
          </w:p>
        </w:tc>
      </w:tr>
      <w:tr w14:paraId="35224F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86" w:hRule="atLeast"/>
          <w:jc w:val="center"/>
        </w:trPr>
        <w:tc>
          <w:tcPr>
            <w:tcW w:w="755" w:type="dxa"/>
            <w:tcBorders>
              <w:top w:val="single" w:color="auto" w:sz="4" w:space="0"/>
              <w:left w:val="single" w:color="auto" w:sz="4" w:space="0"/>
              <w:bottom w:val="single" w:color="auto" w:sz="4" w:space="0"/>
              <w:right w:val="single" w:color="auto" w:sz="4" w:space="0"/>
            </w:tcBorders>
            <w:vAlign w:val="center"/>
          </w:tcPr>
          <w:p w14:paraId="741FE662">
            <w:pPr>
              <w:adjustRightInd w:val="0"/>
              <w:snapToGrid w:val="0"/>
              <w:jc w:val="center"/>
              <w:textAlignment w:val="baseline"/>
              <w:rPr>
                <w:rFonts w:ascii="宋体" w:hAnsi="宋体" w:cs="宋体"/>
                <w:color w:val="auto"/>
                <w:sz w:val="24"/>
                <w:highlight w:val="none"/>
              </w:rPr>
            </w:pPr>
            <w:r>
              <w:rPr>
                <w:rFonts w:hint="eastAsia" w:ascii="宋体" w:hAnsi="宋体" w:cs="宋体"/>
                <w:color w:val="auto"/>
                <w:sz w:val="24"/>
                <w:szCs w:val="20"/>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14:paraId="7DE6E230">
            <w:pPr>
              <w:adjustRightInd w:val="0"/>
              <w:snapToGrid w:val="0"/>
              <w:jc w:val="center"/>
              <w:textAlignment w:val="baseline"/>
              <w:rPr>
                <w:color w:val="auto"/>
                <w:sz w:val="24"/>
                <w:highlight w:val="none"/>
              </w:rPr>
            </w:pPr>
            <w:r>
              <w:rPr>
                <w:color w:val="auto"/>
                <w:sz w:val="24"/>
                <w:highlight w:val="none"/>
              </w:rPr>
              <w:t> </w:t>
            </w:r>
          </w:p>
        </w:tc>
        <w:tc>
          <w:tcPr>
            <w:tcW w:w="1669" w:type="dxa"/>
            <w:tcBorders>
              <w:top w:val="single" w:color="auto" w:sz="4" w:space="0"/>
              <w:left w:val="single" w:color="auto" w:sz="4" w:space="0"/>
              <w:bottom w:val="single" w:color="auto" w:sz="4" w:space="0"/>
              <w:right w:val="single" w:color="auto" w:sz="4" w:space="0"/>
            </w:tcBorders>
            <w:vAlign w:val="center"/>
          </w:tcPr>
          <w:p w14:paraId="52548400">
            <w:pPr>
              <w:adjustRightInd w:val="0"/>
              <w:snapToGrid w:val="0"/>
              <w:jc w:val="center"/>
              <w:textAlignment w:val="baseline"/>
              <w:rPr>
                <w:color w:val="auto"/>
                <w:sz w:val="24"/>
                <w:highlight w:val="none"/>
              </w:rPr>
            </w:pPr>
            <w:r>
              <w:rPr>
                <w:color w:val="auto"/>
                <w:sz w:val="24"/>
                <w:highlight w:val="none"/>
              </w:rPr>
              <w:t> </w:t>
            </w:r>
          </w:p>
        </w:tc>
        <w:tc>
          <w:tcPr>
            <w:tcW w:w="1265" w:type="dxa"/>
            <w:tcBorders>
              <w:top w:val="single" w:color="auto" w:sz="4" w:space="0"/>
              <w:left w:val="single" w:color="auto" w:sz="4" w:space="0"/>
              <w:bottom w:val="single" w:color="auto" w:sz="4" w:space="0"/>
              <w:right w:val="single" w:color="auto" w:sz="4" w:space="0"/>
            </w:tcBorders>
            <w:vAlign w:val="center"/>
          </w:tcPr>
          <w:p w14:paraId="3B6FF32A">
            <w:pPr>
              <w:adjustRightInd w:val="0"/>
              <w:snapToGrid w:val="0"/>
              <w:jc w:val="center"/>
              <w:textAlignment w:val="baseline"/>
              <w:rPr>
                <w:color w:val="auto"/>
                <w:sz w:val="24"/>
                <w:highlight w:val="none"/>
              </w:rPr>
            </w:pPr>
            <w:r>
              <w:rPr>
                <w:color w:val="auto"/>
                <w:sz w:val="24"/>
                <w:highlight w:val="none"/>
              </w:rPr>
              <w:t> </w:t>
            </w:r>
          </w:p>
        </w:tc>
        <w:tc>
          <w:tcPr>
            <w:tcW w:w="2528" w:type="dxa"/>
            <w:tcBorders>
              <w:top w:val="single" w:color="auto" w:sz="4" w:space="0"/>
              <w:left w:val="single" w:color="auto" w:sz="4" w:space="0"/>
              <w:bottom w:val="single" w:color="auto" w:sz="4" w:space="0"/>
              <w:right w:val="single" w:color="auto" w:sz="4" w:space="0"/>
            </w:tcBorders>
            <w:vAlign w:val="center"/>
          </w:tcPr>
          <w:p w14:paraId="3BF39A94">
            <w:pPr>
              <w:adjustRightInd w:val="0"/>
              <w:snapToGrid w:val="0"/>
              <w:jc w:val="center"/>
              <w:textAlignment w:val="baseline"/>
              <w:rPr>
                <w:color w:val="auto"/>
                <w:sz w:val="24"/>
                <w:highlight w:val="none"/>
              </w:rPr>
            </w:pPr>
            <w:r>
              <w:rPr>
                <w:color w:val="auto"/>
                <w:sz w:val="24"/>
                <w:highlight w:val="none"/>
              </w:rPr>
              <w:t> </w:t>
            </w:r>
          </w:p>
        </w:tc>
        <w:tc>
          <w:tcPr>
            <w:tcW w:w="1843" w:type="dxa"/>
            <w:tcBorders>
              <w:top w:val="single" w:color="auto" w:sz="4" w:space="0"/>
              <w:left w:val="single" w:color="auto" w:sz="4" w:space="0"/>
              <w:bottom w:val="single" w:color="auto" w:sz="4" w:space="0"/>
              <w:right w:val="single" w:color="auto" w:sz="4" w:space="0"/>
            </w:tcBorders>
            <w:vAlign w:val="center"/>
          </w:tcPr>
          <w:p w14:paraId="2B4A19DD">
            <w:pPr>
              <w:adjustRightInd w:val="0"/>
              <w:snapToGrid w:val="0"/>
              <w:jc w:val="center"/>
              <w:textAlignment w:val="baseline"/>
              <w:rPr>
                <w:color w:val="auto"/>
                <w:sz w:val="24"/>
                <w:highlight w:val="none"/>
              </w:rPr>
            </w:pPr>
            <w:r>
              <w:rPr>
                <w:color w:val="auto"/>
                <w:sz w:val="24"/>
                <w:highlight w:val="none"/>
              </w:rPr>
              <w:t> </w:t>
            </w:r>
          </w:p>
        </w:tc>
      </w:tr>
    </w:tbl>
    <w:p w14:paraId="658B0D10">
      <w:pPr>
        <w:shd w:val="clear" w:color="auto" w:fill="FFFFFF"/>
        <w:snapToGrid w:val="0"/>
        <w:jc w:val="left"/>
        <w:rPr>
          <w:rFonts w:ascii="宋体" w:hAnsi="宋体" w:cs="Arial"/>
          <w:b/>
          <w:color w:val="auto"/>
          <w:sz w:val="24"/>
          <w:highlight w:val="none"/>
          <w:shd w:val="clear" w:color="auto" w:fill="FFFFFF"/>
        </w:rPr>
      </w:pPr>
      <w:r>
        <w:rPr>
          <w:rFonts w:hint="eastAsia" w:ascii="宋体" w:hAnsi="宋体"/>
          <w:color w:val="auto"/>
          <w:sz w:val="24"/>
          <w:highlight w:val="none"/>
        </w:rPr>
        <w:t xml:space="preserve"> </w:t>
      </w:r>
      <w:r>
        <w:rPr>
          <w:rFonts w:hint="eastAsia" w:ascii="宋体" w:hAnsi="宋体" w:cs="Arial"/>
          <w:b/>
          <w:color w:val="auto"/>
          <w:sz w:val="24"/>
          <w:highlight w:val="none"/>
          <w:shd w:val="clear" w:color="auto" w:fill="FFFFFF"/>
        </w:rPr>
        <w:t> </w:t>
      </w:r>
    </w:p>
    <w:p w14:paraId="3780C31C">
      <w:pPr>
        <w:shd w:val="clear" w:color="auto" w:fill="FFFFFF"/>
        <w:snapToGrid w:val="0"/>
        <w:ind w:firstLine="241" w:firstLineChars="100"/>
        <w:jc w:val="left"/>
        <w:rPr>
          <w:rFonts w:ascii="宋体" w:hAnsi="宋体" w:cs="Arial"/>
          <w:b/>
          <w:color w:val="auto"/>
          <w:sz w:val="24"/>
          <w:highlight w:val="none"/>
          <w:shd w:val="clear" w:color="auto" w:fill="FFFFFF"/>
        </w:rPr>
      </w:pPr>
      <w:r>
        <w:rPr>
          <w:rFonts w:hint="eastAsia" w:ascii="宋体" w:hAnsi="宋体" w:cs="Arial"/>
          <w:b/>
          <w:color w:val="auto"/>
          <w:sz w:val="24"/>
          <w:highlight w:val="none"/>
          <w:shd w:val="clear" w:color="auto" w:fill="FFFFFF"/>
        </w:rPr>
        <w:t>（可后附人员相关证书、荣誉材料</w:t>
      </w:r>
      <w:r>
        <w:rPr>
          <w:rFonts w:hint="eastAsia" w:ascii="宋体" w:hAnsi="宋体" w:cs="Arial"/>
          <w:b/>
          <w:color w:val="auto"/>
          <w:sz w:val="24"/>
          <w:highlight w:val="none"/>
          <w:shd w:val="clear" w:color="auto" w:fill="FFFFFF"/>
          <w:lang w:eastAsia="zh-CN"/>
        </w:rPr>
        <w:t>、</w:t>
      </w:r>
      <w:r>
        <w:rPr>
          <w:rFonts w:hint="eastAsia" w:ascii="宋体" w:hAnsi="宋体" w:cs="Arial"/>
          <w:b/>
          <w:color w:val="auto"/>
          <w:sz w:val="24"/>
          <w:highlight w:val="none"/>
          <w:shd w:val="clear" w:color="auto" w:fill="FFFFFF"/>
          <w:lang w:val="en-US" w:eastAsia="zh-CN"/>
        </w:rPr>
        <w:t>经验材料</w:t>
      </w:r>
      <w:r>
        <w:rPr>
          <w:rFonts w:hint="eastAsia" w:ascii="宋体" w:hAnsi="宋体" w:cs="Arial"/>
          <w:b/>
          <w:color w:val="auto"/>
          <w:sz w:val="24"/>
          <w:highlight w:val="none"/>
          <w:shd w:val="clear" w:color="auto" w:fill="FFFFFF"/>
        </w:rPr>
        <w:t>等）</w:t>
      </w:r>
    </w:p>
    <w:p w14:paraId="6DAD3F20">
      <w:pPr>
        <w:pStyle w:val="37"/>
        <w:ind w:firstLine="480" w:firstLineChars="200"/>
        <w:rPr>
          <w:color w:val="auto"/>
          <w:highlight w:val="none"/>
        </w:rPr>
      </w:pPr>
    </w:p>
    <w:p w14:paraId="6240396E">
      <w:pPr>
        <w:snapToGrid w:val="0"/>
        <w:spacing w:line="360" w:lineRule="auto"/>
        <w:ind w:right="360" w:firstLine="566" w:firstLineChars="235"/>
        <w:jc w:val="left"/>
        <w:rPr>
          <w:rFonts w:ascii="宋体" w:hAnsi="宋体" w:cs="Arial"/>
          <w:b/>
          <w:color w:val="auto"/>
          <w:sz w:val="24"/>
          <w:highlight w:val="none"/>
        </w:rPr>
      </w:pPr>
      <w:r>
        <w:rPr>
          <w:rFonts w:hint="eastAsia" w:ascii="宋体" w:hAnsi="宋体" w:cs="Arial"/>
          <w:b/>
          <w:color w:val="auto"/>
          <w:sz w:val="24"/>
          <w:highlight w:val="none"/>
        </w:rPr>
        <w:t>此表格式供参考，也可按需要自行制作。</w:t>
      </w:r>
    </w:p>
    <w:p w14:paraId="3F4CA72B">
      <w:pPr>
        <w:snapToGrid w:val="0"/>
        <w:spacing w:line="360" w:lineRule="auto"/>
        <w:ind w:firstLine="2650" w:firstLineChars="1100"/>
        <w:jc w:val="right"/>
        <w:rPr>
          <w:rFonts w:ascii="宋体" w:hAnsi="宋体" w:cs="Arial"/>
          <w:b/>
          <w:bCs/>
          <w:color w:val="auto"/>
          <w:sz w:val="24"/>
          <w:highlight w:val="none"/>
        </w:rPr>
      </w:pPr>
    </w:p>
    <w:p w14:paraId="519D23C5">
      <w:pPr>
        <w:snapToGrid w:val="0"/>
        <w:spacing w:line="360" w:lineRule="auto"/>
        <w:ind w:firstLine="482"/>
        <w:jc w:val="right"/>
        <w:rPr>
          <w:rFonts w:ascii="宋体" w:hAnsi="宋体" w:cs="宋体"/>
          <w:color w:val="auto"/>
          <w:sz w:val="24"/>
          <w:highlight w:val="none"/>
        </w:rPr>
      </w:pPr>
      <w:r>
        <w:rPr>
          <w:rFonts w:hint="eastAsia" w:ascii="宋体" w:hAnsi="宋体" w:cs="Arial"/>
          <w:b/>
          <w:bCs/>
          <w:color w:val="auto"/>
          <w:sz w:val="24"/>
          <w:highlight w:val="none"/>
        </w:rPr>
        <w:t> </w:t>
      </w:r>
      <w:r>
        <w:rPr>
          <w:rFonts w:hint="eastAsia" w:ascii="宋体" w:hAnsi="宋体" w:cs="宋体"/>
          <w:color w:val="auto"/>
          <w:sz w:val="24"/>
          <w:highlight w:val="none"/>
        </w:rPr>
        <w:t xml:space="preserve">供应商名称（电子签章/公章）：___________________                   </w:t>
      </w:r>
    </w:p>
    <w:p w14:paraId="4AF53146">
      <w:pPr>
        <w:snapToGrid w:val="0"/>
        <w:spacing w:line="360" w:lineRule="auto"/>
        <w:jc w:val="right"/>
        <w:rPr>
          <w:rFonts w:ascii="宋体" w:hAnsi="宋体" w:cs="宋体"/>
          <w:color w:val="auto"/>
          <w:sz w:val="24"/>
          <w:highlight w:val="none"/>
        </w:rPr>
      </w:pPr>
      <w:r>
        <w:rPr>
          <w:rFonts w:hint="eastAsia" w:ascii="宋体" w:hAnsi="宋体" w:cs="宋体"/>
          <w:color w:val="auto"/>
          <w:sz w:val="24"/>
          <w:highlight w:val="none"/>
        </w:rPr>
        <w:t>_____年___月___日</w:t>
      </w:r>
    </w:p>
    <w:p w14:paraId="1629A059">
      <w:pPr>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br w:type="page"/>
      </w:r>
    </w:p>
    <w:p w14:paraId="19675592">
      <w:pPr>
        <w:snapToGrid w:val="0"/>
        <w:spacing w:line="360" w:lineRule="auto"/>
        <w:ind w:firstLine="643"/>
        <w:jc w:val="center"/>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八、质量保修</w:t>
      </w:r>
    </w:p>
    <w:p w14:paraId="1EC21119">
      <w:pPr>
        <w:snapToGrid w:val="0"/>
        <w:spacing w:line="360" w:lineRule="auto"/>
        <w:ind w:firstLine="482"/>
        <w:jc w:val="right"/>
        <w:rPr>
          <w:rFonts w:ascii="宋体" w:hAnsi="宋体" w:cs="宋体"/>
          <w:color w:val="auto"/>
          <w:sz w:val="24"/>
          <w:highlight w:val="none"/>
        </w:rPr>
      </w:pPr>
      <w:r>
        <w:rPr>
          <w:rFonts w:hint="eastAsia" w:ascii="宋体" w:hAnsi="宋体" w:cs="Arial"/>
          <w:b/>
          <w:bCs/>
          <w:color w:val="auto"/>
          <w:sz w:val="24"/>
          <w:highlight w:val="none"/>
        </w:rPr>
        <w:t> </w:t>
      </w:r>
      <w:r>
        <w:rPr>
          <w:rFonts w:hint="eastAsia" w:ascii="宋体" w:hAnsi="宋体" w:cs="宋体"/>
          <w:color w:val="auto"/>
          <w:sz w:val="24"/>
          <w:highlight w:val="none"/>
        </w:rPr>
        <w:t xml:space="preserve">供应商名称（电子签章/公章）：___________________                   </w:t>
      </w:r>
    </w:p>
    <w:p w14:paraId="06E90F8C">
      <w:pPr>
        <w:snapToGrid w:val="0"/>
        <w:spacing w:line="360" w:lineRule="auto"/>
        <w:jc w:val="right"/>
        <w:rPr>
          <w:rFonts w:ascii="宋体" w:hAnsi="宋体" w:cs="宋体"/>
          <w:color w:val="auto"/>
          <w:sz w:val="24"/>
          <w:highlight w:val="none"/>
        </w:rPr>
      </w:pPr>
      <w:r>
        <w:rPr>
          <w:rFonts w:hint="eastAsia" w:ascii="宋体" w:hAnsi="宋体" w:cs="宋体"/>
          <w:color w:val="auto"/>
          <w:sz w:val="24"/>
          <w:highlight w:val="none"/>
        </w:rPr>
        <w:t>_____年___月___日</w:t>
      </w:r>
    </w:p>
    <w:p w14:paraId="3033D12F">
      <w:pPr>
        <w:snapToGrid w:val="0"/>
        <w:spacing w:line="360" w:lineRule="auto"/>
        <w:ind w:firstLine="643"/>
        <w:jc w:val="center"/>
        <w:rPr>
          <w:rFonts w:hint="eastAsia" w:ascii="宋体" w:hAnsi="宋体" w:cs="宋体"/>
          <w:b/>
          <w:color w:val="auto"/>
          <w:kern w:val="0"/>
          <w:sz w:val="32"/>
          <w:szCs w:val="32"/>
          <w:highlight w:val="none"/>
          <w:lang w:val="en-US" w:eastAsia="zh-CN"/>
        </w:rPr>
      </w:pPr>
    </w:p>
    <w:p w14:paraId="04B003FD">
      <w:pPr>
        <w:snapToGrid w:val="0"/>
        <w:spacing w:line="360" w:lineRule="auto"/>
        <w:ind w:firstLine="643"/>
        <w:jc w:val="center"/>
        <w:rPr>
          <w:rFonts w:hint="eastAsia" w:ascii="宋体" w:hAnsi="宋体" w:cs="宋体"/>
          <w:b/>
          <w:color w:val="auto"/>
          <w:kern w:val="0"/>
          <w:sz w:val="32"/>
          <w:szCs w:val="32"/>
          <w:highlight w:val="none"/>
          <w:lang w:val="en-US" w:eastAsia="zh-CN"/>
        </w:rPr>
      </w:pPr>
    </w:p>
    <w:p w14:paraId="4158555D">
      <w:pPr>
        <w:snapToGrid w:val="0"/>
        <w:spacing w:line="360" w:lineRule="auto"/>
        <w:ind w:firstLine="643"/>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九</w:t>
      </w:r>
      <w:r>
        <w:rPr>
          <w:rFonts w:hint="eastAsia" w:ascii="宋体" w:hAnsi="宋体" w:cs="宋体"/>
          <w:b/>
          <w:color w:val="auto"/>
          <w:kern w:val="0"/>
          <w:sz w:val="32"/>
          <w:szCs w:val="32"/>
          <w:highlight w:val="none"/>
        </w:rPr>
        <w:t>、合理化建议及措施；</w:t>
      </w:r>
    </w:p>
    <w:p w14:paraId="5433589C">
      <w:pPr>
        <w:snapToGrid w:val="0"/>
        <w:spacing w:line="360" w:lineRule="auto"/>
        <w:jc w:val="right"/>
        <w:rPr>
          <w:rFonts w:ascii="宋体" w:hAnsi="宋体" w:cs="宋体"/>
          <w:color w:val="auto"/>
          <w:sz w:val="24"/>
          <w:highlight w:val="none"/>
        </w:rPr>
      </w:pPr>
      <w:r>
        <w:rPr>
          <w:rFonts w:hint="eastAsia" w:ascii="宋体" w:hAnsi="宋体" w:cs="宋体"/>
          <w:color w:val="auto"/>
          <w:sz w:val="24"/>
          <w:highlight w:val="none"/>
        </w:rPr>
        <w:t xml:space="preserve">供应商名称（电子签章/公章）：___________________                    </w:t>
      </w:r>
    </w:p>
    <w:p w14:paraId="6FEBACE8">
      <w:pPr>
        <w:snapToGrid w:val="0"/>
        <w:spacing w:line="360" w:lineRule="auto"/>
        <w:jc w:val="right"/>
        <w:rPr>
          <w:rFonts w:ascii="宋体" w:hAnsi="宋体" w:cs="宋体"/>
          <w:color w:val="auto"/>
          <w:sz w:val="24"/>
          <w:highlight w:val="none"/>
        </w:rPr>
      </w:pPr>
      <w:r>
        <w:rPr>
          <w:rFonts w:hint="eastAsia" w:ascii="宋体" w:hAnsi="宋体" w:cs="宋体"/>
          <w:color w:val="auto"/>
          <w:sz w:val="24"/>
          <w:highlight w:val="none"/>
        </w:rPr>
        <w:t>_____年___月___日</w:t>
      </w:r>
    </w:p>
    <w:p w14:paraId="7005197D">
      <w:pPr>
        <w:snapToGrid w:val="0"/>
        <w:spacing w:line="360" w:lineRule="auto"/>
        <w:ind w:firstLine="643"/>
        <w:jc w:val="center"/>
        <w:rPr>
          <w:rFonts w:ascii="宋体" w:hAnsi="宋体" w:cs="宋体"/>
          <w:b/>
          <w:color w:val="auto"/>
          <w:kern w:val="0"/>
          <w:sz w:val="32"/>
          <w:szCs w:val="32"/>
          <w:highlight w:val="none"/>
        </w:rPr>
      </w:pPr>
    </w:p>
    <w:p w14:paraId="2FCA43AF">
      <w:pPr>
        <w:snapToGrid w:val="0"/>
        <w:spacing w:line="360" w:lineRule="auto"/>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十</w:t>
      </w:r>
      <w:r>
        <w:rPr>
          <w:rFonts w:hint="eastAsia" w:ascii="宋体" w:hAnsi="宋体" w:cs="宋体"/>
          <w:b/>
          <w:color w:val="auto"/>
          <w:kern w:val="0"/>
          <w:sz w:val="32"/>
          <w:szCs w:val="32"/>
          <w:highlight w:val="none"/>
        </w:rPr>
        <w:t>、投标人认为需要提供的其他材料[结合评分细则提供]。</w:t>
      </w:r>
    </w:p>
    <w:p w14:paraId="7C47E6EC">
      <w:pPr>
        <w:snapToGrid w:val="0"/>
        <w:spacing w:line="360" w:lineRule="auto"/>
        <w:ind w:firstLine="2650" w:firstLineChars="1100"/>
        <w:jc w:val="right"/>
        <w:rPr>
          <w:rFonts w:ascii="宋体" w:hAnsi="宋体" w:cs="Arial"/>
          <w:b/>
          <w:bCs/>
          <w:color w:val="auto"/>
          <w:sz w:val="24"/>
          <w:highlight w:val="none"/>
        </w:rPr>
      </w:pPr>
    </w:p>
    <w:p w14:paraId="11880344">
      <w:pPr>
        <w:snapToGrid w:val="0"/>
        <w:spacing w:line="360" w:lineRule="auto"/>
        <w:ind w:firstLine="482"/>
        <w:jc w:val="right"/>
        <w:rPr>
          <w:rFonts w:ascii="宋体" w:hAnsi="宋体" w:cs="宋体"/>
          <w:color w:val="auto"/>
          <w:sz w:val="24"/>
          <w:highlight w:val="none"/>
        </w:rPr>
      </w:pPr>
      <w:r>
        <w:rPr>
          <w:rFonts w:hint="eastAsia" w:ascii="宋体" w:hAnsi="宋体" w:cs="Arial"/>
          <w:b/>
          <w:bCs/>
          <w:color w:val="auto"/>
          <w:sz w:val="24"/>
          <w:highlight w:val="none"/>
        </w:rPr>
        <w:t> </w:t>
      </w:r>
      <w:r>
        <w:rPr>
          <w:rFonts w:hint="eastAsia" w:ascii="宋体" w:hAnsi="宋体" w:cs="宋体"/>
          <w:color w:val="auto"/>
          <w:sz w:val="24"/>
          <w:highlight w:val="none"/>
        </w:rPr>
        <w:t xml:space="preserve">供应商名称（电子签章/公章）：___________________                    </w:t>
      </w:r>
    </w:p>
    <w:p w14:paraId="3B3E0ACF">
      <w:pPr>
        <w:snapToGrid w:val="0"/>
        <w:spacing w:line="360" w:lineRule="auto"/>
        <w:jc w:val="right"/>
        <w:rPr>
          <w:rFonts w:ascii="宋体" w:hAnsi="宋体" w:cs="宋体"/>
          <w:color w:val="auto"/>
          <w:sz w:val="24"/>
          <w:highlight w:val="none"/>
        </w:rPr>
      </w:pPr>
      <w:r>
        <w:rPr>
          <w:rFonts w:hint="eastAsia" w:ascii="宋体" w:hAnsi="宋体" w:cs="宋体"/>
          <w:color w:val="auto"/>
          <w:sz w:val="24"/>
          <w:highlight w:val="none"/>
        </w:rPr>
        <w:t>_____年___月___日</w:t>
      </w:r>
    </w:p>
    <w:p w14:paraId="39FF9FFF">
      <w:pPr>
        <w:snapToGrid w:val="0"/>
        <w:spacing w:line="360" w:lineRule="auto"/>
        <w:jc w:val="left"/>
        <w:rPr>
          <w:rFonts w:hAnsi="宋体" w:cs="Courier New"/>
          <w:color w:val="auto"/>
          <w:kern w:val="0"/>
          <w:sz w:val="24"/>
          <w:highlight w:val="none"/>
        </w:rPr>
      </w:pPr>
      <w:r>
        <w:rPr>
          <w:rFonts w:hint="eastAsia" w:ascii="宋体" w:hAnsi="宋体" w:cs="Courier New"/>
          <w:b/>
          <w:color w:val="auto"/>
          <w:kern w:val="0"/>
          <w:sz w:val="32"/>
          <w:szCs w:val="32"/>
          <w:highlight w:val="none"/>
        </w:rPr>
        <w:br w:type="page"/>
      </w:r>
      <w:r>
        <w:rPr>
          <w:rFonts w:hint="eastAsia" w:hAnsi="宋体" w:cs="Courier New"/>
          <w:color w:val="auto"/>
          <w:kern w:val="0"/>
          <w:sz w:val="24"/>
          <w:highlight w:val="none"/>
        </w:rPr>
        <w:t xml:space="preserve">  </w:t>
      </w:r>
    </w:p>
    <w:p w14:paraId="21103A00">
      <w:pPr>
        <w:snapToGrid w:val="0"/>
        <w:spacing w:line="360" w:lineRule="auto"/>
        <w:jc w:val="left"/>
        <w:rPr>
          <w:b/>
          <w:bCs/>
          <w:color w:val="auto"/>
          <w:sz w:val="28"/>
          <w:szCs w:val="28"/>
          <w:highlight w:val="none"/>
        </w:rPr>
      </w:pPr>
      <w:r>
        <w:rPr>
          <w:rFonts w:hint="eastAsia"/>
          <w:b/>
          <w:bCs/>
          <w:color w:val="auto"/>
          <w:sz w:val="28"/>
          <w:szCs w:val="28"/>
          <w:highlight w:val="none"/>
        </w:rPr>
        <w:t>第三部分、报价文件</w:t>
      </w:r>
    </w:p>
    <w:p w14:paraId="6216DDC1">
      <w:pPr>
        <w:snapToGrid w:val="0"/>
        <w:spacing w:line="400" w:lineRule="exact"/>
        <w:ind w:firstLine="562" w:firstLineChars="200"/>
        <w:jc w:val="left"/>
        <w:rPr>
          <w:rFonts w:ascii="宋体" w:hAnsi="宋体"/>
          <w:color w:val="auto"/>
          <w:sz w:val="24"/>
          <w:highlight w:val="none"/>
        </w:rPr>
      </w:pPr>
      <w:r>
        <w:rPr>
          <w:rFonts w:hint="eastAsia"/>
          <w:b/>
          <w:bCs/>
          <w:color w:val="auto"/>
          <w:sz w:val="28"/>
          <w:szCs w:val="28"/>
          <w:highlight w:val="none"/>
        </w:rPr>
        <w:t xml:space="preserve">                </w:t>
      </w:r>
      <w:r>
        <w:rPr>
          <w:rFonts w:hint="eastAsia" w:ascii="宋体" w:hAnsi="宋体"/>
          <w:color w:val="auto"/>
          <w:sz w:val="24"/>
          <w:highlight w:val="none"/>
        </w:rPr>
        <w:t xml:space="preserve">                                  </w:t>
      </w:r>
    </w:p>
    <w:p w14:paraId="454D3817">
      <w:pPr>
        <w:snapToGrid w:val="0"/>
        <w:spacing w:line="400" w:lineRule="exact"/>
        <w:ind w:firstLine="480" w:firstLineChars="200"/>
        <w:jc w:val="right"/>
        <w:rPr>
          <w:rFonts w:ascii="宋体" w:hAnsi="宋体"/>
          <w:b/>
          <w:bCs/>
          <w:color w:val="auto"/>
          <w:sz w:val="32"/>
          <w:szCs w:val="20"/>
          <w:highlight w:val="none"/>
        </w:rPr>
      </w:pPr>
      <w:r>
        <w:rPr>
          <w:rFonts w:hint="eastAsia" w:ascii="宋体" w:hAnsi="宋体"/>
          <w:color w:val="auto"/>
          <w:sz w:val="24"/>
          <w:highlight w:val="none"/>
        </w:rPr>
        <w:t xml:space="preserve">    </w:t>
      </w:r>
      <w:r>
        <w:rPr>
          <w:rFonts w:hint="eastAsia" w:ascii="宋体" w:hAnsi="宋体"/>
          <w:color w:val="auto"/>
          <w:sz w:val="28"/>
          <w:szCs w:val="28"/>
          <w:highlight w:val="none"/>
        </w:rPr>
        <w:t>（正本）</w:t>
      </w:r>
    </w:p>
    <w:p w14:paraId="2505AA54">
      <w:pPr>
        <w:shd w:val="clear" w:color="auto" w:fill="FFFFFF"/>
        <w:snapToGrid w:val="0"/>
        <w:spacing w:after="50"/>
        <w:ind w:firstLine="482"/>
        <w:rPr>
          <w:rFonts w:ascii="宋体" w:hAnsi="宋体"/>
          <w:b/>
          <w:color w:val="auto"/>
          <w:sz w:val="24"/>
          <w:szCs w:val="20"/>
          <w:highlight w:val="none"/>
        </w:rPr>
      </w:pPr>
      <w:r>
        <w:rPr>
          <w:rFonts w:hint="eastAsia" w:ascii="宋体" w:hAnsi="宋体"/>
          <w:b/>
          <w:color w:val="auto"/>
          <w:sz w:val="24"/>
          <w:szCs w:val="20"/>
          <w:highlight w:val="none"/>
        </w:rPr>
        <w:t> </w:t>
      </w:r>
    </w:p>
    <w:p w14:paraId="6A79F700">
      <w:pPr>
        <w:shd w:val="clear" w:color="auto" w:fill="FFFFFF"/>
        <w:snapToGrid w:val="0"/>
        <w:spacing w:after="50"/>
        <w:ind w:firstLine="482"/>
        <w:rPr>
          <w:rFonts w:ascii="宋体" w:hAnsi="宋体"/>
          <w:b/>
          <w:color w:val="auto"/>
          <w:sz w:val="24"/>
          <w:szCs w:val="20"/>
          <w:highlight w:val="none"/>
        </w:rPr>
      </w:pPr>
    </w:p>
    <w:p w14:paraId="17E9FA18">
      <w:pPr>
        <w:spacing w:before="120" w:beforeLines="50" w:line="360" w:lineRule="auto"/>
        <w:jc w:val="center"/>
        <w:rPr>
          <w:rFonts w:hint="eastAsia" w:ascii="宋体" w:hAnsi="宋体" w:eastAsia="宋体"/>
          <w:b/>
          <w:color w:val="auto"/>
          <w:sz w:val="52"/>
          <w:szCs w:val="52"/>
          <w:highlight w:val="none"/>
          <w:lang w:eastAsia="zh-CN"/>
        </w:rPr>
      </w:pPr>
      <w:r>
        <w:rPr>
          <w:rFonts w:hint="eastAsia" w:ascii="宋体" w:hAnsi="宋体"/>
          <w:b/>
          <w:color w:val="auto"/>
          <w:sz w:val="52"/>
          <w:szCs w:val="52"/>
          <w:highlight w:val="none"/>
          <w:lang w:eastAsia="zh-CN"/>
        </w:rPr>
        <w:t>金华市博物馆邵飘萍旧居展陈提升项目</w:t>
      </w:r>
    </w:p>
    <w:p w14:paraId="0BB8C1B0">
      <w:pPr>
        <w:jc w:val="center"/>
        <w:rPr>
          <w:color w:val="auto"/>
          <w:highlight w:val="none"/>
        </w:rPr>
      </w:pPr>
    </w:p>
    <w:p w14:paraId="73AE0112">
      <w:pPr>
        <w:shd w:val="clear" w:color="auto" w:fill="FFFFFF"/>
        <w:snapToGrid w:val="0"/>
        <w:spacing w:after="50"/>
        <w:jc w:val="center"/>
        <w:rPr>
          <w:rFonts w:hint="eastAsia" w:ascii="宋体" w:hAnsi="宋体" w:cs="宋体"/>
          <w:b/>
          <w:color w:val="auto"/>
          <w:sz w:val="72"/>
          <w:szCs w:val="72"/>
          <w:highlight w:val="none"/>
          <w:shd w:val="clear" w:color="auto" w:fill="FFFFFF"/>
        </w:rPr>
      </w:pPr>
    </w:p>
    <w:p w14:paraId="6D1C8F06">
      <w:pPr>
        <w:shd w:val="clear" w:color="auto" w:fill="FFFFFF"/>
        <w:snapToGrid w:val="0"/>
        <w:spacing w:after="50"/>
        <w:jc w:val="center"/>
        <w:rPr>
          <w:rFonts w:ascii="宋体" w:hAnsi="宋体" w:cs="宋体"/>
          <w:b/>
          <w:color w:val="auto"/>
          <w:sz w:val="72"/>
          <w:szCs w:val="72"/>
          <w:highlight w:val="none"/>
          <w:shd w:val="clear" w:color="auto" w:fill="FFFFFF"/>
        </w:rPr>
      </w:pPr>
      <w:r>
        <w:rPr>
          <w:rFonts w:hint="eastAsia" w:ascii="宋体" w:hAnsi="宋体" w:cs="宋体"/>
          <w:b/>
          <w:color w:val="auto"/>
          <w:sz w:val="72"/>
          <w:szCs w:val="72"/>
          <w:highlight w:val="none"/>
          <w:shd w:val="clear" w:color="auto" w:fill="FFFFFF"/>
        </w:rPr>
        <w:t>投 标 文 件</w:t>
      </w:r>
    </w:p>
    <w:p w14:paraId="5CC01D16">
      <w:pPr>
        <w:shd w:val="clear" w:color="auto" w:fill="FFFFFF"/>
        <w:snapToGrid w:val="0"/>
        <w:spacing w:after="50"/>
        <w:jc w:val="center"/>
        <w:rPr>
          <w:rFonts w:ascii="宋体" w:hAnsi="宋体"/>
          <w:b/>
          <w:color w:val="auto"/>
          <w:sz w:val="52"/>
          <w:szCs w:val="52"/>
          <w:highlight w:val="none"/>
        </w:rPr>
      </w:pPr>
    </w:p>
    <w:p w14:paraId="26EABD78">
      <w:pPr>
        <w:shd w:val="clear" w:color="auto" w:fill="FFFFFF"/>
        <w:snapToGrid w:val="0"/>
        <w:spacing w:after="50"/>
        <w:jc w:val="center"/>
        <w:rPr>
          <w:rFonts w:ascii="宋体" w:hAnsi="宋体"/>
          <w:b/>
          <w:color w:val="auto"/>
          <w:sz w:val="52"/>
          <w:szCs w:val="52"/>
          <w:highlight w:val="none"/>
        </w:rPr>
      </w:pPr>
      <w:r>
        <w:rPr>
          <w:rFonts w:hint="eastAsia" w:ascii="宋体" w:hAnsi="宋体"/>
          <w:b/>
          <w:color w:val="auto"/>
          <w:sz w:val="52"/>
          <w:szCs w:val="52"/>
          <w:highlight w:val="none"/>
        </w:rPr>
        <w:t>（报价文件）</w:t>
      </w:r>
    </w:p>
    <w:p w14:paraId="48445FCD">
      <w:pPr>
        <w:shd w:val="clear" w:color="auto" w:fill="FFFFFF"/>
        <w:snapToGrid w:val="0"/>
        <w:spacing w:after="50"/>
        <w:rPr>
          <w:rFonts w:ascii="宋体" w:hAnsi="宋体"/>
          <w:bCs/>
          <w:color w:val="auto"/>
          <w:sz w:val="24"/>
          <w:szCs w:val="20"/>
          <w:highlight w:val="none"/>
        </w:rPr>
      </w:pPr>
    </w:p>
    <w:p w14:paraId="36DCD3F4">
      <w:pPr>
        <w:shd w:val="clear" w:color="auto" w:fill="FFFFFF"/>
        <w:snapToGrid w:val="0"/>
        <w:spacing w:after="50"/>
        <w:ind w:firstLine="600"/>
        <w:rPr>
          <w:rFonts w:ascii="宋体" w:hAnsi="宋体"/>
          <w:bCs/>
          <w:color w:val="auto"/>
          <w:sz w:val="30"/>
          <w:szCs w:val="30"/>
          <w:highlight w:val="none"/>
        </w:rPr>
      </w:pPr>
    </w:p>
    <w:p w14:paraId="61B0B535">
      <w:pPr>
        <w:shd w:val="clear" w:color="auto" w:fill="FFFFFF"/>
        <w:snapToGrid w:val="0"/>
        <w:spacing w:after="50"/>
        <w:ind w:firstLine="600"/>
        <w:rPr>
          <w:rFonts w:ascii="宋体" w:hAnsi="宋体"/>
          <w:bCs/>
          <w:color w:val="auto"/>
          <w:sz w:val="30"/>
          <w:szCs w:val="30"/>
          <w:highlight w:val="none"/>
        </w:rPr>
      </w:pPr>
    </w:p>
    <w:p w14:paraId="56EB44B1">
      <w:pPr>
        <w:shd w:val="clear" w:color="auto" w:fill="FFFFFF"/>
        <w:snapToGrid w:val="0"/>
        <w:spacing w:after="50"/>
        <w:ind w:firstLine="900" w:firstLineChars="300"/>
        <w:rPr>
          <w:rFonts w:ascii="宋体" w:hAnsi="宋体"/>
          <w:bCs/>
          <w:color w:val="auto"/>
          <w:sz w:val="30"/>
          <w:szCs w:val="30"/>
          <w:highlight w:val="none"/>
        </w:rPr>
      </w:pPr>
    </w:p>
    <w:p w14:paraId="15A56B2D">
      <w:pPr>
        <w:shd w:val="clear" w:color="auto" w:fill="FFFFFF"/>
        <w:snapToGrid w:val="0"/>
        <w:spacing w:after="50"/>
        <w:ind w:firstLine="900" w:firstLineChars="300"/>
        <w:rPr>
          <w:rFonts w:hint="eastAsia" w:ascii="宋体" w:hAnsi="宋体" w:eastAsia="宋体"/>
          <w:bCs/>
          <w:color w:val="auto"/>
          <w:sz w:val="30"/>
          <w:szCs w:val="30"/>
          <w:highlight w:val="none"/>
          <w:lang w:eastAsia="zh-CN"/>
        </w:rPr>
      </w:pPr>
      <w:r>
        <w:rPr>
          <w:rFonts w:hint="eastAsia" w:ascii="宋体" w:hAnsi="宋体"/>
          <w:bCs/>
          <w:color w:val="auto"/>
          <w:sz w:val="30"/>
          <w:szCs w:val="30"/>
          <w:highlight w:val="none"/>
        </w:rPr>
        <w:t>项目编号：</w:t>
      </w:r>
      <w:r>
        <w:rPr>
          <w:rFonts w:hint="eastAsia" w:ascii="宋体" w:hAnsi="宋体"/>
          <w:bCs/>
          <w:color w:val="auto"/>
          <w:sz w:val="30"/>
          <w:szCs w:val="30"/>
          <w:highlight w:val="none"/>
          <w:lang w:eastAsia="zh-CN"/>
        </w:rPr>
        <w:t>WQ2024272-ZFCG072</w:t>
      </w:r>
    </w:p>
    <w:p w14:paraId="33C25665">
      <w:pPr>
        <w:shd w:val="clear" w:color="auto" w:fill="FFFFFF"/>
        <w:snapToGrid w:val="0"/>
        <w:spacing w:after="50"/>
        <w:ind w:firstLine="900" w:firstLineChars="300"/>
        <w:rPr>
          <w:rFonts w:ascii="宋体" w:hAnsi="宋体"/>
          <w:bCs/>
          <w:color w:val="auto"/>
          <w:sz w:val="30"/>
          <w:szCs w:val="30"/>
          <w:highlight w:val="none"/>
        </w:rPr>
      </w:pPr>
      <w:r>
        <w:rPr>
          <w:rFonts w:hint="eastAsia" w:ascii="宋体" w:hAnsi="宋体"/>
          <w:bCs/>
          <w:color w:val="auto"/>
          <w:sz w:val="30"/>
          <w:szCs w:val="30"/>
          <w:highlight w:val="none"/>
        </w:rPr>
        <w:t>供应商名称（电子签章/公章）：</w:t>
      </w:r>
    </w:p>
    <w:p w14:paraId="236CEF5D">
      <w:pPr>
        <w:shd w:val="clear" w:color="auto" w:fill="FFFFFF"/>
        <w:snapToGrid w:val="0"/>
        <w:spacing w:after="50"/>
        <w:ind w:firstLine="900" w:firstLineChars="300"/>
        <w:rPr>
          <w:rFonts w:ascii="宋体" w:hAnsi="宋体"/>
          <w:bCs/>
          <w:color w:val="auto"/>
          <w:sz w:val="30"/>
          <w:szCs w:val="30"/>
          <w:highlight w:val="none"/>
        </w:rPr>
      </w:pPr>
      <w:r>
        <w:rPr>
          <w:rFonts w:hint="eastAsia" w:ascii="宋体" w:hAnsi="宋体"/>
          <w:bCs/>
          <w:color w:val="auto"/>
          <w:sz w:val="30"/>
          <w:szCs w:val="30"/>
          <w:highlight w:val="none"/>
        </w:rPr>
        <w:t>投标人地址：</w:t>
      </w:r>
    </w:p>
    <w:p w14:paraId="53B6DC5F">
      <w:pPr>
        <w:shd w:val="clear" w:color="auto" w:fill="FFFFFF"/>
        <w:snapToGrid w:val="0"/>
        <w:spacing w:after="50"/>
        <w:ind w:firstLine="900" w:firstLineChars="300"/>
        <w:rPr>
          <w:rFonts w:ascii="宋体" w:hAnsi="宋体"/>
          <w:bCs/>
          <w:color w:val="auto"/>
          <w:sz w:val="30"/>
          <w:szCs w:val="30"/>
          <w:highlight w:val="none"/>
        </w:rPr>
      </w:pPr>
      <w:r>
        <w:rPr>
          <w:rFonts w:hint="eastAsia" w:ascii="宋体" w:hAnsi="宋体"/>
          <w:bCs/>
          <w:color w:val="auto"/>
          <w:sz w:val="30"/>
          <w:szCs w:val="30"/>
          <w:highlight w:val="none"/>
        </w:rPr>
        <w:t>联系电话：</w:t>
      </w:r>
    </w:p>
    <w:p w14:paraId="70F5C2F5">
      <w:pPr>
        <w:shd w:val="clear" w:color="auto" w:fill="FFFFFF"/>
        <w:snapToGrid w:val="0"/>
        <w:spacing w:after="50"/>
        <w:ind w:firstLine="900" w:firstLineChars="300"/>
        <w:rPr>
          <w:rFonts w:ascii="宋体" w:hAnsi="宋体"/>
          <w:bCs/>
          <w:color w:val="auto"/>
          <w:sz w:val="30"/>
          <w:szCs w:val="30"/>
          <w:highlight w:val="none"/>
        </w:rPr>
      </w:pPr>
    </w:p>
    <w:p w14:paraId="59E34646">
      <w:pPr>
        <w:shd w:val="clear" w:color="auto" w:fill="FFFFFF"/>
        <w:snapToGrid w:val="0"/>
        <w:spacing w:after="50"/>
        <w:ind w:firstLine="4080" w:firstLineChars="1700"/>
        <w:rPr>
          <w:rFonts w:ascii="宋体" w:hAnsi="宋体"/>
          <w:color w:val="auto"/>
          <w:sz w:val="24"/>
          <w:szCs w:val="20"/>
          <w:highlight w:val="none"/>
        </w:rPr>
      </w:pPr>
      <w:r>
        <w:rPr>
          <w:rFonts w:hint="eastAsia" w:ascii="宋体" w:hAnsi="宋体"/>
          <w:color w:val="auto"/>
          <w:sz w:val="24"/>
          <w:szCs w:val="20"/>
          <w:highlight w:val="none"/>
        </w:rPr>
        <w:t> </w:t>
      </w:r>
    </w:p>
    <w:p w14:paraId="3D26D3F7">
      <w:pPr>
        <w:shd w:val="clear" w:color="auto" w:fill="FFFFFF"/>
        <w:snapToGrid w:val="0"/>
        <w:spacing w:after="50"/>
        <w:ind w:firstLine="480"/>
        <w:jc w:val="right"/>
        <w:rPr>
          <w:rFonts w:ascii="宋体" w:hAnsi="宋体"/>
          <w:color w:val="auto"/>
          <w:sz w:val="24"/>
          <w:szCs w:val="20"/>
          <w:highlight w:val="none"/>
        </w:rPr>
      </w:pPr>
      <w:r>
        <w:rPr>
          <w:rFonts w:hint="eastAsia" w:ascii="宋体" w:hAnsi="宋体"/>
          <w:color w:val="auto"/>
          <w:sz w:val="24"/>
          <w:highlight w:val="none"/>
        </w:rPr>
        <w:t xml:space="preserve">                      </w:t>
      </w:r>
      <w:r>
        <w:rPr>
          <w:rFonts w:hint="eastAsia" w:ascii="宋体" w:hAnsi="宋体"/>
          <w:color w:val="auto"/>
          <w:sz w:val="28"/>
          <w:szCs w:val="28"/>
          <w:highlight w:val="none"/>
        </w:rPr>
        <w:t xml:space="preserve">  年  月  日</w:t>
      </w:r>
    </w:p>
    <w:p w14:paraId="182A287F">
      <w:pPr>
        <w:spacing w:line="360" w:lineRule="auto"/>
        <w:ind w:firstLine="482"/>
        <w:rPr>
          <w:rFonts w:ascii="宋体" w:hAnsi="宋体"/>
          <w:b/>
          <w:bCs/>
          <w:color w:val="auto"/>
          <w:sz w:val="24"/>
          <w:highlight w:val="none"/>
        </w:rPr>
      </w:pPr>
    </w:p>
    <w:p w14:paraId="22DD6909">
      <w:pPr>
        <w:spacing w:line="360" w:lineRule="auto"/>
        <w:ind w:left="1423" w:leftChars="152" w:hanging="1104" w:hangingChars="460"/>
        <w:jc w:val="center"/>
        <w:rPr>
          <w:rFonts w:ascii="宋体" w:hAnsi="宋体"/>
          <w:b/>
          <w:color w:val="auto"/>
          <w:sz w:val="32"/>
          <w:szCs w:val="32"/>
          <w:highlight w:val="none"/>
        </w:rPr>
      </w:pPr>
      <w:r>
        <w:rPr>
          <w:rFonts w:ascii="宋体" w:hAnsi="宋体" w:cs="Courier New"/>
          <w:color w:val="auto"/>
          <w:kern w:val="0"/>
          <w:sz w:val="24"/>
          <w:highlight w:val="none"/>
        </w:rPr>
        <w:br w:type="page"/>
      </w:r>
      <w:r>
        <w:rPr>
          <w:rFonts w:hint="eastAsia" w:ascii="宋体" w:hAnsi="宋体" w:cs="Courier New"/>
          <w:color w:val="auto"/>
          <w:kern w:val="0"/>
          <w:sz w:val="24"/>
          <w:highlight w:val="none"/>
        </w:rPr>
        <w:t xml:space="preserve"> </w:t>
      </w:r>
      <w:r>
        <w:rPr>
          <w:rFonts w:hint="eastAsia" w:ascii="宋体" w:hAnsi="宋体"/>
          <w:b/>
          <w:color w:val="auto"/>
          <w:sz w:val="32"/>
          <w:szCs w:val="32"/>
          <w:highlight w:val="none"/>
        </w:rPr>
        <w:t>一、开标一览表</w:t>
      </w:r>
    </w:p>
    <w:p w14:paraId="58497335">
      <w:pPr>
        <w:spacing w:line="360" w:lineRule="auto"/>
        <w:ind w:firstLine="643"/>
        <w:jc w:val="center"/>
        <w:rPr>
          <w:rFonts w:ascii="宋体" w:hAnsi="宋体"/>
          <w:b/>
          <w:color w:val="auto"/>
          <w:sz w:val="32"/>
          <w:szCs w:val="32"/>
          <w:highlight w:val="none"/>
        </w:rPr>
      </w:pPr>
      <w:r>
        <w:rPr>
          <w:rFonts w:hint="eastAsia" w:ascii="宋体" w:hAnsi="宋体"/>
          <w:b/>
          <w:color w:val="auto"/>
          <w:sz w:val="32"/>
          <w:szCs w:val="32"/>
          <w:highlight w:val="none"/>
        </w:rPr>
        <w:t xml:space="preserve"> </w:t>
      </w:r>
    </w:p>
    <w:p w14:paraId="21AC043F">
      <w:pPr>
        <w:snapToGrid w:val="0"/>
        <w:spacing w:before="50" w:after="50"/>
        <w:rPr>
          <w:rFonts w:ascii="宋体" w:hAnsi="宋体" w:cs="宋体"/>
          <w:color w:val="auto"/>
          <w:sz w:val="24"/>
          <w:highlight w:val="none"/>
        </w:rPr>
      </w:pPr>
      <w:r>
        <w:rPr>
          <w:rFonts w:hint="eastAsia" w:ascii="宋体" w:hAnsi="宋体"/>
          <w:color w:val="auto"/>
          <w:sz w:val="24"/>
          <w:highlight w:val="none"/>
        </w:rPr>
        <w:t>项目名称：</w:t>
      </w:r>
      <w:r>
        <w:rPr>
          <w:rFonts w:hint="eastAsia" w:ascii="宋体" w:hAnsi="宋体"/>
          <w:color w:val="auto"/>
          <w:sz w:val="24"/>
          <w:highlight w:val="none"/>
          <w:lang w:eastAsia="zh-CN"/>
        </w:rPr>
        <w:t>金华市博物馆邵飘萍旧居展陈提升项目</w:t>
      </w:r>
      <w:r>
        <w:rPr>
          <w:rFonts w:hint="eastAsia" w:ascii="宋体" w:hAnsi="宋体" w:cs="宋体"/>
          <w:color w:val="auto"/>
          <w:sz w:val="24"/>
          <w:highlight w:val="none"/>
        </w:rPr>
        <w:t xml:space="preserve"> </w:t>
      </w:r>
    </w:p>
    <w:p w14:paraId="4D19D9AE">
      <w:pPr>
        <w:snapToGrid w:val="0"/>
        <w:spacing w:before="50" w:after="50"/>
        <w:rPr>
          <w:rFonts w:hint="eastAsia" w:ascii="宋体" w:hAnsi="宋体" w:eastAsia="宋体"/>
          <w:color w:val="auto"/>
          <w:sz w:val="24"/>
          <w:highlight w:val="none"/>
          <w:lang w:eastAsia="zh-CN"/>
        </w:rPr>
      </w:pP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WQ2024272-ZFCG072</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4"/>
        <w:gridCol w:w="5690"/>
      </w:tblGrid>
      <w:tr w14:paraId="05914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3334" w:type="dxa"/>
            <w:tcBorders>
              <w:left w:val="single" w:color="auto" w:sz="4" w:space="0"/>
            </w:tcBorders>
            <w:vAlign w:val="center"/>
          </w:tcPr>
          <w:p w14:paraId="7814A9CC">
            <w:pPr>
              <w:pStyle w:val="24"/>
              <w:spacing w:beforeLines="0" w:after="120" w:line="360" w:lineRule="exact"/>
              <w:jc w:val="center"/>
              <w:rPr>
                <w:rFonts w:hint="default" w:hAnsi="宋体" w:cs="宋体"/>
                <w:color w:val="auto"/>
                <w:sz w:val="24"/>
                <w:szCs w:val="24"/>
                <w:highlight w:val="none"/>
              </w:rPr>
            </w:pPr>
            <w:r>
              <w:rPr>
                <w:rFonts w:hAnsi="宋体" w:cs="宋体"/>
                <w:color w:val="auto"/>
                <w:sz w:val="24"/>
                <w:szCs w:val="24"/>
                <w:highlight w:val="none"/>
              </w:rPr>
              <w:t>采购内容</w:t>
            </w:r>
          </w:p>
        </w:tc>
        <w:tc>
          <w:tcPr>
            <w:tcW w:w="5690" w:type="dxa"/>
            <w:vAlign w:val="center"/>
          </w:tcPr>
          <w:p w14:paraId="42F33D7E">
            <w:pPr>
              <w:pStyle w:val="24"/>
              <w:spacing w:beforeLines="0" w:after="120" w:line="360" w:lineRule="exact"/>
              <w:jc w:val="center"/>
              <w:rPr>
                <w:rFonts w:hint="default" w:hAnsi="宋体" w:cs="宋体"/>
                <w:color w:val="auto"/>
                <w:sz w:val="24"/>
                <w:szCs w:val="24"/>
                <w:highlight w:val="none"/>
              </w:rPr>
            </w:pPr>
            <w:r>
              <w:rPr>
                <w:rFonts w:hAnsi="宋体" w:cs="宋体"/>
                <w:color w:val="auto"/>
                <w:sz w:val="24"/>
                <w:szCs w:val="24"/>
                <w:highlight w:val="none"/>
              </w:rPr>
              <w:t>投标报价</w:t>
            </w:r>
          </w:p>
          <w:p w14:paraId="6BD5ACE2">
            <w:pPr>
              <w:pStyle w:val="24"/>
              <w:spacing w:beforeLines="0" w:after="120" w:line="360" w:lineRule="exact"/>
              <w:jc w:val="center"/>
              <w:rPr>
                <w:rFonts w:hint="default" w:hAnsi="宋体" w:cs="宋体"/>
                <w:color w:val="auto"/>
                <w:sz w:val="24"/>
                <w:szCs w:val="24"/>
                <w:highlight w:val="none"/>
              </w:rPr>
            </w:pPr>
            <w:r>
              <w:rPr>
                <w:rFonts w:hAnsi="宋体" w:cs="宋体"/>
                <w:color w:val="auto"/>
                <w:sz w:val="24"/>
                <w:szCs w:val="24"/>
                <w:highlight w:val="none"/>
              </w:rPr>
              <w:t>（人民币元）</w:t>
            </w:r>
          </w:p>
        </w:tc>
      </w:tr>
      <w:tr w14:paraId="3EF3C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0" w:hRule="atLeast"/>
          <w:jc w:val="center"/>
        </w:trPr>
        <w:tc>
          <w:tcPr>
            <w:tcW w:w="3334" w:type="dxa"/>
            <w:tcBorders>
              <w:left w:val="single" w:color="auto" w:sz="4" w:space="0"/>
            </w:tcBorders>
            <w:vAlign w:val="center"/>
          </w:tcPr>
          <w:p w14:paraId="45D16450">
            <w:pPr>
              <w:pStyle w:val="24"/>
              <w:spacing w:beforeLines="0" w:afterLines="0" w:line="360" w:lineRule="auto"/>
              <w:jc w:val="center"/>
              <w:rPr>
                <w:rFonts w:hint="eastAsia" w:eastAsia="宋体"/>
                <w:color w:val="auto"/>
                <w:sz w:val="24"/>
                <w:szCs w:val="24"/>
                <w:highlight w:val="none"/>
                <w:lang w:eastAsia="zh-CN"/>
              </w:rPr>
            </w:pPr>
            <w:r>
              <w:rPr>
                <w:rFonts w:hint="eastAsia"/>
                <w:color w:val="auto"/>
                <w:sz w:val="24"/>
                <w:szCs w:val="24"/>
                <w:highlight w:val="none"/>
                <w:lang w:eastAsia="zh-CN"/>
              </w:rPr>
              <w:t>金华市博物馆邵飘萍旧居展陈提升项目</w:t>
            </w:r>
          </w:p>
        </w:tc>
        <w:tc>
          <w:tcPr>
            <w:tcW w:w="5690" w:type="dxa"/>
            <w:vAlign w:val="center"/>
          </w:tcPr>
          <w:p w14:paraId="242D4553">
            <w:pPr>
              <w:widowControl/>
              <w:spacing w:line="360" w:lineRule="auto"/>
              <w:ind w:firstLine="600"/>
              <w:rPr>
                <w:rFonts w:ascii="宋体" w:hAnsi="宋体" w:cs="宋体"/>
                <w:color w:val="auto"/>
                <w:kern w:val="0"/>
                <w:sz w:val="28"/>
                <w:szCs w:val="28"/>
                <w:highlight w:val="none"/>
              </w:rPr>
            </w:pPr>
            <w:r>
              <w:rPr>
                <w:rFonts w:hint="eastAsia" w:ascii="宋体" w:hAnsi="宋体" w:cs="宋体"/>
                <w:color w:val="auto"/>
                <w:kern w:val="0"/>
                <w:sz w:val="28"/>
                <w:szCs w:val="28"/>
                <w:highlight w:val="none"/>
              </w:rPr>
              <w:t>小写</w:t>
            </w:r>
            <w:r>
              <w:rPr>
                <w:rFonts w:hint="eastAsia"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rPr>
              <w:t>元</w:t>
            </w:r>
          </w:p>
          <w:p w14:paraId="5845D792">
            <w:pPr>
              <w:widowControl/>
              <w:ind w:firstLine="600"/>
              <w:jc w:val="left"/>
              <w:rPr>
                <w:color w:val="auto"/>
                <w:sz w:val="28"/>
                <w:szCs w:val="28"/>
                <w:highlight w:val="none"/>
              </w:rPr>
            </w:pPr>
            <w:r>
              <w:rPr>
                <w:rFonts w:hint="eastAsia" w:ascii="宋体" w:hAnsi="宋体" w:cs="宋体"/>
                <w:color w:val="auto"/>
                <w:sz w:val="28"/>
                <w:szCs w:val="28"/>
                <w:highlight w:val="none"/>
              </w:rPr>
              <w:t>大写人民币</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元整</w:t>
            </w:r>
          </w:p>
          <w:p w14:paraId="358A0AB2">
            <w:pPr>
              <w:widowControl/>
              <w:ind w:firstLine="1200" w:firstLineChars="500"/>
              <w:jc w:val="left"/>
              <w:rPr>
                <w:rFonts w:hAnsi="宋体" w:cs="宋体"/>
                <w:color w:val="auto"/>
                <w:sz w:val="24"/>
                <w:highlight w:val="none"/>
              </w:rPr>
            </w:pPr>
          </w:p>
        </w:tc>
      </w:tr>
    </w:tbl>
    <w:p w14:paraId="3F0ACA80">
      <w:pPr>
        <w:pStyle w:val="24"/>
        <w:spacing w:beforeLines="0" w:afterLines="0" w:line="360" w:lineRule="exact"/>
        <w:rPr>
          <w:rFonts w:hint="default" w:hAnsi="宋体"/>
          <w:color w:val="auto"/>
          <w:sz w:val="24"/>
          <w:highlight w:val="none"/>
        </w:rPr>
      </w:pPr>
      <w:bookmarkStart w:id="28" w:name="B13_其他事项"/>
      <w:bookmarkEnd w:id="28"/>
      <w:r>
        <w:rPr>
          <w:rFonts w:hAnsi="宋体"/>
          <w:color w:val="auto"/>
          <w:sz w:val="24"/>
          <w:szCs w:val="24"/>
          <w:highlight w:val="none"/>
        </w:rPr>
        <w:t>备注：</w:t>
      </w:r>
      <w:r>
        <w:rPr>
          <w:rFonts w:hAnsi="宋体" w:cs="宋体"/>
          <w:color w:val="auto"/>
          <w:sz w:val="24"/>
          <w:highlight w:val="none"/>
        </w:rPr>
        <w:t>报价一经涂改，应在涂改处加盖单位公章或者由法定代表人或其授权代表签字，否则其投标作无效标处理。投标报价金额与报价明细表合计金额需一致。报价金额最多可保留小数点后2位。</w:t>
      </w:r>
    </w:p>
    <w:p w14:paraId="113DD5F3">
      <w:pPr>
        <w:snapToGrid w:val="0"/>
        <w:spacing w:before="50" w:after="50" w:line="360" w:lineRule="exact"/>
        <w:ind w:firstLine="480" w:firstLineChars="200"/>
        <w:rPr>
          <w:rFonts w:ascii="宋体" w:hAnsi="宋体"/>
          <w:color w:val="auto"/>
          <w:sz w:val="24"/>
          <w:highlight w:val="none"/>
        </w:rPr>
      </w:pPr>
    </w:p>
    <w:p w14:paraId="4D827626">
      <w:pPr>
        <w:snapToGrid w:val="0"/>
        <w:spacing w:line="360" w:lineRule="auto"/>
        <w:ind w:firstLine="2640" w:firstLineChars="1100"/>
        <w:jc w:val="right"/>
        <w:rPr>
          <w:rFonts w:ascii="宋体" w:hAnsi="宋体" w:cs="宋体"/>
          <w:color w:val="auto"/>
          <w:sz w:val="24"/>
          <w:szCs w:val="20"/>
          <w:highlight w:val="none"/>
        </w:rPr>
      </w:pPr>
      <w:r>
        <w:rPr>
          <w:rFonts w:hint="eastAsia" w:ascii="宋体" w:hAnsi="宋体" w:cs="宋体"/>
          <w:color w:val="auto"/>
          <w:sz w:val="24"/>
          <w:highlight w:val="none"/>
        </w:rPr>
        <w:t>供应商名称（电子签章/公章）：___________________</w:t>
      </w:r>
    </w:p>
    <w:p w14:paraId="63A2FA9F">
      <w:pPr>
        <w:snapToGrid w:val="0"/>
        <w:spacing w:line="360" w:lineRule="auto"/>
        <w:jc w:val="right"/>
        <w:rPr>
          <w:rFonts w:ascii="宋体" w:hAnsi="宋体" w:cs="宋体"/>
          <w:color w:val="auto"/>
          <w:sz w:val="24"/>
          <w:highlight w:val="none"/>
        </w:rPr>
      </w:pPr>
      <w:r>
        <w:rPr>
          <w:rFonts w:hint="eastAsia" w:ascii="宋体" w:hAnsi="宋体" w:cs="宋体"/>
          <w:color w:val="auto"/>
          <w:sz w:val="24"/>
          <w:highlight w:val="none"/>
        </w:rPr>
        <w:t xml:space="preserve">                法定代表人或其授权代表（签字或印章）：___________                      </w:t>
      </w:r>
    </w:p>
    <w:p w14:paraId="26F19B68">
      <w:pPr>
        <w:snapToGrid w:val="0"/>
        <w:spacing w:line="360" w:lineRule="auto"/>
        <w:jc w:val="right"/>
        <w:rPr>
          <w:rFonts w:ascii="宋体" w:hAnsi="宋体" w:cs="宋体"/>
          <w:color w:val="auto"/>
          <w:sz w:val="24"/>
          <w:highlight w:val="none"/>
        </w:rPr>
      </w:pPr>
      <w:r>
        <w:rPr>
          <w:rFonts w:hint="eastAsia" w:ascii="宋体" w:hAnsi="宋体" w:cs="宋体"/>
          <w:color w:val="auto"/>
          <w:sz w:val="24"/>
          <w:highlight w:val="none"/>
        </w:rPr>
        <w:t>_____年___月___日</w:t>
      </w:r>
    </w:p>
    <w:p w14:paraId="3F42863D">
      <w:pPr>
        <w:jc w:val="center"/>
        <w:rPr>
          <w:rFonts w:hAnsi="宋体"/>
          <w:b/>
          <w:color w:val="auto"/>
          <w:sz w:val="30"/>
          <w:szCs w:val="30"/>
          <w:highlight w:val="none"/>
        </w:rPr>
        <w:sectPr>
          <w:footerReference r:id="rId7" w:type="first"/>
          <w:footerReference r:id="rId6" w:type="default"/>
          <w:pgSz w:w="11906" w:h="16838"/>
          <w:pgMar w:top="1474" w:right="1417" w:bottom="1247" w:left="1418" w:header="851" w:footer="567" w:gutter="0"/>
          <w:pgNumType w:start="1"/>
          <w:cols w:space="720" w:num="1"/>
          <w:docGrid w:linePitch="312" w:charSpace="0"/>
        </w:sectPr>
      </w:pPr>
      <w:r>
        <w:rPr>
          <w:rFonts w:hAnsi="宋体"/>
          <w:b/>
          <w:color w:val="auto"/>
          <w:sz w:val="30"/>
          <w:szCs w:val="30"/>
          <w:highlight w:val="none"/>
        </w:rPr>
        <w:br w:type="page"/>
      </w:r>
    </w:p>
    <w:p w14:paraId="0F627FC5">
      <w:pPr>
        <w:jc w:val="center"/>
        <w:rPr>
          <w:rFonts w:hint="eastAsia" w:hAnsi="宋体" w:eastAsia="宋体" w:cs="宋体"/>
          <w:b/>
          <w:color w:val="auto"/>
          <w:sz w:val="30"/>
          <w:szCs w:val="30"/>
          <w:highlight w:val="none"/>
          <w:lang w:eastAsia="zh-CN"/>
        </w:rPr>
      </w:pPr>
      <w:r>
        <w:rPr>
          <w:rFonts w:hAnsi="宋体" w:cs="宋体"/>
          <w:b/>
          <w:color w:val="auto"/>
          <w:sz w:val="30"/>
          <w:szCs w:val="30"/>
          <w:highlight w:val="none"/>
        </w:rPr>
        <w:t>二、报价明细表</w:t>
      </w:r>
    </w:p>
    <w:p w14:paraId="181467FE">
      <w:pPr>
        <w:snapToGrid w:val="0"/>
        <w:spacing w:before="50" w:after="50"/>
        <w:rPr>
          <w:rFonts w:hint="eastAsia" w:ascii="宋体" w:hAnsi="宋体"/>
          <w:color w:val="auto"/>
          <w:sz w:val="24"/>
          <w:highlight w:val="none"/>
        </w:rPr>
      </w:pPr>
    </w:p>
    <w:p w14:paraId="622A2383">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宋体"/>
          <w:color w:val="auto"/>
          <w:sz w:val="24"/>
          <w:highlight w:val="none"/>
        </w:rPr>
      </w:pPr>
      <w:r>
        <w:rPr>
          <w:rFonts w:hint="eastAsia" w:ascii="宋体" w:hAnsi="宋体"/>
          <w:color w:val="auto"/>
          <w:sz w:val="24"/>
          <w:highlight w:val="none"/>
        </w:rPr>
        <w:t>项目名称：</w:t>
      </w:r>
      <w:r>
        <w:rPr>
          <w:rFonts w:hint="eastAsia" w:ascii="宋体" w:hAnsi="宋体"/>
          <w:color w:val="auto"/>
          <w:sz w:val="24"/>
          <w:highlight w:val="none"/>
          <w:lang w:eastAsia="zh-CN"/>
        </w:rPr>
        <w:t>金华市博物馆邵飘萍旧居展陈提升项目</w:t>
      </w:r>
      <w:r>
        <w:rPr>
          <w:rFonts w:hint="eastAsia" w:ascii="宋体" w:hAnsi="宋体" w:cs="宋体"/>
          <w:color w:val="auto"/>
          <w:sz w:val="24"/>
          <w:highlight w:val="none"/>
        </w:rPr>
        <w:t xml:space="preserve"> </w:t>
      </w:r>
    </w:p>
    <w:p w14:paraId="078E45F5">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olor w:val="auto"/>
          <w:sz w:val="24"/>
          <w:highlight w:val="none"/>
          <w:lang w:eastAsia="zh-CN"/>
        </w:rPr>
      </w:pP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WQ2024272-ZFCG072</w:t>
      </w:r>
    </w:p>
    <w:p w14:paraId="2BC384D2">
      <w:pPr>
        <w:pStyle w:val="24"/>
        <w:snapToGrid w:val="0"/>
        <w:spacing w:beforeLines="0" w:afterLines="0" w:line="240" w:lineRule="auto"/>
        <w:ind w:firstLine="482" w:firstLineChars="200"/>
        <w:jc w:val="right"/>
        <w:rPr>
          <w:rFonts w:hint="default" w:hAnsi="宋体" w:cs="宋体"/>
          <w:b/>
          <w:color w:val="auto"/>
          <w:sz w:val="24"/>
          <w:szCs w:val="24"/>
          <w:highlight w:val="none"/>
        </w:rPr>
      </w:pPr>
      <w:r>
        <w:rPr>
          <w:rFonts w:hAnsi="宋体" w:cs="宋体"/>
          <w:b/>
          <w:color w:val="auto"/>
          <w:sz w:val="24"/>
          <w:szCs w:val="24"/>
          <w:highlight w:val="none"/>
        </w:rPr>
        <w:t>（人民币</w:t>
      </w:r>
      <w:r>
        <w:rPr>
          <w:rFonts w:hint="eastAsia" w:hAnsi="宋体" w:cs="宋体"/>
          <w:b/>
          <w:color w:val="auto"/>
          <w:sz w:val="24"/>
          <w:szCs w:val="24"/>
          <w:highlight w:val="none"/>
          <w:lang w:eastAsia="zh-CN"/>
        </w:rPr>
        <w:t>：</w:t>
      </w:r>
      <w:r>
        <w:rPr>
          <w:rFonts w:hAnsi="宋体" w:cs="宋体"/>
          <w:b/>
          <w:color w:val="auto"/>
          <w:sz w:val="24"/>
          <w:szCs w:val="24"/>
          <w:highlight w:val="none"/>
        </w:rPr>
        <w:t>元）</w:t>
      </w:r>
    </w:p>
    <w:tbl>
      <w:tblPr>
        <w:tblStyle w:val="42"/>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2213"/>
        <w:gridCol w:w="1318"/>
        <w:gridCol w:w="1481"/>
        <w:gridCol w:w="1688"/>
        <w:gridCol w:w="1425"/>
        <w:gridCol w:w="1519"/>
      </w:tblGrid>
      <w:tr w14:paraId="13B63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2" w:type="dxa"/>
            <w:vAlign w:val="center"/>
          </w:tcPr>
          <w:p w14:paraId="000C034B">
            <w:pPr>
              <w:keepNext w:val="0"/>
              <w:keepLines w:val="0"/>
              <w:pageBreakBefore w:val="0"/>
              <w:widowControl/>
              <w:kinsoku/>
              <w:wordWrap/>
              <w:overflowPunct/>
              <w:topLinePunct w:val="0"/>
              <w:autoSpaceDE/>
              <w:autoSpaceDN/>
              <w:bidi w:val="0"/>
              <w:adjustRightInd/>
              <w:spacing w:line="24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13" w:type="dxa"/>
            <w:vAlign w:val="center"/>
          </w:tcPr>
          <w:p w14:paraId="06E33D12">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b/>
                <w:bCs/>
                <w:color w:val="auto"/>
                <w:kern w:val="0"/>
                <w:sz w:val="24"/>
                <w:highlight w:val="none"/>
                <w:lang w:val="en-US" w:eastAsia="zh-CN"/>
              </w:rPr>
            </w:pPr>
            <w:r>
              <w:rPr>
                <w:rFonts w:hint="eastAsia" w:ascii="宋体" w:hAnsi="宋体" w:eastAsia="宋体" w:cs="宋体"/>
                <w:b/>
                <w:bCs/>
                <w:i w:val="0"/>
                <w:iCs w:val="0"/>
                <w:color w:val="auto"/>
                <w:kern w:val="0"/>
                <w:sz w:val="24"/>
                <w:szCs w:val="24"/>
                <w:highlight w:val="none"/>
                <w:u w:val="none"/>
                <w:lang w:val="en-US" w:eastAsia="zh-CN" w:bidi="ar"/>
              </w:rPr>
              <w:t>服务</w:t>
            </w:r>
            <w:r>
              <w:rPr>
                <w:rFonts w:hint="eastAsia" w:ascii="宋体" w:hAnsi="宋体" w:cs="宋体"/>
                <w:b/>
                <w:bCs/>
                <w:i w:val="0"/>
                <w:iCs w:val="0"/>
                <w:color w:val="auto"/>
                <w:kern w:val="0"/>
                <w:sz w:val="24"/>
                <w:szCs w:val="24"/>
                <w:highlight w:val="none"/>
                <w:u w:val="none"/>
                <w:lang w:val="en-US" w:eastAsia="zh-CN" w:bidi="ar"/>
              </w:rPr>
              <w:t>项</w:t>
            </w:r>
          </w:p>
        </w:tc>
        <w:tc>
          <w:tcPr>
            <w:tcW w:w="1318" w:type="dxa"/>
            <w:vAlign w:val="center"/>
          </w:tcPr>
          <w:p w14:paraId="2BE35B36">
            <w:pPr>
              <w:keepNext w:val="0"/>
              <w:keepLines w:val="0"/>
              <w:pageBreakBefore w:val="0"/>
              <w:widowControl/>
              <w:kinsoku/>
              <w:wordWrap/>
              <w:overflowPunct/>
              <w:topLinePunct w:val="0"/>
              <w:autoSpaceDE/>
              <w:autoSpaceDN/>
              <w:bidi w:val="0"/>
              <w:adjustRightInd/>
              <w:spacing w:line="240" w:lineRule="auto"/>
              <w:jc w:val="center"/>
              <w:rPr>
                <w:rFonts w:hint="default" w:ascii="宋体" w:hAnsi="宋体" w:eastAsia="宋体" w:cs="宋体"/>
                <w:b/>
                <w:bCs/>
                <w:color w:val="auto"/>
                <w:kern w:val="0"/>
                <w:sz w:val="24"/>
                <w:highlight w:val="none"/>
                <w:lang w:val="en-US" w:eastAsia="zh-CN"/>
              </w:rPr>
            </w:pPr>
            <w:r>
              <w:rPr>
                <w:rFonts w:hint="eastAsia" w:ascii="宋体" w:hAnsi="宋体" w:cs="宋体"/>
                <w:b/>
                <w:bCs/>
                <w:color w:val="auto"/>
                <w:kern w:val="0"/>
                <w:sz w:val="24"/>
                <w:highlight w:val="none"/>
                <w:lang w:val="en-US" w:eastAsia="zh-CN"/>
              </w:rPr>
              <w:t>规格/尺寸</w:t>
            </w:r>
          </w:p>
        </w:tc>
        <w:tc>
          <w:tcPr>
            <w:tcW w:w="1481" w:type="dxa"/>
            <w:vAlign w:val="center"/>
          </w:tcPr>
          <w:p w14:paraId="73DEA8AF">
            <w:pPr>
              <w:keepNext w:val="0"/>
              <w:keepLines w:val="0"/>
              <w:pageBreakBefore w:val="0"/>
              <w:widowControl/>
              <w:kinsoku/>
              <w:wordWrap/>
              <w:overflowPunct/>
              <w:topLinePunct w:val="0"/>
              <w:autoSpaceDE/>
              <w:autoSpaceDN/>
              <w:bidi w:val="0"/>
              <w:adjustRightInd/>
              <w:spacing w:line="24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数量</w:t>
            </w:r>
          </w:p>
        </w:tc>
        <w:tc>
          <w:tcPr>
            <w:tcW w:w="1688" w:type="dxa"/>
            <w:vAlign w:val="center"/>
          </w:tcPr>
          <w:p w14:paraId="56B51131">
            <w:pPr>
              <w:keepNext w:val="0"/>
              <w:keepLines w:val="0"/>
              <w:pageBreakBefore w:val="0"/>
              <w:widowControl/>
              <w:kinsoku/>
              <w:wordWrap/>
              <w:overflowPunct/>
              <w:topLinePunct w:val="0"/>
              <w:autoSpaceDE/>
              <w:autoSpaceDN/>
              <w:bidi w:val="0"/>
              <w:adjustRightInd/>
              <w:spacing w:line="24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投标单价</w:t>
            </w:r>
          </w:p>
          <w:p w14:paraId="6F58E6FC">
            <w:pPr>
              <w:keepNext w:val="0"/>
              <w:keepLines w:val="0"/>
              <w:pageBreakBefore w:val="0"/>
              <w:widowControl/>
              <w:kinsoku/>
              <w:wordWrap/>
              <w:overflowPunct/>
              <w:topLinePunct w:val="0"/>
              <w:autoSpaceDE/>
              <w:autoSpaceDN/>
              <w:bidi w:val="0"/>
              <w:adjustRightInd/>
              <w:spacing w:line="24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（元）</w:t>
            </w:r>
          </w:p>
        </w:tc>
        <w:tc>
          <w:tcPr>
            <w:tcW w:w="1425" w:type="dxa"/>
            <w:vAlign w:val="center"/>
          </w:tcPr>
          <w:p w14:paraId="4F1555A5">
            <w:pPr>
              <w:keepNext w:val="0"/>
              <w:keepLines w:val="0"/>
              <w:pageBreakBefore w:val="0"/>
              <w:widowControl/>
              <w:kinsoku/>
              <w:wordWrap/>
              <w:overflowPunct/>
              <w:topLinePunct w:val="0"/>
              <w:autoSpaceDE/>
              <w:autoSpaceDN/>
              <w:bidi w:val="0"/>
              <w:adjustRightInd/>
              <w:spacing w:line="24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小计</w:t>
            </w:r>
          </w:p>
          <w:p w14:paraId="5F0B4E50">
            <w:pPr>
              <w:keepNext w:val="0"/>
              <w:keepLines w:val="0"/>
              <w:pageBreakBefore w:val="0"/>
              <w:widowControl/>
              <w:kinsoku/>
              <w:wordWrap/>
              <w:overflowPunct/>
              <w:topLinePunct w:val="0"/>
              <w:autoSpaceDE/>
              <w:autoSpaceDN/>
              <w:bidi w:val="0"/>
              <w:adjustRightInd/>
              <w:spacing w:line="24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（元）</w:t>
            </w:r>
          </w:p>
        </w:tc>
        <w:tc>
          <w:tcPr>
            <w:tcW w:w="1519" w:type="dxa"/>
            <w:vAlign w:val="center"/>
          </w:tcPr>
          <w:p w14:paraId="571261A2">
            <w:pPr>
              <w:keepNext w:val="0"/>
              <w:keepLines w:val="0"/>
              <w:pageBreakBefore w:val="0"/>
              <w:widowControl/>
              <w:kinsoku/>
              <w:wordWrap/>
              <w:overflowPunct/>
              <w:topLinePunct w:val="0"/>
              <w:autoSpaceDE/>
              <w:autoSpaceDN/>
              <w:bidi w:val="0"/>
              <w:adjustRightInd/>
              <w:spacing w:line="24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72D32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2" w:type="dxa"/>
            <w:vAlign w:val="center"/>
          </w:tcPr>
          <w:p w14:paraId="16531617">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cs="宋体"/>
                <w:b/>
                <w:bCs/>
                <w:color w:val="auto"/>
                <w:kern w:val="0"/>
                <w:sz w:val="24"/>
                <w:highlight w:val="none"/>
              </w:rPr>
            </w:pPr>
          </w:p>
        </w:tc>
        <w:tc>
          <w:tcPr>
            <w:tcW w:w="2213" w:type="dxa"/>
            <w:vAlign w:val="center"/>
          </w:tcPr>
          <w:p w14:paraId="789AB618">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1318" w:type="dxa"/>
            <w:vAlign w:val="center"/>
          </w:tcPr>
          <w:p w14:paraId="366CB0F9">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cs="宋体"/>
                <w:b/>
                <w:bCs/>
                <w:color w:val="auto"/>
                <w:kern w:val="0"/>
                <w:sz w:val="24"/>
                <w:highlight w:val="none"/>
                <w:lang w:val="en-US" w:eastAsia="zh-CN"/>
              </w:rPr>
            </w:pPr>
          </w:p>
        </w:tc>
        <w:tc>
          <w:tcPr>
            <w:tcW w:w="1481" w:type="dxa"/>
            <w:vAlign w:val="center"/>
          </w:tcPr>
          <w:p w14:paraId="47AF2E43">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cs="宋体"/>
                <w:b/>
                <w:bCs/>
                <w:color w:val="auto"/>
                <w:kern w:val="0"/>
                <w:sz w:val="24"/>
                <w:highlight w:val="none"/>
              </w:rPr>
            </w:pPr>
          </w:p>
        </w:tc>
        <w:tc>
          <w:tcPr>
            <w:tcW w:w="1688" w:type="dxa"/>
            <w:vAlign w:val="center"/>
          </w:tcPr>
          <w:p w14:paraId="5F2D3B5C">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cs="宋体"/>
                <w:b/>
                <w:bCs/>
                <w:color w:val="auto"/>
                <w:kern w:val="0"/>
                <w:sz w:val="24"/>
                <w:highlight w:val="none"/>
              </w:rPr>
            </w:pPr>
          </w:p>
        </w:tc>
        <w:tc>
          <w:tcPr>
            <w:tcW w:w="1425" w:type="dxa"/>
            <w:vAlign w:val="center"/>
          </w:tcPr>
          <w:p w14:paraId="568F7C35">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cs="宋体"/>
                <w:b/>
                <w:bCs/>
                <w:color w:val="auto"/>
                <w:kern w:val="0"/>
                <w:sz w:val="24"/>
                <w:highlight w:val="none"/>
              </w:rPr>
            </w:pPr>
          </w:p>
        </w:tc>
        <w:tc>
          <w:tcPr>
            <w:tcW w:w="1519" w:type="dxa"/>
            <w:vAlign w:val="center"/>
          </w:tcPr>
          <w:p w14:paraId="6D338F76">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cs="宋体"/>
                <w:b/>
                <w:bCs/>
                <w:color w:val="auto"/>
                <w:kern w:val="0"/>
                <w:sz w:val="24"/>
                <w:highlight w:val="none"/>
              </w:rPr>
            </w:pPr>
          </w:p>
        </w:tc>
      </w:tr>
      <w:tr w14:paraId="383F2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2" w:type="dxa"/>
            <w:vAlign w:val="center"/>
          </w:tcPr>
          <w:p w14:paraId="27C0675E">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cs="宋体"/>
                <w:b/>
                <w:bCs/>
                <w:color w:val="auto"/>
                <w:kern w:val="0"/>
                <w:sz w:val="24"/>
                <w:highlight w:val="none"/>
              </w:rPr>
            </w:pPr>
          </w:p>
        </w:tc>
        <w:tc>
          <w:tcPr>
            <w:tcW w:w="2213" w:type="dxa"/>
            <w:vAlign w:val="center"/>
          </w:tcPr>
          <w:p w14:paraId="57D4AE5B">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1318" w:type="dxa"/>
            <w:vAlign w:val="center"/>
          </w:tcPr>
          <w:p w14:paraId="5F8D0CEF">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cs="宋体"/>
                <w:b/>
                <w:bCs/>
                <w:color w:val="auto"/>
                <w:kern w:val="0"/>
                <w:sz w:val="24"/>
                <w:highlight w:val="none"/>
                <w:lang w:val="en-US" w:eastAsia="zh-CN"/>
              </w:rPr>
            </w:pPr>
          </w:p>
        </w:tc>
        <w:tc>
          <w:tcPr>
            <w:tcW w:w="1481" w:type="dxa"/>
            <w:vAlign w:val="center"/>
          </w:tcPr>
          <w:p w14:paraId="7ED83513">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cs="宋体"/>
                <w:b/>
                <w:bCs/>
                <w:color w:val="auto"/>
                <w:kern w:val="0"/>
                <w:sz w:val="24"/>
                <w:highlight w:val="none"/>
              </w:rPr>
            </w:pPr>
          </w:p>
        </w:tc>
        <w:tc>
          <w:tcPr>
            <w:tcW w:w="1688" w:type="dxa"/>
            <w:vAlign w:val="center"/>
          </w:tcPr>
          <w:p w14:paraId="6D2BEF98">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cs="宋体"/>
                <w:b/>
                <w:bCs/>
                <w:color w:val="auto"/>
                <w:kern w:val="0"/>
                <w:sz w:val="24"/>
                <w:highlight w:val="none"/>
              </w:rPr>
            </w:pPr>
          </w:p>
        </w:tc>
        <w:tc>
          <w:tcPr>
            <w:tcW w:w="1425" w:type="dxa"/>
            <w:vAlign w:val="center"/>
          </w:tcPr>
          <w:p w14:paraId="2543AA85">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cs="宋体"/>
                <w:b/>
                <w:bCs/>
                <w:color w:val="auto"/>
                <w:kern w:val="0"/>
                <w:sz w:val="24"/>
                <w:highlight w:val="none"/>
              </w:rPr>
            </w:pPr>
          </w:p>
        </w:tc>
        <w:tc>
          <w:tcPr>
            <w:tcW w:w="1519" w:type="dxa"/>
            <w:vAlign w:val="center"/>
          </w:tcPr>
          <w:p w14:paraId="3A095FA8">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cs="宋体"/>
                <w:b/>
                <w:bCs/>
                <w:color w:val="auto"/>
                <w:kern w:val="0"/>
                <w:sz w:val="24"/>
                <w:highlight w:val="none"/>
              </w:rPr>
            </w:pPr>
          </w:p>
        </w:tc>
      </w:tr>
      <w:tr w14:paraId="1E495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2" w:type="dxa"/>
            <w:vAlign w:val="center"/>
          </w:tcPr>
          <w:p w14:paraId="5EE0E755">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cs="宋体"/>
                <w:b/>
                <w:bCs/>
                <w:color w:val="auto"/>
                <w:kern w:val="0"/>
                <w:sz w:val="24"/>
                <w:highlight w:val="none"/>
              </w:rPr>
            </w:pPr>
          </w:p>
        </w:tc>
        <w:tc>
          <w:tcPr>
            <w:tcW w:w="2213" w:type="dxa"/>
            <w:vAlign w:val="center"/>
          </w:tcPr>
          <w:p w14:paraId="29460F71">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1318" w:type="dxa"/>
            <w:vAlign w:val="center"/>
          </w:tcPr>
          <w:p w14:paraId="4D7C0CF8">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cs="宋体"/>
                <w:b/>
                <w:bCs/>
                <w:color w:val="auto"/>
                <w:kern w:val="0"/>
                <w:sz w:val="24"/>
                <w:highlight w:val="none"/>
                <w:lang w:val="en-US" w:eastAsia="zh-CN"/>
              </w:rPr>
            </w:pPr>
          </w:p>
        </w:tc>
        <w:tc>
          <w:tcPr>
            <w:tcW w:w="1481" w:type="dxa"/>
            <w:vAlign w:val="center"/>
          </w:tcPr>
          <w:p w14:paraId="39138F7F">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cs="宋体"/>
                <w:b/>
                <w:bCs/>
                <w:color w:val="auto"/>
                <w:kern w:val="0"/>
                <w:sz w:val="24"/>
                <w:highlight w:val="none"/>
              </w:rPr>
            </w:pPr>
          </w:p>
        </w:tc>
        <w:tc>
          <w:tcPr>
            <w:tcW w:w="1688" w:type="dxa"/>
            <w:vAlign w:val="center"/>
          </w:tcPr>
          <w:p w14:paraId="73A0461A">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cs="宋体"/>
                <w:b/>
                <w:bCs/>
                <w:color w:val="auto"/>
                <w:kern w:val="0"/>
                <w:sz w:val="24"/>
                <w:highlight w:val="none"/>
              </w:rPr>
            </w:pPr>
          </w:p>
        </w:tc>
        <w:tc>
          <w:tcPr>
            <w:tcW w:w="1425" w:type="dxa"/>
            <w:vAlign w:val="center"/>
          </w:tcPr>
          <w:p w14:paraId="0C4A01B9">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cs="宋体"/>
                <w:b/>
                <w:bCs/>
                <w:color w:val="auto"/>
                <w:kern w:val="0"/>
                <w:sz w:val="24"/>
                <w:highlight w:val="none"/>
              </w:rPr>
            </w:pPr>
          </w:p>
        </w:tc>
        <w:tc>
          <w:tcPr>
            <w:tcW w:w="1519" w:type="dxa"/>
            <w:vAlign w:val="center"/>
          </w:tcPr>
          <w:p w14:paraId="7B191397">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cs="宋体"/>
                <w:b/>
                <w:bCs/>
                <w:color w:val="auto"/>
                <w:kern w:val="0"/>
                <w:sz w:val="24"/>
                <w:highlight w:val="none"/>
              </w:rPr>
            </w:pPr>
          </w:p>
        </w:tc>
      </w:tr>
      <w:tr w14:paraId="7F854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2" w:type="dxa"/>
            <w:vAlign w:val="center"/>
          </w:tcPr>
          <w:p w14:paraId="0CFE2EDA">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cs="宋体"/>
                <w:b/>
                <w:bCs/>
                <w:color w:val="auto"/>
                <w:kern w:val="0"/>
                <w:sz w:val="24"/>
                <w:highlight w:val="none"/>
              </w:rPr>
            </w:pPr>
          </w:p>
        </w:tc>
        <w:tc>
          <w:tcPr>
            <w:tcW w:w="2213" w:type="dxa"/>
            <w:vAlign w:val="center"/>
          </w:tcPr>
          <w:p w14:paraId="5D32D0A4">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1318" w:type="dxa"/>
            <w:vAlign w:val="center"/>
          </w:tcPr>
          <w:p w14:paraId="10440FC9">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cs="宋体"/>
                <w:b/>
                <w:bCs/>
                <w:color w:val="auto"/>
                <w:kern w:val="0"/>
                <w:sz w:val="24"/>
                <w:highlight w:val="none"/>
                <w:lang w:val="en-US" w:eastAsia="zh-CN"/>
              </w:rPr>
            </w:pPr>
          </w:p>
        </w:tc>
        <w:tc>
          <w:tcPr>
            <w:tcW w:w="1481" w:type="dxa"/>
            <w:vAlign w:val="center"/>
          </w:tcPr>
          <w:p w14:paraId="181B6CB8">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cs="宋体"/>
                <w:b/>
                <w:bCs/>
                <w:color w:val="auto"/>
                <w:kern w:val="0"/>
                <w:sz w:val="24"/>
                <w:highlight w:val="none"/>
              </w:rPr>
            </w:pPr>
          </w:p>
        </w:tc>
        <w:tc>
          <w:tcPr>
            <w:tcW w:w="1688" w:type="dxa"/>
            <w:vAlign w:val="center"/>
          </w:tcPr>
          <w:p w14:paraId="5D287F63">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cs="宋体"/>
                <w:b/>
                <w:bCs/>
                <w:color w:val="auto"/>
                <w:kern w:val="0"/>
                <w:sz w:val="24"/>
                <w:highlight w:val="none"/>
              </w:rPr>
            </w:pPr>
          </w:p>
        </w:tc>
        <w:tc>
          <w:tcPr>
            <w:tcW w:w="1425" w:type="dxa"/>
            <w:vAlign w:val="center"/>
          </w:tcPr>
          <w:p w14:paraId="46F58B2C">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cs="宋体"/>
                <w:b/>
                <w:bCs/>
                <w:color w:val="auto"/>
                <w:kern w:val="0"/>
                <w:sz w:val="24"/>
                <w:highlight w:val="none"/>
              </w:rPr>
            </w:pPr>
          </w:p>
        </w:tc>
        <w:tc>
          <w:tcPr>
            <w:tcW w:w="1519" w:type="dxa"/>
            <w:vAlign w:val="center"/>
          </w:tcPr>
          <w:p w14:paraId="5AA25240">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cs="宋体"/>
                <w:b/>
                <w:bCs/>
                <w:color w:val="auto"/>
                <w:kern w:val="0"/>
                <w:sz w:val="24"/>
                <w:highlight w:val="none"/>
              </w:rPr>
            </w:pPr>
          </w:p>
        </w:tc>
      </w:tr>
      <w:tr w14:paraId="7F1F8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2" w:type="dxa"/>
            <w:vAlign w:val="center"/>
          </w:tcPr>
          <w:p w14:paraId="508EC501">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cs="宋体"/>
                <w:b/>
                <w:bCs/>
                <w:color w:val="auto"/>
                <w:kern w:val="0"/>
                <w:sz w:val="24"/>
                <w:highlight w:val="none"/>
              </w:rPr>
            </w:pPr>
          </w:p>
        </w:tc>
        <w:tc>
          <w:tcPr>
            <w:tcW w:w="2213" w:type="dxa"/>
            <w:vAlign w:val="center"/>
          </w:tcPr>
          <w:p w14:paraId="6475BD41">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1318" w:type="dxa"/>
            <w:vAlign w:val="center"/>
          </w:tcPr>
          <w:p w14:paraId="766BDFF2">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cs="宋体"/>
                <w:b/>
                <w:bCs/>
                <w:color w:val="auto"/>
                <w:kern w:val="0"/>
                <w:sz w:val="24"/>
                <w:highlight w:val="none"/>
                <w:lang w:val="en-US" w:eastAsia="zh-CN"/>
              </w:rPr>
            </w:pPr>
          </w:p>
        </w:tc>
        <w:tc>
          <w:tcPr>
            <w:tcW w:w="1481" w:type="dxa"/>
            <w:vAlign w:val="center"/>
          </w:tcPr>
          <w:p w14:paraId="0AA7B2DC">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cs="宋体"/>
                <w:b/>
                <w:bCs/>
                <w:color w:val="auto"/>
                <w:kern w:val="0"/>
                <w:sz w:val="24"/>
                <w:highlight w:val="none"/>
              </w:rPr>
            </w:pPr>
          </w:p>
        </w:tc>
        <w:tc>
          <w:tcPr>
            <w:tcW w:w="1688" w:type="dxa"/>
            <w:vAlign w:val="center"/>
          </w:tcPr>
          <w:p w14:paraId="3E5AD2C9">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cs="宋体"/>
                <w:b/>
                <w:bCs/>
                <w:color w:val="auto"/>
                <w:kern w:val="0"/>
                <w:sz w:val="24"/>
                <w:highlight w:val="none"/>
              </w:rPr>
            </w:pPr>
          </w:p>
        </w:tc>
        <w:tc>
          <w:tcPr>
            <w:tcW w:w="1425" w:type="dxa"/>
            <w:vAlign w:val="center"/>
          </w:tcPr>
          <w:p w14:paraId="1D9668C4">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cs="宋体"/>
                <w:b/>
                <w:bCs/>
                <w:color w:val="auto"/>
                <w:kern w:val="0"/>
                <w:sz w:val="24"/>
                <w:highlight w:val="none"/>
              </w:rPr>
            </w:pPr>
          </w:p>
        </w:tc>
        <w:tc>
          <w:tcPr>
            <w:tcW w:w="1519" w:type="dxa"/>
            <w:vAlign w:val="center"/>
          </w:tcPr>
          <w:p w14:paraId="0CDAE977">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cs="宋体"/>
                <w:b/>
                <w:bCs/>
                <w:color w:val="auto"/>
                <w:kern w:val="0"/>
                <w:sz w:val="24"/>
                <w:highlight w:val="none"/>
              </w:rPr>
            </w:pPr>
          </w:p>
        </w:tc>
      </w:tr>
      <w:tr w14:paraId="2E85B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2" w:type="dxa"/>
            <w:vAlign w:val="center"/>
          </w:tcPr>
          <w:p w14:paraId="283890A5">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cs="宋体"/>
                <w:b/>
                <w:bCs/>
                <w:color w:val="auto"/>
                <w:kern w:val="0"/>
                <w:sz w:val="24"/>
                <w:highlight w:val="none"/>
              </w:rPr>
            </w:pPr>
          </w:p>
        </w:tc>
        <w:tc>
          <w:tcPr>
            <w:tcW w:w="2213" w:type="dxa"/>
            <w:vAlign w:val="center"/>
          </w:tcPr>
          <w:p w14:paraId="3E6F233C">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1318" w:type="dxa"/>
            <w:vAlign w:val="center"/>
          </w:tcPr>
          <w:p w14:paraId="339C648F">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cs="宋体"/>
                <w:b/>
                <w:bCs/>
                <w:color w:val="auto"/>
                <w:kern w:val="0"/>
                <w:sz w:val="24"/>
                <w:highlight w:val="none"/>
                <w:lang w:val="en-US" w:eastAsia="zh-CN"/>
              </w:rPr>
            </w:pPr>
          </w:p>
        </w:tc>
        <w:tc>
          <w:tcPr>
            <w:tcW w:w="1481" w:type="dxa"/>
            <w:vAlign w:val="center"/>
          </w:tcPr>
          <w:p w14:paraId="6AF258DA">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cs="宋体"/>
                <w:b/>
                <w:bCs/>
                <w:color w:val="auto"/>
                <w:kern w:val="0"/>
                <w:sz w:val="24"/>
                <w:highlight w:val="none"/>
              </w:rPr>
            </w:pPr>
          </w:p>
        </w:tc>
        <w:tc>
          <w:tcPr>
            <w:tcW w:w="1688" w:type="dxa"/>
            <w:vAlign w:val="center"/>
          </w:tcPr>
          <w:p w14:paraId="5AE6E6C4">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cs="宋体"/>
                <w:b/>
                <w:bCs/>
                <w:color w:val="auto"/>
                <w:kern w:val="0"/>
                <w:sz w:val="24"/>
                <w:highlight w:val="none"/>
              </w:rPr>
            </w:pPr>
          </w:p>
        </w:tc>
        <w:tc>
          <w:tcPr>
            <w:tcW w:w="1425" w:type="dxa"/>
            <w:vAlign w:val="center"/>
          </w:tcPr>
          <w:p w14:paraId="3A655CBD">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cs="宋体"/>
                <w:b/>
                <w:bCs/>
                <w:color w:val="auto"/>
                <w:kern w:val="0"/>
                <w:sz w:val="24"/>
                <w:highlight w:val="none"/>
              </w:rPr>
            </w:pPr>
          </w:p>
        </w:tc>
        <w:tc>
          <w:tcPr>
            <w:tcW w:w="1519" w:type="dxa"/>
            <w:vAlign w:val="center"/>
          </w:tcPr>
          <w:p w14:paraId="67DAB7F5">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cs="宋体"/>
                <w:b/>
                <w:bCs/>
                <w:color w:val="auto"/>
                <w:kern w:val="0"/>
                <w:sz w:val="24"/>
                <w:highlight w:val="none"/>
              </w:rPr>
            </w:pPr>
          </w:p>
        </w:tc>
      </w:tr>
      <w:tr w14:paraId="240BE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2" w:type="dxa"/>
            <w:vAlign w:val="center"/>
          </w:tcPr>
          <w:p w14:paraId="67FA0DB6">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cs="宋体"/>
                <w:b/>
                <w:bCs/>
                <w:color w:val="auto"/>
                <w:kern w:val="0"/>
                <w:sz w:val="24"/>
                <w:highlight w:val="none"/>
              </w:rPr>
            </w:pPr>
          </w:p>
        </w:tc>
        <w:tc>
          <w:tcPr>
            <w:tcW w:w="2213" w:type="dxa"/>
            <w:vAlign w:val="center"/>
          </w:tcPr>
          <w:p w14:paraId="111A49E7">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1318" w:type="dxa"/>
            <w:vAlign w:val="center"/>
          </w:tcPr>
          <w:p w14:paraId="5BBFE971">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cs="宋体"/>
                <w:b/>
                <w:bCs/>
                <w:color w:val="auto"/>
                <w:kern w:val="0"/>
                <w:sz w:val="24"/>
                <w:highlight w:val="none"/>
                <w:lang w:val="en-US" w:eastAsia="zh-CN"/>
              </w:rPr>
            </w:pPr>
          </w:p>
        </w:tc>
        <w:tc>
          <w:tcPr>
            <w:tcW w:w="1481" w:type="dxa"/>
            <w:vAlign w:val="center"/>
          </w:tcPr>
          <w:p w14:paraId="15FE9437">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cs="宋体"/>
                <w:b/>
                <w:bCs/>
                <w:color w:val="auto"/>
                <w:kern w:val="0"/>
                <w:sz w:val="24"/>
                <w:highlight w:val="none"/>
              </w:rPr>
            </w:pPr>
          </w:p>
        </w:tc>
        <w:tc>
          <w:tcPr>
            <w:tcW w:w="1688" w:type="dxa"/>
            <w:vAlign w:val="center"/>
          </w:tcPr>
          <w:p w14:paraId="67EBBDC4">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cs="宋体"/>
                <w:b/>
                <w:bCs/>
                <w:color w:val="auto"/>
                <w:kern w:val="0"/>
                <w:sz w:val="24"/>
                <w:highlight w:val="none"/>
              </w:rPr>
            </w:pPr>
          </w:p>
        </w:tc>
        <w:tc>
          <w:tcPr>
            <w:tcW w:w="1425" w:type="dxa"/>
            <w:vAlign w:val="center"/>
          </w:tcPr>
          <w:p w14:paraId="783A4A61">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cs="宋体"/>
                <w:b/>
                <w:bCs/>
                <w:color w:val="auto"/>
                <w:kern w:val="0"/>
                <w:sz w:val="24"/>
                <w:highlight w:val="none"/>
              </w:rPr>
            </w:pPr>
          </w:p>
        </w:tc>
        <w:tc>
          <w:tcPr>
            <w:tcW w:w="1519" w:type="dxa"/>
            <w:vAlign w:val="center"/>
          </w:tcPr>
          <w:p w14:paraId="0CBEE7C2">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cs="宋体"/>
                <w:b/>
                <w:bCs/>
                <w:color w:val="auto"/>
                <w:kern w:val="0"/>
                <w:sz w:val="24"/>
                <w:highlight w:val="none"/>
              </w:rPr>
            </w:pPr>
          </w:p>
        </w:tc>
      </w:tr>
      <w:tr w14:paraId="1E7BC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2" w:type="dxa"/>
            <w:vAlign w:val="center"/>
          </w:tcPr>
          <w:p w14:paraId="3A4ADB0F">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cs="宋体"/>
                <w:b/>
                <w:bCs/>
                <w:color w:val="auto"/>
                <w:kern w:val="0"/>
                <w:sz w:val="24"/>
                <w:highlight w:val="none"/>
              </w:rPr>
            </w:pPr>
          </w:p>
        </w:tc>
        <w:tc>
          <w:tcPr>
            <w:tcW w:w="2213" w:type="dxa"/>
            <w:vAlign w:val="center"/>
          </w:tcPr>
          <w:p w14:paraId="25F0DB38">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1318" w:type="dxa"/>
            <w:vAlign w:val="center"/>
          </w:tcPr>
          <w:p w14:paraId="71EE3D13">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cs="宋体"/>
                <w:b/>
                <w:bCs/>
                <w:color w:val="auto"/>
                <w:kern w:val="0"/>
                <w:sz w:val="24"/>
                <w:highlight w:val="none"/>
                <w:lang w:val="en-US" w:eastAsia="zh-CN"/>
              </w:rPr>
            </w:pPr>
          </w:p>
        </w:tc>
        <w:tc>
          <w:tcPr>
            <w:tcW w:w="1481" w:type="dxa"/>
            <w:vAlign w:val="center"/>
          </w:tcPr>
          <w:p w14:paraId="7CEF4361">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cs="宋体"/>
                <w:b/>
                <w:bCs/>
                <w:color w:val="auto"/>
                <w:kern w:val="0"/>
                <w:sz w:val="24"/>
                <w:highlight w:val="none"/>
              </w:rPr>
            </w:pPr>
          </w:p>
        </w:tc>
        <w:tc>
          <w:tcPr>
            <w:tcW w:w="1688" w:type="dxa"/>
            <w:vAlign w:val="center"/>
          </w:tcPr>
          <w:p w14:paraId="413B5F5C">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cs="宋体"/>
                <w:b/>
                <w:bCs/>
                <w:color w:val="auto"/>
                <w:kern w:val="0"/>
                <w:sz w:val="24"/>
                <w:highlight w:val="none"/>
              </w:rPr>
            </w:pPr>
          </w:p>
        </w:tc>
        <w:tc>
          <w:tcPr>
            <w:tcW w:w="1425" w:type="dxa"/>
            <w:vAlign w:val="center"/>
          </w:tcPr>
          <w:p w14:paraId="40C23841">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cs="宋体"/>
                <w:b/>
                <w:bCs/>
                <w:color w:val="auto"/>
                <w:kern w:val="0"/>
                <w:sz w:val="24"/>
                <w:highlight w:val="none"/>
              </w:rPr>
            </w:pPr>
          </w:p>
        </w:tc>
        <w:tc>
          <w:tcPr>
            <w:tcW w:w="1519" w:type="dxa"/>
            <w:vAlign w:val="center"/>
          </w:tcPr>
          <w:p w14:paraId="730A5516">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cs="宋体"/>
                <w:b/>
                <w:bCs/>
                <w:color w:val="auto"/>
                <w:kern w:val="0"/>
                <w:sz w:val="24"/>
                <w:highlight w:val="none"/>
              </w:rPr>
            </w:pPr>
          </w:p>
        </w:tc>
      </w:tr>
      <w:tr w14:paraId="71402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2" w:type="dxa"/>
            <w:vAlign w:val="center"/>
          </w:tcPr>
          <w:p w14:paraId="28D1E058">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cs="宋体"/>
                <w:b/>
                <w:bCs/>
                <w:color w:val="auto"/>
                <w:kern w:val="0"/>
                <w:sz w:val="24"/>
                <w:highlight w:val="none"/>
              </w:rPr>
            </w:pPr>
          </w:p>
        </w:tc>
        <w:tc>
          <w:tcPr>
            <w:tcW w:w="2213" w:type="dxa"/>
            <w:vAlign w:val="center"/>
          </w:tcPr>
          <w:p w14:paraId="5C2458A2">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1318" w:type="dxa"/>
            <w:vAlign w:val="center"/>
          </w:tcPr>
          <w:p w14:paraId="20CD7BCC">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cs="宋体"/>
                <w:b/>
                <w:bCs/>
                <w:color w:val="auto"/>
                <w:kern w:val="0"/>
                <w:sz w:val="24"/>
                <w:highlight w:val="none"/>
                <w:lang w:val="en-US" w:eastAsia="zh-CN"/>
              </w:rPr>
            </w:pPr>
          </w:p>
        </w:tc>
        <w:tc>
          <w:tcPr>
            <w:tcW w:w="1481" w:type="dxa"/>
            <w:vAlign w:val="center"/>
          </w:tcPr>
          <w:p w14:paraId="214C42BB">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cs="宋体"/>
                <w:b/>
                <w:bCs/>
                <w:color w:val="auto"/>
                <w:kern w:val="0"/>
                <w:sz w:val="24"/>
                <w:highlight w:val="none"/>
              </w:rPr>
            </w:pPr>
          </w:p>
        </w:tc>
        <w:tc>
          <w:tcPr>
            <w:tcW w:w="1688" w:type="dxa"/>
            <w:vAlign w:val="center"/>
          </w:tcPr>
          <w:p w14:paraId="03A2507D">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cs="宋体"/>
                <w:b/>
                <w:bCs/>
                <w:color w:val="auto"/>
                <w:kern w:val="0"/>
                <w:sz w:val="24"/>
                <w:highlight w:val="none"/>
              </w:rPr>
            </w:pPr>
          </w:p>
        </w:tc>
        <w:tc>
          <w:tcPr>
            <w:tcW w:w="1425" w:type="dxa"/>
            <w:vAlign w:val="center"/>
          </w:tcPr>
          <w:p w14:paraId="4E60F8CE">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cs="宋体"/>
                <w:b/>
                <w:bCs/>
                <w:color w:val="auto"/>
                <w:kern w:val="0"/>
                <w:sz w:val="24"/>
                <w:highlight w:val="none"/>
              </w:rPr>
            </w:pPr>
          </w:p>
        </w:tc>
        <w:tc>
          <w:tcPr>
            <w:tcW w:w="1519" w:type="dxa"/>
            <w:vAlign w:val="center"/>
          </w:tcPr>
          <w:p w14:paraId="169CD586">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cs="宋体"/>
                <w:b/>
                <w:bCs/>
                <w:color w:val="auto"/>
                <w:kern w:val="0"/>
                <w:sz w:val="24"/>
                <w:highlight w:val="none"/>
              </w:rPr>
            </w:pPr>
          </w:p>
        </w:tc>
      </w:tr>
      <w:tr w14:paraId="15262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06" w:type="dxa"/>
            <w:gridSpan w:val="7"/>
            <w:vAlign w:val="center"/>
          </w:tcPr>
          <w:p w14:paraId="52D40EDE">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合计总价：</w:t>
            </w:r>
          </w:p>
          <w:p w14:paraId="70D8A949">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小写：</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元</w:t>
            </w:r>
          </w:p>
          <w:p w14:paraId="5A3F4FCF">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color w:val="auto"/>
                <w:kern w:val="0"/>
                <w:sz w:val="24"/>
                <w:highlight w:val="none"/>
              </w:rPr>
            </w:pPr>
            <w:r>
              <w:rPr>
                <w:rFonts w:hint="eastAsia" w:ascii="宋体" w:hAnsi="宋体" w:cs="宋体"/>
                <w:color w:val="auto"/>
                <w:sz w:val="24"/>
                <w:highlight w:val="none"/>
              </w:rPr>
              <w:t>大写：人民币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元整</w:t>
            </w:r>
          </w:p>
        </w:tc>
      </w:tr>
    </w:tbl>
    <w:p w14:paraId="55B050F5">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报价金额最多可保留小数点后2位。</w:t>
      </w:r>
      <w:r>
        <w:rPr>
          <w:rFonts w:hint="eastAsia" w:ascii="宋体" w:hAnsi="宋体" w:cs="宋体"/>
          <w:color w:val="auto"/>
          <w:sz w:val="24"/>
          <w:highlight w:val="none"/>
          <w:lang w:val="en-US" w:eastAsia="zh-CN"/>
        </w:rPr>
        <w:t>2.明细表格式可自行细化分项、小项，内容应与商务技术文件中细化清单对应。</w:t>
      </w:r>
    </w:p>
    <w:p w14:paraId="3A8B3D21">
      <w:pPr>
        <w:snapToGrid w:val="0"/>
        <w:spacing w:line="360" w:lineRule="auto"/>
        <w:ind w:firstLine="2640" w:firstLineChars="1100"/>
        <w:jc w:val="right"/>
        <w:rPr>
          <w:rFonts w:hint="eastAsia" w:ascii="宋体" w:hAnsi="宋体" w:cs="宋体"/>
          <w:color w:val="auto"/>
          <w:sz w:val="24"/>
          <w:highlight w:val="none"/>
        </w:rPr>
      </w:pPr>
    </w:p>
    <w:p w14:paraId="0249C5BB">
      <w:pPr>
        <w:snapToGrid w:val="0"/>
        <w:spacing w:line="360" w:lineRule="auto"/>
        <w:ind w:firstLine="2640" w:firstLineChars="1100"/>
        <w:jc w:val="right"/>
        <w:rPr>
          <w:rFonts w:ascii="宋体" w:hAnsi="宋体" w:cs="宋体"/>
          <w:color w:val="auto"/>
          <w:sz w:val="24"/>
          <w:szCs w:val="20"/>
          <w:highlight w:val="none"/>
        </w:rPr>
      </w:pPr>
      <w:r>
        <w:rPr>
          <w:rFonts w:hint="eastAsia" w:ascii="宋体" w:hAnsi="宋体" w:cs="宋体"/>
          <w:color w:val="auto"/>
          <w:sz w:val="24"/>
          <w:highlight w:val="none"/>
        </w:rPr>
        <w:t>供应商名称（电子签章/公章）：___________________</w:t>
      </w:r>
    </w:p>
    <w:p w14:paraId="627F6ED0">
      <w:pPr>
        <w:snapToGrid w:val="0"/>
        <w:spacing w:line="360" w:lineRule="auto"/>
        <w:jc w:val="right"/>
        <w:rPr>
          <w:rFonts w:ascii="宋体" w:hAnsi="宋体" w:cs="宋体"/>
          <w:color w:val="auto"/>
          <w:sz w:val="24"/>
          <w:highlight w:val="none"/>
        </w:rPr>
      </w:pPr>
      <w:r>
        <w:rPr>
          <w:rFonts w:hint="eastAsia" w:ascii="宋体" w:hAnsi="宋体" w:cs="宋体"/>
          <w:color w:val="auto"/>
          <w:sz w:val="24"/>
          <w:highlight w:val="none"/>
        </w:rPr>
        <w:t xml:space="preserve">                法定代表人或其授权代表（签字或印章）：___________                      </w:t>
      </w:r>
    </w:p>
    <w:p w14:paraId="47413F17">
      <w:pPr>
        <w:pStyle w:val="183"/>
        <w:ind w:firstLine="480"/>
        <w:jc w:val="right"/>
        <w:rPr>
          <w:rFonts w:ascii="宋体" w:hAnsi="宋体" w:cs="宋体"/>
          <w:color w:val="auto"/>
          <w:highlight w:val="none"/>
        </w:rPr>
      </w:pPr>
      <w:r>
        <w:rPr>
          <w:rFonts w:hint="eastAsia" w:ascii="宋体" w:hAnsi="宋体" w:cs="宋体"/>
          <w:color w:val="auto"/>
          <w:highlight w:val="none"/>
        </w:rPr>
        <w:t>_____年___月___日</w:t>
      </w:r>
    </w:p>
    <w:p w14:paraId="793E1C27">
      <w:pPr>
        <w:pStyle w:val="183"/>
        <w:ind w:firstLine="643"/>
        <w:jc w:val="center"/>
        <w:rPr>
          <w:rFonts w:ascii="宋体" w:hAnsi="宋体" w:cs="宋体"/>
          <w:b/>
          <w:color w:val="auto"/>
          <w:sz w:val="32"/>
          <w:szCs w:val="32"/>
          <w:highlight w:val="none"/>
          <w:shd w:val="clear" w:color="auto" w:fill="FFFFFF"/>
        </w:rPr>
      </w:pPr>
    </w:p>
    <w:p w14:paraId="7209D037">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b/>
          <w:color w:val="auto"/>
          <w:sz w:val="32"/>
          <w:szCs w:val="32"/>
          <w:highlight w:val="none"/>
          <w:shd w:val="clear" w:color="auto" w:fill="FFFFFF"/>
        </w:rPr>
        <w:t>三、投标人认为有必要提供的其他资料</w:t>
      </w:r>
      <w:r>
        <w:rPr>
          <w:rFonts w:hint="eastAsia" w:ascii="宋体" w:hAnsi="宋体" w:cs="宋体"/>
          <w:b/>
          <w:color w:val="auto"/>
          <w:sz w:val="32"/>
          <w:szCs w:val="32"/>
          <w:highlight w:val="none"/>
          <w:shd w:val="clear" w:color="auto" w:fill="FFFFFF"/>
          <w:lang w:eastAsia="zh-CN"/>
        </w:rPr>
        <w:t>。</w:t>
      </w:r>
    </w:p>
    <w:sectPr>
      <w:pgSz w:w="11906" w:h="16838"/>
      <w:pgMar w:top="1474" w:right="1417" w:bottom="1247" w:left="1418" w:header="851" w:footer="56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PMingLiU">
    <w:panose1 w:val="02020500000000000000"/>
    <w:charset w:val="88"/>
    <w:family w:val="roman"/>
    <w:pitch w:val="default"/>
    <w:sig w:usb0="A00002FF" w:usb1="28CFFCFA" w:usb2="00000016" w:usb3="00000000" w:csb0="00100001"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创艺简标宋">
    <w:altName w:val="宋体"/>
    <w:panose1 w:val="00000000000000000000"/>
    <w:charset w:val="86"/>
    <w:family w:val="auto"/>
    <w:pitch w:val="default"/>
    <w:sig w:usb0="00000000" w:usb1="00000000" w:usb2="00000010" w:usb3="00000000" w:csb0="00040000" w:csb1="00000000"/>
  </w:font>
  <w:font w:name="_5b8b_4f53">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E6A54">
    <w:pPr>
      <w:pStyle w:val="28"/>
      <w:rPr>
        <w:rFonts w:hint="default"/>
      </w:rPr>
    </w:pPr>
    <w:r>
      <w:rPr>
        <w:rFonts w:hint="default"/>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3952703B">
                          <w:pPr>
                            <w:pStyle w:val="28"/>
                            <w:rPr>
                              <w:rFonts w:hint="default" w:eastAsia="宋体"/>
                            </w:rPr>
                          </w:pP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2YcnitIBAACoAwAADgAAAAAAAAABACAAAAAi&#10;AQAAZHJzL2Uyb0RvYy54bWxQSwUGAAAAAAYABgBZAQAAZgUAAAAA&#10;">
              <v:fill on="f" focussize="0,0"/>
              <v:stroke on="f" weight="1.25pt"/>
              <v:imagedata o:title=""/>
              <o:lock v:ext="edit" aspectratio="f"/>
              <v:textbox inset="0mm,0mm,0mm,0mm" style="mso-fit-shape-to-text:t;">
                <w:txbxContent>
                  <w:p w14:paraId="3952703B">
                    <w:pPr>
                      <w:pStyle w:val="28"/>
                      <w:rPr>
                        <w:rFonts w:hint="default" w:eastAsia="宋体"/>
                      </w:rPr>
                    </w:pPr>
                  </w:p>
                </w:txbxContent>
              </v:textbox>
            </v:shape>
          </w:pict>
        </mc:Fallback>
      </mc:AlternateContent>
    </w:r>
    <w:r>
      <w:rPr>
        <w:b/>
        <w:sz w:val="24"/>
        <w:szCs w:val="24"/>
      </w:rPr>
      <w:t xml:space="preserve">    </w:t>
    </w:r>
  </w:p>
  <w:p w14:paraId="0A251418">
    <w:pPr>
      <w:pStyle w:val="28"/>
      <w:ind w:firstLine="360"/>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CC73C">
    <w:pPr>
      <w:pStyle w:val="28"/>
      <w:rPr>
        <w:rFonts w:hint="default"/>
        <w:lang w:val="zh-CN"/>
      </w:rPr>
    </w:pPr>
    <w:r>
      <w:rPr>
        <w:rFonts w:hint="default"/>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2A84E1">
                          <w:pPr>
                            <w:pStyle w:val="28"/>
                            <w:rPr>
                              <w:rFonts w:hint="default" w:ascii="宋体" w:eastAsia="宋体" w:cs="宋体"/>
                            </w:rPr>
                          </w:pPr>
                          <w:r>
                            <w:rPr>
                              <w:rFonts w:ascii="宋体" w:eastAsia="宋体" w:cs="宋体"/>
                            </w:rPr>
                            <w:fldChar w:fldCharType="begin"/>
                          </w:r>
                          <w:r>
                            <w:rPr>
                              <w:rFonts w:ascii="宋体" w:eastAsia="宋体" w:cs="宋体"/>
                            </w:rPr>
                            <w:instrText xml:space="preserve"> PAGE  \* MERGEFORMAT </w:instrText>
                          </w:r>
                          <w:r>
                            <w:rPr>
                              <w:rFonts w:ascii="宋体" w:eastAsia="宋体" w:cs="宋体"/>
                            </w:rPr>
                            <w:fldChar w:fldCharType="separate"/>
                          </w:r>
                          <w:r>
                            <w:rPr>
                              <w:rFonts w:ascii="宋体" w:eastAsia="宋体" w:cs="宋体"/>
                            </w:rPr>
                            <w:t>2</w:t>
                          </w:r>
                          <w:r>
                            <w:rPr>
                              <w:rFonts w:ascii="宋体" w:eastAsia="宋体" w:cs="宋体"/>
                            </w:rPr>
                            <w:fldChar w:fldCharType="end"/>
                          </w:r>
                          <w:r>
                            <w:rPr>
                              <w:rFonts w:ascii="宋体" w:eastAsia="宋体" w:cs="宋体"/>
                            </w:rPr>
                            <w:t xml:space="preserve"> / </w:t>
                          </w:r>
                          <w:r>
                            <w:rPr>
                              <w:rFonts w:ascii="宋体" w:eastAsia="宋体" w:cs="宋体"/>
                            </w:rPr>
                            <w:fldChar w:fldCharType="begin"/>
                          </w:r>
                          <w:r>
                            <w:rPr>
                              <w:rFonts w:ascii="宋体" w:eastAsia="宋体" w:cs="宋体"/>
                            </w:rPr>
                            <w:instrText xml:space="preserve"> NUMPAGES  \* MERGEFORMAT </w:instrText>
                          </w:r>
                          <w:r>
                            <w:rPr>
                              <w:rFonts w:ascii="宋体" w:eastAsia="宋体" w:cs="宋体"/>
                            </w:rPr>
                            <w:fldChar w:fldCharType="separate"/>
                          </w:r>
                          <w:r>
                            <w:rPr>
                              <w:rFonts w:ascii="宋体" w:eastAsia="宋体" w:cs="宋体"/>
                            </w:rPr>
                            <w:t>72</w:t>
                          </w:r>
                          <w:r>
                            <w:rPr>
                              <w:rFonts w:ascii="宋体" w:eastAsia="宋体" w:cs="宋体"/>
                            </w:rP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Xl8HTLAQAAnAMAAA4AAAAAAAAAAQAgAAAAHgEAAGRycy9lMm9E&#10;b2MueG1sUEsFBgAAAAAGAAYAWQEAAFsFAAAAAA==&#10;">
              <v:fill on="f" focussize="0,0"/>
              <v:stroke on="f"/>
              <v:imagedata o:title=""/>
              <o:lock v:ext="edit" aspectratio="f"/>
              <v:textbox inset="0mm,0mm,0mm,0mm" style="mso-fit-shape-to-text:t;">
                <w:txbxContent>
                  <w:p w14:paraId="0C2A84E1">
                    <w:pPr>
                      <w:pStyle w:val="28"/>
                      <w:rPr>
                        <w:rFonts w:hint="default" w:ascii="宋体" w:eastAsia="宋体" w:cs="宋体"/>
                      </w:rPr>
                    </w:pPr>
                    <w:r>
                      <w:rPr>
                        <w:rFonts w:ascii="宋体" w:eastAsia="宋体" w:cs="宋体"/>
                      </w:rPr>
                      <w:fldChar w:fldCharType="begin"/>
                    </w:r>
                    <w:r>
                      <w:rPr>
                        <w:rFonts w:ascii="宋体" w:eastAsia="宋体" w:cs="宋体"/>
                      </w:rPr>
                      <w:instrText xml:space="preserve"> PAGE  \* MERGEFORMAT </w:instrText>
                    </w:r>
                    <w:r>
                      <w:rPr>
                        <w:rFonts w:ascii="宋体" w:eastAsia="宋体" w:cs="宋体"/>
                      </w:rPr>
                      <w:fldChar w:fldCharType="separate"/>
                    </w:r>
                    <w:r>
                      <w:rPr>
                        <w:rFonts w:ascii="宋体" w:eastAsia="宋体" w:cs="宋体"/>
                      </w:rPr>
                      <w:t>2</w:t>
                    </w:r>
                    <w:r>
                      <w:rPr>
                        <w:rFonts w:ascii="宋体" w:eastAsia="宋体" w:cs="宋体"/>
                      </w:rPr>
                      <w:fldChar w:fldCharType="end"/>
                    </w:r>
                    <w:r>
                      <w:rPr>
                        <w:rFonts w:ascii="宋体" w:eastAsia="宋体" w:cs="宋体"/>
                      </w:rPr>
                      <w:t xml:space="preserve"> / </w:t>
                    </w:r>
                    <w:r>
                      <w:rPr>
                        <w:rFonts w:ascii="宋体" w:eastAsia="宋体" w:cs="宋体"/>
                      </w:rPr>
                      <w:fldChar w:fldCharType="begin"/>
                    </w:r>
                    <w:r>
                      <w:rPr>
                        <w:rFonts w:ascii="宋体" w:eastAsia="宋体" w:cs="宋体"/>
                      </w:rPr>
                      <w:instrText xml:space="preserve"> NUMPAGES  \* MERGEFORMAT </w:instrText>
                    </w:r>
                    <w:r>
                      <w:rPr>
                        <w:rFonts w:ascii="宋体" w:eastAsia="宋体" w:cs="宋体"/>
                      </w:rPr>
                      <w:fldChar w:fldCharType="separate"/>
                    </w:r>
                    <w:r>
                      <w:rPr>
                        <w:rFonts w:ascii="宋体" w:eastAsia="宋体" w:cs="宋体"/>
                      </w:rPr>
                      <w:t>72</w:t>
                    </w:r>
                    <w:r>
                      <w:rPr>
                        <w:rFonts w:ascii="宋体" w:eastAsia="宋体" w:cs="宋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CB636">
    <w:pPr>
      <w:pStyle w:val="28"/>
      <w:rPr>
        <w:rFonts w:hint="default"/>
      </w:rPr>
    </w:pPr>
    <w:r>
      <w:rPr>
        <w:rFonts w:hint="default"/>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8F1CE2">
                          <w:pPr>
                            <w:pStyle w:val="28"/>
                            <w:rPr>
                              <w:rFonts w:hint="default"/>
                            </w:rPr>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72</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3Sr8sBAACcAwAADgAAAGRycy9lMm9Eb2MueG1srVPNjtMwEL4j8Q6W&#10;79Rph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GtKHLc48MuP75efvy+/vpFl&#10;tbrJHeoD1Jh4HzA1DW/9gHsz+wGdWfigos1flEQwjv09X/srh0REfrRerdcVhgTG5gvis4fnIUJ6&#10;J70l2WhoxAGWvvLTB0hj6pySqzl/p40pQzTuLwdiZg/L3EeO2UrDfpgE7X17Rj09zr6hDledEvPe&#10;YWvzmsxGnI39bBxD1IcOqS0LLwhvjglJFG65wgg7FcahFXXTguWteHwvWQ8/1f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Pt0q/LAQAAnAMAAA4AAAAAAAAAAQAgAAAAHgEAAGRycy9lMm9E&#10;b2MueG1sUEsFBgAAAAAGAAYAWQEAAFsFAAAAAA==&#10;">
              <v:fill on="f" focussize="0,0"/>
              <v:stroke on="f"/>
              <v:imagedata o:title=""/>
              <o:lock v:ext="edit" aspectratio="f"/>
              <v:textbox inset="0mm,0mm,0mm,0mm" style="mso-fit-shape-to-text:t;">
                <w:txbxContent>
                  <w:p w14:paraId="248F1CE2">
                    <w:pPr>
                      <w:pStyle w:val="28"/>
                      <w:rPr>
                        <w:rFonts w:hint="default"/>
                      </w:rPr>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72</w:t>
                    </w:r>
                    <w:r>
                      <w:fldChar w:fldCharType="end"/>
                    </w:r>
                  </w:p>
                </w:txbxContent>
              </v:textbox>
            </v:shape>
          </w:pict>
        </mc:Fallback>
      </mc:AlternateContent>
    </w:r>
    <w:r>
      <w:rPr>
        <w:rFonts w:hint="default"/>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225C5CB6">
                          <w:pPr>
                            <w:pStyle w:val="28"/>
                            <w:rPr>
                              <w:rFonts w:hint="default" w:eastAsia="宋体"/>
                            </w:rPr>
                          </w:pPr>
                        </w:p>
                      </w:txbxContent>
                    </wps:txbx>
                    <wps:bodyPr wrap="none" lIns="0" tIns="0" rIns="0" bIns="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CfpQmzTAQAAqAMAAA4AAAAAAAAAAQAgAAAA&#10;IgEAAGRycy9lMm9Eb2MueG1sUEsFBgAAAAAGAAYAWQEAAGcFAAAAAA==&#10;">
              <v:fill on="f" focussize="0,0"/>
              <v:stroke on="f" weight="1.25pt"/>
              <v:imagedata o:title=""/>
              <o:lock v:ext="edit" aspectratio="f"/>
              <v:textbox inset="0mm,0mm,0mm,0mm" style="mso-fit-shape-to-text:t;">
                <w:txbxContent>
                  <w:p w14:paraId="225C5CB6">
                    <w:pPr>
                      <w:pStyle w:val="28"/>
                      <w:rPr>
                        <w:rFonts w:hint="default" w:eastAsia="宋体"/>
                      </w:rPr>
                    </w:pPr>
                  </w:p>
                </w:txbxContent>
              </v:textbox>
            </v:shape>
          </w:pict>
        </mc:Fallback>
      </mc:AlternateContent>
    </w:r>
    <w:r>
      <w:rPr>
        <w:b/>
        <w:sz w:val="24"/>
        <w:szCs w:val="24"/>
      </w:rPr>
      <w:t xml:space="preserve">    </w:t>
    </w:r>
  </w:p>
  <w:p w14:paraId="0004CF92">
    <w:pPr>
      <w:pStyle w:val="28"/>
      <w:ind w:firstLine="360"/>
      <w:rPr>
        <w:rFonts w:hint="default"/>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4B9C9">
    <w:pPr>
      <w:pStyle w:val="29"/>
      <w:ind w:firstLine="360"/>
    </w:pPr>
    <w:r>
      <w:rPr>
        <w:rFonts w:hint="eastAsia"/>
        <w:lang w:eastAsia="zh-CN"/>
      </w:rPr>
      <w:t>金华市博物馆邵飘萍旧居展陈提升项目</w:t>
    </w:r>
    <w:r>
      <w:rPr>
        <w:rFonts w:hint="eastAsia"/>
      </w:rP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A34EC">
    <w:pPr>
      <w:pStyle w:val="29"/>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CF5149"/>
    <w:multiLevelType w:val="singleLevel"/>
    <w:tmpl w:val="B2CF5149"/>
    <w:lvl w:ilvl="0" w:tentative="0">
      <w:start w:val="1"/>
      <w:numFmt w:val="chineseCounting"/>
      <w:suff w:val="space"/>
      <w:lvlText w:val="第%1章"/>
      <w:lvlJc w:val="left"/>
      <w:rPr>
        <w:rFonts w:hint="eastAsia"/>
      </w:rPr>
    </w:lvl>
  </w:abstractNum>
  <w:abstractNum w:abstractNumId="1">
    <w:nsid w:val="00000008"/>
    <w:multiLevelType w:val="multilevel"/>
    <w:tmpl w:val="00000008"/>
    <w:lvl w:ilvl="0" w:tentative="0">
      <w:start w:val="1"/>
      <w:numFmt w:val="decimal"/>
      <w:pStyle w:val="21"/>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2">
    <w:nsid w:val="4E0E39D0"/>
    <w:multiLevelType w:val="multilevel"/>
    <w:tmpl w:val="4E0E39D0"/>
    <w:lvl w:ilvl="0" w:tentative="0">
      <w:start w:val="1"/>
      <w:numFmt w:val="decimal"/>
      <w:pStyle w:val="161"/>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9941B27"/>
    <w:multiLevelType w:val="multilevel"/>
    <w:tmpl w:val="59941B27"/>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pStyle w:val="182"/>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684D167E"/>
    <w:multiLevelType w:val="multilevel"/>
    <w:tmpl w:val="684D167E"/>
    <w:lvl w:ilvl="0" w:tentative="0">
      <w:start w:val="1"/>
      <w:numFmt w:val="chineseCountingThousand"/>
      <w:lvlText w:val="%1、"/>
      <w:lvlJc w:val="left"/>
      <w:pPr>
        <w:tabs>
          <w:tab w:val="left" w:pos="792"/>
        </w:tabs>
        <w:ind w:left="144" w:hanging="144"/>
      </w:pPr>
      <w:rPr>
        <w:rFonts w:hint="eastAsia"/>
        <w:b/>
        <w:i w:val="0"/>
        <w:sz w:val="28"/>
        <w:szCs w:val="28"/>
      </w:rPr>
    </w:lvl>
    <w:lvl w:ilvl="1" w:tentative="0">
      <w:start w:val="1"/>
      <w:numFmt w:val="decimal"/>
      <w:isLgl/>
      <w:lvlText w:val="%1.%2"/>
      <w:lvlJc w:val="left"/>
      <w:pPr>
        <w:tabs>
          <w:tab w:val="left" w:pos="576"/>
        </w:tabs>
        <w:ind w:left="576" w:hanging="576"/>
      </w:pPr>
      <w:rPr>
        <w:rFonts w:hint="eastAsia" w:eastAsia="宋体"/>
        <w:b/>
        <w:i w:val="0"/>
        <w:sz w:val="28"/>
        <w:szCs w:val="28"/>
      </w:rPr>
    </w:lvl>
    <w:lvl w:ilvl="2" w:tentative="0">
      <w:start w:val="1"/>
      <w:numFmt w:val="decimal"/>
      <w:isLgl/>
      <w:lvlText w:val="%1.%2.%3"/>
      <w:lvlJc w:val="left"/>
      <w:pPr>
        <w:tabs>
          <w:tab w:val="left" w:pos="720"/>
        </w:tabs>
        <w:ind w:left="720" w:hanging="720"/>
      </w:pPr>
      <w:rPr>
        <w:rFonts w:hint="eastAsia" w:eastAsia="宋体"/>
        <w:b/>
        <w:i w:val="0"/>
        <w:sz w:val="24"/>
        <w:szCs w:val="24"/>
      </w:rPr>
    </w:lvl>
    <w:lvl w:ilvl="3" w:tentative="0">
      <w:start w:val="1"/>
      <w:numFmt w:val="decimal"/>
      <w:pStyle w:val="171"/>
      <w:lvlText w:val="（%4）"/>
      <w:lvlJc w:val="left"/>
      <w:pPr>
        <w:tabs>
          <w:tab w:val="left" w:pos="0"/>
        </w:tabs>
        <w:ind w:left="0" w:firstLine="0"/>
      </w:pPr>
      <w:rPr>
        <w:rFonts w:hint="default" w:eastAsia="宋体"/>
        <w:b/>
        <w:i w:val="0"/>
        <w:sz w:val="24"/>
        <w:szCs w:val="24"/>
      </w:rPr>
    </w:lvl>
    <w:lvl w:ilvl="4" w:tentative="0">
      <w:start w:val="1"/>
      <w:numFmt w:val="decimal"/>
      <w:isLgl/>
      <w:lvlText w:val="（%5）"/>
      <w:lvlJc w:val="left"/>
      <w:pPr>
        <w:tabs>
          <w:tab w:val="left" w:pos="0"/>
        </w:tabs>
        <w:ind w:left="0" w:firstLine="0"/>
      </w:pPr>
      <w:rPr>
        <w:rFonts w:hint="eastAsia"/>
      </w:rPr>
    </w:lvl>
    <w:lvl w:ilvl="5" w:tentative="0">
      <w:start w:val="1"/>
      <w:numFmt w:val="upperLetter"/>
      <w:lvlText w:val="%6."/>
      <w:lvlJc w:val="left"/>
      <w:pPr>
        <w:tabs>
          <w:tab w:val="left" w:pos="0"/>
        </w:tabs>
        <w:ind w:left="0" w:firstLine="0"/>
      </w:pPr>
      <w:rPr>
        <w:rFonts w:hint="eastAsia"/>
      </w:rPr>
    </w:lvl>
    <w:lvl w:ilvl="6" w:tentative="0">
      <w:start w:val="1"/>
      <w:numFmt w:val="bullet"/>
      <w:lvlText w:val=""/>
      <w:lvlJc w:val="left"/>
      <w:pPr>
        <w:tabs>
          <w:tab w:val="left" w:pos="0"/>
        </w:tabs>
        <w:ind w:left="0" w:firstLine="0"/>
      </w:pPr>
      <w:rPr>
        <w:rFonts w:hint="default" w:ascii="Symbol" w:hAnsi="Symbol" w:cs="Times New Roman"/>
        <w:color w:val="auto"/>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5">
    <w:nsid w:val="705E1DDF"/>
    <w:multiLevelType w:val="multilevel"/>
    <w:tmpl w:val="705E1DDF"/>
    <w:lvl w:ilvl="0" w:tentative="0">
      <w:start w:val="1"/>
      <w:numFmt w:val="chineseCountingThousand"/>
      <w:pStyle w:val="172"/>
      <w:lvlText w:val="(%1)"/>
      <w:lvlJc w:val="left"/>
      <w:pPr>
        <w:ind w:left="1000" w:hanging="420"/>
      </w:pPr>
      <w:rPr>
        <w:rFonts w:ascii="宋体" w:hAnsi="宋体" w:eastAsia="宋体"/>
      </w:rPr>
    </w:lvl>
    <w:lvl w:ilvl="1" w:tentative="0">
      <w:start w:val="1"/>
      <w:numFmt w:val="lowerLetter"/>
      <w:lvlText w:val="%2)"/>
      <w:lvlJc w:val="left"/>
      <w:pPr>
        <w:ind w:left="1420" w:hanging="420"/>
      </w:pPr>
    </w:lvl>
    <w:lvl w:ilvl="2" w:tentative="0">
      <w:start w:val="1"/>
      <w:numFmt w:val="lowerRoman"/>
      <w:lvlText w:val="%3."/>
      <w:lvlJc w:val="right"/>
      <w:pPr>
        <w:ind w:left="1840" w:hanging="420"/>
      </w:pPr>
    </w:lvl>
    <w:lvl w:ilvl="3" w:tentative="0">
      <w:start w:val="1"/>
      <w:numFmt w:val="decimal"/>
      <w:lvlText w:val="%4."/>
      <w:lvlJc w:val="left"/>
      <w:pPr>
        <w:ind w:left="2260" w:hanging="420"/>
      </w:pPr>
    </w:lvl>
    <w:lvl w:ilvl="4" w:tentative="0">
      <w:start w:val="1"/>
      <w:numFmt w:val="lowerLetter"/>
      <w:lvlText w:val="%5)"/>
      <w:lvlJc w:val="left"/>
      <w:pPr>
        <w:ind w:left="2680" w:hanging="420"/>
      </w:pPr>
    </w:lvl>
    <w:lvl w:ilvl="5" w:tentative="0">
      <w:start w:val="1"/>
      <w:numFmt w:val="lowerRoman"/>
      <w:lvlText w:val="%6."/>
      <w:lvlJc w:val="right"/>
      <w:pPr>
        <w:ind w:left="3100" w:hanging="420"/>
      </w:pPr>
    </w:lvl>
    <w:lvl w:ilvl="6" w:tentative="0">
      <w:start w:val="1"/>
      <w:numFmt w:val="decimal"/>
      <w:lvlText w:val="%7."/>
      <w:lvlJc w:val="left"/>
      <w:pPr>
        <w:ind w:left="3520" w:hanging="420"/>
      </w:pPr>
    </w:lvl>
    <w:lvl w:ilvl="7" w:tentative="0">
      <w:start w:val="1"/>
      <w:numFmt w:val="lowerLetter"/>
      <w:lvlText w:val="%8)"/>
      <w:lvlJc w:val="left"/>
      <w:pPr>
        <w:ind w:left="3940" w:hanging="420"/>
      </w:pPr>
    </w:lvl>
    <w:lvl w:ilvl="8" w:tentative="0">
      <w:start w:val="1"/>
      <w:numFmt w:val="lowerRoman"/>
      <w:lvlText w:val="%9."/>
      <w:lvlJc w:val="right"/>
      <w:pPr>
        <w:ind w:left="4360" w:hanging="420"/>
      </w:pPr>
    </w:lvl>
  </w:abstractNum>
  <w:abstractNum w:abstractNumId="6">
    <w:nsid w:val="7858DBAB"/>
    <w:multiLevelType w:val="singleLevel"/>
    <w:tmpl w:val="7858DBAB"/>
    <w:lvl w:ilvl="0" w:tentative="0">
      <w:start w:val="6"/>
      <w:numFmt w:val="chineseCounting"/>
      <w:suff w:val="nothing"/>
      <w:lvlText w:val="（%1）"/>
      <w:lvlJc w:val="left"/>
      <w:rPr>
        <w:rFonts w:hint="eastAsia"/>
      </w:rPr>
    </w:lvl>
  </w:abstractNum>
  <w:num w:numId="1">
    <w:abstractNumId w:val="1"/>
  </w:num>
  <w:num w:numId="2">
    <w:abstractNumId w:val="2"/>
  </w:num>
  <w:num w:numId="3">
    <w:abstractNumId w:val="4"/>
  </w:num>
  <w:num w:numId="4">
    <w:abstractNumId w:val="5"/>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0"/>
  <w:drawingGridVerticalSpacing w:val="157"/>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xNjM0NmNlZGU1MjJmMDJhMjZiNzVlMGMyMWQwOWUifQ=="/>
  </w:docVars>
  <w:rsids>
    <w:rsidRoot w:val="00172A27"/>
    <w:rsid w:val="00001595"/>
    <w:rsid w:val="000031DA"/>
    <w:rsid w:val="000036DC"/>
    <w:rsid w:val="000040DF"/>
    <w:rsid w:val="00006FB1"/>
    <w:rsid w:val="0001007C"/>
    <w:rsid w:val="000126CF"/>
    <w:rsid w:val="000130DC"/>
    <w:rsid w:val="0001358F"/>
    <w:rsid w:val="00013FE3"/>
    <w:rsid w:val="0002002D"/>
    <w:rsid w:val="000206AE"/>
    <w:rsid w:val="00020FEE"/>
    <w:rsid w:val="0002148E"/>
    <w:rsid w:val="000235B6"/>
    <w:rsid w:val="000255EF"/>
    <w:rsid w:val="00030EAB"/>
    <w:rsid w:val="00031002"/>
    <w:rsid w:val="00032387"/>
    <w:rsid w:val="000326A0"/>
    <w:rsid w:val="00035D37"/>
    <w:rsid w:val="000360B4"/>
    <w:rsid w:val="00040F09"/>
    <w:rsid w:val="00044EF2"/>
    <w:rsid w:val="000466E6"/>
    <w:rsid w:val="00051B2E"/>
    <w:rsid w:val="0005431B"/>
    <w:rsid w:val="00056072"/>
    <w:rsid w:val="00057F83"/>
    <w:rsid w:val="000629C1"/>
    <w:rsid w:val="00065B21"/>
    <w:rsid w:val="00066EBC"/>
    <w:rsid w:val="00067D95"/>
    <w:rsid w:val="0007285A"/>
    <w:rsid w:val="000729BE"/>
    <w:rsid w:val="0007329C"/>
    <w:rsid w:val="00074168"/>
    <w:rsid w:val="000741EA"/>
    <w:rsid w:val="0007756E"/>
    <w:rsid w:val="00080687"/>
    <w:rsid w:val="00080F6C"/>
    <w:rsid w:val="00081513"/>
    <w:rsid w:val="000840AA"/>
    <w:rsid w:val="00084C78"/>
    <w:rsid w:val="00085758"/>
    <w:rsid w:val="00086B37"/>
    <w:rsid w:val="00087131"/>
    <w:rsid w:val="0009567E"/>
    <w:rsid w:val="0009644F"/>
    <w:rsid w:val="000A029B"/>
    <w:rsid w:val="000A06E7"/>
    <w:rsid w:val="000A0F56"/>
    <w:rsid w:val="000A1546"/>
    <w:rsid w:val="000A1A69"/>
    <w:rsid w:val="000A45F3"/>
    <w:rsid w:val="000A51C1"/>
    <w:rsid w:val="000A6D12"/>
    <w:rsid w:val="000A6E18"/>
    <w:rsid w:val="000A7C2F"/>
    <w:rsid w:val="000B16BB"/>
    <w:rsid w:val="000B2EDE"/>
    <w:rsid w:val="000B32FC"/>
    <w:rsid w:val="000B5BEC"/>
    <w:rsid w:val="000B70C3"/>
    <w:rsid w:val="000B7957"/>
    <w:rsid w:val="000C1870"/>
    <w:rsid w:val="000C20E2"/>
    <w:rsid w:val="000C2263"/>
    <w:rsid w:val="000C24F5"/>
    <w:rsid w:val="000C3467"/>
    <w:rsid w:val="000C37F1"/>
    <w:rsid w:val="000C73D7"/>
    <w:rsid w:val="000C7F11"/>
    <w:rsid w:val="000D0186"/>
    <w:rsid w:val="000D1335"/>
    <w:rsid w:val="000D1704"/>
    <w:rsid w:val="000D3737"/>
    <w:rsid w:val="000D60EA"/>
    <w:rsid w:val="000E118E"/>
    <w:rsid w:val="000E3340"/>
    <w:rsid w:val="000E3AB7"/>
    <w:rsid w:val="000E792C"/>
    <w:rsid w:val="000F0002"/>
    <w:rsid w:val="000F2D63"/>
    <w:rsid w:val="000F4A83"/>
    <w:rsid w:val="000F5C70"/>
    <w:rsid w:val="000F6073"/>
    <w:rsid w:val="00102F29"/>
    <w:rsid w:val="0010300F"/>
    <w:rsid w:val="00103571"/>
    <w:rsid w:val="00111F7C"/>
    <w:rsid w:val="00112E78"/>
    <w:rsid w:val="00113DE3"/>
    <w:rsid w:val="0011507F"/>
    <w:rsid w:val="0011771C"/>
    <w:rsid w:val="001178E1"/>
    <w:rsid w:val="00121C42"/>
    <w:rsid w:val="00122653"/>
    <w:rsid w:val="00125910"/>
    <w:rsid w:val="00125A6D"/>
    <w:rsid w:val="0012606B"/>
    <w:rsid w:val="00126A19"/>
    <w:rsid w:val="00130D9C"/>
    <w:rsid w:val="00131371"/>
    <w:rsid w:val="00131DF6"/>
    <w:rsid w:val="001328AE"/>
    <w:rsid w:val="00133073"/>
    <w:rsid w:val="00135587"/>
    <w:rsid w:val="00136080"/>
    <w:rsid w:val="00137CF4"/>
    <w:rsid w:val="00140C6B"/>
    <w:rsid w:val="00141EBA"/>
    <w:rsid w:val="00144B7B"/>
    <w:rsid w:val="00144E77"/>
    <w:rsid w:val="00146700"/>
    <w:rsid w:val="00146FA3"/>
    <w:rsid w:val="00150DE2"/>
    <w:rsid w:val="0015232B"/>
    <w:rsid w:val="001524B1"/>
    <w:rsid w:val="001536A8"/>
    <w:rsid w:val="001536C7"/>
    <w:rsid w:val="001543E7"/>
    <w:rsid w:val="00154CAA"/>
    <w:rsid w:val="00155481"/>
    <w:rsid w:val="00155A74"/>
    <w:rsid w:val="00155C51"/>
    <w:rsid w:val="00156BC8"/>
    <w:rsid w:val="00157F4A"/>
    <w:rsid w:val="0016030C"/>
    <w:rsid w:val="001616C0"/>
    <w:rsid w:val="0016247F"/>
    <w:rsid w:val="00164BEA"/>
    <w:rsid w:val="0016745F"/>
    <w:rsid w:val="00167477"/>
    <w:rsid w:val="001700F4"/>
    <w:rsid w:val="00171D9B"/>
    <w:rsid w:val="00172A27"/>
    <w:rsid w:val="0017448A"/>
    <w:rsid w:val="00174576"/>
    <w:rsid w:val="001760F6"/>
    <w:rsid w:val="0018099E"/>
    <w:rsid w:val="00180A3E"/>
    <w:rsid w:val="00183532"/>
    <w:rsid w:val="0018761F"/>
    <w:rsid w:val="00194170"/>
    <w:rsid w:val="00196217"/>
    <w:rsid w:val="001A0460"/>
    <w:rsid w:val="001A1D68"/>
    <w:rsid w:val="001A471C"/>
    <w:rsid w:val="001A5E10"/>
    <w:rsid w:val="001A6D27"/>
    <w:rsid w:val="001B322D"/>
    <w:rsid w:val="001B5FAC"/>
    <w:rsid w:val="001B7664"/>
    <w:rsid w:val="001C0064"/>
    <w:rsid w:val="001C1B37"/>
    <w:rsid w:val="001C5D90"/>
    <w:rsid w:val="001D2EE0"/>
    <w:rsid w:val="001D3BB2"/>
    <w:rsid w:val="001D3C16"/>
    <w:rsid w:val="001D3DFF"/>
    <w:rsid w:val="001D6E90"/>
    <w:rsid w:val="001E06D8"/>
    <w:rsid w:val="001E10CF"/>
    <w:rsid w:val="001E3852"/>
    <w:rsid w:val="001E3C28"/>
    <w:rsid w:val="001E4332"/>
    <w:rsid w:val="001E5E6B"/>
    <w:rsid w:val="001E651A"/>
    <w:rsid w:val="001E6CF0"/>
    <w:rsid w:val="001E7FDE"/>
    <w:rsid w:val="001F3E56"/>
    <w:rsid w:val="001F4542"/>
    <w:rsid w:val="001F5409"/>
    <w:rsid w:val="001F5482"/>
    <w:rsid w:val="001F5DF2"/>
    <w:rsid w:val="001F78CC"/>
    <w:rsid w:val="001F7F8F"/>
    <w:rsid w:val="0020039D"/>
    <w:rsid w:val="00201E8D"/>
    <w:rsid w:val="0020408A"/>
    <w:rsid w:val="0020491E"/>
    <w:rsid w:val="00205853"/>
    <w:rsid w:val="002070BD"/>
    <w:rsid w:val="00207FD8"/>
    <w:rsid w:val="002108F1"/>
    <w:rsid w:val="0021201C"/>
    <w:rsid w:val="00212B88"/>
    <w:rsid w:val="00213FAB"/>
    <w:rsid w:val="00214FF9"/>
    <w:rsid w:val="00215C8E"/>
    <w:rsid w:val="00215F73"/>
    <w:rsid w:val="00216FCB"/>
    <w:rsid w:val="00220BBA"/>
    <w:rsid w:val="002232D3"/>
    <w:rsid w:val="00233F98"/>
    <w:rsid w:val="00236292"/>
    <w:rsid w:val="00237A6E"/>
    <w:rsid w:val="00237B77"/>
    <w:rsid w:val="00242BD2"/>
    <w:rsid w:val="0024337D"/>
    <w:rsid w:val="00244E71"/>
    <w:rsid w:val="002450F8"/>
    <w:rsid w:val="002451B6"/>
    <w:rsid w:val="0024632F"/>
    <w:rsid w:val="002472CD"/>
    <w:rsid w:val="00247708"/>
    <w:rsid w:val="002513DA"/>
    <w:rsid w:val="002516AA"/>
    <w:rsid w:val="0025525A"/>
    <w:rsid w:val="002560B9"/>
    <w:rsid w:val="00261E94"/>
    <w:rsid w:val="00262531"/>
    <w:rsid w:val="00263CE5"/>
    <w:rsid w:val="00264876"/>
    <w:rsid w:val="0026492E"/>
    <w:rsid w:val="00264B75"/>
    <w:rsid w:val="00264F47"/>
    <w:rsid w:val="00270CC4"/>
    <w:rsid w:val="002711D4"/>
    <w:rsid w:val="00272836"/>
    <w:rsid w:val="0027359B"/>
    <w:rsid w:val="002764C7"/>
    <w:rsid w:val="00281FDA"/>
    <w:rsid w:val="00282E1D"/>
    <w:rsid w:val="0028711D"/>
    <w:rsid w:val="00290318"/>
    <w:rsid w:val="002915EF"/>
    <w:rsid w:val="002936C2"/>
    <w:rsid w:val="00293F78"/>
    <w:rsid w:val="002951DD"/>
    <w:rsid w:val="002A1EB3"/>
    <w:rsid w:val="002A2B35"/>
    <w:rsid w:val="002A2F02"/>
    <w:rsid w:val="002A480A"/>
    <w:rsid w:val="002A4EDE"/>
    <w:rsid w:val="002B4455"/>
    <w:rsid w:val="002C0804"/>
    <w:rsid w:val="002C1A77"/>
    <w:rsid w:val="002C47AF"/>
    <w:rsid w:val="002C4F9A"/>
    <w:rsid w:val="002D0622"/>
    <w:rsid w:val="002D06DA"/>
    <w:rsid w:val="002D2713"/>
    <w:rsid w:val="002D486F"/>
    <w:rsid w:val="002E09C1"/>
    <w:rsid w:val="002E0F21"/>
    <w:rsid w:val="002E2641"/>
    <w:rsid w:val="002F0118"/>
    <w:rsid w:val="002F2129"/>
    <w:rsid w:val="002F66E6"/>
    <w:rsid w:val="003009C2"/>
    <w:rsid w:val="00302729"/>
    <w:rsid w:val="00303F77"/>
    <w:rsid w:val="00304611"/>
    <w:rsid w:val="00305A20"/>
    <w:rsid w:val="00311A5F"/>
    <w:rsid w:val="0031283E"/>
    <w:rsid w:val="00312B94"/>
    <w:rsid w:val="00316405"/>
    <w:rsid w:val="00317B28"/>
    <w:rsid w:val="00320D77"/>
    <w:rsid w:val="00321AAE"/>
    <w:rsid w:val="003226E2"/>
    <w:rsid w:val="0032278A"/>
    <w:rsid w:val="00325A4D"/>
    <w:rsid w:val="00325DAA"/>
    <w:rsid w:val="00326CF7"/>
    <w:rsid w:val="00327582"/>
    <w:rsid w:val="0033048E"/>
    <w:rsid w:val="00330BF1"/>
    <w:rsid w:val="003314B8"/>
    <w:rsid w:val="00332B86"/>
    <w:rsid w:val="003360A1"/>
    <w:rsid w:val="003376E3"/>
    <w:rsid w:val="00341492"/>
    <w:rsid w:val="00342464"/>
    <w:rsid w:val="00344BCC"/>
    <w:rsid w:val="003464D2"/>
    <w:rsid w:val="00346D6C"/>
    <w:rsid w:val="00350711"/>
    <w:rsid w:val="00352BC2"/>
    <w:rsid w:val="00354354"/>
    <w:rsid w:val="003558B9"/>
    <w:rsid w:val="003576BD"/>
    <w:rsid w:val="0036091A"/>
    <w:rsid w:val="0036298C"/>
    <w:rsid w:val="0036433A"/>
    <w:rsid w:val="00365FC2"/>
    <w:rsid w:val="00365FD3"/>
    <w:rsid w:val="003713A5"/>
    <w:rsid w:val="00373C8E"/>
    <w:rsid w:val="003756CE"/>
    <w:rsid w:val="00376A2C"/>
    <w:rsid w:val="003805AE"/>
    <w:rsid w:val="003805F5"/>
    <w:rsid w:val="0038225B"/>
    <w:rsid w:val="0038369B"/>
    <w:rsid w:val="00391950"/>
    <w:rsid w:val="003930E6"/>
    <w:rsid w:val="00394439"/>
    <w:rsid w:val="00395960"/>
    <w:rsid w:val="00395C1B"/>
    <w:rsid w:val="003A185D"/>
    <w:rsid w:val="003A3096"/>
    <w:rsid w:val="003A42F9"/>
    <w:rsid w:val="003A50D5"/>
    <w:rsid w:val="003A71B4"/>
    <w:rsid w:val="003A7C66"/>
    <w:rsid w:val="003B03E0"/>
    <w:rsid w:val="003B1529"/>
    <w:rsid w:val="003B3737"/>
    <w:rsid w:val="003B429D"/>
    <w:rsid w:val="003B679A"/>
    <w:rsid w:val="003C03DF"/>
    <w:rsid w:val="003C3061"/>
    <w:rsid w:val="003C54E6"/>
    <w:rsid w:val="003C5BDB"/>
    <w:rsid w:val="003D41AC"/>
    <w:rsid w:val="003E31C2"/>
    <w:rsid w:val="003E428C"/>
    <w:rsid w:val="003E63C3"/>
    <w:rsid w:val="003E6565"/>
    <w:rsid w:val="003E6D5D"/>
    <w:rsid w:val="003E73C9"/>
    <w:rsid w:val="003E782B"/>
    <w:rsid w:val="003E7F26"/>
    <w:rsid w:val="003F05D6"/>
    <w:rsid w:val="003F181A"/>
    <w:rsid w:val="003F2C1C"/>
    <w:rsid w:val="003F39D1"/>
    <w:rsid w:val="003F3F28"/>
    <w:rsid w:val="003F4BC7"/>
    <w:rsid w:val="003F4F74"/>
    <w:rsid w:val="003F5235"/>
    <w:rsid w:val="00400D48"/>
    <w:rsid w:val="00400EC1"/>
    <w:rsid w:val="00401399"/>
    <w:rsid w:val="00401707"/>
    <w:rsid w:val="004039C4"/>
    <w:rsid w:val="004048A6"/>
    <w:rsid w:val="004050B2"/>
    <w:rsid w:val="00407447"/>
    <w:rsid w:val="00413B66"/>
    <w:rsid w:val="004140AD"/>
    <w:rsid w:val="00420836"/>
    <w:rsid w:val="00421498"/>
    <w:rsid w:val="00421CD7"/>
    <w:rsid w:val="00422056"/>
    <w:rsid w:val="004228E9"/>
    <w:rsid w:val="004231E0"/>
    <w:rsid w:val="004238B7"/>
    <w:rsid w:val="00424761"/>
    <w:rsid w:val="00426B44"/>
    <w:rsid w:val="00431455"/>
    <w:rsid w:val="00431607"/>
    <w:rsid w:val="00431EAE"/>
    <w:rsid w:val="004326DC"/>
    <w:rsid w:val="004354C5"/>
    <w:rsid w:val="00437BD2"/>
    <w:rsid w:val="004429F2"/>
    <w:rsid w:val="00442C9F"/>
    <w:rsid w:val="004430A7"/>
    <w:rsid w:val="00443AF6"/>
    <w:rsid w:val="00446CE2"/>
    <w:rsid w:val="004473DF"/>
    <w:rsid w:val="0044766F"/>
    <w:rsid w:val="00453131"/>
    <w:rsid w:val="00454946"/>
    <w:rsid w:val="00456E7F"/>
    <w:rsid w:val="00460A36"/>
    <w:rsid w:val="00461206"/>
    <w:rsid w:val="004616C8"/>
    <w:rsid w:val="00462806"/>
    <w:rsid w:val="00470F67"/>
    <w:rsid w:val="00474D62"/>
    <w:rsid w:val="00475C3D"/>
    <w:rsid w:val="00477074"/>
    <w:rsid w:val="00477F2A"/>
    <w:rsid w:val="00484594"/>
    <w:rsid w:val="00486370"/>
    <w:rsid w:val="00487511"/>
    <w:rsid w:val="00496E94"/>
    <w:rsid w:val="004A2C12"/>
    <w:rsid w:val="004A321A"/>
    <w:rsid w:val="004A41EE"/>
    <w:rsid w:val="004A458E"/>
    <w:rsid w:val="004A49B7"/>
    <w:rsid w:val="004A6AEE"/>
    <w:rsid w:val="004A7ABE"/>
    <w:rsid w:val="004B26A4"/>
    <w:rsid w:val="004B26F0"/>
    <w:rsid w:val="004B27C9"/>
    <w:rsid w:val="004C2C04"/>
    <w:rsid w:val="004C3A3F"/>
    <w:rsid w:val="004C4AE1"/>
    <w:rsid w:val="004C5734"/>
    <w:rsid w:val="004C5C20"/>
    <w:rsid w:val="004C7B3B"/>
    <w:rsid w:val="004D0BB2"/>
    <w:rsid w:val="004D1779"/>
    <w:rsid w:val="004D313C"/>
    <w:rsid w:val="004D35F1"/>
    <w:rsid w:val="004E101E"/>
    <w:rsid w:val="004E1A52"/>
    <w:rsid w:val="004E3A41"/>
    <w:rsid w:val="004E6113"/>
    <w:rsid w:val="004F1A09"/>
    <w:rsid w:val="004F2636"/>
    <w:rsid w:val="004F3359"/>
    <w:rsid w:val="004F4091"/>
    <w:rsid w:val="004F467D"/>
    <w:rsid w:val="004F6DC3"/>
    <w:rsid w:val="004F713B"/>
    <w:rsid w:val="0050062F"/>
    <w:rsid w:val="00501D2C"/>
    <w:rsid w:val="005048B1"/>
    <w:rsid w:val="0050509A"/>
    <w:rsid w:val="005060FD"/>
    <w:rsid w:val="00507DB8"/>
    <w:rsid w:val="00510B2A"/>
    <w:rsid w:val="00510F01"/>
    <w:rsid w:val="00511F3F"/>
    <w:rsid w:val="005123F1"/>
    <w:rsid w:val="005140F2"/>
    <w:rsid w:val="005155DB"/>
    <w:rsid w:val="005174DB"/>
    <w:rsid w:val="005175F7"/>
    <w:rsid w:val="00522102"/>
    <w:rsid w:val="00522E8A"/>
    <w:rsid w:val="00523BA7"/>
    <w:rsid w:val="00524329"/>
    <w:rsid w:val="00525C74"/>
    <w:rsid w:val="0053033C"/>
    <w:rsid w:val="00530363"/>
    <w:rsid w:val="00532BD7"/>
    <w:rsid w:val="005344DA"/>
    <w:rsid w:val="005367BA"/>
    <w:rsid w:val="0053699C"/>
    <w:rsid w:val="00540677"/>
    <w:rsid w:val="00541F26"/>
    <w:rsid w:val="00543A17"/>
    <w:rsid w:val="00545423"/>
    <w:rsid w:val="00545522"/>
    <w:rsid w:val="00550079"/>
    <w:rsid w:val="005507BD"/>
    <w:rsid w:val="00551C9F"/>
    <w:rsid w:val="00551E9E"/>
    <w:rsid w:val="005528F7"/>
    <w:rsid w:val="005536BE"/>
    <w:rsid w:val="00554753"/>
    <w:rsid w:val="00554EE1"/>
    <w:rsid w:val="00556450"/>
    <w:rsid w:val="0055656E"/>
    <w:rsid w:val="005619C2"/>
    <w:rsid w:val="00563669"/>
    <w:rsid w:val="00563E16"/>
    <w:rsid w:val="00566DAD"/>
    <w:rsid w:val="00570047"/>
    <w:rsid w:val="00570725"/>
    <w:rsid w:val="00574F1B"/>
    <w:rsid w:val="0057530E"/>
    <w:rsid w:val="0057537A"/>
    <w:rsid w:val="005803E7"/>
    <w:rsid w:val="00581048"/>
    <w:rsid w:val="00582090"/>
    <w:rsid w:val="005821CB"/>
    <w:rsid w:val="005825D9"/>
    <w:rsid w:val="00582A6D"/>
    <w:rsid w:val="00582FC4"/>
    <w:rsid w:val="00582FD2"/>
    <w:rsid w:val="00583699"/>
    <w:rsid w:val="00583B35"/>
    <w:rsid w:val="00585D95"/>
    <w:rsid w:val="00586D61"/>
    <w:rsid w:val="005905B0"/>
    <w:rsid w:val="00593FF6"/>
    <w:rsid w:val="005948C2"/>
    <w:rsid w:val="00594EB7"/>
    <w:rsid w:val="00597351"/>
    <w:rsid w:val="005A14DA"/>
    <w:rsid w:val="005A2D9C"/>
    <w:rsid w:val="005A3549"/>
    <w:rsid w:val="005A5219"/>
    <w:rsid w:val="005A521E"/>
    <w:rsid w:val="005A52BE"/>
    <w:rsid w:val="005A5907"/>
    <w:rsid w:val="005B281D"/>
    <w:rsid w:val="005B36B2"/>
    <w:rsid w:val="005B50F1"/>
    <w:rsid w:val="005B7B0E"/>
    <w:rsid w:val="005C11F4"/>
    <w:rsid w:val="005C1AEF"/>
    <w:rsid w:val="005C1B15"/>
    <w:rsid w:val="005C5276"/>
    <w:rsid w:val="005D06A6"/>
    <w:rsid w:val="005D1E2A"/>
    <w:rsid w:val="005D32BB"/>
    <w:rsid w:val="005D5ADD"/>
    <w:rsid w:val="005D70C8"/>
    <w:rsid w:val="005D782E"/>
    <w:rsid w:val="005E0252"/>
    <w:rsid w:val="005E36D5"/>
    <w:rsid w:val="005E5A2E"/>
    <w:rsid w:val="005F10F6"/>
    <w:rsid w:val="005F431D"/>
    <w:rsid w:val="005F46AE"/>
    <w:rsid w:val="005F5882"/>
    <w:rsid w:val="005F6893"/>
    <w:rsid w:val="00600941"/>
    <w:rsid w:val="00601433"/>
    <w:rsid w:val="00602E41"/>
    <w:rsid w:val="006030DA"/>
    <w:rsid w:val="00607131"/>
    <w:rsid w:val="00611D60"/>
    <w:rsid w:val="00614DFE"/>
    <w:rsid w:val="006326D7"/>
    <w:rsid w:val="0063395C"/>
    <w:rsid w:val="00633DF5"/>
    <w:rsid w:val="00634975"/>
    <w:rsid w:val="00634DD2"/>
    <w:rsid w:val="006366FA"/>
    <w:rsid w:val="006408F0"/>
    <w:rsid w:val="0064133F"/>
    <w:rsid w:val="006428FC"/>
    <w:rsid w:val="006437B2"/>
    <w:rsid w:val="00645445"/>
    <w:rsid w:val="006475CE"/>
    <w:rsid w:val="00647896"/>
    <w:rsid w:val="006504E3"/>
    <w:rsid w:val="006505CB"/>
    <w:rsid w:val="0065109B"/>
    <w:rsid w:val="006513CF"/>
    <w:rsid w:val="006549CD"/>
    <w:rsid w:val="00656A01"/>
    <w:rsid w:val="00656FA7"/>
    <w:rsid w:val="00661243"/>
    <w:rsid w:val="006617E9"/>
    <w:rsid w:val="006642F8"/>
    <w:rsid w:val="0066498D"/>
    <w:rsid w:val="0066545D"/>
    <w:rsid w:val="00666B11"/>
    <w:rsid w:val="006679F3"/>
    <w:rsid w:val="0067381E"/>
    <w:rsid w:val="00677E78"/>
    <w:rsid w:val="00680B0B"/>
    <w:rsid w:val="00681198"/>
    <w:rsid w:val="006836D3"/>
    <w:rsid w:val="00683EF1"/>
    <w:rsid w:val="006859AD"/>
    <w:rsid w:val="00685C42"/>
    <w:rsid w:val="006908AA"/>
    <w:rsid w:val="006971DD"/>
    <w:rsid w:val="006A20C4"/>
    <w:rsid w:val="006A3DF0"/>
    <w:rsid w:val="006A4F9A"/>
    <w:rsid w:val="006A6232"/>
    <w:rsid w:val="006A6400"/>
    <w:rsid w:val="006A6560"/>
    <w:rsid w:val="006A710F"/>
    <w:rsid w:val="006A7BA4"/>
    <w:rsid w:val="006B01E8"/>
    <w:rsid w:val="006B49D1"/>
    <w:rsid w:val="006B4A57"/>
    <w:rsid w:val="006B4D00"/>
    <w:rsid w:val="006B513F"/>
    <w:rsid w:val="006B7AE2"/>
    <w:rsid w:val="006B7BC0"/>
    <w:rsid w:val="006C2B33"/>
    <w:rsid w:val="006C4CF5"/>
    <w:rsid w:val="006C4CF6"/>
    <w:rsid w:val="006D3844"/>
    <w:rsid w:val="006D7419"/>
    <w:rsid w:val="006E0738"/>
    <w:rsid w:val="006E16E2"/>
    <w:rsid w:val="006E3089"/>
    <w:rsid w:val="006E30B5"/>
    <w:rsid w:val="006E30E6"/>
    <w:rsid w:val="006E5236"/>
    <w:rsid w:val="006E5B42"/>
    <w:rsid w:val="006E668D"/>
    <w:rsid w:val="006F0B2E"/>
    <w:rsid w:val="006F0E54"/>
    <w:rsid w:val="006F3D8A"/>
    <w:rsid w:val="006F3DA3"/>
    <w:rsid w:val="006F45D8"/>
    <w:rsid w:val="006F5D15"/>
    <w:rsid w:val="006F6C5D"/>
    <w:rsid w:val="006F6CBF"/>
    <w:rsid w:val="007001E8"/>
    <w:rsid w:val="00701BE9"/>
    <w:rsid w:val="00702870"/>
    <w:rsid w:val="00704057"/>
    <w:rsid w:val="0070502C"/>
    <w:rsid w:val="00706317"/>
    <w:rsid w:val="00707FF6"/>
    <w:rsid w:val="00716EE3"/>
    <w:rsid w:val="00717EA2"/>
    <w:rsid w:val="007208BF"/>
    <w:rsid w:val="007232B9"/>
    <w:rsid w:val="00723508"/>
    <w:rsid w:val="00725E1E"/>
    <w:rsid w:val="00725FD1"/>
    <w:rsid w:val="00740043"/>
    <w:rsid w:val="0074104E"/>
    <w:rsid w:val="007411AE"/>
    <w:rsid w:val="007420E9"/>
    <w:rsid w:val="00742225"/>
    <w:rsid w:val="00746952"/>
    <w:rsid w:val="00750B0E"/>
    <w:rsid w:val="007522DB"/>
    <w:rsid w:val="00752C6C"/>
    <w:rsid w:val="00755ADE"/>
    <w:rsid w:val="00762C5D"/>
    <w:rsid w:val="00762E91"/>
    <w:rsid w:val="007654E0"/>
    <w:rsid w:val="00765A94"/>
    <w:rsid w:val="00766678"/>
    <w:rsid w:val="0077041A"/>
    <w:rsid w:val="00771CE2"/>
    <w:rsid w:val="00771FF4"/>
    <w:rsid w:val="00772131"/>
    <w:rsid w:val="00780AD7"/>
    <w:rsid w:val="007845BF"/>
    <w:rsid w:val="00784D9D"/>
    <w:rsid w:val="007875E3"/>
    <w:rsid w:val="00790C3D"/>
    <w:rsid w:val="00791BD7"/>
    <w:rsid w:val="007933A5"/>
    <w:rsid w:val="007952B8"/>
    <w:rsid w:val="00795895"/>
    <w:rsid w:val="00797857"/>
    <w:rsid w:val="007A2C7F"/>
    <w:rsid w:val="007A48E9"/>
    <w:rsid w:val="007A5769"/>
    <w:rsid w:val="007B0A47"/>
    <w:rsid w:val="007B1C10"/>
    <w:rsid w:val="007B1CA7"/>
    <w:rsid w:val="007B1D06"/>
    <w:rsid w:val="007B20A9"/>
    <w:rsid w:val="007B2BDF"/>
    <w:rsid w:val="007B2D3C"/>
    <w:rsid w:val="007B3444"/>
    <w:rsid w:val="007B3DEF"/>
    <w:rsid w:val="007B53F1"/>
    <w:rsid w:val="007B6E62"/>
    <w:rsid w:val="007C027B"/>
    <w:rsid w:val="007C1C94"/>
    <w:rsid w:val="007C3D8B"/>
    <w:rsid w:val="007C50FA"/>
    <w:rsid w:val="007C5747"/>
    <w:rsid w:val="007C67BE"/>
    <w:rsid w:val="007D2FCE"/>
    <w:rsid w:val="007D4D0F"/>
    <w:rsid w:val="007D5832"/>
    <w:rsid w:val="007D7200"/>
    <w:rsid w:val="007D7A0A"/>
    <w:rsid w:val="007E13AC"/>
    <w:rsid w:val="007E157F"/>
    <w:rsid w:val="007E4198"/>
    <w:rsid w:val="007E6D72"/>
    <w:rsid w:val="007F0C72"/>
    <w:rsid w:val="007F1A4D"/>
    <w:rsid w:val="007F2521"/>
    <w:rsid w:val="007F2D9B"/>
    <w:rsid w:val="007F503A"/>
    <w:rsid w:val="007F5316"/>
    <w:rsid w:val="007F5962"/>
    <w:rsid w:val="00800224"/>
    <w:rsid w:val="00801437"/>
    <w:rsid w:val="008019C6"/>
    <w:rsid w:val="0080295F"/>
    <w:rsid w:val="00803B33"/>
    <w:rsid w:val="008059B7"/>
    <w:rsid w:val="008065CA"/>
    <w:rsid w:val="00810BEE"/>
    <w:rsid w:val="008123C6"/>
    <w:rsid w:val="008127BE"/>
    <w:rsid w:val="00812B9E"/>
    <w:rsid w:val="00814839"/>
    <w:rsid w:val="00815451"/>
    <w:rsid w:val="00817611"/>
    <w:rsid w:val="00820ACF"/>
    <w:rsid w:val="00821564"/>
    <w:rsid w:val="0082170B"/>
    <w:rsid w:val="00821F3F"/>
    <w:rsid w:val="00823A19"/>
    <w:rsid w:val="00823B98"/>
    <w:rsid w:val="008240B9"/>
    <w:rsid w:val="00824DA1"/>
    <w:rsid w:val="00832EA9"/>
    <w:rsid w:val="00833077"/>
    <w:rsid w:val="008346EF"/>
    <w:rsid w:val="0083489B"/>
    <w:rsid w:val="00834C1C"/>
    <w:rsid w:val="00834E84"/>
    <w:rsid w:val="00835BB1"/>
    <w:rsid w:val="00835DD6"/>
    <w:rsid w:val="00835E2C"/>
    <w:rsid w:val="008411AD"/>
    <w:rsid w:val="008414F1"/>
    <w:rsid w:val="0084234E"/>
    <w:rsid w:val="008436CB"/>
    <w:rsid w:val="00844ED9"/>
    <w:rsid w:val="0084580B"/>
    <w:rsid w:val="0085187E"/>
    <w:rsid w:val="00852033"/>
    <w:rsid w:val="00852A7E"/>
    <w:rsid w:val="00854DF3"/>
    <w:rsid w:val="00855953"/>
    <w:rsid w:val="00865015"/>
    <w:rsid w:val="00866010"/>
    <w:rsid w:val="008669F7"/>
    <w:rsid w:val="00866AF6"/>
    <w:rsid w:val="00871144"/>
    <w:rsid w:val="00871DED"/>
    <w:rsid w:val="00875719"/>
    <w:rsid w:val="00875B82"/>
    <w:rsid w:val="00875F49"/>
    <w:rsid w:val="00883127"/>
    <w:rsid w:val="0088318F"/>
    <w:rsid w:val="008833C9"/>
    <w:rsid w:val="00885A55"/>
    <w:rsid w:val="00886B95"/>
    <w:rsid w:val="00886D55"/>
    <w:rsid w:val="00890A2D"/>
    <w:rsid w:val="00890B70"/>
    <w:rsid w:val="00893079"/>
    <w:rsid w:val="008941CF"/>
    <w:rsid w:val="008950B2"/>
    <w:rsid w:val="0089674C"/>
    <w:rsid w:val="00897B57"/>
    <w:rsid w:val="008A0098"/>
    <w:rsid w:val="008A2EBE"/>
    <w:rsid w:val="008A45C1"/>
    <w:rsid w:val="008A4FEC"/>
    <w:rsid w:val="008A72E9"/>
    <w:rsid w:val="008A77F0"/>
    <w:rsid w:val="008B2B7E"/>
    <w:rsid w:val="008B382B"/>
    <w:rsid w:val="008B3FA3"/>
    <w:rsid w:val="008B4EFD"/>
    <w:rsid w:val="008B7E35"/>
    <w:rsid w:val="008C07F5"/>
    <w:rsid w:val="008C0BBA"/>
    <w:rsid w:val="008C3725"/>
    <w:rsid w:val="008C3C2C"/>
    <w:rsid w:val="008C3D5D"/>
    <w:rsid w:val="008C43F4"/>
    <w:rsid w:val="008C5382"/>
    <w:rsid w:val="008C6FF3"/>
    <w:rsid w:val="008C72F7"/>
    <w:rsid w:val="008D279C"/>
    <w:rsid w:val="008D45E9"/>
    <w:rsid w:val="008D5012"/>
    <w:rsid w:val="008D5FE3"/>
    <w:rsid w:val="008D6029"/>
    <w:rsid w:val="008D616B"/>
    <w:rsid w:val="008E6A46"/>
    <w:rsid w:val="008F26D8"/>
    <w:rsid w:val="008F29C2"/>
    <w:rsid w:val="008F3737"/>
    <w:rsid w:val="008F5184"/>
    <w:rsid w:val="008F57CF"/>
    <w:rsid w:val="00900B7B"/>
    <w:rsid w:val="00901CA7"/>
    <w:rsid w:val="00903837"/>
    <w:rsid w:val="00904F3E"/>
    <w:rsid w:val="00905BC5"/>
    <w:rsid w:val="009063E1"/>
    <w:rsid w:val="0091189D"/>
    <w:rsid w:val="00911B3B"/>
    <w:rsid w:val="00911B56"/>
    <w:rsid w:val="00912428"/>
    <w:rsid w:val="00914C83"/>
    <w:rsid w:val="00915624"/>
    <w:rsid w:val="00920279"/>
    <w:rsid w:val="009235FD"/>
    <w:rsid w:val="00923972"/>
    <w:rsid w:val="00924D3D"/>
    <w:rsid w:val="00925918"/>
    <w:rsid w:val="009259EF"/>
    <w:rsid w:val="00927787"/>
    <w:rsid w:val="00932D07"/>
    <w:rsid w:val="00935A9D"/>
    <w:rsid w:val="00940488"/>
    <w:rsid w:val="009406FB"/>
    <w:rsid w:val="009409CB"/>
    <w:rsid w:val="009436AE"/>
    <w:rsid w:val="00943AF9"/>
    <w:rsid w:val="00944189"/>
    <w:rsid w:val="009451B9"/>
    <w:rsid w:val="009451C6"/>
    <w:rsid w:val="00945E68"/>
    <w:rsid w:val="00952C9E"/>
    <w:rsid w:val="00953B22"/>
    <w:rsid w:val="00956340"/>
    <w:rsid w:val="00957236"/>
    <w:rsid w:val="00963673"/>
    <w:rsid w:val="009639CB"/>
    <w:rsid w:val="009652D7"/>
    <w:rsid w:val="00967665"/>
    <w:rsid w:val="00967CF8"/>
    <w:rsid w:val="00970D38"/>
    <w:rsid w:val="00971253"/>
    <w:rsid w:val="00971A55"/>
    <w:rsid w:val="00975D78"/>
    <w:rsid w:val="00976080"/>
    <w:rsid w:val="00980B60"/>
    <w:rsid w:val="009820C7"/>
    <w:rsid w:val="00984496"/>
    <w:rsid w:val="0098524B"/>
    <w:rsid w:val="0098637B"/>
    <w:rsid w:val="00986BDF"/>
    <w:rsid w:val="009871A6"/>
    <w:rsid w:val="009875E4"/>
    <w:rsid w:val="0098770B"/>
    <w:rsid w:val="0098770E"/>
    <w:rsid w:val="009922F9"/>
    <w:rsid w:val="009923D1"/>
    <w:rsid w:val="009949BA"/>
    <w:rsid w:val="009A042E"/>
    <w:rsid w:val="009A0572"/>
    <w:rsid w:val="009A0797"/>
    <w:rsid w:val="009A1223"/>
    <w:rsid w:val="009A13B3"/>
    <w:rsid w:val="009A6BA0"/>
    <w:rsid w:val="009B08E3"/>
    <w:rsid w:val="009B5EF1"/>
    <w:rsid w:val="009B73E2"/>
    <w:rsid w:val="009B7BF1"/>
    <w:rsid w:val="009C0C6A"/>
    <w:rsid w:val="009C29BD"/>
    <w:rsid w:val="009C2D67"/>
    <w:rsid w:val="009C4373"/>
    <w:rsid w:val="009C53F7"/>
    <w:rsid w:val="009C643E"/>
    <w:rsid w:val="009D2789"/>
    <w:rsid w:val="009D6595"/>
    <w:rsid w:val="009E0861"/>
    <w:rsid w:val="009E1F63"/>
    <w:rsid w:val="009E35C1"/>
    <w:rsid w:val="009E41D9"/>
    <w:rsid w:val="009E65F8"/>
    <w:rsid w:val="009E7432"/>
    <w:rsid w:val="009E7BBF"/>
    <w:rsid w:val="009E7D68"/>
    <w:rsid w:val="009F1CA0"/>
    <w:rsid w:val="009F497C"/>
    <w:rsid w:val="009F4C1B"/>
    <w:rsid w:val="009F7D4A"/>
    <w:rsid w:val="00A00159"/>
    <w:rsid w:val="00A002A2"/>
    <w:rsid w:val="00A0262E"/>
    <w:rsid w:val="00A03111"/>
    <w:rsid w:val="00A03799"/>
    <w:rsid w:val="00A03A07"/>
    <w:rsid w:val="00A04887"/>
    <w:rsid w:val="00A0507B"/>
    <w:rsid w:val="00A1102D"/>
    <w:rsid w:val="00A12385"/>
    <w:rsid w:val="00A1763C"/>
    <w:rsid w:val="00A207B6"/>
    <w:rsid w:val="00A2281E"/>
    <w:rsid w:val="00A22A15"/>
    <w:rsid w:val="00A234CF"/>
    <w:rsid w:val="00A24A74"/>
    <w:rsid w:val="00A24E62"/>
    <w:rsid w:val="00A3021F"/>
    <w:rsid w:val="00A32489"/>
    <w:rsid w:val="00A32529"/>
    <w:rsid w:val="00A32AA6"/>
    <w:rsid w:val="00A32B5D"/>
    <w:rsid w:val="00A3509A"/>
    <w:rsid w:val="00A35144"/>
    <w:rsid w:val="00A3639D"/>
    <w:rsid w:val="00A368D4"/>
    <w:rsid w:val="00A401BB"/>
    <w:rsid w:val="00A41C8F"/>
    <w:rsid w:val="00A4485D"/>
    <w:rsid w:val="00A46192"/>
    <w:rsid w:val="00A466BB"/>
    <w:rsid w:val="00A52E29"/>
    <w:rsid w:val="00A54A73"/>
    <w:rsid w:val="00A55E66"/>
    <w:rsid w:val="00A57E08"/>
    <w:rsid w:val="00A6111F"/>
    <w:rsid w:val="00A616F2"/>
    <w:rsid w:val="00A63381"/>
    <w:rsid w:val="00A6514A"/>
    <w:rsid w:val="00A702F0"/>
    <w:rsid w:val="00A706F0"/>
    <w:rsid w:val="00A71348"/>
    <w:rsid w:val="00A73865"/>
    <w:rsid w:val="00A76B7B"/>
    <w:rsid w:val="00A76FA0"/>
    <w:rsid w:val="00A77334"/>
    <w:rsid w:val="00A8029E"/>
    <w:rsid w:val="00A85086"/>
    <w:rsid w:val="00A86C00"/>
    <w:rsid w:val="00A9407F"/>
    <w:rsid w:val="00A9438B"/>
    <w:rsid w:val="00A97192"/>
    <w:rsid w:val="00A977D1"/>
    <w:rsid w:val="00AA07F5"/>
    <w:rsid w:val="00AA0FD8"/>
    <w:rsid w:val="00AA1364"/>
    <w:rsid w:val="00AA1896"/>
    <w:rsid w:val="00AA1A96"/>
    <w:rsid w:val="00AA2968"/>
    <w:rsid w:val="00AA2B15"/>
    <w:rsid w:val="00AA7D32"/>
    <w:rsid w:val="00AB2647"/>
    <w:rsid w:val="00AB36F3"/>
    <w:rsid w:val="00AB48C6"/>
    <w:rsid w:val="00AB50C5"/>
    <w:rsid w:val="00AB5A88"/>
    <w:rsid w:val="00AB669E"/>
    <w:rsid w:val="00AB71BB"/>
    <w:rsid w:val="00AB731E"/>
    <w:rsid w:val="00AC3075"/>
    <w:rsid w:val="00AC3A95"/>
    <w:rsid w:val="00AC6CBC"/>
    <w:rsid w:val="00AC6E22"/>
    <w:rsid w:val="00AD092E"/>
    <w:rsid w:val="00AD2AA9"/>
    <w:rsid w:val="00AD4956"/>
    <w:rsid w:val="00AD49CB"/>
    <w:rsid w:val="00AD5CC5"/>
    <w:rsid w:val="00AD6C62"/>
    <w:rsid w:val="00AE1C0A"/>
    <w:rsid w:val="00AE26CB"/>
    <w:rsid w:val="00AE2C31"/>
    <w:rsid w:val="00AE40CA"/>
    <w:rsid w:val="00AE7938"/>
    <w:rsid w:val="00AF00A1"/>
    <w:rsid w:val="00AF068F"/>
    <w:rsid w:val="00AF398C"/>
    <w:rsid w:val="00AF5A6F"/>
    <w:rsid w:val="00AF63F7"/>
    <w:rsid w:val="00B06E28"/>
    <w:rsid w:val="00B12850"/>
    <w:rsid w:val="00B13FA7"/>
    <w:rsid w:val="00B14A1B"/>
    <w:rsid w:val="00B17123"/>
    <w:rsid w:val="00B20FE1"/>
    <w:rsid w:val="00B21168"/>
    <w:rsid w:val="00B25EE5"/>
    <w:rsid w:val="00B2718D"/>
    <w:rsid w:val="00B33829"/>
    <w:rsid w:val="00B3397B"/>
    <w:rsid w:val="00B33DB3"/>
    <w:rsid w:val="00B342A8"/>
    <w:rsid w:val="00B34483"/>
    <w:rsid w:val="00B346CE"/>
    <w:rsid w:val="00B3750C"/>
    <w:rsid w:val="00B44D87"/>
    <w:rsid w:val="00B46678"/>
    <w:rsid w:val="00B47AE3"/>
    <w:rsid w:val="00B523C8"/>
    <w:rsid w:val="00B53CCB"/>
    <w:rsid w:val="00B56C4D"/>
    <w:rsid w:val="00B57BCF"/>
    <w:rsid w:val="00B62C19"/>
    <w:rsid w:val="00B66854"/>
    <w:rsid w:val="00B66DDF"/>
    <w:rsid w:val="00B670A0"/>
    <w:rsid w:val="00B74EB6"/>
    <w:rsid w:val="00B75C51"/>
    <w:rsid w:val="00B8096C"/>
    <w:rsid w:val="00B837C0"/>
    <w:rsid w:val="00B84256"/>
    <w:rsid w:val="00B84FD1"/>
    <w:rsid w:val="00B86115"/>
    <w:rsid w:val="00B86CCA"/>
    <w:rsid w:val="00B923EC"/>
    <w:rsid w:val="00BA0FB2"/>
    <w:rsid w:val="00BA1AEF"/>
    <w:rsid w:val="00BA789B"/>
    <w:rsid w:val="00BB0FA0"/>
    <w:rsid w:val="00BB1EE6"/>
    <w:rsid w:val="00BB2D68"/>
    <w:rsid w:val="00BB4529"/>
    <w:rsid w:val="00BB57B7"/>
    <w:rsid w:val="00BB7CFA"/>
    <w:rsid w:val="00BC130D"/>
    <w:rsid w:val="00BC2910"/>
    <w:rsid w:val="00BC3480"/>
    <w:rsid w:val="00BC3B9B"/>
    <w:rsid w:val="00BC46C4"/>
    <w:rsid w:val="00BC5F4C"/>
    <w:rsid w:val="00BC64BA"/>
    <w:rsid w:val="00BC7E5B"/>
    <w:rsid w:val="00BD0621"/>
    <w:rsid w:val="00BD0CC1"/>
    <w:rsid w:val="00BD12D4"/>
    <w:rsid w:val="00BD1BBD"/>
    <w:rsid w:val="00BD346F"/>
    <w:rsid w:val="00BD445E"/>
    <w:rsid w:val="00BD4EE8"/>
    <w:rsid w:val="00BD561A"/>
    <w:rsid w:val="00BE07BA"/>
    <w:rsid w:val="00BE4749"/>
    <w:rsid w:val="00BE6872"/>
    <w:rsid w:val="00BE6A88"/>
    <w:rsid w:val="00BE6F35"/>
    <w:rsid w:val="00BE7C90"/>
    <w:rsid w:val="00BE7EA6"/>
    <w:rsid w:val="00BF0078"/>
    <w:rsid w:val="00BF04F9"/>
    <w:rsid w:val="00BF2942"/>
    <w:rsid w:val="00BF583F"/>
    <w:rsid w:val="00BF5A40"/>
    <w:rsid w:val="00BF5AA7"/>
    <w:rsid w:val="00BF5F14"/>
    <w:rsid w:val="00BF6072"/>
    <w:rsid w:val="00BF7151"/>
    <w:rsid w:val="00C00CF6"/>
    <w:rsid w:val="00C01E50"/>
    <w:rsid w:val="00C05706"/>
    <w:rsid w:val="00C07B00"/>
    <w:rsid w:val="00C12FB7"/>
    <w:rsid w:val="00C136DC"/>
    <w:rsid w:val="00C142FD"/>
    <w:rsid w:val="00C17E33"/>
    <w:rsid w:val="00C20F16"/>
    <w:rsid w:val="00C21D05"/>
    <w:rsid w:val="00C22A96"/>
    <w:rsid w:val="00C26282"/>
    <w:rsid w:val="00C30571"/>
    <w:rsid w:val="00C306B4"/>
    <w:rsid w:val="00C31095"/>
    <w:rsid w:val="00C31777"/>
    <w:rsid w:val="00C33C65"/>
    <w:rsid w:val="00C34DD5"/>
    <w:rsid w:val="00C360DF"/>
    <w:rsid w:val="00C40B5D"/>
    <w:rsid w:val="00C436BB"/>
    <w:rsid w:val="00C452D3"/>
    <w:rsid w:val="00C47D43"/>
    <w:rsid w:val="00C508F4"/>
    <w:rsid w:val="00C526FF"/>
    <w:rsid w:val="00C54692"/>
    <w:rsid w:val="00C549F0"/>
    <w:rsid w:val="00C56EDA"/>
    <w:rsid w:val="00C603FA"/>
    <w:rsid w:val="00C6179A"/>
    <w:rsid w:val="00C67553"/>
    <w:rsid w:val="00C67DAA"/>
    <w:rsid w:val="00C71BAA"/>
    <w:rsid w:val="00C72159"/>
    <w:rsid w:val="00C7282E"/>
    <w:rsid w:val="00C74677"/>
    <w:rsid w:val="00C75D3F"/>
    <w:rsid w:val="00C7622A"/>
    <w:rsid w:val="00C80C75"/>
    <w:rsid w:val="00C86850"/>
    <w:rsid w:val="00C87544"/>
    <w:rsid w:val="00C902EE"/>
    <w:rsid w:val="00C903A0"/>
    <w:rsid w:val="00C9174B"/>
    <w:rsid w:val="00C937D5"/>
    <w:rsid w:val="00C9592A"/>
    <w:rsid w:val="00C9782D"/>
    <w:rsid w:val="00C97E2F"/>
    <w:rsid w:val="00C97EE2"/>
    <w:rsid w:val="00CA1CD3"/>
    <w:rsid w:val="00CA26FD"/>
    <w:rsid w:val="00CA30F0"/>
    <w:rsid w:val="00CA52AA"/>
    <w:rsid w:val="00CA6D8F"/>
    <w:rsid w:val="00CB059C"/>
    <w:rsid w:val="00CB2DC0"/>
    <w:rsid w:val="00CB560B"/>
    <w:rsid w:val="00CB5A24"/>
    <w:rsid w:val="00CB76C7"/>
    <w:rsid w:val="00CB7A7C"/>
    <w:rsid w:val="00CC1041"/>
    <w:rsid w:val="00CC1BFF"/>
    <w:rsid w:val="00CC2728"/>
    <w:rsid w:val="00CC5841"/>
    <w:rsid w:val="00CD22AB"/>
    <w:rsid w:val="00CD2891"/>
    <w:rsid w:val="00CD43FC"/>
    <w:rsid w:val="00CD4BCF"/>
    <w:rsid w:val="00CD53AD"/>
    <w:rsid w:val="00CD7DA3"/>
    <w:rsid w:val="00CE44AC"/>
    <w:rsid w:val="00CE4914"/>
    <w:rsid w:val="00CE5078"/>
    <w:rsid w:val="00CE5463"/>
    <w:rsid w:val="00CE5867"/>
    <w:rsid w:val="00CF20C6"/>
    <w:rsid w:val="00CF2465"/>
    <w:rsid w:val="00CF295F"/>
    <w:rsid w:val="00CF3752"/>
    <w:rsid w:val="00D011AB"/>
    <w:rsid w:val="00D02BC1"/>
    <w:rsid w:val="00D03804"/>
    <w:rsid w:val="00D05E9B"/>
    <w:rsid w:val="00D102A7"/>
    <w:rsid w:val="00D13023"/>
    <w:rsid w:val="00D229F5"/>
    <w:rsid w:val="00D240E3"/>
    <w:rsid w:val="00D2537F"/>
    <w:rsid w:val="00D26CFD"/>
    <w:rsid w:val="00D27C73"/>
    <w:rsid w:val="00D30521"/>
    <w:rsid w:val="00D313AE"/>
    <w:rsid w:val="00D31896"/>
    <w:rsid w:val="00D31E6B"/>
    <w:rsid w:val="00D32622"/>
    <w:rsid w:val="00D32B7D"/>
    <w:rsid w:val="00D3303D"/>
    <w:rsid w:val="00D3338F"/>
    <w:rsid w:val="00D34F6E"/>
    <w:rsid w:val="00D3619F"/>
    <w:rsid w:val="00D36671"/>
    <w:rsid w:val="00D41DD0"/>
    <w:rsid w:val="00D43013"/>
    <w:rsid w:val="00D44215"/>
    <w:rsid w:val="00D45B58"/>
    <w:rsid w:val="00D47E9B"/>
    <w:rsid w:val="00D50083"/>
    <w:rsid w:val="00D50419"/>
    <w:rsid w:val="00D512BE"/>
    <w:rsid w:val="00D525B5"/>
    <w:rsid w:val="00D54DD9"/>
    <w:rsid w:val="00D56083"/>
    <w:rsid w:val="00D56608"/>
    <w:rsid w:val="00D56DFD"/>
    <w:rsid w:val="00D63741"/>
    <w:rsid w:val="00D645DA"/>
    <w:rsid w:val="00D66837"/>
    <w:rsid w:val="00D66B02"/>
    <w:rsid w:val="00D70330"/>
    <w:rsid w:val="00D718B5"/>
    <w:rsid w:val="00D727CD"/>
    <w:rsid w:val="00D72D04"/>
    <w:rsid w:val="00D73128"/>
    <w:rsid w:val="00D75F3B"/>
    <w:rsid w:val="00D76484"/>
    <w:rsid w:val="00D7714E"/>
    <w:rsid w:val="00D82C88"/>
    <w:rsid w:val="00D84158"/>
    <w:rsid w:val="00D90539"/>
    <w:rsid w:val="00D90865"/>
    <w:rsid w:val="00D90E98"/>
    <w:rsid w:val="00D96900"/>
    <w:rsid w:val="00D97339"/>
    <w:rsid w:val="00D97A76"/>
    <w:rsid w:val="00DA0E8B"/>
    <w:rsid w:val="00DA3DD0"/>
    <w:rsid w:val="00DA53DA"/>
    <w:rsid w:val="00DA62A9"/>
    <w:rsid w:val="00DA7D5B"/>
    <w:rsid w:val="00DB1B4F"/>
    <w:rsid w:val="00DB28AF"/>
    <w:rsid w:val="00DB2D8E"/>
    <w:rsid w:val="00DB5706"/>
    <w:rsid w:val="00DB6D61"/>
    <w:rsid w:val="00DB6EC6"/>
    <w:rsid w:val="00DC0E4A"/>
    <w:rsid w:val="00DC2486"/>
    <w:rsid w:val="00DC3000"/>
    <w:rsid w:val="00DC328A"/>
    <w:rsid w:val="00DC3CBE"/>
    <w:rsid w:val="00DC4C8E"/>
    <w:rsid w:val="00DC6240"/>
    <w:rsid w:val="00DC6EBE"/>
    <w:rsid w:val="00DC7777"/>
    <w:rsid w:val="00DD02AB"/>
    <w:rsid w:val="00DD0427"/>
    <w:rsid w:val="00DD0A70"/>
    <w:rsid w:val="00DD3C15"/>
    <w:rsid w:val="00DD57EA"/>
    <w:rsid w:val="00DD5CEB"/>
    <w:rsid w:val="00DD69A8"/>
    <w:rsid w:val="00DE1AFB"/>
    <w:rsid w:val="00DE2686"/>
    <w:rsid w:val="00DE3C58"/>
    <w:rsid w:val="00DE5352"/>
    <w:rsid w:val="00DE57BD"/>
    <w:rsid w:val="00DE5D61"/>
    <w:rsid w:val="00DE5F5F"/>
    <w:rsid w:val="00DE6B12"/>
    <w:rsid w:val="00DF113D"/>
    <w:rsid w:val="00DF13C7"/>
    <w:rsid w:val="00DF34C8"/>
    <w:rsid w:val="00DF4E58"/>
    <w:rsid w:val="00DF74EE"/>
    <w:rsid w:val="00E01225"/>
    <w:rsid w:val="00E01E1A"/>
    <w:rsid w:val="00E04F0C"/>
    <w:rsid w:val="00E107FD"/>
    <w:rsid w:val="00E111EE"/>
    <w:rsid w:val="00E1278A"/>
    <w:rsid w:val="00E1281E"/>
    <w:rsid w:val="00E16676"/>
    <w:rsid w:val="00E16895"/>
    <w:rsid w:val="00E17491"/>
    <w:rsid w:val="00E17856"/>
    <w:rsid w:val="00E2274B"/>
    <w:rsid w:val="00E23748"/>
    <w:rsid w:val="00E23C8C"/>
    <w:rsid w:val="00E26128"/>
    <w:rsid w:val="00E277FF"/>
    <w:rsid w:val="00E30558"/>
    <w:rsid w:val="00E30868"/>
    <w:rsid w:val="00E323D1"/>
    <w:rsid w:val="00E33E93"/>
    <w:rsid w:val="00E34AC8"/>
    <w:rsid w:val="00E34B5F"/>
    <w:rsid w:val="00E35041"/>
    <w:rsid w:val="00E371FE"/>
    <w:rsid w:val="00E4056D"/>
    <w:rsid w:val="00E42F3B"/>
    <w:rsid w:val="00E43FAA"/>
    <w:rsid w:val="00E466EF"/>
    <w:rsid w:val="00E46AD2"/>
    <w:rsid w:val="00E5001C"/>
    <w:rsid w:val="00E5121B"/>
    <w:rsid w:val="00E51290"/>
    <w:rsid w:val="00E51613"/>
    <w:rsid w:val="00E51F2A"/>
    <w:rsid w:val="00E5218C"/>
    <w:rsid w:val="00E52930"/>
    <w:rsid w:val="00E52E82"/>
    <w:rsid w:val="00E53B4F"/>
    <w:rsid w:val="00E53F37"/>
    <w:rsid w:val="00E57419"/>
    <w:rsid w:val="00E609FB"/>
    <w:rsid w:val="00E6284A"/>
    <w:rsid w:val="00E6377B"/>
    <w:rsid w:val="00E646CA"/>
    <w:rsid w:val="00E6503F"/>
    <w:rsid w:val="00E65942"/>
    <w:rsid w:val="00E679E7"/>
    <w:rsid w:val="00E72FC2"/>
    <w:rsid w:val="00E734DB"/>
    <w:rsid w:val="00E73835"/>
    <w:rsid w:val="00E7395A"/>
    <w:rsid w:val="00E75AC6"/>
    <w:rsid w:val="00E77B9B"/>
    <w:rsid w:val="00E77D99"/>
    <w:rsid w:val="00E80964"/>
    <w:rsid w:val="00E8154C"/>
    <w:rsid w:val="00E81C75"/>
    <w:rsid w:val="00E83C62"/>
    <w:rsid w:val="00E854CF"/>
    <w:rsid w:val="00E92F7A"/>
    <w:rsid w:val="00E9345D"/>
    <w:rsid w:val="00E939DE"/>
    <w:rsid w:val="00E94B37"/>
    <w:rsid w:val="00E9515F"/>
    <w:rsid w:val="00E95A0A"/>
    <w:rsid w:val="00E96B5D"/>
    <w:rsid w:val="00E96C02"/>
    <w:rsid w:val="00E972AA"/>
    <w:rsid w:val="00EA09E0"/>
    <w:rsid w:val="00EA1BAC"/>
    <w:rsid w:val="00EA4924"/>
    <w:rsid w:val="00EA52C9"/>
    <w:rsid w:val="00EA772D"/>
    <w:rsid w:val="00EB0A1F"/>
    <w:rsid w:val="00EB1638"/>
    <w:rsid w:val="00EB3417"/>
    <w:rsid w:val="00EB4325"/>
    <w:rsid w:val="00EB5591"/>
    <w:rsid w:val="00EB72DA"/>
    <w:rsid w:val="00EC3A15"/>
    <w:rsid w:val="00EC5287"/>
    <w:rsid w:val="00EC677F"/>
    <w:rsid w:val="00EC68B8"/>
    <w:rsid w:val="00EC6B4F"/>
    <w:rsid w:val="00EC7829"/>
    <w:rsid w:val="00ED1D93"/>
    <w:rsid w:val="00ED1E2A"/>
    <w:rsid w:val="00ED20AF"/>
    <w:rsid w:val="00ED4012"/>
    <w:rsid w:val="00ED4719"/>
    <w:rsid w:val="00EE03E5"/>
    <w:rsid w:val="00EE30AC"/>
    <w:rsid w:val="00EE3397"/>
    <w:rsid w:val="00EE393B"/>
    <w:rsid w:val="00EE425E"/>
    <w:rsid w:val="00EE7C3F"/>
    <w:rsid w:val="00EF114B"/>
    <w:rsid w:val="00EF2944"/>
    <w:rsid w:val="00EF2AF0"/>
    <w:rsid w:val="00EF617D"/>
    <w:rsid w:val="00EF7FA7"/>
    <w:rsid w:val="00F00BB1"/>
    <w:rsid w:val="00F01BF2"/>
    <w:rsid w:val="00F01C64"/>
    <w:rsid w:val="00F02534"/>
    <w:rsid w:val="00F02C64"/>
    <w:rsid w:val="00F02E46"/>
    <w:rsid w:val="00F0391F"/>
    <w:rsid w:val="00F0459E"/>
    <w:rsid w:val="00F0644F"/>
    <w:rsid w:val="00F06A4F"/>
    <w:rsid w:val="00F100A7"/>
    <w:rsid w:val="00F102CA"/>
    <w:rsid w:val="00F105F7"/>
    <w:rsid w:val="00F1162C"/>
    <w:rsid w:val="00F13607"/>
    <w:rsid w:val="00F138E0"/>
    <w:rsid w:val="00F13D27"/>
    <w:rsid w:val="00F161FB"/>
    <w:rsid w:val="00F1784D"/>
    <w:rsid w:val="00F20F7F"/>
    <w:rsid w:val="00F22801"/>
    <w:rsid w:val="00F2284E"/>
    <w:rsid w:val="00F22BF4"/>
    <w:rsid w:val="00F22F9D"/>
    <w:rsid w:val="00F230DD"/>
    <w:rsid w:val="00F258FC"/>
    <w:rsid w:val="00F25A5B"/>
    <w:rsid w:val="00F270E9"/>
    <w:rsid w:val="00F30864"/>
    <w:rsid w:val="00F32664"/>
    <w:rsid w:val="00F32973"/>
    <w:rsid w:val="00F342D4"/>
    <w:rsid w:val="00F34888"/>
    <w:rsid w:val="00F35593"/>
    <w:rsid w:val="00F415C5"/>
    <w:rsid w:val="00F4226A"/>
    <w:rsid w:val="00F44CA4"/>
    <w:rsid w:val="00F474C3"/>
    <w:rsid w:val="00F503FF"/>
    <w:rsid w:val="00F51752"/>
    <w:rsid w:val="00F5319C"/>
    <w:rsid w:val="00F53B44"/>
    <w:rsid w:val="00F54A42"/>
    <w:rsid w:val="00F54C90"/>
    <w:rsid w:val="00F55153"/>
    <w:rsid w:val="00F5562D"/>
    <w:rsid w:val="00F55B33"/>
    <w:rsid w:val="00F55BAE"/>
    <w:rsid w:val="00F573D2"/>
    <w:rsid w:val="00F71AE6"/>
    <w:rsid w:val="00F73D02"/>
    <w:rsid w:val="00F74B0D"/>
    <w:rsid w:val="00F76219"/>
    <w:rsid w:val="00F7746C"/>
    <w:rsid w:val="00F80812"/>
    <w:rsid w:val="00F82772"/>
    <w:rsid w:val="00F83359"/>
    <w:rsid w:val="00F834D9"/>
    <w:rsid w:val="00F8409F"/>
    <w:rsid w:val="00F850F0"/>
    <w:rsid w:val="00F85511"/>
    <w:rsid w:val="00F85720"/>
    <w:rsid w:val="00F85A8C"/>
    <w:rsid w:val="00F85CE8"/>
    <w:rsid w:val="00F85D18"/>
    <w:rsid w:val="00F8616B"/>
    <w:rsid w:val="00F863C0"/>
    <w:rsid w:val="00F873F6"/>
    <w:rsid w:val="00F87978"/>
    <w:rsid w:val="00F90885"/>
    <w:rsid w:val="00F93093"/>
    <w:rsid w:val="00F94993"/>
    <w:rsid w:val="00F94B82"/>
    <w:rsid w:val="00F95789"/>
    <w:rsid w:val="00FA0E85"/>
    <w:rsid w:val="00FA18C6"/>
    <w:rsid w:val="00FA4FCC"/>
    <w:rsid w:val="00FA5C9E"/>
    <w:rsid w:val="00FA655D"/>
    <w:rsid w:val="00FA6F23"/>
    <w:rsid w:val="00FB1755"/>
    <w:rsid w:val="00FB38DE"/>
    <w:rsid w:val="00FC1EF3"/>
    <w:rsid w:val="00FC24F9"/>
    <w:rsid w:val="00FC31EB"/>
    <w:rsid w:val="00FD079F"/>
    <w:rsid w:val="00FD17B7"/>
    <w:rsid w:val="00FD24CA"/>
    <w:rsid w:val="00FD44A8"/>
    <w:rsid w:val="00FE39F3"/>
    <w:rsid w:val="00FE3C9B"/>
    <w:rsid w:val="00FE4763"/>
    <w:rsid w:val="00FE6ADE"/>
    <w:rsid w:val="00FF194B"/>
    <w:rsid w:val="00FF20CA"/>
    <w:rsid w:val="00FF33F4"/>
    <w:rsid w:val="00FF5828"/>
    <w:rsid w:val="01022A99"/>
    <w:rsid w:val="010420ED"/>
    <w:rsid w:val="01042CD0"/>
    <w:rsid w:val="01161381"/>
    <w:rsid w:val="01282E62"/>
    <w:rsid w:val="012A4E2C"/>
    <w:rsid w:val="013B2B96"/>
    <w:rsid w:val="014337F8"/>
    <w:rsid w:val="0151202B"/>
    <w:rsid w:val="0157021F"/>
    <w:rsid w:val="015C48BA"/>
    <w:rsid w:val="015D1723"/>
    <w:rsid w:val="01672956"/>
    <w:rsid w:val="0170404F"/>
    <w:rsid w:val="017D6AA2"/>
    <w:rsid w:val="0185764C"/>
    <w:rsid w:val="01896811"/>
    <w:rsid w:val="018D3E83"/>
    <w:rsid w:val="018D4EC5"/>
    <w:rsid w:val="018E2F0E"/>
    <w:rsid w:val="019127B6"/>
    <w:rsid w:val="01946C70"/>
    <w:rsid w:val="019D15A9"/>
    <w:rsid w:val="01AF5332"/>
    <w:rsid w:val="01B61262"/>
    <w:rsid w:val="01BD631A"/>
    <w:rsid w:val="01C2043A"/>
    <w:rsid w:val="01C23D69"/>
    <w:rsid w:val="01C506B1"/>
    <w:rsid w:val="01C8298D"/>
    <w:rsid w:val="01D95F0B"/>
    <w:rsid w:val="01DC6568"/>
    <w:rsid w:val="01E4322D"/>
    <w:rsid w:val="01E46229"/>
    <w:rsid w:val="01F526AF"/>
    <w:rsid w:val="01F86CD9"/>
    <w:rsid w:val="02005C3A"/>
    <w:rsid w:val="0205236C"/>
    <w:rsid w:val="020F7B7E"/>
    <w:rsid w:val="02186A33"/>
    <w:rsid w:val="021B6523"/>
    <w:rsid w:val="021C29C7"/>
    <w:rsid w:val="021C55F8"/>
    <w:rsid w:val="02230EDF"/>
    <w:rsid w:val="02254988"/>
    <w:rsid w:val="022618D2"/>
    <w:rsid w:val="02296E92"/>
    <w:rsid w:val="022B3C48"/>
    <w:rsid w:val="02346EDC"/>
    <w:rsid w:val="02377801"/>
    <w:rsid w:val="023E272A"/>
    <w:rsid w:val="023F42AD"/>
    <w:rsid w:val="02493090"/>
    <w:rsid w:val="02516AD2"/>
    <w:rsid w:val="02567270"/>
    <w:rsid w:val="025F3602"/>
    <w:rsid w:val="02605B54"/>
    <w:rsid w:val="02753E85"/>
    <w:rsid w:val="0279676B"/>
    <w:rsid w:val="027A143F"/>
    <w:rsid w:val="027C303C"/>
    <w:rsid w:val="027E7BBC"/>
    <w:rsid w:val="027F0CF1"/>
    <w:rsid w:val="028945B9"/>
    <w:rsid w:val="028C76AE"/>
    <w:rsid w:val="029B7962"/>
    <w:rsid w:val="02B726F0"/>
    <w:rsid w:val="02B96468"/>
    <w:rsid w:val="02D42530"/>
    <w:rsid w:val="02E37169"/>
    <w:rsid w:val="02E85DEE"/>
    <w:rsid w:val="02E910D4"/>
    <w:rsid w:val="02EF5EA2"/>
    <w:rsid w:val="02F273DE"/>
    <w:rsid w:val="02F91947"/>
    <w:rsid w:val="02FF3D24"/>
    <w:rsid w:val="0303235D"/>
    <w:rsid w:val="03043C3D"/>
    <w:rsid w:val="030C4344"/>
    <w:rsid w:val="030D2310"/>
    <w:rsid w:val="03306067"/>
    <w:rsid w:val="03345AEF"/>
    <w:rsid w:val="0335480E"/>
    <w:rsid w:val="03392418"/>
    <w:rsid w:val="03393015"/>
    <w:rsid w:val="034449E3"/>
    <w:rsid w:val="03463A74"/>
    <w:rsid w:val="035256F5"/>
    <w:rsid w:val="036328A6"/>
    <w:rsid w:val="036E552A"/>
    <w:rsid w:val="03716274"/>
    <w:rsid w:val="03725513"/>
    <w:rsid w:val="0376049A"/>
    <w:rsid w:val="03763AA5"/>
    <w:rsid w:val="03781D1E"/>
    <w:rsid w:val="037C1244"/>
    <w:rsid w:val="037D56E7"/>
    <w:rsid w:val="0388408C"/>
    <w:rsid w:val="03924778"/>
    <w:rsid w:val="03925D37"/>
    <w:rsid w:val="039B3DC0"/>
    <w:rsid w:val="039F467D"/>
    <w:rsid w:val="03A36D50"/>
    <w:rsid w:val="03AA5DB1"/>
    <w:rsid w:val="03AA7B5F"/>
    <w:rsid w:val="03AC38D7"/>
    <w:rsid w:val="03B1493A"/>
    <w:rsid w:val="03B6671E"/>
    <w:rsid w:val="03B804CE"/>
    <w:rsid w:val="03BA4EAB"/>
    <w:rsid w:val="03C554CB"/>
    <w:rsid w:val="03C926DB"/>
    <w:rsid w:val="03CD2098"/>
    <w:rsid w:val="03CF30BC"/>
    <w:rsid w:val="03D03378"/>
    <w:rsid w:val="03D05B10"/>
    <w:rsid w:val="03D1158F"/>
    <w:rsid w:val="03D13C09"/>
    <w:rsid w:val="03D71F41"/>
    <w:rsid w:val="03D80B70"/>
    <w:rsid w:val="03DE6D40"/>
    <w:rsid w:val="03E63EDF"/>
    <w:rsid w:val="03EB1590"/>
    <w:rsid w:val="03EE0393"/>
    <w:rsid w:val="03F139E0"/>
    <w:rsid w:val="03F5008A"/>
    <w:rsid w:val="03F62DA4"/>
    <w:rsid w:val="03F671F8"/>
    <w:rsid w:val="04040143"/>
    <w:rsid w:val="04053580"/>
    <w:rsid w:val="040C1256"/>
    <w:rsid w:val="040C2FA4"/>
    <w:rsid w:val="04122D21"/>
    <w:rsid w:val="041504AC"/>
    <w:rsid w:val="041559E1"/>
    <w:rsid w:val="04160396"/>
    <w:rsid w:val="0417674A"/>
    <w:rsid w:val="04182738"/>
    <w:rsid w:val="042943D1"/>
    <w:rsid w:val="042E07AD"/>
    <w:rsid w:val="04346C90"/>
    <w:rsid w:val="043D250A"/>
    <w:rsid w:val="04402271"/>
    <w:rsid w:val="044352FF"/>
    <w:rsid w:val="0445633C"/>
    <w:rsid w:val="04471852"/>
    <w:rsid w:val="044A0D45"/>
    <w:rsid w:val="044C330C"/>
    <w:rsid w:val="045521C0"/>
    <w:rsid w:val="045B5D10"/>
    <w:rsid w:val="04632C1F"/>
    <w:rsid w:val="0466662A"/>
    <w:rsid w:val="04695C6C"/>
    <w:rsid w:val="046C3066"/>
    <w:rsid w:val="046E3282"/>
    <w:rsid w:val="04724BCD"/>
    <w:rsid w:val="04730898"/>
    <w:rsid w:val="04787C77"/>
    <w:rsid w:val="047A5783"/>
    <w:rsid w:val="04804BE5"/>
    <w:rsid w:val="04833EAD"/>
    <w:rsid w:val="048C7A03"/>
    <w:rsid w:val="048C7A5D"/>
    <w:rsid w:val="048F5484"/>
    <w:rsid w:val="04904C6F"/>
    <w:rsid w:val="04910D1F"/>
    <w:rsid w:val="04970C9C"/>
    <w:rsid w:val="04991296"/>
    <w:rsid w:val="0499425D"/>
    <w:rsid w:val="049C0EF4"/>
    <w:rsid w:val="04A10F62"/>
    <w:rsid w:val="04A96068"/>
    <w:rsid w:val="04B213C1"/>
    <w:rsid w:val="04B2372B"/>
    <w:rsid w:val="04B632D1"/>
    <w:rsid w:val="04B64A7E"/>
    <w:rsid w:val="04BC1856"/>
    <w:rsid w:val="04BE551A"/>
    <w:rsid w:val="04C17363"/>
    <w:rsid w:val="04C3537C"/>
    <w:rsid w:val="04CD61FB"/>
    <w:rsid w:val="04D0300B"/>
    <w:rsid w:val="04D51645"/>
    <w:rsid w:val="04D71E80"/>
    <w:rsid w:val="04DF44CE"/>
    <w:rsid w:val="04E66C80"/>
    <w:rsid w:val="04E94CE2"/>
    <w:rsid w:val="04EA6DAD"/>
    <w:rsid w:val="04F056CF"/>
    <w:rsid w:val="04F27AE3"/>
    <w:rsid w:val="04FE6FAC"/>
    <w:rsid w:val="050704DC"/>
    <w:rsid w:val="05153D1D"/>
    <w:rsid w:val="052060BC"/>
    <w:rsid w:val="053216B5"/>
    <w:rsid w:val="05444193"/>
    <w:rsid w:val="05487723"/>
    <w:rsid w:val="054D733B"/>
    <w:rsid w:val="05507D82"/>
    <w:rsid w:val="05527A56"/>
    <w:rsid w:val="05535400"/>
    <w:rsid w:val="05544226"/>
    <w:rsid w:val="055A037E"/>
    <w:rsid w:val="055C7DC8"/>
    <w:rsid w:val="056153B2"/>
    <w:rsid w:val="0575419C"/>
    <w:rsid w:val="05784B24"/>
    <w:rsid w:val="05793B79"/>
    <w:rsid w:val="05811D55"/>
    <w:rsid w:val="05823BF3"/>
    <w:rsid w:val="058539EC"/>
    <w:rsid w:val="058A5E9A"/>
    <w:rsid w:val="058B39C0"/>
    <w:rsid w:val="05926AFC"/>
    <w:rsid w:val="05A17A91"/>
    <w:rsid w:val="05A30D71"/>
    <w:rsid w:val="05A47ACE"/>
    <w:rsid w:val="05B50CCB"/>
    <w:rsid w:val="05B56221"/>
    <w:rsid w:val="05BB235A"/>
    <w:rsid w:val="05BB69DC"/>
    <w:rsid w:val="05BC018C"/>
    <w:rsid w:val="05BD6F8F"/>
    <w:rsid w:val="05BF60C0"/>
    <w:rsid w:val="05C23F5D"/>
    <w:rsid w:val="05D76670"/>
    <w:rsid w:val="05E0173E"/>
    <w:rsid w:val="05E03D0C"/>
    <w:rsid w:val="05E645BB"/>
    <w:rsid w:val="05E70649"/>
    <w:rsid w:val="05E748AC"/>
    <w:rsid w:val="05EA6938"/>
    <w:rsid w:val="05EB6B7D"/>
    <w:rsid w:val="05EC26B0"/>
    <w:rsid w:val="05EC53F7"/>
    <w:rsid w:val="05EE77D1"/>
    <w:rsid w:val="05F73A7F"/>
    <w:rsid w:val="05FA19DA"/>
    <w:rsid w:val="05FD550C"/>
    <w:rsid w:val="06051F1E"/>
    <w:rsid w:val="06053772"/>
    <w:rsid w:val="06091535"/>
    <w:rsid w:val="060A56CC"/>
    <w:rsid w:val="060E082B"/>
    <w:rsid w:val="06103DF9"/>
    <w:rsid w:val="061614DB"/>
    <w:rsid w:val="061D615F"/>
    <w:rsid w:val="062260D2"/>
    <w:rsid w:val="06240A88"/>
    <w:rsid w:val="06274EB0"/>
    <w:rsid w:val="06287461"/>
    <w:rsid w:val="062B3BED"/>
    <w:rsid w:val="062F07EF"/>
    <w:rsid w:val="06356725"/>
    <w:rsid w:val="063F3E79"/>
    <w:rsid w:val="06436049"/>
    <w:rsid w:val="06484009"/>
    <w:rsid w:val="06497B03"/>
    <w:rsid w:val="064C13A1"/>
    <w:rsid w:val="0652465D"/>
    <w:rsid w:val="06563FCE"/>
    <w:rsid w:val="065C7A5A"/>
    <w:rsid w:val="065F10D4"/>
    <w:rsid w:val="0664493D"/>
    <w:rsid w:val="066B5CCB"/>
    <w:rsid w:val="066C1A43"/>
    <w:rsid w:val="0671705A"/>
    <w:rsid w:val="0674516C"/>
    <w:rsid w:val="06826B71"/>
    <w:rsid w:val="068760A2"/>
    <w:rsid w:val="06877933"/>
    <w:rsid w:val="068E3768"/>
    <w:rsid w:val="068E5516"/>
    <w:rsid w:val="068F128E"/>
    <w:rsid w:val="0690109C"/>
    <w:rsid w:val="06930CC4"/>
    <w:rsid w:val="06983965"/>
    <w:rsid w:val="0698709C"/>
    <w:rsid w:val="069A6270"/>
    <w:rsid w:val="069C252D"/>
    <w:rsid w:val="06A219F5"/>
    <w:rsid w:val="06A40358"/>
    <w:rsid w:val="06A905A2"/>
    <w:rsid w:val="06AA09E0"/>
    <w:rsid w:val="06AA500A"/>
    <w:rsid w:val="06AD2E0D"/>
    <w:rsid w:val="06AF067A"/>
    <w:rsid w:val="06B07B82"/>
    <w:rsid w:val="06B26BA7"/>
    <w:rsid w:val="06B72BC7"/>
    <w:rsid w:val="06C64729"/>
    <w:rsid w:val="06CB0518"/>
    <w:rsid w:val="06CB676A"/>
    <w:rsid w:val="06D000DC"/>
    <w:rsid w:val="06D564A9"/>
    <w:rsid w:val="06D73361"/>
    <w:rsid w:val="06E031D9"/>
    <w:rsid w:val="06E21639"/>
    <w:rsid w:val="06EB0BBA"/>
    <w:rsid w:val="06F04422"/>
    <w:rsid w:val="06F05CE9"/>
    <w:rsid w:val="06F12DC1"/>
    <w:rsid w:val="06F35D65"/>
    <w:rsid w:val="06FB7EA8"/>
    <w:rsid w:val="0702516C"/>
    <w:rsid w:val="070677A2"/>
    <w:rsid w:val="070E5AAE"/>
    <w:rsid w:val="070F00C9"/>
    <w:rsid w:val="071023CF"/>
    <w:rsid w:val="07141E5E"/>
    <w:rsid w:val="071826C5"/>
    <w:rsid w:val="071874D5"/>
    <w:rsid w:val="071A1D71"/>
    <w:rsid w:val="071F7283"/>
    <w:rsid w:val="07272717"/>
    <w:rsid w:val="072960D0"/>
    <w:rsid w:val="07334939"/>
    <w:rsid w:val="073366F8"/>
    <w:rsid w:val="073E518E"/>
    <w:rsid w:val="07461D1A"/>
    <w:rsid w:val="07474FE1"/>
    <w:rsid w:val="07556BDE"/>
    <w:rsid w:val="0759084B"/>
    <w:rsid w:val="07633079"/>
    <w:rsid w:val="076A4F65"/>
    <w:rsid w:val="07702E6D"/>
    <w:rsid w:val="0779368E"/>
    <w:rsid w:val="077A1EE2"/>
    <w:rsid w:val="077F1302"/>
    <w:rsid w:val="0797524A"/>
    <w:rsid w:val="079B5995"/>
    <w:rsid w:val="079E703E"/>
    <w:rsid w:val="07A05C0E"/>
    <w:rsid w:val="07A90241"/>
    <w:rsid w:val="07AB20F7"/>
    <w:rsid w:val="07AD6F59"/>
    <w:rsid w:val="07B05741"/>
    <w:rsid w:val="07B250CC"/>
    <w:rsid w:val="07B33C4D"/>
    <w:rsid w:val="07B62F76"/>
    <w:rsid w:val="07B77744"/>
    <w:rsid w:val="07CC0430"/>
    <w:rsid w:val="07CE2FCD"/>
    <w:rsid w:val="07D22CA5"/>
    <w:rsid w:val="07D57174"/>
    <w:rsid w:val="07D7113E"/>
    <w:rsid w:val="07D829ED"/>
    <w:rsid w:val="07DE24CD"/>
    <w:rsid w:val="07E010D2"/>
    <w:rsid w:val="07E97E0B"/>
    <w:rsid w:val="07EF4D16"/>
    <w:rsid w:val="07F24C7F"/>
    <w:rsid w:val="07F4113A"/>
    <w:rsid w:val="07F95559"/>
    <w:rsid w:val="08000695"/>
    <w:rsid w:val="08020D35"/>
    <w:rsid w:val="08037945"/>
    <w:rsid w:val="08057A5A"/>
    <w:rsid w:val="08071A24"/>
    <w:rsid w:val="080A3867"/>
    <w:rsid w:val="080B3083"/>
    <w:rsid w:val="0811309B"/>
    <w:rsid w:val="08151FA9"/>
    <w:rsid w:val="081B399E"/>
    <w:rsid w:val="082A1F1E"/>
    <w:rsid w:val="083021CC"/>
    <w:rsid w:val="08326375"/>
    <w:rsid w:val="08471E20"/>
    <w:rsid w:val="08487BE5"/>
    <w:rsid w:val="08517143"/>
    <w:rsid w:val="085725E3"/>
    <w:rsid w:val="085F66A2"/>
    <w:rsid w:val="086504F8"/>
    <w:rsid w:val="086E3851"/>
    <w:rsid w:val="08707436"/>
    <w:rsid w:val="087370B9"/>
    <w:rsid w:val="0874698D"/>
    <w:rsid w:val="088A653C"/>
    <w:rsid w:val="088E7A4F"/>
    <w:rsid w:val="088F37C7"/>
    <w:rsid w:val="08901A19"/>
    <w:rsid w:val="08915791"/>
    <w:rsid w:val="089C6FA7"/>
    <w:rsid w:val="08A01697"/>
    <w:rsid w:val="08A47272"/>
    <w:rsid w:val="08A70B11"/>
    <w:rsid w:val="08AA0601"/>
    <w:rsid w:val="08AE4A9C"/>
    <w:rsid w:val="08B15F75"/>
    <w:rsid w:val="08B73994"/>
    <w:rsid w:val="08BD1ED9"/>
    <w:rsid w:val="08CB6FF7"/>
    <w:rsid w:val="08CD1795"/>
    <w:rsid w:val="08D167F5"/>
    <w:rsid w:val="08D51B22"/>
    <w:rsid w:val="08D70883"/>
    <w:rsid w:val="08DB07BA"/>
    <w:rsid w:val="08DB0B60"/>
    <w:rsid w:val="08E049BC"/>
    <w:rsid w:val="08E6152E"/>
    <w:rsid w:val="08EA3442"/>
    <w:rsid w:val="08F149A0"/>
    <w:rsid w:val="08FA6E92"/>
    <w:rsid w:val="08FF631A"/>
    <w:rsid w:val="090418D9"/>
    <w:rsid w:val="09056501"/>
    <w:rsid w:val="09067F2D"/>
    <w:rsid w:val="09077801"/>
    <w:rsid w:val="09091E10"/>
    <w:rsid w:val="090A7543"/>
    <w:rsid w:val="090B72F2"/>
    <w:rsid w:val="090F5144"/>
    <w:rsid w:val="09117237"/>
    <w:rsid w:val="092B1036"/>
    <w:rsid w:val="093223D0"/>
    <w:rsid w:val="09362C46"/>
    <w:rsid w:val="09383E5F"/>
    <w:rsid w:val="094735B6"/>
    <w:rsid w:val="0947404D"/>
    <w:rsid w:val="094A53BC"/>
    <w:rsid w:val="094E71DE"/>
    <w:rsid w:val="095347F5"/>
    <w:rsid w:val="09541C91"/>
    <w:rsid w:val="095B63F3"/>
    <w:rsid w:val="095E0EC4"/>
    <w:rsid w:val="096353DB"/>
    <w:rsid w:val="09675724"/>
    <w:rsid w:val="09823FA4"/>
    <w:rsid w:val="09825397"/>
    <w:rsid w:val="099077F7"/>
    <w:rsid w:val="09927DD8"/>
    <w:rsid w:val="09954E0D"/>
    <w:rsid w:val="0995736E"/>
    <w:rsid w:val="09971AAB"/>
    <w:rsid w:val="099955DF"/>
    <w:rsid w:val="099A2423"/>
    <w:rsid w:val="099B68C7"/>
    <w:rsid w:val="09A34A2F"/>
    <w:rsid w:val="09A72891"/>
    <w:rsid w:val="09AA22A6"/>
    <w:rsid w:val="09AC3B00"/>
    <w:rsid w:val="09AD2157"/>
    <w:rsid w:val="09BA42FE"/>
    <w:rsid w:val="09BB6FD3"/>
    <w:rsid w:val="09BE25B6"/>
    <w:rsid w:val="09C645FB"/>
    <w:rsid w:val="09C742E3"/>
    <w:rsid w:val="09CB082F"/>
    <w:rsid w:val="09CC70BB"/>
    <w:rsid w:val="09D05E45"/>
    <w:rsid w:val="09D227F4"/>
    <w:rsid w:val="09D52DF4"/>
    <w:rsid w:val="09D9119E"/>
    <w:rsid w:val="09E57B43"/>
    <w:rsid w:val="09EE30B4"/>
    <w:rsid w:val="09F00295"/>
    <w:rsid w:val="09F4422A"/>
    <w:rsid w:val="09FC30DE"/>
    <w:rsid w:val="09FD62EE"/>
    <w:rsid w:val="0A012F77"/>
    <w:rsid w:val="0A0855DF"/>
    <w:rsid w:val="0A0B2D2F"/>
    <w:rsid w:val="0A1357D3"/>
    <w:rsid w:val="0A187F18"/>
    <w:rsid w:val="0A1D2A29"/>
    <w:rsid w:val="0A26225F"/>
    <w:rsid w:val="0A2D3298"/>
    <w:rsid w:val="0A3E7253"/>
    <w:rsid w:val="0A4214C3"/>
    <w:rsid w:val="0A434AEC"/>
    <w:rsid w:val="0A546A76"/>
    <w:rsid w:val="0A5C774B"/>
    <w:rsid w:val="0A617592"/>
    <w:rsid w:val="0A621193"/>
    <w:rsid w:val="0A622F41"/>
    <w:rsid w:val="0A6540E5"/>
    <w:rsid w:val="0A685057"/>
    <w:rsid w:val="0A70218E"/>
    <w:rsid w:val="0A740EC6"/>
    <w:rsid w:val="0A80786B"/>
    <w:rsid w:val="0A82657D"/>
    <w:rsid w:val="0A8E2DE3"/>
    <w:rsid w:val="0A8F3F52"/>
    <w:rsid w:val="0A9357F1"/>
    <w:rsid w:val="0A9F5A82"/>
    <w:rsid w:val="0AA06263"/>
    <w:rsid w:val="0AA11116"/>
    <w:rsid w:val="0AA60B31"/>
    <w:rsid w:val="0AA611B3"/>
    <w:rsid w:val="0AB31509"/>
    <w:rsid w:val="0AB94B2B"/>
    <w:rsid w:val="0ABF65E6"/>
    <w:rsid w:val="0ABF6A00"/>
    <w:rsid w:val="0AC32F47"/>
    <w:rsid w:val="0AC32F89"/>
    <w:rsid w:val="0AC942F6"/>
    <w:rsid w:val="0ACE6829"/>
    <w:rsid w:val="0AD14C61"/>
    <w:rsid w:val="0AD20FD7"/>
    <w:rsid w:val="0AD3270B"/>
    <w:rsid w:val="0AD57BB7"/>
    <w:rsid w:val="0AD658B9"/>
    <w:rsid w:val="0AD83203"/>
    <w:rsid w:val="0AEA25B1"/>
    <w:rsid w:val="0AEF054D"/>
    <w:rsid w:val="0AF62C86"/>
    <w:rsid w:val="0AFA33B1"/>
    <w:rsid w:val="0AFA5870"/>
    <w:rsid w:val="0AFB3335"/>
    <w:rsid w:val="0B0B35D9"/>
    <w:rsid w:val="0B0C7351"/>
    <w:rsid w:val="0B193AEC"/>
    <w:rsid w:val="0B1A381C"/>
    <w:rsid w:val="0B21104E"/>
    <w:rsid w:val="0B212DFC"/>
    <w:rsid w:val="0B246449"/>
    <w:rsid w:val="0B293A5F"/>
    <w:rsid w:val="0B2A2972"/>
    <w:rsid w:val="0B357B6B"/>
    <w:rsid w:val="0B3B05AB"/>
    <w:rsid w:val="0B415214"/>
    <w:rsid w:val="0B597F06"/>
    <w:rsid w:val="0B5C5B20"/>
    <w:rsid w:val="0B626F71"/>
    <w:rsid w:val="0B644DD4"/>
    <w:rsid w:val="0B670A20"/>
    <w:rsid w:val="0B6D3757"/>
    <w:rsid w:val="0B6F4D1A"/>
    <w:rsid w:val="0B826B5F"/>
    <w:rsid w:val="0B877813"/>
    <w:rsid w:val="0B885120"/>
    <w:rsid w:val="0B974A1F"/>
    <w:rsid w:val="0B9C3BE2"/>
    <w:rsid w:val="0B9C3E7A"/>
    <w:rsid w:val="0BB023D2"/>
    <w:rsid w:val="0BBC5487"/>
    <w:rsid w:val="0BC43AE5"/>
    <w:rsid w:val="0BCB4DCB"/>
    <w:rsid w:val="0BCC11C3"/>
    <w:rsid w:val="0BD065D0"/>
    <w:rsid w:val="0BD7170D"/>
    <w:rsid w:val="0BDA11FD"/>
    <w:rsid w:val="0BDC31C7"/>
    <w:rsid w:val="0BDC6D23"/>
    <w:rsid w:val="0BED4CC7"/>
    <w:rsid w:val="0C0A3CF1"/>
    <w:rsid w:val="0C0B585A"/>
    <w:rsid w:val="0C1C35C4"/>
    <w:rsid w:val="0C311318"/>
    <w:rsid w:val="0C324B95"/>
    <w:rsid w:val="0C325422"/>
    <w:rsid w:val="0C403756"/>
    <w:rsid w:val="0C405504"/>
    <w:rsid w:val="0C434FF4"/>
    <w:rsid w:val="0C554EF2"/>
    <w:rsid w:val="0C607954"/>
    <w:rsid w:val="0C637790"/>
    <w:rsid w:val="0C691FDE"/>
    <w:rsid w:val="0C6A2C1B"/>
    <w:rsid w:val="0C6A5BE2"/>
    <w:rsid w:val="0C79278E"/>
    <w:rsid w:val="0C796C68"/>
    <w:rsid w:val="0C7B29E0"/>
    <w:rsid w:val="0C7D5F83"/>
    <w:rsid w:val="0C880C59"/>
    <w:rsid w:val="0C8E3834"/>
    <w:rsid w:val="0C913DEE"/>
    <w:rsid w:val="0C9910B8"/>
    <w:rsid w:val="0C9960DC"/>
    <w:rsid w:val="0C9B4A10"/>
    <w:rsid w:val="0C9C64B3"/>
    <w:rsid w:val="0C9F750A"/>
    <w:rsid w:val="0CA072C0"/>
    <w:rsid w:val="0CA84EC9"/>
    <w:rsid w:val="0CAB5F58"/>
    <w:rsid w:val="0CB249D1"/>
    <w:rsid w:val="0CB634F7"/>
    <w:rsid w:val="0CB657C6"/>
    <w:rsid w:val="0CB9190B"/>
    <w:rsid w:val="0CBF6085"/>
    <w:rsid w:val="0CC125EE"/>
    <w:rsid w:val="0CC223BD"/>
    <w:rsid w:val="0CC2522B"/>
    <w:rsid w:val="0CCA1272"/>
    <w:rsid w:val="0CCC76D6"/>
    <w:rsid w:val="0CD80C67"/>
    <w:rsid w:val="0CDE18B0"/>
    <w:rsid w:val="0CDF5CB6"/>
    <w:rsid w:val="0CE265BB"/>
    <w:rsid w:val="0CE51CF1"/>
    <w:rsid w:val="0CE604E1"/>
    <w:rsid w:val="0CF30828"/>
    <w:rsid w:val="0CF71E95"/>
    <w:rsid w:val="0CFB05D3"/>
    <w:rsid w:val="0CFD1647"/>
    <w:rsid w:val="0D110C4F"/>
    <w:rsid w:val="0D123874"/>
    <w:rsid w:val="0D1C6B8A"/>
    <w:rsid w:val="0D224C0A"/>
    <w:rsid w:val="0D280F6C"/>
    <w:rsid w:val="0D2E3891"/>
    <w:rsid w:val="0D4234FE"/>
    <w:rsid w:val="0D436F08"/>
    <w:rsid w:val="0D470C66"/>
    <w:rsid w:val="0D480860"/>
    <w:rsid w:val="0D490AEC"/>
    <w:rsid w:val="0D4A5F0F"/>
    <w:rsid w:val="0D531267"/>
    <w:rsid w:val="0D565D35"/>
    <w:rsid w:val="0D570D57"/>
    <w:rsid w:val="0D5F3367"/>
    <w:rsid w:val="0D6B65B1"/>
    <w:rsid w:val="0D713042"/>
    <w:rsid w:val="0D780CCE"/>
    <w:rsid w:val="0D8256A8"/>
    <w:rsid w:val="0D85310B"/>
    <w:rsid w:val="0D860CB6"/>
    <w:rsid w:val="0D892919"/>
    <w:rsid w:val="0D8B6BA9"/>
    <w:rsid w:val="0D92163A"/>
    <w:rsid w:val="0D924A27"/>
    <w:rsid w:val="0D9A6E96"/>
    <w:rsid w:val="0D9D05D3"/>
    <w:rsid w:val="0DA02CE9"/>
    <w:rsid w:val="0DA544AE"/>
    <w:rsid w:val="0DA67DDF"/>
    <w:rsid w:val="0DAA31F6"/>
    <w:rsid w:val="0DB25F8E"/>
    <w:rsid w:val="0DBA3094"/>
    <w:rsid w:val="0DC20221"/>
    <w:rsid w:val="0DC70957"/>
    <w:rsid w:val="0DD058A7"/>
    <w:rsid w:val="0DDD0CDF"/>
    <w:rsid w:val="0DE325EB"/>
    <w:rsid w:val="0DE808ED"/>
    <w:rsid w:val="0DE9148B"/>
    <w:rsid w:val="0DED4BF9"/>
    <w:rsid w:val="0DF05340"/>
    <w:rsid w:val="0DF859CA"/>
    <w:rsid w:val="0DFA16E3"/>
    <w:rsid w:val="0E032FBD"/>
    <w:rsid w:val="0E097DA6"/>
    <w:rsid w:val="0E0B38F0"/>
    <w:rsid w:val="0E11354D"/>
    <w:rsid w:val="0E1C42D0"/>
    <w:rsid w:val="0E1D55B4"/>
    <w:rsid w:val="0E1E5D4E"/>
    <w:rsid w:val="0E1F1149"/>
    <w:rsid w:val="0E21363C"/>
    <w:rsid w:val="0E253714"/>
    <w:rsid w:val="0E351858"/>
    <w:rsid w:val="0E393352"/>
    <w:rsid w:val="0E3C501C"/>
    <w:rsid w:val="0E407A3D"/>
    <w:rsid w:val="0E460DCC"/>
    <w:rsid w:val="0E4B0190"/>
    <w:rsid w:val="0E4E30F4"/>
    <w:rsid w:val="0E622EFE"/>
    <w:rsid w:val="0E654924"/>
    <w:rsid w:val="0E6D2AA6"/>
    <w:rsid w:val="0E6F0323"/>
    <w:rsid w:val="0E7027A9"/>
    <w:rsid w:val="0E79794F"/>
    <w:rsid w:val="0E7B0A75"/>
    <w:rsid w:val="0E7B69CC"/>
    <w:rsid w:val="0E80608C"/>
    <w:rsid w:val="0E8B67DF"/>
    <w:rsid w:val="0E93340A"/>
    <w:rsid w:val="0EA174D3"/>
    <w:rsid w:val="0EA31F34"/>
    <w:rsid w:val="0EA55AF2"/>
    <w:rsid w:val="0EA96440"/>
    <w:rsid w:val="0EA977AB"/>
    <w:rsid w:val="0EAE7F1E"/>
    <w:rsid w:val="0EB4792A"/>
    <w:rsid w:val="0EB83A78"/>
    <w:rsid w:val="0EBB70C4"/>
    <w:rsid w:val="0EBC48DB"/>
    <w:rsid w:val="0EBE409D"/>
    <w:rsid w:val="0EC30910"/>
    <w:rsid w:val="0EC31A05"/>
    <w:rsid w:val="0EC8358F"/>
    <w:rsid w:val="0ECC307F"/>
    <w:rsid w:val="0ECC51D8"/>
    <w:rsid w:val="0ED21D61"/>
    <w:rsid w:val="0ED85EC8"/>
    <w:rsid w:val="0ED87C76"/>
    <w:rsid w:val="0EDE02CA"/>
    <w:rsid w:val="0EEC0320"/>
    <w:rsid w:val="0EFC4C73"/>
    <w:rsid w:val="0EFD435B"/>
    <w:rsid w:val="0F030445"/>
    <w:rsid w:val="0F053294"/>
    <w:rsid w:val="0F087E2F"/>
    <w:rsid w:val="0F0E321D"/>
    <w:rsid w:val="0F1105F8"/>
    <w:rsid w:val="0F227143"/>
    <w:rsid w:val="0F2A446E"/>
    <w:rsid w:val="0F2E5AE8"/>
    <w:rsid w:val="0F312C7C"/>
    <w:rsid w:val="0F326B9D"/>
    <w:rsid w:val="0F335007"/>
    <w:rsid w:val="0F3517A7"/>
    <w:rsid w:val="0F3F5F47"/>
    <w:rsid w:val="0F4C5F6E"/>
    <w:rsid w:val="0F582B65"/>
    <w:rsid w:val="0F5F0397"/>
    <w:rsid w:val="0F631FF2"/>
    <w:rsid w:val="0F7364F9"/>
    <w:rsid w:val="0F743660"/>
    <w:rsid w:val="0F76307C"/>
    <w:rsid w:val="0F7656DC"/>
    <w:rsid w:val="0F784FB5"/>
    <w:rsid w:val="0F7F6343"/>
    <w:rsid w:val="0F8A7343"/>
    <w:rsid w:val="0F977B31"/>
    <w:rsid w:val="0F9D2C6D"/>
    <w:rsid w:val="0FA1450C"/>
    <w:rsid w:val="0FB277A7"/>
    <w:rsid w:val="0FB3743C"/>
    <w:rsid w:val="0FB57FB7"/>
    <w:rsid w:val="0FB7688E"/>
    <w:rsid w:val="0FBB532E"/>
    <w:rsid w:val="0FBC5F97"/>
    <w:rsid w:val="0FC40777"/>
    <w:rsid w:val="0FCB3337"/>
    <w:rsid w:val="0FCB3E95"/>
    <w:rsid w:val="0FD31CC6"/>
    <w:rsid w:val="0FD5687F"/>
    <w:rsid w:val="0FDA17CC"/>
    <w:rsid w:val="0FE20680"/>
    <w:rsid w:val="0FE4264A"/>
    <w:rsid w:val="0FF01946"/>
    <w:rsid w:val="0FF20646"/>
    <w:rsid w:val="0FFA4837"/>
    <w:rsid w:val="0FFC3E38"/>
    <w:rsid w:val="100B407B"/>
    <w:rsid w:val="1017421D"/>
    <w:rsid w:val="10175B09"/>
    <w:rsid w:val="101F50FE"/>
    <w:rsid w:val="10214BB6"/>
    <w:rsid w:val="102913E9"/>
    <w:rsid w:val="102D3453"/>
    <w:rsid w:val="10340523"/>
    <w:rsid w:val="103948AE"/>
    <w:rsid w:val="103A12CF"/>
    <w:rsid w:val="103B42C8"/>
    <w:rsid w:val="103B4960"/>
    <w:rsid w:val="103E228D"/>
    <w:rsid w:val="103F26BC"/>
    <w:rsid w:val="10441BE1"/>
    <w:rsid w:val="1045075F"/>
    <w:rsid w:val="104906FF"/>
    <w:rsid w:val="106424DC"/>
    <w:rsid w:val="106A48CB"/>
    <w:rsid w:val="106F56DB"/>
    <w:rsid w:val="107F63B0"/>
    <w:rsid w:val="10817E99"/>
    <w:rsid w:val="10827230"/>
    <w:rsid w:val="108E3427"/>
    <w:rsid w:val="10947BCD"/>
    <w:rsid w:val="109550CD"/>
    <w:rsid w:val="10A15C3E"/>
    <w:rsid w:val="10A31499"/>
    <w:rsid w:val="10A5372C"/>
    <w:rsid w:val="10AB7216"/>
    <w:rsid w:val="10AF2C58"/>
    <w:rsid w:val="10B1077E"/>
    <w:rsid w:val="10B5197B"/>
    <w:rsid w:val="10B62239"/>
    <w:rsid w:val="10B75766"/>
    <w:rsid w:val="10BC7123"/>
    <w:rsid w:val="10C761F4"/>
    <w:rsid w:val="10CA5CE4"/>
    <w:rsid w:val="10D0547A"/>
    <w:rsid w:val="10D17073"/>
    <w:rsid w:val="10E50428"/>
    <w:rsid w:val="10EA5A3E"/>
    <w:rsid w:val="10EC0DFB"/>
    <w:rsid w:val="10ED3781"/>
    <w:rsid w:val="10F7015B"/>
    <w:rsid w:val="110202B8"/>
    <w:rsid w:val="11041025"/>
    <w:rsid w:val="110A60E1"/>
    <w:rsid w:val="110D7FF4"/>
    <w:rsid w:val="110F261A"/>
    <w:rsid w:val="110F618C"/>
    <w:rsid w:val="111274C7"/>
    <w:rsid w:val="1113444D"/>
    <w:rsid w:val="111F7DDE"/>
    <w:rsid w:val="112209D5"/>
    <w:rsid w:val="112278CE"/>
    <w:rsid w:val="1126138A"/>
    <w:rsid w:val="11332CEE"/>
    <w:rsid w:val="11361350"/>
    <w:rsid w:val="11374AF5"/>
    <w:rsid w:val="113B273E"/>
    <w:rsid w:val="113E3FDC"/>
    <w:rsid w:val="11421D1E"/>
    <w:rsid w:val="11427629"/>
    <w:rsid w:val="114A2981"/>
    <w:rsid w:val="115F06D1"/>
    <w:rsid w:val="116869F6"/>
    <w:rsid w:val="11762537"/>
    <w:rsid w:val="117722F0"/>
    <w:rsid w:val="11794946"/>
    <w:rsid w:val="117B5139"/>
    <w:rsid w:val="117C585D"/>
    <w:rsid w:val="117D024D"/>
    <w:rsid w:val="117F7BC3"/>
    <w:rsid w:val="11872B31"/>
    <w:rsid w:val="1187537A"/>
    <w:rsid w:val="118A5A9B"/>
    <w:rsid w:val="118D003F"/>
    <w:rsid w:val="118F3E7F"/>
    <w:rsid w:val="11A16A45"/>
    <w:rsid w:val="11A42091"/>
    <w:rsid w:val="11A547E7"/>
    <w:rsid w:val="11AC0F46"/>
    <w:rsid w:val="11C42733"/>
    <w:rsid w:val="11CD2944"/>
    <w:rsid w:val="11CE35B2"/>
    <w:rsid w:val="11D33C69"/>
    <w:rsid w:val="11D94FA3"/>
    <w:rsid w:val="11F23196"/>
    <w:rsid w:val="11FE7592"/>
    <w:rsid w:val="12064B4C"/>
    <w:rsid w:val="12105BF3"/>
    <w:rsid w:val="12107727"/>
    <w:rsid w:val="12127CF6"/>
    <w:rsid w:val="12175D84"/>
    <w:rsid w:val="121C256F"/>
    <w:rsid w:val="121C60CC"/>
    <w:rsid w:val="12215D85"/>
    <w:rsid w:val="12282CC2"/>
    <w:rsid w:val="12304696"/>
    <w:rsid w:val="123141F1"/>
    <w:rsid w:val="1238201E"/>
    <w:rsid w:val="123A2AD3"/>
    <w:rsid w:val="12470CDD"/>
    <w:rsid w:val="124841D3"/>
    <w:rsid w:val="1251159D"/>
    <w:rsid w:val="12521AED"/>
    <w:rsid w:val="125A6BF4"/>
    <w:rsid w:val="12635AA8"/>
    <w:rsid w:val="12696E37"/>
    <w:rsid w:val="126D6927"/>
    <w:rsid w:val="12720E55"/>
    <w:rsid w:val="12780EEF"/>
    <w:rsid w:val="12783BE8"/>
    <w:rsid w:val="127D1D74"/>
    <w:rsid w:val="128938D9"/>
    <w:rsid w:val="128D6FC9"/>
    <w:rsid w:val="128D714B"/>
    <w:rsid w:val="12986132"/>
    <w:rsid w:val="12990DE7"/>
    <w:rsid w:val="129C545E"/>
    <w:rsid w:val="129F1B30"/>
    <w:rsid w:val="12A1355F"/>
    <w:rsid w:val="12A165D1"/>
    <w:rsid w:val="12A24DDE"/>
    <w:rsid w:val="12AF0CEE"/>
    <w:rsid w:val="12B26A30"/>
    <w:rsid w:val="12B62D52"/>
    <w:rsid w:val="12B83E18"/>
    <w:rsid w:val="12BE7C8A"/>
    <w:rsid w:val="12C14EC5"/>
    <w:rsid w:val="12D26C07"/>
    <w:rsid w:val="12D42263"/>
    <w:rsid w:val="12D571DC"/>
    <w:rsid w:val="12D7291F"/>
    <w:rsid w:val="12D81760"/>
    <w:rsid w:val="12DA7995"/>
    <w:rsid w:val="12DF4770"/>
    <w:rsid w:val="12E301ED"/>
    <w:rsid w:val="12F064C0"/>
    <w:rsid w:val="12F628C1"/>
    <w:rsid w:val="12F63DBA"/>
    <w:rsid w:val="12F6698B"/>
    <w:rsid w:val="12F9465F"/>
    <w:rsid w:val="12F9640D"/>
    <w:rsid w:val="130227E6"/>
    <w:rsid w:val="13040310"/>
    <w:rsid w:val="13083084"/>
    <w:rsid w:val="130A061A"/>
    <w:rsid w:val="130B063D"/>
    <w:rsid w:val="130C2AC5"/>
    <w:rsid w:val="130D4EAD"/>
    <w:rsid w:val="13124624"/>
    <w:rsid w:val="131956F8"/>
    <w:rsid w:val="13315CC2"/>
    <w:rsid w:val="133236CD"/>
    <w:rsid w:val="133335CD"/>
    <w:rsid w:val="13337B71"/>
    <w:rsid w:val="133C6F06"/>
    <w:rsid w:val="13407566"/>
    <w:rsid w:val="13433B2C"/>
    <w:rsid w:val="13464470"/>
    <w:rsid w:val="13527640"/>
    <w:rsid w:val="13531FC1"/>
    <w:rsid w:val="1356480F"/>
    <w:rsid w:val="135D36BA"/>
    <w:rsid w:val="135D6B15"/>
    <w:rsid w:val="1360648C"/>
    <w:rsid w:val="1363255E"/>
    <w:rsid w:val="136A10B9"/>
    <w:rsid w:val="13712447"/>
    <w:rsid w:val="137F578F"/>
    <w:rsid w:val="138203C1"/>
    <w:rsid w:val="13831132"/>
    <w:rsid w:val="13855EF2"/>
    <w:rsid w:val="13873A19"/>
    <w:rsid w:val="13877EBC"/>
    <w:rsid w:val="13881F85"/>
    <w:rsid w:val="13894F7A"/>
    <w:rsid w:val="138E4DA7"/>
    <w:rsid w:val="13900717"/>
    <w:rsid w:val="13957C90"/>
    <w:rsid w:val="139A739E"/>
    <w:rsid w:val="139C2166"/>
    <w:rsid w:val="139D7296"/>
    <w:rsid w:val="13AE5449"/>
    <w:rsid w:val="13B724DD"/>
    <w:rsid w:val="13B862C8"/>
    <w:rsid w:val="13BC2582"/>
    <w:rsid w:val="13C050D1"/>
    <w:rsid w:val="13C22116"/>
    <w:rsid w:val="13C54541"/>
    <w:rsid w:val="13C62CB2"/>
    <w:rsid w:val="13CC1E79"/>
    <w:rsid w:val="13D03710"/>
    <w:rsid w:val="13D206FE"/>
    <w:rsid w:val="13DF3855"/>
    <w:rsid w:val="13E16B2F"/>
    <w:rsid w:val="13E744B7"/>
    <w:rsid w:val="13E9022F"/>
    <w:rsid w:val="13EC7D20"/>
    <w:rsid w:val="13EF0341"/>
    <w:rsid w:val="13F61006"/>
    <w:rsid w:val="13FD7792"/>
    <w:rsid w:val="14002792"/>
    <w:rsid w:val="14007D9D"/>
    <w:rsid w:val="140212F1"/>
    <w:rsid w:val="140C2170"/>
    <w:rsid w:val="14130632"/>
    <w:rsid w:val="141C6857"/>
    <w:rsid w:val="14236146"/>
    <w:rsid w:val="1424395D"/>
    <w:rsid w:val="14290F74"/>
    <w:rsid w:val="14327E28"/>
    <w:rsid w:val="14394E19"/>
    <w:rsid w:val="143A56D0"/>
    <w:rsid w:val="144332C8"/>
    <w:rsid w:val="14460456"/>
    <w:rsid w:val="144F703F"/>
    <w:rsid w:val="145004CF"/>
    <w:rsid w:val="145204CA"/>
    <w:rsid w:val="14531E2D"/>
    <w:rsid w:val="1457503A"/>
    <w:rsid w:val="14603B3A"/>
    <w:rsid w:val="14610BE6"/>
    <w:rsid w:val="14660C5D"/>
    <w:rsid w:val="146F569F"/>
    <w:rsid w:val="14700951"/>
    <w:rsid w:val="147F72E3"/>
    <w:rsid w:val="14814434"/>
    <w:rsid w:val="14832A4A"/>
    <w:rsid w:val="14A359F5"/>
    <w:rsid w:val="14A4510D"/>
    <w:rsid w:val="14AA1757"/>
    <w:rsid w:val="14AA76D3"/>
    <w:rsid w:val="14AC427B"/>
    <w:rsid w:val="14B16E45"/>
    <w:rsid w:val="14BE1C56"/>
    <w:rsid w:val="14BF71E2"/>
    <w:rsid w:val="14C029CA"/>
    <w:rsid w:val="14D40EDF"/>
    <w:rsid w:val="14D507B4"/>
    <w:rsid w:val="14D62EA9"/>
    <w:rsid w:val="14D964F6"/>
    <w:rsid w:val="14DA11B3"/>
    <w:rsid w:val="14DC1CB6"/>
    <w:rsid w:val="14DD6852"/>
    <w:rsid w:val="14E629C1"/>
    <w:rsid w:val="14E8498B"/>
    <w:rsid w:val="14EB6760"/>
    <w:rsid w:val="14F97F49"/>
    <w:rsid w:val="14FB6684"/>
    <w:rsid w:val="14FC302B"/>
    <w:rsid w:val="150829B2"/>
    <w:rsid w:val="1519544E"/>
    <w:rsid w:val="151A64D4"/>
    <w:rsid w:val="151C5ACE"/>
    <w:rsid w:val="152359C3"/>
    <w:rsid w:val="153A16CE"/>
    <w:rsid w:val="153B2D0D"/>
    <w:rsid w:val="153E45AB"/>
    <w:rsid w:val="154222ED"/>
    <w:rsid w:val="154764F1"/>
    <w:rsid w:val="15476AEB"/>
    <w:rsid w:val="154F67B8"/>
    <w:rsid w:val="155A2045"/>
    <w:rsid w:val="15652CB8"/>
    <w:rsid w:val="156C1118"/>
    <w:rsid w:val="156F29B6"/>
    <w:rsid w:val="15707694"/>
    <w:rsid w:val="15741F45"/>
    <w:rsid w:val="157B75AD"/>
    <w:rsid w:val="15841541"/>
    <w:rsid w:val="158421C3"/>
    <w:rsid w:val="158725C7"/>
    <w:rsid w:val="1589438A"/>
    <w:rsid w:val="158E1447"/>
    <w:rsid w:val="15911F10"/>
    <w:rsid w:val="1591645A"/>
    <w:rsid w:val="1594241D"/>
    <w:rsid w:val="15966195"/>
    <w:rsid w:val="15A96842"/>
    <w:rsid w:val="15A96F18"/>
    <w:rsid w:val="15AA50B2"/>
    <w:rsid w:val="15AC59B8"/>
    <w:rsid w:val="15B10E6A"/>
    <w:rsid w:val="15B12FCF"/>
    <w:rsid w:val="15B31C2B"/>
    <w:rsid w:val="15BF56EC"/>
    <w:rsid w:val="15C471A6"/>
    <w:rsid w:val="15D370F1"/>
    <w:rsid w:val="15D849FF"/>
    <w:rsid w:val="15E32EC1"/>
    <w:rsid w:val="15E601B6"/>
    <w:rsid w:val="15E64190"/>
    <w:rsid w:val="15F1105A"/>
    <w:rsid w:val="15F7693B"/>
    <w:rsid w:val="15FF7723"/>
    <w:rsid w:val="16026BD5"/>
    <w:rsid w:val="16061B5B"/>
    <w:rsid w:val="16075022"/>
    <w:rsid w:val="16111CBF"/>
    <w:rsid w:val="16163CF3"/>
    <w:rsid w:val="161D193E"/>
    <w:rsid w:val="161F6F3A"/>
    <w:rsid w:val="16232A71"/>
    <w:rsid w:val="16273291"/>
    <w:rsid w:val="162B4831"/>
    <w:rsid w:val="162C669D"/>
    <w:rsid w:val="163514E4"/>
    <w:rsid w:val="164125A5"/>
    <w:rsid w:val="16453998"/>
    <w:rsid w:val="16467111"/>
    <w:rsid w:val="164B3423"/>
    <w:rsid w:val="164C726B"/>
    <w:rsid w:val="16523E10"/>
    <w:rsid w:val="165A59DC"/>
    <w:rsid w:val="165F6BAB"/>
    <w:rsid w:val="16622331"/>
    <w:rsid w:val="166B13D0"/>
    <w:rsid w:val="1672275E"/>
    <w:rsid w:val="16795115"/>
    <w:rsid w:val="16866209"/>
    <w:rsid w:val="168E50BE"/>
    <w:rsid w:val="169052DA"/>
    <w:rsid w:val="16907088"/>
    <w:rsid w:val="169639AD"/>
    <w:rsid w:val="16987969"/>
    <w:rsid w:val="169A3A63"/>
    <w:rsid w:val="16A41944"/>
    <w:rsid w:val="16A42B33"/>
    <w:rsid w:val="16A843D2"/>
    <w:rsid w:val="16B523A1"/>
    <w:rsid w:val="16BB2ED7"/>
    <w:rsid w:val="16C23AA7"/>
    <w:rsid w:val="16C32FBA"/>
    <w:rsid w:val="16D056D6"/>
    <w:rsid w:val="16D45131"/>
    <w:rsid w:val="16E949A3"/>
    <w:rsid w:val="16EF7071"/>
    <w:rsid w:val="16F434A3"/>
    <w:rsid w:val="16F67D4F"/>
    <w:rsid w:val="16F72C63"/>
    <w:rsid w:val="16F91DF6"/>
    <w:rsid w:val="16FB6BF7"/>
    <w:rsid w:val="17044E70"/>
    <w:rsid w:val="170B4AC6"/>
    <w:rsid w:val="170E1C5A"/>
    <w:rsid w:val="170F5060"/>
    <w:rsid w:val="171301D4"/>
    <w:rsid w:val="171B54BE"/>
    <w:rsid w:val="171C6B6E"/>
    <w:rsid w:val="172204C2"/>
    <w:rsid w:val="172A7CC6"/>
    <w:rsid w:val="172B7B63"/>
    <w:rsid w:val="1732013F"/>
    <w:rsid w:val="173C4B1A"/>
    <w:rsid w:val="173E6AE4"/>
    <w:rsid w:val="17485BB5"/>
    <w:rsid w:val="174F2A9F"/>
    <w:rsid w:val="175653EE"/>
    <w:rsid w:val="17591B70"/>
    <w:rsid w:val="175D340E"/>
    <w:rsid w:val="176A77DE"/>
    <w:rsid w:val="17732C32"/>
    <w:rsid w:val="17751FAE"/>
    <w:rsid w:val="177E38E9"/>
    <w:rsid w:val="17810679"/>
    <w:rsid w:val="178C1302"/>
    <w:rsid w:val="17931A8E"/>
    <w:rsid w:val="17966920"/>
    <w:rsid w:val="17986ABF"/>
    <w:rsid w:val="17990AF4"/>
    <w:rsid w:val="179C0159"/>
    <w:rsid w:val="17AB7911"/>
    <w:rsid w:val="17AD456C"/>
    <w:rsid w:val="17AD6C65"/>
    <w:rsid w:val="17B7561E"/>
    <w:rsid w:val="17C42121"/>
    <w:rsid w:val="17C55AFC"/>
    <w:rsid w:val="17CF1E32"/>
    <w:rsid w:val="17D3547E"/>
    <w:rsid w:val="17D9680D"/>
    <w:rsid w:val="17DD3C65"/>
    <w:rsid w:val="17DD5C07"/>
    <w:rsid w:val="17DF7BA8"/>
    <w:rsid w:val="17E01CEC"/>
    <w:rsid w:val="17E860DD"/>
    <w:rsid w:val="17EB6307"/>
    <w:rsid w:val="17EB6C6C"/>
    <w:rsid w:val="17F04205"/>
    <w:rsid w:val="17F51899"/>
    <w:rsid w:val="17FC5F97"/>
    <w:rsid w:val="1800023D"/>
    <w:rsid w:val="180C0917"/>
    <w:rsid w:val="180E295A"/>
    <w:rsid w:val="180F4A32"/>
    <w:rsid w:val="18100480"/>
    <w:rsid w:val="18110986"/>
    <w:rsid w:val="18147845"/>
    <w:rsid w:val="18167E3C"/>
    <w:rsid w:val="18194620"/>
    <w:rsid w:val="181B4086"/>
    <w:rsid w:val="1821268E"/>
    <w:rsid w:val="18245CDA"/>
    <w:rsid w:val="182C5B39"/>
    <w:rsid w:val="182D6FD9"/>
    <w:rsid w:val="1835204F"/>
    <w:rsid w:val="18461FE0"/>
    <w:rsid w:val="18495740"/>
    <w:rsid w:val="18545220"/>
    <w:rsid w:val="185B6002"/>
    <w:rsid w:val="18625A74"/>
    <w:rsid w:val="186B1B5B"/>
    <w:rsid w:val="18790A5F"/>
    <w:rsid w:val="1888270D"/>
    <w:rsid w:val="188B6D2B"/>
    <w:rsid w:val="188B7B07"/>
    <w:rsid w:val="188E780C"/>
    <w:rsid w:val="188F2BC0"/>
    <w:rsid w:val="18910E95"/>
    <w:rsid w:val="18981F6C"/>
    <w:rsid w:val="18A73E51"/>
    <w:rsid w:val="18A74047"/>
    <w:rsid w:val="18B673B3"/>
    <w:rsid w:val="18BC5446"/>
    <w:rsid w:val="18BF63B0"/>
    <w:rsid w:val="18C249F0"/>
    <w:rsid w:val="18C4126B"/>
    <w:rsid w:val="18C5459A"/>
    <w:rsid w:val="18C56A10"/>
    <w:rsid w:val="18C916EA"/>
    <w:rsid w:val="18CC7B0B"/>
    <w:rsid w:val="18D466AE"/>
    <w:rsid w:val="18D93F02"/>
    <w:rsid w:val="18DF04D5"/>
    <w:rsid w:val="18E11E1D"/>
    <w:rsid w:val="18E60D9D"/>
    <w:rsid w:val="18E6772B"/>
    <w:rsid w:val="18F06FEA"/>
    <w:rsid w:val="18F953B8"/>
    <w:rsid w:val="18FB75E7"/>
    <w:rsid w:val="18FC63CC"/>
    <w:rsid w:val="190653E0"/>
    <w:rsid w:val="190B0C48"/>
    <w:rsid w:val="1910625E"/>
    <w:rsid w:val="19117E2E"/>
    <w:rsid w:val="192835A8"/>
    <w:rsid w:val="192C753C"/>
    <w:rsid w:val="192F5CC0"/>
    <w:rsid w:val="19306900"/>
    <w:rsid w:val="19327FA2"/>
    <w:rsid w:val="19333038"/>
    <w:rsid w:val="19357389"/>
    <w:rsid w:val="193A5372"/>
    <w:rsid w:val="193B0DC3"/>
    <w:rsid w:val="193D0126"/>
    <w:rsid w:val="194A5EDD"/>
    <w:rsid w:val="194D5B12"/>
    <w:rsid w:val="195844C8"/>
    <w:rsid w:val="195C3F80"/>
    <w:rsid w:val="195C5947"/>
    <w:rsid w:val="19615C2D"/>
    <w:rsid w:val="19636CD6"/>
    <w:rsid w:val="19706CFD"/>
    <w:rsid w:val="19744FD7"/>
    <w:rsid w:val="1977434B"/>
    <w:rsid w:val="197746AF"/>
    <w:rsid w:val="197902A7"/>
    <w:rsid w:val="197A08EF"/>
    <w:rsid w:val="197D7D98"/>
    <w:rsid w:val="19801636"/>
    <w:rsid w:val="198660B6"/>
    <w:rsid w:val="1993036C"/>
    <w:rsid w:val="199307E0"/>
    <w:rsid w:val="199B784A"/>
    <w:rsid w:val="19A05834"/>
    <w:rsid w:val="19A1335A"/>
    <w:rsid w:val="19A31984"/>
    <w:rsid w:val="19A3363A"/>
    <w:rsid w:val="19A85359"/>
    <w:rsid w:val="19A96B9D"/>
    <w:rsid w:val="19AB0240"/>
    <w:rsid w:val="19B06428"/>
    <w:rsid w:val="19BC1F42"/>
    <w:rsid w:val="19BD7615"/>
    <w:rsid w:val="19C13A96"/>
    <w:rsid w:val="19C63549"/>
    <w:rsid w:val="19C8453D"/>
    <w:rsid w:val="19C90789"/>
    <w:rsid w:val="19D155FE"/>
    <w:rsid w:val="19D44268"/>
    <w:rsid w:val="19D454DE"/>
    <w:rsid w:val="19D674A8"/>
    <w:rsid w:val="19D76D7C"/>
    <w:rsid w:val="19D83220"/>
    <w:rsid w:val="19D91BAB"/>
    <w:rsid w:val="19DB2D10"/>
    <w:rsid w:val="19DF151F"/>
    <w:rsid w:val="19E20B4E"/>
    <w:rsid w:val="19E44366"/>
    <w:rsid w:val="19EA7285"/>
    <w:rsid w:val="19F459F1"/>
    <w:rsid w:val="19FC3617"/>
    <w:rsid w:val="19FD4A34"/>
    <w:rsid w:val="19FD5E0C"/>
    <w:rsid w:val="1A045F0B"/>
    <w:rsid w:val="1A0A7151"/>
    <w:rsid w:val="1A0C111B"/>
    <w:rsid w:val="1A0D4D1B"/>
    <w:rsid w:val="1A150A4C"/>
    <w:rsid w:val="1A18361C"/>
    <w:rsid w:val="1A1948AB"/>
    <w:rsid w:val="1A1A4984"/>
    <w:rsid w:val="1A200AE0"/>
    <w:rsid w:val="1A361D66"/>
    <w:rsid w:val="1A3B555D"/>
    <w:rsid w:val="1A3C3108"/>
    <w:rsid w:val="1A3E57CD"/>
    <w:rsid w:val="1A4C1518"/>
    <w:rsid w:val="1A4C776A"/>
    <w:rsid w:val="1A574C00"/>
    <w:rsid w:val="1A594BAA"/>
    <w:rsid w:val="1A5D4EB8"/>
    <w:rsid w:val="1A5D54D3"/>
    <w:rsid w:val="1A6745A4"/>
    <w:rsid w:val="1A6A2704"/>
    <w:rsid w:val="1A6B4094"/>
    <w:rsid w:val="1A6C7531"/>
    <w:rsid w:val="1A78230D"/>
    <w:rsid w:val="1A7A0585"/>
    <w:rsid w:val="1A8A64CC"/>
    <w:rsid w:val="1A8A7AF5"/>
    <w:rsid w:val="1A903AFB"/>
    <w:rsid w:val="1A937147"/>
    <w:rsid w:val="1AA749A0"/>
    <w:rsid w:val="1AB05F4B"/>
    <w:rsid w:val="1AB377E9"/>
    <w:rsid w:val="1AB42075"/>
    <w:rsid w:val="1AB5229E"/>
    <w:rsid w:val="1AB8095B"/>
    <w:rsid w:val="1AC03F0D"/>
    <w:rsid w:val="1AC60579"/>
    <w:rsid w:val="1ACD2659"/>
    <w:rsid w:val="1ACE3423"/>
    <w:rsid w:val="1AD00D05"/>
    <w:rsid w:val="1AE640A3"/>
    <w:rsid w:val="1AE718C2"/>
    <w:rsid w:val="1AF20D68"/>
    <w:rsid w:val="1AF4212B"/>
    <w:rsid w:val="1AF7105A"/>
    <w:rsid w:val="1AFB284C"/>
    <w:rsid w:val="1B002D2B"/>
    <w:rsid w:val="1B0D0CA7"/>
    <w:rsid w:val="1B0D76E0"/>
    <w:rsid w:val="1B1117AC"/>
    <w:rsid w:val="1B122762"/>
    <w:rsid w:val="1B155DAE"/>
    <w:rsid w:val="1B1C786B"/>
    <w:rsid w:val="1B1F3429"/>
    <w:rsid w:val="1B2165EF"/>
    <w:rsid w:val="1B2547C6"/>
    <w:rsid w:val="1B2B561D"/>
    <w:rsid w:val="1B2F75F5"/>
    <w:rsid w:val="1B3E6240"/>
    <w:rsid w:val="1B3F2E2B"/>
    <w:rsid w:val="1B3F311A"/>
    <w:rsid w:val="1B455F02"/>
    <w:rsid w:val="1B46065D"/>
    <w:rsid w:val="1B481CDF"/>
    <w:rsid w:val="1B513EBB"/>
    <w:rsid w:val="1B51663F"/>
    <w:rsid w:val="1B5543FC"/>
    <w:rsid w:val="1B6121D7"/>
    <w:rsid w:val="1B631ADA"/>
    <w:rsid w:val="1B6A60FA"/>
    <w:rsid w:val="1B6A61A2"/>
    <w:rsid w:val="1B6B72AC"/>
    <w:rsid w:val="1B791B52"/>
    <w:rsid w:val="1B7C3F45"/>
    <w:rsid w:val="1B7E1BA5"/>
    <w:rsid w:val="1B8076CB"/>
    <w:rsid w:val="1B824889"/>
    <w:rsid w:val="1B8D1DE8"/>
    <w:rsid w:val="1B961960"/>
    <w:rsid w:val="1B966EEF"/>
    <w:rsid w:val="1BA710FC"/>
    <w:rsid w:val="1BA85FC5"/>
    <w:rsid w:val="1BA93FF7"/>
    <w:rsid w:val="1BAF57D8"/>
    <w:rsid w:val="1BAF59BF"/>
    <w:rsid w:val="1BC432EE"/>
    <w:rsid w:val="1BCA4D64"/>
    <w:rsid w:val="1BD2272B"/>
    <w:rsid w:val="1BD22E56"/>
    <w:rsid w:val="1BD82D85"/>
    <w:rsid w:val="1BDA6830"/>
    <w:rsid w:val="1BDB2B53"/>
    <w:rsid w:val="1BE025AB"/>
    <w:rsid w:val="1BF105C9"/>
    <w:rsid w:val="1BF14125"/>
    <w:rsid w:val="1BF3662A"/>
    <w:rsid w:val="1BFE65ED"/>
    <w:rsid w:val="1C0025BA"/>
    <w:rsid w:val="1C033E58"/>
    <w:rsid w:val="1C0813B4"/>
    <w:rsid w:val="1C0F0A4F"/>
    <w:rsid w:val="1C11441E"/>
    <w:rsid w:val="1C12067C"/>
    <w:rsid w:val="1C2E35CB"/>
    <w:rsid w:val="1C3038F3"/>
    <w:rsid w:val="1C33529A"/>
    <w:rsid w:val="1C47643B"/>
    <w:rsid w:val="1C511068"/>
    <w:rsid w:val="1C521A89"/>
    <w:rsid w:val="1C5B26D4"/>
    <w:rsid w:val="1C5B3C94"/>
    <w:rsid w:val="1C5E5533"/>
    <w:rsid w:val="1C5F2D20"/>
    <w:rsid w:val="1C605656"/>
    <w:rsid w:val="1C6074FD"/>
    <w:rsid w:val="1C654B13"/>
    <w:rsid w:val="1C685C06"/>
    <w:rsid w:val="1C6A3ED7"/>
    <w:rsid w:val="1C6B037B"/>
    <w:rsid w:val="1C6F7ECC"/>
    <w:rsid w:val="1C760868"/>
    <w:rsid w:val="1C7C2DB5"/>
    <w:rsid w:val="1C7D00AF"/>
    <w:rsid w:val="1C851B86"/>
    <w:rsid w:val="1C8B457A"/>
    <w:rsid w:val="1C8F4E94"/>
    <w:rsid w:val="1C931680"/>
    <w:rsid w:val="1C9C6F3A"/>
    <w:rsid w:val="1C9D59D3"/>
    <w:rsid w:val="1C9D6EDC"/>
    <w:rsid w:val="1C9F1042"/>
    <w:rsid w:val="1C9F27E3"/>
    <w:rsid w:val="1C9F6277"/>
    <w:rsid w:val="1CA86EA0"/>
    <w:rsid w:val="1CAA533B"/>
    <w:rsid w:val="1CBD522A"/>
    <w:rsid w:val="1CBE79FF"/>
    <w:rsid w:val="1CC413D0"/>
    <w:rsid w:val="1CCE26B8"/>
    <w:rsid w:val="1CD043C9"/>
    <w:rsid w:val="1CD5264B"/>
    <w:rsid w:val="1CDC23D3"/>
    <w:rsid w:val="1CE43C8A"/>
    <w:rsid w:val="1CEB3A4B"/>
    <w:rsid w:val="1CED3FB7"/>
    <w:rsid w:val="1CED65A2"/>
    <w:rsid w:val="1CF00A76"/>
    <w:rsid w:val="1CF00C6C"/>
    <w:rsid w:val="1CF814E3"/>
    <w:rsid w:val="1D007F39"/>
    <w:rsid w:val="1D0460DA"/>
    <w:rsid w:val="1D0C7143"/>
    <w:rsid w:val="1D104E5D"/>
    <w:rsid w:val="1D120D0E"/>
    <w:rsid w:val="1D1E51AE"/>
    <w:rsid w:val="1D222807"/>
    <w:rsid w:val="1D254DE8"/>
    <w:rsid w:val="1D296577"/>
    <w:rsid w:val="1D3B291F"/>
    <w:rsid w:val="1D3F2D73"/>
    <w:rsid w:val="1D417185"/>
    <w:rsid w:val="1D44297A"/>
    <w:rsid w:val="1D493738"/>
    <w:rsid w:val="1D554918"/>
    <w:rsid w:val="1D585070"/>
    <w:rsid w:val="1D594678"/>
    <w:rsid w:val="1D596426"/>
    <w:rsid w:val="1D5B1078"/>
    <w:rsid w:val="1D5E3A3C"/>
    <w:rsid w:val="1D630C35"/>
    <w:rsid w:val="1D762F10"/>
    <w:rsid w:val="1D7C0366"/>
    <w:rsid w:val="1D7C7330"/>
    <w:rsid w:val="1D7F1871"/>
    <w:rsid w:val="1D8434A4"/>
    <w:rsid w:val="1D8A1367"/>
    <w:rsid w:val="1D8B0FFF"/>
    <w:rsid w:val="1D990629"/>
    <w:rsid w:val="1D991566"/>
    <w:rsid w:val="1D995A07"/>
    <w:rsid w:val="1D9A0FEC"/>
    <w:rsid w:val="1D9E02DC"/>
    <w:rsid w:val="1DAB3824"/>
    <w:rsid w:val="1DAD5074"/>
    <w:rsid w:val="1DAE017A"/>
    <w:rsid w:val="1DAF6046"/>
    <w:rsid w:val="1DB26E76"/>
    <w:rsid w:val="1DB5481E"/>
    <w:rsid w:val="1DC43CB7"/>
    <w:rsid w:val="1DCF32A9"/>
    <w:rsid w:val="1DD526A6"/>
    <w:rsid w:val="1DD527C8"/>
    <w:rsid w:val="1DD65CC8"/>
    <w:rsid w:val="1DD67A76"/>
    <w:rsid w:val="1DE429ED"/>
    <w:rsid w:val="1DEB35B6"/>
    <w:rsid w:val="1DF1234A"/>
    <w:rsid w:val="1DF223D6"/>
    <w:rsid w:val="1DF269A8"/>
    <w:rsid w:val="1DF54569"/>
    <w:rsid w:val="1DF95513"/>
    <w:rsid w:val="1E05187C"/>
    <w:rsid w:val="1E087E4C"/>
    <w:rsid w:val="1E0F0C19"/>
    <w:rsid w:val="1E0F11DA"/>
    <w:rsid w:val="1E122A78"/>
    <w:rsid w:val="1E1757F5"/>
    <w:rsid w:val="1E1C77C6"/>
    <w:rsid w:val="1E255E1D"/>
    <w:rsid w:val="1E262080"/>
    <w:rsid w:val="1E276C3D"/>
    <w:rsid w:val="1E2C7742"/>
    <w:rsid w:val="1E2F298D"/>
    <w:rsid w:val="1E324D9F"/>
    <w:rsid w:val="1E345983"/>
    <w:rsid w:val="1E435B49"/>
    <w:rsid w:val="1E522E75"/>
    <w:rsid w:val="1E544E3F"/>
    <w:rsid w:val="1E58492F"/>
    <w:rsid w:val="1E6437FF"/>
    <w:rsid w:val="1E674667"/>
    <w:rsid w:val="1E72416F"/>
    <w:rsid w:val="1E764DB5"/>
    <w:rsid w:val="1E7B6870"/>
    <w:rsid w:val="1E8170BF"/>
    <w:rsid w:val="1E907630"/>
    <w:rsid w:val="1E91567A"/>
    <w:rsid w:val="1E9A0651"/>
    <w:rsid w:val="1E9D42BD"/>
    <w:rsid w:val="1EA01E32"/>
    <w:rsid w:val="1EA22E78"/>
    <w:rsid w:val="1EA41923"/>
    <w:rsid w:val="1EA92A65"/>
    <w:rsid w:val="1EAE09F3"/>
    <w:rsid w:val="1EBE3396"/>
    <w:rsid w:val="1EC024D4"/>
    <w:rsid w:val="1EC576E9"/>
    <w:rsid w:val="1EC64F86"/>
    <w:rsid w:val="1ED32208"/>
    <w:rsid w:val="1ED55F80"/>
    <w:rsid w:val="1ED61265"/>
    <w:rsid w:val="1EDB1D34"/>
    <w:rsid w:val="1EDE0263"/>
    <w:rsid w:val="1EE73926"/>
    <w:rsid w:val="1EEA7633"/>
    <w:rsid w:val="1F00110C"/>
    <w:rsid w:val="1F0077FF"/>
    <w:rsid w:val="1F022A45"/>
    <w:rsid w:val="1F062A4F"/>
    <w:rsid w:val="1F087540"/>
    <w:rsid w:val="1F090174"/>
    <w:rsid w:val="1F0C571A"/>
    <w:rsid w:val="1F11107E"/>
    <w:rsid w:val="1F122D30"/>
    <w:rsid w:val="1F1840BF"/>
    <w:rsid w:val="1F1A1BE5"/>
    <w:rsid w:val="1F1F1E32"/>
    <w:rsid w:val="1F273AC8"/>
    <w:rsid w:val="1F2C36C6"/>
    <w:rsid w:val="1F2D52BF"/>
    <w:rsid w:val="1F5076DD"/>
    <w:rsid w:val="1F5F4ACA"/>
    <w:rsid w:val="1F6666F2"/>
    <w:rsid w:val="1F7074E6"/>
    <w:rsid w:val="1F726EAC"/>
    <w:rsid w:val="1F752F25"/>
    <w:rsid w:val="1F784C8E"/>
    <w:rsid w:val="1F7E2174"/>
    <w:rsid w:val="1F7E68A8"/>
    <w:rsid w:val="1F7F4925"/>
    <w:rsid w:val="1F8B33EA"/>
    <w:rsid w:val="1F8C6692"/>
    <w:rsid w:val="1F95200F"/>
    <w:rsid w:val="1FA30A52"/>
    <w:rsid w:val="1FA46A26"/>
    <w:rsid w:val="1FAA498A"/>
    <w:rsid w:val="1FAE0C8A"/>
    <w:rsid w:val="1FB2093B"/>
    <w:rsid w:val="1FB62E02"/>
    <w:rsid w:val="1FBC4A4A"/>
    <w:rsid w:val="1FC1472E"/>
    <w:rsid w:val="1FC2478D"/>
    <w:rsid w:val="1FCF6E73"/>
    <w:rsid w:val="1FDC3B00"/>
    <w:rsid w:val="1FDF4406"/>
    <w:rsid w:val="1FE247A9"/>
    <w:rsid w:val="1FE43FA1"/>
    <w:rsid w:val="1FE55012"/>
    <w:rsid w:val="1FE65B4F"/>
    <w:rsid w:val="1FEB6654"/>
    <w:rsid w:val="1FF40688"/>
    <w:rsid w:val="200170BF"/>
    <w:rsid w:val="200C507E"/>
    <w:rsid w:val="200C59D1"/>
    <w:rsid w:val="20126D60"/>
    <w:rsid w:val="20133D98"/>
    <w:rsid w:val="201D12B1"/>
    <w:rsid w:val="20210F16"/>
    <w:rsid w:val="202778E3"/>
    <w:rsid w:val="202E3891"/>
    <w:rsid w:val="202F5468"/>
    <w:rsid w:val="20360F6D"/>
    <w:rsid w:val="203942EC"/>
    <w:rsid w:val="203A702A"/>
    <w:rsid w:val="20484530"/>
    <w:rsid w:val="20484838"/>
    <w:rsid w:val="20495A32"/>
    <w:rsid w:val="204D1DAA"/>
    <w:rsid w:val="2058529B"/>
    <w:rsid w:val="205B3C2D"/>
    <w:rsid w:val="20667C75"/>
    <w:rsid w:val="206750B4"/>
    <w:rsid w:val="206F5E63"/>
    <w:rsid w:val="20784E15"/>
    <w:rsid w:val="207E3E9F"/>
    <w:rsid w:val="20825C93"/>
    <w:rsid w:val="20850CB9"/>
    <w:rsid w:val="2091237A"/>
    <w:rsid w:val="209B3B08"/>
    <w:rsid w:val="20A21E92"/>
    <w:rsid w:val="20A41E58"/>
    <w:rsid w:val="20A43303"/>
    <w:rsid w:val="20A651FE"/>
    <w:rsid w:val="20A76100"/>
    <w:rsid w:val="20B001A3"/>
    <w:rsid w:val="20C15D3C"/>
    <w:rsid w:val="20D11476"/>
    <w:rsid w:val="20D45BC5"/>
    <w:rsid w:val="20E00C0C"/>
    <w:rsid w:val="20E16B5D"/>
    <w:rsid w:val="20E9484E"/>
    <w:rsid w:val="20EC5803"/>
    <w:rsid w:val="20F326ED"/>
    <w:rsid w:val="20F621DE"/>
    <w:rsid w:val="20FA7F20"/>
    <w:rsid w:val="20FD3686"/>
    <w:rsid w:val="21020B82"/>
    <w:rsid w:val="21052421"/>
    <w:rsid w:val="210C1A01"/>
    <w:rsid w:val="210F504D"/>
    <w:rsid w:val="2110329F"/>
    <w:rsid w:val="21114778"/>
    <w:rsid w:val="21187874"/>
    <w:rsid w:val="21196A48"/>
    <w:rsid w:val="211D776A"/>
    <w:rsid w:val="211E64CD"/>
    <w:rsid w:val="212A54C0"/>
    <w:rsid w:val="212B4F01"/>
    <w:rsid w:val="212C5501"/>
    <w:rsid w:val="212F6EC2"/>
    <w:rsid w:val="213056EF"/>
    <w:rsid w:val="214271D1"/>
    <w:rsid w:val="21494E75"/>
    <w:rsid w:val="2152653D"/>
    <w:rsid w:val="2155527D"/>
    <w:rsid w:val="215605A1"/>
    <w:rsid w:val="215D225D"/>
    <w:rsid w:val="21647C06"/>
    <w:rsid w:val="21651998"/>
    <w:rsid w:val="216D6944"/>
    <w:rsid w:val="217001E2"/>
    <w:rsid w:val="21710A4D"/>
    <w:rsid w:val="219A3A21"/>
    <w:rsid w:val="21AB2FC8"/>
    <w:rsid w:val="21B53EA6"/>
    <w:rsid w:val="21B73546"/>
    <w:rsid w:val="21BC48F8"/>
    <w:rsid w:val="21BE0E1A"/>
    <w:rsid w:val="21CC7BE4"/>
    <w:rsid w:val="21CE6CB6"/>
    <w:rsid w:val="21D73DBD"/>
    <w:rsid w:val="21DD0233"/>
    <w:rsid w:val="21E27B7A"/>
    <w:rsid w:val="21E3763B"/>
    <w:rsid w:val="21E8243E"/>
    <w:rsid w:val="21E85FCA"/>
    <w:rsid w:val="21F73AD3"/>
    <w:rsid w:val="21FE759C"/>
    <w:rsid w:val="21FF50C2"/>
    <w:rsid w:val="22032E04"/>
    <w:rsid w:val="22077FA2"/>
    <w:rsid w:val="22201FAE"/>
    <w:rsid w:val="22237002"/>
    <w:rsid w:val="222A213F"/>
    <w:rsid w:val="223E223C"/>
    <w:rsid w:val="224376A4"/>
    <w:rsid w:val="22454EF3"/>
    <w:rsid w:val="224D0523"/>
    <w:rsid w:val="224D7A95"/>
    <w:rsid w:val="22514935"/>
    <w:rsid w:val="225165FA"/>
    <w:rsid w:val="22631F1E"/>
    <w:rsid w:val="2265761B"/>
    <w:rsid w:val="226B5457"/>
    <w:rsid w:val="22764238"/>
    <w:rsid w:val="2277157C"/>
    <w:rsid w:val="22916138"/>
    <w:rsid w:val="22934188"/>
    <w:rsid w:val="229C0B63"/>
    <w:rsid w:val="22A13B7E"/>
    <w:rsid w:val="22B055BA"/>
    <w:rsid w:val="22B07D2C"/>
    <w:rsid w:val="22B12860"/>
    <w:rsid w:val="22B365D8"/>
    <w:rsid w:val="22B42048"/>
    <w:rsid w:val="22B65060"/>
    <w:rsid w:val="22BA3A2B"/>
    <w:rsid w:val="22BC3B4B"/>
    <w:rsid w:val="22BF2DEB"/>
    <w:rsid w:val="22BF58A6"/>
    <w:rsid w:val="22C00CF5"/>
    <w:rsid w:val="22C205C9"/>
    <w:rsid w:val="22C57779"/>
    <w:rsid w:val="22C97FF1"/>
    <w:rsid w:val="22CA3922"/>
    <w:rsid w:val="22CC74FF"/>
    <w:rsid w:val="22D61532"/>
    <w:rsid w:val="22D61E45"/>
    <w:rsid w:val="22D91ACF"/>
    <w:rsid w:val="22FE2786"/>
    <w:rsid w:val="23002211"/>
    <w:rsid w:val="23040BE2"/>
    <w:rsid w:val="230A0A85"/>
    <w:rsid w:val="231724A7"/>
    <w:rsid w:val="23186035"/>
    <w:rsid w:val="231B0D18"/>
    <w:rsid w:val="23211756"/>
    <w:rsid w:val="2321772C"/>
    <w:rsid w:val="23243750"/>
    <w:rsid w:val="23294AEC"/>
    <w:rsid w:val="232A6284"/>
    <w:rsid w:val="232E5C5F"/>
    <w:rsid w:val="23456A8A"/>
    <w:rsid w:val="23470101"/>
    <w:rsid w:val="234D6635"/>
    <w:rsid w:val="23582238"/>
    <w:rsid w:val="235F22BC"/>
    <w:rsid w:val="23607DE2"/>
    <w:rsid w:val="23687BB6"/>
    <w:rsid w:val="23732817"/>
    <w:rsid w:val="237369FB"/>
    <w:rsid w:val="2384294E"/>
    <w:rsid w:val="23862A1A"/>
    <w:rsid w:val="23871813"/>
    <w:rsid w:val="238B30B1"/>
    <w:rsid w:val="238E2BA1"/>
    <w:rsid w:val="23997928"/>
    <w:rsid w:val="239979B0"/>
    <w:rsid w:val="239C52BE"/>
    <w:rsid w:val="23A67EEB"/>
    <w:rsid w:val="23A75A11"/>
    <w:rsid w:val="23AF4EE9"/>
    <w:rsid w:val="23B56380"/>
    <w:rsid w:val="23BB3C1A"/>
    <w:rsid w:val="23C35A13"/>
    <w:rsid w:val="23F44CC2"/>
    <w:rsid w:val="23FA4382"/>
    <w:rsid w:val="24013373"/>
    <w:rsid w:val="2415065A"/>
    <w:rsid w:val="241755C6"/>
    <w:rsid w:val="24181347"/>
    <w:rsid w:val="2419690F"/>
    <w:rsid w:val="241C08F5"/>
    <w:rsid w:val="241C73D4"/>
    <w:rsid w:val="241D66D2"/>
    <w:rsid w:val="241F36B6"/>
    <w:rsid w:val="24214159"/>
    <w:rsid w:val="242B503D"/>
    <w:rsid w:val="243A2195"/>
    <w:rsid w:val="243E39F1"/>
    <w:rsid w:val="24415E66"/>
    <w:rsid w:val="24425253"/>
    <w:rsid w:val="244A568C"/>
    <w:rsid w:val="244C4A55"/>
    <w:rsid w:val="244F2331"/>
    <w:rsid w:val="24574A74"/>
    <w:rsid w:val="245E4322"/>
    <w:rsid w:val="245F117A"/>
    <w:rsid w:val="245F14F0"/>
    <w:rsid w:val="24640FC9"/>
    <w:rsid w:val="246550EE"/>
    <w:rsid w:val="246E608C"/>
    <w:rsid w:val="247973AD"/>
    <w:rsid w:val="248068BD"/>
    <w:rsid w:val="24843748"/>
    <w:rsid w:val="248775D7"/>
    <w:rsid w:val="24957DD5"/>
    <w:rsid w:val="249917FE"/>
    <w:rsid w:val="24A02B8C"/>
    <w:rsid w:val="24A0493A"/>
    <w:rsid w:val="24A8310A"/>
    <w:rsid w:val="24AD52A9"/>
    <w:rsid w:val="24AF2DCF"/>
    <w:rsid w:val="24B053D4"/>
    <w:rsid w:val="24B16729"/>
    <w:rsid w:val="24B86B76"/>
    <w:rsid w:val="24BC250D"/>
    <w:rsid w:val="24C00BF9"/>
    <w:rsid w:val="24C4361A"/>
    <w:rsid w:val="24D171E9"/>
    <w:rsid w:val="24D70266"/>
    <w:rsid w:val="24D84EAD"/>
    <w:rsid w:val="24D86D93"/>
    <w:rsid w:val="24DB1E3F"/>
    <w:rsid w:val="24DE1906"/>
    <w:rsid w:val="24E0567E"/>
    <w:rsid w:val="24E567F1"/>
    <w:rsid w:val="24E85F11"/>
    <w:rsid w:val="24F609FE"/>
    <w:rsid w:val="25007ACF"/>
    <w:rsid w:val="25064315"/>
    <w:rsid w:val="25095AC6"/>
    <w:rsid w:val="250C326C"/>
    <w:rsid w:val="25106A1C"/>
    <w:rsid w:val="25184226"/>
    <w:rsid w:val="251A0B90"/>
    <w:rsid w:val="251B0465"/>
    <w:rsid w:val="25207829"/>
    <w:rsid w:val="252217F3"/>
    <w:rsid w:val="25244341"/>
    <w:rsid w:val="25266084"/>
    <w:rsid w:val="252E6212"/>
    <w:rsid w:val="25314C6E"/>
    <w:rsid w:val="253634F0"/>
    <w:rsid w:val="25366C0A"/>
    <w:rsid w:val="253946AA"/>
    <w:rsid w:val="253B1C09"/>
    <w:rsid w:val="253B7832"/>
    <w:rsid w:val="253D662D"/>
    <w:rsid w:val="254259F1"/>
    <w:rsid w:val="25487F6B"/>
    <w:rsid w:val="254B410C"/>
    <w:rsid w:val="254C2D14"/>
    <w:rsid w:val="255073F1"/>
    <w:rsid w:val="25611F9D"/>
    <w:rsid w:val="256F586B"/>
    <w:rsid w:val="25720BED"/>
    <w:rsid w:val="257515AD"/>
    <w:rsid w:val="2576656F"/>
    <w:rsid w:val="25852ABC"/>
    <w:rsid w:val="258572E6"/>
    <w:rsid w:val="25861354"/>
    <w:rsid w:val="258E422F"/>
    <w:rsid w:val="259049AF"/>
    <w:rsid w:val="259439FC"/>
    <w:rsid w:val="25944756"/>
    <w:rsid w:val="259A0181"/>
    <w:rsid w:val="259C15A5"/>
    <w:rsid w:val="259E1E3D"/>
    <w:rsid w:val="259F67B0"/>
    <w:rsid w:val="25A768AE"/>
    <w:rsid w:val="25AB4F81"/>
    <w:rsid w:val="25BD5913"/>
    <w:rsid w:val="25BE7351"/>
    <w:rsid w:val="25BF43FD"/>
    <w:rsid w:val="25C04100"/>
    <w:rsid w:val="25C557E5"/>
    <w:rsid w:val="25CC0F82"/>
    <w:rsid w:val="25DF21DD"/>
    <w:rsid w:val="25E678A2"/>
    <w:rsid w:val="25E96A38"/>
    <w:rsid w:val="25EA26A6"/>
    <w:rsid w:val="25EF059B"/>
    <w:rsid w:val="25F25669"/>
    <w:rsid w:val="25FB61DE"/>
    <w:rsid w:val="260405C6"/>
    <w:rsid w:val="260B1236"/>
    <w:rsid w:val="260C2B5D"/>
    <w:rsid w:val="261C4494"/>
    <w:rsid w:val="261F1A90"/>
    <w:rsid w:val="261F5D33"/>
    <w:rsid w:val="26215F4F"/>
    <w:rsid w:val="26245763"/>
    <w:rsid w:val="2634179D"/>
    <w:rsid w:val="264562B9"/>
    <w:rsid w:val="264759A4"/>
    <w:rsid w:val="264B2F4F"/>
    <w:rsid w:val="265359DC"/>
    <w:rsid w:val="265D00EF"/>
    <w:rsid w:val="265E7E84"/>
    <w:rsid w:val="2668134A"/>
    <w:rsid w:val="266967EE"/>
    <w:rsid w:val="26751DF6"/>
    <w:rsid w:val="2685028B"/>
    <w:rsid w:val="268B18B9"/>
    <w:rsid w:val="268B33C8"/>
    <w:rsid w:val="26924756"/>
    <w:rsid w:val="269C1C28"/>
    <w:rsid w:val="269D7312"/>
    <w:rsid w:val="269F0C21"/>
    <w:rsid w:val="26A1099D"/>
    <w:rsid w:val="26A14F62"/>
    <w:rsid w:val="26A24C02"/>
    <w:rsid w:val="26A5448A"/>
    <w:rsid w:val="26A637A3"/>
    <w:rsid w:val="26A82D77"/>
    <w:rsid w:val="26AA4776"/>
    <w:rsid w:val="26AD33FF"/>
    <w:rsid w:val="26B1325B"/>
    <w:rsid w:val="26B35307"/>
    <w:rsid w:val="26BA22E5"/>
    <w:rsid w:val="26BC0429"/>
    <w:rsid w:val="26BC11AE"/>
    <w:rsid w:val="26BF15E8"/>
    <w:rsid w:val="26C9481D"/>
    <w:rsid w:val="26CA5D8A"/>
    <w:rsid w:val="26CE1144"/>
    <w:rsid w:val="26CE221D"/>
    <w:rsid w:val="26D04CBC"/>
    <w:rsid w:val="26D059E0"/>
    <w:rsid w:val="26D95F06"/>
    <w:rsid w:val="26DE5BEE"/>
    <w:rsid w:val="26DF5406"/>
    <w:rsid w:val="26EA4592"/>
    <w:rsid w:val="26F27B9B"/>
    <w:rsid w:val="26F61189"/>
    <w:rsid w:val="26F92A28"/>
    <w:rsid w:val="26FB67A0"/>
    <w:rsid w:val="27070CA1"/>
    <w:rsid w:val="270E5D30"/>
    <w:rsid w:val="27170191"/>
    <w:rsid w:val="27185D2E"/>
    <w:rsid w:val="27257379"/>
    <w:rsid w:val="27266514"/>
    <w:rsid w:val="27286DB4"/>
    <w:rsid w:val="27303202"/>
    <w:rsid w:val="27441EF5"/>
    <w:rsid w:val="27463F98"/>
    <w:rsid w:val="27516E21"/>
    <w:rsid w:val="27580C09"/>
    <w:rsid w:val="276500BD"/>
    <w:rsid w:val="276671C2"/>
    <w:rsid w:val="27694E3C"/>
    <w:rsid w:val="27787DF0"/>
    <w:rsid w:val="277E4B5A"/>
    <w:rsid w:val="27867B03"/>
    <w:rsid w:val="278C564A"/>
    <w:rsid w:val="278E3170"/>
    <w:rsid w:val="278F0C96"/>
    <w:rsid w:val="27926E5B"/>
    <w:rsid w:val="279C3FA0"/>
    <w:rsid w:val="27A6495D"/>
    <w:rsid w:val="27A86F2B"/>
    <w:rsid w:val="27B04EB1"/>
    <w:rsid w:val="27B70919"/>
    <w:rsid w:val="27B801ED"/>
    <w:rsid w:val="27B843BD"/>
    <w:rsid w:val="27BA03F6"/>
    <w:rsid w:val="27BF5A1F"/>
    <w:rsid w:val="27C06EE1"/>
    <w:rsid w:val="27C6290A"/>
    <w:rsid w:val="27CB6172"/>
    <w:rsid w:val="27CC1EEA"/>
    <w:rsid w:val="27D86AE1"/>
    <w:rsid w:val="27E15995"/>
    <w:rsid w:val="27E532D7"/>
    <w:rsid w:val="27EE3264"/>
    <w:rsid w:val="27F56459"/>
    <w:rsid w:val="27F75178"/>
    <w:rsid w:val="28043B56"/>
    <w:rsid w:val="280D678A"/>
    <w:rsid w:val="2811744B"/>
    <w:rsid w:val="281210C5"/>
    <w:rsid w:val="28153891"/>
    <w:rsid w:val="28196B08"/>
    <w:rsid w:val="281E1B20"/>
    <w:rsid w:val="28225752"/>
    <w:rsid w:val="2828758C"/>
    <w:rsid w:val="28305FD5"/>
    <w:rsid w:val="28355CE1"/>
    <w:rsid w:val="28376FB9"/>
    <w:rsid w:val="283C5315"/>
    <w:rsid w:val="284624AF"/>
    <w:rsid w:val="284A4D73"/>
    <w:rsid w:val="284D4DD9"/>
    <w:rsid w:val="2852346A"/>
    <w:rsid w:val="28532FED"/>
    <w:rsid w:val="28553C8E"/>
    <w:rsid w:val="28563058"/>
    <w:rsid w:val="285D362E"/>
    <w:rsid w:val="28612632"/>
    <w:rsid w:val="28620159"/>
    <w:rsid w:val="286363AA"/>
    <w:rsid w:val="28641951"/>
    <w:rsid w:val="28646CD1"/>
    <w:rsid w:val="2867652F"/>
    <w:rsid w:val="28682685"/>
    <w:rsid w:val="286A598B"/>
    <w:rsid w:val="286E636E"/>
    <w:rsid w:val="28703732"/>
    <w:rsid w:val="287915C8"/>
    <w:rsid w:val="28795BCE"/>
    <w:rsid w:val="28850779"/>
    <w:rsid w:val="288C31D4"/>
    <w:rsid w:val="288F719F"/>
    <w:rsid w:val="28940C5A"/>
    <w:rsid w:val="2895052E"/>
    <w:rsid w:val="28987C65"/>
    <w:rsid w:val="289E01EA"/>
    <w:rsid w:val="28A12C5C"/>
    <w:rsid w:val="28A61DCC"/>
    <w:rsid w:val="28A80261"/>
    <w:rsid w:val="28AA4330"/>
    <w:rsid w:val="28AD3ACA"/>
    <w:rsid w:val="28B5297E"/>
    <w:rsid w:val="28B62C0F"/>
    <w:rsid w:val="28BE0AEE"/>
    <w:rsid w:val="28BF6A80"/>
    <w:rsid w:val="28C00686"/>
    <w:rsid w:val="28C5494A"/>
    <w:rsid w:val="28C606E7"/>
    <w:rsid w:val="28C81E36"/>
    <w:rsid w:val="28D23530"/>
    <w:rsid w:val="28F217FD"/>
    <w:rsid w:val="28F54BA6"/>
    <w:rsid w:val="28F60FCD"/>
    <w:rsid w:val="28FE7C9B"/>
    <w:rsid w:val="2905170F"/>
    <w:rsid w:val="2909347D"/>
    <w:rsid w:val="290F6532"/>
    <w:rsid w:val="29111219"/>
    <w:rsid w:val="2912553B"/>
    <w:rsid w:val="291259B4"/>
    <w:rsid w:val="291B24BC"/>
    <w:rsid w:val="291D29FD"/>
    <w:rsid w:val="2924728B"/>
    <w:rsid w:val="293146FB"/>
    <w:rsid w:val="29361FDD"/>
    <w:rsid w:val="29375370"/>
    <w:rsid w:val="293F1C4C"/>
    <w:rsid w:val="293F7263"/>
    <w:rsid w:val="294066EC"/>
    <w:rsid w:val="294206B6"/>
    <w:rsid w:val="29420A80"/>
    <w:rsid w:val="29450C10"/>
    <w:rsid w:val="295554B8"/>
    <w:rsid w:val="2960687D"/>
    <w:rsid w:val="2962672C"/>
    <w:rsid w:val="29695C42"/>
    <w:rsid w:val="296A5517"/>
    <w:rsid w:val="296B6BBA"/>
    <w:rsid w:val="296C7758"/>
    <w:rsid w:val="296D5282"/>
    <w:rsid w:val="296F0D7F"/>
    <w:rsid w:val="29744111"/>
    <w:rsid w:val="297445E7"/>
    <w:rsid w:val="2976035F"/>
    <w:rsid w:val="29762332"/>
    <w:rsid w:val="29764B01"/>
    <w:rsid w:val="298E50DF"/>
    <w:rsid w:val="29986528"/>
    <w:rsid w:val="299E3412"/>
    <w:rsid w:val="29A273A6"/>
    <w:rsid w:val="29A547A1"/>
    <w:rsid w:val="29AA1416"/>
    <w:rsid w:val="29AB0526"/>
    <w:rsid w:val="29AF73CD"/>
    <w:rsid w:val="29B445A8"/>
    <w:rsid w:val="29B54E5E"/>
    <w:rsid w:val="29B73240"/>
    <w:rsid w:val="29C04C11"/>
    <w:rsid w:val="29C76E0D"/>
    <w:rsid w:val="29C8042A"/>
    <w:rsid w:val="29DB6F1A"/>
    <w:rsid w:val="29E11D6A"/>
    <w:rsid w:val="29E5736D"/>
    <w:rsid w:val="29EB58A7"/>
    <w:rsid w:val="29F244FF"/>
    <w:rsid w:val="29F37C02"/>
    <w:rsid w:val="2A075D87"/>
    <w:rsid w:val="2A0C7900"/>
    <w:rsid w:val="2A0F7F3F"/>
    <w:rsid w:val="2A122468"/>
    <w:rsid w:val="2A1262DA"/>
    <w:rsid w:val="2A133B70"/>
    <w:rsid w:val="2A157B78"/>
    <w:rsid w:val="2A194002"/>
    <w:rsid w:val="2A1A0FB7"/>
    <w:rsid w:val="2A1A5A4D"/>
    <w:rsid w:val="2A27165A"/>
    <w:rsid w:val="2A293624"/>
    <w:rsid w:val="2A321D99"/>
    <w:rsid w:val="2A340160"/>
    <w:rsid w:val="2A377B19"/>
    <w:rsid w:val="2A41271B"/>
    <w:rsid w:val="2A47392C"/>
    <w:rsid w:val="2A48639C"/>
    <w:rsid w:val="2A4915D0"/>
    <w:rsid w:val="2A497822"/>
    <w:rsid w:val="2A4A348B"/>
    <w:rsid w:val="2A4B1AD7"/>
    <w:rsid w:val="2A4E55B4"/>
    <w:rsid w:val="2A56033C"/>
    <w:rsid w:val="2A663F30"/>
    <w:rsid w:val="2A6B1546"/>
    <w:rsid w:val="2A733FD2"/>
    <w:rsid w:val="2A7423E6"/>
    <w:rsid w:val="2A765378"/>
    <w:rsid w:val="2A77613D"/>
    <w:rsid w:val="2A7A0A6A"/>
    <w:rsid w:val="2A7E4FFF"/>
    <w:rsid w:val="2A823283"/>
    <w:rsid w:val="2A866380"/>
    <w:rsid w:val="2A8E4E37"/>
    <w:rsid w:val="2A952A67"/>
    <w:rsid w:val="2A996298"/>
    <w:rsid w:val="2AA44A58"/>
    <w:rsid w:val="2AA82494"/>
    <w:rsid w:val="2AAD3FFD"/>
    <w:rsid w:val="2AAE6163"/>
    <w:rsid w:val="2AB56C65"/>
    <w:rsid w:val="2AB615C9"/>
    <w:rsid w:val="2AB84177"/>
    <w:rsid w:val="2AB84D98"/>
    <w:rsid w:val="2AC22337"/>
    <w:rsid w:val="2AC3381C"/>
    <w:rsid w:val="2ACB0237"/>
    <w:rsid w:val="2ACE16E6"/>
    <w:rsid w:val="2AD16559"/>
    <w:rsid w:val="2AD25EBF"/>
    <w:rsid w:val="2ADC22B0"/>
    <w:rsid w:val="2AE30F63"/>
    <w:rsid w:val="2AED5ED3"/>
    <w:rsid w:val="2AF577E1"/>
    <w:rsid w:val="2AF7102C"/>
    <w:rsid w:val="2AF94DA4"/>
    <w:rsid w:val="2AFC6824"/>
    <w:rsid w:val="2B013C59"/>
    <w:rsid w:val="2B0D4CF3"/>
    <w:rsid w:val="2B0E2103"/>
    <w:rsid w:val="2B12230A"/>
    <w:rsid w:val="2B162741"/>
    <w:rsid w:val="2B1653BE"/>
    <w:rsid w:val="2B1A4D1A"/>
    <w:rsid w:val="2B2160A9"/>
    <w:rsid w:val="2B22254D"/>
    <w:rsid w:val="2B2B6F28"/>
    <w:rsid w:val="2B2D7144"/>
    <w:rsid w:val="2B3C1135"/>
    <w:rsid w:val="2B3E4688"/>
    <w:rsid w:val="2B4029D3"/>
    <w:rsid w:val="2B407E46"/>
    <w:rsid w:val="2B416015"/>
    <w:rsid w:val="2B4A0E80"/>
    <w:rsid w:val="2B5A3C59"/>
    <w:rsid w:val="2B5E1A84"/>
    <w:rsid w:val="2B5E3D62"/>
    <w:rsid w:val="2B620288"/>
    <w:rsid w:val="2B663B9E"/>
    <w:rsid w:val="2B681F2A"/>
    <w:rsid w:val="2B6E2239"/>
    <w:rsid w:val="2B6F150A"/>
    <w:rsid w:val="2B7F0611"/>
    <w:rsid w:val="2B807273"/>
    <w:rsid w:val="2B87339A"/>
    <w:rsid w:val="2B895A69"/>
    <w:rsid w:val="2B8A6E08"/>
    <w:rsid w:val="2B8E6A79"/>
    <w:rsid w:val="2B900624"/>
    <w:rsid w:val="2B935B93"/>
    <w:rsid w:val="2B984B4D"/>
    <w:rsid w:val="2BA0064C"/>
    <w:rsid w:val="2BAC5B4E"/>
    <w:rsid w:val="2BAF2686"/>
    <w:rsid w:val="2BB97972"/>
    <w:rsid w:val="2BBB64FD"/>
    <w:rsid w:val="2BBE7D9C"/>
    <w:rsid w:val="2BCB049B"/>
    <w:rsid w:val="2BCD7669"/>
    <w:rsid w:val="2BD01B4D"/>
    <w:rsid w:val="2BD8066A"/>
    <w:rsid w:val="2BE21ACF"/>
    <w:rsid w:val="2BE93D5C"/>
    <w:rsid w:val="2BEA293F"/>
    <w:rsid w:val="2BEE5CA9"/>
    <w:rsid w:val="2BFC4D47"/>
    <w:rsid w:val="2BFE3F26"/>
    <w:rsid w:val="2C016606"/>
    <w:rsid w:val="2C0339F0"/>
    <w:rsid w:val="2C0C4FAB"/>
    <w:rsid w:val="2C115F6B"/>
    <w:rsid w:val="2C1856FE"/>
    <w:rsid w:val="2C1C51EE"/>
    <w:rsid w:val="2C2F02F7"/>
    <w:rsid w:val="2C2F66DC"/>
    <w:rsid w:val="2C3B13EC"/>
    <w:rsid w:val="2C40212A"/>
    <w:rsid w:val="2C45070E"/>
    <w:rsid w:val="2C464019"/>
    <w:rsid w:val="2C5867E5"/>
    <w:rsid w:val="2C5C6270"/>
    <w:rsid w:val="2C614155"/>
    <w:rsid w:val="2C6170A5"/>
    <w:rsid w:val="2C637962"/>
    <w:rsid w:val="2C676FB1"/>
    <w:rsid w:val="2C7C61A2"/>
    <w:rsid w:val="2C7F577D"/>
    <w:rsid w:val="2C822E7C"/>
    <w:rsid w:val="2C8407B9"/>
    <w:rsid w:val="2C8B5738"/>
    <w:rsid w:val="2C8D4DAA"/>
    <w:rsid w:val="2C8E211B"/>
    <w:rsid w:val="2C934D84"/>
    <w:rsid w:val="2C995624"/>
    <w:rsid w:val="2C9B3EF0"/>
    <w:rsid w:val="2CAD7CF6"/>
    <w:rsid w:val="2CB35427"/>
    <w:rsid w:val="2CB52E1C"/>
    <w:rsid w:val="2CB82A3D"/>
    <w:rsid w:val="2CBD0053"/>
    <w:rsid w:val="2CC03E44"/>
    <w:rsid w:val="2CC338BC"/>
    <w:rsid w:val="2CC71EB8"/>
    <w:rsid w:val="2CCB6C14"/>
    <w:rsid w:val="2CCD473A"/>
    <w:rsid w:val="2CD07735"/>
    <w:rsid w:val="2CD61049"/>
    <w:rsid w:val="2CDE1D2D"/>
    <w:rsid w:val="2CE049E7"/>
    <w:rsid w:val="2CE10FAE"/>
    <w:rsid w:val="2CE27E97"/>
    <w:rsid w:val="2CEF1BF0"/>
    <w:rsid w:val="2CF77A09"/>
    <w:rsid w:val="2D017EDB"/>
    <w:rsid w:val="2D031663"/>
    <w:rsid w:val="2D0444C8"/>
    <w:rsid w:val="2D0619FA"/>
    <w:rsid w:val="2D084E2A"/>
    <w:rsid w:val="2D085772"/>
    <w:rsid w:val="2D0B5263"/>
    <w:rsid w:val="2D1640F9"/>
    <w:rsid w:val="2D241B62"/>
    <w:rsid w:val="2D286CEF"/>
    <w:rsid w:val="2D2A0B7C"/>
    <w:rsid w:val="2D2F14C9"/>
    <w:rsid w:val="2D35534D"/>
    <w:rsid w:val="2D40315E"/>
    <w:rsid w:val="2D426ED6"/>
    <w:rsid w:val="2D430559"/>
    <w:rsid w:val="2D433EAD"/>
    <w:rsid w:val="2D4C1B03"/>
    <w:rsid w:val="2D4E1CB8"/>
    <w:rsid w:val="2D5F26F6"/>
    <w:rsid w:val="2D60110A"/>
    <w:rsid w:val="2D6706EB"/>
    <w:rsid w:val="2D6A00BC"/>
    <w:rsid w:val="2D720E3E"/>
    <w:rsid w:val="2D80355B"/>
    <w:rsid w:val="2D831E43"/>
    <w:rsid w:val="2D855015"/>
    <w:rsid w:val="2D8C498B"/>
    <w:rsid w:val="2D931C39"/>
    <w:rsid w:val="2D940B3D"/>
    <w:rsid w:val="2D964B2C"/>
    <w:rsid w:val="2D98230F"/>
    <w:rsid w:val="2D993488"/>
    <w:rsid w:val="2D9A53B0"/>
    <w:rsid w:val="2D9B2143"/>
    <w:rsid w:val="2D9D2698"/>
    <w:rsid w:val="2DA14789"/>
    <w:rsid w:val="2DAD67B8"/>
    <w:rsid w:val="2DAE6769"/>
    <w:rsid w:val="2DAF5DC8"/>
    <w:rsid w:val="2DB931B3"/>
    <w:rsid w:val="2DB94CBF"/>
    <w:rsid w:val="2DC60B6D"/>
    <w:rsid w:val="2DCA6ECC"/>
    <w:rsid w:val="2DD45655"/>
    <w:rsid w:val="2DD467C4"/>
    <w:rsid w:val="2DDC0D42"/>
    <w:rsid w:val="2DDD6BFF"/>
    <w:rsid w:val="2DDF23BA"/>
    <w:rsid w:val="2DE00249"/>
    <w:rsid w:val="2DED6716"/>
    <w:rsid w:val="2DF652EB"/>
    <w:rsid w:val="2DFF51D4"/>
    <w:rsid w:val="2E0221C2"/>
    <w:rsid w:val="2E041312"/>
    <w:rsid w:val="2E0777D8"/>
    <w:rsid w:val="2E0B2D39"/>
    <w:rsid w:val="2E0F5AC8"/>
    <w:rsid w:val="2E1D516C"/>
    <w:rsid w:val="2E20089A"/>
    <w:rsid w:val="2E224612"/>
    <w:rsid w:val="2E293BF2"/>
    <w:rsid w:val="2E2D720D"/>
    <w:rsid w:val="2E382CD4"/>
    <w:rsid w:val="2E39588A"/>
    <w:rsid w:val="2E466A2F"/>
    <w:rsid w:val="2E47051C"/>
    <w:rsid w:val="2E5551B8"/>
    <w:rsid w:val="2E5D389C"/>
    <w:rsid w:val="2E5E622A"/>
    <w:rsid w:val="2E635256"/>
    <w:rsid w:val="2E662804"/>
    <w:rsid w:val="2E6E7857"/>
    <w:rsid w:val="2E755089"/>
    <w:rsid w:val="2E756E38"/>
    <w:rsid w:val="2E776E1C"/>
    <w:rsid w:val="2E801B96"/>
    <w:rsid w:val="2E81758A"/>
    <w:rsid w:val="2E821554"/>
    <w:rsid w:val="2E886E98"/>
    <w:rsid w:val="2E8B618B"/>
    <w:rsid w:val="2EA66FF1"/>
    <w:rsid w:val="2EA8486B"/>
    <w:rsid w:val="2EAA5ACA"/>
    <w:rsid w:val="2EAA6675"/>
    <w:rsid w:val="2EAA702B"/>
    <w:rsid w:val="2EB646A9"/>
    <w:rsid w:val="2EB86197"/>
    <w:rsid w:val="2EC21951"/>
    <w:rsid w:val="2EC92CDF"/>
    <w:rsid w:val="2ECC0FBB"/>
    <w:rsid w:val="2ECD02B6"/>
    <w:rsid w:val="2ECE64F9"/>
    <w:rsid w:val="2ECE6548"/>
    <w:rsid w:val="2ED9154D"/>
    <w:rsid w:val="2EDA4EED"/>
    <w:rsid w:val="2EDC6EB7"/>
    <w:rsid w:val="2EE6240B"/>
    <w:rsid w:val="2EF20132"/>
    <w:rsid w:val="2EF57F78"/>
    <w:rsid w:val="2EFE3836"/>
    <w:rsid w:val="2F080C11"/>
    <w:rsid w:val="2F0957D2"/>
    <w:rsid w:val="2F124686"/>
    <w:rsid w:val="2F1308B0"/>
    <w:rsid w:val="2F1A3C3F"/>
    <w:rsid w:val="2F1C30A3"/>
    <w:rsid w:val="2F1F6DA3"/>
    <w:rsid w:val="2F320885"/>
    <w:rsid w:val="2F34284F"/>
    <w:rsid w:val="2F356225"/>
    <w:rsid w:val="2F39722B"/>
    <w:rsid w:val="2F3D7096"/>
    <w:rsid w:val="2F415705"/>
    <w:rsid w:val="2F4C03E5"/>
    <w:rsid w:val="2F522CD5"/>
    <w:rsid w:val="2F52769C"/>
    <w:rsid w:val="2F534772"/>
    <w:rsid w:val="2F60077C"/>
    <w:rsid w:val="2F60077D"/>
    <w:rsid w:val="2F633CB9"/>
    <w:rsid w:val="2F656EAC"/>
    <w:rsid w:val="2F67197A"/>
    <w:rsid w:val="2F6A6270"/>
    <w:rsid w:val="2F71697A"/>
    <w:rsid w:val="2F8530AA"/>
    <w:rsid w:val="2F897553"/>
    <w:rsid w:val="2F8C4439"/>
    <w:rsid w:val="2F8C5D1A"/>
    <w:rsid w:val="2F9403CE"/>
    <w:rsid w:val="2F947791"/>
    <w:rsid w:val="2FA737F1"/>
    <w:rsid w:val="2FB27C17"/>
    <w:rsid w:val="2FB971F8"/>
    <w:rsid w:val="2FBB6ACC"/>
    <w:rsid w:val="2FBE3139"/>
    <w:rsid w:val="2FBE78D3"/>
    <w:rsid w:val="2FC31E81"/>
    <w:rsid w:val="2FC43DA2"/>
    <w:rsid w:val="2FC73A37"/>
    <w:rsid w:val="2FD23E16"/>
    <w:rsid w:val="2FDB0E3A"/>
    <w:rsid w:val="2FDF316E"/>
    <w:rsid w:val="2FE04E63"/>
    <w:rsid w:val="2FEC073B"/>
    <w:rsid w:val="2FEE04EB"/>
    <w:rsid w:val="2FF54680"/>
    <w:rsid w:val="30032221"/>
    <w:rsid w:val="30055C0B"/>
    <w:rsid w:val="30055F99"/>
    <w:rsid w:val="300817F2"/>
    <w:rsid w:val="300936F9"/>
    <w:rsid w:val="300E1503"/>
    <w:rsid w:val="301D1535"/>
    <w:rsid w:val="302204C8"/>
    <w:rsid w:val="30231066"/>
    <w:rsid w:val="30241C05"/>
    <w:rsid w:val="30275FE7"/>
    <w:rsid w:val="30297177"/>
    <w:rsid w:val="30314FE0"/>
    <w:rsid w:val="30323FB6"/>
    <w:rsid w:val="30330D58"/>
    <w:rsid w:val="30337D57"/>
    <w:rsid w:val="3038636F"/>
    <w:rsid w:val="303B19BB"/>
    <w:rsid w:val="303B7C0D"/>
    <w:rsid w:val="303C312D"/>
    <w:rsid w:val="303F594F"/>
    <w:rsid w:val="30404CA6"/>
    <w:rsid w:val="304508D2"/>
    <w:rsid w:val="30462597"/>
    <w:rsid w:val="30462C6A"/>
    <w:rsid w:val="30483662"/>
    <w:rsid w:val="304A524D"/>
    <w:rsid w:val="304C0EB9"/>
    <w:rsid w:val="304C3BC8"/>
    <w:rsid w:val="304D0EBF"/>
    <w:rsid w:val="3051106C"/>
    <w:rsid w:val="30514F10"/>
    <w:rsid w:val="30555E8E"/>
    <w:rsid w:val="305C65C7"/>
    <w:rsid w:val="30633C00"/>
    <w:rsid w:val="307A0735"/>
    <w:rsid w:val="308570DA"/>
    <w:rsid w:val="3087288E"/>
    <w:rsid w:val="30890C03"/>
    <w:rsid w:val="308F53BB"/>
    <w:rsid w:val="30910706"/>
    <w:rsid w:val="30986E0D"/>
    <w:rsid w:val="30A214C3"/>
    <w:rsid w:val="30A811FE"/>
    <w:rsid w:val="30B023A9"/>
    <w:rsid w:val="30B05F05"/>
    <w:rsid w:val="30B17D8D"/>
    <w:rsid w:val="30BA7485"/>
    <w:rsid w:val="30C72B05"/>
    <w:rsid w:val="30C90972"/>
    <w:rsid w:val="30CE3A09"/>
    <w:rsid w:val="30D047F9"/>
    <w:rsid w:val="30D452BD"/>
    <w:rsid w:val="30DD3E7F"/>
    <w:rsid w:val="30E02B97"/>
    <w:rsid w:val="30E62E01"/>
    <w:rsid w:val="30E91417"/>
    <w:rsid w:val="30F71D86"/>
    <w:rsid w:val="30F878AC"/>
    <w:rsid w:val="31124FFA"/>
    <w:rsid w:val="31142105"/>
    <w:rsid w:val="311C7FC8"/>
    <w:rsid w:val="311D1285"/>
    <w:rsid w:val="31224929"/>
    <w:rsid w:val="31257F2A"/>
    <w:rsid w:val="312B193B"/>
    <w:rsid w:val="312C68A0"/>
    <w:rsid w:val="31435B14"/>
    <w:rsid w:val="315410DA"/>
    <w:rsid w:val="315F185A"/>
    <w:rsid w:val="3163417D"/>
    <w:rsid w:val="3166442C"/>
    <w:rsid w:val="31671508"/>
    <w:rsid w:val="3167513B"/>
    <w:rsid w:val="316C787D"/>
    <w:rsid w:val="316D3DF6"/>
    <w:rsid w:val="317811BB"/>
    <w:rsid w:val="317A135D"/>
    <w:rsid w:val="317A3064"/>
    <w:rsid w:val="317B472F"/>
    <w:rsid w:val="317C69B9"/>
    <w:rsid w:val="31825A15"/>
    <w:rsid w:val="31864914"/>
    <w:rsid w:val="31864EB8"/>
    <w:rsid w:val="318F4369"/>
    <w:rsid w:val="319A122D"/>
    <w:rsid w:val="319B66CB"/>
    <w:rsid w:val="31A02E82"/>
    <w:rsid w:val="31A04ECF"/>
    <w:rsid w:val="31A16734"/>
    <w:rsid w:val="31A35A6A"/>
    <w:rsid w:val="31A54044"/>
    <w:rsid w:val="31A812D2"/>
    <w:rsid w:val="31AA329C"/>
    <w:rsid w:val="31AE7C10"/>
    <w:rsid w:val="31AF717C"/>
    <w:rsid w:val="31B64987"/>
    <w:rsid w:val="31B9528D"/>
    <w:rsid w:val="31C51E84"/>
    <w:rsid w:val="31C707F7"/>
    <w:rsid w:val="31C72A34"/>
    <w:rsid w:val="31CD0D39"/>
    <w:rsid w:val="31D63CDE"/>
    <w:rsid w:val="31DF7FE4"/>
    <w:rsid w:val="31E7004C"/>
    <w:rsid w:val="31F149E0"/>
    <w:rsid w:val="31F14A27"/>
    <w:rsid w:val="31F55F79"/>
    <w:rsid w:val="31F77B64"/>
    <w:rsid w:val="31F938DC"/>
    <w:rsid w:val="31FC76AB"/>
    <w:rsid w:val="31FD161E"/>
    <w:rsid w:val="320E2222"/>
    <w:rsid w:val="32112AD3"/>
    <w:rsid w:val="32146967"/>
    <w:rsid w:val="321D289C"/>
    <w:rsid w:val="32236BAB"/>
    <w:rsid w:val="322418F4"/>
    <w:rsid w:val="32246346"/>
    <w:rsid w:val="322577D6"/>
    <w:rsid w:val="322A0418"/>
    <w:rsid w:val="3239017C"/>
    <w:rsid w:val="323F1C36"/>
    <w:rsid w:val="3240150B"/>
    <w:rsid w:val="3240775C"/>
    <w:rsid w:val="32496DC9"/>
    <w:rsid w:val="324A1519"/>
    <w:rsid w:val="324A2ACB"/>
    <w:rsid w:val="32561711"/>
    <w:rsid w:val="32562ADC"/>
    <w:rsid w:val="32582CF8"/>
    <w:rsid w:val="325A6A70"/>
    <w:rsid w:val="325F4087"/>
    <w:rsid w:val="32635C6D"/>
    <w:rsid w:val="3264169D"/>
    <w:rsid w:val="326A0787"/>
    <w:rsid w:val="326D7B94"/>
    <w:rsid w:val="32701706"/>
    <w:rsid w:val="3271353A"/>
    <w:rsid w:val="32741AA5"/>
    <w:rsid w:val="327D28CF"/>
    <w:rsid w:val="3280494B"/>
    <w:rsid w:val="3285066B"/>
    <w:rsid w:val="32863CCB"/>
    <w:rsid w:val="328E3BC4"/>
    <w:rsid w:val="3293788C"/>
    <w:rsid w:val="3296090F"/>
    <w:rsid w:val="329655CE"/>
    <w:rsid w:val="329F24C6"/>
    <w:rsid w:val="32A04F5F"/>
    <w:rsid w:val="32A26FE0"/>
    <w:rsid w:val="32A55811"/>
    <w:rsid w:val="32B12408"/>
    <w:rsid w:val="32B96977"/>
    <w:rsid w:val="32BE6170"/>
    <w:rsid w:val="32C90416"/>
    <w:rsid w:val="32CB178B"/>
    <w:rsid w:val="32D53372"/>
    <w:rsid w:val="32DA740F"/>
    <w:rsid w:val="32DD31FD"/>
    <w:rsid w:val="32E26A66"/>
    <w:rsid w:val="32E77BD8"/>
    <w:rsid w:val="32EC5D21"/>
    <w:rsid w:val="32F50547"/>
    <w:rsid w:val="32F765E8"/>
    <w:rsid w:val="32F86A7D"/>
    <w:rsid w:val="32FA790B"/>
    <w:rsid w:val="32FC1234"/>
    <w:rsid w:val="32FE615F"/>
    <w:rsid w:val="3302455D"/>
    <w:rsid w:val="330A28F8"/>
    <w:rsid w:val="331A61FF"/>
    <w:rsid w:val="331D35FA"/>
    <w:rsid w:val="3321758E"/>
    <w:rsid w:val="33227C38"/>
    <w:rsid w:val="33305A23"/>
    <w:rsid w:val="333C1721"/>
    <w:rsid w:val="3341553A"/>
    <w:rsid w:val="334E5EA9"/>
    <w:rsid w:val="33525999"/>
    <w:rsid w:val="336277CD"/>
    <w:rsid w:val="33713FF3"/>
    <w:rsid w:val="33715846"/>
    <w:rsid w:val="337C5266"/>
    <w:rsid w:val="338024A2"/>
    <w:rsid w:val="33837950"/>
    <w:rsid w:val="339256B6"/>
    <w:rsid w:val="33933E65"/>
    <w:rsid w:val="339E473B"/>
    <w:rsid w:val="33A000E1"/>
    <w:rsid w:val="33A512C7"/>
    <w:rsid w:val="33A66854"/>
    <w:rsid w:val="33BA709B"/>
    <w:rsid w:val="33BC2E13"/>
    <w:rsid w:val="33C056F9"/>
    <w:rsid w:val="33C148CD"/>
    <w:rsid w:val="33C82679"/>
    <w:rsid w:val="33CA5530"/>
    <w:rsid w:val="33CA7097"/>
    <w:rsid w:val="33D0268F"/>
    <w:rsid w:val="33D33EF2"/>
    <w:rsid w:val="33D360B3"/>
    <w:rsid w:val="33DC26B8"/>
    <w:rsid w:val="33DE722D"/>
    <w:rsid w:val="33E04D53"/>
    <w:rsid w:val="33E10ACB"/>
    <w:rsid w:val="33E65155"/>
    <w:rsid w:val="33F16F60"/>
    <w:rsid w:val="33F255EE"/>
    <w:rsid w:val="33F30DC6"/>
    <w:rsid w:val="33F94067"/>
    <w:rsid w:val="33F97BC3"/>
    <w:rsid w:val="33FB393B"/>
    <w:rsid w:val="33FF2C94"/>
    <w:rsid w:val="3403723C"/>
    <w:rsid w:val="340622E0"/>
    <w:rsid w:val="3409300E"/>
    <w:rsid w:val="340A48EA"/>
    <w:rsid w:val="340F3735"/>
    <w:rsid w:val="340F388A"/>
    <w:rsid w:val="34142C4F"/>
    <w:rsid w:val="34272982"/>
    <w:rsid w:val="342866FA"/>
    <w:rsid w:val="342A06C4"/>
    <w:rsid w:val="342D7B26"/>
    <w:rsid w:val="343767E4"/>
    <w:rsid w:val="343C6C28"/>
    <w:rsid w:val="343D03F7"/>
    <w:rsid w:val="343F7812"/>
    <w:rsid w:val="34420714"/>
    <w:rsid w:val="34425D0E"/>
    <w:rsid w:val="344278AC"/>
    <w:rsid w:val="34485A40"/>
    <w:rsid w:val="34496D9C"/>
    <w:rsid w:val="345117AD"/>
    <w:rsid w:val="345213B5"/>
    <w:rsid w:val="34525765"/>
    <w:rsid w:val="34562001"/>
    <w:rsid w:val="345762FD"/>
    <w:rsid w:val="345A0EB1"/>
    <w:rsid w:val="345A65FF"/>
    <w:rsid w:val="345E718A"/>
    <w:rsid w:val="34642029"/>
    <w:rsid w:val="346763EE"/>
    <w:rsid w:val="346F2D44"/>
    <w:rsid w:val="34733E19"/>
    <w:rsid w:val="34735472"/>
    <w:rsid w:val="34737F3E"/>
    <w:rsid w:val="347B2D1B"/>
    <w:rsid w:val="347E631A"/>
    <w:rsid w:val="34803F1B"/>
    <w:rsid w:val="348349C2"/>
    <w:rsid w:val="34844229"/>
    <w:rsid w:val="348474ED"/>
    <w:rsid w:val="34856C8A"/>
    <w:rsid w:val="348E2A01"/>
    <w:rsid w:val="34984F9A"/>
    <w:rsid w:val="349D49F2"/>
    <w:rsid w:val="34AC10D9"/>
    <w:rsid w:val="34AF1B39"/>
    <w:rsid w:val="34AF4725"/>
    <w:rsid w:val="34B17445"/>
    <w:rsid w:val="34B8182C"/>
    <w:rsid w:val="34B90A7B"/>
    <w:rsid w:val="34C1184D"/>
    <w:rsid w:val="34CA0234"/>
    <w:rsid w:val="34D04457"/>
    <w:rsid w:val="34D412B5"/>
    <w:rsid w:val="34D53EF0"/>
    <w:rsid w:val="34D8755B"/>
    <w:rsid w:val="34E16FD5"/>
    <w:rsid w:val="34E46AC5"/>
    <w:rsid w:val="34EC3BCC"/>
    <w:rsid w:val="34F52A80"/>
    <w:rsid w:val="34F82507"/>
    <w:rsid w:val="34FB5395"/>
    <w:rsid w:val="35004888"/>
    <w:rsid w:val="350B3E06"/>
    <w:rsid w:val="351840C9"/>
    <w:rsid w:val="351F7DE7"/>
    <w:rsid w:val="352B7C72"/>
    <w:rsid w:val="35301D0A"/>
    <w:rsid w:val="353115DE"/>
    <w:rsid w:val="3536142C"/>
    <w:rsid w:val="353C245D"/>
    <w:rsid w:val="353F2671"/>
    <w:rsid w:val="354632DC"/>
    <w:rsid w:val="354B7F09"/>
    <w:rsid w:val="354D1062"/>
    <w:rsid w:val="355A6D87"/>
    <w:rsid w:val="355C7475"/>
    <w:rsid w:val="3563106F"/>
    <w:rsid w:val="356419B4"/>
    <w:rsid w:val="3567780D"/>
    <w:rsid w:val="35683252"/>
    <w:rsid w:val="356B2D42"/>
    <w:rsid w:val="356E2833"/>
    <w:rsid w:val="357534A8"/>
    <w:rsid w:val="35753CD1"/>
    <w:rsid w:val="357B6DD6"/>
    <w:rsid w:val="35814314"/>
    <w:rsid w:val="35926521"/>
    <w:rsid w:val="35941EE7"/>
    <w:rsid w:val="3598340C"/>
    <w:rsid w:val="359A53D6"/>
    <w:rsid w:val="35A16764"/>
    <w:rsid w:val="35A3428A"/>
    <w:rsid w:val="35A37256"/>
    <w:rsid w:val="35A40002"/>
    <w:rsid w:val="35AA386B"/>
    <w:rsid w:val="35AD5109"/>
    <w:rsid w:val="35B00755"/>
    <w:rsid w:val="35B778E1"/>
    <w:rsid w:val="35C518DA"/>
    <w:rsid w:val="35D5640E"/>
    <w:rsid w:val="35D7217A"/>
    <w:rsid w:val="35E92D5C"/>
    <w:rsid w:val="35F03248"/>
    <w:rsid w:val="35F21B5C"/>
    <w:rsid w:val="35F26C21"/>
    <w:rsid w:val="35F5260C"/>
    <w:rsid w:val="36081332"/>
    <w:rsid w:val="3608233F"/>
    <w:rsid w:val="36115B96"/>
    <w:rsid w:val="36123AA2"/>
    <w:rsid w:val="36173EA9"/>
    <w:rsid w:val="36197F95"/>
    <w:rsid w:val="361C5B5C"/>
    <w:rsid w:val="361E7DB5"/>
    <w:rsid w:val="362178A5"/>
    <w:rsid w:val="36237179"/>
    <w:rsid w:val="36252772"/>
    <w:rsid w:val="3627310D"/>
    <w:rsid w:val="36341386"/>
    <w:rsid w:val="36362A64"/>
    <w:rsid w:val="36363350"/>
    <w:rsid w:val="36363BD3"/>
    <w:rsid w:val="36374857"/>
    <w:rsid w:val="363C17F4"/>
    <w:rsid w:val="3649461B"/>
    <w:rsid w:val="364D069A"/>
    <w:rsid w:val="365D08DD"/>
    <w:rsid w:val="36607CD1"/>
    <w:rsid w:val="36667482"/>
    <w:rsid w:val="367252A6"/>
    <w:rsid w:val="368405F0"/>
    <w:rsid w:val="368D0806"/>
    <w:rsid w:val="36910D4A"/>
    <w:rsid w:val="36912F22"/>
    <w:rsid w:val="369246C4"/>
    <w:rsid w:val="36A4650C"/>
    <w:rsid w:val="36AC58ED"/>
    <w:rsid w:val="36AF5F64"/>
    <w:rsid w:val="36B058B7"/>
    <w:rsid w:val="36BD312A"/>
    <w:rsid w:val="36BF604D"/>
    <w:rsid w:val="36CC15BF"/>
    <w:rsid w:val="36CF38CB"/>
    <w:rsid w:val="36D6243D"/>
    <w:rsid w:val="36DB2974"/>
    <w:rsid w:val="36DD1A1E"/>
    <w:rsid w:val="36DF7544"/>
    <w:rsid w:val="36E2640E"/>
    <w:rsid w:val="36E77FAA"/>
    <w:rsid w:val="36EA5EE9"/>
    <w:rsid w:val="36EF47D1"/>
    <w:rsid w:val="36F54FB9"/>
    <w:rsid w:val="36FD3E6E"/>
    <w:rsid w:val="37016D1F"/>
    <w:rsid w:val="3703155C"/>
    <w:rsid w:val="370435BB"/>
    <w:rsid w:val="370C5E5F"/>
    <w:rsid w:val="370E0682"/>
    <w:rsid w:val="3714028B"/>
    <w:rsid w:val="37166961"/>
    <w:rsid w:val="371A67CE"/>
    <w:rsid w:val="371D0CBD"/>
    <w:rsid w:val="3725246C"/>
    <w:rsid w:val="372C6501"/>
    <w:rsid w:val="37382083"/>
    <w:rsid w:val="3738356F"/>
    <w:rsid w:val="373D1A67"/>
    <w:rsid w:val="373F4487"/>
    <w:rsid w:val="374F1412"/>
    <w:rsid w:val="3752131D"/>
    <w:rsid w:val="375C0747"/>
    <w:rsid w:val="37620175"/>
    <w:rsid w:val="376B11A4"/>
    <w:rsid w:val="377A219D"/>
    <w:rsid w:val="3781684D"/>
    <w:rsid w:val="378B76CC"/>
    <w:rsid w:val="378E381E"/>
    <w:rsid w:val="379006D5"/>
    <w:rsid w:val="37930A67"/>
    <w:rsid w:val="37953B5B"/>
    <w:rsid w:val="379C5435"/>
    <w:rsid w:val="379D2F5B"/>
    <w:rsid w:val="379F2D91"/>
    <w:rsid w:val="379F3E96"/>
    <w:rsid w:val="37AD7642"/>
    <w:rsid w:val="37BB5E2D"/>
    <w:rsid w:val="37BB7327"/>
    <w:rsid w:val="37CF0675"/>
    <w:rsid w:val="37D0395A"/>
    <w:rsid w:val="37D20E57"/>
    <w:rsid w:val="37D56B99"/>
    <w:rsid w:val="37D90437"/>
    <w:rsid w:val="37DD091B"/>
    <w:rsid w:val="37EB1F18"/>
    <w:rsid w:val="37ED0E47"/>
    <w:rsid w:val="37EF1193"/>
    <w:rsid w:val="37EF1A09"/>
    <w:rsid w:val="37F74639"/>
    <w:rsid w:val="37F90431"/>
    <w:rsid w:val="38107F06"/>
    <w:rsid w:val="381121CB"/>
    <w:rsid w:val="38116730"/>
    <w:rsid w:val="381B0A50"/>
    <w:rsid w:val="38250003"/>
    <w:rsid w:val="38287C31"/>
    <w:rsid w:val="382D0A51"/>
    <w:rsid w:val="38405EAB"/>
    <w:rsid w:val="384635F3"/>
    <w:rsid w:val="38464653"/>
    <w:rsid w:val="38502D81"/>
    <w:rsid w:val="38507FCD"/>
    <w:rsid w:val="38547ABE"/>
    <w:rsid w:val="38587BF6"/>
    <w:rsid w:val="385B496B"/>
    <w:rsid w:val="386677F1"/>
    <w:rsid w:val="38683569"/>
    <w:rsid w:val="386C03D5"/>
    <w:rsid w:val="38725598"/>
    <w:rsid w:val="38787C50"/>
    <w:rsid w:val="38787F5A"/>
    <w:rsid w:val="388114A1"/>
    <w:rsid w:val="38821F74"/>
    <w:rsid w:val="388A1731"/>
    <w:rsid w:val="389C3213"/>
    <w:rsid w:val="38A26A7B"/>
    <w:rsid w:val="38A42ACA"/>
    <w:rsid w:val="38A5656B"/>
    <w:rsid w:val="38A94900"/>
    <w:rsid w:val="38C70690"/>
    <w:rsid w:val="38CF4575"/>
    <w:rsid w:val="38D40BFF"/>
    <w:rsid w:val="38DC0ADF"/>
    <w:rsid w:val="38E273AD"/>
    <w:rsid w:val="38EB4FAC"/>
    <w:rsid w:val="38F216E9"/>
    <w:rsid w:val="38F245D4"/>
    <w:rsid w:val="38F624B4"/>
    <w:rsid w:val="390E2362"/>
    <w:rsid w:val="390F1006"/>
    <w:rsid w:val="391B54F4"/>
    <w:rsid w:val="39210767"/>
    <w:rsid w:val="392C27E9"/>
    <w:rsid w:val="39311BAD"/>
    <w:rsid w:val="39424E64"/>
    <w:rsid w:val="3948589C"/>
    <w:rsid w:val="39486E79"/>
    <w:rsid w:val="394D0315"/>
    <w:rsid w:val="39504729"/>
    <w:rsid w:val="3953286E"/>
    <w:rsid w:val="39537D75"/>
    <w:rsid w:val="3955400D"/>
    <w:rsid w:val="395629C6"/>
    <w:rsid w:val="39661496"/>
    <w:rsid w:val="396F5755"/>
    <w:rsid w:val="39736669"/>
    <w:rsid w:val="39777F08"/>
    <w:rsid w:val="39783C80"/>
    <w:rsid w:val="397F3342"/>
    <w:rsid w:val="398720B8"/>
    <w:rsid w:val="398C6847"/>
    <w:rsid w:val="398E34A3"/>
    <w:rsid w:val="399436D2"/>
    <w:rsid w:val="399C3DF7"/>
    <w:rsid w:val="399E2C4D"/>
    <w:rsid w:val="399F2FBB"/>
    <w:rsid w:val="39A20CFD"/>
    <w:rsid w:val="39A622D7"/>
    <w:rsid w:val="39B2614D"/>
    <w:rsid w:val="39B8075A"/>
    <w:rsid w:val="39BE5B37"/>
    <w:rsid w:val="39C944DB"/>
    <w:rsid w:val="39C9770E"/>
    <w:rsid w:val="39D912B9"/>
    <w:rsid w:val="39DC6207"/>
    <w:rsid w:val="39DF5AAD"/>
    <w:rsid w:val="39E21EDA"/>
    <w:rsid w:val="39E4130A"/>
    <w:rsid w:val="39EF3F42"/>
    <w:rsid w:val="39F010D2"/>
    <w:rsid w:val="39F41F23"/>
    <w:rsid w:val="39F72C5B"/>
    <w:rsid w:val="39F74DCB"/>
    <w:rsid w:val="3A033549"/>
    <w:rsid w:val="3A0C3897"/>
    <w:rsid w:val="3A0D3E70"/>
    <w:rsid w:val="3A150554"/>
    <w:rsid w:val="3A1B49D4"/>
    <w:rsid w:val="3A1E0383"/>
    <w:rsid w:val="3A1E12D9"/>
    <w:rsid w:val="3A233BEC"/>
    <w:rsid w:val="3A241712"/>
    <w:rsid w:val="3A255BB6"/>
    <w:rsid w:val="3A2B2111"/>
    <w:rsid w:val="3A2F0EE9"/>
    <w:rsid w:val="3A2F2590"/>
    <w:rsid w:val="3A3446B4"/>
    <w:rsid w:val="3A3934C0"/>
    <w:rsid w:val="3A3D4F53"/>
    <w:rsid w:val="3A4A1652"/>
    <w:rsid w:val="3A557B1D"/>
    <w:rsid w:val="3A586681"/>
    <w:rsid w:val="3A6B10EF"/>
    <w:rsid w:val="3A6C4FEA"/>
    <w:rsid w:val="3A6C5593"/>
    <w:rsid w:val="3A6D4153"/>
    <w:rsid w:val="3A747417"/>
    <w:rsid w:val="3A7D49D9"/>
    <w:rsid w:val="3A7E0688"/>
    <w:rsid w:val="3A810DAB"/>
    <w:rsid w:val="3A862F00"/>
    <w:rsid w:val="3A8A77C7"/>
    <w:rsid w:val="3A8B5101"/>
    <w:rsid w:val="3A8C2A1C"/>
    <w:rsid w:val="3A8F74D3"/>
    <w:rsid w:val="3A900B55"/>
    <w:rsid w:val="3AA34D2C"/>
    <w:rsid w:val="3AA34DD3"/>
    <w:rsid w:val="3AA60379"/>
    <w:rsid w:val="3AA953A4"/>
    <w:rsid w:val="3ABA4ABD"/>
    <w:rsid w:val="3AC07F1E"/>
    <w:rsid w:val="3AC41FA9"/>
    <w:rsid w:val="3ACD1DA9"/>
    <w:rsid w:val="3ACD3B57"/>
    <w:rsid w:val="3ACE7FFB"/>
    <w:rsid w:val="3AD76784"/>
    <w:rsid w:val="3ADE6576"/>
    <w:rsid w:val="3AE130F8"/>
    <w:rsid w:val="3AE3262C"/>
    <w:rsid w:val="3AE44AE8"/>
    <w:rsid w:val="3AEC66D3"/>
    <w:rsid w:val="3AF0740D"/>
    <w:rsid w:val="3AF12A92"/>
    <w:rsid w:val="3AF45588"/>
    <w:rsid w:val="3AFB06C4"/>
    <w:rsid w:val="3AFD7090"/>
    <w:rsid w:val="3AFE7F86"/>
    <w:rsid w:val="3B0357CB"/>
    <w:rsid w:val="3B105771"/>
    <w:rsid w:val="3B193D58"/>
    <w:rsid w:val="3B1D7941"/>
    <w:rsid w:val="3B220A43"/>
    <w:rsid w:val="3B24560B"/>
    <w:rsid w:val="3B3650E5"/>
    <w:rsid w:val="3B365AC5"/>
    <w:rsid w:val="3B371D84"/>
    <w:rsid w:val="3B3E105B"/>
    <w:rsid w:val="3B3E1351"/>
    <w:rsid w:val="3B3F2FA0"/>
    <w:rsid w:val="3B410362"/>
    <w:rsid w:val="3B455DE4"/>
    <w:rsid w:val="3B493F5B"/>
    <w:rsid w:val="3B5129DA"/>
    <w:rsid w:val="3B591B7B"/>
    <w:rsid w:val="3B5B2830"/>
    <w:rsid w:val="3B6B3A9C"/>
    <w:rsid w:val="3B7010B2"/>
    <w:rsid w:val="3B713194"/>
    <w:rsid w:val="3B717F2E"/>
    <w:rsid w:val="3B786FBF"/>
    <w:rsid w:val="3B7C1991"/>
    <w:rsid w:val="3B7E28B2"/>
    <w:rsid w:val="3B7F4E52"/>
    <w:rsid w:val="3B800BCA"/>
    <w:rsid w:val="3B822B19"/>
    <w:rsid w:val="3B8505B9"/>
    <w:rsid w:val="3B873379"/>
    <w:rsid w:val="3B88671C"/>
    <w:rsid w:val="3B892174"/>
    <w:rsid w:val="3B8A07A5"/>
    <w:rsid w:val="3B922833"/>
    <w:rsid w:val="3B932765"/>
    <w:rsid w:val="3B9937D4"/>
    <w:rsid w:val="3B9A1C8B"/>
    <w:rsid w:val="3BA54AFA"/>
    <w:rsid w:val="3BA63DF9"/>
    <w:rsid w:val="3BA94D4D"/>
    <w:rsid w:val="3BAB0637"/>
    <w:rsid w:val="3BAC5D5B"/>
    <w:rsid w:val="3BB22AA6"/>
    <w:rsid w:val="3BB373FF"/>
    <w:rsid w:val="3BB64FAE"/>
    <w:rsid w:val="3BBF46A0"/>
    <w:rsid w:val="3BC21ED6"/>
    <w:rsid w:val="3BCE354A"/>
    <w:rsid w:val="3BCE3D77"/>
    <w:rsid w:val="3BD50F16"/>
    <w:rsid w:val="3BD81135"/>
    <w:rsid w:val="3BDB5957"/>
    <w:rsid w:val="3BE455FD"/>
    <w:rsid w:val="3BE63834"/>
    <w:rsid w:val="3BE9173E"/>
    <w:rsid w:val="3BEF949C"/>
    <w:rsid w:val="3BF16211"/>
    <w:rsid w:val="3BF517E5"/>
    <w:rsid w:val="3BF70E8C"/>
    <w:rsid w:val="3BFA097C"/>
    <w:rsid w:val="3C115F86"/>
    <w:rsid w:val="3C2725F2"/>
    <w:rsid w:val="3C2B6D87"/>
    <w:rsid w:val="3C3012FF"/>
    <w:rsid w:val="3C305140"/>
    <w:rsid w:val="3C380BAC"/>
    <w:rsid w:val="3C423589"/>
    <w:rsid w:val="3C427E23"/>
    <w:rsid w:val="3C432F26"/>
    <w:rsid w:val="3C470054"/>
    <w:rsid w:val="3C4868ED"/>
    <w:rsid w:val="3C495460"/>
    <w:rsid w:val="3C4A3275"/>
    <w:rsid w:val="3C4B1A87"/>
    <w:rsid w:val="3C4C69F6"/>
    <w:rsid w:val="3C526A0A"/>
    <w:rsid w:val="3C527854"/>
    <w:rsid w:val="3C5A40AF"/>
    <w:rsid w:val="3C5F4C83"/>
    <w:rsid w:val="3C6D1F3C"/>
    <w:rsid w:val="3C7B28E3"/>
    <w:rsid w:val="3C7B42D6"/>
    <w:rsid w:val="3C8366EB"/>
    <w:rsid w:val="3C876795"/>
    <w:rsid w:val="3C926E07"/>
    <w:rsid w:val="3C932648"/>
    <w:rsid w:val="3C946DDE"/>
    <w:rsid w:val="3C955532"/>
    <w:rsid w:val="3C9E39FD"/>
    <w:rsid w:val="3C9E77ED"/>
    <w:rsid w:val="3CA408E8"/>
    <w:rsid w:val="3CA45990"/>
    <w:rsid w:val="3CA50841"/>
    <w:rsid w:val="3CA803D8"/>
    <w:rsid w:val="3CAF1DC1"/>
    <w:rsid w:val="3CB022D7"/>
    <w:rsid w:val="3CB03B1A"/>
    <w:rsid w:val="3CB1566E"/>
    <w:rsid w:val="3CB21257"/>
    <w:rsid w:val="3CBA1F7A"/>
    <w:rsid w:val="3CBB45AF"/>
    <w:rsid w:val="3CCC6ED8"/>
    <w:rsid w:val="3CCE01A1"/>
    <w:rsid w:val="3CCE0F7F"/>
    <w:rsid w:val="3CCE2B6F"/>
    <w:rsid w:val="3CD0758C"/>
    <w:rsid w:val="3CD53445"/>
    <w:rsid w:val="3CD71855"/>
    <w:rsid w:val="3CE56D47"/>
    <w:rsid w:val="3CE92CCB"/>
    <w:rsid w:val="3CEC5771"/>
    <w:rsid w:val="3CF646FE"/>
    <w:rsid w:val="3CF823AB"/>
    <w:rsid w:val="3CFB0E50"/>
    <w:rsid w:val="3D120466"/>
    <w:rsid w:val="3D186896"/>
    <w:rsid w:val="3D1B5EC5"/>
    <w:rsid w:val="3D1B761A"/>
    <w:rsid w:val="3D2757A1"/>
    <w:rsid w:val="3D3B1437"/>
    <w:rsid w:val="3D3B56F0"/>
    <w:rsid w:val="3D4A76E1"/>
    <w:rsid w:val="3D585853"/>
    <w:rsid w:val="3D5B369C"/>
    <w:rsid w:val="3D601C40"/>
    <w:rsid w:val="3D6458AB"/>
    <w:rsid w:val="3D655897"/>
    <w:rsid w:val="3D6A27CA"/>
    <w:rsid w:val="3D6D517E"/>
    <w:rsid w:val="3D70539A"/>
    <w:rsid w:val="3D72506F"/>
    <w:rsid w:val="3D7D3B8B"/>
    <w:rsid w:val="3D801FF0"/>
    <w:rsid w:val="3D86234F"/>
    <w:rsid w:val="3D864BBD"/>
    <w:rsid w:val="3D8806B8"/>
    <w:rsid w:val="3D8C1AA8"/>
    <w:rsid w:val="3DAC044B"/>
    <w:rsid w:val="3DAE7C70"/>
    <w:rsid w:val="3DB3369B"/>
    <w:rsid w:val="3DBC74B4"/>
    <w:rsid w:val="3DBF1E7D"/>
    <w:rsid w:val="3DC2371B"/>
    <w:rsid w:val="3DC8171D"/>
    <w:rsid w:val="3DCC6348"/>
    <w:rsid w:val="3DCE4D4E"/>
    <w:rsid w:val="3DD11855"/>
    <w:rsid w:val="3DDA7390"/>
    <w:rsid w:val="3DDD452D"/>
    <w:rsid w:val="3DE03F6E"/>
    <w:rsid w:val="3DE04434"/>
    <w:rsid w:val="3DF32FC8"/>
    <w:rsid w:val="3DFF6698"/>
    <w:rsid w:val="3E0161BA"/>
    <w:rsid w:val="3E016A5C"/>
    <w:rsid w:val="3E0219AF"/>
    <w:rsid w:val="3E0C4C60"/>
    <w:rsid w:val="3E104487"/>
    <w:rsid w:val="3E1321C9"/>
    <w:rsid w:val="3E1440E6"/>
    <w:rsid w:val="3E1675C3"/>
    <w:rsid w:val="3E1F0B55"/>
    <w:rsid w:val="3E1F6196"/>
    <w:rsid w:val="3E2552C5"/>
    <w:rsid w:val="3E2B58FA"/>
    <w:rsid w:val="3E331626"/>
    <w:rsid w:val="3E38233A"/>
    <w:rsid w:val="3E3C568C"/>
    <w:rsid w:val="3E3F2092"/>
    <w:rsid w:val="3E3F2FCC"/>
    <w:rsid w:val="3E413B9C"/>
    <w:rsid w:val="3E494A15"/>
    <w:rsid w:val="3E4B1963"/>
    <w:rsid w:val="3E541F36"/>
    <w:rsid w:val="3E554590"/>
    <w:rsid w:val="3E635DF9"/>
    <w:rsid w:val="3E65226D"/>
    <w:rsid w:val="3E653BD9"/>
    <w:rsid w:val="3E6B2944"/>
    <w:rsid w:val="3E6B62C8"/>
    <w:rsid w:val="3E6E3505"/>
    <w:rsid w:val="3E76690B"/>
    <w:rsid w:val="3E7964D0"/>
    <w:rsid w:val="3E7E6056"/>
    <w:rsid w:val="3E8409D1"/>
    <w:rsid w:val="3E891477"/>
    <w:rsid w:val="3E907FDF"/>
    <w:rsid w:val="3E9450B8"/>
    <w:rsid w:val="3E977155"/>
    <w:rsid w:val="3EA572C5"/>
    <w:rsid w:val="3EA90437"/>
    <w:rsid w:val="3EAA6689"/>
    <w:rsid w:val="3EB23790"/>
    <w:rsid w:val="3EBB3783"/>
    <w:rsid w:val="3EBF6299"/>
    <w:rsid w:val="3EC3599D"/>
    <w:rsid w:val="3ECB4852"/>
    <w:rsid w:val="3ECD05CA"/>
    <w:rsid w:val="3ED0796E"/>
    <w:rsid w:val="3ED945A9"/>
    <w:rsid w:val="3EE42F61"/>
    <w:rsid w:val="3EE91500"/>
    <w:rsid w:val="3EEE094B"/>
    <w:rsid w:val="3EFB4478"/>
    <w:rsid w:val="3F012022"/>
    <w:rsid w:val="3F052174"/>
    <w:rsid w:val="3F060A5B"/>
    <w:rsid w:val="3F071F5D"/>
    <w:rsid w:val="3F1622D6"/>
    <w:rsid w:val="3F185CE9"/>
    <w:rsid w:val="3F1E2BD3"/>
    <w:rsid w:val="3F2006FA"/>
    <w:rsid w:val="3F2260A5"/>
    <w:rsid w:val="3F2A17AA"/>
    <w:rsid w:val="3F3348D1"/>
    <w:rsid w:val="3F3B3785"/>
    <w:rsid w:val="3F3F088B"/>
    <w:rsid w:val="3F450160"/>
    <w:rsid w:val="3F46487E"/>
    <w:rsid w:val="3F4D2DDE"/>
    <w:rsid w:val="3F4E170B"/>
    <w:rsid w:val="3F4E4BBE"/>
    <w:rsid w:val="3F4F0FDF"/>
    <w:rsid w:val="3F58294D"/>
    <w:rsid w:val="3F5E5B15"/>
    <w:rsid w:val="3F6A406B"/>
    <w:rsid w:val="3F6B7328"/>
    <w:rsid w:val="3F6D02AE"/>
    <w:rsid w:val="3F6E3B5B"/>
    <w:rsid w:val="3F6E5909"/>
    <w:rsid w:val="3F74334B"/>
    <w:rsid w:val="3F7722E4"/>
    <w:rsid w:val="3F7F260A"/>
    <w:rsid w:val="3F834B48"/>
    <w:rsid w:val="3F8353A4"/>
    <w:rsid w:val="3F844696"/>
    <w:rsid w:val="3F895BC8"/>
    <w:rsid w:val="3F930CA3"/>
    <w:rsid w:val="3F985F6B"/>
    <w:rsid w:val="3F9966FE"/>
    <w:rsid w:val="3F9B4224"/>
    <w:rsid w:val="3F9F201F"/>
    <w:rsid w:val="3FA02E75"/>
    <w:rsid w:val="3FA94B93"/>
    <w:rsid w:val="3FA97623"/>
    <w:rsid w:val="3FAC1876"/>
    <w:rsid w:val="3FBD2DD3"/>
    <w:rsid w:val="3FC953F1"/>
    <w:rsid w:val="3FD52D32"/>
    <w:rsid w:val="3FE257A6"/>
    <w:rsid w:val="3FE62373"/>
    <w:rsid w:val="3FE62B11"/>
    <w:rsid w:val="3FEB14FA"/>
    <w:rsid w:val="3FEB58DD"/>
    <w:rsid w:val="3FF24EBA"/>
    <w:rsid w:val="3FF50647"/>
    <w:rsid w:val="3FF51B86"/>
    <w:rsid w:val="3FF83425"/>
    <w:rsid w:val="3FFA0F4B"/>
    <w:rsid w:val="4004626D"/>
    <w:rsid w:val="400A49B0"/>
    <w:rsid w:val="400E3105"/>
    <w:rsid w:val="40150AE5"/>
    <w:rsid w:val="401977DF"/>
    <w:rsid w:val="403D31FE"/>
    <w:rsid w:val="403F72A5"/>
    <w:rsid w:val="404552C2"/>
    <w:rsid w:val="40526FD9"/>
    <w:rsid w:val="405372B2"/>
    <w:rsid w:val="40580367"/>
    <w:rsid w:val="405B40FE"/>
    <w:rsid w:val="405E44A4"/>
    <w:rsid w:val="40621EDC"/>
    <w:rsid w:val="4068637E"/>
    <w:rsid w:val="40707CCE"/>
    <w:rsid w:val="4072712D"/>
    <w:rsid w:val="40803C45"/>
    <w:rsid w:val="40832816"/>
    <w:rsid w:val="40842F0A"/>
    <w:rsid w:val="408907B3"/>
    <w:rsid w:val="408E2DCD"/>
    <w:rsid w:val="40A1586A"/>
    <w:rsid w:val="40A47108"/>
    <w:rsid w:val="40A6363D"/>
    <w:rsid w:val="40A92FD6"/>
    <w:rsid w:val="40B57417"/>
    <w:rsid w:val="40C31C84"/>
    <w:rsid w:val="40CE6423"/>
    <w:rsid w:val="40CF37B0"/>
    <w:rsid w:val="40D02F9B"/>
    <w:rsid w:val="40D21EC7"/>
    <w:rsid w:val="40DB4849"/>
    <w:rsid w:val="40EB2F89"/>
    <w:rsid w:val="40EB5070"/>
    <w:rsid w:val="40F46020"/>
    <w:rsid w:val="40FB3172"/>
    <w:rsid w:val="40FF07E3"/>
    <w:rsid w:val="410D2F00"/>
    <w:rsid w:val="410F04D2"/>
    <w:rsid w:val="41123E0D"/>
    <w:rsid w:val="411C2382"/>
    <w:rsid w:val="41272213"/>
    <w:rsid w:val="41281AE7"/>
    <w:rsid w:val="412C782A"/>
    <w:rsid w:val="413259CA"/>
    <w:rsid w:val="413761CE"/>
    <w:rsid w:val="413871B8"/>
    <w:rsid w:val="41417FB7"/>
    <w:rsid w:val="41455C40"/>
    <w:rsid w:val="41520244"/>
    <w:rsid w:val="41523008"/>
    <w:rsid w:val="415723CD"/>
    <w:rsid w:val="416807DE"/>
    <w:rsid w:val="41696186"/>
    <w:rsid w:val="41765DD5"/>
    <w:rsid w:val="41775089"/>
    <w:rsid w:val="41775B61"/>
    <w:rsid w:val="4187417E"/>
    <w:rsid w:val="41894C7C"/>
    <w:rsid w:val="418C314E"/>
    <w:rsid w:val="418D5088"/>
    <w:rsid w:val="418F1B67"/>
    <w:rsid w:val="41910FF9"/>
    <w:rsid w:val="41941738"/>
    <w:rsid w:val="419A4C1C"/>
    <w:rsid w:val="41A158A7"/>
    <w:rsid w:val="41A340B9"/>
    <w:rsid w:val="41AA41C0"/>
    <w:rsid w:val="41B364E1"/>
    <w:rsid w:val="41C24438"/>
    <w:rsid w:val="41C37E6E"/>
    <w:rsid w:val="41C75A56"/>
    <w:rsid w:val="41C9151C"/>
    <w:rsid w:val="41CF6290"/>
    <w:rsid w:val="41D43A1D"/>
    <w:rsid w:val="41D659E7"/>
    <w:rsid w:val="41D8373F"/>
    <w:rsid w:val="41D86D9E"/>
    <w:rsid w:val="41D96C2B"/>
    <w:rsid w:val="41DA235A"/>
    <w:rsid w:val="41DD487C"/>
    <w:rsid w:val="41E01A13"/>
    <w:rsid w:val="41E27935"/>
    <w:rsid w:val="41E64B86"/>
    <w:rsid w:val="41E84B30"/>
    <w:rsid w:val="41EC1570"/>
    <w:rsid w:val="41ED1BB6"/>
    <w:rsid w:val="420C1409"/>
    <w:rsid w:val="420C765B"/>
    <w:rsid w:val="421309EA"/>
    <w:rsid w:val="4214206C"/>
    <w:rsid w:val="42186000"/>
    <w:rsid w:val="42284D71"/>
    <w:rsid w:val="42376C71"/>
    <w:rsid w:val="423D57CF"/>
    <w:rsid w:val="42460C12"/>
    <w:rsid w:val="42470693"/>
    <w:rsid w:val="424D2F31"/>
    <w:rsid w:val="424E6494"/>
    <w:rsid w:val="424F2708"/>
    <w:rsid w:val="42505C96"/>
    <w:rsid w:val="42592B81"/>
    <w:rsid w:val="425A34B8"/>
    <w:rsid w:val="425B2E7C"/>
    <w:rsid w:val="427E0B46"/>
    <w:rsid w:val="42844C60"/>
    <w:rsid w:val="42984A4B"/>
    <w:rsid w:val="42A369E9"/>
    <w:rsid w:val="42AC7A22"/>
    <w:rsid w:val="42AD499A"/>
    <w:rsid w:val="42AE667B"/>
    <w:rsid w:val="42B17198"/>
    <w:rsid w:val="42B537EB"/>
    <w:rsid w:val="42B850ED"/>
    <w:rsid w:val="42BC172E"/>
    <w:rsid w:val="42C27D1A"/>
    <w:rsid w:val="42C46384"/>
    <w:rsid w:val="42C57E70"/>
    <w:rsid w:val="42CF2B62"/>
    <w:rsid w:val="42D31134"/>
    <w:rsid w:val="42D42ABD"/>
    <w:rsid w:val="42DE2DA6"/>
    <w:rsid w:val="42EA2D1F"/>
    <w:rsid w:val="42EB74CC"/>
    <w:rsid w:val="42EE474F"/>
    <w:rsid w:val="42F36125"/>
    <w:rsid w:val="4302306F"/>
    <w:rsid w:val="430976F7"/>
    <w:rsid w:val="43127D80"/>
    <w:rsid w:val="431F6DB3"/>
    <w:rsid w:val="431F6F1A"/>
    <w:rsid w:val="432022CD"/>
    <w:rsid w:val="432602A9"/>
    <w:rsid w:val="43291B47"/>
    <w:rsid w:val="433075B5"/>
    <w:rsid w:val="4331444F"/>
    <w:rsid w:val="43351FEC"/>
    <w:rsid w:val="43370708"/>
    <w:rsid w:val="43391FF1"/>
    <w:rsid w:val="433F2195"/>
    <w:rsid w:val="434075BC"/>
    <w:rsid w:val="434150E2"/>
    <w:rsid w:val="43485F3C"/>
    <w:rsid w:val="4355534E"/>
    <w:rsid w:val="435E514B"/>
    <w:rsid w:val="435E718F"/>
    <w:rsid w:val="436053D6"/>
    <w:rsid w:val="43664B49"/>
    <w:rsid w:val="4369789C"/>
    <w:rsid w:val="437159C8"/>
    <w:rsid w:val="43764C93"/>
    <w:rsid w:val="437C436D"/>
    <w:rsid w:val="438035B6"/>
    <w:rsid w:val="438727E1"/>
    <w:rsid w:val="43886A20"/>
    <w:rsid w:val="438873FE"/>
    <w:rsid w:val="438B73CF"/>
    <w:rsid w:val="439A3786"/>
    <w:rsid w:val="43A06E0C"/>
    <w:rsid w:val="43A22025"/>
    <w:rsid w:val="43A713E9"/>
    <w:rsid w:val="43B72D2F"/>
    <w:rsid w:val="43B9147D"/>
    <w:rsid w:val="43B9736F"/>
    <w:rsid w:val="43BB6C43"/>
    <w:rsid w:val="43BB7E58"/>
    <w:rsid w:val="43BC0257"/>
    <w:rsid w:val="43BD1374"/>
    <w:rsid w:val="43BE7E30"/>
    <w:rsid w:val="43BF2BD7"/>
    <w:rsid w:val="43C27FD1"/>
    <w:rsid w:val="43C71A8C"/>
    <w:rsid w:val="43CF572B"/>
    <w:rsid w:val="43D10D4B"/>
    <w:rsid w:val="43D63A7D"/>
    <w:rsid w:val="43D820B3"/>
    <w:rsid w:val="43DD12AF"/>
    <w:rsid w:val="43DD370B"/>
    <w:rsid w:val="43E268C5"/>
    <w:rsid w:val="43E43136"/>
    <w:rsid w:val="43E90031"/>
    <w:rsid w:val="43EE7018"/>
    <w:rsid w:val="43F13DEC"/>
    <w:rsid w:val="43F75D71"/>
    <w:rsid w:val="43F81C45"/>
    <w:rsid w:val="43F9ABC4"/>
    <w:rsid w:val="440E28E0"/>
    <w:rsid w:val="440F2FBD"/>
    <w:rsid w:val="441550F7"/>
    <w:rsid w:val="442A6F80"/>
    <w:rsid w:val="4430585A"/>
    <w:rsid w:val="44424CF8"/>
    <w:rsid w:val="444D24EA"/>
    <w:rsid w:val="444F55DD"/>
    <w:rsid w:val="44505F25"/>
    <w:rsid w:val="44526754"/>
    <w:rsid w:val="44565AD2"/>
    <w:rsid w:val="445D5F4C"/>
    <w:rsid w:val="445F1CC4"/>
    <w:rsid w:val="445F60F1"/>
    <w:rsid w:val="446404BC"/>
    <w:rsid w:val="44646860"/>
    <w:rsid w:val="446D5872"/>
    <w:rsid w:val="44705C7F"/>
    <w:rsid w:val="447137A5"/>
    <w:rsid w:val="4473254C"/>
    <w:rsid w:val="447339C1"/>
    <w:rsid w:val="44784B34"/>
    <w:rsid w:val="4479486D"/>
    <w:rsid w:val="447A3B6D"/>
    <w:rsid w:val="44827761"/>
    <w:rsid w:val="44827B22"/>
    <w:rsid w:val="4484172B"/>
    <w:rsid w:val="44872FC9"/>
    <w:rsid w:val="44903CEE"/>
    <w:rsid w:val="44936F4A"/>
    <w:rsid w:val="449623C5"/>
    <w:rsid w:val="44986F84"/>
    <w:rsid w:val="449C3CA0"/>
    <w:rsid w:val="44A02453"/>
    <w:rsid w:val="44A40671"/>
    <w:rsid w:val="44AE6655"/>
    <w:rsid w:val="44B21147"/>
    <w:rsid w:val="44B24671"/>
    <w:rsid w:val="44B269E4"/>
    <w:rsid w:val="44B32010"/>
    <w:rsid w:val="44B57B36"/>
    <w:rsid w:val="44B62C45"/>
    <w:rsid w:val="44B93309"/>
    <w:rsid w:val="44BF6C07"/>
    <w:rsid w:val="44C84A44"/>
    <w:rsid w:val="44C90A5B"/>
    <w:rsid w:val="44CF0A37"/>
    <w:rsid w:val="44CF1A45"/>
    <w:rsid w:val="44D501D8"/>
    <w:rsid w:val="44DB4707"/>
    <w:rsid w:val="44E346A3"/>
    <w:rsid w:val="44E4666D"/>
    <w:rsid w:val="44E6503E"/>
    <w:rsid w:val="44EB4C42"/>
    <w:rsid w:val="44ED3E5A"/>
    <w:rsid w:val="44EE6B73"/>
    <w:rsid w:val="44F33FF6"/>
    <w:rsid w:val="44F56A53"/>
    <w:rsid w:val="44FC71CE"/>
    <w:rsid w:val="44FF34A7"/>
    <w:rsid w:val="44FF7003"/>
    <w:rsid w:val="450464A6"/>
    <w:rsid w:val="45085EB8"/>
    <w:rsid w:val="450A798E"/>
    <w:rsid w:val="450B7580"/>
    <w:rsid w:val="450E7708"/>
    <w:rsid w:val="45165507"/>
    <w:rsid w:val="45165A20"/>
    <w:rsid w:val="451F4B5A"/>
    <w:rsid w:val="45237196"/>
    <w:rsid w:val="45237A07"/>
    <w:rsid w:val="452775FC"/>
    <w:rsid w:val="452C6569"/>
    <w:rsid w:val="45307CAF"/>
    <w:rsid w:val="45346AD1"/>
    <w:rsid w:val="45356EC9"/>
    <w:rsid w:val="453816B2"/>
    <w:rsid w:val="453A5BFF"/>
    <w:rsid w:val="45470A2E"/>
    <w:rsid w:val="454B24C9"/>
    <w:rsid w:val="454C2168"/>
    <w:rsid w:val="45530E4E"/>
    <w:rsid w:val="4558401B"/>
    <w:rsid w:val="455B5F6E"/>
    <w:rsid w:val="455E01CE"/>
    <w:rsid w:val="455E4729"/>
    <w:rsid w:val="456439AC"/>
    <w:rsid w:val="45680119"/>
    <w:rsid w:val="456926CF"/>
    <w:rsid w:val="45753BF9"/>
    <w:rsid w:val="45754D45"/>
    <w:rsid w:val="457E261E"/>
    <w:rsid w:val="457F116D"/>
    <w:rsid w:val="45921C25"/>
    <w:rsid w:val="45960B78"/>
    <w:rsid w:val="45AD2F03"/>
    <w:rsid w:val="45BA31E2"/>
    <w:rsid w:val="45D205B4"/>
    <w:rsid w:val="45D61AA1"/>
    <w:rsid w:val="45DA33BB"/>
    <w:rsid w:val="45DC2EE9"/>
    <w:rsid w:val="45EB20B8"/>
    <w:rsid w:val="45EF3568"/>
    <w:rsid w:val="45F4643C"/>
    <w:rsid w:val="45F468CD"/>
    <w:rsid w:val="45F66658"/>
    <w:rsid w:val="45FA0F4A"/>
    <w:rsid w:val="45FB5A1D"/>
    <w:rsid w:val="46001285"/>
    <w:rsid w:val="46020B59"/>
    <w:rsid w:val="46051AAF"/>
    <w:rsid w:val="46056946"/>
    <w:rsid w:val="460B7E17"/>
    <w:rsid w:val="460D03DA"/>
    <w:rsid w:val="460D0F18"/>
    <w:rsid w:val="46123B31"/>
    <w:rsid w:val="46130617"/>
    <w:rsid w:val="46171FC5"/>
    <w:rsid w:val="461C0922"/>
    <w:rsid w:val="462F1A6E"/>
    <w:rsid w:val="463A5FFD"/>
    <w:rsid w:val="463B5293"/>
    <w:rsid w:val="465F769B"/>
    <w:rsid w:val="466E4440"/>
    <w:rsid w:val="46712387"/>
    <w:rsid w:val="46767F03"/>
    <w:rsid w:val="46832EC4"/>
    <w:rsid w:val="46846DB5"/>
    <w:rsid w:val="468661D2"/>
    <w:rsid w:val="46867E31"/>
    <w:rsid w:val="46895D5C"/>
    <w:rsid w:val="468E6891"/>
    <w:rsid w:val="469268DC"/>
    <w:rsid w:val="4698770F"/>
    <w:rsid w:val="46997632"/>
    <w:rsid w:val="46A41C10"/>
    <w:rsid w:val="46A75BA4"/>
    <w:rsid w:val="46A9191C"/>
    <w:rsid w:val="46AA222D"/>
    <w:rsid w:val="46AC0EB9"/>
    <w:rsid w:val="46AC218A"/>
    <w:rsid w:val="46AD4A1B"/>
    <w:rsid w:val="46BC1650"/>
    <w:rsid w:val="46BE2007"/>
    <w:rsid w:val="46C72264"/>
    <w:rsid w:val="46D25E8F"/>
    <w:rsid w:val="46D36A63"/>
    <w:rsid w:val="46D703F5"/>
    <w:rsid w:val="46EF0622"/>
    <w:rsid w:val="46EF7B2B"/>
    <w:rsid w:val="470329AF"/>
    <w:rsid w:val="47040901"/>
    <w:rsid w:val="47076CC8"/>
    <w:rsid w:val="47127014"/>
    <w:rsid w:val="47170634"/>
    <w:rsid w:val="47190CDB"/>
    <w:rsid w:val="471E233E"/>
    <w:rsid w:val="47262D64"/>
    <w:rsid w:val="47275FF2"/>
    <w:rsid w:val="4729480B"/>
    <w:rsid w:val="47296502"/>
    <w:rsid w:val="472C4A49"/>
    <w:rsid w:val="473C383A"/>
    <w:rsid w:val="473F7B8B"/>
    <w:rsid w:val="4746447F"/>
    <w:rsid w:val="47522B65"/>
    <w:rsid w:val="47540C35"/>
    <w:rsid w:val="47687301"/>
    <w:rsid w:val="476A40CC"/>
    <w:rsid w:val="476E221E"/>
    <w:rsid w:val="47723ABC"/>
    <w:rsid w:val="477F15A5"/>
    <w:rsid w:val="47852FB4"/>
    <w:rsid w:val="478B0D8A"/>
    <w:rsid w:val="478B6627"/>
    <w:rsid w:val="478D4D9A"/>
    <w:rsid w:val="478F0FB7"/>
    <w:rsid w:val="47946129"/>
    <w:rsid w:val="47946B03"/>
    <w:rsid w:val="479C2613"/>
    <w:rsid w:val="479E0D55"/>
    <w:rsid w:val="47B61E19"/>
    <w:rsid w:val="47B96F1C"/>
    <w:rsid w:val="47C307BC"/>
    <w:rsid w:val="47C36D87"/>
    <w:rsid w:val="47CC42DC"/>
    <w:rsid w:val="47CF1DDF"/>
    <w:rsid w:val="47CF1F7E"/>
    <w:rsid w:val="47D134FC"/>
    <w:rsid w:val="47D617B6"/>
    <w:rsid w:val="47D77306"/>
    <w:rsid w:val="47DE0958"/>
    <w:rsid w:val="47F85EB3"/>
    <w:rsid w:val="48024D27"/>
    <w:rsid w:val="48073570"/>
    <w:rsid w:val="48147269"/>
    <w:rsid w:val="48254FD3"/>
    <w:rsid w:val="48295360"/>
    <w:rsid w:val="482C010F"/>
    <w:rsid w:val="483250ED"/>
    <w:rsid w:val="48380E21"/>
    <w:rsid w:val="4839282C"/>
    <w:rsid w:val="483A1E71"/>
    <w:rsid w:val="483A4FD5"/>
    <w:rsid w:val="48452B2F"/>
    <w:rsid w:val="48495176"/>
    <w:rsid w:val="484C063E"/>
    <w:rsid w:val="484E075C"/>
    <w:rsid w:val="484F456D"/>
    <w:rsid w:val="48547666"/>
    <w:rsid w:val="48580F04"/>
    <w:rsid w:val="485E7748"/>
    <w:rsid w:val="48621D83"/>
    <w:rsid w:val="48666B02"/>
    <w:rsid w:val="48675CE9"/>
    <w:rsid w:val="486C283C"/>
    <w:rsid w:val="486E697A"/>
    <w:rsid w:val="486F041B"/>
    <w:rsid w:val="48711FC6"/>
    <w:rsid w:val="487F2935"/>
    <w:rsid w:val="48902AFF"/>
    <w:rsid w:val="489163A7"/>
    <w:rsid w:val="489B5295"/>
    <w:rsid w:val="48A25E6B"/>
    <w:rsid w:val="48A91760"/>
    <w:rsid w:val="48A95C04"/>
    <w:rsid w:val="48AE65B7"/>
    <w:rsid w:val="48BB0092"/>
    <w:rsid w:val="48C430B7"/>
    <w:rsid w:val="48C53F99"/>
    <w:rsid w:val="48C540C0"/>
    <w:rsid w:val="48D771FB"/>
    <w:rsid w:val="48E2171B"/>
    <w:rsid w:val="48E604B2"/>
    <w:rsid w:val="48FA645F"/>
    <w:rsid w:val="48FB775E"/>
    <w:rsid w:val="49002A7E"/>
    <w:rsid w:val="490317ED"/>
    <w:rsid w:val="49033566"/>
    <w:rsid w:val="49062A41"/>
    <w:rsid w:val="490B1F89"/>
    <w:rsid w:val="490E5A95"/>
    <w:rsid w:val="49105C83"/>
    <w:rsid w:val="491A40B1"/>
    <w:rsid w:val="491C0184"/>
    <w:rsid w:val="49221512"/>
    <w:rsid w:val="492B6619"/>
    <w:rsid w:val="492E435B"/>
    <w:rsid w:val="49320965"/>
    <w:rsid w:val="49474421"/>
    <w:rsid w:val="49583656"/>
    <w:rsid w:val="495866C7"/>
    <w:rsid w:val="49602189"/>
    <w:rsid w:val="496374AD"/>
    <w:rsid w:val="49667C23"/>
    <w:rsid w:val="49670139"/>
    <w:rsid w:val="496F5FB7"/>
    <w:rsid w:val="49700475"/>
    <w:rsid w:val="497148DC"/>
    <w:rsid w:val="49756CCC"/>
    <w:rsid w:val="4981690D"/>
    <w:rsid w:val="49817B3D"/>
    <w:rsid w:val="49836455"/>
    <w:rsid w:val="49877552"/>
    <w:rsid w:val="4989333F"/>
    <w:rsid w:val="499248EA"/>
    <w:rsid w:val="49940F29"/>
    <w:rsid w:val="49951CE4"/>
    <w:rsid w:val="49962558"/>
    <w:rsid w:val="49995E2C"/>
    <w:rsid w:val="499C7517"/>
    <w:rsid w:val="49B30DF6"/>
    <w:rsid w:val="49B95749"/>
    <w:rsid w:val="49BF021A"/>
    <w:rsid w:val="49C66E58"/>
    <w:rsid w:val="49CD147E"/>
    <w:rsid w:val="49CE75CC"/>
    <w:rsid w:val="49D26FD5"/>
    <w:rsid w:val="49D54C2B"/>
    <w:rsid w:val="49D7253A"/>
    <w:rsid w:val="49D93B4E"/>
    <w:rsid w:val="49DF6CB2"/>
    <w:rsid w:val="49E1317B"/>
    <w:rsid w:val="49EC520F"/>
    <w:rsid w:val="49ED7D72"/>
    <w:rsid w:val="49EF4E7F"/>
    <w:rsid w:val="49F97F58"/>
    <w:rsid w:val="49FB2E52"/>
    <w:rsid w:val="49FF1B33"/>
    <w:rsid w:val="4A001853"/>
    <w:rsid w:val="4A004E49"/>
    <w:rsid w:val="4A05330E"/>
    <w:rsid w:val="4A054B02"/>
    <w:rsid w:val="4A057ACA"/>
    <w:rsid w:val="4A070E34"/>
    <w:rsid w:val="4A0C170B"/>
    <w:rsid w:val="4A174DEF"/>
    <w:rsid w:val="4A257510"/>
    <w:rsid w:val="4A266DE0"/>
    <w:rsid w:val="4A273284"/>
    <w:rsid w:val="4A280D6F"/>
    <w:rsid w:val="4A3513F8"/>
    <w:rsid w:val="4A394D65"/>
    <w:rsid w:val="4A440E08"/>
    <w:rsid w:val="4A45370A"/>
    <w:rsid w:val="4A4B2C59"/>
    <w:rsid w:val="4A4D6E36"/>
    <w:rsid w:val="4A572C2C"/>
    <w:rsid w:val="4A5971B6"/>
    <w:rsid w:val="4A695E52"/>
    <w:rsid w:val="4A6D5FC9"/>
    <w:rsid w:val="4A791A90"/>
    <w:rsid w:val="4A797198"/>
    <w:rsid w:val="4A842484"/>
    <w:rsid w:val="4A8561FD"/>
    <w:rsid w:val="4A8609C0"/>
    <w:rsid w:val="4A89299F"/>
    <w:rsid w:val="4AA4350E"/>
    <w:rsid w:val="4AB05D1B"/>
    <w:rsid w:val="4AB47927"/>
    <w:rsid w:val="4ABB18DE"/>
    <w:rsid w:val="4AC41647"/>
    <w:rsid w:val="4AC5789E"/>
    <w:rsid w:val="4AD046A0"/>
    <w:rsid w:val="4AD30D16"/>
    <w:rsid w:val="4ADC34C3"/>
    <w:rsid w:val="4AE03433"/>
    <w:rsid w:val="4AE56E98"/>
    <w:rsid w:val="4AE91781"/>
    <w:rsid w:val="4AEC002A"/>
    <w:rsid w:val="4AF60EA8"/>
    <w:rsid w:val="4AF95965"/>
    <w:rsid w:val="4AFF4DAB"/>
    <w:rsid w:val="4B0435C5"/>
    <w:rsid w:val="4B0D2FB6"/>
    <w:rsid w:val="4B0E7FA0"/>
    <w:rsid w:val="4B0F04A0"/>
    <w:rsid w:val="4B115426"/>
    <w:rsid w:val="4B153DC3"/>
    <w:rsid w:val="4B1A6945"/>
    <w:rsid w:val="4B1E4B55"/>
    <w:rsid w:val="4B221C9D"/>
    <w:rsid w:val="4B2252F6"/>
    <w:rsid w:val="4B245A16"/>
    <w:rsid w:val="4B2C0426"/>
    <w:rsid w:val="4B317456"/>
    <w:rsid w:val="4B3425E6"/>
    <w:rsid w:val="4B3F0159"/>
    <w:rsid w:val="4B4148EB"/>
    <w:rsid w:val="4B48294B"/>
    <w:rsid w:val="4B4831BF"/>
    <w:rsid w:val="4B4B4D50"/>
    <w:rsid w:val="4B4B7131"/>
    <w:rsid w:val="4B575D09"/>
    <w:rsid w:val="4B58121B"/>
    <w:rsid w:val="4B666331"/>
    <w:rsid w:val="4B720FAF"/>
    <w:rsid w:val="4B775B45"/>
    <w:rsid w:val="4B83072A"/>
    <w:rsid w:val="4B8B15F1"/>
    <w:rsid w:val="4B8C4198"/>
    <w:rsid w:val="4B904E59"/>
    <w:rsid w:val="4B91271A"/>
    <w:rsid w:val="4B9B6763"/>
    <w:rsid w:val="4B9D30D2"/>
    <w:rsid w:val="4B9E7576"/>
    <w:rsid w:val="4B9F6E4A"/>
    <w:rsid w:val="4BA754D9"/>
    <w:rsid w:val="4BB23021"/>
    <w:rsid w:val="4BB40B47"/>
    <w:rsid w:val="4BB55D51"/>
    <w:rsid w:val="4BB70638"/>
    <w:rsid w:val="4BBF129A"/>
    <w:rsid w:val="4BC10512"/>
    <w:rsid w:val="4BC14583"/>
    <w:rsid w:val="4BC4371B"/>
    <w:rsid w:val="4BC710A2"/>
    <w:rsid w:val="4BC84723"/>
    <w:rsid w:val="4BCD60C4"/>
    <w:rsid w:val="4BD25472"/>
    <w:rsid w:val="4BDE3E16"/>
    <w:rsid w:val="4BE1115B"/>
    <w:rsid w:val="4BE17675"/>
    <w:rsid w:val="4BEA4569"/>
    <w:rsid w:val="4BF2072C"/>
    <w:rsid w:val="4BF2341E"/>
    <w:rsid w:val="4BF91514"/>
    <w:rsid w:val="4C09764F"/>
    <w:rsid w:val="4C11088D"/>
    <w:rsid w:val="4C15710C"/>
    <w:rsid w:val="4C2228A7"/>
    <w:rsid w:val="4C3169EA"/>
    <w:rsid w:val="4C417657"/>
    <w:rsid w:val="4C423845"/>
    <w:rsid w:val="4C451F31"/>
    <w:rsid w:val="4C485734"/>
    <w:rsid w:val="4C49209B"/>
    <w:rsid w:val="4C4A25DE"/>
    <w:rsid w:val="4C4F0870"/>
    <w:rsid w:val="4C5E058E"/>
    <w:rsid w:val="4C5F3F2E"/>
    <w:rsid w:val="4C604A40"/>
    <w:rsid w:val="4C62581A"/>
    <w:rsid w:val="4C6836E0"/>
    <w:rsid w:val="4C6B2233"/>
    <w:rsid w:val="4C6D6562"/>
    <w:rsid w:val="4C6E49E1"/>
    <w:rsid w:val="4C6E5FAE"/>
    <w:rsid w:val="4C6F4162"/>
    <w:rsid w:val="4C774FB3"/>
    <w:rsid w:val="4C777DB6"/>
    <w:rsid w:val="4C7B1895"/>
    <w:rsid w:val="4C7C5FF1"/>
    <w:rsid w:val="4C7C6AF1"/>
    <w:rsid w:val="4C7F3518"/>
    <w:rsid w:val="4C84399E"/>
    <w:rsid w:val="4C8D6FFD"/>
    <w:rsid w:val="4C9130F6"/>
    <w:rsid w:val="4C942727"/>
    <w:rsid w:val="4C96024D"/>
    <w:rsid w:val="4C9B351A"/>
    <w:rsid w:val="4CA3296A"/>
    <w:rsid w:val="4CAC321C"/>
    <w:rsid w:val="4CB31204"/>
    <w:rsid w:val="4CB67A9B"/>
    <w:rsid w:val="4CCA607B"/>
    <w:rsid w:val="4CCF550D"/>
    <w:rsid w:val="4CD07C03"/>
    <w:rsid w:val="4CD11285"/>
    <w:rsid w:val="4CD94086"/>
    <w:rsid w:val="4CDA79C4"/>
    <w:rsid w:val="4CE74F4D"/>
    <w:rsid w:val="4CEA67EB"/>
    <w:rsid w:val="4CEE0089"/>
    <w:rsid w:val="4CF77CDE"/>
    <w:rsid w:val="4CFA755C"/>
    <w:rsid w:val="4D0478AD"/>
    <w:rsid w:val="4D062959"/>
    <w:rsid w:val="4D07739D"/>
    <w:rsid w:val="4D094EC3"/>
    <w:rsid w:val="4D0C6761"/>
    <w:rsid w:val="4D0E4287"/>
    <w:rsid w:val="4D123792"/>
    <w:rsid w:val="4D195F05"/>
    <w:rsid w:val="4D1A2C2C"/>
    <w:rsid w:val="4D20328E"/>
    <w:rsid w:val="4D252E9F"/>
    <w:rsid w:val="4D2B4E39"/>
    <w:rsid w:val="4D39488E"/>
    <w:rsid w:val="4D3A5189"/>
    <w:rsid w:val="4D3A6AC5"/>
    <w:rsid w:val="4D3D4B6D"/>
    <w:rsid w:val="4D3F6B37"/>
    <w:rsid w:val="4D404761"/>
    <w:rsid w:val="4D4255EE"/>
    <w:rsid w:val="4D4275E6"/>
    <w:rsid w:val="4D43247E"/>
    <w:rsid w:val="4D491763"/>
    <w:rsid w:val="4D501DD4"/>
    <w:rsid w:val="4D553A2D"/>
    <w:rsid w:val="4D5A6798"/>
    <w:rsid w:val="4D6761CB"/>
    <w:rsid w:val="4D6C4012"/>
    <w:rsid w:val="4D77007F"/>
    <w:rsid w:val="4D7723EB"/>
    <w:rsid w:val="4D7978CB"/>
    <w:rsid w:val="4D7F0CE1"/>
    <w:rsid w:val="4D7F3CDB"/>
    <w:rsid w:val="4D875DE8"/>
    <w:rsid w:val="4D8C6A55"/>
    <w:rsid w:val="4D92310A"/>
    <w:rsid w:val="4DA259D0"/>
    <w:rsid w:val="4DB0533F"/>
    <w:rsid w:val="4DB7491F"/>
    <w:rsid w:val="4DC07F0B"/>
    <w:rsid w:val="4DC6743C"/>
    <w:rsid w:val="4DD23AFE"/>
    <w:rsid w:val="4DD34CA9"/>
    <w:rsid w:val="4DD675D3"/>
    <w:rsid w:val="4DD83451"/>
    <w:rsid w:val="4DDC4386"/>
    <w:rsid w:val="4DE0369C"/>
    <w:rsid w:val="4DE16265"/>
    <w:rsid w:val="4DE8078A"/>
    <w:rsid w:val="4DEE0FB4"/>
    <w:rsid w:val="4DEE55D8"/>
    <w:rsid w:val="4DF01BF7"/>
    <w:rsid w:val="4DF2028E"/>
    <w:rsid w:val="4DF37D3C"/>
    <w:rsid w:val="4DFA1A28"/>
    <w:rsid w:val="4E0062C6"/>
    <w:rsid w:val="4E0210C9"/>
    <w:rsid w:val="4E1A5D21"/>
    <w:rsid w:val="4E1F6C67"/>
    <w:rsid w:val="4E347D1E"/>
    <w:rsid w:val="4E413429"/>
    <w:rsid w:val="4E435D26"/>
    <w:rsid w:val="4E4657D4"/>
    <w:rsid w:val="4E4A7541"/>
    <w:rsid w:val="4E537616"/>
    <w:rsid w:val="4E584B64"/>
    <w:rsid w:val="4E590294"/>
    <w:rsid w:val="4E5959D6"/>
    <w:rsid w:val="4E5B79A0"/>
    <w:rsid w:val="4E622BDA"/>
    <w:rsid w:val="4E6A7BE3"/>
    <w:rsid w:val="4E726219"/>
    <w:rsid w:val="4E777134"/>
    <w:rsid w:val="4E782283"/>
    <w:rsid w:val="4E830CA5"/>
    <w:rsid w:val="4E8326E2"/>
    <w:rsid w:val="4E832A53"/>
    <w:rsid w:val="4E8439B6"/>
    <w:rsid w:val="4E8F764A"/>
    <w:rsid w:val="4E9155CD"/>
    <w:rsid w:val="4E95540C"/>
    <w:rsid w:val="4EAC5F1A"/>
    <w:rsid w:val="4EAE7079"/>
    <w:rsid w:val="4EB444EF"/>
    <w:rsid w:val="4ECE07DB"/>
    <w:rsid w:val="4ECF5C98"/>
    <w:rsid w:val="4ED00FF7"/>
    <w:rsid w:val="4EDD6607"/>
    <w:rsid w:val="4EE31744"/>
    <w:rsid w:val="4EE33FFD"/>
    <w:rsid w:val="4EE43350"/>
    <w:rsid w:val="4EF43951"/>
    <w:rsid w:val="4EF72C5F"/>
    <w:rsid w:val="4F021BCA"/>
    <w:rsid w:val="4F050386"/>
    <w:rsid w:val="4F0A0A7E"/>
    <w:rsid w:val="4F0A3199"/>
    <w:rsid w:val="4F0B2D9D"/>
    <w:rsid w:val="4F0E1669"/>
    <w:rsid w:val="4F1560AE"/>
    <w:rsid w:val="4F244236"/>
    <w:rsid w:val="4F325F8C"/>
    <w:rsid w:val="4F3546D9"/>
    <w:rsid w:val="4F3F3A01"/>
    <w:rsid w:val="4F4641AC"/>
    <w:rsid w:val="4F471CD3"/>
    <w:rsid w:val="4F4E0384"/>
    <w:rsid w:val="4F4F2935"/>
    <w:rsid w:val="4F525EA2"/>
    <w:rsid w:val="4F5341B6"/>
    <w:rsid w:val="4F580259"/>
    <w:rsid w:val="4F5E220C"/>
    <w:rsid w:val="4F622668"/>
    <w:rsid w:val="4F6B16FE"/>
    <w:rsid w:val="4F6B5360"/>
    <w:rsid w:val="4F702FD7"/>
    <w:rsid w:val="4F716D4F"/>
    <w:rsid w:val="4F7D23C8"/>
    <w:rsid w:val="4F7D74A2"/>
    <w:rsid w:val="4F891F60"/>
    <w:rsid w:val="4F895E47"/>
    <w:rsid w:val="4F90367A"/>
    <w:rsid w:val="4F982C38"/>
    <w:rsid w:val="4FA20BE1"/>
    <w:rsid w:val="4FA2515B"/>
    <w:rsid w:val="4FAC11CC"/>
    <w:rsid w:val="4FB235F0"/>
    <w:rsid w:val="4FB8497E"/>
    <w:rsid w:val="4FB86CCA"/>
    <w:rsid w:val="4FBF0BD9"/>
    <w:rsid w:val="4FBF5F7C"/>
    <w:rsid w:val="4FCE189D"/>
    <w:rsid w:val="4FCF39C0"/>
    <w:rsid w:val="4FD653F8"/>
    <w:rsid w:val="4FDC066D"/>
    <w:rsid w:val="4FDE7C57"/>
    <w:rsid w:val="4FE305A5"/>
    <w:rsid w:val="4FE32E29"/>
    <w:rsid w:val="4FE65048"/>
    <w:rsid w:val="4FE83096"/>
    <w:rsid w:val="4FEB6B02"/>
    <w:rsid w:val="4FFD895B"/>
    <w:rsid w:val="50040302"/>
    <w:rsid w:val="500526C3"/>
    <w:rsid w:val="500962D9"/>
    <w:rsid w:val="50106568"/>
    <w:rsid w:val="50131BB5"/>
    <w:rsid w:val="50160DEC"/>
    <w:rsid w:val="502072E6"/>
    <w:rsid w:val="50243273"/>
    <w:rsid w:val="50281B04"/>
    <w:rsid w:val="50377DE1"/>
    <w:rsid w:val="50467EB9"/>
    <w:rsid w:val="50544C07"/>
    <w:rsid w:val="50544F6A"/>
    <w:rsid w:val="5055494D"/>
    <w:rsid w:val="505A4C98"/>
    <w:rsid w:val="506733DB"/>
    <w:rsid w:val="508230AB"/>
    <w:rsid w:val="508C35DD"/>
    <w:rsid w:val="50912AB4"/>
    <w:rsid w:val="509448C9"/>
    <w:rsid w:val="50950AEC"/>
    <w:rsid w:val="50982C04"/>
    <w:rsid w:val="509B22D6"/>
    <w:rsid w:val="50A01365"/>
    <w:rsid w:val="50AC44E3"/>
    <w:rsid w:val="50AC65EC"/>
    <w:rsid w:val="50B12AA0"/>
    <w:rsid w:val="50B45146"/>
    <w:rsid w:val="50CF3478"/>
    <w:rsid w:val="50D17AA6"/>
    <w:rsid w:val="50D41344"/>
    <w:rsid w:val="50D457E8"/>
    <w:rsid w:val="50D77086"/>
    <w:rsid w:val="50E61077"/>
    <w:rsid w:val="50E7368D"/>
    <w:rsid w:val="50EA5EA6"/>
    <w:rsid w:val="50FB4B23"/>
    <w:rsid w:val="51167BAE"/>
    <w:rsid w:val="51206B79"/>
    <w:rsid w:val="51234969"/>
    <w:rsid w:val="512C1180"/>
    <w:rsid w:val="51321695"/>
    <w:rsid w:val="513B13C3"/>
    <w:rsid w:val="51403B6E"/>
    <w:rsid w:val="51406C74"/>
    <w:rsid w:val="514209A3"/>
    <w:rsid w:val="51460275"/>
    <w:rsid w:val="51473C5A"/>
    <w:rsid w:val="51487A91"/>
    <w:rsid w:val="51516E38"/>
    <w:rsid w:val="51581852"/>
    <w:rsid w:val="515A0F62"/>
    <w:rsid w:val="515F4F84"/>
    <w:rsid w:val="516052CE"/>
    <w:rsid w:val="51646B6C"/>
    <w:rsid w:val="516923D4"/>
    <w:rsid w:val="51711289"/>
    <w:rsid w:val="51750D79"/>
    <w:rsid w:val="5179348D"/>
    <w:rsid w:val="517A638F"/>
    <w:rsid w:val="51814C13"/>
    <w:rsid w:val="51821519"/>
    <w:rsid w:val="51890667"/>
    <w:rsid w:val="518C07B2"/>
    <w:rsid w:val="51901536"/>
    <w:rsid w:val="51911926"/>
    <w:rsid w:val="51991216"/>
    <w:rsid w:val="51AB25FA"/>
    <w:rsid w:val="51AC4978"/>
    <w:rsid w:val="51B22A66"/>
    <w:rsid w:val="51B73CD9"/>
    <w:rsid w:val="51B81CB4"/>
    <w:rsid w:val="51BB3867"/>
    <w:rsid w:val="51DB38B7"/>
    <w:rsid w:val="51DB4619"/>
    <w:rsid w:val="51DF7CEA"/>
    <w:rsid w:val="51E933A0"/>
    <w:rsid w:val="51EA4B95"/>
    <w:rsid w:val="51EE28D9"/>
    <w:rsid w:val="51F003FF"/>
    <w:rsid w:val="51F64CB1"/>
    <w:rsid w:val="520619D1"/>
    <w:rsid w:val="5214298C"/>
    <w:rsid w:val="521D148B"/>
    <w:rsid w:val="521E3F3B"/>
    <w:rsid w:val="522602C5"/>
    <w:rsid w:val="522E0F28"/>
    <w:rsid w:val="523C47CE"/>
    <w:rsid w:val="52427DEA"/>
    <w:rsid w:val="5244074B"/>
    <w:rsid w:val="525210BA"/>
    <w:rsid w:val="525C5A95"/>
    <w:rsid w:val="52650B61"/>
    <w:rsid w:val="52662470"/>
    <w:rsid w:val="526652D3"/>
    <w:rsid w:val="526D6E72"/>
    <w:rsid w:val="52745137"/>
    <w:rsid w:val="527E5A0B"/>
    <w:rsid w:val="528471A6"/>
    <w:rsid w:val="528613CF"/>
    <w:rsid w:val="528944AB"/>
    <w:rsid w:val="528D20F2"/>
    <w:rsid w:val="5292739E"/>
    <w:rsid w:val="52952D55"/>
    <w:rsid w:val="52992A07"/>
    <w:rsid w:val="529C2335"/>
    <w:rsid w:val="52A63B47"/>
    <w:rsid w:val="52A86F2C"/>
    <w:rsid w:val="52AA4D0D"/>
    <w:rsid w:val="52AD5434"/>
    <w:rsid w:val="52AE3084"/>
    <w:rsid w:val="52C1445A"/>
    <w:rsid w:val="52C33D66"/>
    <w:rsid w:val="52C35ACC"/>
    <w:rsid w:val="52C56960"/>
    <w:rsid w:val="52D14402"/>
    <w:rsid w:val="52D25D57"/>
    <w:rsid w:val="52DC0984"/>
    <w:rsid w:val="52E54374"/>
    <w:rsid w:val="52E55A8A"/>
    <w:rsid w:val="52E60E91"/>
    <w:rsid w:val="52EB0BC7"/>
    <w:rsid w:val="52EF4B5B"/>
    <w:rsid w:val="52F757BE"/>
    <w:rsid w:val="52F87E5B"/>
    <w:rsid w:val="52FC79CE"/>
    <w:rsid w:val="53061521"/>
    <w:rsid w:val="530E1E59"/>
    <w:rsid w:val="53100995"/>
    <w:rsid w:val="5311494E"/>
    <w:rsid w:val="5311687F"/>
    <w:rsid w:val="531C6FD2"/>
    <w:rsid w:val="531D5224"/>
    <w:rsid w:val="5323684A"/>
    <w:rsid w:val="532A56AB"/>
    <w:rsid w:val="532F3457"/>
    <w:rsid w:val="5336066C"/>
    <w:rsid w:val="533D7C41"/>
    <w:rsid w:val="534F55FA"/>
    <w:rsid w:val="53541283"/>
    <w:rsid w:val="535449BE"/>
    <w:rsid w:val="53603363"/>
    <w:rsid w:val="53672943"/>
    <w:rsid w:val="53690469"/>
    <w:rsid w:val="53703EAB"/>
    <w:rsid w:val="537B1F4B"/>
    <w:rsid w:val="537C6B58"/>
    <w:rsid w:val="537F56AD"/>
    <w:rsid w:val="538021E9"/>
    <w:rsid w:val="538226F4"/>
    <w:rsid w:val="5383359D"/>
    <w:rsid w:val="53861423"/>
    <w:rsid w:val="53966D85"/>
    <w:rsid w:val="539E248C"/>
    <w:rsid w:val="539F4C8A"/>
    <w:rsid w:val="53A80E01"/>
    <w:rsid w:val="53A84235"/>
    <w:rsid w:val="53AA66E0"/>
    <w:rsid w:val="53AD5A2B"/>
    <w:rsid w:val="53AF1CD0"/>
    <w:rsid w:val="53B55546"/>
    <w:rsid w:val="53BB67EB"/>
    <w:rsid w:val="53BD6A07"/>
    <w:rsid w:val="53C71A7E"/>
    <w:rsid w:val="53C90F08"/>
    <w:rsid w:val="53C96C66"/>
    <w:rsid w:val="53D61877"/>
    <w:rsid w:val="53E2646E"/>
    <w:rsid w:val="53E4406E"/>
    <w:rsid w:val="53E7639D"/>
    <w:rsid w:val="53ED731E"/>
    <w:rsid w:val="53F1220D"/>
    <w:rsid w:val="53FC1772"/>
    <w:rsid w:val="53FF2B7C"/>
    <w:rsid w:val="54030AD1"/>
    <w:rsid w:val="540B1BC6"/>
    <w:rsid w:val="540B7773"/>
    <w:rsid w:val="540F6CAD"/>
    <w:rsid w:val="541124AB"/>
    <w:rsid w:val="541F4FCC"/>
    <w:rsid w:val="54300F87"/>
    <w:rsid w:val="544113E6"/>
    <w:rsid w:val="5447551F"/>
    <w:rsid w:val="5449519D"/>
    <w:rsid w:val="544C3241"/>
    <w:rsid w:val="5452714F"/>
    <w:rsid w:val="545731F3"/>
    <w:rsid w:val="5462224C"/>
    <w:rsid w:val="54640B03"/>
    <w:rsid w:val="54662BFB"/>
    <w:rsid w:val="54685258"/>
    <w:rsid w:val="546A1BEE"/>
    <w:rsid w:val="546D455B"/>
    <w:rsid w:val="547075D6"/>
    <w:rsid w:val="5472334E"/>
    <w:rsid w:val="547370C6"/>
    <w:rsid w:val="5478505E"/>
    <w:rsid w:val="547C5F7A"/>
    <w:rsid w:val="548322D5"/>
    <w:rsid w:val="54866DF9"/>
    <w:rsid w:val="549A78DC"/>
    <w:rsid w:val="549C03CB"/>
    <w:rsid w:val="54A008B7"/>
    <w:rsid w:val="54A15C2F"/>
    <w:rsid w:val="54A25DD2"/>
    <w:rsid w:val="54B47C26"/>
    <w:rsid w:val="54B75204"/>
    <w:rsid w:val="54C224D4"/>
    <w:rsid w:val="54C47031"/>
    <w:rsid w:val="54C62F08"/>
    <w:rsid w:val="54C73437"/>
    <w:rsid w:val="54CA3B23"/>
    <w:rsid w:val="54CC09AC"/>
    <w:rsid w:val="54CF3AFD"/>
    <w:rsid w:val="54D062C6"/>
    <w:rsid w:val="54D66761"/>
    <w:rsid w:val="54DB4922"/>
    <w:rsid w:val="54DB587D"/>
    <w:rsid w:val="54E140C8"/>
    <w:rsid w:val="54E67701"/>
    <w:rsid w:val="54EA7388"/>
    <w:rsid w:val="54EB6C19"/>
    <w:rsid w:val="54EE67D3"/>
    <w:rsid w:val="54F41FB5"/>
    <w:rsid w:val="54F500F7"/>
    <w:rsid w:val="54F77CF7"/>
    <w:rsid w:val="54FC6198"/>
    <w:rsid w:val="55016BED"/>
    <w:rsid w:val="550810AE"/>
    <w:rsid w:val="550B0F49"/>
    <w:rsid w:val="55131E2F"/>
    <w:rsid w:val="551B6B4B"/>
    <w:rsid w:val="551F1B93"/>
    <w:rsid w:val="552A5055"/>
    <w:rsid w:val="552D3719"/>
    <w:rsid w:val="552F7491"/>
    <w:rsid w:val="55341652"/>
    <w:rsid w:val="55345504"/>
    <w:rsid w:val="553A4B2E"/>
    <w:rsid w:val="554409B8"/>
    <w:rsid w:val="55486B27"/>
    <w:rsid w:val="55491279"/>
    <w:rsid w:val="55494903"/>
    <w:rsid w:val="554973B1"/>
    <w:rsid w:val="554A6079"/>
    <w:rsid w:val="55524F2D"/>
    <w:rsid w:val="555667CB"/>
    <w:rsid w:val="55587C17"/>
    <w:rsid w:val="555B0C88"/>
    <w:rsid w:val="555B6C20"/>
    <w:rsid w:val="555D3FFE"/>
    <w:rsid w:val="555D77CC"/>
    <w:rsid w:val="556072A2"/>
    <w:rsid w:val="556233C2"/>
    <w:rsid w:val="55646FF0"/>
    <w:rsid w:val="55675971"/>
    <w:rsid w:val="5581451D"/>
    <w:rsid w:val="5587107B"/>
    <w:rsid w:val="55881BEF"/>
    <w:rsid w:val="55895936"/>
    <w:rsid w:val="5590084C"/>
    <w:rsid w:val="55910BDE"/>
    <w:rsid w:val="55911EF9"/>
    <w:rsid w:val="55992B5C"/>
    <w:rsid w:val="55B160F8"/>
    <w:rsid w:val="55B856D8"/>
    <w:rsid w:val="55BA233B"/>
    <w:rsid w:val="55BC097C"/>
    <w:rsid w:val="55D3120A"/>
    <w:rsid w:val="55D94DAF"/>
    <w:rsid w:val="55E10A66"/>
    <w:rsid w:val="55E13D9A"/>
    <w:rsid w:val="55EA2E92"/>
    <w:rsid w:val="55F47940"/>
    <w:rsid w:val="55FB150F"/>
    <w:rsid w:val="55FF6AA8"/>
    <w:rsid w:val="56021289"/>
    <w:rsid w:val="56043030"/>
    <w:rsid w:val="56075D18"/>
    <w:rsid w:val="560E7AD9"/>
    <w:rsid w:val="560F537A"/>
    <w:rsid w:val="56204626"/>
    <w:rsid w:val="562050A3"/>
    <w:rsid w:val="56244B1C"/>
    <w:rsid w:val="562D5153"/>
    <w:rsid w:val="56327239"/>
    <w:rsid w:val="56467E78"/>
    <w:rsid w:val="564725B8"/>
    <w:rsid w:val="564C7BCE"/>
    <w:rsid w:val="56520D8E"/>
    <w:rsid w:val="56530F5D"/>
    <w:rsid w:val="565A0EE5"/>
    <w:rsid w:val="565A22EB"/>
    <w:rsid w:val="5664066A"/>
    <w:rsid w:val="56674EBC"/>
    <w:rsid w:val="56746774"/>
    <w:rsid w:val="56760FE8"/>
    <w:rsid w:val="567D5FDA"/>
    <w:rsid w:val="567F2A3C"/>
    <w:rsid w:val="567F2D40"/>
    <w:rsid w:val="5689497F"/>
    <w:rsid w:val="568A7781"/>
    <w:rsid w:val="5692257A"/>
    <w:rsid w:val="5696375C"/>
    <w:rsid w:val="569B04C3"/>
    <w:rsid w:val="56A65531"/>
    <w:rsid w:val="56AB6FEB"/>
    <w:rsid w:val="56AC3B86"/>
    <w:rsid w:val="56AC431C"/>
    <w:rsid w:val="56AC7989"/>
    <w:rsid w:val="56B80C06"/>
    <w:rsid w:val="56C1152A"/>
    <w:rsid w:val="56C33BDD"/>
    <w:rsid w:val="56C41E5B"/>
    <w:rsid w:val="56CC38D1"/>
    <w:rsid w:val="56CF5DCB"/>
    <w:rsid w:val="56D00CF4"/>
    <w:rsid w:val="56D13EF2"/>
    <w:rsid w:val="56DD3EF1"/>
    <w:rsid w:val="56DF35B6"/>
    <w:rsid w:val="56E06D50"/>
    <w:rsid w:val="56E95231"/>
    <w:rsid w:val="56EB1320"/>
    <w:rsid w:val="56EB5639"/>
    <w:rsid w:val="56F42740"/>
    <w:rsid w:val="570109B9"/>
    <w:rsid w:val="570601FF"/>
    <w:rsid w:val="570E73AF"/>
    <w:rsid w:val="570F1328"/>
    <w:rsid w:val="57111FF0"/>
    <w:rsid w:val="57127DF3"/>
    <w:rsid w:val="571855FB"/>
    <w:rsid w:val="571C57F3"/>
    <w:rsid w:val="572D17AE"/>
    <w:rsid w:val="5730129E"/>
    <w:rsid w:val="5737036F"/>
    <w:rsid w:val="57390BF9"/>
    <w:rsid w:val="573B2A0E"/>
    <w:rsid w:val="573C5E95"/>
    <w:rsid w:val="574216FD"/>
    <w:rsid w:val="574A05B2"/>
    <w:rsid w:val="574A0B90"/>
    <w:rsid w:val="574E068E"/>
    <w:rsid w:val="57511940"/>
    <w:rsid w:val="5753048F"/>
    <w:rsid w:val="575612E0"/>
    <w:rsid w:val="576B22D6"/>
    <w:rsid w:val="576F3034"/>
    <w:rsid w:val="57792778"/>
    <w:rsid w:val="577A1946"/>
    <w:rsid w:val="57853398"/>
    <w:rsid w:val="5789571C"/>
    <w:rsid w:val="578A27C6"/>
    <w:rsid w:val="5794182D"/>
    <w:rsid w:val="579900C6"/>
    <w:rsid w:val="57991AEA"/>
    <w:rsid w:val="579C3F3D"/>
    <w:rsid w:val="579E08FE"/>
    <w:rsid w:val="57A020FD"/>
    <w:rsid w:val="57A45C57"/>
    <w:rsid w:val="57A60CA6"/>
    <w:rsid w:val="57A611B2"/>
    <w:rsid w:val="57A628DC"/>
    <w:rsid w:val="57AC4DC9"/>
    <w:rsid w:val="57AF5D98"/>
    <w:rsid w:val="57B3519B"/>
    <w:rsid w:val="57CA51B5"/>
    <w:rsid w:val="57CF2966"/>
    <w:rsid w:val="57D02D65"/>
    <w:rsid w:val="57D06DC4"/>
    <w:rsid w:val="57D1482F"/>
    <w:rsid w:val="57D165DD"/>
    <w:rsid w:val="57D85BBE"/>
    <w:rsid w:val="57E427B4"/>
    <w:rsid w:val="57EC78BB"/>
    <w:rsid w:val="57F00BAD"/>
    <w:rsid w:val="57FD73D2"/>
    <w:rsid w:val="5806616B"/>
    <w:rsid w:val="580E15DF"/>
    <w:rsid w:val="58172DA4"/>
    <w:rsid w:val="581D6125"/>
    <w:rsid w:val="5822508B"/>
    <w:rsid w:val="5824202F"/>
    <w:rsid w:val="582619E7"/>
    <w:rsid w:val="5828392F"/>
    <w:rsid w:val="582E1C82"/>
    <w:rsid w:val="584013C9"/>
    <w:rsid w:val="58407671"/>
    <w:rsid w:val="58437551"/>
    <w:rsid w:val="58461354"/>
    <w:rsid w:val="584C035A"/>
    <w:rsid w:val="58501BF8"/>
    <w:rsid w:val="58586CFE"/>
    <w:rsid w:val="585B059D"/>
    <w:rsid w:val="585C67EF"/>
    <w:rsid w:val="585D2CCE"/>
    <w:rsid w:val="58600CCC"/>
    <w:rsid w:val="58602C4C"/>
    <w:rsid w:val="58617EBD"/>
    <w:rsid w:val="58671462"/>
    <w:rsid w:val="58674A8B"/>
    <w:rsid w:val="58734519"/>
    <w:rsid w:val="58743C33"/>
    <w:rsid w:val="587D0513"/>
    <w:rsid w:val="58825B29"/>
    <w:rsid w:val="58A14A23"/>
    <w:rsid w:val="58A54709"/>
    <w:rsid w:val="58A75590"/>
    <w:rsid w:val="58B040C7"/>
    <w:rsid w:val="58B21AB5"/>
    <w:rsid w:val="58B42280"/>
    <w:rsid w:val="58B442C6"/>
    <w:rsid w:val="58B63D67"/>
    <w:rsid w:val="58BC78D7"/>
    <w:rsid w:val="58C211E7"/>
    <w:rsid w:val="58C3686E"/>
    <w:rsid w:val="58C70C0A"/>
    <w:rsid w:val="58D2260D"/>
    <w:rsid w:val="58E8189A"/>
    <w:rsid w:val="58E943CC"/>
    <w:rsid w:val="58F13F37"/>
    <w:rsid w:val="58FD194C"/>
    <w:rsid w:val="58FE1654"/>
    <w:rsid w:val="59047370"/>
    <w:rsid w:val="590545C5"/>
    <w:rsid w:val="59060F61"/>
    <w:rsid w:val="5906675A"/>
    <w:rsid w:val="59080B3C"/>
    <w:rsid w:val="590E5443"/>
    <w:rsid w:val="590E560F"/>
    <w:rsid w:val="591E2BB3"/>
    <w:rsid w:val="59253085"/>
    <w:rsid w:val="592615BB"/>
    <w:rsid w:val="59264106"/>
    <w:rsid w:val="592A35BD"/>
    <w:rsid w:val="593155D6"/>
    <w:rsid w:val="593908DE"/>
    <w:rsid w:val="5939268C"/>
    <w:rsid w:val="59403AC9"/>
    <w:rsid w:val="594159E5"/>
    <w:rsid w:val="59416EC9"/>
    <w:rsid w:val="5947777F"/>
    <w:rsid w:val="5952374E"/>
    <w:rsid w:val="595647AE"/>
    <w:rsid w:val="595C281E"/>
    <w:rsid w:val="5960016A"/>
    <w:rsid w:val="59611FC3"/>
    <w:rsid w:val="59617E35"/>
    <w:rsid w:val="5963595B"/>
    <w:rsid w:val="5964405A"/>
    <w:rsid w:val="59680A16"/>
    <w:rsid w:val="596C2B40"/>
    <w:rsid w:val="596C5D9D"/>
    <w:rsid w:val="59745DBA"/>
    <w:rsid w:val="597A2F72"/>
    <w:rsid w:val="597B5AAA"/>
    <w:rsid w:val="59825C7A"/>
    <w:rsid w:val="59936167"/>
    <w:rsid w:val="59945B14"/>
    <w:rsid w:val="599B5FEC"/>
    <w:rsid w:val="59B16C45"/>
    <w:rsid w:val="59BB1BB3"/>
    <w:rsid w:val="59BB5797"/>
    <w:rsid w:val="59C16162"/>
    <w:rsid w:val="59C2714B"/>
    <w:rsid w:val="59C42A07"/>
    <w:rsid w:val="59C52172"/>
    <w:rsid w:val="59C61A42"/>
    <w:rsid w:val="59C87B78"/>
    <w:rsid w:val="59C97EBD"/>
    <w:rsid w:val="59D70DF6"/>
    <w:rsid w:val="59D72040"/>
    <w:rsid w:val="59D73BFF"/>
    <w:rsid w:val="59DE7D34"/>
    <w:rsid w:val="59E3084A"/>
    <w:rsid w:val="59E720E8"/>
    <w:rsid w:val="59F5767B"/>
    <w:rsid w:val="59F82547"/>
    <w:rsid w:val="5A04713E"/>
    <w:rsid w:val="5A070D39"/>
    <w:rsid w:val="5A13112F"/>
    <w:rsid w:val="5A13386E"/>
    <w:rsid w:val="5A161E02"/>
    <w:rsid w:val="5A1B6236"/>
    <w:rsid w:val="5A1B7FE4"/>
    <w:rsid w:val="5A1D5979"/>
    <w:rsid w:val="5A28406B"/>
    <w:rsid w:val="5A284604"/>
    <w:rsid w:val="5A2A5F03"/>
    <w:rsid w:val="5A312769"/>
    <w:rsid w:val="5A317807"/>
    <w:rsid w:val="5A3A1AE4"/>
    <w:rsid w:val="5A3A2B60"/>
    <w:rsid w:val="5A3D074B"/>
    <w:rsid w:val="5A440992"/>
    <w:rsid w:val="5A45605A"/>
    <w:rsid w:val="5A4C5140"/>
    <w:rsid w:val="5A4F7C8D"/>
    <w:rsid w:val="5A530F7B"/>
    <w:rsid w:val="5A590E17"/>
    <w:rsid w:val="5A5B4884"/>
    <w:rsid w:val="5A5D684E"/>
    <w:rsid w:val="5A6678C6"/>
    <w:rsid w:val="5A776755"/>
    <w:rsid w:val="5A7F4A16"/>
    <w:rsid w:val="5A821E11"/>
    <w:rsid w:val="5A826FA6"/>
    <w:rsid w:val="5A885AC5"/>
    <w:rsid w:val="5A955FE8"/>
    <w:rsid w:val="5A987886"/>
    <w:rsid w:val="5A9C1476"/>
    <w:rsid w:val="5AA12BDF"/>
    <w:rsid w:val="5AA930C1"/>
    <w:rsid w:val="5AAA5962"/>
    <w:rsid w:val="5AAB580B"/>
    <w:rsid w:val="5AC05A36"/>
    <w:rsid w:val="5AC24903"/>
    <w:rsid w:val="5ACD5782"/>
    <w:rsid w:val="5AE41419"/>
    <w:rsid w:val="5AE747BB"/>
    <w:rsid w:val="5AEF0651"/>
    <w:rsid w:val="5AEF0AF8"/>
    <w:rsid w:val="5AF078D1"/>
    <w:rsid w:val="5AFC0709"/>
    <w:rsid w:val="5AFC1BC3"/>
    <w:rsid w:val="5AFC6067"/>
    <w:rsid w:val="5AFE3B8D"/>
    <w:rsid w:val="5B016196"/>
    <w:rsid w:val="5B024938"/>
    <w:rsid w:val="5B033CC3"/>
    <w:rsid w:val="5B0565B8"/>
    <w:rsid w:val="5B0C1CC5"/>
    <w:rsid w:val="5B100BD3"/>
    <w:rsid w:val="5B172B5D"/>
    <w:rsid w:val="5B174637"/>
    <w:rsid w:val="5B1909C7"/>
    <w:rsid w:val="5B1C2265"/>
    <w:rsid w:val="5B227976"/>
    <w:rsid w:val="5B25654A"/>
    <w:rsid w:val="5B274117"/>
    <w:rsid w:val="5B2D55FA"/>
    <w:rsid w:val="5B342F6B"/>
    <w:rsid w:val="5B345801"/>
    <w:rsid w:val="5B444EEB"/>
    <w:rsid w:val="5B4568B3"/>
    <w:rsid w:val="5B4F2426"/>
    <w:rsid w:val="5B523ED9"/>
    <w:rsid w:val="5B5A58C8"/>
    <w:rsid w:val="5B6A2FD1"/>
    <w:rsid w:val="5B6B6D49"/>
    <w:rsid w:val="5B7227B8"/>
    <w:rsid w:val="5B785D8D"/>
    <w:rsid w:val="5B7C2D04"/>
    <w:rsid w:val="5B865931"/>
    <w:rsid w:val="5B871DD5"/>
    <w:rsid w:val="5B8D2B5D"/>
    <w:rsid w:val="5B8D4F11"/>
    <w:rsid w:val="5B8F3F7C"/>
    <w:rsid w:val="5B926D8C"/>
    <w:rsid w:val="5B9404C9"/>
    <w:rsid w:val="5B9A73CC"/>
    <w:rsid w:val="5BA54009"/>
    <w:rsid w:val="5BAA17D9"/>
    <w:rsid w:val="5BAA5AC3"/>
    <w:rsid w:val="5BAE65A3"/>
    <w:rsid w:val="5BB40C92"/>
    <w:rsid w:val="5BB4459E"/>
    <w:rsid w:val="5BB62A55"/>
    <w:rsid w:val="5BB64468"/>
    <w:rsid w:val="5BB92529"/>
    <w:rsid w:val="5BC03426"/>
    <w:rsid w:val="5BCA5273"/>
    <w:rsid w:val="5BD62414"/>
    <w:rsid w:val="5BDB2871"/>
    <w:rsid w:val="5BE45B62"/>
    <w:rsid w:val="5BE8230B"/>
    <w:rsid w:val="5BEA4A79"/>
    <w:rsid w:val="5BF62AB6"/>
    <w:rsid w:val="5BF82FB5"/>
    <w:rsid w:val="5BF94355"/>
    <w:rsid w:val="5BFA2A0F"/>
    <w:rsid w:val="5BFD2097"/>
    <w:rsid w:val="5C001B87"/>
    <w:rsid w:val="5C0A5F62"/>
    <w:rsid w:val="5C1215C3"/>
    <w:rsid w:val="5C160E83"/>
    <w:rsid w:val="5C180C7F"/>
    <w:rsid w:val="5C240E0B"/>
    <w:rsid w:val="5C2B14FA"/>
    <w:rsid w:val="5C2B60DE"/>
    <w:rsid w:val="5C2F7D76"/>
    <w:rsid w:val="5C314D0B"/>
    <w:rsid w:val="5C317F92"/>
    <w:rsid w:val="5C387E07"/>
    <w:rsid w:val="5C3A263A"/>
    <w:rsid w:val="5C3B671B"/>
    <w:rsid w:val="5C3C0D01"/>
    <w:rsid w:val="5C4B41DA"/>
    <w:rsid w:val="5C514191"/>
    <w:rsid w:val="5C537F09"/>
    <w:rsid w:val="5C54004C"/>
    <w:rsid w:val="5C5436ED"/>
    <w:rsid w:val="5C545A2F"/>
    <w:rsid w:val="5C5B298D"/>
    <w:rsid w:val="5C5C7278"/>
    <w:rsid w:val="5C5E50BE"/>
    <w:rsid w:val="5C623F7E"/>
    <w:rsid w:val="5C630938"/>
    <w:rsid w:val="5C690D6D"/>
    <w:rsid w:val="5C797243"/>
    <w:rsid w:val="5C7B371F"/>
    <w:rsid w:val="5C836A58"/>
    <w:rsid w:val="5C855BE8"/>
    <w:rsid w:val="5C8835A6"/>
    <w:rsid w:val="5C8F6A67"/>
    <w:rsid w:val="5C904CB9"/>
    <w:rsid w:val="5C95082C"/>
    <w:rsid w:val="5C984212"/>
    <w:rsid w:val="5C991650"/>
    <w:rsid w:val="5C9B285D"/>
    <w:rsid w:val="5CA46110"/>
    <w:rsid w:val="5CA6628A"/>
    <w:rsid w:val="5CA813C0"/>
    <w:rsid w:val="5CAC13C7"/>
    <w:rsid w:val="5CAE15E3"/>
    <w:rsid w:val="5CAE513F"/>
    <w:rsid w:val="5CB35498"/>
    <w:rsid w:val="5CBE19CD"/>
    <w:rsid w:val="5CC63BEF"/>
    <w:rsid w:val="5CC6692D"/>
    <w:rsid w:val="5CC901CB"/>
    <w:rsid w:val="5CCB7A9F"/>
    <w:rsid w:val="5CCC52A7"/>
    <w:rsid w:val="5CCE4356"/>
    <w:rsid w:val="5CD3271D"/>
    <w:rsid w:val="5CD332BF"/>
    <w:rsid w:val="5CD43366"/>
    <w:rsid w:val="5CDD5A24"/>
    <w:rsid w:val="5CDF179C"/>
    <w:rsid w:val="5CE2128D"/>
    <w:rsid w:val="5CE374F0"/>
    <w:rsid w:val="5CE861EA"/>
    <w:rsid w:val="5CED3EB9"/>
    <w:rsid w:val="5CF500A6"/>
    <w:rsid w:val="5CF60CA6"/>
    <w:rsid w:val="5CF72DCD"/>
    <w:rsid w:val="5CFB2E43"/>
    <w:rsid w:val="5D05319D"/>
    <w:rsid w:val="5D0905C7"/>
    <w:rsid w:val="5D0D6A93"/>
    <w:rsid w:val="5D0E20AE"/>
    <w:rsid w:val="5D17362D"/>
    <w:rsid w:val="5D215911"/>
    <w:rsid w:val="5D221689"/>
    <w:rsid w:val="5D287547"/>
    <w:rsid w:val="5D2A2271"/>
    <w:rsid w:val="5D2B0A72"/>
    <w:rsid w:val="5D2F5CFD"/>
    <w:rsid w:val="5D333BB8"/>
    <w:rsid w:val="5D335644"/>
    <w:rsid w:val="5D3970FE"/>
    <w:rsid w:val="5D434890"/>
    <w:rsid w:val="5D4D2BAA"/>
    <w:rsid w:val="5D4D6706"/>
    <w:rsid w:val="5D50269A"/>
    <w:rsid w:val="5D5119B2"/>
    <w:rsid w:val="5D512AC7"/>
    <w:rsid w:val="5D5757D7"/>
    <w:rsid w:val="5D580B81"/>
    <w:rsid w:val="5D5E1A9C"/>
    <w:rsid w:val="5D5F6439"/>
    <w:rsid w:val="5D670C29"/>
    <w:rsid w:val="5D6F12EB"/>
    <w:rsid w:val="5D7019F1"/>
    <w:rsid w:val="5D7A4F93"/>
    <w:rsid w:val="5D7E17EB"/>
    <w:rsid w:val="5D804D2D"/>
    <w:rsid w:val="5D81714F"/>
    <w:rsid w:val="5D8B2282"/>
    <w:rsid w:val="5D8B36D2"/>
    <w:rsid w:val="5D942587"/>
    <w:rsid w:val="5D9558F0"/>
    <w:rsid w:val="5D9E149C"/>
    <w:rsid w:val="5DA327CA"/>
    <w:rsid w:val="5DA402F0"/>
    <w:rsid w:val="5DA433F9"/>
    <w:rsid w:val="5DAF4C1B"/>
    <w:rsid w:val="5DB5381D"/>
    <w:rsid w:val="5DB879FB"/>
    <w:rsid w:val="5DB91FED"/>
    <w:rsid w:val="5DBF2884"/>
    <w:rsid w:val="5DBF3C39"/>
    <w:rsid w:val="5DC664B8"/>
    <w:rsid w:val="5DD230AF"/>
    <w:rsid w:val="5DD2339B"/>
    <w:rsid w:val="5DD5494D"/>
    <w:rsid w:val="5DD75299"/>
    <w:rsid w:val="5DD819D5"/>
    <w:rsid w:val="5DDC5CDC"/>
    <w:rsid w:val="5DE21114"/>
    <w:rsid w:val="5DED63C0"/>
    <w:rsid w:val="5DF64FF0"/>
    <w:rsid w:val="5DF71748"/>
    <w:rsid w:val="5E0412E8"/>
    <w:rsid w:val="5E1209D9"/>
    <w:rsid w:val="5E1363E9"/>
    <w:rsid w:val="5E203E1A"/>
    <w:rsid w:val="5E231B5D"/>
    <w:rsid w:val="5E284693"/>
    <w:rsid w:val="5E2B0AB5"/>
    <w:rsid w:val="5E302281"/>
    <w:rsid w:val="5E3D4F56"/>
    <w:rsid w:val="5E402B93"/>
    <w:rsid w:val="5E413D91"/>
    <w:rsid w:val="5E4D1219"/>
    <w:rsid w:val="5E5A24AF"/>
    <w:rsid w:val="5E5C7239"/>
    <w:rsid w:val="5E6A32E8"/>
    <w:rsid w:val="5E6C3504"/>
    <w:rsid w:val="5E6E2DD8"/>
    <w:rsid w:val="5E6E3037"/>
    <w:rsid w:val="5E8027DE"/>
    <w:rsid w:val="5E821253"/>
    <w:rsid w:val="5E87020C"/>
    <w:rsid w:val="5E88466F"/>
    <w:rsid w:val="5E914D18"/>
    <w:rsid w:val="5E9467BD"/>
    <w:rsid w:val="5EA52572"/>
    <w:rsid w:val="5EB153BA"/>
    <w:rsid w:val="5EB910EE"/>
    <w:rsid w:val="5EBA426F"/>
    <w:rsid w:val="5EBB1D95"/>
    <w:rsid w:val="5EBC7D2E"/>
    <w:rsid w:val="5EC455DD"/>
    <w:rsid w:val="5EC613D1"/>
    <w:rsid w:val="5EC81E21"/>
    <w:rsid w:val="5ED45FB3"/>
    <w:rsid w:val="5ED70F47"/>
    <w:rsid w:val="5ED752A6"/>
    <w:rsid w:val="5EDF5A84"/>
    <w:rsid w:val="5EE7291C"/>
    <w:rsid w:val="5F015EC1"/>
    <w:rsid w:val="5F1322D4"/>
    <w:rsid w:val="5F1A481C"/>
    <w:rsid w:val="5F2550F5"/>
    <w:rsid w:val="5F364839"/>
    <w:rsid w:val="5F3C1A90"/>
    <w:rsid w:val="5F3C4C84"/>
    <w:rsid w:val="5F3F6522"/>
    <w:rsid w:val="5F434264"/>
    <w:rsid w:val="5F44413F"/>
    <w:rsid w:val="5F48187B"/>
    <w:rsid w:val="5F4955F3"/>
    <w:rsid w:val="5F4B4EC7"/>
    <w:rsid w:val="5F5244A8"/>
    <w:rsid w:val="5F5D46B5"/>
    <w:rsid w:val="5F6707B0"/>
    <w:rsid w:val="5F675754"/>
    <w:rsid w:val="5F677827"/>
    <w:rsid w:val="5F724B4A"/>
    <w:rsid w:val="5F795933"/>
    <w:rsid w:val="5F7C6773"/>
    <w:rsid w:val="5F7E529D"/>
    <w:rsid w:val="5F801B7D"/>
    <w:rsid w:val="5F8A1E93"/>
    <w:rsid w:val="5F8B3515"/>
    <w:rsid w:val="5F954394"/>
    <w:rsid w:val="5F9D3430"/>
    <w:rsid w:val="5F9E76ED"/>
    <w:rsid w:val="5FA8056B"/>
    <w:rsid w:val="5FAB1E0A"/>
    <w:rsid w:val="5FAB5B55"/>
    <w:rsid w:val="5FAC313B"/>
    <w:rsid w:val="5FAD71C6"/>
    <w:rsid w:val="5FBB4342"/>
    <w:rsid w:val="5FBE38EB"/>
    <w:rsid w:val="5FC42BD3"/>
    <w:rsid w:val="5FC47918"/>
    <w:rsid w:val="5FC77254"/>
    <w:rsid w:val="5FD255E8"/>
    <w:rsid w:val="5FD50C35"/>
    <w:rsid w:val="5FD9109E"/>
    <w:rsid w:val="5FE35D92"/>
    <w:rsid w:val="5FE7014C"/>
    <w:rsid w:val="5FF76DFD"/>
    <w:rsid w:val="5FFD572B"/>
    <w:rsid w:val="60063579"/>
    <w:rsid w:val="60085DAB"/>
    <w:rsid w:val="600968F8"/>
    <w:rsid w:val="600E77A1"/>
    <w:rsid w:val="60122565"/>
    <w:rsid w:val="60174C1A"/>
    <w:rsid w:val="601D161A"/>
    <w:rsid w:val="60207E52"/>
    <w:rsid w:val="60241800"/>
    <w:rsid w:val="60254A2E"/>
    <w:rsid w:val="602B54AD"/>
    <w:rsid w:val="60304B50"/>
    <w:rsid w:val="60341DFF"/>
    <w:rsid w:val="603C4DB8"/>
    <w:rsid w:val="604217AB"/>
    <w:rsid w:val="604C539B"/>
    <w:rsid w:val="606036A1"/>
    <w:rsid w:val="60625B06"/>
    <w:rsid w:val="606418DF"/>
    <w:rsid w:val="60717241"/>
    <w:rsid w:val="60723AE7"/>
    <w:rsid w:val="60727EF4"/>
    <w:rsid w:val="60793CB6"/>
    <w:rsid w:val="6089047D"/>
    <w:rsid w:val="608F7EB6"/>
    <w:rsid w:val="60977744"/>
    <w:rsid w:val="609906B2"/>
    <w:rsid w:val="609A6548"/>
    <w:rsid w:val="60B349C5"/>
    <w:rsid w:val="60B62CA5"/>
    <w:rsid w:val="60B85EAB"/>
    <w:rsid w:val="60BD1DF5"/>
    <w:rsid w:val="60C51C2C"/>
    <w:rsid w:val="60D13AF2"/>
    <w:rsid w:val="60D55390"/>
    <w:rsid w:val="60D603D4"/>
    <w:rsid w:val="60E22FD7"/>
    <w:rsid w:val="60E455D3"/>
    <w:rsid w:val="60E72724"/>
    <w:rsid w:val="60EC6236"/>
    <w:rsid w:val="60EE0200"/>
    <w:rsid w:val="60F05A47"/>
    <w:rsid w:val="60F1469B"/>
    <w:rsid w:val="60F375C4"/>
    <w:rsid w:val="60F738B8"/>
    <w:rsid w:val="60FA4DF7"/>
    <w:rsid w:val="60FB0B6F"/>
    <w:rsid w:val="60FB6FA5"/>
    <w:rsid w:val="60FE00E1"/>
    <w:rsid w:val="60FF1094"/>
    <w:rsid w:val="61161505"/>
    <w:rsid w:val="61176028"/>
    <w:rsid w:val="611973F5"/>
    <w:rsid w:val="611A7247"/>
    <w:rsid w:val="611F2431"/>
    <w:rsid w:val="611F5345"/>
    <w:rsid w:val="61217ACE"/>
    <w:rsid w:val="612400C6"/>
    <w:rsid w:val="612973CB"/>
    <w:rsid w:val="6138591F"/>
    <w:rsid w:val="613A3445"/>
    <w:rsid w:val="613A51F3"/>
    <w:rsid w:val="613C71BD"/>
    <w:rsid w:val="6142679E"/>
    <w:rsid w:val="614B4949"/>
    <w:rsid w:val="614C4F26"/>
    <w:rsid w:val="61605860"/>
    <w:rsid w:val="61630688"/>
    <w:rsid w:val="61630BEE"/>
    <w:rsid w:val="616C7377"/>
    <w:rsid w:val="61730005"/>
    <w:rsid w:val="617701F5"/>
    <w:rsid w:val="61772B87"/>
    <w:rsid w:val="617C1CB0"/>
    <w:rsid w:val="617E4DCD"/>
    <w:rsid w:val="618172C6"/>
    <w:rsid w:val="61825C14"/>
    <w:rsid w:val="61842912"/>
    <w:rsid w:val="618901BC"/>
    <w:rsid w:val="618C49CF"/>
    <w:rsid w:val="618F133D"/>
    <w:rsid w:val="619012B7"/>
    <w:rsid w:val="619F3ED8"/>
    <w:rsid w:val="61AC4E41"/>
    <w:rsid w:val="61AE042F"/>
    <w:rsid w:val="61B31D0F"/>
    <w:rsid w:val="61BE31A4"/>
    <w:rsid w:val="61C402E7"/>
    <w:rsid w:val="61C629D6"/>
    <w:rsid w:val="61C642D8"/>
    <w:rsid w:val="61C826F0"/>
    <w:rsid w:val="61CB22EF"/>
    <w:rsid w:val="61CC0880"/>
    <w:rsid w:val="61CE3C13"/>
    <w:rsid w:val="61CF136B"/>
    <w:rsid w:val="61DA0784"/>
    <w:rsid w:val="61DA61FE"/>
    <w:rsid w:val="61E74A99"/>
    <w:rsid w:val="61E909C7"/>
    <w:rsid w:val="61ED6709"/>
    <w:rsid w:val="61EF0410"/>
    <w:rsid w:val="61EF17A6"/>
    <w:rsid w:val="61F21F72"/>
    <w:rsid w:val="61F35F0F"/>
    <w:rsid w:val="61F45CEA"/>
    <w:rsid w:val="61FE4473"/>
    <w:rsid w:val="620121B5"/>
    <w:rsid w:val="62074A71"/>
    <w:rsid w:val="6212744C"/>
    <w:rsid w:val="621B5576"/>
    <w:rsid w:val="621D786A"/>
    <w:rsid w:val="621F6AC5"/>
    <w:rsid w:val="6222326E"/>
    <w:rsid w:val="622C30EA"/>
    <w:rsid w:val="622F6D22"/>
    <w:rsid w:val="62344338"/>
    <w:rsid w:val="623A44B2"/>
    <w:rsid w:val="623C31ED"/>
    <w:rsid w:val="62413331"/>
    <w:rsid w:val="62417E3F"/>
    <w:rsid w:val="62426625"/>
    <w:rsid w:val="62430CA4"/>
    <w:rsid w:val="624C1565"/>
    <w:rsid w:val="624E12DE"/>
    <w:rsid w:val="624E7282"/>
    <w:rsid w:val="62515CD7"/>
    <w:rsid w:val="6257481A"/>
    <w:rsid w:val="625F09B3"/>
    <w:rsid w:val="62602797"/>
    <w:rsid w:val="626356BD"/>
    <w:rsid w:val="6265459F"/>
    <w:rsid w:val="6266554C"/>
    <w:rsid w:val="627420EC"/>
    <w:rsid w:val="62783535"/>
    <w:rsid w:val="627E4BA4"/>
    <w:rsid w:val="62885960"/>
    <w:rsid w:val="628B30FE"/>
    <w:rsid w:val="628F2A39"/>
    <w:rsid w:val="62930906"/>
    <w:rsid w:val="629A0A6A"/>
    <w:rsid w:val="629A704F"/>
    <w:rsid w:val="629C4C96"/>
    <w:rsid w:val="629E42B8"/>
    <w:rsid w:val="62A163C6"/>
    <w:rsid w:val="62AC456C"/>
    <w:rsid w:val="62B60044"/>
    <w:rsid w:val="62BF1250"/>
    <w:rsid w:val="62D6719E"/>
    <w:rsid w:val="62E5289D"/>
    <w:rsid w:val="62EC6F26"/>
    <w:rsid w:val="62ED5559"/>
    <w:rsid w:val="62EE428B"/>
    <w:rsid w:val="63071A4D"/>
    <w:rsid w:val="630C0E11"/>
    <w:rsid w:val="63147CC6"/>
    <w:rsid w:val="63147D0D"/>
    <w:rsid w:val="63163A3E"/>
    <w:rsid w:val="631C02F7"/>
    <w:rsid w:val="63230B51"/>
    <w:rsid w:val="63242FCA"/>
    <w:rsid w:val="6329551F"/>
    <w:rsid w:val="632C5010"/>
    <w:rsid w:val="63313DA6"/>
    <w:rsid w:val="63381C06"/>
    <w:rsid w:val="633F2F95"/>
    <w:rsid w:val="634E06E9"/>
    <w:rsid w:val="635051A2"/>
    <w:rsid w:val="63514A76"/>
    <w:rsid w:val="6367429A"/>
    <w:rsid w:val="637040E7"/>
    <w:rsid w:val="637722C4"/>
    <w:rsid w:val="637B500A"/>
    <w:rsid w:val="637D1D0F"/>
    <w:rsid w:val="63833238"/>
    <w:rsid w:val="638A3653"/>
    <w:rsid w:val="638A52D0"/>
    <w:rsid w:val="638D1F52"/>
    <w:rsid w:val="638F71D4"/>
    <w:rsid w:val="639D7824"/>
    <w:rsid w:val="63A23524"/>
    <w:rsid w:val="63A44570"/>
    <w:rsid w:val="63A92B04"/>
    <w:rsid w:val="63A94039"/>
    <w:rsid w:val="63AE1EC8"/>
    <w:rsid w:val="63AE3C76"/>
    <w:rsid w:val="63B55CD4"/>
    <w:rsid w:val="63BD5020"/>
    <w:rsid w:val="63C179EF"/>
    <w:rsid w:val="63C17E4E"/>
    <w:rsid w:val="63C36769"/>
    <w:rsid w:val="63C60FC0"/>
    <w:rsid w:val="63C757D1"/>
    <w:rsid w:val="63C96D02"/>
    <w:rsid w:val="63CB59FF"/>
    <w:rsid w:val="63D043E2"/>
    <w:rsid w:val="63DC07E4"/>
    <w:rsid w:val="63DD17AB"/>
    <w:rsid w:val="63DE4371"/>
    <w:rsid w:val="63F26259"/>
    <w:rsid w:val="63F41F75"/>
    <w:rsid w:val="63F43D7F"/>
    <w:rsid w:val="63F7262D"/>
    <w:rsid w:val="63FC022F"/>
    <w:rsid w:val="63FC0A49"/>
    <w:rsid w:val="63FE3A30"/>
    <w:rsid w:val="64064B10"/>
    <w:rsid w:val="64086C57"/>
    <w:rsid w:val="640947FE"/>
    <w:rsid w:val="640B4148"/>
    <w:rsid w:val="6417768D"/>
    <w:rsid w:val="641E63C8"/>
    <w:rsid w:val="6424218B"/>
    <w:rsid w:val="642457DF"/>
    <w:rsid w:val="642914F3"/>
    <w:rsid w:val="64300B2F"/>
    <w:rsid w:val="64393E88"/>
    <w:rsid w:val="643A375C"/>
    <w:rsid w:val="643C07E1"/>
    <w:rsid w:val="643C74D4"/>
    <w:rsid w:val="643D04A4"/>
    <w:rsid w:val="644840EA"/>
    <w:rsid w:val="644D16E1"/>
    <w:rsid w:val="644D181E"/>
    <w:rsid w:val="645C1924"/>
    <w:rsid w:val="64601415"/>
    <w:rsid w:val="6464424D"/>
    <w:rsid w:val="64677268"/>
    <w:rsid w:val="64704C13"/>
    <w:rsid w:val="64722EF6"/>
    <w:rsid w:val="6476379D"/>
    <w:rsid w:val="647C6082"/>
    <w:rsid w:val="647D62A4"/>
    <w:rsid w:val="64826BBC"/>
    <w:rsid w:val="64855F53"/>
    <w:rsid w:val="64876231"/>
    <w:rsid w:val="648A6492"/>
    <w:rsid w:val="648B3FB8"/>
    <w:rsid w:val="648D7519"/>
    <w:rsid w:val="64B26780"/>
    <w:rsid w:val="64B27796"/>
    <w:rsid w:val="64B928D3"/>
    <w:rsid w:val="64C01EB3"/>
    <w:rsid w:val="64C30A17"/>
    <w:rsid w:val="64C84C3E"/>
    <w:rsid w:val="64C94F6C"/>
    <w:rsid w:val="64CE2842"/>
    <w:rsid w:val="64D165F4"/>
    <w:rsid w:val="64DD4813"/>
    <w:rsid w:val="64E14F97"/>
    <w:rsid w:val="64E16273"/>
    <w:rsid w:val="64EC0EFA"/>
    <w:rsid w:val="64ED59C5"/>
    <w:rsid w:val="64F73387"/>
    <w:rsid w:val="650F7458"/>
    <w:rsid w:val="6514253C"/>
    <w:rsid w:val="6515681C"/>
    <w:rsid w:val="651D7306"/>
    <w:rsid w:val="65295CAB"/>
    <w:rsid w:val="6530528B"/>
    <w:rsid w:val="65314B5F"/>
    <w:rsid w:val="65355DF9"/>
    <w:rsid w:val="653603C7"/>
    <w:rsid w:val="65447638"/>
    <w:rsid w:val="654900FB"/>
    <w:rsid w:val="65492DA4"/>
    <w:rsid w:val="65547FE7"/>
    <w:rsid w:val="655B1FE0"/>
    <w:rsid w:val="65602D4A"/>
    <w:rsid w:val="65673DF1"/>
    <w:rsid w:val="657038D9"/>
    <w:rsid w:val="65717652"/>
    <w:rsid w:val="65741CBF"/>
    <w:rsid w:val="657B5DDA"/>
    <w:rsid w:val="657C1F00"/>
    <w:rsid w:val="657D7DA4"/>
    <w:rsid w:val="65842EE1"/>
    <w:rsid w:val="658A426F"/>
    <w:rsid w:val="658D448B"/>
    <w:rsid w:val="65913850"/>
    <w:rsid w:val="65953340"/>
    <w:rsid w:val="659F5F6D"/>
    <w:rsid w:val="65A50572"/>
    <w:rsid w:val="65AA491B"/>
    <w:rsid w:val="65AC39E3"/>
    <w:rsid w:val="65B53346"/>
    <w:rsid w:val="65B8494E"/>
    <w:rsid w:val="65C236A7"/>
    <w:rsid w:val="65C50FC8"/>
    <w:rsid w:val="65C71C96"/>
    <w:rsid w:val="65D23FBB"/>
    <w:rsid w:val="65D26342"/>
    <w:rsid w:val="65D62DC8"/>
    <w:rsid w:val="65D73958"/>
    <w:rsid w:val="65E16585"/>
    <w:rsid w:val="65E20E47"/>
    <w:rsid w:val="65E765EC"/>
    <w:rsid w:val="65EB100B"/>
    <w:rsid w:val="65EC06D3"/>
    <w:rsid w:val="65F53DDF"/>
    <w:rsid w:val="65FB6537"/>
    <w:rsid w:val="660364FC"/>
    <w:rsid w:val="66124C93"/>
    <w:rsid w:val="661E1587"/>
    <w:rsid w:val="66235B98"/>
    <w:rsid w:val="662D41D7"/>
    <w:rsid w:val="662E5934"/>
    <w:rsid w:val="663012BB"/>
    <w:rsid w:val="66334002"/>
    <w:rsid w:val="663743F7"/>
    <w:rsid w:val="66380CFC"/>
    <w:rsid w:val="66391F1D"/>
    <w:rsid w:val="663A6631"/>
    <w:rsid w:val="663C37BC"/>
    <w:rsid w:val="664A3A62"/>
    <w:rsid w:val="66517729"/>
    <w:rsid w:val="665A1E94"/>
    <w:rsid w:val="665F174A"/>
    <w:rsid w:val="66644AC0"/>
    <w:rsid w:val="66652D12"/>
    <w:rsid w:val="666A750F"/>
    <w:rsid w:val="666F2112"/>
    <w:rsid w:val="66703465"/>
    <w:rsid w:val="66800AFB"/>
    <w:rsid w:val="668E304F"/>
    <w:rsid w:val="6692787F"/>
    <w:rsid w:val="669453A6"/>
    <w:rsid w:val="6695116D"/>
    <w:rsid w:val="669E6224"/>
    <w:rsid w:val="66A04723"/>
    <w:rsid w:val="66A87A5E"/>
    <w:rsid w:val="66AD7DFB"/>
    <w:rsid w:val="66AE02BB"/>
    <w:rsid w:val="66AF0431"/>
    <w:rsid w:val="66B214DE"/>
    <w:rsid w:val="66B71094"/>
    <w:rsid w:val="66B777AB"/>
    <w:rsid w:val="66BB6DD6"/>
    <w:rsid w:val="66C0263F"/>
    <w:rsid w:val="66D914DC"/>
    <w:rsid w:val="66DB6F60"/>
    <w:rsid w:val="66E300DB"/>
    <w:rsid w:val="66E45D6B"/>
    <w:rsid w:val="66E77BCB"/>
    <w:rsid w:val="66E812D0"/>
    <w:rsid w:val="66E8216C"/>
    <w:rsid w:val="66E9163F"/>
    <w:rsid w:val="66EE5CA6"/>
    <w:rsid w:val="66EE7FF0"/>
    <w:rsid w:val="66F22DF3"/>
    <w:rsid w:val="66F977DD"/>
    <w:rsid w:val="66FB228B"/>
    <w:rsid w:val="6704280D"/>
    <w:rsid w:val="67114C48"/>
    <w:rsid w:val="6716225F"/>
    <w:rsid w:val="671771FC"/>
    <w:rsid w:val="671B5AC7"/>
    <w:rsid w:val="671D183F"/>
    <w:rsid w:val="671D539B"/>
    <w:rsid w:val="671E0F12"/>
    <w:rsid w:val="67206C39"/>
    <w:rsid w:val="67256946"/>
    <w:rsid w:val="672B0097"/>
    <w:rsid w:val="67362711"/>
    <w:rsid w:val="673A630A"/>
    <w:rsid w:val="673C5514"/>
    <w:rsid w:val="673E5311"/>
    <w:rsid w:val="6740552D"/>
    <w:rsid w:val="67406803"/>
    <w:rsid w:val="67452B44"/>
    <w:rsid w:val="674B3199"/>
    <w:rsid w:val="67512F25"/>
    <w:rsid w:val="67535261"/>
    <w:rsid w:val="675533AE"/>
    <w:rsid w:val="6759214B"/>
    <w:rsid w:val="675D27CC"/>
    <w:rsid w:val="675E02F4"/>
    <w:rsid w:val="676246E7"/>
    <w:rsid w:val="67633531"/>
    <w:rsid w:val="67666537"/>
    <w:rsid w:val="67672A43"/>
    <w:rsid w:val="676B29D2"/>
    <w:rsid w:val="676E5BF7"/>
    <w:rsid w:val="67701CE6"/>
    <w:rsid w:val="67717495"/>
    <w:rsid w:val="67780823"/>
    <w:rsid w:val="67786039"/>
    <w:rsid w:val="67793EBD"/>
    <w:rsid w:val="67830ADB"/>
    <w:rsid w:val="67902011"/>
    <w:rsid w:val="67966EFB"/>
    <w:rsid w:val="679F1744"/>
    <w:rsid w:val="67A52921"/>
    <w:rsid w:val="67BB1AB1"/>
    <w:rsid w:val="67BC5BC4"/>
    <w:rsid w:val="67C223E6"/>
    <w:rsid w:val="67C34BD3"/>
    <w:rsid w:val="67C47F0C"/>
    <w:rsid w:val="67CB3049"/>
    <w:rsid w:val="67D059A1"/>
    <w:rsid w:val="67D068B1"/>
    <w:rsid w:val="67D977D0"/>
    <w:rsid w:val="67DD2D7C"/>
    <w:rsid w:val="67DD4B2A"/>
    <w:rsid w:val="67DF1FB5"/>
    <w:rsid w:val="67DF665A"/>
    <w:rsid w:val="67E759A9"/>
    <w:rsid w:val="67EE1F0C"/>
    <w:rsid w:val="67F20A8F"/>
    <w:rsid w:val="67F804C9"/>
    <w:rsid w:val="67F9777D"/>
    <w:rsid w:val="67FB41E6"/>
    <w:rsid w:val="67FE557E"/>
    <w:rsid w:val="67FF2CF3"/>
    <w:rsid w:val="680A0F5A"/>
    <w:rsid w:val="680C6640"/>
    <w:rsid w:val="681F3395"/>
    <w:rsid w:val="68207183"/>
    <w:rsid w:val="682217B3"/>
    <w:rsid w:val="6823154B"/>
    <w:rsid w:val="68283211"/>
    <w:rsid w:val="683055A2"/>
    <w:rsid w:val="68313519"/>
    <w:rsid w:val="6834505F"/>
    <w:rsid w:val="683464C5"/>
    <w:rsid w:val="68376930"/>
    <w:rsid w:val="683E7CBF"/>
    <w:rsid w:val="684150B9"/>
    <w:rsid w:val="68435627"/>
    <w:rsid w:val="68465054"/>
    <w:rsid w:val="684828EC"/>
    <w:rsid w:val="685057FE"/>
    <w:rsid w:val="685065FF"/>
    <w:rsid w:val="6859285A"/>
    <w:rsid w:val="685A66F9"/>
    <w:rsid w:val="685E3D5A"/>
    <w:rsid w:val="68613112"/>
    <w:rsid w:val="6865349E"/>
    <w:rsid w:val="6865735D"/>
    <w:rsid w:val="686E3384"/>
    <w:rsid w:val="6873097E"/>
    <w:rsid w:val="68776D2D"/>
    <w:rsid w:val="68790CF7"/>
    <w:rsid w:val="6884144A"/>
    <w:rsid w:val="68850B98"/>
    <w:rsid w:val="68882959"/>
    <w:rsid w:val="68896A60"/>
    <w:rsid w:val="688A3BF5"/>
    <w:rsid w:val="6894725F"/>
    <w:rsid w:val="68995692"/>
    <w:rsid w:val="68A11614"/>
    <w:rsid w:val="68A11FFC"/>
    <w:rsid w:val="68AF64C7"/>
    <w:rsid w:val="68B43ADD"/>
    <w:rsid w:val="68C11E75"/>
    <w:rsid w:val="68C36416"/>
    <w:rsid w:val="68CA0890"/>
    <w:rsid w:val="68DB72BC"/>
    <w:rsid w:val="68E00D76"/>
    <w:rsid w:val="68EB7AF6"/>
    <w:rsid w:val="68F95994"/>
    <w:rsid w:val="69085BD7"/>
    <w:rsid w:val="690B012A"/>
    <w:rsid w:val="69136635"/>
    <w:rsid w:val="69164798"/>
    <w:rsid w:val="691E364C"/>
    <w:rsid w:val="691F0B48"/>
    <w:rsid w:val="69286279"/>
    <w:rsid w:val="692B5388"/>
    <w:rsid w:val="692E1D7E"/>
    <w:rsid w:val="693A3851"/>
    <w:rsid w:val="694000AD"/>
    <w:rsid w:val="694426C3"/>
    <w:rsid w:val="69484496"/>
    <w:rsid w:val="6949691B"/>
    <w:rsid w:val="694E17D6"/>
    <w:rsid w:val="695452C0"/>
    <w:rsid w:val="695928D6"/>
    <w:rsid w:val="69592F7C"/>
    <w:rsid w:val="6962178B"/>
    <w:rsid w:val="69654932"/>
    <w:rsid w:val="696B26DA"/>
    <w:rsid w:val="69796AD5"/>
    <w:rsid w:val="698711F2"/>
    <w:rsid w:val="6993489C"/>
    <w:rsid w:val="69967687"/>
    <w:rsid w:val="699C00B6"/>
    <w:rsid w:val="699D4BD0"/>
    <w:rsid w:val="69A17033"/>
    <w:rsid w:val="69A41463"/>
    <w:rsid w:val="69A43B52"/>
    <w:rsid w:val="69AB62FF"/>
    <w:rsid w:val="69B95BBF"/>
    <w:rsid w:val="69C81D63"/>
    <w:rsid w:val="69D055EE"/>
    <w:rsid w:val="69D22757"/>
    <w:rsid w:val="69D35328"/>
    <w:rsid w:val="69D87C9F"/>
    <w:rsid w:val="69DB026F"/>
    <w:rsid w:val="69DC778F"/>
    <w:rsid w:val="69DE0CFA"/>
    <w:rsid w:val="69E40050"/>
    <w:rsid w:val="69E726FA"/>
    <w:rsid w:val="69ED668A"/>
    <w:rsid w:val="69F1491A"/>
    <w:rsid w:val="69F94B25"/>
    <w:rsid w:val="6A03740A"/>
    <w:rsid w:val="6A0A0DCD"/>
    <w:rsid w:val="6A0B1E23"/>
    <w:rsid w:val="6A0E5B49"/>
    <w:rsid w:val="6A137128"/>
    <w:rsid w:val="6A166418"/>
    <w:rsid w:val="6A190595"/>
    <w:rsid w:val="6A1A25C7"/>
    <w:rsid w:val="6A1B07B7"/>
    <w:rsid w:val="6A1D1B56"/>
    <w:rsid w:val="6A1D5A70"/>
    <w:rsid w:val="6A23118D"/>
    <w:rsid w:val="6A231F56"/>
    <w:rsid w:val="6A277DF7"/>
    <w:rsid w:val="6A34705D"/>
    <w:rsid w:val="6A351797"/>
    <w:rsid w:val="6A3F4668"/>
    <w:rsid w:val="6A49294B"/>
    <w:rsid w:val="6A535578"/>
    <w:rsid w:val="6A55309E"/>
    <w:rsid w:val="6A575068"/>
    <w:rsid w:val="6A590DE0"/>
    <w:rsid w:val="6A5A4B58"/>
    <w:rsid w:val="6A637148"/>
    <w:rsid w:val="6A683EEF"/>
    <w:rsid w:val="6A6C5D7E"/>
    <w:rsid w:val="6A7008BE"/>
    <w:rsid w:val="6A706FED"/>
    <w:rsid w:val="6A720EF8"/>
    <w:rsid w:val="6A7A6FA8"/>
    <w:rsid w:val="6A823DD2"/>
    <w:rsid w:val="6A956E8D"/>
    <w:rsid w:val="6A9E2EDE"/>
    <w:rsid w:val="6AA656A7"/>
    <w:rsid w:val="6AA762FA"/>
    <w:rsid w:val="6AAF2E61"/>
    <w:rsid w:val="6AB519FC"/>
    <w:rsid w:val="6ABA028E"/>
    <w:rsid w:val="6ABB2021"/>
    <w:rsid w:val="6ACA45CB"/>
    <w:rsid w:val="6ACB15B2"/>
    <w:rsid w:val="6AD20B92"/>
    <w:rsid w:val="6AD82AD7"/>
    <w:rsid w:val="6ADA567B"/>
    <w:rsid w:val="6ADE6653"/>
    <w:rsid w:val="6AE172C3"/>
    <w:rsid w:val="6AE21C84"/>
    <w:rsid w:val="6AE230EA"/>
    <w:rsid w:val="6AE54422"/>
    <w:rsid w:val="6AE82FA9"/>
    <w:rsid w:val="6AED37F2"/>
    <w:rsid w:val="6AEE5D1D"/>
    <w:rsid w:val="6AF428B7"/>
    <w:rsid w:val="6AFD6BD2"/>
    <w:rsid w:val="6B007E4F"/>
    <w:rsid w:val="6B1116BB"/>
    <w:rsid w:val="6B1B388E"/>
    <w:rsid w:val="6B1D005F"/>
    <w:rsid w:val="6B225676"/>
    <w:rsid w:val="6B282560"/>
    <w:rsid w:val="6B2C0E94"/>
    <w:rsid w:val="6B2D7B77"/>
    <w:rsid w:val="6B317667"/>
    <w:rsid w:val="6B364C7D"/>
    <w:rsid w:val="6B38114E"/>
    <w:rsid w:val="6B3D6D0B"/>
    <w:rsid w:val="6B3E3085"/>
    <w:rsid w:val="6B4313C2"/>
    <w:rsid w:val="6B62131E"/>
    <w:rsid w:val="6B637E29"/>
    <w:rsid w:val="6B6F0653"/>
    <w:rsid w:val="6B6F63E1"/>
    <w:rsid w:val="6B702D35"/>
    <w:rsid w:val="6B7439F8"/>
    <w:rsid w:val="6B7457A6"/>
    <w:rsid w:val="6B795CE9"/>
    <w:rsid w:val="6B7B4175"/>
    <w:rsid w:val="6B814A32"/>
    <w:rsid w:val="6B8249A0"/>
    <w:rsid w:val="6B870D5C"/>
    <w:rsid w:val="6B895757"/>
    <w:rsid w:val="6B9320D0"/>
    <w:rsid w:val="6B967ACD"/>
    <w:rsid w:val="6B9A2731"/>
    <w:rsid w:val="6B9B16D8"/>
    <w:rsid w:val="6BA22313"/>
    <w:rsid w:val="6BAD2A66"/>
    <w:rsid w:val="6BB50E09"/>
    <w:rsid w:val="6BB7602F"/>
    <w:rsid w:val="6BBB33D4"/>
    <w:rsid w:val="6BBD4800"/>
    <w:rsid w:val="6BBE5D2F"/>
    <w:rsid w:val="6BBF2EC5"/>
    <w:rsid w:val="6BC56001"/>
    <w:rsid w:val="6BC93DF7"/>
    <w:rsid w:val="6BCE47B8"/>
    <w:rsid w:val="6BDE73B9"/>
    <w:rsid w:val="6BE413C0"/>
    <w:rsid w:val="6BE50692"/>
    <w:rsid w:val="6BE7241B"/>
    <w:rsid w:val="6BEB4FC9"/>
    <w:rsid w:val="6BF30DC0"/>
    <w:rsid w:val="6BF40694"/>
    <w:rsid w:val="6BFB309B"/>
    <w:rsid w:val="6C0315E5"/>
    <w:rsid w:val="6C03602C"/>
    <w:rsid w:val="6C0475F2"/>
    <w:rsid w:val="6C0A7EB8"/>
    <w:rsid w:val="6C0D6AB7"/>
    <w:rsid w:val="6C0D6C7E"/>
    <w:rsid w:val="6C0E79A8"/>
    <w:rsid w:val="6C1148DF"/>
    <w:rsid w:val="6C1256EA"/>
    <w:rsid w:val="6C16336C"/>
    <w:rsid w:val="6C191F4F"/>
    <w:rsid w:val="6C1B6595"/>
    <w:rsid w:val="6C1D5E3D"/>
    <w:rsid w:val="6C1F3963"/>
    <w:rsid w:val="6C1F5711"/>
    <w:rsid w:val="6C226E92"/>
    <w:rsid w:val="6C300DB3"/>
    <w:rsid w:val="6C35047E"/>
    <w:rsid w:val="6C3954B8"/>
    <w:rsid w:val="6C450EF0"/>
    <w:rsid w:val="6C474C68"/>
    <w:rsid w:val="6C4F6CDC"/>
    <w:rsid w:val="6C517895"/>
    <w:rsid w:val="6C537AB1"/>
    <w:rsid w:val="6C546992"/>
    <w:rsid w:val="6C5F1FB2"/>
    <w:rsid w:val="6C604859"/>
    <w:rsid w:val="6C613F7C"/>
    <w:rsid w:val="6C6972D4"/>
    <w:rsid w:val="6C6A134C"/>
    <w:rsid w:val="6C71045C"/>
    <w:rsid w:val="6C723744"/>
    <w:rsid w:val="6C8078D0"/>
    <w:rsid w:val="6C866D48"/>
    <w:rsid w:val="6C877009"/>
    <w:rsid w:val="6C897B67"/>
    <w:rsid w:val="6C920694"/>
    <w:rsid w:val="6CA11D30"/>
    <w:rsid w:val="6CBD3609"/>
    <w:rsid w:val="6CC067A8"/>
    <w:rsid w:val="6CC12C6C"/>
    <w:rsid w:val="6CC369E5"/>
    <w:rsid w:val="6CCD6507"/>
    <w:rsid w:val="6CD201F2"/>
    <w:rsid w:val="6CD53AE1"/>
    <w:rsid w:val="6CD80F47"/>
    <w:rsid w:val="6CD9515A"/>
    <w:rsid w:val="6CDA33DB"/>
    <w:rsid w:val="6CDA788A"/>
    <w:rsid w:val="6CDB1F80"/>
    <w:rsid w:val="6CDD463E"/>
    <w:rsid w:val="6CDE1086"/>
    <w:rsid w:val="6CE21570"/>
    <w:rsid w:val="6CE626D3"/>
    <w:rsid w:val="6CE811CB"/>
    <w:rsid w:val="6CF03552"/>
    <w:rsid w:val="6CF41A8E"/>
    <w:rsid w:val="6CFE7A1D"/>
    <w:rsid w:val="6CFF25EF"/>
    <w:rsid w:val="6D056FFD"/>
    <w:rsid w:val="6D126C64"/>
    <w:rsid w:val="6D137B3D"/>
    <w:rsid w:val="6D1839C3"/>
    <w:rsid w:val="6D1E00BF"/>
    <w:rsid w:val="6D21370B"/>
    <w:rsid w:val="6D260C91"/>
    <w:rsid w:val="6D2D0302"/>
    <w:rsid w:val="6D301BA0"/>
    <w:rsid w:val="6D317DF2"/>
    <w:rsid w:val="6D390A55"/>
    <w:rsid w:val="6D3D37FF"/>
    <w:rsid w:val="6D3E026F"/>
    <w:rsid w:val="6D3E4AF4"/>
    <w:rsid w:val="6D413DDC"/>
    <w:rsid w:val="6D417909"/>
    <w:rsid w:val="6D6D06FE"/>
    <w:rsid w:val="6D6D6950"/>
    <w:rsid w:val="6D742115"/>
    <w:rsid w:val="6D7D1E48"/>
    <w:rsid w:val="6D8A12B0"/>
    <w:rsid w:val="6D8A5754"/>
    <w:rsid w:val="6D8C5494"/>
    <w:rsid w:val="6D9846A0"/>
    <w:rsid w:val="6D996497"/>
    <w:rsid w:val="6D9C00C1"/>
    <w:rsid w:val="6DA07A76"/>
    <w:rsid w:val="6DA46816"/>
    <w:rsid w:val="6DA6430B"/>
    <w:rsid w:val="6DAE44B3"/>
    <w:rsid w:val="6DB77BCC"/>
    <w:rsid w:val="6DB91336"/>
    <w:rsid w:val="6DBF657D"/>
    <w:rsid w:val="6DC27953"/>
    <w:rsid w:val="6DCD18EA"/>
    <w:rsid w:val="6DCE3893"/>
    <w:rsid w:val="6DD44CBB"/>
    <w:rsid w:val="6DD84FE3"/>
    <w:rsid w:val="6DE035C6"/>
    <w:rsid w:val="6DE44E65"/>
    <w:rsid w:val="6DE85FD7"/>
    <w:rsid w:val="6DEA6B39"/>
    <w:rsid w:val="6DEC1F6B"/>
    <w:rsid w:val="6DEC55DF"/>
    <w:rsid w:val="6DF7519C"/>
    <w:rsid w:val="6E0510B9"/>
    <w:rsid w:val="6E0752BE"/>
    <w:rsid w:val="6E0F365A"/>
    <w:rsid w:val="6E11552E"/>
    <w:rsid w:val="6E1F7C4B"/>
    <w:rsid w:val="6E2351AF"/>
    <w:rsid w:val="6E2A4841"/>
    <w:rsid w:val="6E2D408E"/>
    <w:rsid w:val="6E2E0B85"/>
    <w:rsid w:val="6E2E4332"/>
    <w:rsid w:val="6E302243"/>
    <w:rsid w:val="6E3B07FD"/>
    <w:rsid w:val="6E3B25AB"/>
    <w:rsid w:val="6E412A9F"/>
    <w:rsid w:val="6E4B8D6E"/>
    <w:rsid w:val="6E570E52"/>
    <w:rsid w:val="6E575530"/>
    <w:rsid w:val="6E6F1A8D"/>
    <w:rsid w:val="6E712470"/>
    <w:rsid w:val="6E726C85"/>
    <w:rsid w:val="6E7B6E4B"/>
    <w:rsid w:val="6E7C5E0C"/>
    <w:rsid w:val="6E7D5FC7"/>
    <w:rsid w:val="6E805B45"/>
    <w:rsid w:val="6E82642B"/>
    <w:rsid w:val="6E88391C"/>
    <w:rsid w:val="6E957F0D"/>
    <w:rsid w:val="6EA463A2"/>
    <w:rsid w:val="6EA91C0A"/>
    <w:rsid w:val="6EAA51AF"/>
    <w:rsid w:val="6EBC193D"/>
    <w:rsid w:val="6EC30F1E"/>
    <w:rsid w:val="6EC56820"/>
    <w:rsid w:val="6EC922AC"/>
    <w:rsid w:val="6ECE341F"/>
    <w:rsid w:val="6ECE7EA5"/>
    <w:rsid w:val="6ED46B20"/>
    <w:rsid w:val="6ED749C9"/>
    <w:rsid w:val="6EDC55A1"/>
    <w:rsid w:val="6EDC63D4"/>
    <w:rsid w:val="6EE015AC"/>
    <w:rsid w:val="6EED4123"/>
    <w:rsid w:val="6EF03D6F"/>
    <w:rsid w:val="6EF410D7"/>
    <w:rsid w:val="6EFC1A43"/>
    <w:rsid w:val="6F0357BE"/>
    <w:rsid w:val="6F062BB9"/>
    <w:rsid w:val="6F0E5640"/>
    <w:rsid w:val="6F1A418F"/>
    <w:rsid w:val="6F240E42"/>
    <w:rsid w:val="6F2474E3"/>
    <w:rsid w:val="6F2906D9"/>
    <w:rsid w:val="6F2C3E18"/>
    <w:rsid w:val="6F2E3EBD"/>
    <w:rsid w:val="6F31041D"/>
    <w:rsid w:val="6F3859F4"/>
    <w:rsid w:val="6F3D01B5"/>
    <w:rsid w:val="6F3D26B2"/>
    <w:rsid w:val="6F3E040D"/>
    <w:rsid w:val="6F3E2352"/>
    <w:rsid w:val="6F451933"/>
    <w:rsid w:val="6F4F27B2"/>
    <w:rsid w:val="6F566693"/>
    <w:rsid w:val="6F6024DD"/>
    <w:rsid w:val="6F614293"/>
    <w:rsid w:val="6F624061"/>
    <w:rsid w:val="6F6901AE"/>
    <w:rsid w:val="6F6D405C"/>
    <w:rsid w:val="6F6E3A68"/>
    <w:rsid w:val="6F7A7BBB"/>
    <w:rsid w:val="6F857F81"/>
    <w:rsid w:val="6F885CC3"/>
    <w:rsid w:val="6F9058B1"/>
    <w:rsid w:val="6F944668"/>
    <w:rsid w:val="6F9A5078"/>
    <w:rsid w:val="6FA0300D"/>
    <w:rsid w:val="6FA10B33"/>
    <w:rsid w:val="6FA348AB"/>
    <w:rsid w:val="6FA56875"/>
    <w:rsid w:val="6FA710D6"/>
    <w:rsid w:val="6FAD1EDF"/>
    <w:rsid w:val="6FB10D76"/>
    <w:rsid w:val="6FB2499C"/>
    <w:rsid w:val="6FB342E4"/>
    <w:rsid w:val="6FBE4F58"/>
    <w:rsid w:val="6FC00FB9"/>
    <w:rsid w:val="6FC10898"/>
    <w:rsid w:val="6FC36CFC"/>
    <w:rsid w:val="6FC62348"/>
    <w:rsid w:val="6FD844E1"/>
    <w:rsid w:val="6FD902CD"/>
    <w:rsid w:val="6FE729EA"/>
    <w:rsid w:val="6FEC0FB8"/>
    <w:rsid w:val="6FEFDE9D"/>
    <w:rsid w:val="6FF14439"/>
    <w:rsid w:val="6FFA4043"/>
    <w:rsid w:val="6FFF1009"/>
    <w:rsid w:val="70090884"/>
    <w:rsid w:val="700C2451"/>
    <w:rsid w:val="701101B3"/>
    <w:rsid w:val="702423AF"/>
    <w:rsid w:val="702A0B29"/>
    <w:rsid w:val="703251DB"/>
    <w:rsid w:val="703E5C98"/>
    <w:rsid w:val="704810E1"/>
    <w:rsid w:val="704D11CD"/>
    <w:rsid w:val="70531E2E"/>
    <w:rsid w:val="706212BB"/>
    <w:rsid w:val="70691651"/>
    <w:rsid w:val="70711BDA"/>
    <w:rsid w:val="7075449A"/>
    <w:rsid w:val="70792DC8"/>
    <w:rsid w:val="707971DD"/>
    <w:rsid w:val="70860455"/>
    <w:rsid w:val="708C3591"/>
    <w:rsid w:val="708F2CC4"/>
    <w:rsid w:val="70944183"/>
    <w:rsid w:val="70974410"/>
    <w:rsid w:val="70983CE4"/>
    <w:rsid w:val="709B5583"/>
    <w:rsid w:val="70A044F5"/>
    <w:rsid w:val="70C1323B"/>
    <w:rsid w:val="70C25205"/>
    <w:rsid w:val="70C52DFA"/>
    <w:rsid w:val="70CA6520"/>
    <w:rsid w:val="70D34EAA"/>
    <w:rsid w:val="70D50A94"/>
    <w:rsid w:val="70D56CE6"/>
    <w:rsid w:val="70D645D2"/>
    <w:rsid w:val="70D73423"/>
    <w:rsid w:val="70DD3DED"/>
    <w:rsid w:val="70DF1913"/>
    <w:rsid w:val="70E17552"/>
    <w:rsid w:val="70E231B1"/>
    <w:rsid w:val="70E37655"/>
    <w:rsid w:val="70E635A3"/>
    <w:rsid w:val="70EE1B56"/>
    <w:rsid w:val="70FF3D63"/>
    <w:rsid w:val="71035C45"/>
    <w:rsid w:val="710B2708"/>
    <w:rsid w:val="71142DDB"/>
    <w:rsid w:val="711654AE"/>
    <w:rsid w:val="71174061"/>
    <w:rsid w:val="711769D0"/>
    <w:rsid w:val="711A75FB"/>
    <w:rsid w:val="711F0135"/>
    <w:rsid w:val="712237AD"/>
    <w:rsid w:val="71236A03"/>
    <w:rsid w:val="71243E9A"/>
    <w:rsid w:val="71287B54"/>
    <w:rsid w:val="712A3AE6"/>
    <w:rsid w:val="712A5792"/>
    <w:rsid w:val="713414AB"/>
    <w:rsid w:val="713956CD"/>
    <w:rsid w:val="71397546"/>
    <w:rsid w:val="713C2036"/>
    <w:rsid w:val="714813A7"/>
    <w:rsid w:val="71526204"/>
    <w:rsid w:val="715E4F2E"/>
    <w:rsid w:val="716229A9"/>
    <w:rsid w:val="71634B83"/>
    <w:rsid w:val="71676671"/>
    <w:rsid w:val="716B616B"/>
    <w:rsid w:val="717046B9"/>
    <w:rsid w:val="717209D9"/>
    <w:rsid w:val="71782A5A"/>
    <w:rsid w:val="71793B16"/>
    <w:rsid w:val="718129CA"/>
    <w:rsid w:val="71836742"/>
    <w:rsid w:val="718747D9"/>
    <w:rsid w:val="718D136F"/>
    <w:rsid w:val="718E74E3"/>
    <w:rsid w:val="71954C28"/>
    <w:rsid w:val="71973D0A"/>
    <w:rsid w:val="71973F9C"/>
    <w:rsid w:val="719941B8"/>
    <w:rsid w:val="719E357C"/>
    <w:rsid w:val="71A65878"/>
    <w:rsid w:val="71A843FB"/>
    <w:rsid w:val="71BD1168"/>
    <w:rsid w:val="71C3469D"/>
    <w:rsid w:val="71C72AD3"/>
    <w:rsid w:val="71C805F9"/>
    <w:rsid w:val="71C82792"/>
    <w:rsid w:val="71CA4371"/>
    <w:rsid w:val="71CB35CB"/>
    <w:rsid w:val="71DD22F7"/>
    <w:rsid w:val="71DE7E1D"/>
    <w:rsid w:val="71E16A51"/>
    <w:rsid w:val="71E350A6"/>
    <w:rsid w:val="71E371E1"/>
    <w:rsid w:val="71E73362"/>
    <w:rsid w:val="71EA7EFE"/>
    <w:rsid w:val="71EF5B86"/>
    <w:rsid w:val="71FE04BF"/>
    <w:rsid w:val="72020FBC"/>
    <w:rsid w:val="7202540A"/>
    <w:rsid w:val="7209768E"/>
    <w:rsid w:val="72127AC6"/>
    <w:rsid w:val="72164FDA"/>
    <w:rsid w:val="721675B7"/>
    <w:rsid w:val="721B4BCD"/>
    <w:rsid w:val="72217DD5"/>
    <w:rsid w:val="72253C9E"/>
    <w:rsid w:val="72255A4C"/>
    <w:rsid w:val="72361A07"/>
    <w:rsid w:val="723F2B35"/>
    <w:rsid w:val="7249173A"/>
    <w:rsid w:val="724A3F59"/>
    <w:rsid w:val="7251030D"/>
    <w:rsid w:val="72541E8D"/>
    <w:rsid w:val="7259599E"/>
    <w:rsid w:val="72751354"/>
    <w:rsid w:val="72882692"/>
    <w:rsid w:val="728E7E2E"/>
    <w:rsid w:val="729C0E42"/>
    <w:rsid w:val="729F574E"/>
    <w:rsid w:val="72A122AF"/>
    <w:rsid w:val="72A63AA2"/>
    <w:rsid w:val="72AA7CFF"/>
    <w:rsid w:val="72AC1010"/>
    <w:rsid w:val="72AC7F1B"/>
    <w:rsid w:val="72C046CD"/>
    <w:rsid w:val="72C45265"/>
    <w:rsid w:val="72DA2501"/>
    <w:rsid w:val="72E23165"/>
    <w:rsid w:val="72F86CBC"/>
    <w:rsid w:val="72FD42D3"/>
    <w:rsid w:val="730203E0"/>
    <w:rsid w:val="73110F5C"/>
    <w:rsid w:val="7312605E"/>
    <w:rsid w:val="73177297"/>
    <w:rsid w:val="73185FA3"/>
    <w:rsid w:val="73190E5D"/>
    <w:rsid w:val="731B5BC3"/>
    <w:rsid w:val="733028FA"/>
    <w:rsid w:val="73356677"/>
    <w:rsid w:val="733676C5"/>
    <w:rsid w:val="7338355D"/>
    <w:rsid w:val="7338561C"/>
    <w:rsid w:val="734A16A2"/>
    <w:rsid w:val="734A3EE4"/>
    <w:rsid w:val="734B14E2"/>
    <w:rsid w:val="734F1902"/>
    <w:rsid w:val="73506AF8"/>
    <w:rsid w:val="73574C00"/>
    <w:rsid w:val="735B74D2"/>
    <w:rsid w:val="73646445"/>
    <w:rsid w:val="736712B2"/>
    <w:rsid w:val="73730DA8"/>
    <w:rsid w:val="73734595"/>
    <w:rsid w:val="73793BD1"/>
    <w:rsid w:val="73815756"/>
    <w:rsid w:val="738B1F3C"/>
    <w:rsid w:val="7399215B"/>
    <w:rsid w:val="739A13E8"/>
    <w:rsid w:val="739C37AB"/>
    <w:rsid w:val="739E3FCB"/>
    <w:rsid w:val="73A806E2"/>
    <w:rsid w:val="73B04BFF"/>
    <w:rsid w:val="73B61051"/>
    <w:rsid w:val="73B74D89"/>
    <w:rsid w:val="73B844AE"/>
    <w:rsid w:val="73BB1ADE"/>
    <w:rsid w:val="73C60B68"/>
    <w:rsid w:val="73CA1F32"/>
    <w:rsid w:val="73D866FE"/>
    <w:rsid w:val="73D932BA"/>
    <w:rsid w:val="73DA1E69"/>
    <w:rsid w:val="73DB7E89"/>
    <w:rsid w:val="73DE57ED"/>
    <w:rsid w:val="73E6120B"/>
    <w:rsid w:val="740578E3"/>
    <w:rsid w:val="74063ACB"/>
    <w:rsid w:val="740D1C1E"/>
    <w:rsid w:val="74110721"/>
    <w:rsid w:val="74185FD6"/>
    <w:rsid w:val="7421405B"/>
    <w:rsid w:val="74281823"/>
    <w:rsid w:val="7428578C"/>
    <w:rsid w:val="742A3172"/>
    <w:rsid w:val="742F4960"/>
    <w:rsid w:val="74327E3A"/>
    <w:rsid w:val="74337536"/>
    <w:rsid w:val="743377D4"/>
    <w:rsid w:val="743657AB"/>
    <w:rsid w:val="743D52CE"/>
    <w:rsid w:val="744228E5"/>
    <w:rsid w:val="74650381"/>
    <w:rsid w:val="74665E6A"/>
    <w:rsid w:val="74692FC2"/>
    <w:rsid w:val="746A0C2F"/>
    <w:rsid w:val="74730111"/>
    <w:rsid w:val="747607E0"/>
    <w:rsid w:val="747E1443"/>
    <w:rsid w:val="74890514"/>
    <w:rsid w:val="74904783"/>
    <w:rsid w:val="74922201"/>
    <w:rsid w:val="749D44E2"/>
    <w:rsid w:val="74A94712"/>
    <w:rsid w:val="74B231B6"/>
    <w:rsid w:val="74B2702A"/>
    <w:rsid w:val="74B82D5E"/>
    <w:rsid w:val="74B840A5"/>
    <w:rsid w:val="74C91E89"/>
    <w:rsid w:val="74C94DB4"/>
    <w:rsid w:val="74CF1C9F"/>
    <w:rsid w:val="74CF49EA"/>
    <w:rsid w:val="74D15A17"/>
    <w:rsid w:val="74D177C5"/>
    <w:rsid w:val="74D92BF5"/>
    <w:rsid w:val="74DB37CA"/>
    <w:rsid w:val="74DD0860"/>
    <w:rsid w:val="74EE3366"/>
    <w:rsid w:val="74F2125E"/>
    <w:rsid w:val="74FC2A4B"/>
    <w:rsid w:val="75067AB9"/>
    <w:rsid w:val="750F1273"/>
    <w:rsid w:val="75100944"/>
    <w:rsid w:val="751F49D4"/>
    <w:rsid w:val="75267B11"/>
    <w:rsid w:val="75273D0A"/>
    <w:rsid w:val="752A4551"/>
    <w:rsid w:val="753308F9"/>
    <w:rsid w:val="75557CA7"/>
    <w:rsid w:val="755D72AA"/>
    <w:rsid w:val="75634133"/>
    <w:rsid w:val="757E2BAF"/>
    <w:rsid w:val="75812F99"/>
    <w:rsid w:val="75840CDB"/>
    <w:rsid w:val="7587042E"/>
    <w:rsid w:val="75882439"/>
    <w:rsid w:val="758A2985"/>
    <w:rsid w:val="75925086"/>
    <w:rsid w:val="759376F5"/>
    <w:rsid w:val="75995B4F"/>
    <w:rsid w:val="759F295F"/>
    <w:rsid w:val="759F5B15"/>
    <w:rsid w:val="75A077A0"/>
    <w:rsid w:val="75A10B1A"/>
    <w:rsid w:val="75A25151"/>
    <w:rsid w:val="75A83CDF"/>
    <w:rsid w:val="75AE293F"/>
    <w:rsid w:val="75B275F6"/>
    <w:rsid w:val="75B81FE3"/>
    <w:rsid w:val="75DF4163"/>
    <w:rsid w:val="75E023B5"/>
    <w:rsid w:val="75E30307"/>
    <w:rsid w:val="75E30BD1"/>
    <w:rsid w:val="75E40F35"/>
    <w:rsid w:val="75F616A2"/>
    <w:rsid w:val="75F776FF"/>
    <w:rsid w:val="75FB60D4"/>
    <w:rsid w:val="75FBE8B1"/>
    <w:rsid w:val="76045978"/>
    <w:rsid w:val="760D6F22"/>
    <w:rsid w:val="760F39BF"/>
    <w:rsid w:val="760F67F7"/>
    <w:rsid w:val="7615076A"/>
    <w:rsid w:val="761C7166"/>
    <w:rsid w:val="762D4ECF"/>
    <w:rsid w:val="764220F8"/>
    <w:rsid w:val="76491651"/>
    <w:rsid w:val="764D37C3"/>
    <w:rsid w:val="764E3C41"/>
    <w:rsid w:val="765609A4"/>
    <w:rsid w:val="765E631F"/>
    <w:rsid w:val="765E6BE4"/>
    <w:rsid w:val="766A3403"/>
    <w:rsid w:val="766C3C49"/>
    <w:rsid w:val="766C3D16"/>
    <w:rsid w:val="7671497F"/>
    <w:rsid w:val="76731D94"/>
    <w:rsid w:val="76740D50"/>
    <w:rsid w:val="76836B42"/>
    <w:rsid w:val="768371E5"/>
    <w:rsid w:val="76856AB9"/>
    <w:rsid w:val="76931584"/>
    <w:rsid w:val="769B62DC"/>
    <w:rsid w:val="76A130D0"/>
    <w:rsid w:val="76AD3642"/>
    <w:rsid w:val="76C02264"/>
    <w:rsid w:val="76C21ABB"/>
    <w:rsid w:val="76C479BE"/>
    <w:rsid w:val="76C738D8"/>
    <w:rsid w:val="76C770D1"/>
    <w:rsid w:val="76CA0970"/>
    <w:rsid w:val="76CE7C6F"/>
    <w:rsid w:val="76D11CFE"/>
    <w:rsid w:val="76DD0E5B"/>
    <w:rsid w:val="76EB6735"/>
    <w:rsid w:val="76FB6D7B"/>
    <w:rsid w:val="77000835"/>
    <w:rsid w:val="770024BA"/>
    <w:rsid w:val="770672EB"/>
    <w:rsid w:val="77071BC4"/>
    <w:rsid w:val="77085FCD"/>
    <w:rsid w:val="770C0F88"/>
    <w:rsid w:val="770E0AD4"/>
    <w:rsid w:val="771213C4"/>
    <w:rsid w:val="77132317"/>
    <w:rsid w:val="77145ED7"/>
    <w:rsid w:val="77197ED4"/>
    <w:rsid w:val="771C242B"/>
    <w:rsid w:val="77204A34"/>
    <w:rsid w:val="7721558B"/>
    <w:rsid w:val="77271704"/>
    <w:rsid w:val="77291B3A"/>
    <w:rsid w:val="772C047E"/>
    <w:rsid w:val="772E7150"/>
    <w:rsid w:val="7731279D"/>
    <w:rsid w:val="773226E3"/>
    <w:rsid w:val="77383B2B"/>
    <w:rsid w:val="773D55E5"/>
    <w:rsid w:val="773E0DD9"/>
    <w:rsid w:val="7742454A"/>
    <w:rsid w:val="774921DC"/>
    <w:rsid w:val="774E6DDA"/>
    <w:rsid w:val="77541BC5"/>
    <w:rsid w:val="775B71AB"/>
    <w:rsid w:val="775D5E71"/>
    <w:rsid w:val="77642B72"/>
    <w:rsid w:val="77644516"/>
    <w:rsid w:val="77644920"/>
    <w:rsid w:val="776848A8"/>
    <w:rsid w:val="77690189"/>
    <w:rsid w:val="776F28D6"/>
    <w:rsid w:val="777242E8"/>
    <w:rsid w:val="7772528F"/>
    <w:rsid w:val="777E5BF1"/>
    <w:rsid w:val="77844343"/>
    <w:rsid w:val="77863CC7"/>
    <w:rsid w:val="778B00FF"/>
    <w:rsid w:val="77901BB9"/>
    <w:rsid w:val="779807C4"/>
    <w:rsid w:val="779D7E32"/>
    <w:rsid w:val="77A85155"/>
    <w:rsid w:val="77AD62C7"/>
    <w:rsid w:val="77AE1401"/>
    <w:rsid w:val="77C27899"/>
    <w:rsid w:val="77CB2E7D"/>
    <w:rsid w:val="77CD4C1A"/>
    <w:rsid w:val="77D25D2E"/>
    <w:rsid w:val="77D73344"/>
    <w:rsid w:val="77DB4338"/>
    <w:rsid w:val="77DE2CB9"/>
    <w:rsid w:val="77F02797"/>
    <w:rsid w:val="77FA7033"/>
    <w:rsid w:val="78016137"/>
    <w:rsid w:val="7803238B"/>
    <w:rsid w:val="780F0D30"/>
    <w:rsid w:val="78135155"/>
    <w:rsid w:val="78135EE0"/>
    <w:rsid w:val="78137BBA"/>
    <w:rsid w:val="78151880"/>
    <w:rsid w:val="78191BAF"/>
    <w:rsid w:val="7819395D"/>
    <w:rsid w:val="78265BF4"/>
    <w:rsid w:val="78267E28"/>
    <w:rsid w:val="78322C70"/>
    <w:rsid w:val="783367C7"/>
    <w:rsid w:val="78360B4E"/>
    <w:rsid w:val="78372035"/>
    <w:rsid w:val="783B4D3C"/>
    <w:rsid w:val="783B5DE1"/>
    <w:rsid w:val="783E1615"/>
    <w:rsid w:val="78423402"/>
    <w:rsid w:val="78462278"/>
    <w:rsid w:val="78465777"/>
    <w:rsid w:val="784D2F1F"/>
    <w:rsid w:val="78564BB1"/>
    <w:rsid w:val="78602067"/>
    <w:rsid w:val="786172B0"/>
    <w:rsid w:val="786E71A6"/>
    <w:rsid w:val="787647BC"/>
    <w:rsid w:val="78785895"/>
    <w:rsid w:val="787A2A57"/>
    <w:rsid w:val="787C30B9"/>
    <w:rsid w:val="787E5EB6"/>
    <w:rsid w:val="78947487"/>
    <w:rsid w:val="789552EE"/>
    <w:rsid w:val="78961451"/>
    <w:rsid w:val="789631FF"/>
    <w:rsid w:val="789D458E"/>
    <w:rsid w:val="78A204B1"/>
    <w:rsid w:val="78A82F32"/>
    <w:rsid w:val="78B611AB"/>
    <w:rsid w:val="78BB2F9A"/>
    <w:rsid w:val="78BD69DE"/>
    <w:rsid w:val="78C33158"/>
    <w:rsid w:val="78C77346"/>
    <w:rsid w:val="78CC6C21"/>
    <w:rsid w:val="78D762EA"/>
    <w:rsid w:val="78D82259"/>
    <w:rsid w:val="78DB6E64"/>
    <w:rsid w:val="78DE109B"/>
    <w:rsid w:val="78E0531C"/>
    <w:rsid w:val="78E124D5"/>
    <w:rsid w:val="78E2117C"/>
    <w:rsid w:val="78E628A1"/>
    <w:rsid w:val="78EB58CB"/>
    <w:rsid w:val="78EE6B97"/>
    <w:rsid w:val="78EF46BD"/>
    <w:rsid w:val="78F50957"/>
    <w:rsid w:val="78F549AD"/>
    <w:rsid w:val="78F86505"/>
    <w:rsid w:val="78F93394"/>
    <w:rsid w:val="78FF0DA4"/>
    <w:rsid w:val="79080FBC"/>
    <w:rsid w:val="790C1713"/>
    <w:rsid w:val="790C2597"/>
    <w:rsid w:val="790E2D96"/>
    <w:rsid w:val="79110AD8"/>
    <w:rsid w:val="791372F6"/>
    <w:rsid w:val="79140292"/>
    <w:rsid w:val="79143BDD"/>
    <w:rsid w:val="79161A91"/>
    <w:rsid w:val="79181E66"/>
    <w:rsid w:val="791D122B"/>
    <w:rsid w:val="791F1447"/>
    <w:rsid w:val="791F31F5"/>
    <w:rsid w:val="79205E80"/>
    <w:rsid w:val="79270F41"/>
    <w:rsid w:val="792A1B99"/>
    <w:rsid w:val="792E3438"/>
    <w:rsid w:val="7931117A"/>
    <w:rsid w:val="793179F2"/>
    <w:rsid w:val="793406BE"/>
    <w:rsid w:val="7936676B"/>
    <w:rsid w:val="793F0721"/>
    <w:rsid w:val="79413267"/>
    <w:rsid w:val="79446229"/>
    <w:rsid w:val="794964C4"/>
    <w:rsid w:val="79586707"/>
    <w:rsid w:val="795A422D"/>
    <w:rsid w:val="795D4253"/>
    <w:rsid w:val="796378BF"/>
    <w:rsid w:val="79643A13"/>
    <w:rsid w:val="796E1A86"/>
    <w:rsid w:val="796E3EA9"/>
    <w:rsid w:val="79761AE5"/>
    <w:rsid w:val="797F0137"/>
    <w:rsid w:val="798471BA"/>
    <w:rsid w:val="79863274"/>
    <w:rsid w:val="79877439"/>
    <w:rsid w:val="799F60E4"/>
    <w:rsid w:val="79A30DAB"/>
    <w:rsid w:val="79A4194C"/>
    <w:rsid w:val="79A731EA"/>
    <w:rsid w:val="79AA1B42"/>
    <w:rsid w:val="79BA4CCB"/>
    <w:rsid w:val="79BD2939"/>
    <w:rsid w:val="79BF1E80"/>
    <w:rsid w:val="79C1605A"/>
    <w:rsid w:val="79CC2FE8"/>
    <w:rsid w:val="79CD2C51"/>
    <w:rsid w:val="79D01E04"/>
    <w:rsid w:val="79D33FDF"/>
    <w:rsid w:val="79D820E6"/>
    <w:rsid w:val="79DC4ABA"/>
    <w:rsid w:val="79DD14F5"/>
    <w:rsid w:val="79DD579D"/>
    <w:rsid w:val="79E20E75"/>
    <w:rsid w:val="79E37F5A"/>
    <w:rsid w:val="79F006ED"/>
    <w:rsid w:val="7A0348C4"/>
    <w:rsid w:val="7A075DBA"/>
    <w:rsid w:val="7A181268"/>
    <w:rsid w:val="7A1B7E60"/>
    <w:rsid w:val="7A262361"/>
    <w:rsid w:val="7A295D5F"/>
    <w:rsid w:val="7A2A5552"/>
    <w:rsid w:val="7A2D2CB7"/>
    <w:rsid w:val="7A2F5A2D"/>
    <w:rsid w:val="7A384290"/>
    <w:rsid w:val="7A391CE2"/>
    <w:rsid w:val="7A3A405E"/>
    <w:rsid w:val="7A4168A0"/>
    <w:rsid w:val="7A5145A8"/>
    <w:rsid w:val="7A542B32"/>
    <w:rsid w:val="7A561991"/>
    <w:rsid w:val="7A7048C9"/>
    <w:rsid w:val="7A721A4A"/>
    <w:rsid w:val="7A7255A6"/>
    <w:rsid w:val="7A750F1A"/>
    <w:rsid w:val="7A78216B"/>
    <w:rsid w:val="7A792DD8"/>
    <w:rsid w:val="7A80028A"/>
    <w:rsid w:val="7A8126EE"/>
    <w:rsid w:val="7A8157E9"/>
    <w:rsid w:val="7A835A05"/>
    <w:rsid w:val="7A854E78"/>
    <w:rsid w:val="7A8553FC"/>
    <w:rsid w:val="7A905B5E"/>
    <w:rsid w:val="7A987D08"/>
    <w:rsid w:val="7AA02113"/>
    <w:rsid w:val="7AA24727"/>
    <w:rsid w:val="7AA37E55"/>
    <w:rsid w:val="7AB01ADC"/>
    <w:rsid w:val="7AB2714B"/>
    <w:rsid w:val="7AB666E0"/>
    <w:rsid w:val="7AB71B9C"/>
    <w:rsid w:val="7AB94F83"/>
    <w:rsid w:val="7ABB265E"/>
    <w:rsid w:val="7AC06CEB"/>
    <w:rsid w:val="7AD16771"/>
    <w:rsid w:val="7AD55AB4"/>
    <w:rsid w:val="7AD87AFF"/>
    <w:rsid w:val="7ADB314B"/>
    <w:rsid w:val="7ADC3D2A"/>
    <w:rsid w:val="7AE44936"/>
    <w:rsid w:val="7AEA3436"/>
    <w:rsid w:val="7AEA5A84"/>
    <w:rsid w:val="7AEB62B5"/>
    <w:rsid w:val="7AFD6668"/>
    <w:rsid w:val="7AFF38B1"/>
    <w:rsid w:val="7B073802"/>
    <w:rsid w:val="7B0D784D"/>
    <w:rsid w:val="7B116B6D"/>
    <w:rsid w:val="7B155F59"/>
    <w:rsid w:val="7B1921F7"/>
    <w:rsid w:val="7B2139E7"/>
    <w:rsid w:val="7B237964"/>
    <w:rsid w:val="7B2F16E9"/>
    <w:rsid w:val="7B340AAD"/>
    <w:rsid w:val="7B3E4A3E"/>
    <w:rsid w:val="7B446D38"/>
    <w:rsid w:val="7B455465"/>
    <w:rsid w:val="7B486307"/>
    <w:rsid w:val="7B515408"/>
    <w:rsid w:val="7B534264"/>
    <w:rsid w:val="7B590514"/>
    <w:rsid w:val="7B643141"/>
    <w:rsid w:val="7B6507A8"/>
    <w:rsid w:val="7B682606"/>
    <w:rsid w:val="7B6F5809"/>
    <w:rsid w:val="7B742DA1"/>
    <w:rsid w:val="7B797821"/>
    <w:rsid w:val="7B7A6E08"/>
    <w:rsid w:val="7B822A5D"/>
    <w:rsid w:val="7B835EF8"/>
    <w:rsid w:val="7B876E2F"/>
    <w:rsid w:val="7B8A438C"/>
    <w:rsid w:val="7B8D0149"/>
    <w:rsid w:val="7B8E01BE"/>
    <w:rsid w:val="7B905F16"/>
    <w:rsid w:val="7B95779E"/>
    <w:rsid w:val="7B9B2808"/>
    <w:rsid w:val="7B9F3C35"/>
    <w:rsid w:val="7BA02278"/>
    <w:rsid w:val="7BA15254"/>
    <w:rsid w:val="7BA75723"/>
    <w:rsid w:val="7BAE3B38"/>
    <w:rsid w:val="7BAF448F"/>
    <w:rsid w:val="7BB43943"/>
    <w:rsid w:val="7BC260B9"/>
    <w:rsid w:val="7BC5206A"/>
    <w:rsid w:val="7BCB31C0"/>
    <w:rsid w:val="7BDC1277"/>
    <w:rsid w:val="7BE44D35"/>
    <w:rsid w:val="7BE91CD9"/>
    <w:rsid w:val="7BE923C3"/>
    <w:rsid w:val="7BEB655E"/>
    <w:rsid w:val="7BED1FA7"/>
    <w:rsid w:val="7BEFBAEB"/>
    <w:rsid w:val="7BF27AB2"/>
    <w:rsid w:val="7BF53200"/>
    <w:rsid w:val="7BF74E1F"/>
    <w:rsid w:val="7C045C95"/>
    <w:rsid w:val="7C1069DC"/>
    <w:rsid w:val="7C1508DF"/>
    <w:rsid w:val="7C1728A9"/>
    <w:rsid w:val="7C1F350C"/>
    <w:rsid w:val="7C2428D0"/>
    <w:rsid w:val="7C243A3A"/>
    <w:rsid w:val="7C246D74"/>
    <w:rsid w:val="7C274566"/>
    <w:rsid w:val="7C295788"/>
    <w:rsid w:val="7C2B6FA4"/>
    <w:rsid w:val="7C345A99"/>
    <w:rsid w:val="7C4B2553"/>
    <w:rsid w:val="7C4F3DF1"/>
    <w:rsid w:val="7C570EF7"/>
    <w:rsid w:val="7C585FC1"/>
    <w:rsid w:val="7C594D0E"/>
    <w:rsid w:val="7C5B1D71"/>
    <w:rsid w:val="7C5C650E"/>
    <w:rsid w:val="7C647170"/>
    <w:rsid w:val="7C694787"/>
    <w:rsid w:val="7C766979"/>
    <w:rsid w:val="7C7C3C7B"/>
    <w:rsid w:val="7C800747"/>
    <w:rsid w:val="7C8B770E"/>
    <w:rsid w:val="7C975798"/>
    <w:rsid w:val="7CA062CE"/>
    <w:rsid w:val="7CA444E8"/>
    <w:rsid w:val="7CAD6D69"/>
    <w:rsid w:val="7CB63D40"/>
    <w:rsid w:val="7CB820F7"/>
    <w:rsid w:val="7CBE0F77"/>
    <w:rsid w:val="7CC83BA3"/>
    <w:rsid w:val="7CCD2F68"/>
    <w:rsid w:val="7CD410F5"/>
    <w:rsid w:val="7CDB7433"/>
    <w:rsid w:val="7CEA1D6C"/>
    <w:rsid w:val="7CF16C56"/>
    <w:rsid w:val="7D034BDB"/>
    <w:rsid w:val="7D050D78"/>
    <w:rsid w:val="7D0631E0"/>
    <w:rsid w:val="7D07315C"/>
    <w:rsid w:val="7D094564"/>
    <w:rsid w:val="7D1259BA"/>
    <w:rsid w:val="7D173E21"/>
    <w:rsid w:val="7D2012E9"/>
    <w:rsid w:val="7D230DDA"/>
    <w:rsid w:val="7D24527D"/>
    <w:rsid w:val="7D254B52"/>
    <w:rsid w:val="7D276B1C"/>
    <w:rsid w:val="7D2B2F98"/>
    <w:rsid w:val="7D311748"/>
    <w:rsid w:val="7D332992"/>
    <w:rsid w:val="7D344D95"/>
    <w:rsid w:val="7D376633"/>
    <w:rsid w:val="7D3E11B9"/>
    <w:rsid w:val="7D4476CE"/>
    <w:rsid w:val="7D471A27"/>
    <w:rsid w:val="7D581323"/>
    <w:rsid w:val="7D5C4668"/>
    <w:rsid w:val="7D666DAE"/>
    <w:rsid w:val="7D717D97"/>
    <w:rsid w:val="7D7764A1"/>
    <w:rsid w:val="7D7C30CE"/>
    <w:rsid w:val="7D8E0949"/>
    <w:rsid w:val="7D8E6B9B"/>
    <w:rsid w:val="7D983576"/>
    <w:rsid w:val="7D9D0B8C"/>
    <w:rsid w:val="7DA056F0"/>
    <w:rsid w:val="7DAC7A6B"/>
    <w:rsid w:val="7DB23DCB"/>
    <w:rsid w:val="7DBA173E"/>
    <w:rsid w:val="7DBB1B8C"/>
    <w:rsid w:val="7DBB459D"/>
    <w:rsid w:val="7DBB6F39"/>
    <w:rsid w:val="7DBE267B"/>
    <w:rsid w:val="7DBF4FA6"/>
    <w:rsid w:val="7DCF4ABD"/>
    <w:rsid w:val="7DD50326"/>
    <w:rsid w:val="7DD5166A"/>
    <w:rsid w:val="7DD704B1"/>
    <w:rsid w:val="7DDA5473"/>
    <w:rsid w:val="7DDD71DA"/>
    <w:rsid w:val="7DE02EBA"/>
    <w:rsid w:val="7DEB5D9B"/>
    <w:rsid w:val="7DEED433"/>
    <w:rsid w:val="7DF232F2"/>
    <w:rsid w:val="7DF84014"/>
    <w:rsid w:val="7E074257"/>
    <w:rsid w:val="7E0F6AB2"/>
    <w:rsid w:val="7E123328"/>
    <w:rsid w:val="7E156974"/>
    <w:rsid w:val="7E16522F"/>
    <w:rsid w:val="7E1A042F"/>
    <w:rsid w:val="7E1A3F8B"/>
    <w:rsid w:val="7E1C5F55"/>
    <w:rsid w:val="7E292823"/>
    <w:rsid w:val="7E2C06B6"/>
    <w:rsid w:val="7E326D66"/>
    <w:rsid w:val="7E343EF0"/>
    <w:rsid w:val="7E372D8F"/>
    <w:rsid w:val="7E3810BF"/>
    <w:rsid w:val="7E3D24DF"/>
    <w:rsid w:val="7E486D4A"/>
    <w:rsid w:val="7E4E06CB"/>
    <w:rsid w:val="7E500F38"/>
    <w:rsid w:val="7E584AB3"/>
    <w:rsid w:val="7E5C3945"/>
    <w:rsid w:val="7E6623EF"/>
    <w:rsid w:val="7E672DE1"/>
    <w:rsid w:val="7E68119A"/>
    <w:rsid w:val="7E7062A0"/>
    <w:rsid w:val="7E722A66"/>
    <w:rsid w:val="7E7701D8"/>
    <w:rsid w:val="7E78432D"/>
    <w:rsid w:val="7E7E035E"/>
    <w:rsid w:val="7E851D4C"/>
    <w:rsid w:val="7E897D0F"/>
    <w:rsid w:val="7E8B205D"/>
    <w:rsid w:val="7E9425E7"/>
    <w:rsid w:val="7E952C57"/>
    <w:rsid w:val="7E980502"/>
    <w:rsid w:val="7E9E544A"/>
    <w:rsid w:val="7EA5419C"/>
    <w:rsid w:val="7EA6506C"/>
    <w:rsid w:val="7EAA1E73"/>
    <w:rsid w:val="7EAD4DFF"/>
    <w:rsid w:val="7EB02B41"/>
    <w:rsid w:val="7EB42631"/>
    <w:rsid w:val="7EB73842"/>
    <w:rsid w:val="7EBC6B26"/>
    <w:rsid w:val="7EBD4CF3"/>
    <w:rsid w:val="7EC17763"/>
    <w:rsid w:val="7EC4446B"/>
    <w:rsid w:val="7EC860DC"/>
    <w:rsid w:val="7EC95A36"/>
    <w:rsid w:val="7ECA6CC1"/>
    <w:rsid w:val="7ECB34D7"/>
    <w:rsid w:val="7ECE2634"/>
    <w:rsid w:val="7ED06AC8"/>
    <w:rsid w:val="7ED90320"/>
    <w:rsid w:val="7ED93E46"/>
    <w:rsid w:val="7EDC1B88"/>
    <w:rsid w:val="7EDC3936"/>
    <w:rsid w:val="7EE026C5"/>
    <w:rsid w:val="7EE06F82"/>
    <w:rsid w:val="7EE747B5"/>
    <w:rsid w:val="7EEB1833"/>
    <w:rsid w:val="7EEF5417"/>
    <w:rsid w:val="7EF7251E"/>
    <w:rsid w:val="7EF84638"/>
    <w:rsid w:val="7EFD00E5"/>
    <w:rsid w:val="7F003179"/>
    <w:rsid w:val="7F092185"/>
    <w:rsid w:val="7F095F17"/>
    <w:rsid w:val="7F0C2DB2"/>
    <w:rsid w:val="7F141323"/>
    <w:rsid w:val="7F175946"/>
    <w:rsid w:val="7F17671C"/>
    <w:rsid w:val="7F1B558F"/>
    <w:rsid w:val="7F1D01D6"/>
    <w:rsid w:val="7F1E7AAB"/>
    <w:rsid w:val="7F1F7C60"/>
    <w:rsid w:val="7F216FC3"/>
    <w:rsid w:val="7F261332"/>
    <w:rsid w:val="7F2C666B"/>
    <w:rsid w:val="7F346C2E"/>
    <w:rsid w:val="7F382B1B"/>
    <w:rsid w:val="7F3E014D"/>
    <w:rsid w:val="7F453289"/>
    <w:rsid w:val="7F495FD7"/>
    <w:rsid w:val="7F4E2B3D"/>
    <w:rsid w:val="7F525799"/>
    <w:rsid w:val="7F5815A4"/>
    <w:rsid w:val="7F590AE3"/>
    <w:rsid w:val="7F5A6CAE"/>
    <w:rsid w:val="7F5C550A"/>
    <w:rsid w:val="7F5D1102"/>
    <w:rsid w:val="7F655904"/>
    <w:rsid w:val="7F6F47AA"/>
    <w:rsid w:val="7F713C31"/>
    <w:rsid w:val="7F736048"/>
    <w:rsid w:val="7F7D704A"/>
    <w:rsid w:val="7F81059C"/>
    <w:rsid w:val="7F833DB1"/>
    <w:rsid w:val="7F84339D"/>
    <w:rsid w:val="7F84363B"/>
    <w:rsid w:val="7F9107A2"/>
    <w:rsid w:val="7F984E8D"/>
    <w:rsid w:val="7F9C5B24"/>
    <w:rsid w:val="7F9D5676"/>
    <w:rsid w:val="7FA2248A"/>
    <w:rsid w:val="7FA97CBC"/>
    <w:rsid w:val="7FAF039D"/>
    <w:rsid w:val="7FAF5387"/>
    <w:rsid w:val="7FBA0631"/>
    <w:rsid w:val="7FBB42FE"/>
    <w:rsid w:val="7FBD3767"/>
    <w:rsid w:val="7FC023BF"/>
    <w:rsid w:val="7FC64498"/>
    <w:rsid w:val="7FCA6DDC"/>
    <w:rsid w:val="7FD4460D"/>
    <w:rsid w:val="7FDD34C2"/>
    <w:rsid w:val="7FDE556A"/>
    <w:rsid w:val="7FE0230D"/>
    <w:rsid w:val="7FE437DC"/>
    <w:rsid w:val="7FE649EC"/>
    <w:rsid w:val="7FEA7AFE"/>
    <w:rsid w:val="7FF4420D"/>
    <w:rsid w:val="7FF54D64"/>
    <w:rsid w:val="7FF657F3"/>
    <w:rsid w:val="B7BBECD1"/>
    <w:rsid w:val="BA7B23C6"/>
    <w:rsid w:val="BB7F0029"/>
    <w:rsid w:val="BEB3CFEA"/>
    <w:rsid w:val="BEDA50BB"/>
    <w:rsid w:val="C7DBFD45"/>
    <w:rsid w:val="CF5FB603"/>
    <w:rsid w:val="D7D24A9F"/>
    <w:rsid w:val="DDED05CA"/>
    <w:rsid w:val="DFFE2AD9"/>
    <w:rsid w:val="E99AC24C"/>
    <w:rsid w:val="EBFB6C9D"/>
    <w:rsid w:val="EEB9FD26"/>
    <w:rsid w:val="EFDDFD6D"/>
    <w:rsid w:val="F4FDAB18"/>
    <w:rsid w:val="F5FE0CBA"/>
    <w:rsid w:val="F77F7606"/>
    <w:rsid w:val="FA2D1964"/>
    <w:rsid w:val="FB3F16F6"/>
    <w:rsid w:val="FBDEF08E"/>
    <w:rsid w:val="FDEF41B5"/>
    <w:rsid w:val="FF4E8FEB"/>
    <w:rsid w:val="FF5BCC64"/>
    <w:rsid w:val="FF9D7D99"/>
    <w:rsid w:val="FFB5E278"/>
    <w:rsid w:val="FFB78913"/>
    <w:rsid w:val="FFBD791D"/>
    <w:rsid w:val="FFD10699"/>
    <w:rsid w:val="FFEFC730"/>
    <w:rsid w:val="FFFC8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iPriority="39" w:semiHidden="0" w:name="toc 3"/>
    <w:lsdException w:uiPriority="39" w:name="toc 4"/>
    <w:lsdException w:uiPriority="39" w:name="toc 5"/>
    <w:lsdException w:qFormat="1" w:uiPriority="39" w:semiHidden="0" w:name="toc 6"/>
    <w:lsdException w:uiPriority="39" w:name="toc 7"/>
    <w:lsdException w:uiPriority="39"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
    <w:autoRedefine/>
    <w:qFormat/>
    <w:uiPriority w:val="0"/>
    <w:pPr>
      <w:keepNext/>
      <w:keepLines/>
      <w:tabs>
        <w:tab w:val="left" w:pos="840"/>
      </w:tabs>
      <w:adjustRightInd w:val="0"/>
      <w:snapToGrid w:val="0"/>
      <w:spacing w:line="360" w:lineRule="auto"/>
      <w:outlineLvl w:val="0"/>
    </w:pPr>
    <w:rPr>
      <w:rFonts w:ascii="Calibri" w:hAnsi="Calibri"/>
      <w:b/>
      <w:kern w:val="44"/>
      <w:sz w:val="28"/>
      <w:szCs w:val="32"/>
    </w:rPr>
  </w:style>
  <w:style w:type="paragraph" w:styleId="3">
    <w:name w:val="heading 2"/>
    <w:basedOn w:val="1"/>
    <w:next w:val="1"/>
    <w:link w:val="56"/>
    <w:autoRedefine/>
    <w:qFormat/>
    <w:uiPriority w:val="0"/>
    <w:pPr>
      <w:tabs>
        <w:tab w:val="left" w:pos="840"/>
      </w:tabs>
      <w:spacing w:before="260" w:after="260" w:line="416" w:lineRule="auto"/>
      <w:outlineLvl w:val="1"/>
    </w:pPr>
    <w:rPr>
      <w:rFonts w:ascii="Cambria" w:hAnsi="Cambria"/>
      <w:sz w:val="32"/>
    </w:rPr>
  </w:style>
  <w:style w:type="paragraph" w:styleId="4">
    <w:name w:val="heading 3"/>
    <w:basedOn w:val="1"/>
    <w:next w:val="1"/>
    <w:link w:val="57"/>
    <w:autoRedefine/>
    <w:qFormat/>
    <w:uiPriority w:val="0"/>
    <w:pPr>
      <w:keepNext/>
      <w:keepLines/>
      <w:spacing w:before="260" w:after="260" w:line="416" w:lineRule="auto"/>
      <w:outlineLvl w:val="2"/>
    </w:pPr>
    <w:rPr>
      <w:rFonts w:ascii="Calibri" w:hAnsi="Calibri"/>
      <w:b/>
      <w:sz w:val="28"/>
      <w:szCs w:val="32"/>
    </w:rPr>
  </w:style>
  <w:style w:type="paragraph" w:styleId="5">
    <w:name w:val="heading 4"/>
    <w:basedOn w:val="1"/>
    <w:next w:val="1"/>
    <w:link w:val="59"/>
    <w:autoRedefine/>
    <w:qFormat/>
    <w:uiPriority w:val="0"/>
    <w:pPr>
      <w:keepNext/>
      <w:keepLines/>
      <w:spacing w:before="280" w:after="290" w:line="372" w:lineRule="auto"/>
      <w:outlineLvl w:val="3"/>
    </w:pPr>
    <w:rPr>
      <w:rFonts w:ascii="Calibri" w:hAnsi="Calibri"/>
      <w:b/>
      <w:sz w:val="28"/>
      <w:szCs w:val="28"/>
    </w:rPr>
  </w:style>
  <w:style w:type="paragraph" w:styleId="6">
    <w:name w:val="heading 5"/>
    <w:basedOn w:val="1"/>
    <w:next w:val="1"/>
    <w:link w:val="60"/>
    <w:autoRedefine/>
    <w:qFormat/>
    <w:uiPriority w:val="0"/>
    <w:pPr>
      <w:keepNext/>
      <w:keepLines/>
      <w:spacing w:before="280" w:after="290" w:line="372" w:lineRule="auto"/>
      <w:outlineLvl w:val="4"/>
    </w:pPr>
    <w:rPr>
      <w:rFonts w:ascii="Calibri" w:hAnsi="Calibri"/>
      <w:b/>
      <w:sz w:val="28"/>
      <w:szCs w:val="28"/>
    </w:rPr>
  </w:style>
  <w:style w:type="paragraph" w:styleId="7">
    <w:name w:val="heading 6"/>
    <w:basedOn w:val="1"/>
    <w:next w:val="1"/>
    <w:link w:val="61"/>
    <w:autoRedefine/>
    <w:qFormat/>
    <w:uiPriority w:val="0"/>
    <w:pPr>
      <w:keepNext/>
      <w:keepLines/>
      <w:spacing w:before="240" w:after="64" w:line="317" w:lineRule="auto"/>
      <w:outlineLvl w:val="5"/>
    </w:pPr>
    <w:rPr>
      <w:rFonts w:ascii="Calibri" w:hAnsi="Calibri"/>
      <w:b/>
      <w:sz w:val="28"/>
    </w:rPr>
  </w:style>
  <w:style w:type="paragraph" w:styleId="8">
    <w:name w:val="heading 7"/>
    <w:basedOn w:val="1"/>
    <w:next w:val="1"/>
    <w:link w:val="62"/>
    <w:autoRedefine/>
    <w:qFormat/>
    <w:uiPriority w:val="0"/>
    <w:pPr>
      <w:keepNext/>
      <w:keepLines/>
      <w:spacing w:before="240" w:after="64" w:line="317" w:lineRule="auto"/>
      <w:outlineLvl w:val="6"/>
    </w:pPr>
    <w:rPr>
      <w:rFonts w:hint="eastAsia" w:ascii="宋体" w:hAnsi="宋体"/>
      <w:b/>
      <w:kern w:val="0"/>
      <w:sz w:val="24"/>
    </w:rPr>
  </w:style>
  <w:style w:type="paragraph" w:styleId="9">
    <w:name w:val="heading 8"/>
    <w:basedOn w:val="1"/>
    <w:next w:val="1"/>
    <w:link w:val="63"/>
    <w:autoRedefine/>
    <w:qFormat/>
    <w:uiPriority w:val="0"/>
    <w:pPr>
      <w:keepNext/>
      <w:keepLines/>
      <w:spacing w:before="240" w:after="64" w:line="317" w:lineRule="auto"/>
      <w:outlineLvl w:val="7"/>
    </w:pPr>
    <w:rPr>
      <w:rFonts w:ascii="Calibri" w:hAnsi="Calibri"/>
      <w:b/>
      <w:sz w:val="24"/>
    </w:rPr>
  </w:style>
  <w:style w:type="paragraph" w:styleId="10">
    <w:name w:val="heading 9"/>
    <w:basedOn w:val="1"/>
    <w:next w:val="1"/>
    <w:link w:val="64"/>
    <w:autoRedefine/>
    <w:qFormat/>
    <w:uiPriority w:val="0"/>
    <w:pPr>
      <w:keepNext/>
      <w:keepLines/>
      <w:spacing w:before="240" w:after="64" w:line="317" w:lineRule="auto"/>
      <w:outlineLvl w:val="8"/>
    </w:pPr>
    <w:rPr>
      <w:rFonts w:ascii="Calibri" w:hAnsi="Calibri"/>
      <w:b/>
      <w:sz w:val="24"/>
      <w:szCs w:val="21"/>
    </w:rPr>
  </w:style>
  <w:style w:type="character" w:default="1" w:styleId="44">
    <w:name w:val="Default Paragraph Font"/>
    <w:autoRedefine/>
    <w:semiHidden/>
    <w:unhideWhenUsed/>
    <w:qFormat/>
    <w:uiPriority w:val="1"/>
  </w:style>
  <w:style w:type="table" w:default="1" w:styleId="42">
    <w:name w:val="Normal Table"/>
    <w:autoRedefine/>
    <w:semiHidden/>
    <w:unhideWhenUsed/>
    <w:qFormat/>
    <w:uiPriority w:val="99"/>
    <w:tblPr>
      <w:tblCellMar>
        <w:top w:w="0" w:type="dxa"/>
        <w:left w:w="108" w:type="dxa"/>
        <w:bottom w:w="0" w:type="dxa"/>
        <w:right w:w="108" w:type="dxa"/>
      </w:tblCellMar>
    </w:tblPr>
  </w:style>
  <w:style w:type="paragraph" w:styleId="11">
    <w:name w:val="List Number"/>
    <w:basedOn w:val="1"/>
    <w:autoRedefine/>
    <w:qFormat/>
    <w:uiPriority w:val="0"/>
    <w:pPr>
      <w:widowControl/>
      <w:tabs>
        <w:tab w:val="left" w:pos="454"/>
        <w:tab w:val="left" w:pos="720"/>
      </w:tabs>
      <w:spacing w:afterLines="50"/>
      <w:ind w:left="454" w:hanging="284"/>
      <w:jc w:val="left"/>
    </w:pPr>
    <w:rPr>
      <w:kern w:val="0"/>
      <w:sz w:val="24"/>
      <w:szCs w:val="20"/>
    </w:rPr>
  </w:style>
  <w:style w:type="paragraph" w:styleId="12">
    <w:name w:val="Normal Indent"/>
    <w:basedOn w:val="1"/>
    <w:next w:val="13"/>
    <w:link w:val="58"/>
    <w:autoRedefine/>
    <w:qFormat/>
    <w:uiPriority w:val="0"/>
    <w:pPr>
      <w:ind w:firstLine="420"/>
    </w:pPr>
  </w:style>
  <w:style w:type="paragraph" w:styleId="13">
    <w:name w:val="Body Text Indent"/>
    <w:basedOn w:val="1"/>
    <w:next w:val="1"/>
    <w:link w:val="68"/>
    <w:autoRedefine/>
    <w:qFormat/>
    <w:uiPriority w:val="0"/>
    <w:pPr>
      <w:spacing w:line="200" w:lineRule="exact"/>
      <w:ind w:firstLine="301"/>
    </w:pPr>
  </w:style>
  <w:style w:type="paragraph" w:styleId="14">
    <w:name w:val="caption"/>
    <w:basedOn w:val="1"/>
    <w:next w:val="1"/>
    <w:autoRedefine/>
    <w:qFormat/>
    <w:uiPriority w:val="0"/>
    <w:pPr>
      <w:spacing w:before="152" w:after="160"/>
    </w:pPr>
    <w:rPr>
      <w:rFonts w:ascii="Arial" w:hAnsi="Arial" w:eastAsia="黑体" w:cs="Arial"/>
      <w:sz w:val="20"/>
      <w:szCs w:val="20"/>
    </w:rPr>
  </w:style>
  <w:style w:type="paragraph" w:styleId="15">
    <w:name w:val="Document Map"/>
    <w:basedOn w:val="1"/>
    <w:link w:val="65"/>
    <w:autoRedefine/>
    <w:unhideWhenUsed/>
    <w:qFormat/>
    <w:uiPriority w:val="99"/>
    <w:rPr>
      <w:rFonts w:ascii="宋体"/>
      <w:sz w:val="18"/>
      <w:szCs w:val="18"/>
    </w:rPr>
  </w:style>
  <w:style w:type="paragraph" w:styleId="16">
    <w:name w:val="annotation text"/>
    <w:basedOn w:val="1"/>
    <w:link w:val="66"/>
    <w:autoRedefine/>
    <w:qFormat/>
    <w:uiPriority w:val="0"/>
    <w:pPr>
      <w:jc w:val="left"/>
    </w:pPr>
    <w:rPr>
      <w:rFonts w:hint="eastAsia" w:ascii="宋体" w:hAnsi="宋体"/>
      <w:szCs w:val="20"/>
    </w:rPr>
  </w:style>
  <w:style w:type="paragraph" w:styleId="17">
    <w:name w:val="index 6"/>
    <w:basedOn w:val="1"/>
    <w:next w:val="1"/>
    <w:autoRedefine/>
    <w:qFormat/>
    <w:uiPriority w:val="0"/>
    <w:pPr>
      <w:ind w:left="2100"/>
    </w:pPr>
  </w:style>
  <w:style w:type="paragraph" w:styleId="18">
    <w:name w:val="Salutation"/>
    <w:basedOn w:val="1"/>
    <w:next w:val="1"/>
    <w:link w:val="67"/>
    <w:autoRedefine/>
    <w:qFormat/>
    <w:uiPriority w:val="0"/>
    <w:rPr>
      <w:rFonts w:ascii="宋体" w:hAnsi="宋体"/>
      <w:szCs w:val="20"/>
    </w:rPr>
  </w:style>
  <w:style w:type="paragraph" w:styleId="19">
    <w:name w:val="Body Text 3"/>
    <w:basedOn w:val="1"/>
    <w:autoRedefine/>
    <w:qFormat/>
    <w:uiPriority w:val="0"/>
    <w:pPr>
      <w:snapToGrid w:val="0"/>
      <w:spacing w:before="50" w:after="50"/>
    </w:pPr>
  </w:style>
  <w:style w:type="paragraph" w:styleId="20">
    <w:name w:val="Body Text"/>
    <w:basedOn w:val="1"/>
    <w:next w:val="1"/>
    <w:link w:val="53"/>
    <w:autoRedefine/>
    <w:qFormat/>
    <w:uiPriority w:val="99"/>
    <w:pPr>
      <w:spacing w:after="120"/>
    </w:pPr>
  </w:style>
  <w:style w:type="paragraph" w:styleId="21">
    <w:name w:val="List Number 3"/>
    <w:basedOn w:val="1"/>
    <w:autoRedefine/>
    <w:qFormat/>
    <w:uiPriority w:val="0"/>
    <w:pPr>
      <w:numPr>
        <w:ilvl w:val="0"/>
        <w:numId w:val="1"/>
      </w:numPr>
      <w:tabs>
        <w:tab w:val="left" w:pos="1200"/>
        <w:tab w:val="clear" w:pos="900"/>
      </w:tabs>
    </w:pPr>
  </w:style>
  <w:style w:type="paragraph" w:styleId="22">
    <w:name w:val="List 2"/>
    <w:basedOn w:val="1"/>
    <w:autoRedefine/>
    <w:qFormat/>
    <w:uiPriority w:val="0"/>
    <w:pPr>
      <w:ind w:left="100" w:leftChars="200" w:hanging="200" w:hangingChars="200"/>
    </w:pPr>
    <w:rPr>
      <w:sz w:val="28"/>
    </w:rPr>
  </w:style>
  <w:style w:type="paragraph" w:styleId="23">
    <w:name w:val="toc 3"/>
    <w:basedOn w:val="1"/>
    <w:next w:val="1"/>
    <w:autoRedefine/>
    <w:unhideWhenUsed/>
    <w:qFormat/>
    <w:uiPriority w:val="39"/>
    <w:pPr>
      <w:ind w:left="840" w:leftChars="400"/>
    </w:pPr>
  </w:style>
  <w:style w:type="paragraph" w:styleId="24">
    <w:name w:val="Plain Text"/>
    <w:basedOn w:val="1"/>
    <w:link w:val="69"/>
    <w:autoRedefine/>
    <w:qFormat/>
    <w:uiPriority w:val="0"/>
    <w:pPr>
      <w:spacing w:beforeLines="50" w:afterLines="50" w:line="400" w:lineRule="exact"/>
    </w:pPr>
    <w:rPr>
      <w:rFonts w:hint="eastAsia" w:ascii="宋体" w:hAnsi="Courier New"/>
      <w:szCs w:val="21"/>
    </w:rPr>
  </w:style>
  <w:style w:type="paragraph" w:styleId="25">
    <w:name w:val="Date"/>
    <w:basedOn w:val="1"/>
    <w:next w:val="1"/>
    <w:autoRedefine/>
    <w:qFormat/>
    <w:uiPriority w:val="0"/>
    <w:pPr>
      <w:ind w:left="2500" w:leftChars="2500"/>
    </w:pPr>
    <w:rPr>
      <w:rFonts w:eastAsia="楷体_GB2312"/>
      <w:sz w:val="32"/>
      <w:szCs w:val="20"/>
    </w:rPr>
  </w:style>
  <w:style w:type="paragraph" w:styleId="26">
    <w:name w:val="Body Text Indent 2"/>
    <w:basedOn w:val="1"/>
    <w:autoRedefine/>
    <w:qFormat/>
    <w:uiPriority w:val="0"/>
    <w:pPr>
      <w:snapToGrid w:val="0"/>
      <w:ind w:firstLine="542" w:firstLineChars="225"/>
    </w:pPr>
    <w:rPr>
      <w:rFonts w:ascii="仿宋_GB2312" w:hAnsi="宋体" w:cs="Arial"/>
      <w:b/>
      <w:bCs/>
      <w:color w:val="000000"/>
      <w:sz w:val="24"/>
    </w:rPr>
  </w:style>
  <w:style w:type="paragraph" w:styleId="27">
    <w:name w:val="Balloon Text"/>
    <w:basedOn w:val="1"/>
    <w:autoRedefine/>
    <w:qFormat/>
    <w:uiPriority w:val="0"/>
    <w:rPr>
      <w:sz w:val="18"/>
      <w:szCs w:val="18"/>
    </w:rPr>
  </w:style>
  <w:style w:type="paragraph" w:styleId="28">
    <w:name w:val="footer"/>
    <w:basedOn w:val="1"/>
    <w:link w:val="70"/>
    <w:autoRedefine/>
    <w:qFormat/>
    <w:uiPriority w:val="0"/>
    <w:pPr>
      <w:tabs>
        <w:tab w:val="center" w:pos="4153"/>
        <w:tab w:val="right" w:pos="8306"/>
      </w:tabs>
      <w:snapToGrid w:val="0"/>
      <w:jc w:val="left"/>
    </w:pPr>
    <w:rPr>
      <w:rFonts w:hint="eastAsia" w:ascii="黑体" w:hAnsi="宋体" w:eastAsia="黑体"/>
      <w:snapToGrid w:val="0"/>
      <w:kern w:val="0"/>
      <w:sz w:val="18"/>
      <w:szCs w:val="18"/>
    </w:rPr>
  </w:style>
  <w:style w:type="paragraph" w:styleId="29">
    <w:name w:val="header"/>
    <w:basedOn w:val="1"/>
    <w:link w:val="71"/>
    <w:autoRedefine/>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autoRedefine/>
    <w:qFormat/>
    <w:uiPriority w:val="0"/>
  </w:style>
  <w:style w:type="paragraph" w:styleId="31">
    <w:name w:val="List"/>
    <w:basedOn w:val="1"/>
    <w:next w:val="1"/>
    <w:autoRedefine/>
    <w:qFormat/>
    <w:uiPriority w:val="0"/>
    <w:pPr>
      <w:ind w:left="200" w:hanging="200" w:hangingChars="200"/>
    </w:pPr>
    <w:rPr>
      <w:sz w:val="28"/>
    </w:rPr>
  </w:style>
  <w:style w:type="paragraph" w:styleId="32">
    <w:name w:val="toc 6"/>
    <w:basedOn w:val="1"/>
    <w:next w:val="1"/>
    <w:autoRedefine/>
    <w:unhideWhenUsed/>
    <w:qFormat/>
    <w:uiPriority w:val="39"/>
    <w:pPr>
      <w:ind w:left="2100" w:leftChars="1000"/>
    </w:pPr>
  </w:style>
  <w:style w:type="paragraph" w:styleId="33">
    <w:name w:val="Body Text Indent 3"/>
    <w:basedOn w:val="1"/>
    <w:link w:val="72"/>
    <w:autoRedefine/>
    <w:qFormat/>
    <w:uiPriority w:val="0"/>
    <w:pPr>
      <w:snapToGrid w:val="0"/>
      <w:ind w:firstLine="480" w:firstLineChars="200"/>
      <w:jc w:val="left"/>
    </w:pPr>
    <w:rPr>
      <w:sz w:val="24"/>
    </w:rPr>
  </w:style>
  <w:style w:type="paragraph" w:styleId="34">
    <w:name w:val="toc 2"/>
    <w:basedOn w:val="1"/>
    <w:next w:val="1"/>
    <w:autoRedefine/>
    <w:qFormat/>
    <w:uiPriority w:val="39"/>
    <w:pPr>
      <w:tabs>
        <w:tab w:val="right" w:leader="dot" w:pos="9403"/>
      </w:tabs>
      <w:snapToGrid w:val="0"/>
      <w:spacing w:line="360" w:lineRule="auto"/>
      <w:ind w:firstLine="200" w:firstLineChars="200"/>
    </w:pPr>
    <w:rPr>
      <w:smallCaps/>
    </w:rPr>
  </w:style>
  <w:style w:type="paragraph" w:styleId="35">
    <w:name w:val="toc 9"/>
    <w:basedOn w:val="1"/>
    <w:next w:val="1"/>
    <w:autoRedefine/>
    <w:unhideWhenUsed/>
    <w:qFormat/>
    <w:uiPriority w:val="39"/>
    <w:pPr>
      <w:ind w:left="3360" w:leftChars="1600"/>
    </w:pPr>
  </w:style>
  <w:style w:type="paragraph" w:styleId="36">
    <w:name w:val="Body Text 2"/>
    <w:basedOn w:val="1"/>
    <w:autoRedefine/>
    <w:qFormat/>
    <w:uiPriority w:val="0"/>
    <w:pPr>
      <w:widowControl/>
      <w:snapToGrid w:val="0"/>
      <w:spacing w:before="50" w:afterLines="50" w:line="400" w:lineRule="exact"/>
      <w:jc w:val="left"/>
    </w:pPr>
    <w:rPr>
      <w:rFonts w:ascii="宋体" w:hAnsi="宋体"/>
      <w:color w:val="000000"/>
      <w:sz w:val="24"/>
    </w:rPr>
  </w:style>
  <w:style w:type="paragraph" w:styleId="37">
    <w:name w:val="Normal (Web)"/>
    <w:basedOn w:val="1"/>
    <w:autoRedefine/>
    <w:qFormat/>
    <w:uiPriority w:val="0"/>
    <w:rPr>
      <w:sz w:val="24"/>
    </w:rPr>
  </w:style>
  <w:style w:type="paragraph" w:styleId="38">
    <w:name w:val="Title"/>
    <w:basedOn w:val="1"/>
    <w:next w:val="1"/>
    <w:autoRedefine/>
    <w:qFormat/>
    <w:uiPriority w:val="0"/>
    <w:pPr>
      <w:widowControl/>
      <w:overflowPunct w:val="0"/>
      <w:autoSpaceDE w:val="0"/>
      <w:autoSpaceDN w:val="0"/>
      <w:jc w:val="center"/>
      <w:textAlignment w:val="baseline"/>
    </w:pPr>
    <w:rPr>
      <w:b/>
      <w:kern w:val="0"/>
      <w:sz w:val="24"/>
      <w:szCs w:val="20"/>
      <w:lang w:val="en-GB"/>
    </w:rPr>
  </w:style>
  <w:style w:type="paragraph" w:styleId="39">
    <w:name w:val="annotation subject"/>
    <w:basedOn w:val="16"/>
    <w:next w:val="16"/>
    <w:link w:val="73"/>
    <w:autoRedefine/>
    <w:unhideWhenUsed/>
    <w:qFormat/>
    <w:uiPriority w:val="99"/>
    <w:rPr>
      <w:b/>
      <w:bCs/>
      <w:szCs w:val="24"/>
    </w:rPr>
  </w:style>
  <w:style w:type="paragraph" w:styleId="40">
    <w:name w:val="Body Text First Indent"/>
    <w:basedOn w:val="20"/>
    <w:link w:val="54"/>
    <w:autoRedefine/>
    <w:unhideWhenUsed/>
    <w:qFormat/>
    <w:uiPriority w:val="99"/>
    <w:pPr>
      <w:spacing w:line="360" w:lineRule="auto"/>
      <w:ind w:firstLine="420" w:firstLineChars="100"/>
    </w:pPr>
  </w:style>
  <w:style w:type="paragraph" w:styleId="41">
    <w:name w:val="Body Text First Indent 2"/>
    <w:basedOn w:val="13"/>
    <w:link w:val="74"/>
    <w:autoRedefine/>
    <w:qFormat/>
    <w:uiPriority w:val="0"/>
    <w:pPr>
      <w:ind w:firstLine="420" w:firstLineChars="200"/>
    </w:pPr>
    <w:rPr>
      <w:szCs w:val="22"/>
    </w:rPr>
  </w:style>
  <w:style w:type="table" w:styleId="43">
    <w:name w:val="Table Grid"/>
    <w:basedOn w:val="42"/>
    <w:autoRedefine/>
    <w:qFormat/>
    <w:uiPriority w:val="0"/>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autoRedefine/>
    <w:qFormat/>
    <w:uiPriority w:val="0"/>
    <w:rPr>
      <w:b/>
      <w:bCs/>
    </w:rPr>
  </w:style>
  <w:style w:type="character" w:styleId="46">
    <w:name w:val="page number"/>
    <w:autoRedefine/>
    <w:qFormat/>
    <w:uiPriority w:val="0"/>
  </w:style>
  <w:style w:type="character" w:styleId="47">
    <w:name w:val="FollowedHyperlink"/>
    <w:autoRedefine/>
    <w:unhideWhenUsed/>
    <w:qFormat/>
    <w:uiPriority w:val="99"/>
    <w:rPr>
      <w:color w:val="800080"/>
      <w:u w:val="single"/>
    </w:rPr>
  </w:style>
  <w:style w:type="character" w:styleId="48">
    <w:name w:val="Emphasis"/>
    <w:autoRedefine/>
    <w:qFormat/>
    <w:uiPriority w:val="20"/>
    <w:rPr>
      <w:i/>
    </w:rPr>
  </w:style>
  <w:style w:type="character" w:styleId="49">
    <w:name w:val="Hyperlink"/>
    <w:autoRedefine/>
    <w:qFormat/>
    <w:uiPriority w:val="99"/>
    <w:rPr>
      <w:color w:val="333333"/>
      <w:u w:val="none"/>
    </w:rPr>
  </w:style>
  <w:style w:type="character" w:styleId="50">
    <w:name w:val="annotation reference"/>
    <w:autoRedefine/>
    <w:unhideWhenUsed/>
    <w:qFormat/>
    <w:uiPriority w:val="99"/>
    <w:rPr>
      <w:sz w:val="21"/>
      <w:szCs w:val="21"/>
    </w:rPr>
  </w:style>
  <w:style w:type="paragraph" w:customStyle="1" w:styleId="51">
    <w:name w:val="xl53"/>
    <w:basedOn w:val="1"/>
    <w:next w:val="1"/>
    <w:autoRedefine/>
    <w:qFormat/>
    <w:uiPriority w:val="0"/>
    <w:pPr>
      <w:spacing w:before="280" w:after="280" w:line="100" w:lineRule="exact"/>
      <w:jc w:val="center"/>
    </w:pPr>
    <w:rPr>
      <w:rFonts w:ascii="宋体"/>
      <w:b/>
      <w:sz w:val="20"/>
    </w:rPr>
  </w:style>
  <w:style w:type="paragraph" w:styleId="52">
    <w:name w:val="Intense Quote"/>
    <w:basedOn w:val="1"/>
    <w:next w:val="1"/>
    <w:autoRedefine/>
    <w:qFormat/>
    <w:uiPriority w:val="0"/>
    <w:pPr>
      <w:pBdr>
        <w:top w:val="single" w:color="5B9BD5" w:sz="4" w:space="1"/>
        <w:bottom w:val="single" w:color="5B9BD5" w:sz="4" w:space="1"/>
      </w:pBdr>
      <w:spacing w:before="360" w:after="360"/>
      <w:ind w:left="864" w:right="864"/>
      <w:jc w:val="center"/>
    </w:pPr>
    <w:rPr>
      <w:i/>
      <w:iCs/>
      <w:color w:val="5B9BD5"/>
    </w:rPr>
  </w:style>
  <w:style w:type="character" w:customStyle="1" w:styleId="53">
    <w:name w:val="正文文本 字符3"/>
    <w:link w:val="20"/>
    <w:autoRedefine/>
    <w:qFormat/>
    <w:uiPriority w:val="0"/>
    <w:rPr>
      <w:kern w:val="2"/>
      <w:sz w:val="21"/>
      <w:szCs w:val="24"/>
    </w:rPr>
  </w:style>
  <w:style w:type="character" w:customStyle="1" w:styleId="54">
    <w:name w:val="正文文本首行缩进 字符1"/>
    <w:link w:val="40"/>
    <w:autoRedefine/>
    <w:qFormat/>
    <w:uiPriority w:val="0"/>
    <w:rPr>
      <w:kern w:val="2"/>
      <w:sz w:val="21"/>
      <w:szCs w:val="24"/>
    </w:rPr>
  </w:style>
  <w:style w:type="character" w:customStyle="1" w:styleId="55">
    <w:name w:val="标题 1 字符1"/>
    <w:link w:val="2"/>
    <w:autoRedefine/>
    <w:qFormat/>
    <w:uiPriority w:val="0"/>
    <w:rPr>
      <w:rFonts w:hint="default" w:ascii="Calibri" w:hAnsi="Calibri" w:eastAsia="宋体" w:cs="Calibri"/>
      <w:b/>
      <w:kern w:val="44"/>
      <w:sz w:val="28"/>
      <w:szCs w:val="32"/>
    </w:rPr>
  </w:style>
  <w:style w:type="character" w:customStyle="1" w:styleId="56">
    <w:name w:val="标题 2 字符2"/>
    <w:link w:val="3"/>
    <w:autoRedefine/>
    <w:qFormat/>
    <w:uiPriority w:val="0"/>
    <w:rPr>
      <w:rFonts w:ascii="Cambria" w:hAnsi="Cambria" w:eastAsia="宋体" w:cs="Times New Roman"/>
      <w:b/>
      <w:kern w:val="2"/>
      <w:sz w:val="32"/>
      <w:szCs w:val="32"/>
    </w:rPr>
  </w:style>
  <w:style w:type="character" w:customStyle="1" w:styleId="57">
    <w:name w:val="标题 3 字符1"/>
    <w:link w:val="4"/>
    <w:autoRedefine/>
    <w:qFormat/>
    <w:uiPriority w:val="0"/>
    <w:rPr>
      <w:rFonts w:hint="default" w:ascii="Calibri" w:hAnsi="Calibri" w:eastAsia="宋体" w:cs="Calibri"/>
      <w:b/>
      <w:kern w:val="2"/>
      <w:sz w:val="28"/>
      <w:szCs w:val="32"/>
    </w:rPr>
  </w:style>
  <w:style w:type="character" w:customStyle="1" w:styleId="58">
    <w:name w:val="正文缩进 字符"/>
    <w:link w:val="12"/>
    <w:autoRedefine/>
    <w:qFormat/>
    <w:uiPriority w:val="0"/>
    <w:rPr>
      <w:kern w:val="2"/>
      <w:sz w:val="21"/>
      <w:szCs w:val="24"/>
    </w:rPr>
  </w:style>
  <w:style w:type="character" w:customStyle="1" w:styleId="59">
    <w:name w:val="标题 4 字符1"/>
    <w:link w:val="5"/>
    <w:autoRedefine/>
    <w:qFormat/>
    <w:uiPriority w:val="0"/>
    <w:rPr>
      <w:rFonts w:hint="default" w:ascii="Calibri" w:hAnsi="Calibri" w:eastAsia="宋体" w:cs="Times New Roman"/>
      <w:b/>
      <w:kern w:val="2"/>
      <w:sz w:val="28"/>
      <w:szCs w:val="28"/>
    </w:rPr>
  </w:style>
  <w:style w:type="character" w:customStyle="1" w:styleId="60">
    <w:name w:val="标题 5 字符1"/>
    <w:link w:val="6"/>
    <w:autoRedefine/>
    <w:qFormat/>
    <w:uiPriority w:val="0"/>
    <w:rPr>
      <w:rFonts w:hint="default" w:ascii="Calibri" w:hAnsi="Calibri" w:eastAsia="宋体" w:cs="Calibri"/>
      <w:b/>
      <w:kern w:val="2"/>
      <w:sz w:val="28"/>
      <w:szCs w:val="28"/>
    </w:rPr>
  </w:style>
  <w:style w:type="character" w:customStyle="1" w:styleId="61">
    <w:name w:val="标题 6 字符1"/>
    <w:link w:val="7"/>
    <w:autoRedefine/>
    <w:qFormat/>
    <w:uiPriority w:val="0"/>
    <w:rPr>
      <w:rFonts w:hint="default" w:ascii="Calibri" w:hAnsi="Calibri" w:eastAsia="宋体" w:cs="Times New Roman"/>
      <w:b/>
      <w:kern w:val="2"/>
      <w:sz w:val="28"/>
      <w:szCs w:val="24"/>
    </w:rPr>
  </w:style>
  <w:style w:type="character" w:customStyle="1" w:styleId="62">
    <w:name w:val="标题 7 字符"/>
    <w:link w:val="8"/>
    <w:autoRedefine/>
    <w:qFormat/>
    <w:uiPriority w:val="0"/>
    <w:rPr>
      <w:rFonts w:hint="eastAsia" w:ascii="宋体" w:hAnsi="宋体" w:eastAsia="宋体" w:cs="宋体"/>
      <w:b/>
      <w:sz w:val="24"/>
      <w:szCs w:val="24"/>
    </w:rPr>
  </w:style>
  <w:style w:type="character" w:customStyle="1" w:styleId="63">
    <w:name w:val="标题 8 字符1"/>
    <w:link w:val="9"/>
    <w:autoRedefine/>
    <w:qFormat/>
    <w:uiPriority w:val="0"/>
    <w:rPr>
      <w:rFonts w:hint="default" w:ascii="Calibri" w:hAnsi="Calibri" w:eastAsia="宋体" w:cs="Times New Roman"/>
      <w:b/>
      <w:kern w:val="2"/>
      <w:sz w:val="24"/>
      <w:szCs w:val="24"/>
    </w:rPr>
  </w:style>
  <w:style w:type="character" w:customStyle="1" w:styleId="64">
    <w:name w:val="标题 9 字符1"/>
    <w:link w:val="10"/>
    <w:autoRedefine/>
    <w:qFormat/>
    <w:uiPriority w:val="0"/>
    <w:rPr>
      <w:rFonts w:hint="default" w:ascii="Calibri" w:hAnsi="Calibri" w:eastAsia="宋体" w:cs="Times New Roman"/>
      <w:b/>
      <w:kern w:val="2"/>
      <w:sz w:val="24"/>
      <w:szCs w:val="21"/>
    </w:rPr>
  </w:style>
  <w:style w:type="character" w:customStyle="1" w:styleId="65">
    <w:name w:val="文档结构图 字符"/>
    <w:link w:val="15"/>
    <w:autoRedefine/>
    <w:semiHidden/>
    <w:qFormat/>
    <w:uiPriority w:val="99"/>
    <w:rPr>
      <w:rFonts w:ascii="宋体"/>
      <w:kern w:val="2"/>
      <w:sz w:val="18"/>
      <w:szCs w:val="18"/>
    </w:rPr>
  </w:style>
  <w:style w:type="character" w:customStyle="1" w:styleId="66">
    <w:name w:val="批注文字 字符"/>
    <w:link w:val="16"/>
    <w:autoRedefine/>
    <w:qFormat/>
    <w:uiPriority w:val="0"/>
    <w:rPr>
      <w:rFonts w:hint="eastAsia" w:ascii="宋体" w:hAnsi="宋体" w:eastAsia="宋体" w:cs="宋体"/>
      <w:kern w:val="2"/>
      <w:sz w:val="21"/>
    </w:rPr>
  </w:style>
  <w:style w:type="character" w:customStyle="1" w:styleId="67">
    <w:name w:val="称呼 字符"/>
    <w:link w:val="18"/>
    <w:autoRedefine/>
    <w:qFormat/>
    <w:uiPriority w:val="0"/>
    <w:rPr>
      <w:rFonts w:ascii="宋体" w:hAnsi="宋体" w:eastAsia="宋体"/>
      <w:kern w:val="2"/>
      <w:sz w:val="21"/>
      <w:lang w:val="en-US" w:eastAsia="zh-CN" w:bidi="ar-SA"/>
    </w:rPr>
  </w:style>
  <w:style w:type="character" w:customStyle="1" w:styleId="68">
    <w:name w:val="正文文本缩进 字符"/>
    <w:link w:val="13"/>
    <w:autoRedefine/>
    <w:qFormat/>
    <w:uiPriority w:val="0"/>
    <w:rPr>
      <w:kern w:val="2"/>
      <w:sz w:val="21"/>
      <w:szCs w:val="24"/>
    </w:rPr>
  </w:style>
  <w:style w:type="character" w:customStyle="1" w:styleId="69">
    <w:name w:val="纯文本 字符"/>
    <w:link w:val="24"/>
    <w:autoRedefine/>
    <w:qFormat/>
    <w:uiPriority w:val="0"/>
    <w:rPr>
      <w:rFonts w:hint="eastAsia" w:ascii="宋体" w:hAnsi="Courier New" w:eastAsia="宋体" w:cs="Courier New"/>
      <w:kern w:val="2"/>
      <w:sz w:val="21"/>
      <w:szCs w:val="21"/>
    </w:rPr>
  </w:style>
  <w:style w:type="character" w:customStyle="1" w:styleId="70">
    <w:name w:val="页脚 字符1"/>
    <w:link w:val="28"/>
    <w:autoRedefine/>
    <w:qFormat/>
    <w:uiPriority w:val="0"/>
    <w:rPr>
      <w:rFonts w:hint="eastAsia" w:ascii="黑体" w:hAnsi="宋体" w:eastAsia="黑体" w:cs="黑体"/>
      <w:snapToGrid w:val="0"/>
      <w:sz w:val="18"/>
      <w:szCs w:val="18"/>
    </w:rPr>
  </w:style>
  <w:style w:type="character" w:customStyle="1" w:styleId="71">
    <w:name w:val="页眉 字符1"/>
    <w:link w:val="29"/>
    <w:autoRedefine/>
    <w:qFormat/>
    <w:uiPriority w:val="0"/>
    <w:rPr>
      <w:kern w:val="2"/>
      <w:sz w:val="18"/>
      <w:szCs w:val="18"/>
    </w:rPr>
  </w:style>
  <w:style w:type="character" w:customStyle="1" w:styleId="72">
    <w:name w:val="正文文本缩进 3 字符1"/>
    <w:link w:val="33"/>
    <w:autoRedefine/>
    <w:qFormat/>
    <w:uiPriority w:val="0"/>
    <w:rPr>
      <w:rFonts w:hint="default" w:ascii="Times New Roman" w:hAnsi="Times New Roman" w:eastAsia="宋体" w:cs="Times New Roman"/>
      <w:kern w:val="2"/>
      <w:sz w:val="24"/>
      <w:szCs w:val="24"/>
    </w:rPr>
  </w:style>
  <w:style w:type="character" w:customStyle="1" w:styleId="73">
    <w:name w:val="批注主题 字符"/>
    <w:link w:val="39"/>
    <w:autoRedefine/>
    <w:semiHidden/>
    <w:qFormat/>
    <w:uiPriority w:val="99"/>
    <w:rPr>
      <w:rFonts w:hint="eastAsia" w:ascii="宋体" w:hAnsi="宋体" w:eastAsia="宋体" w:cs="宋体"/>
      <w:b/>
      <w:bCs/>
      <w:kern w:val="2"/>
      <w:sz w:val="21"/>
      <w:szCs w:val="24"/>
    </w:rPr>
  </w:style>
  <w:style w:type="character" w:customStyle="1" w:styleId="74">
    <w:name w:val="正文文本首行缩进 2 字符"/>
    <w:link w:val="41"/>
    <w:autoRedefine/>
    <w:qFormat/>
    <w:uiPriority w:val="0"/>
    <w:rPr>
      <w:kern w:val="2"/>
      <w:sz w:val="21"/>
      <w:szCs w:val="22"/>
    </w:rPr>
  </w:style>
  <w:style w:type="character" w:customStyle="1" w:styleId="75">
    <w:name w:val="16"/>
    <w:autoRedefine/>
    <w:qFormat/>
    <w:uiPriority w:val="0"/>
    <w:rPr>
      <w:rFonts w:hint="default" w:ascii="Times New Roman" w:hAnsi="Times New Roman" w:cs="Times New Roman"/>
      <w:color w:val="0000FF"/>
      <w:u w:val="single"/>
    </w:rPr>
  </w:style>
  <w:style w:type="character" w:customStyle="1" w:styleId="76">
    <w:name w:val="页眉 Char1"/>
    <w:autoRedefine/>
    <w:qFormat/>
    <w:uiPriority w:val="0"/>
    <w:rPr>
      <w:kern w:val="2"/>
      <w:sz w:val="18"/>
      <w:szCs w:val="18"/>
    </w:rPr>
  </w:style>
  <w:style w:type="character" w:customStyle="1" w:styleId="77">
    <w:name w:val="正文文本缩进 3 字符"/>
    <w:autoRedefine/>
    <w:qFormat/>
    <w:uiPriority w:val="0"/>
    <w:rPr>
      <w:rFonts w:ascii="仿宋_GB2312" w:hAnsi="宋体" w:eastAsia="仿宋_GB2312"/>
      <w:color w:val="000000"/>
      <w:kern w:val="2"/>
      <w:sz w:val="24"/>
      <w:szCs w:val="24"/>
      <w:lang w:val="en-US" w:eastAsia="zh-CN" w:bidi="ar-SA"/>
    </w:rPr>
  </w:style>
  <w:style w:type="character" w:customStyle="1" w:styleId="78">
    <w:name w:val="页脚 字符"/>
    <w:autoRedefine/>
    <w:qFormat/>
    <w:uiPriority w:val="99"/>
    <w:rPr>
      <w:rFonts w:eastAsia="黑体"/>
      <w:snapToGrid w:val="0"/>
      <w:sz w:val="18"/>
      <w:szCs w:val="18"/>
    </w:rPr>
  </w:style>
  <w:style w:type="character" w:customStyle="1" w:styleId="79">
    <w:name w:val="页眉 Char"/>
    <w:autoRedefine/>
    <w:qFormat/>
    <w:uiPriority w:val="0"/>
    <w:rPr>
      <w:rFonts w:hint="eastAsia" w:ascii="仿宋_GB2312" w:eastAsia="仿宋_GB2312" w:cs="仿宋_GB2312"/>
      <w:kern w:val="2"/>
      <w:sz w:val="18"/>
    </w:rPr>
  </w:style>
  <w:style w:type="character" w:customStyle="1" w:styleId="80">
    <w:name w:val="标题 3 字符"/>
    <w:autoRedefine/>
    <w:qFormat/>
    <w:uiPriority w:val="0"/>
    <w:rPr>
      <w:rFonts w:hint="eastAsia" w:ascii="宋体" w:hAnsi="宋体" w:eastAsia="宋体" w:cs="宋体"/>
      <w:b/>
      <w:sz w:val="32"/>
      <w:szCs w:val="32"/>
    </w:rPr>
  </w:style>
  <w:style w:type="character" w:customStyle="1" w:styleId="81">
    <w:name w:val="页脚 Char"/>
    <w:autoRedefine/>
    <w:qFormat/>
    <w:uiPriority w:val="0"/>
    <w:rPr>
      <w:rFonts w:hint="eastAsia" w:ascii="黑体" w:hAnsi="宋体" w:eastAsia="黑体" w:cs="黑体"/>
      <w:snapToGrid w:val="0"/>
      <w:sz w:val="18"/>
      <w:szCs w:val="18"/>
    </w:rPr>
  </w:style>
  <w:style w:type="character" w:customStyle="1" w:styleId="82">
    <w:name w:val="style7"/>
    <w:autoRedefine/>
    <w:qFormat/>
    <w:uiPriority w:val="0"/>
  </w:style>
  <w:style w:type="character" w:customStyle="1" w:styleId="83">
    <w:name w:val="正文文本 字符"/>
    <w:autoRedefine/>
    <w:qFormat/>
    <w:uiPriority w:val="99"/>
    <w:rPr>
      <w:kern w:val="2"/>
      <w:sz w:val="28"/>
      <w:szCs w:val="24"/>
    </w:rPr>
  </w:style>
  <w:style w:type="character" w:customStyle="1" w:styleId="84">
    <w:name w:val="页脚 Char1"/>
    <w:autoRedefine/>
    <w:qFormat/>
    <w:uiPriority w:val="0"/>
    <w:rPr>
      <w:kern w:val="2"/>
      <w:sz w:val="18"/>
      <w:szCs w:val="18"/>
    </w:rPr>
  </w:style>
  <w:style w:type="character" w:customStyle="1" w:styleId="85">
    <w:name w:val="NormalCharacter"/>
    <w:autoRedefine/>
    <w:qFormat/>
    <w:uiPriority w:val="0"/>
    <w:rPr>
      <w:kern w:val="2"/>
      <w:sz w:val="21"/>
      <w:szCs w:val="24"/>
      <w:lang w:val="en-US" w:eastAsia="zh-CN" w:bidi="ar-SA"/>
    </w:rPr>
  </w:style>
  <w:style w:type="character" w:customStyle="1" w:styleId="86">
    <w:name w:val="列表段落 字符"/>
    <w:link w:val="87"/>
    <w:autoRedefine/>
    <w:qFormat/>
    <w:uiPriority w:val="0"/>
    <w:rPr>
      <w:rFonts w:hint="default" w:ascii="Times New Roman" w:hAnsi="Times New Roman" w:eastAsia="宋体" w:cs="Times New Roman"/>
      <w:kern w:val="2"/>
      <w:sz w:val="21"/>
    </w:rPr>
  </w:style>
  <w:style w:type="paragraph" w:styleId="87">
    <w:name w:val="List Paragraph"/>
    <w:basedOn w:val="1"/>
    <w:link w:val="86"/>
    <w:autoRedefine/>
    <w:qFormat/>
    <w:uiPriority w:val="0"/>
    <w:pPr>
      <w:ind w:firstLine="420" w:firstLineChars="200"/>
    </w:pPr>
    <w:rPr>
      <w:szCs w:val="20"/>
    </w:rPr>
  </w:style>
  <w:style w:type="character" w:customStyle="1" w:styleId="88">
    <w:name w:val="font71"/>
    <w:autoRedefine/>
    <w:qFormat/>
    <w:uiPriority w:val="0"/>
    <w:rPr>
      <w:rFonts w:hint="eastAsia" w:ascii="宋体" w:hAnsi="宋体" w:eastAsia="宋体" w:cs="宋体"/>
      <w:color w:val="0070C0"/>
      <w:sz w:val="20"/>
      <w:szCs w:val="20"/>
      <w:u w:val="none"/>
    </w:rPr>
  </w:style>
  <w:style w:type="character" w:customStyle="1" w:styleId="89">
    <w:name w:val="apple-style-span"/>
    <w:autoRedefine/>
    <w:qFormat/>
    <w:uiPriority w:val="0"/>
  </w:style>
  <w:style w:type="character" w:customStyle="1" w:styleId="90">
    <w:name w:val="表 靠左 字符"/>
    <w:link w:val="91"/>
    <w:autoRedefine/>
    <w:qFormat/>
    <w:uiPriority w:val="0"/>
    <w:rPr>
      <w:rFonts w:ascii="宋体" w:hAnsi="宋体"/>
      <w:kern w:val="2"/>
      <w:sz w:val="21"/>
      <w:szCs w:val="21"/>
    </w:rPr>
  </w:style>
  <w:style w:type="paragraph" w:customStyle="1" w:styleId="91">
    <w:name w:val="表 靠左"/>
    <w:basedOn w:val="1"/>
    <w:link w:val="90"/>
    <w:autoRedefine/>
    <w:qFormat/>
    <w:uiPriority w:val="0"/>
    <w:pPr>
      <w:jc w:val="left"/>
    </w:pPr>
    <w:rPr>
      <w:rFonts w:ascii="宋体" w:hAnsi="宋体"/>
      <w:szCs w:val="21"/>
    </w:rPr>
  </w:style>
  <w:style w:type="character" w:customStyle="1" w:styleId="92">
    <w:name w:val="页眉 字符"/>
    <w:autoRedefine/>
    <w:qFormat/>
    <w:uiPriority w:val="0"/>
    <w:rPr>
      <w:rFonts w:eastAsia="仿宋_GB2312"/>
      <w:kern w:val="2"/>
      <w:sz w:val="18"/>
    </w:rPr>
  </w:style>
  <w:style w:type="character" w:customStyle="1" w:styleId="93">
    <w:name w:val="Char Char3"/>
    <w:autoRedefine/>
    <w:qFormat/>
    <w:uiPriority w:val="0"/>
    <w:rPr>
      <w:rFonts w:ascii="仿宋_GB2312" w:hAnsi="宋体" w:eastAsia="仿宋_GB2312"/>
      <w:color w:val="000000"/>
      <w:kern w:val="2"/>
      <w:sz w:val="24"/>
      <w:szCs w:val="24"/>
      <w:lang w:val="en-US" w:eastAsia="zh-CN" w:bidi="ar-SA"/>
    </w:rPr>
  </w:style>
  <w:style w:type="character" w:customStyle="1" w:styleId="94">
    <w:name w:val="style11"/>
    <w:autoRedefine/>
    <w:qFormat/>
    <w:uiPriority w:val="0"/>
    <w:rPr>
      <w:color w:val="000000"/>
    </w:rPr>
  </w:style>
  <w:style w:type="character" w:customStyle="1" w:styleId="95">
    <w:name w:val="标题 6 字符"/>
    <w:autoRedefine/>
    <w:qFormat/>
    <w:uiPriority w:val="0"/>
    <w:rPr>
      <w:rFonts w:hint="default" w:ascii="Cambria" w:hAnsi="Cambria" w:eastAsia="宋体" w:cs="Times New Roman"/>
      <w:b/>
      <w:sz w:val="24"/>
      <w:szCs w:val="24"/>
    </w:rPr>
  </w:style>
  <w:style w:type="character" w:customStyle="1" w:styleId="96">
    <w:name w:val="标题 8 字符"/>
    <w:autoRedefine/>
    <w:qFormat/>
    <w:uiPriority w:val="0"/>
    <w:rPr>
      <w:rFonts w:hint="default" w:ascii="Cambria" w:hAnsi="Cambria" w:eastAsia="宋体" w:cs="Times New Roman"/>
      <w:sz w:val="24"/>
      <w:szCs w:val="24"/>
    </w:rPr>
  </w:style>
  <w:style w:type="character" w:customStyle="1" w:styleId="97">
    <w:name w:val="纯文本 Char"/>
    <w:autoRedefine/>
    <w:qFormat/>
    <w:uiPriority w:val="0"/>
    <w:rPr>
      <w:rFonts w:hint="eastAsia" w:ascii="宋体" w:hAnsi="Courier New" w:eastAsia="宋体" w:cs="Courier New"/>
      <w:kern w:val="2"/>
      <w:sz w:val="21"/>
      <w:szCs w:val="21"/>
    </w:rPr>
  </w:style>
  <w:style w:type="character" w:customStyle="1" w:styleId="98">
    <w:name w:val="表 Char"/>
    <w:link w:val="99"/>
    <w:autoRedefine/>
    <w:qFormat/>
    <w:uiPriority w:val="0"/>
    <w:rPr>
      <w:rFonts w:hint="default" w:ascii="Calibri" w:hAnsi="Calibri" w:cs="宋体"/>
      <w:sz w:val="21"/>
      <w:szCs w:val="22"/>
    </w:rPr>
  </w:style>
  <w:style w:type="paragraph" w:customStyle="1" w:styleId="99">
    <w:name w:val="表"/>
    <w:basedOn w:val="1"/>
    <w:link w:val="98"/>
    <w:autoRedefine/>
    <w:qFormat/>
    <w:uiPriority w:val="0"/>
    <w:pPr>
      <w:spacing w:line="312" w:lineRule="auto"/>
    </w:pPr>
    <w:rPr>
      <w:rFonts w:ascii="Calibri" w:hAnsi="Calibri"/>
      <w:kern w:val="0"/>
      <w:szCs w:val="22"/>
    </w:rPr>
  </w:style>
  <w:style w:type="character" w:customStyle="1" w:styleId="100">
    <w:name w:val="正文缩进 Char1"/>
    <w:autoRedefine/>
    <w:qFormat/>
    <w:uiPriority w:val="0"/>
    <w:rPr>
      <w:rFonts w:eastAsia="宋体"/>
      <w:kern w:val="2"/>
      <w:sz w:val="21"/>
      <w:lang w:val="en-US" w:eastAsia="zh-CN" w:bidi="ar-SA"/>
    </w:rPr>
  </w:style>
  <w:style w:type="character" w:customStyle="1" w:styleId="101">
    <w:name w:val="font01"/>
    <w:autoRedefine/>
    <w:qFormat/>
    <w:uiPriority w:val="0"/>
    <w:rPr>
      <w:rFonts w:hint="eastAsia" w:ascii="宋体" w:hAnsi="宋体" w:eastAsia="宋体" w:cs="宋体"/>
      <w:b/>
      <w:color w:val="000000"/>
      <w:sz w:val="18"/>
      <w:szCs w:val="18"/>
      <w:u w:val="none"/>
    </w:rPr>
  </w:style>
  <w:style w:type="character" w:customStyle="1" w:styleId="102">
    <w:name w:val="EP投标正文 Char"/>
    <w:link w:val="103"/>
    <w:autoRedefine/>
    <w:qFormat/>
    <w:uiPriority w:val="0"/>
    <w:rPr>
      <w:rFonts w:hint="default" w:ascii="Calibri" w:hAnsi="Calibri" w:eastAsia="宋体" w:cs="Calibri"/>
      <w:sz w:val="24"/>
    </w:rPr>
  </w:style>
  <w:style w:type="paragraph" w:customStyle="1" w:styleId="103">
    <w:name w:val="EP投标正文"/>
    <w:basedOn w:val="1"/>
    <w:link w:val="102"/>
    <w:autoRedefine/>
    <w:qFormat/>
    <w:uiPriority w:val="0"/>
    <w:pPr>
      <w:spacing w:before="120" w:after="120" w:line="360" w:lineRule="auto"/>
      <w:ind w:firstLine="425" w:firstLineChars="177"/>
    </w:pPr>
    <w:rPr>
      <w:rFonts w:ascii="Calibri" w:hAnsi="Calibri"/>
      <w:kern w:val="0"/>
      <w:sz w:val="24"/>
      <w:szCs w:val="20"/>
    </w:rPr>
  </w:style>
  <w:style w:type="character" w:customStyle="1" w:styleId="104">
    <w:name w:val="正文文本缩进 Char"/>
    <w:autoRedefine/>
    <w:qFormat/>
    <w:uiPriority w:val="0"/>
    <w:rPr>
      <w:rFonts w:ascii="宋体" w:hAnsi="Courier New" w:eastAsia="宋体"/>
      <w:spacing w:val="-4"/>
      <w:kern w:val="2"/>
      <w:sz w:val="18"/>
      <w:lang w:val="en-US" w:eastAsia="zh-CN" w:bidi="ar-SA"/>
    </w:rPr>
  </w:style>
  <w:style w:type="character" w:customStyle="1" w:styleId="105">
    <w:name w:val="No Spacing Char"/>
    <w:link w:val="106"/>
    <w:autoRedefine/>
    <w:qFormat/>
    <w:uiPriority w:val="0"/>
    <w:rPr>
      <w:sz w:val="32"/>
    </w:rPr>
  </w:style>
  <w:style w:type="paragraph" w:customStyle="1" w:styleId="106">
    <w:name w:val="无间隔1"/>
    <w:basedOn w:val="1"/>
    <w:link w:val="105"/>
    <w:autoRedefine/>
    <w:qFormat/>
    <w:uiPriority w:val="0"/>
    <w:pPr>
      <w:widowControl/>
      <w:jc w:val="left"/>
    </w:pPr>
    <w:rPr>
      <w:kern w:val="0"/>
      <w:sz w:val="32"/>
      <w:szCs w:val="20"/>
    </w:rPr>
  </w:style>
  <w:style w:type="character" w:customStyle="1" w:styleId="107">
    <w:name w:val="font11"/>
    <w:autoRedefine/>
    <w:qFormat/>
    <w:uiPriority w:val="0"/>
    <w:rPr>
      <w:rFonts w:hint="eastAsia" w:ascii="宋体" w:hAnsi="宋体" w:eastAsia="宋体" w:cs="宋体"/>
      <w:color w:val="000000"/>
      <w:sz w:val="20"/>
      <w:szCs w:val="20"/>
      <w:u w:val="none"/>
    </w:rPr>
  </w:style>
  <w:style w:type="character" w:customStyle="1" w:styleId="108">
    <w:name w:val="批注文字 Char"/>
    <w:autoRedefine/>
    <w:qFormat/>
    <w:uiPriority w:val="99"/>
    <w:rPr>
      <w:kern w:val="2"/>
      <w:sz w:val="21"/>
      <w:szCs w:val="24"/>
    </w:rPr>
  </w:style>
  <w:style w:type="character" w:customStyle="1" w:styleId="109">
    <w:name w:val="正文文本 Char1"/>
    <w:autoRedefine/>
    <w:qFormat/>
    <w:uiPriority w:val="0"/>
    <w:rPr>
      <w:kern w:val="2"/>
      <w:sz w:val="21"/>
      <w:szCs w:val="22"/>
    </w:rPr>
  </w:style>
  <w:style w:type="character" w:customStyle="1" w:styleId="110">
    <w:name w:val="纯文本 Char Char"/>
    <w:autoRedefine/>
    <w:qFormat/>
    <w:uiPriority w:val="0"/>
    <w:rPr>
      <w:rFonts w:ascii="宋体" w:hAnsi="Courier New" w:eastAsia="宋体"/>
      <w:kern w:val="2"/>
      <w:sz w:val="24"/>
      <w:szCs w:val="24"/>
      <w:lang w:val="en-US" w:eastAsia="zh-CN" w:bidi="ar-SA"/>
    </w:rPr>
  </w:style>
  <w:style w:type="character" w:customStyle="1" w:styleId="111">
    <w:name w:val="投标正文 Char"/>
    <w:autoRedefine/>
    <w:qFormat/>
    <w:uiPriority w:val="0"/>
    <w:rPr>
      <w:sz w:val="24"/>
      <w:szCs w:val="24"/>
    </w:rPr>
  </w:style>
  <w:style w:type="character" w:customStyle="1" w:styleId="112">
    <w:name w:val="font21"/>
    <w:autoRedefine/>
    <w:qFormat/>
    <w:uiPriority w:val="0"/>
    <w:rPr>
      <w:rFonts w:ascii="Calibri" w:hAnsi="Calibri" w:cs="Calibri"/>
      <w:color w:val="000000"/>
      <w:sz w:val="20"/>
      <w:szCs w:val="20"/>
      <w:u w:val="none"/>
    </w:rPr>
  </w:style>
  <w:style w:type="character" w:customStyle="1" w:styleId="113">
    <w:name w:val="标题 2 字符"/>
    <w:autoRedefine/>
    <w:qFormat/>
    <w:uiPriority w:val="0"/>
    <w:rPr>
      <w:rFonts w:hint="default" w:ascii="Cambria" w:hAnsi="Cambria" w:eastAsia="宋体" w:cs="Times New Roman"/>
      <w:b/>
      <w:sz w:val="32"/>
      <w:szCs w:val="32"/>
    </w:rPr>
  </w:style>
  <w:style w:type="character" w:customStyle="1" w:styleId="114">
    <w:name w:val="正文文本 字符1"/>
    <w:autoRedefine/>
    <w:qFormat/>
    <w:uiPriority w:val="0"/>
    <w:rPr>
      <w:kern w:val="2"/>
      <w:sz w:val="24"/>
      <w:szCs w:val="22"/>
    </w:rPr>
  </w:style>
  <w:style w:type="character" w:customStyle="1" w:styleId="115">
    <w:name w:val="标题 1 字符"/>
    <w:autoRedefine/>
    <w:qFormat/>
    <w:uiPriority w:val="0"/>
    <w:rPr>
      <w:rFonts w:eastAsia="宋体"/>
      <w:b/>
      <w:spacing w:val="-2"/>
      <w:sz w:val="24"/>
      <w:lang w:val="en-US" w:eastAsia="zh-CN"/>
    </w:rPr>
  </w:style>
  <w:style w:type="character" w:customStyle="1" w:styleId="116">
    <w:name w:val="正文首行缩进 字符"/>
    <w:autoRedefine/>
    <w:qFormat/>
    <w:uiPriority w:val="99"/>
    <w:rPr>
      <w:rFonts w:hint="eastAsia" w:ascii="宋体" w:hAnsi="宋体" w:eastAsia="宋体" w:cs="宋体"/>
      <w:kern w:val="2"/>
      <w:sz w:val="24"/>
      <w:szCs w:val="22"/>
    </w:rPr>
  </w:style>
  <w:style w:type="character" w:customStyle="1" w:styleId="117">
    <w:name w:val="List Paragraph Char Char"/>
    <w:link w:val="118"/>
    <w:autoRedefine/>
    <w:qFormat/>
    <w:uiPriority w:val="0"/>
    <w:rPr>
      <w:rFonts w:ascii="仿宋_GB2312" w:eastAsia="仿宋_GB2312"/>
      <w:kern w:val="2"/>
      <w:sz w:val="28"/>
      <w:szCs w:val="28"/>
    </w:rPr>
  </w:style>
  <w:style w:type="paragraph" w:customStyle="1" w:styleId="118">
    <w:name w:val="List Paragraph1"/>
    <w:basedOn w:val="1"/>
    <w:link w:val="117"/>
    <w:autoRedefine/>
    <w:qFormat/>
    <w:uiPriority w:val="0"/>
    <w:pPr>
      <w:ind w:firstLine="420" w:firstLineChars="200"/>
    </w:pPr>
    <w:rPr>
      <w:rFonts w:ascii="仿宋_GB2312" w:eastAsia="仿宋_GB2312"/>
      <w:sz w:val="28"/>
      <w:szCs w:val="28"/>
    </w:rPr>
  </w:style>
  <w:style w:type="character" w:customStyle="1" w:styleId="119">
    <w:name w:val="font51"/>
    <w:autoRedefine/>
    <w:qFormat/>
    <w:uiPriority w:val="0"/>
    <w:rPr>
      <w:rFonts w:hint="eastAsia" w:ascii="宋体" w:hAnsi="宋体" w:eastAsia="宋体" w:cs="宋体"/>
      <w:color w:val="000000"/>
      <w:sz w:val="20"/>
      <w:szCs w:val="20"/>
      <w:u w:val="none"/>
    </w:rPr>
  </w:style>
  <w:style w:type="character" w:customStyle="1" w:styleId="120">
    <w:name w:val="标题 5 字符"/>
    <w:autoRedefine/>
    <w:qFormat/>
    <w:uiPriority w:val="0"/>
    <w:rPr>
      <w:rFonts w:hint="eastAsia" w:ascii="宋体" w:hAnsi="宋体" w:eastAsia="宋体" w:cs="宋体"/>
      <w:b/>
      <w:sz w:val="28"/>
      <w:szCs w:val="28"/>
    </w:rPr>
  </w:style>
  <w:style w:type="character" w:customStyle="1" w:styleId="121">
    <w:name w:val="font31"/>
    <w:autoRedefine/>
    <w:qFormat/>
    <w:uiPriority w:val="0"/>
    <w:rPr>
      <w:rFonts w:hint="eastAsia" w:ascii="宋体" w:hAnsi="宋体" w:eastAsia="宋体" w:cs="宋体"/>
      <w:b/>
      <w:bCs/>
      <w:color w:val="000000"/>
      <w:sz w:val="20"/>
      <w:szCs w:val="20"/>
      <w:u w:val="none"/>
    </w:rPr>
  </w:style>
  <w:style w:type="character" w:customStyle="1" w:styleId="122">
    <w:name w:val="Char Char4"/>
    <w:autoRedefine/>
    <w:qFormat/>
    <w:uiPriority w:val="0"/>
    <w:rPr>
      <w:rFonts w:ascii="宋体" w:hAnsi="Courier New" w:eastAsia="宋体"/>
      <w:spacing w:val="-4"/>
      <w:kern w:val="2"/>
      <w:sz w:val="18"/>
      <w:lang w:val="en-US" w:eastAsia="zh-CN" w:bidi="ar-SA"/>
    </w:rPr>
  </w:style>
  <w:style w:type="character" w:customStyle="1" w:styleId="123">
    <w:name w:val="Char Char1"/>
    <w:autoRedefine/>
    <w:qFormat/>
    <w:uiPriority w:val="0"/>
    <w:rPr>
      <w:rFonts w:ascii="宋体" w:hAnsi="Courier New" w:eastAsia="宋体"/>
      <w:spacing w:val="-4"/>
      <w:kern w:val="2"/>
      <w:sz w:val="18"/>
      <w:lang w:val="en-US" w:eastAsia="zh-CN" w:bidi="ar-SA"/>
    </w:rPr>
  </w:style>
  <w:style w:type="character" w:customStyle="1" w:styleId="124">
    <w:name w:val="Body text|3_"/>
    <w:link w:val="125"/>
    <w:autoRedefine/>
    <w:qFormat/>
    <w:uiPriority w:val="0"/>
    <w:rPr>
      <w:rFonts w:ascii="宋体" w:hAnsi="宋体" w:cs="宋体"/>
      <w:sz w:val="17"/>
      <w:szCs w:val="17"/>
      <w:lang w:val="zh-TW" w:eastAsia="zh-TW" w:bidi="zh-TW"/>
    </w:rPr>
  </w:style>
  <w:style w:type="paragraph" w:customStyle="1" w:styleId="125">
    <w:name w:val="Body text|3"/>
    <w:basedOn w:val="1"/>
    <w:link w:val="124"/>
    <w:autoRedefine/>
    <w:qFormat/>
    <w:uiPriority w:val="0"/>
    <w:pPr>
      <w:jc w:val="left"/>
    </w:pPr>
    <w:rPr>
      <w:rFonts w:ascii="宋体" w:hAnsi="宋体" w:cs="宋体"/>
      <w:kern w:val="0"/>
      <w:sz w:val="17"/>
      <w:szCs w:val="17"/>
      <w:lang w:val="zh-TW" w:eastAsia="zh-TW" w:bidi="zh-TW"/>
    </w:rPr>
  </w:style>
  <w:style w:type="character" w:customStyle="1" w:styleId="126">
    <w:name w:val="标题 9 字符"/>
    <w:autoRedefine/>
    <w:qFormat/>
    <w:uiPriority w:val="0"/>
    <w:rPr>
      <w:rFonts w:hint="default" w:ascii="Cambria" w:hAnsi="Cambria" w:eastAsia="宋体" w:cs="Times New Roman"/>
      <w:sz w:val="24"/>
      <w:szCs w:val="21"/>
    </w:rPr>
  </w:style>
  <w:style w:type="character" w:customStyle="1" w:styleId="127">
    <w:name w:val="标题 2 字符1"/>
    <w:autoRedefine/>
    <w:qFormat/>
    <w:uiPriority w:val="0"/>
    <w:rPr>
      <w:rFonts w:hint="default" w:ascii="Calibri" w:hAnsi="Calibri" w:eastAsia="宋体" w:cs="Times New Roman"/>
      <w:b/>
      <w:kern w:val="44"/>
      <w:sz w:val="28"/>
      <w:szCs w:val="28"/>
    </w:rPr>
  </w:style>
  <w:style w:type="character" w:customStyle="1" w:styleId="128">
    <w:name w:val="Body text|1_"/>
    <w:link w:val="129"/>
    <w:autoRedefine/>
    <w:qFormat/>
    <w:uiPriority w:val="0"/>
    <w:rPr>
      <w:rFonts w:ascii="宋体" w:hAnsi="宋体" w:cs="宋体"/>
      <w:sz w:val="30"/>
      <w:szCs w:val="30"/>
      <w:lang w:val="zh-TW" w:eastAsia="zh-TW" w:bidi="zh-TW"/>
    </w:rPr>
  </w:style>
  <w:style w:type="paragraph" w:customStyle="1" w:styleId="129">
    <w:name w:val="Body text|1"/>
    <w:basedOn w:val="1"/>
    <w:link w:val="128"/>
    <w:autoRedefine/>
    <w:qFormat/>
    <w:uiPriority w:val="0"/>
    <w:pPr>
      <w:spacing w:line="401" w:lineRule="auto"/>
      <w:ind w:firstLine="400"/>
      <w:jc w:val="left"/>
    </w:pPr>
    <w:rPr>
      <w:rFonts w:ascii="宋体" w:hAnsi="宋体" w:cs="宋体"/>
      <w:kern w:val="0"/>
      <w:sz w:val="30"/>
      <w:szCs w:val="30"/>
      <w:lang w:val="zh-TW" w:eastAsia="zh-TW" w:bidi="zh-TW"/>
    </w:rPr>
  </w:style>
  <w:style w:type="character" w:customStyle="1" w:styleId="130">
    <w:name w:val="Char Char2"/>
    <w:autoRedefine/>
    <w:qFormat/>
    <w:uiPriority w:val="0"/>
    <w:rPr>
      <w:rFonts w:ascii="宋体" w:hAnsi="宋体" w:eastAsia="宋体"/>
      <w:kern w:val="2"/>
      <w:sz w:val="21"/>
      <w:lang w:val="en-US" w:eastAsia="zh-CN" w:bidi="ar-SA"/>
    </w:rPr>
  </w:style>
  <w:style w:type="character" w:customStyle="1" w:styleId="131">
    <w:name w:val="样式 标题 3h3H3l3CTheading 3Level 3 Headlevel_3PIM 3sect1.2... Char"/>
    <w:link w:val="132"/>
    <w:autoRedefine/>
    <w:qFormat/>
    <w:uiPriority w:val="0"/>
  </w:style>
  <w:style w:type="paragraph" w:customStyle="1" w:styleId="132">
    <w:name w:val="样式 标题 3h3H3l3CTheading 3Level 3 Headlevel_3PIM 3sect1.2..."/>
    <w:basedOn w:val="4"/>
    <w:link w:val="131"/>
    <w:autoRedefine/>
    <w:qFormat/>
    <w:uiPriority w:val="0"/>
    <w:pPr>
      <w:spacing w:beforeLines="50" w:afterLines="50" w:line="360" w:lineRule="auto"/>
    </w:pPr>
    <w:rPr>
      <w:rFonts w:ascii="Times New Roman" w:hAnsi="Times New Roman"/>
      <w:b w:val="0"/>
      <w:sz w:val="20"/>
      <w:szCs w:val="20"/>
    </w:rPr>
  </w:style>
  <w:style w:type="character" w:customStyle="1" w:styleId="133">
    <w:name w:val="正文文本首行缩进 字符"/>
    <w:autoRedefine/>
    <w:qFormat/>
    <w:uiPriority w:val="0"/>
    <w:rPr>
      <w:kern w:val="2"/>
      <w:sz w:val="24"/>
      <w:szCs w:val="22"/>
    </w:rPr>
  </w:style>
  <w:style w:type="character" w:customStyle="1" w:styleId="134">
    <w:name w:val="正文缩进 Char"/>
    <w:autoRedefine/>
    <w:qFormat/>
    <w:uiPriority w:val="0"/>
    <w:rPr>
      <w:rFonts w:eastAsia="宋体"/>
    </w:rPr>
  </w:style>
  <w:style w:type="character" w:customStyle="1" w:styleId="135">
    <w:name w:val="caret4"/>
    <w:autoRedefine/>
    <w:qFormat/>
    <w:uiPriority w:val="0"/>
  </w:style>
  <w:style w:type="character" w:customStyle="1" w:styleId="136">
    <w:name w:val="apple-converted-space"/>
    <w:autoRedefine/>
    <w:qFormat/>
    <w:uiPriority w:val="0"/>
  </w:style>
  <w:style w:type="character" w:customStyle="1" w:styleId="137">
    <w:name w:val="列出段落 Char"/>
    <w:autoRedefine/>
    <w:qFormat/>
    <w:uiPriority w:val="0"/>
    <w:rPr>
      <w:rFonts w:ascii="Calibri" w:hAnsi="Calibri"/>
      <w:kern w:val="2"/>
      <w:sz w:val="21"/>
      <w:szCs w:val="22"/>
    </w:rPr>
  </w:style>
  <w:style w:type="character" w:customStyle="1" w:styleId="138">
    <w:name w:val="Char Char5"/>
    <w:autoRedefine/>
    <w:qFormat/>
    <w:uiPriority w:val="0"/>
    <w:rPr>
      <w:rFonts w:eastAsia="宋体"/>
      <w:kern w:val="2"/>
      <w:sz w:val="21"/>
      <w:lang w:val="en-US" w:eastAsia="zh-CN" w:bidi="ar-SA"/>
    </w:rPr>
  </w:style>
  <w:style w:type="character" w:customStyle="1" w:styleId="139">
    <w:name w:val="正文首行缩进 2 Char1"/>
    <w:autoRedefine/>
    <w:qFormat/>
    <w:uiPriority w:val="0"/>
    <w:rPr>
      <w:kern w:val="2"/>
      <w:sz w:val="21"/>
      <w:szCs w:val="24"/>
    </w:rPr>
  </w:style>
  <w:style w:type="character" w:customStyle="1" w:styleId="140">
    <w:name w:val="font41"/>
    <w:autoRedefine/>
    <w:qFormat/>
    <w:uiPriority w:val="0"/>
    <w:rPr>
      <w:rFonts w:hint="default" w:ascii="Times New Roman" w:hAnsi="Times New Roman" w:cs="Times New Roman"/>
      <w:color w:val="333333"/>
      <w:sz w:val="21"/>
      <w:szCs w:val="21"/>
      <w:u w:val="none"/>
    </w:rPr>
  </w:style>
  <w:style w:type="character" w:customStyle="1" w:styleId="141">
    <w:name w:val="正文文本 字符2"/>
    <w:autoRedefine/>
    <w:qFormat/>
    <w:uiPriority w:val="0"/>
    <w:rPr>
      <w:kern w:val="2"/>
      <w:sz w:val="21"/>
      <w:szCs w:val="24"/>
    </w:rPr>
  </w:style>
  <w:style w:type="character" w:customStyle="1" w:styleId="142">
    <w:name w:val="标题 4 字符"/>
    <w:autoRedefine/>
    <w:qFormat/>
    <w:uiPriority w:val="0"/>
    <w:rPr>
      <w:rFonts w:hint="default" w:ascii="Cambria" w:hAnsi="Cambria" w:eastAsia="宋体" w:cs="Times New Roman"/>
      <w:b/>
      <w:sz w:val="28"/>
      <w:szCs w:val="28"/>
    </w:rPr>
  </w:style>
  <w:style w:type="character" w:customStyle="1" w:styleId="143">
    <w:name w:val="Char Char Char"/>
    <w:autoRedefine/>
    <w:qFormat/>
    <w:uiPriority w:val="0"/>
    <w:rPr>
      <w:rFonts w:ascii="宋体" w:hAnsi="Courier New" w:eastAsia="宋体"/>
      <w:sz w:val="21"/>
      <w:szCs w:val="21"/>
      <w:lang w:val="en-US" w:eastAsia="zh-CN" w:bidi="ar-SA"/>
    </w:rPr>
  </w:style>
  <w:style w:type="character" w:customStyle="1" w:styleId="144">
    <w:name w:val="普通文字 Char Char1"/>
    <w:autoRedefine/>
    <w:qFormat/>
    <w:uiPriority w:val="0"/>
    <w:rPr>
      <w:rFonts w:ascii="宋体" w:hAnsi="Courier New" w:eastAsia="宋体"/>
      <w:kern w:val="2"/>
      <w:sz w:val="24"/>
      <w:szCs w:val="24"/>
      <w:lang w:val="en-US" w:eastAsia="zh-CN" w:bidi="ar-SA"/>
    </w:rPr>
  </w:style>
  <w:style w:type="character" w:customStyle="1" w:styleId="145">
    <w:name w:val="Body text|5_"/>
    <w:link w:val="146"/>
    <w:autoRedefine/>
    <w:qFormat/>
    <w:uiPriority w:val="0"/>
    <w:rPr>
      <w:rFonts w:ascii="宋体" w:hAnsi="宋体" w:cs="宋体"/>
      <w:sz w:val="22"/>
      <w:szCs w:val="22"/>
      <w:u w:val="single"/>
      <w:lang w:val="zh-CN"/>
    </w:rPr>
  </w:style>
  <w:style w:type="paragraph" w:customStyle="1" w:styleId="146">
    <w:name w:val="Body text|5"/>
    <w:basedOn w:val="1"/>
    <w:link w:val="145"/>
    <w:autoRedefine/>
    <w:qFormat/>
    <w:uiPriority w:val="0"/>
    <w:pPr>
      <w:ind w:hanging="1640"/>
      <w:jc w:val="left"/>
    </w:pPr>
    <w:rPr>
      <w:rFonts w:ascii="宋体" w:hAnsi="宋体"/>
      <w:kern w:val="0"/>
      <w:sz w:val="22"/>
      <w:szCs w:val="22"/>
      <w:u w:val="single"/>
      <w:lang w:val="zh-CN"/>
    </w:rPr>
  </w:style>
  <w:style w:type="paragraph" w:customStyle="1" w:styleId="147">
    <w:name w:val="Table Paragraph"/>
    <w:basedOn w:val="1"/>
    <w:autoRedefine/>
    <w:qFormat/>
    <w:uiPriority w:val="1"/>
    <w:pPr>
      <w:autoSpaceDE w:val="0"/>
      <w:autoSpaceDN w:val="0"/>
      <w:jc w:val="left"/>
    </w:pPr>
    <w:rPr>
      <w:rFonts w:hint="eastAsia" w:ascii="PMingLiU" w:hAnsi="PMingLiU" w:eastAsia="PMingLiU"/>
      <w:kern w:val="0"/>
      <w:sz w:val="22"/>
      <w:szCs w:val="22"/>
    </w:rPr>
  </w:style>
  <w:style w:type="paragraph" w:customStyle="1" w:styleId="148">
    <w:name w:val="表格"/>
    <w:basedOn w:val="1"/>
    <w:autoRedefine/>
    <w:qFormat/>
    <w:uiPriority w:val="0"/>
    <w:pPr>
      <w:jc w:val="left"/>
      <w:textAlignment w:val="center"/>
    </w:pPr>
    <w:rPr>
      <w:rFonts w:ascii="Calibri" w:hAnsi="Calibri"/>
    </w:rPr>
  </w:style>
  <w:style w:type="paragraph" w:customStyle="1" w:styleId="149">
    <w:name w:val="Default"/>
    <w:next w:val="1"/>
    <w:autoRedefine/>
    <w:qFormat/>
    <w:uiPriority w:val="0"/>
    <w:pPr>
      <w:widowControl w:val="0"/>
      <w:autoSpaceDE w:val="0"/>
      <w:autoSpaceDN w:val="0"/>
      <w:adjustRightInd w:val="0"/>
    </w:pPr>
    <w:rPr>
      <w:rFonts w:ascii="华文细黑" w:hAnsi="Times New Roman" w:eastAsia="华文细黑" w:cs="华文细黑"/>
      <w:color w:val="000000"/>
      <w:sz w:val="24"/>
      <w:szCs w:val="24"/>
      <w:lang w:val="en-US" w:eastAsia="zh-CN" w:bidi="ar-SA"/>
    </w:rPr>
  </w:style>
  <w:style w:type="paragraph" w:customStyle="1" w:styleId="150">
    <w:name w:val="样式 表格正文 + 两端对齐"/>
    <w:basedOn w:val="1"/>
    <w:next w:val="1"/>
    <w:autoRedefine/>
    <w:qFormat/>
    <w:uiPriority w:val="0"/>
    <w:pPr>
      <w:spacing w:line="300" w:lineRule="auto"/>
    </w:pPr>
    <w:rPr>
      <w:rFonts w:ascii="Calibri" w:hAnsi="Calibri" w:eastAsia="仿宋"/>
      <w:sz w:val="28"/>
      <w:szCs w:val="22"/>
    </w:rPr>
  </w:style>
  <w:style w:type="paragraph" w:customStyle="1" w:styleId="151">
    <w:name w:val="纯文本1"/>
    <w:basedOn w:val="1"/>
    <w:autoRedefine/>
    <w:qFormat/>
    <w:uiPriority w:val="0"/>
    <w:pPr>
      <w:widowControl/>
      <w:jc w:val="left"/>
    </w:pPr>
    <w:rPr>
      <w:rFonts w:hint="eastAsia" w:ascii="宋体" w:hAnsi="Courier New"/>
      <w:szCs w:val="20"/>
    </w:rPr>
  </w:style>
  <w:style w:type="paragraph" w:customStyle="1" w:styleId="152">
    <w:name w:val="xl76"/>
    <w:basedOn w:val="1"/>
    <w:autoRedefine/>
    <w:qFormat/>
    <w:uiPriority w:val="0"/>
    <w:pPr>
      <w:widowControl/>
      <w:spacing w:before="120"/>
      <w:jc w:val="center"/>
    </w:pPr>
    <w:rPr>
      <w:rFonts w:hint="eastAsia" w:ascii="宋体" w:hAnsi="宋体"/>
      <w:kern w:val="0"/>
      <w:sz w:val="24"/>
    </w:rPr>
  </w:style>
  <w:style w:type="paragraph" w:customStyle="1" w:styleId="153">
    <w:name w:val="缺省文本"/>
    <w:basedOn w:val="1"/>
    <w:autoRedefine/>
    <w:qFormat/>
    <w:uiPriority w:val="0"/>
    <w:pPr>
      <w:autoSpaceDE w:val="0"/>
      <w:autoSpaceDN w:val="0"/>
      <w:adjustRightInd w:val="0"/>
      <w:spacing w:before="20" w:after="20" w:line="400" w:lineRule="exact"/>
      <w:ind w:firstLine="504"/>
      <w:jc w:val="left"/>
    </w:pPr>
    <w:rPr>
      <w:kern w:val="0"/>
      <w:sz w:val="24"/>
    </w:rPr>
  </w:style>
  <w:style w:type="paragraph" w:customStyle="1" w:styleId="154">
    <w:name w:val="xl55"/>
    <w:basedOn w:val="1"/>
    <w:autoRedefine/>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155">
    <w:name w:val="标书正文"/>
    <w:basedOn w:val="1"/>
    <w:autoRedefine/>
    <w:qFormat/>
    <w:uiPriority w:val="0"/>
    <w:pPr>
      <w:spacing w:line="360" w:lineRule="auto"/>
      <w:ind w:firstLine="723" w:firstLineChars="200"/>
    </w:pPr>
    <w:rPr>
      <w:rFonts w:hint="eastAsia" w:ascii="宋体" w:hAnsi="宋体" w:cs="宋体"/>
      <w:color w:val="000000"/>
      <w:sz w:val="24"/>
    </w:rPr>
  </w:style>
  <w:style w:type="paragraph" w:customStyle="1" w:styleId="156">
    <w:name w:val="投标正文"/>
    <w:basedOn w:val="1"/>
    <w:autoRedefine/>
    <w:qFormat/>
    <w:uiPriority w:val="0"/>
    <w:pPr>
      <w:ind w:firstLine="425" w:firstLineChars="177"/>
    </w:pPr>
    <w:rPr>
      <w:sz w:val="24"/>
    </w:rPr>
  </w:style>
  <w:style w:type="paragraph" w:customStyle="1" w:styleId="157">
    <w:name w:val="Char Char Char Char Char Char Char Char Char Char Char Char Char Char"/>
    <w:basedOn w:val="1"/>
    <w:autoRedefine/>
    <w:qFormat/>
    <w:uiPriority w:val="0"/>
    <w:pPr>
      <w:widowControl/>
      <w:spacing w:after="160" w:line="240" w:lineRule="exact"/>
      <w:jc w:val="left"/>
    </w:pPr>
    <w:rPr>
      <w:rFonts w:ascii="Verdana" w:hAnsi="Verdana" w:cs="宋体"/>
      <w:b/>
      <w:kern w:val="0"/>
      <w:sz w:val="20"/>
      <w:szCs w:val="20"/>
      <w:lang w:eastAsia="en-US"/>
    </w:rPr>
  </w:style>
  <w:style w:type="paragraph" w:customStyle="1" w:styleId="158">
    <w:name w:val="_Style 3"/>
    <w:basedOn w:val="1"/>
    <w:autoRedefine/>
    <w:qFormat/>
    <w:uiPriority w:val="34"/>
    <w:pPr>
      <w:ind w:firstLine="420" w:firstLineChars="200"/>
    </w:pPr>
    <w:rPr>
      <w:szCs w:val="20"/>
    </w:rPr>
  </w:style>
  <w:style w:type="paragraph" w:customStyle="1" w:styleId="159">
    <w:name w:val="标准文本"/>
    <w:basedOn w:val="1"/>
    <w:autoRedefine/>
    <w:qFormat/>
    <w:uiPriority w:val="0"/>
    <w:pPr>
      <w:spacing w:line="360" w:lineRule="auto"/>
      <w:ind w:firstLine="480" w:firstLineChars="200"/>
    </w:pPr>
    <w:rPr>
      <w:rFonts w:cs="宋体"/>
      <w:sz w:val="24"/>
      <w:szCs w:val="20"/>
    </w:rPr>
  </w:style>
  <w:style w:type="paragraph" w:customStyle="1" w:styleId="160">
    <w:name w:val="p0"/>
    <w:basedOn w:val="1"/>
    <w:autoRedefine/>
    <w:qFormat/>
    <w:uiPriority w:val="0"/>
    <w:pPr>
      <w:widowControl/>
      <w:spacing w:before="100" w:beforeAutospacing="1" w:after="100" w:afterAutospacing="1" w:line="260" w:lineRule="atLeast"/>
      <w:jc w:val="left"/>
    </w:pPr>
    <w:rPr>
      <w:rFonts w:ascii="宋体" w:hAnsi="宋体" w:cs="宋体"/>
      <w:kern w:val="0"/>
      <w:sz w:val="24"/>
    </w:rPr>
  </w:style>
  <w:style w:type="paragraph" w:customStyle="1" w:styleId="161">
    <w:name w:val="投标标题3"/>
    <w:basedOn w:val="162"/>
    <w:autoRedefine/>
    <w:qFormat/>
    <w:uiPriority w:val="0"/>
    <w:pPr>
      <w:numPr>
        <w:ilvl w:val="0"/>
        <w:numId w:val="2"/>
      </w:numPr>
      <w:tabs>
        <w:tab w:val="left" w:pos="900"/>
      </w:tabs>
      <w:spacing w:before="156" w:after="156"/>
      <w:outlineLvl w:val="2"/>
    </w:pPr>
  </w:style>
  <w:style w:type="paragraph" w:customStyle="1" w:styleId="162">
    <w:name w:val="金保标题3"/>
    <w:basedOn w:val="4"/>
    <w:next w:val="1"/>
    <w:autoRedefine/>
    <w:qFormat/>
    <w:uiPriority w:val="0"/>
    <w:pPr>
      <w:tabs>
        <w:tab w:val="left" w:pos="900"/>
      </w:tabs>
      <w:spacing w:beforeLines="50" w:afterLines="50" w:line="480" w:lineRule="auto"/>
      <w:outlineLvl w:val="3"/>
    </w:pPr>
    <w:rPr>
      <w:rFonts w:ascii="宋体" w:hAnsi="宋体" w:cs="Arial"/>
      <w:color w:val="000000"/>
      <w:sz w:val="24"/>
      <w:szCs w:val="24"/>
    </w:rPr>
  </w:style>
  <w:style w:type="paragraph" w:customStyle="1" w:styleId="163">
    <w:name w:val="表格文字"/>
    <w:basedOn w:val="1"/>
    <w:next w:val="20"/>
    <w:autoRedefine/>
    <w:qFormat/>
    <w:uiPriority w:val="0"/>
    <w:pPr>
      <w:adjustRightInd w:val="0"/>
      <w:spacing w:line="420" w:lineRule="atLeast"/>
      <w:jc w:val="left"/>
      <w:textAlignment w:val="baseline"/>
    </w:pPr>
    <w:rPr>
      <w:kern w:val="0"/>
    </w:rPr>
  </w:style>
  <w:style w:type="paragraph" w:customStyle="1" w:styleId="164">
    <w:name w:val="投标标题1"/>
    <w:basedOn w:val="2"/>
    <w:next w:val="156"/>
    <w:autoRedefine/>
    <w:qFormat/>
    <w:uiPriority w:val="0"/>
    <w:pPr>
      <w:spacing w:before="120" w:after="120" w:line="240" w:lineRule="auto"/>
      <w:jc w:val="left"/>
    </w:pPr>
    <w:rPr>
      <w:rFonts w:ascii="黑体" w:eastAsia="黑体"/>
      <w:sz w:val="36"/>
    </w:rPr>
  </w:style>
  <w:style w:type="paragraph" w:customStyle="1" w:styleId="165">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166">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167">
    <w:name w:val="正文2"/>
    <w:basedOn w:val="1"/>
    <w:autoRedefine/>
    <w:qFormat/>
    <w:uiPriority w:val="0"/>
    <w:pPr>
      <w:spacing w:before="156" w:line="360" w:lineRule="auto"/>
      <w:ind w:firstLine="510" w:firstLineChars="200"/>
    </w:pPr>
    <w:rPr>
      <w:sz w:val="24"/>
      <w:szCs w:val="22"/>
    </w:rPr>
  </w:style>
  <w:style w:type="paragraph" w:customStyle="1" w:styleId="168">
    <w:name w:val="正文文本 (2)"/>
    <w:basedOn w:val="1"/>
    <w:autoRedefine/>
    <w:qFormat/>
    <w:uiPriority w:val="0"/>
    <w:pPr>
      <w:shd w:val="clear" w:color="auto" w:fill="FFFFFF"/>
      <w:spacing w:before="480" w:after="120" w:line="558" w:lineRule="exact"/>
      <w:jc w:val="distribute"/>
    </w:pPr>
    <w:rPr>
      <w:rFonts w:ascii="黑体" w:hAnsi="黑体" w:eastAsia="黑体" w:cs="黑体"/>
      <w:color w:val="000000"/>
      <w:kern w:val="0"/>
      <w:sz w:val="30"/>
      <w:szCs w:val="30"/>
      <w:lang w:val="zh-TW" w:eastAsia="zh-TW"/>
    </w:rPr>
  </w:style>
  <w:style w:type="paragraph" w:customStyle="1" w:styleId="169">
    <w:name w:val="Char"/>
    <w:basedOn w:val="1"/>
    <w:autoRedefine/>
    <w:qFormat/>
    <w:uiPriority w:val="0"/>
    <w:rPr>
      <w:rFonts w:ascii="仿宋_GB2312" w:eastAsia="仿宋_GB2312"/>
      <w:b/>
      <w:sz w:val="32"/>
      <w:szCs w:val="32"/>
    </w:rPr>
  </w:style>
  <w:style w:type="paragraph" w:customStyle="1" w:styleId="170">
    <w:name w:val="Char3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71">
    <w:name w:val="投标标题4"/>
    <w:basedOn w:val="5"/>
    <w:autoRedefine/>
    <w:qFormat/>
    <w:uiPriority w:val="0"/>
    <w:pPr>
      <w:numPr>
        <w:ilvl w:val="3"/>
        <w:numId w:val="3"/>
      </w:numPr>
      <w:spacing w:beforeLines="50" w:afterLines="50" w:line="360" w:lineRule="auto"/>
    </w:pPr>
    <w:rPr>
      <w:rFonts w:ascii="宋体" w:hAnsi="宋体" w:cs="Arial"/>
      <w:color w:val="000000"/>
      <w:sz w:val="24"/>
      <w:szCs w:val="24"/>
    </w:rPr>
  </w:style>
  <w:style w:type="paragraph" w:customStyle="1" w:styleId="172">
    <w:name w:val="样式2"/>
    <w:basedOn w:val="156"/>
    <w:autoRedefine/>
    <w:qFormat/>
    <w:uiPriority w:val="0"/>
    <w:pPr>
      <w:numPr>
        <w:ilvl w:val="0"/>
        <w:numId w:val="4"/>
      </w:numPr>
      <w:spacing w:before="240" w:after="240"/>
      <w:ind w:firstLine="0" w:firstLineChars="0"/>
      <w:outlineLvl w:val="1"/>
    </w:pPr>
    <w:rPr>
      <w:b/>
      <w:color w:val="000000"/>
      <w:sz w:val="32"/>
    </w:rPr>
  </w:style>
  <w:style w:type="paragraph" w:customStyle="1" w:styleId="173">
    <w:name w:val="msolistparagraph"/>
    <w:basedOn w:val="1"/>
    <w:autoRedefine/>
    <w:qFormat/>
    <w:uiPriority w:val="0"/>
    <w:pPr>
      <w:spacing w:line="360" w:lineRule="auto"/>
      <w:ind w:firstLine="420" w:firstLineChars="200"/>
    </w:pPr>
    <w:rPr>
      <w:rFonts w:eastAsia="仿宋_GB2312"/>
      <w:sz w:val="28"/>
    </w:rPr>
  </w:style>
  <w:style w:type="paragraph" w:customStyle="1" w:styleId="174">
    <w:name w:val="Char11"/>
    <w:basedOn w:val="1"/>
    <w:autoRedefine/>
    <w:qFormat/>
    <w:uiPriority w:val="0"/>
    <w:pPr>
      <w:tabs>
        <w:tab w:val="left" w:pos="1200"/>
      </w:tabs>
      <w:ind w:left="900" w:hanging="720"/>
    </w:pPr>
    <w:rPr>
      <w:sz w:val="24"/>
    </w:rPr>
  </w:style>
  <w:style w:type="paragraph" w:customStyle="1" w:styleId="175">
    <w:name w:val="Char1"/>
    <w:basedOn w:val="1"/>
    <w:autoRedefine/>
    <w:qFormat/>
    <w:uiPriority w:val="0"/>
    <w:rPr>
      <w:rFonts w:ascii="仿宋_GB2312" w:eastAsia="仿宋_GB2312"/>
      <w:b/>
      <w:sz w:val="32"/>
      <w:szCs w:val="32"/>
    </w:rPr>
  </w:style>
  <w:style w:type="paragraph" w:customStyle="1" w:styleId="176">
    <w:name w:val="样式1"/>
    <w:basedOn w:val="30"/>
    <w:autoRedefine/>
    <w:qFormat/>
    <w:uiPriority w:val="0"/>
    <w:pPr>
      <w:tabs>
        <w:tab w:val="right" w:leader="dot" w:pos="8642"/>
      </w:tabs>
      <w:spacing w:before="240" w:after="120" w:line="360" w:lineRule="auto"/>
    </w:pPr>
    <w:rPr>
      <w:rFonts w:hAnsi="宋体"/>
      <w:sz w:val="28"/>
      <w:szCs w:val="21"/>
    </w:rPr>
  </w:style>
  <w:style w:type="paragraph" w:customStyle="1" w:styleId="177">
    <w:name w:val="_Style 2"/>
    <w:basedOn w:val="1"/>
    <w:autoRedefine/>
    <w:qFormat/>
    <w:uiPriority w:val="34"/>
    <w:pPr>
      <w:ind w:firstLine="420" w:firstLineChars="200"/>
    </w:pPr>
    <w:rPr>
      <w:szCs w:val="20"/>
    </w:rPr>
  </w:style>
  <w:style w:type="paragraph" w:customStyle="1" w:styleId="178">
    <w:name w:val="正文段"/>
    <w:basedOn w:val="1"/>
    <w:autoRedefine/>
    <w:qFormat/>
    <w:uiPriority w:val="0"/>
    <w:pPr>
      <w:widowControl/>
      <w:snapToGrid w:val="0"/>
      <w:spacing w:afterLines="50"/>
      <w:ind w:firstLine="200" w:firstLineChars="200"/>
    </w:pPr>
    <w:rPr>
      <w:kern w:val="0"/>
      <w:sz w:val="24"/>
      <w:szCs w:val="20"/>
    </w:rPr>
  </w:style>
  <w:style w:type="paragraph" w:customStyle="1" w:styleId="179">
    <w:name w:val="正文－恩普"/>
    <w:basedOn w:val="12"/>
    <w:autoRedefine/>
    <w:qFormat/>
    <w:uiPriority w:val="0"/>
    <w:pPr>
      <w:spacing w:line="360" w:lineRule="auto"/>
      <w:ind w:firstLine="200" w:firstLineChars="200"/>
    </w:pPr>
    <w:rPr>
      <w:sz w:val="24"/>
    </w:rPr>
  </w:style>
  <w:style w:type="paragraph" w:customStyle="1" w:styleId="180">
    <w:name w:val="列出段落1"/>
    <w:basedOn w:val="1"/>
    <w:autoRedefine/>
    <w:qFormat/>
    <w:uiPriority w:val="0"/>
    <w:pPr>
      <w:widowControl/>
      <w:ind w:firstLine="420" w:firstLineChars="200"/>
      <w:jc w:val="left"/>
    </w:pPr>
    <w:rPr>
      <w:kern w:val="0"/>
      <w:sz w:val="24"/>
      <w:szCs w:val="20"/>
    </w:rPr>
  </w:style>
  <w:style w:type="paragraph" w:customStyle="1" w:styleId="181">
    <w:name w:val="Char Char1 Char Char Char Char Char Char Char Char"/>
    <w:basedOn w:val="1"/>
    <w:autoRedefine/>
    <w:qFormat/>
    <w:uiPriority w:val="0"/>
    <w:pPr>
      <w:widowControl/>
      <w:spacing w:after="160" w:line="240" w:lineRule="exact"/>
      <w:jc w:val="left"/>
    </w:pPr>
  </w:style>
  <w:style w:type="paragraph" w:customStyle="1" w:styleId="182">
    <w:name w:val="标书3"/>
    <w:basedOn w:val="1"/>
    <w:next w:val="1"/>
    <w:autoRedefine/>
    <w:qFormat/>
    <w:uiPriority w:val="0"/>
    <w:pPr>
      <w:keepNext/>
      <w:keepLines/>
      <w:numPr>
        <w:ilvl w:val="2"/>
        <w:numId w:val="5"/>
      </w:numPr>
      <w:spacing w:before="200" w:after="200" w:line="360" w:lineRule="auto"/>
      <w:outlineLvl w:val="2"/>
    </w:pPr>
    <w:rPr>
      <w:rFonts w:hint="eastAsia" w:ascii="宋体" w:hAnsi="宋体" w:cs="宋体"/>
      <w:b/>
      <w:sz w:val="30"/>
    </w:rPr>
  </w:style>
  <w:style w:type="paragraph" w:customStyle="1" w:styleId="183">
    <w:name w:val="正文格式"/>
    <w:basedOn w:val="1"/>
    <w:autoRedefine/>
    <w:qFormat/>
    <w:uiPriority w:val="99"/>
    <w:pPr>
      <w:widowControl/>
      <w:adjustRightInd w:val="0"/>
      <w:snapToGrid w:val="0"/>
      <w:spacing w:line="400" w:lineRule="atLeast"/>
      <w:ind w:firstLine="482"/>
      <w:textAlignment w:val="baseline"/>
    </w:pPr>
    <w:rPr>
      <w:kern w:val="0"/>
      <w:sz w:val="24"/>
    </w:rPr>
  </w:style>
  <w:style w:type="paragraph" w:customStyle="1" w:styleId="184">
    <w:name w:val="_Style 180"/>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185">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86">
    <w:name w:val="正文 New New New New"/>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87">
    <w:name w:val="默认段落字体 Para Char Char Char Char Char Char Char Char Char1 Char Char Char Char"/>
    <w:basedOn w:val="1"/>
    <w:autoRedefine/>
    <w:qFormat/>
    <w:uiPriority w:val="0"/>
    <w:rPr>
      <w:rFonts w:ascii="Tahoma" w:hAnsi="Tahoma"/>
      <w:sz w:val="24"/>
      <w:szCs w:val="20"/>
    </w:rPr>
  </w:style>
  <w:style w:type="paragraph" w:customStyle="1" w:styleId="188">
    <w:name w:val="首行缩进"/>
    <w:basedOn w:val="1"/>
    <w:autoRedefine/>
    <w:qFormat/>
    <w:uiPriority w:val="0"/>
    <w:pPr>
      <w:spacing w:line="360" w:lineRule="auto"/>
      <w:ind w:firstLine="480" w:firstLineChars="200"/>
    </w:pPr>
    <w:rPr>
      <w:rFonts w:hAnsi="宋体" w:cs="宋体"/>
    </w:rPr>
  </w:style>
  <w:style w:type="paragraph" w:customStyle="1" w:styleId="189">
    <w:name w:val="￥正文"/>
    <w:basedOn w:val="1"/>
    <w:autoRedefine/>
    <w:qFormat/>
    <w:uiPriority w:val="0"/>
    <w:pPr>
      <w:spacing w:line="360" w:lineRule="auto"/>
      <w:ind w:firstLine="200" w:firstLineChars="200"/>
    </w:pPr>
    <w:rPr>
      <w:rFonts w:ascii="宋体" w:eastAsia="仿宋"/>
      <w:sz w:val="32"/>
    </w:rPr>
  </w:style>
  <w:style w:type="paragraph" w:customStyle="1" w:styleId="190">
    <w:name w:val="普通(Web)1"/>
    <w:basedOn w:val="1"/>
    <w:next w:val="37"/>
    <w:autoRedefine/>
    <w:qFormat/>
    <w:uiPriority w:val="0"/>
    <w:pPr>
      <w:widowControl/>
      <w:spacing w:before="100" w:beforeAutospacing="1" w:after="100" w:afterAutospacing="1"/>
      <w:jc w:val="left"/>
    </w:pPr>
    <w:rPr>
      <w:rFonts w:ascii="宋体" w:hAnsi="宋体"/>
      <w:color w:val="000000"/>
      <w:kern w:val="0"/>
      <w:sz w:val="24"/>
    </w:rPr>
  </w:style>
  <w:style w:type="paragraph" w:customStyle="1" w:styleId="191">
    <w:name w:val="_Style 1"/>
    <w:basedOn w:val="1"/>
    <w:autoRedefine/>
    <w:qFormat/>
    <w:uiPriority w:val="34"/>
    <w:pPr>
      <w:ind w:firstLine="420" w:firstLineChars="200"/>
    </w:pPr>
    <w:rPr>
      <w:szCs w:val="20"/>
    </w:rPr>
  </w:style>
  <w:style w:type="paragraph" w:customStyle="1" w:styleId="192">
    <w:name w:val="Char Char Char Char Char Char Char"/>
    <w:basedOn w:val="1"/>
    <w:autoRedefine/>
    <w:qFormat/>
    <w:uiPriority w:val="0"/>
    <w:rPr>
      <w:rFonts w:ascii="仿宋_GB2312" w:eastAsia="仿宋_GB2312"/>
      <w:b/>
      <w:sz w:val="32"/>
      <w:szCs w:val="32"/>
    </w:rPr>
  </w:style>
  <w:style w:type="paragraph" w:customStyle="1" w:styleId="193">
    <w:name w:val="表格标题"/>
    <w:basedOn w:val="1"/>
    <w:next w:val="163"/>
    <w:autoRedefine/>
    <w:qFormat/>
    <w:uiPriority w:val="0"/>
    <w:pPr>
      <w:jc w:val="center"/>
    </w:pPr>
    <w:rPr>
      <w:b/>
    </w:rPr>
  </w:style>
  <w:style w:type="paragraph" w:customStyle="1" w:styleId="194">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95">
    <w:name w:val="表格文字内容"/>
    <w:basedOn w:val="1"/>
    <w:autoRedefine/>
    <w:qFormat/>
    <w:uiPriority w:val="0"/>
    <w:rPr>
      <w:rFonts w:ascii="Calibri" w:hAnsi="Calibri" w:eastAsia="仿宋" w:cs="仿宋"/>
      <w:sz w:val="24"/>
    </w:rPr>
  </w:style>
  <w:style w:type="paragraph" w:customStyle="1" w:styleId="196">
    <w:name w:val="列出段落3"/>
    <w:basedOn w:val="1"/>
    <w:autoRedefine/>
    <w:qFormat/>
    <w:uiPriority w:val="0"/>
    <w:pPr>
      <w:ind w:firstLine="420" w:firstLineChars="200"/>
    </w:pPr>
    <w:rPr>
      <w:rFonts w:ascii="Calibri" w:hAnsi="Calibri" w:cs="黑体"/>
      <w:szCs w:val="22"/>
    </w:rPr>
  </w:style>
  <w:style w:type="table" w:customStyle="1" w:styleId="197">
    <w:name w:val="网格型2"/>
    <w:basedOn w:val="42"/>
    <w:autoRedefine/>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98">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99">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00">
    <w:name w:val="font6"/>
    <w:basedOn w:val="1"/>
    <w:autoRedefine/>
    <w:qFormat/>
    <w:uiPriority w:val="0"/>
    <w:pPr>
      <w:widowControl/>
      <w:spacing w:before="100" w:beforeAutospacing="1" w:after="100" w:afterAutospacing="1"/>
      <w:jc w:val="left"/>
    </w:pPr>
    <w:rPr>
      <w:color w:val="000000"/>
      <w:kern w:val="0"/>
      <w:szCs w:val="21"/>
    </w:rPr>
  </w:style>
  <w:style w:type="paragraph" w:customStyle="1" w:styleId="201">
    <w:name w:val="font7"/>
    <w:basedOn w:val="1"/>
    <w:autoRedefine/>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202">
    <w:name w:val="font8"/>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03">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04">
    <w:name w:val="xl6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Cs w:val="21"/>
    </w:rPr>
  </w:style>
  <w:style w:type="paragraph" w:customStyle="1" w:styleId="205">
    <w:name w:val="xl67"/>
    <w:basedOn w:val="1"/>
    <w:autoRedefine/>
    <w:qFormat/>
    <w:uiPriority w:val="0"/>
    <w:pPr>
      <w:widowControl/>
      <w:spacing w:before="100" w:beforeAutospacing="1" w:after="100" w:afterAutospacing="1"/>
      <w:jc w:val="left"/>
      <w:textAlignment w:val="bottom"/>
    </w:pPr>
    <w:rPr>
      <w:rFonts w:ascii="宋体" w:hAnsi="宋体" w:cs="宋体"/>
      <w:kern w:val="0"/>
      <w:sz w:val="24"/>
    </w:rPr>
  </w:style>
  <w:style w:type="paragraph" w:customStyle="1" w:styleId="206">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Cs w:val="21"/>
    </w:rPr>
  </w:style>
  <w:style w:type="paragraph" w:customStyle="1" w:styleId="207">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Cs w:val="21"/>
    </w:rPr>
  </w:style>
  <w:style w:type="paragraph" w:customStyle="1" w:styleId="208">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Cs w:val="21"/>
    </w:rPr>
  </w:style>
  <w:style w:type="paragraph" w:customStyle="1" w:styleId="209">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color w:val="000000"/>
      <w:kern w:val="0"/>
      <w:szCs w:val="21"/>
    </w:rPr>
  </w:style>
  <w:style w:type="paragraph" w:customStyle="1" w:styleId="210">
    <w:name w:val="xl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Cs w:val="21"/>
    </w:rPr>
  </w:style>
  <w:style w:type="paragraph" w:customStyle="1" w:styleId="211">
    <w:name w:val="xl7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color w:val="000000"/>
      <w:kern w:val="0"/>
      <w:szCs w:val="21"/>
    </w:rPr>
  </w:style>
  <w:style w:type="paragraph" w:customStyle="1" w:styleId="212">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13">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14">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15">
    <w:name w:val="xl7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color w:val="000000"/>
      <w:kern w:val="0"/>
      <w:szCs w:val="21"/>
    </w:rPr>
  </w:style>
  <w:style w:type="paragraph" w:customStyle="1" w:styleId="216">
    <w:name w:val="xl79"/>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cs="宋体"/>
      <w:color w:val="000000"/>
      <w:kern w:val="0"/>
      <w:szCs w:val="21"/>
    </w:rPr>
  </w:style>
  <w:style w:type="paragraph" w:customStyle="1" w:styleId="217">
    <w:name w:val="xl8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Cs w:val="21"/>
    </w:rPr>
  </w:style>
  <w:style w:type="paragraph" w:customStyle="1" w:styleId="218">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color w:val="000000"/>
      <w:kern w:val="0"/>
      <w:szCs w:val="21"/>
    </w:rPr>
  </w:style>
  <w:style w:type="paragraph" w:customStyle="1" w:styleId="219">
    <w:name w:val="xl82"/>
    <w:basedOn w:val="1"/>
    <w:autoRedefine/>
    <w:qFormat/>
    <w:uiPriority w:val="0"/>
    <w:pPr>
      <w:widowControl/>
      <w:pBdr>
        <w:left w:val="single" w:color="auto" w:sz="4" w:space="0"/>
        <w:right w:val="single" w:color="auto" w:sz="4" w:space="0"/>
      </w:pBdr>
      <w:spacing w:before="100" w:beforeAutospacing="1" w:after="100" w:afterAutospacing="1"/>
      <w:jc w:val="center"/>
    </w:pPr>
    <w:rPr>
      <w:color w:val="000000"/>
      <w:kern w:val="0"/>
      <w:szCs w:val="21"/>
    </w:rPr>
  </w:style>
  <w:style w:type="paragraph" w:customStyle="1" w:styleId="220">
    <w:name w:val="xl8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color w:val="000000"/>
      <w:kern w:val="0"/>
      <w:szCs w:val="21"/>
    </w:rPr>
  </w:style>
  <w:style w:type="paragraph" w:customStyle="1" w:styleId="221">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22">
    <w:name w:val="xl8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23">
    <w:name w:val="xl8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24">
    <w:name w:val="xl8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color w:val="000000"/>
      <w:kern w:val="0"/>
      <w:szCs w:val="21"/>
    </w:rPr>
  </w:style>
  <w:style w:type="paragraph" w:customStyle="1" w:styleId="225">
    <w:name w:val="xl88"/>
    <w:basedOn w:val="1"/>
    <w:autoRedefine/>
    <w:qFormat/>
    <w:uiPriority w:val="0"/>
    <w:pPr>
      <w:widowControl/>
      <w:pBdr>
        <w:left w:val="single" w:color="auto" w:sz="4" w:space="0"/>
        <w:right w:val="single" w:color="auto" w:sz="4" w:space="0"/>
      </w:pBdr>
      <w:spacing w:before="100" w:beforeAutospacing="1" w:after="100" w:afterAutospacing="1"/>
      <w:jc w:val="left"/>
    </w:pPr>
    <w:rPr>
      <w:color w:val="000000"/>
      <w:kern w:val="0"/>
      <w:szCs w:val="21"/>
    </w:rPr>
  </w:style>
  <w:style w:type="paragraph" w:customStyle="1" w:styleId="226">
    <w:name w:val="xl8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color w:val="000000"/>
      <w:kern w:val="0"/>
      <w:szCs w:val="21"/>
    </w:rPr>
  </w:style>
  <w:style w:type="paragraph" w:customStyle="1" w:styleId="227">
    <w:name w:val="xl90"/>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color w:val="000000"/>
      <w:kern w:val="0"/>
      <w:szCs w:val="21"/>
    </w:rPr>
  </w:style>
  <w:style w:type="paragraph" w:customStyle="1" w:styleId="228">
    <w:name w:val="xl91"/>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pPr>
    <w:rPr>
      <w:color w:val="000000"/>
      <w:kern w:val="0"/>
      <w:szCs w:val="21"/>
    </w:rPr>
  </w:style>
  <w:style w:type="paragraph" w:customStyle="1" w:styleId="229">
    <w:name w:val="xl92"/>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color w:val="000000"/>
      <w:kern w:val="0"/>
      <w:szCs w:val="21"/>
    </w:rPr>
  </w:style>
  <w:style w:type="paragraph" w:customStyle="1" w:styleId="230">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67</Pages>
  <Words>38613</Words>
  <Characters>40496</Characters>
  <Lines>303</Lines>
  <Paragraphs>85</Paragraphs>
  <TotalTime>2</TotalTime>
  <ScaleCrop>false</ScaleCrop>
  <LinksUpToDate>false</LinksUpToDate>
  <CharactersWithSpaces>42629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2024-02-28T02:23:00Z</dcterms:created>
  <dc:creator>雨林木风</dc:creator>
  <cp:lastModifiedBy>万全招标15356956261</cp:lastModifiedBy>
  <cp:lastPrinted>2024-04-01T02:52:00Z</cp:lastPrinted>
  <dcterms:modified xsi:type="dcterms:W3CDTF">2024-08-19T09:38:13Z</dcterms:modified>
  <dc:title>浙江省政府采购招标文件范本（试行）</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14B3861692DF4A688F7D8A89750C8A7C_13</vt:lpwstr>
  </property>
</Properties>
</file>