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DB8D1A2">
      <w:pPr>
        <w:shd w:val="clear" w:color="auto"/>
        <w:jc w:val="both"/>
        <w:rPr>
          <w:rFonts w:hint="eastAsia" w:hAnsi="宋体" w:cs="宋体"/>
          <w:b/>
          <w:color w:val="auto"/>
          <w:sz w:val="48"/>
          <w:szCs w:val="48"/>
          <w:highlight w:val="none"/>
        </w:rPr>
      </w:pPr>
      <w:r>
        <w:rPr>
          <w:rFonts w:hint="eastAsia" w:hAnsi="宋体" w:cs="宋体"/>
          <w:b/>
          <w:color w:val="auto"/>
          <w:sz w:val="52"/>
          <w:szCs w:val="52"/>
          <w:highlight w:val="none"/>
        </w:rPr>
        <w:tab/>
      </w:r>
      <w:r>
        <w:rPr>
          <w:rFonts w:hint="eastAsia" w:hAnsi="宋体" w:cs="宋体"/>
          <w:b/>
          <w:color w:val="auto"/>
          <w:sz w:val="52"/>
          <w:szCs w:val="52"/>
          <w:highlight w:val="none"/>
        </w:rPr>
        <w:tab/>
      </w:r>
    </w:p>
    <w:p w14:paraId="7DBAC7A5">
      <w:pPr>
        <w:shd w:val="clear" w:color="auto"/>
        <w:spacing w:before="120" w:beforeLines="50"/>
        <w:jc w:val="center"/>
        <w:rPr>
          <w:rFonts w:hint="eastAsia" w:hAnsi="宋体" w:cs="宋体"/>
          <w:b/>
          <w:color w:val="auto"/>
          <w:sz w:val="48"/>
          <w:szCs w:val="48"/>
          <w:highlight w:val="none"/>
          <w:lang w:eastAsia="zh-CN"/>
        </w:rPr>
      </w:pPr>
    </w:p>
    <w:p w14:paraId="238550BD">
      <w:pPr>
        <w:shd w:val="clear" w:color="auto"/>
        <w:spacing w:before="120" w:beforeLines="50"/>
        <w:jc w:val="center"/>
        <w:rPr>
          <w:rFonts w:hint="default" w:hAnsi="宋体" w:eastAsia="宋体" w:cs="宋体"/>
          <w:b/>
          <w:color w:val="auto"/>
          <w:sz w:val="48"/>
          <w:szCs w:val="48"/>
          <w:highlight w:val="none"/>
          <w:lang w:eastAsia="zh-CN"/>
        </w:rPr>
      </w:pPr>
      <w:r>
        <w:rPr>
          <w:rFonts w:hint="eastAsia" w:hAnsi="宋体" w:cs="宋体"/>
          <w:b/>
          <w:color w:val="auto"/>
          <w:sz w:val="48"/>
          <w:szCs w:val="48"/>
          <w:highlight w:val="none"/>
          <w:lang w:eastAsia="zh-CN"/>
        </w:rPr>
        <w:t>2025-2026年婺城区农村人居环境长效管理第三方机构评估服务项目</w:t>
      </w:r>
      <w:r>
        <w:rPr>
          <w:rFonts w:hint="default" w:hAnsi="宋体" w:cs="宋体"/>
          <w:b/>
          <w:color w:val="auto"/>
          <w:sz w:val="48"/>
          <w:szCs w:val="48"/>
          <w:highlight w:val="none"/>
          <w:lang w:eastAsia="zh-CN"/>
        </w:rPr>
        <w:t xml:space="preserve"> </w:t>
      </w:r>
    </w:p>
    <w:p w14:paraId="609C7844">
      <w:pPr>
        <w:pStyle w:val="3"/>
        <w:shd w:val="clear" w:color="auto"/>
        <w:ind w:left="0" w:leftChars="0" w:right="0" w:rightChars="0" w:firstLine="0" w:firstLineChars="0"/>
        <w:jc w:val="center"/>
        <w:rPr>
          <w:rFonts w:hint="eastAsia" w:ascii="宋体" w:hAnsi="宋体" w:cs="宋体"/>
          <w:color w:val="auto"/>
          <w:highlight w:val="none"/>
        </w:rPr>
      </w:pPr>
    </w:p>
    <w:p w14:paraId="2D1B53D8">
      <w:pPr>
        <w:shd w:val="clear" w:color="auto"/>
        <w:spacing w:before="120" w:beforeLines="50"/>
        <w:ind w:left="0" w:leftChars="0" w:right="0" w:rightChars="0" w:firstLine="0" w:firstLineChars="0"/>
        <w:jc w:val="center"/>
        <w:rPr>
          <w:rFonts w:hint="eastAsia" w:hAnsi="宋体" w:cs="宋体"/>
          <w:b/>
          <w:color w:val="auto"/>
          <w:sz w:val="48"/>
          <w:szCs w:val="48"/>
          <w:highlight w:val="none"/>
        </w:rPr>
      </w:pPr>
    </w:p>
    <w:p w14:paraId="788033B5">
      <w:pPr>
        <w:pStyle w:val="9"/>
        <w:shd w:val="clear" w:color="auto"/>
        <w:ind w:left="0" w:leftChars="0" w:right="0" w:rightChars="0" w:firstLine="0" w:firstLineChars="0"/>
        <w:jc w:val="center"/>
        <w:rPr>
          <w:rFonts w:hint="eastAsia" w:ascii="宋体" w:hAnsi="宋体" w:cs="宋体"/>
          <w:b/>
          <w:color w:val="auto"/>
          <w:sz w:val="48"/>
          <w:szCs w:val="48"/>
          <w:highlight w:val="none"/>
        </w:rPr>
      </w:pPr>
    </w:p>
    <w:p w14:paraId="19C1DAD3">
      <w:pPr>
        <w:pStyle w:val="10"/>
        <w:shd w:val="clear" w:color="auto"/>
        <w:ind w:left="0" w:leftChars="0" w:right="0" w:rightChars="0" w:firstLine="0" w:firstLineChars="0"/>
        <w:jc w:val="center"/>
        <w:rPr>
          <w:rFonts w:hint="eastAsia"/>
          <w:color w:val="auto"/>
          <w:highlight w:val="none"/>
        </w:rPr>
      </w:pPr>
    </w:p>
    <w:p w14:paraId="7F7C5BD7">
      <w:pPr>
        <w:pStyle w:val="10"/>
        <w:shd w:val="clear" w:color="auto"/>
        <w:ind w:left="0" w:leftChars="0" w:right="0" w:rightChars="0" w:firstLine="0" w:firstLineChars="0"/>
        <w:jc w:val="center"/>
        <w:rPr>
          <w:rFonts w:hint="eastAsia" w:ascii="宋体" w:hAnsi="宋体" w:cs="宋体"/>
          <w:color w:val="auto"/>
          <w:highlight w:val="none"/>
        </w:rPr>
      </w:pPr>
    </w:p>
    <w:p w14:paraId="350110FA">
      <w:pPr>
        <w:pStyle w:val="46"/>
        <w:shd w:val="clear"/>
        <w:ind w:left="0" w:leftChars="0" w:right="0" w:rightChars="0" w:firstLine="0" w:firstLineChars="0"/>
        <w:jc w:val="center"/>
        <w:rPr>
          <w:rFonts w:hint="eastAsia"/>
          <w:color w:val="auto"/>
          <w:highlight w:val="none"/>
        </w:rPr>
      </w:pPr>
    </w:p>
    <w:p w14:paraId="24CA4A96">
      <w:pPr>
        <w:pStyle w:val="9"/>
        <w:shd w:val="clear" w:color="auto"/>
        <w:ind w:left="0" w:leftChars="0" w:right="0" w:rightChars="0" w:firstLine="0" w:firstLineChars="0"/>
        <w:jc w:val="center"/>
        <w:rPr>
          <w:rFonts w:hint="eastAsia" w:ascii="宋体" w:hAnsi="宋体" w:cs="宋体"/>
          <w:b/>
          <w:color w:val="auto"/>
          <w:sz w:val="48"/>
          <w:szCs w:val="48"/>
          <w:highlight w:val="none"/>
        </w:rPr>
      </w:pPr>
    </w:p>
    <w:p w14:paraId="32560C63">
      <w:pPr>
        <w:pStyle w:val="10"/>
        <w:shd w:val="clear" w:color="auto"/>
        <w:ind w:left="0" w:leftChars="0" w:right="0" w:rightChars="0" w:firstLine="0" w:firstLineChars="0"/>
        <w:jc w:val="center"/>
        <w:rPr>
          <w:rFonts w:hint="eastAsia" w:ascii="宋体" w:hAnsi="宋体" w:cs="宋体"/>
          <w:color w:val="auto"/>
          <w:highlight w:val="none"/>
        </w:rPr>
      </w:pPr>
    </w:p>
    <w:p w14:paraId="0BD0EF71">
      <w:pPr>
        <w:shd w:val="clear" w:color="auto"/>
        <w:spacing w:before="120" w:beforeLines="50"/>
        <w:jc w:val="center"/>
        <w:rPr>
          <w:rFonts w:hint="eastAsia" w:hAnsi="宋体" w:cs="宋体"/>
          <w:b/>
          <w:color w:val="auto"/>
          <w:sz w:val="52"/>
          <w:szCs w:val="52"/>
          <w:highlight w:val="none"/>
        </w:rPr>
      </w:pPr>
      <w:r>
        <w:rPr>
          <w:rFonts w:hint="eastAsia" w:hAnsi="宋体" w:cs="宋体"/>
          <w:b/>
          <w:color w:val="auto"/>
          <w:sz w:val="52"/>
          <w:szCs w:val="52"/>
          <w:highlight w:val="none"/>
        </w:rPr>
        <w:t>公开招标采购文件</w:t>
      </w:r>
    </w:p>
    <w:p w14:paraId="39506AB2">
      <w:pPr>
        <w:shd w:val="clear" w:color="auto"/>
        <w:snapToGrid w:val="0"/>
        <w:spacing w:before="120" w:beforeLines="50" w:line="360" w:lineRule="auto"/>
        <w:rPr>
          <w:rFonts w:hint="eastAsia" w:hAnsi="宋体" w:cs="宋体"/>
          <w:color w:val="auto"/>
          <w:sz w:val="30"/>
          <w:szCs w:val="72"/>
          <w:highlight w:val="none"/>
        </w:rPr>
      </w:pPr>
    </w:p>
    <w:p w14:paraId="70643C4A">
      <w:pPr>
        <w:pStyle w:val="4"/>
        <w:shd w:val="clear" w:color="auto"/>
        <w:rPr>
          <w:rFonts w:hint="eastAsia"/>
          <w:color w:val="auto"/>
          <w:highlight w:val="none"/>
        </w:rPr>
      </w:pPr>
    </w:p>
    <w:p w14:paraId="62147BB6">
      <w:pPr>
        <w:pStyle w:val="46"/>
        <w:shd w:val="clear" w:color="auto"/>
        <w:ind w:left="680"/>
        <w:rPr>
          <w:rFonts w:hint="eastAsia" w:ascii="宋体" w:hAnsi="宋体" w:cs="宋体"/>
          <w:color w:val="auto"/>
          <w:sz w:val="30"/>
          <w:szCs w:val="72"/>
          <w:highlight w:val="none"/>
        </w:rPr>
      </w:pPr>
    </w:p>
    <w:p w14:paraId="400211DE">
      <w:pPr>
        <w:shd w:val="clear" w:color="auto"/>
        <w:rPr>
          <w:rFonts w:hint="eastAsia" w:hAnsi="宋体" w:cs="宋体"/>
          <w:color w:val="auto"/>
          <w:sz w:val="30"/>
          <w:szCs w:val="72"/>
          <w:highlight w:val="none"/>
        </w:rPr>
      </w:pPr>
    </w:p>
    <w:p w14:paraId="6CF3E9F0">
      <w:pPr>
        <w:shd w:val="clear" w:color="auto"/>
        <w:snapToGrid w:val="0"/>
        <w:spacing w:line="480" w:lineRule="auto"/>
        <w:rPr>
          <w:rFonts w:hint="eastAsia" w:hAnsi="宋体" w:cs="宋体"/>
          <w:b/>
          <w:bCs/>
          <w:color w:val="auto"/>
          <w:w w:val="95"/>
          <w:sz w:val="30"/>
          <w:szCs w:val="30"/>
          <w:highlight w:val="none"/>
        </w:rPr>
      </w:pPr>
    </w:p>
    <w:p w14:paraId="40B8CEE4">
      <w:pPr>
        <w:shd w:val="clear" w:color="auto"/>
        <w:snapToGrid w:val="0"/>
        <w:spacing w:line="480" w:lineRule="auto"/>
        <w:ind w:firstLine="572" w:firstLineChars="200"/>
        <w:rPr>
          <w:rFonts w:hint="eastAsia" w:hAnsi="宋体" w:cs="宋体"/>
          <w:b/>
          <w:bCs/>
          <w:color w:val="auto"/>
          <w:w w:val="95"/>
          <w:sz w:val="30"/>
          <w:szCs w:val="30"/>
          <w:highlight w:val="none"/>
        </w:rPr>
      </w:pPr>
      <w:r>
        <w:rPr>
          <w:rFonts w:hint="eastAsia" w:hAnsi="宋体" w:cs="宋体"/>
          <w:b/>
          <w:bCs/>
          <w:color w:val="auto"/>
          <w:w w:val="95"/>
          <w:sz w:val="30"/>
          <w:szCs w:val="30"/>
          <w:highlight w:val="none"/>
        </w:rPr>
        <w:t>项目编号：</w:t>
      </w:r>
      <w:r>
        <w:rPr>
          <w:rFonts w:hint="eastAsia" w:hAnsi="宋体" w:cs="宋体"/>
          <w:b/>
          <w:bCs/>
          <w:color w:val="auto"/>
          <w:w w:val="95"/>
          <w:sz w:val="30"/>
          <w:szCs w:val="30"/>
          <w:highlight w:val="none"/>
          <w:lang w:eastAsia="zh-CN"/>
        </w:rPr>
        <w:t>TY2025-FW038-ZFCG038-1</w:t>
      </w:r>
      <w:r>
        <w:rPr>
          <w:rFonts w:hint="eastAsia" w:hAnsi="宋体" w:cs="宋体"/>
          <w:b/>
          <w:bCs/>
          <w:color w:val="auto"/>
          <w:w w:val="95"/>
          <w:sz w:val="30"/>
          <w:szCs w:val="30"/>
          <w:highlight w:val="none"/>
        </w:rPr>
        <w:t xml:space="preserve">  </w:t>
      </w:r>
    </w:p>
    <w:p w14:paraId="41924A1C">
      <w:pPr>
        <w:shd w:val="clear" w:color="auto"/>
        <w:snapToGrid w:val="0"/>
        <w:spacing w:line="480" w:lineRule="auto"/>
        <w:ind w:firstLine="572" w:firstLineChars="200"/>
        <w:rPr>
          <w:rFonts w:hint="eastAsia" w:hAnsi="宋体" w:eastAsia="宋体" w:cs="宋体"/>
          <w:b/>
          <w:bCs/>
          <w:color w:val="auto"/>
          <w:w w:val="95"/>
          <w:sz w:val="30"/>
          <w:szCs w:val="30"/>
          <w:highlight w:val="none"/>
          <w:lang w:eastAsia="zh-CN"/>
        </w:rPr>
      </w:pPr>
      <w:r>
        <w:rPr>
          <w:rFonts w:hint="eastAsia" w:hAnsi="宋体" w:cs="宋体"/>
          <w:b/>
          <w:bCs/>
          <w:color w:val="auto"/>
          <w:w w:val="95"/>
          <w:sz w:val="30"/>
          <w:szCs w:val="30"/>
          <w:highlight w:val="none"/>
        </w:rPr>
        <w:t>采购单位：</w:t>
      </w:r>
      <w:bookmarkStart w:id="81" w:name="_GoBack"/>
      <w:r>
        <w:rPr>
          <w:rFonts w:hint="eastAsia" w:hAnsi="宋体" w:cs="宋体"/>
          <w:b/>
          <w:bCs/>
          <w:color w:val="auto"/>
          <w:w w:val="95"/>
          <w:sz w:val="30"/>
          <w:szCs w:val="30"/>
          <w:highlight w:val="none"/>
          <w:lang w:eastAsia="zh-CN"/>
        </w:rPr>
        <w:t>金华市婺城区乡村建设指导中心</w:t>
      </w:r>
    </w:p>
    <w:bookmarkEnd w:id="81"/>
    <w:p w14:paraId="7B6030B8">
      <w:pPr>
        <w:shd w:val="clear" w:color="auto"/>
        <w:snapToGrid w:val="0"/>
        <w:spacing w:line="480" w:lineRule="auto"/>
        <w:ind w:firstLine="572" w:firstLineChars="200"/>
        <w:rPr>
          <w:rFonts w:hint="eastAsia" w:hAnsi="宋体" w:cs="宋体"/>
          <w:b/>
          <w:bCs/>
          <w:color w:val="auto"/>
          <w:w w:val="95"/>
          <w:sz w:val="30"/>
          <w:szCs w:val="30"/>
          <w:highlight w:val="none"/>
        </w:rPr>
      </w:pPr>
      <w:r>
        <w:rPr>
          <w:rFonts w:hint="eastAsia" w:hAnsi="宋体" w:cs="宋体"/>
          <w:b/>
          <w:bCs/>
          <w:color w:val="auto"/>
          <w:w w:val="95"/>
          <w:sz w:val="30"/>
          <w:szCs w:val="30"/>
          <w:highlight w:val="none"/>
        </w:rPr>
        <w:t>代理机构：金华市天盈招标代理有限公司</w:t>
      </w:r>
    </w:p>
    <w:p w14:paraId="76F73D9A">
      <w:pPr>
        <w:shd w:val="clear" w:color="auto"/>
        <w:snapToGrid w:val="0"/>
        <w:spacing w:line="480" w:lineRule="auto"/>
        <w:ind w:firstLine="572" w:firstLineChars="200"/>
        <w:rPr>
          <w:rFonts w:hint="eastAsia" w:hAnsi="宋体" w:cs="宋体"/>
          <w:b/>
          <w:bCs/>
          <w:color w:val="auto"/>
          <w:w w:val="95"/>
          <w:sz w:val="30"/>
          <w:szCs w:val="30"/>
          <w:highlight w:val="none"/>
        </w:rPr>
      </w:pPr>
      <w:r>
        <w:rPr>
          <w:rFonts w:hint="eastAsia" w:hAnsi="宋体" w:cs="宋体"/>
          <w:b/>
          <w:bCs/>
          <w:color w:val="auto"/>
          <w:w w:val="95"/>
          <w:sz w:val="30"/>
          <w:szCs w:val="30"/>
          <w:highlight w:val="none"/>
        </w:rPr>
        <w:t>监管单位：</w:t>
      </w:r>
      <w:r>
        <w:rPr>
          <w:rFonts w:hint="eastAsia" w:hAnsi="宋体" w:cs="宋体"/>
          <w:b/>
          <w:bCs/>
          <w:color w:val="auto"/>
          <w:w w:val="95"/>
          <w:sz w:val="30"/>
          <w:szCs w:val="30"/>
          <w:highlight w:val="none"/>
          <w:lang w:eastAsia="zh-CN"/>
        </w:rPr>
        <w:t>金华市婺城区财政局政府采购监督管理办公室</w:t>
      </w:r>
    </w:p>
    <w:p w14:paraId="5DD1D060">
      <w:pPr>
        <w:shd w:val="clear" w:color="auto"/>
        <w:snapToGrid w:val="0"/>
        <w:spacing w:line="480" w:lineRule="auto"/>
        <w:jc w:val="center"/>
        <w:rPr>
          <w:rFonts w:hint="eastAsia" w:hAnsi="宋体" w:cs="宋体"/>
          <w:color w:val="auto"/>
          <w:highlight w:val="none"/>
        </w:rPr>
        <w:sectPr>
          <w:headerReference r:id="rId3" w:type="default"/>
          <w:type w:val="continuous"/>
          <w:pgSz w:w="11907" w:h="16840"/>
          <w:pgMar w:top="1440" w:right="1080" w:bottom="1440" w:left="1080" w:header="878" w:footer="903" w:gutter="0"/>
          <w:cols w:space="720" w:num="1"/>
        </w:sectPr>
      </w:pPr>
      <w:r>
        <w:rPr>
          <w:rFonts w:hint="eastAsia" w:hAnsi="宋体" w:cs="宋体"/>
          <w:b/>
          <w:bCs/>
          <w:color w:val="auto"/>
          <w:w w:val="95"/>
          <w:sz w:val="30"/>
          <w:szCs w:val="30"/>
          <w:highlight w:val="none"/>
        </w:rPr>
        <w:t xml:space="preserve">2 0 2 </w:t>
      </w:r>
      <w:r>
        <w:rPr>
          <w:rFonts w:hint="eastAsia" w:hAnsi="宋体" w:cs="宋体"/>
          <w:b/>
          <w:bCs/>
          <w:color w:val="auto"/>
          <w:w w:val="95"/>
          <w:sz w:val="30"/>
          <w:szCs w:val="30"/>
          <w:highlight w:val="none"/>
          <w:lang w:val="en-US" w:eastAsia="zh-CN"/>
        </w:rPr>
        <w:t>5</w:t>
      </w:r>
      <w:r>
        <w:rPr>
          <w:rFonts w:hint="eastAsia" w:hAnsi="宋体" w:cs="宋体"/>
          <w:b/>
          <w:bCs/>
          <w:color w:val="auto"/>
          <w:w w:val="95"/>
          <w:sz w:val="30"/>
          <w:szCs w:val="30"/>
          <w:highlight w:val="none"/>
        </w:rPr>
        <w:t xml:space="preserve"> 年 </w:t>
      </w:r>
      <w:r>
        <w:rPr>
          <w:rFonts w:hint="eastAsia" w:hAnsi="宋体" w:cs="宋体"/>
          <w:b/>
          <w:bCs/>
          <w:color w:val="auto"/>
          <w:w w:val="95"/>
          <w:sz w:val="30"/>
          <w:szCs w:val="30"/>
          <w:highlight w:val="none"/>
          <w:lang w:val="en-US" w:eastAsia="zh-CN"/>
        </w:rPr>
        <w:t>3</w:t>
      </w:r>
      <w:r>
        <w:rPr>
          <w:rFonts w:hint="eastAsia" w:hAnsi="宋体" w:cs="宋体"/>
          <w:b/>
          <w:bCs/>
          <w:color w:val="auto"/>
          <w:w w:val="95"/>
          <w:sz w:val="30"/>
          <w:szCs w:val="30"/>
          <w:highlight w:val="none"/>
        </w:rPr>
        <w:t xml:space="preserve"> 月</w:t>
      </w:r>
    </w:p>
    <w:p w14:paraId="427E8B14">
      <w:pPr>
        <w:shd w:val="clear" w:color="auto"/>
        <w:jc w:val="both"/>
        <w:rPr>
          <w:rFonts w:hint="eastAsia" w:hAnsi="宋体" w:cs="宋体"/>
          <w:color w:val="auto"/>
          <w:highlight w:val="none"/>
        </w:rPr>
      </w:pPr>
    </w:p>
    <w:p w14:paraId="2EBCA49A">
      <w:pPr>
        <w:shd w:val="clear" w:color="auto"/>
        <w:jc w:val="center"/>
        <w:rPr>
          <w:rFonts w:hint="eastAsia" w:hAnsi="宋体" w:cs="宋体"/>
          <w:b/>
          <w:color w:val="auto"/>
          <w:sz w:val="36"/>
          <w:szCs w:val="36"/>
          <w:highlight w:val="none"/>
        </w:rPr>
      </w:pPr>
      <w:r>
        <w:rPr>
          <w:rFonts w:hint="eastAsia" w:hAnsi="宋体" w:cs="宋体"/>
          <w:color w:val="auto"/>
          <w:highlight w:val="none"/>
        </w:rPr>
        <w:t>目        录</w:t>
      </w:r>
      <w:bookmarkStart w:id="0" w:name="_Toc237182500"/>
    </w:p>
    <w:p w14:paraId="38BD28DF">
      <w:pPr>
        <w:pStyle w:val="34"/>
        <w:tabs>
          <w:tab w:val="right" w:leader="dot" w:pos="9746"/>
        </w:tabs>
      </w:pPr>
      <w:r>
        <w:rPr>
          <w:rFonts w:hint="eastAsia" w:ascii="宋体" w:hAnsi="宋体" w:cs="宋体"/>
          <w:b w:val="0"/>
          <w:bCs w:val="0"/>
          <w:color w:val="auto"/>
          <w:sz w:val="21"/>
          <w:szCs w:val="21"/>
          <w:highlight w:val="none"/>
        </w:rPr>
        <w:fldChar w:fldCharType="begin" w:fldLock="1"/>
      </w:r>
      <w:r>
        <w:rPr>
          <w:rFonts w:hint="eastAsia" w:ascii="宋体" w:hAnsi="宋体" w:cs="宋体"/>
          <w:b w:val="0"/>
          <w:bCs w:val="0"/>
          <w:color w:val="auto"/>
          <w:sz w:val="21"/>
          <w:szCs w:val="21"/>
          <w:highlight w:val="none"/>
        </w:rPr>
        <w:instrText xml:space="preserve"> TOC \o "1-3" \h \z \u </w:instrText>
      </w:r>
      <w:r>
        <w:rPr>
          <w:rFonts w:hint="eastAsia" w:ascii="宋体" w:hAnsi="宋体" w:cs="宋体"/>
          <w:b w:val="0"/>
          <w:bCs w:val="0"/>
          <w:color w:val="auto"/>
          <w:sz w:val="21"/>
          <w:szCs w:val="21"/>
          <w:highlight w:val="none"/>
        </w:rPr>
        <w:fldChar w:fldCharType="separate"/>
      </w:r>
      <w:r>
        <w:rPr>
          <w:rFonts w:hint="eastAsia" w:ascii="宋体" w:hAnsi="宋体" w:cs="宋体"/>
          <w:bCs w:val="0"/>
          <w:color w:val="auto"/>
          <w:szCs w:val="21"/>
          <w:highlight w:val="none"/>
        </w:rPr>
        <w:fldChar w:fldCharType="begin" w:fldLock="1"/>
      </w:r>
      <w:r>
        <w:rPr>
          <w:rFonts w:hint="eastAsia" w:ascii="宋体" w:hAnsi="宋体" w:cs="宋体"/>
          <w:bCs w:val="0"/>
          <w:szCs w:val="21"/>
          <w:highlight w:val="none"/>
        </w:rPr>
        <w:instrText xml:space="preserve"> HYPERLINK \l _Toc6492 </w:instrText>
      </w:r>
      <w:r>
        <w:rPr>
          <w:rFonts w:hint="eastAsia" w:ascii="宋体" w:hAnsi="宋体" w:cs="宋体"/>
          <w:bCs w:val="0"/>
          <w:szCs w:val="21"/>
          <w:highlight w:val="none"/>
        </w:rPr>
        <w:fldChar w:fldCharType="separate"/>
      </w:r>
      <w:r>
        <w:rPr>
          <w:rFonts w:hint="eastAsia" w:ascii="宋体" w:hAnsi="宋体" w:cs="宋体"/>
          <w:szCs w:val="30"/>
          <w:highlight w:val="none"/>
        </w:rPr>
        <w:t>第一章  公开招标采购公告</w:t>
      </w:r>
      <w:r>
        <w:tab/>
      </w:r>
      <w:r>
        <w:fldChar w:fldCharType="begin"/>
      </w:r>
      <w:r>
        <w:instrText xml:space="preserve"> PAGEREF _Toc6492 \h </w:instrText>
      </w:r>
      <w:r>
        <w:fldChar w:fldCharType="separate"/>
      </w:r>
      <w:r>
        <w:t>1</w:t>
      </w:r>
      <w:r>
        <w:fldChar w:fldCharType="end"/>
      </w:r>
      <w:r>
        <w:rPr>
          <w:rFonts w:hint="eastAsia" w:ascii="宋体" w:hAnsi="宋体" w:cs="宋体"/>
          <w:bCs w:val="0"/>
          <w:color w:val="auto"/>
          <w:szCs w:val="21"/>
          <w:highlight w:val="none"/>
        </w:rPr>
        <w:fldChar w:fldCharType="end"/>
      </w:r>
    </w:p>
    <w:p w14:paraId="6F92FA00">
      <w:pPr>
        <w:pStyle w:val="34"/>
        <w:tabs>
          <w:tab w:val="right" w:leader="dot" w:pos="9746"/>
        </w:tabs>
      </w:pPr>
      <w:r>
        <w:rPr>
          <w:rFonts w:hint="eastAsia" w:hAnsi="宋体" w:cs="宋体"/>
          <w:bCs/>
          <w:color w:val="auto"/>
          <w:szCs w:val="21"/>
          <w:highlight w:val="none"/>
        </w:rPr>
        <w:fldChar w:fldCharType="begin"/>
      </w:r>
      <w:r>
        <w:rPr>
          <w:rFonts w:hint="eastAsia" w:hAnsi="宋体" w:cs="宋体"/>
          <w:bCs/>
          <w:szCs w:val="21"/>
          <w:highlight w:val="none"/>
        </w:rPr>
        <w:instrText xml:space="preserve"> HYPERLINK \l _Toc20758 </w:instrText>
      </w:r>
      <w:r>
        <w:rPr>
          <w:rFonts w:hint="eastAsia" w:hAnsi="宋体" w:cs="宋体"/>
          <w:bCs/>
          <w:szCs w:val="21"/>
          <w:highlight w:val="none"/>
        </w:rPr>
        <w:fldChar w:fldCharType="separate"/>
      </w:r>
      <w:r>
        <w:rPr>
          <w:rFonts w:hint="eastAsia" w:ascii="宋体" w:hAnsi="宋体" w:cs="宋体"/>
          <w:szCs w:val="30"/>
          <w:highlight w:val="none"/>
        </w:rPr>
        <w:t>第二章  招标需求</w:t>
      </w:r>
      <w:r>
        <w:tab/>
      </w:r>
      <w:r>
        <w:fldChar w:fldCharType="begin"/>
      </w:r>
      <w:r>
        <w:instrText xml:space="preserve"> PAGEREF _Toc20758 \h </w:instrText>
      </w:r>
      <w:r>
        <w:fldChar w:fldCharType="separate"/>
      </w:r>
      <w:r>
        <w:t>7</w:t>
      </w:r>
      <w:r>
        <w:fldChar w:fldCharType="end"/>
      </w:r>
      <w:r>
        <w:rPr>
          <w:rFonts w:hint="eastAsia" w:hAnsi="宋体" w:cs="宋体"/>
          <w:bCs/>
          <w:color w:val="auto"/>
          <w:szCs w:val="21"/>
          <w:highlight w:val="none"/>
        </w:rPr>
        <w:fldChar w:fldCharType="end"/>
      </w:r>
    </w:p>
    <w:p w14:paraId="2AC24FB3">
      <w:pPr>
        <w:pStyle w:val="34"/>
        <w:tabs>
          <w:tab w:val="right" w:leader="dot" w:pos="9746"/>
        </w:tabs>
      </w:pPr>
      <w:r>
        <w:rPr>
          <w:rFonts w:hint="eastAsia" w:hAnsi="宋体" w:cs="宋体"/>
          <w:bCs/>
          <w:color w:val="auto"/>
          <w:szCs w:val="21"/>
          <w:highlight w:val="none"/>
        </w:rPr>
        <w:fldChar w:fldCharType="begin"/>
      </w:r>
      <w:r>
        <w:rPr>
          <w:rFonts w:hint="eastAsia" w:hAnsi="宋体" w:cs="宋体"/>
          <w:bCs/>
          <w:szCs w:val="21"/>
          <w:highlight w:val="none"/>
        </w:rPr>
        <w:instrText xml:space="preserve"> HYPERLINK \l _Toc27060 </w:instrText>
      </w:r>
      <w:r>
        <w:rPr>
          <w:rFonts w:hint="eastAsia" w:hAnsi="宋体" w:cs="宋体"/>
          <w:bCs/>
          <w:szCs w:val="21"/>
          <w:highlight w:val="none"/>
        </w:rPr>
        <w:fldChar w:fldCharType="separate"/>
      </w:r>
      <w:r>
        <w:rPr>
          <w:rFonts w:hint="eastAsia" w:hAnsi="宋体" w:cs="宋体"/>
          <w:szCs w:val="30"/>
          <w:highlight w:val="none"/>
        </w:rPr>
        <w:t>第三章  投标人须知</w:t>
      </w:r>
      <w:r>
        <w:tab/>
      </w:r>
      <w:r>
        <w:fldChar w:fldCharType="begin"/>
      </w:r>
      <w:r>
        <w:instrText xml:space="preserve"> PAGEREF _Toc27060 \h </w:instrText>
      </w:r>
      <w:r>
        <w:fldChar w:fldCharType="separate"/>
      </w:r>
      <w:r>
        <w:t>12</w:t>
      </w:r>
      <w:r>
        <w:fldChar w:fldCharType="end"/>
      </w:r>
      <w:r>
        <w:rPr>
          <w:rFonts w:hint="eastAsia" w:hAnsi="宋体" w:cs="宋体"/>
          <w:bCs/>
          <w:color w:val="auto"/>
          <w:szCs w:val="21"/>
          <w:highlight w:val="none"/>
        </w:rPr>
        <w:fldChar w:fldCharType="end"/>
      </w:r>
    </w:p>
    <w:p w14:paraId="6648FBB0">
      <w:pPr>
        <w:pStyle w:val="34"/>
        <w:tabs>
          <w:tab w:val="right" w:leader="dot" w:pos="9746"/>
        </w:tabs>
      </w:pPr>
      <w:r>
        <w:rPr>
          <w:rFonts w:hint="eastAsia" w:hAnsi="宋体" w:cs="宋体"/>
          <w:bCs/>
          <w:color w:val="auto"/>
          <w:szCs w:val="21"/>
          <w:highlight w:val="none"/>
        </w:rPr>
        <w:fldChar w:fldCharType="begin"/>
      </w:r>
      <w:r>
        <w:rPr>
          <w:rFonts w:hint="eastAsia" w:hAnsi="宋体" w:cs="宋体"/>
          <w:bCs/>
          <w:szCs w:val="21"/>
          <w:highlight w:val="none"/>
        </w:rPr>
        <w:instrText xml:space="preserve"> HYPERLINK \l _Toc13546 </w:instrText>
      </w:r>
      <w:r>
        <w:rPr>
          <w:rFonts w:hint="eastAsia" w:hAnsi="宋体" w:cs="宋体"/>
          <w:bCs/>
          <w:szCs w:val="21"/>
          <w:highlight w:val="none"/>
        </w:rPr>
        <w:fldChar w:fldCharType="separate"/>
      </w:r>
      <w:r>
        <w:rPr>
          <w:rFonts w:hint="eastAsia" w:ascii="宋体" w:hAnsi="宋体" w:cs="宋体"/>
          <w:szCs w:val="30"/>
          <w:highlight w:val="none"/>
        </w:rPr>
        <w:t>前附表</w:t>
      </w:r>
      <w:r>
        <w:tab/>
      </w:r>
      <w:r>
        <w:fldChar w:fldCharType="begin"/>
      </w:r>
      <w:r>
        <w:instrText xml:space="preserve"> PAGEREF _Toc13546 \h </w:instrText>
      </w:r>
      <w:r>
        <w:fldChar w:fldCharType="separate"/>
      </w:r>
      <w:r>
        <w:t>12</w:t>
      </w:r>
      <w:r>
        <w:fldChar w:fldCharType="end"/>
      </w:r>
      <w:r>
        <w:rPr>
          <w:rFonts w:hint="eastAsia" w:hAnsi="宋体" w:cs="宋体"/>
          <w:bCs/>
          <w:color w:val="auto"/>
          <w:szCs w:val="21"/>
          <w:highlight w:val="none"/>
        </w:rPr>
        <w:fldChar w:fldCharType="end"/>
      </w:r>
    </w:p>
    <w:p w14:paraId="18065B94">
      <w:pPr>
        <w:pStyle w:val="34"/>
        <w:tabs>
          <w:tab w:val="right" w:leader="dot" w:pos="9746"/>
        </w:tabs>
      </w:pPr>
      <w:r>
        <w:rPr>
          <w:rFonts w:hint="eastAsia" w:hAnsi="宋体" w:cs="宋体"/>
          <w:bCs/>
          <w:color w:val="auto"/>
          <w:szCs w:val="21"/>
          <w:highlight w:val="none"/>
        </w:rPr>
        <w:fldChar w:fldCharType="begin"/>
      </w:r>
      <w:r>
        <w:rPr>
          <w:rFonts w:hint="eastAsia" w:hAnsi="宋体" w:cs="宋体"/>
          <w:bCs/>
          <w:szCs w:val="21"/>
          <w:highlight w:val="none"/>
        </w:rPr>
        <w:instrText xml:space="preserve"> HYPERLINK \l _Toc22214 </w:instrText>
      </w:r>
      <w:r>
        <w:rPr>
          <w:rFonts w:hint="eastAsia" w:hAnsi="宋体" w:cs="宋体"/>
          <w:bCs/>
          <w:szCs w:val="21"/>
          <w:highlight w:val="none"/>
        </w:rPr>
        <w:fldChar w:fldCharType="separate"/>
      </w:r>
      <w:r>
        <w:rPr>
          <w:rFonts w:hint="eastAsia" w:hAnsi="宋体" w:cs="宋体"/>
          <w:bCs/>
          <w:szCs w:val="30"/>
          <w:highlight w:val="none"/>
        </w:rPr>
        <w:t>第四章  评标办法及评分标准</w:t>
      </w:r>
      <w:r>
        <w:tab/>
      </w:r>
      <w:r>
        <w:fldChar w:fldCharType="begin"/>
      </w:r>
      <w:r>
        <w:instrText xml:space="preserve"> PAGEREF _Toc22214 \h </w:instrText>
      </w:r>
      <w:r>
        <w:fldChar w:fldCharType="separate"/>
      </w:r>
      <w:r>
        <w:t>30</w:t>
      </w:r>
      <w:r>
        <w:fldChar w:fldCharType="end"/>
      </w:r>
      <w:r>
        <w:rPr>
          <w:rFonts w:hint="eastAsia" w:hAnsi="宋体" w:cs="宋体"/>
          <w:bCs/>
          <w:color w:val="auto"/>
          <w:szCs w:val="21"/>
          <w:highlight w:val="none"/>
        </w:rPr>
        <w:fldChar w:fldCharType="end"/>
      </w:r>
    </w:p>
    <w:p w14:paraId="1B415FCE">
      <w:pPr>
        <w:pStyle w:val="34"/>
        <w:tabs>
          <w:tab w:val="right" w:leader="dot" w:pos="9746"/>
        </w:tabs>
      </w:pPr>
      <w:r>
        <w:rPr>
          <w:rFonts w:hint="eastAsia" w:hAnsi="宋体" w:cs="宋体"/>
          <w:bCs/>
          <w:color w:val="auto"/>
          <w:szCs w:val="21"/>
          <w:highlight w:val="none"/>
        </w:rPr>
        <w:fldChar w:fldCharType="begin"/>
      </w:r>
      <w:r>
        <w:rPr>
          <w:rFonts w:hint="eastAsia" w:hAnsi="宋体" w:cs="宋体"/>
          <w:bCs/>
          <w:szCs w:val="21"/>
          <w:highlight w:val="none"/>
        </w:rPr>
        <w:instrText xml:space="preserve"> HYPERLINK \l _Toc24235 </w:instrText>
      </w:r>
      <w:r>
        <w:rPr>
          <w:rFonts w:hint="eastAsia" w:hAnsi="宋体" w:cs="宋体"/>
          <w:bCs/>
          <w:szCs w:val="21"/>
          <w:highlight w:val="none"/>
        </w:rPr>
        <w:fldChar w:fldCharType="separate"/>
      </w:r>
      <w:r>
        <w:rPr>
          <w:rFonts w:hint="eastAsia" w:hAnsi="宋体" w:cs="宋体"/>
          <w:bCs/>
          <w:szCs w:val="30"/>
          <w:highlight w:val="none"/>
        </w:rPr>
        <w:t>第五章  合同文本</w:t>
      </w:r>
      <w:r>
        <w:tab/>
      </w:r>
      <w:r>
        <w:fldChar w:fldCharType="begin"/>
      </w:r>
      <w:r>
        <w:instrText xml:space="preserve"> PAGEREF _Toc24235 \h </w:instrText>
      </w:r>
      <w:r>
        <w:fldChar w:fldCharType="separate"/>
      </w:r>
      <w:r>
        <w:t>38</w:t>
      </w:r>
      <w:r>
        <w:fldChar w:fldCharType="end"/>
      </w:r>
      <w:r>
        <w:rPr>
          <w:rFonts w:hint="eastAsia" w:hAnsi="宋体" w:cs="宋体"/>
          <w:bCs/>
          <w:color w:val="auto"/>
          <w:szCs w:val="21"/>
          <w:highlight w:val="none"/>
        </w:rPr>
        <w:fldChar w:fldCharType="end"/>
      </w:r>
    </w:p>
    <w:p w14:paraId="4DA02A05">
      <w:pPr>
        <w:pStyle w:val="34"/>
        <w:tabs>
          <w:tab w:val="right" w:leader="dot" w:pos="9746"/>
        </w:tabs>
      </w:pPr>
      <w:r>
        <w:rPr>
          <w:rFonts w:hint="eastAsia" w:hAnsi="宋体" w:cs="宋体"/>
          <w:bCs/>
          <w:color w:val="auto"/>
          <w:szCs w:val="21"/>
          <w:highlight w:val="none"/>
        </w:rPr>
        <w:fldChar w:fldCharType="begin"/>
      </w:r>
      <w:r>
        <w:rPr>
          <w:rFonts w:hint="eastAsia" w:hAnsi="宋体" w:cs="宋体"/>
          <w:bCs/>
          <w:szCs w:val="21"/>
          <w:highlight w:val="none"/>
        </w:rPr>
        <w:instrText xml:space="preserve"> HYPERLINK \l _Toc22209 </w:instrText>
      </w:r>
      <w:r>
        <w:rPr>
          <w:rFonts w:hint="eastAsia" w:hAnsi="宋体" w:cs="宋体"/>
          <w:bCs/>
          <w:szCs w:val="21"/>
          <w:highlight w:val="none"/>
        </w:rPr>
        <w:fldChar w:fldCharType="separate"/>
      </w:r>
      <w:r>
        <w:rPr>
          <w:rFonts w:hint="eastAsia" w:ascii="宋体" w:hAnsi="宋体" w:cs="宋体"/>
          <w:szCs w:val="30"/>
          <w:highlight w:val="none"/>
        </w:rPr>
        <w:t>第六章　投标文件格式</w:t>
      </w:r>
      <w:r>
        <w:tab/>
      </w:r>
      <w:r>
        <w:fldChar w:fldCharType="begin"/>
      </w:r>
      <w:r>
        <w:instrText xml:space="preserve"> PAGEREF _Toc22209 \h </w:instrText>
      </w:r>
      <w:r>
        <w:fldChar w:fldCharType="separate"/>
      </w:r>
      <w:r>
        <w:t>41</w:t>
      </w:r>
      <w:r>
        <w:fldChar w:fldCharType="end"/>
      </w:r>
      <w:r>
        <w:rPr>
          <w:rFonts w:hint="eastAsia" w:hAnsi="宋体" w:cs="宋体"/>
          <w:bCs/>
          <w:color w:val="auto"/>
          <w:szCs w:val="21"/>
          <w:highlight w:val="none"/>
        </w:rPr>
        <w:fldChar w:fldCharType="end"/>
      </w:r>
    </w:p>
    <w:p w14:paraId="5DE98C50">
      <w:pPr>
        <w:shd w:val="clear" w:color="auto"/>
        <w:spacing w:line="380" w:lineRule="exact"/>
        <w:ind w:firstLine="340" w:firstLineChars="100"/>
        <w:jc w:val="both"/>
        <w:rPr>
          <w:rFonts w:hint="eastAsia" w:hAnsi="宋体" w:cs="宋体"/>
          <w:b/>
          <w:bCs/>
          <w:color w:val="auto"/>
          <w:sz w:val="21"/>
          <w:szCs w:val="21"/>
          <w:highlight w:val="none"/>
        </w:rPr>
      </w:pPr>
      <w:r>
        <w:rPr>
          <w:rFonts w:hint="eastAsia" w:hAnsi="宋体" w:cs="宋体"/>
          <w:bCs/>
          <w:color w:val="auto"/>
          <w:szCs w:val="21"/>
          <w:highlight w:val="none"/>
        </w:rPr>
        <w:fldChar w:fldCharType="end"/>
      </w:r>
    </w:p>
    <w:p w14:paraId="45743EBE">
      <w:pPr>
        <w:pStyle w:val="26"/>
        <w:pBdr>
          <w:top w:val="single" w:color="auto" w:sz="4" w:space="1"/>
          <w:left w:val="single" w:color="auto" w:sz="4" w:space="4"/>
          <w:bottom w:val="single" w:color="auto" w:sz="4" w:space="1"/>
          <w:right w:val="single" w:color="auto" w:sz="4" w:space="4"/>
        </w:pBdr>
        <w:shd w:val="clear" w:color="auto"/>
        <w:snapToGrid w:val="0"/>
        <w:spacing w:line="460" w:lineRule="exact"/>
        <w:ind w:firstLine="422" w:firstLineChars="200"/>
        <w:rPr>
          <w:rFonts w:hint="eastAsia" w:ascii="宋体" w:hAnsi="宋体" w:cs="宋体"/>
          <w:b/>
          <w:color w:val="auto"/>
          <w:sz w:val="21"/>
          <w:highlight w:val="none"/>
        </w:rPr>
      </w:pPr>
      <w:r>
        <w:rPr>
          <w:rFonts w:hint="eastAsia" w:ascii="宋体" w:hAnsi="宋体" w:cs="宋体"/>
          <w:b/>
          <w:color w:val="auto"/>
          <w:sz w:val="21"/>
          <w:highlight w:val="none"/>
        </w:rPr>
        <w:t>为确保招投标活动的公开、公平、公正，切实维护各方合法权益，凡在招标投标、开标评标过程中，受到敲诈、勒索或发现围标串标、虚假投标、恶意竞标等涉黑涉恶线索者，请及时保留相关证据并向有关部门举报！</w:t>
      </w:r>
    </w:p>
    <w:p w14:paraId="59ECAC74">
      <w:pPr>
        <w:pStyle w:val="26"/>
        <w:pBdr>
          <w:top w:val="single" w:color="auto" w:sz="4" w:space="1"/>
          <w:left w:val="single" w:color="auto" w:sz="4" w:space="4"/>
          <w:bottom w:val="single" w:color="auto" w:sz="4" w:space="1"/>
          <w:right w:val="single" w:color="auto" w:sz="4" w:space="4"/>
        </w:pBdr>
        <w:shd w:val="clear" w:color="auto"/>
        <w:snapToGrid w:val="0"/>
        <w:spacing w:line="460" w:lineRule="exact"/>
        <w:ind w:firstLine="422" w:firstLineChars="200"/>
        <w:rPr>
          <w:rFonts w:hint="eastAsia" w:ascii="宋体" w:hAnsi="宋体" w:cs="宋体"/>
          <w:b/>
          <w:color w:val="auto"/>
          <w:sz w:val="21"/>
          <w:highlight w:val="none"/>
        </w:rPr>
      </w:pPr>
      <w:r>
        <w:rPr>
          <w:rFonts w:hint="eastAsia" w:ascii="宋体" w:hAnsi="宋体" w:cs="宋体"/>
          <w:b/>
          <w:color w:val="auto"/>
          <w:sz w:val="21"/>
          <w:highlight w:val="none"/>
        </w:rPr>
        <w:t>举报电话：</w:t>
      </w:r>
    </w:p>
    <w:p w14:paraId="4AA5D85E">
      <w:pPr>
        <w:pStyle w:val="26"/>
        <w:pBdr>
          <w:top w:val="single" w:color="auto" w:sz="4" w:space="1"/>
          <w:left w:val="single" w:color="auto" w:sz="4" w:space="4"/>
          <w:bottom w:val="single" w:color="auto" w:sz="4" w:space="1"/>
          <w:right w:val="single" w:color="auto" w:sz="4" w:space="4"/>
        </w:pBdr>
        <w:shd w:val="clear" w:color="auto"/>
        <w:snapToGrid w:val="0"/>
        <w:spacing w:line="460" w:lineRule="exact"/>
        <w:ind w:firstLine="422" w:firstLineChars="200"/>
        <w:rPr>
          <w:rFonts w:hint="eastAsia" w:ascii="宋体" w:hAnsi="宋体" w:cs="宋体"/>
          <w:b/>
          <w:color w:val="auto"/>
          <w:sz w:val="21"/>
          <w:highlight w:val="none"/>
        </w:rPr>
      </w:pPr>
      <w:r>
        <w:rPr>
          <w:rFonts w:hint="eastAsia" w:ascii="宋体" w:hAnsi="宋体" w:cs="宋体"/>
          <w:b/>
          <w:color w:val="auto"/>
          <w:sz w:val="21"/>
          <w:highlight w:val="none"/>
        </w:rPr>
        <w:t>市扫黑办  0579-82495227</w:t>
      </w:r>
    </w:p>
    <w:p w14:paraId="389AC257">
      <w:pPr>
        <w:pStyle w:val="26"/>
        <w:pBdr>
          <w:top w:val="single" w:color="auto" w:sz="4" w:space="1"/>
          <w:left w:val="single" w:color="auto" w:sz="4" w:space="4"/>
          <w:bottom w:val="single" w:color="auto" w:sz="4" w:space="1"/>
          <w:right w:val="single" w:color="auto" w:sz="4" w:space="4"/>
        </w:pBdr>
        <w:shd w:val="clear" w:color="auto"/>
        <w:snapToGrid w:val="0"/>
        <w:spacing w:line="460" w:lineRule="exact"/>
        <w:ind w:firstLine="422" w:firstLineChars="200"/>
        <w:rPr>
          <w:rFonts w:hint="eastAsia" w:ascii="宋体" w:hAnsi="宋体" w:cs="宋体"/>
          <w:b/>
          <w:color w:val="auto"/>
          <w:sz w:val="21"/>
          <w:highlight w:val="none"/>
        </w:rPr>
      </w:pPr>
      <w:r>
        <w:rPr>
          <w:rFonts w:hint="eastAsia" w:ascii="宋体" w:hAnsi="宋体" w:cs="宋体"/>
          <w:b/>
          <w:color w:val="auto"/>
          <w:sz w:val="21"/>
          <w:highlight w:val="none"/>
        </w:rPr>
        <w:t>市公安局  110、0579-82512110</w:t>
      </w:r>
    </w:p>
    <w:p w14:paraId="0289E896">
      <w:pPr>
        <w:pStyle w:val="26"/>
        <w:pBdr>
          <w:top w:val="single" w:color="auto" w:sz="4" w:space="1"/>
          <w:left w:val="single" w:color="auto" w:sz="4" w:space="4"/>
          <w:bottom w:val="single" w:color="auto" w:sz="4" w:space="1"/>
          <w:right w:val="single" w:color="auto" w:sz="4" w:space="4"/>
        </w:pBdr>
        <w:shd w:val="clear" w:color="auto"/>
        <w:snapToGrid w:val="0"/>
        <w:spacing w:line="460" w:lineRule="exact"/>
        <w:ind w:firstLine="422" w:firstLineChars="200"/>
        <w:rPr>
          <w:rFonts w:hint="eastAsia" w:ascii="宋体" w:hAnsi="宋体" w:cs="宋体"/>
          <w:b/>
          <w:color w:val="auto"/>
          <w:sz w:val="21"/>
          <w:highlight w:val="none"/>
        </w:rPr>
      </w:pPr>
      <w:r>
        <w:rPr>
          <w:rFonts w:hint="eastAsia" w:ascii="宋体" w:hAnsi="宋体" w:cs="宋体"/>
          <w:b/>
          <w:color w:val="auto"/>
          <w:sz w:val="21"/>
          <w:highlight w:val="none"/>
        </w:rPr>
        <w:t>市检察院  0579-82537082</w:t>
      </w:r>
    </w:p>
    <w:p w14:paraId="710A4362">
      <w:pPr>
        <w:pStyle w:val="26"/>
        <w:pBdr>
          <w:top w:val="single" w:color="auto" w:sz="4" w:space="1"/>
          <w:left w:val="single" w:color="auto" w:sz="4" w:space="4"/>
          <w:bottom w:val="single" w:color="auto" w:sz="4" w:space="1"/>
          <w:right w:val="single" w:color="auto" w:sz="4" w:space="4"/>
        </w:pBdr>
        <w:shd w:val="clear" w:color="auto"/>
        <w:snapToGrid w:val="0"/>
        <w:spacing w:line="460" w:lineRule="exact"/>
        <w:ind w:firstLine="422" w:firstLineChars="200"/>
        <w:rPr>
          <w:rFonts w:hint="eastAsia" w:ascii="宋体" w:hAnsi="宋体" w:cs="宋体"/>
          <w:b/>
          <w:color w:val="auto"/>
          <w:sz w:val="21"/>
          <w:highlight w:val="none"/>
        </w:rPr>
      </w:pPr>
      <w:r>
        <w:rPr>
          <w:rFonts w:hint="eastAsia" w:ascii="宋体" w:hAnsi="宋体" w:cs="宋体"/>
          <w:b/>
          <w:color w:val="auto"/>
          <w:sz w:val="21"/>
          <w:highlight w:val="none"/>
        </w:rPr>
        <w:t>市 法 院  0579-82688725</w:t>
      </w:r>
    </w:p>
    <w:p w14:paraId="1F921073">
      <w:pPr>
        <w:pStyle w:val="26"/>
        <w:pBdr>
          <w:top w:val="single" w:color="auto" w:sz="4" w:space="1"/>
          <w:left w:val="single" w:color="auto" w:sz="4" w:space="4"/>
          <w:bottom w:val="single" w:color="auto" w:sz="4" w:space="1"/>
          <w:right w:val="single" w:color="auto" w:sz="4" w:space="4"/>
        </w:pBdr>
        <w:shd w:val="clear" w:color="auto"/>
        <w:snapToGrid w:val="0"/>
        <w:spacing w:line="460" w:lineRule="exact"/>
        <w:ind w:firstLine="422" w:firstLineChars="200"/>
        <w:rPr>
          <w:rFonts w:hint="eastAsia" w:ascii="宋体" w:hAnsi="宋体" w:cs="宋体"/>
          <w:b/>
          <w:color w:val="auto"/>
          <w:sz w:val="21"/>
          <w:highlight w:val="none"/>
        </w:rPr>
      </w:pPr>
      <w:r>
        <w:rPr>
          <w:rFonts w:hint="eastAsia" w:ascii="宋体" w:hAnsi="宋体" w:cs="宋体"/>
          <w:b/>
          <w:color w:val="auto"/>
          <w:sz w:val="21"/>
          <w:highlight w:val="none"/>
        </w:rPr>
        <w:t>市公共资源交易管理办公室  0579-82469285</w:t>
      </w:r>
    </w:p>
    <w:p w14:paraId="2C0FE499">
      <w:pPr>
        <w:pStyle w:val="26"/>
        <w:pBdr>
          <w:top w:val="single" w:color="auto" w:sz="4" w:space="1"/>
          <w:left w:val="single" w:color="auto" w:sz="4" w:space="4"/>
          <w:bottom w:val="single" w:color="auto" w:sz="4" w:space="1"/>
          <w:right w:val="single" w:color="auto" w:sz="4" w:space="4"/>
        </w:pBdr>
        <w:shd w:val="clear" w:color="auto"/>
        <w:snapToGrid w:val="0"/>
        <w:spacing w:line="460" w:lineRule="exact"/>
        <w:ind w:firstLine="422" w:firstLineChars="200"/>
        <w:rPr>
          <w:rFonts w:hint="eastAsia" w:ascii="宋体" w:hAnsi="宋体" w:cs="宋体"/>
          <w:b/>
          <w:bCs/>
          <w:color w:val="auto"/>
          <w:sz w:val="21"/>
          <w:highlight w:val="none"/>
        </w:rPr>
      </w:pPr>
      <w:r>
        <w:rPr>
          <w:rFonts w:hint="eastAsia" w:ascii="宋体" w:hAnsi="宋体" w:cs="宋体"/>
          <w:b/>
          <w:color w:val="auto"/>
          <w:sz w:val="21"/>
          <w:highlight w:val="none"/>
        </w:rPr>
        <w:t>市公共资源交易中心  0579-83187211</w:t>
      </w:r>
    </w:p>
    <w:p w14:paraId="300686F2">
      <w:pPr>
        <w:shd w:val="clear" w:color="auto"/>
        <w:spacing w:line="500" w:lineRule="exact"/>
        <w:ind w:firstLine="211" w:firstLineChars="100"/>
        <w:jc w:val="both"/>
        <w:rPr>
          <w:rFonts w:hint="eastAsia" w:hAnsi="宋体" w:cs="宋体"/>
          <w:b/>
          <w:color w:val="auto"/>
          <w:sz w:val="21"/>
          <w:szCs w:val="21"/>
          <w:highlight w:val="none"/>
        </w:rPr>
      </w:pPr>
      <w:r>
        <w:rPr>
          <w:rFonts w:hint="eastAsia" w:hAnsi="宋体" w:cs="宋体"/>
          <w:b/>
          <w:color w:val="auto"/>
          <w:sz w:val="21"/>
          <w:szCs w:val="21"/>
          <w:highlight w:val="none"/>
          <w:lang w:bidi="ar"/>
        </w:rPr>
        <w:t>投标供应商不得向</w:t>
      </w:r>
      <w:r>
        <w:rPr>
          <w:rFonts w:hint="eastAsia" w:hAnsi="宋体" w:cs="宋体"/>
          <w:b/>
          <w:color w:val="auto"/>
          <w:sz w:val="21"/>
          <w:szCs w:val="21"/>
          <w:highlight w:val="none"/>
          <w:lang w:eastAsia="zh-CN" w:bidi="ar"/>
        </w:rPr>
        <w:t>采购人</w:t>
      </w:r>
      <w:r>
        <w:rPr>
          <w:rFonts w:hint="eastAsia" w:hAnsi="宋体" w:cs="宋体"/>
          <w:b/>
          <w:color w:val="auto"/>
          <w:sz w:val="21"/>
          <w:szCs w:val="21"/>
          <w:highlight w:val="none"/>
          <w:lang w:bidi="ar"/>
        </w:rPr>
        <w:t>、政府采购工作人员、评标专家行贿，违者一经查实，将列入政府采购黑名单！</w:t>
      </w:r>
    </w:p>
    <w:p w14:paraId="0A934956">
      <w:pPr>
        <w:numPr>
          <w:ilvl w:val="0"/>
          <w:numId w:val="3"/>
        </w:numPr>
        <w:shd w:val="clear" w:color="auto"/>
        <w:spacing w:line="380" w:lineRule="exact"/>
        <w:jc w:val="both"/>
        <w:textAlignment w:val="baseline"/>
        <w:rPr>
          <w:rFonts w:hint="eastAsia" w:hAnsi="宋体" w:cs="宋体"/>
          <w:b/>
          <w:color w:val="auto"/>
          <w:sz w:val="21"/>
          <w:szCs w:val="21"/>
          <w:highlight w:val="none"/>
        </w:rPr>
      </w:pPr>
      <w:r>
        <w:rPr>
          <w:rFonts w:hint="eastAsia" w:hAnsi="宋体" w:cs="宋体"/>
          <w:b/>
          <w:color w:val="auto"/>
          <w:sz w:val="21"/>
          <w:szCs w:val="21"/>
          <w:highlight w:val="none"/>
          <w:lang w:bidi="ar"/>
        </w:rPr>
        <w:t>投标人须在政采云平台（http://zfcg.czt.zj.gov.cn/）进行免费注册，具体详见网站投标人注册要求，否则将可能无法上传投标文件。</w:t>
      </w:r>
    </w:p>
    <w:p w14:paraId="3FF0E01A">
      <w:pPr>
        <w:shd w:val="clear" w:color="auto"/>
        <w:spacing w:line="500" w:lineRule="exact"/>
        <w:ind w:firstLine="211" w:firstLineChars="100"/>
        <w:jc w:val="both"/>
        <w:rPr>
          <w:rFonts w:hint="eastAsia" w:hAnsi="宋体" w:cs="宋体"/>
          <w:b/>
          <w:bCs/>
          <w:color w:val="auto"/>
          <w:sz w:val="18"/>
          <w:szCs w:val="18"/>
          <w:highlight w:val="none"/>
        </w:rPr>
      </w:pPr>
      <w:r>
        <w:rPr>
          <w:rFonts w:hint="eastAsia" w:hAnsi="宋体" w:cs="宋体"/>
          <w:b/>
          <w:color w:val="auto"/>
          <w:sz w:val="21"/>
          <w:szCs w:val="21"/>
          <w:highlight w:val="none"/>
          <w:lang w:bidi="ar"/>
        </w:rPr>
        <w:t>（注：请认真阅读此招标文件，并按规定制作投标文件，否则我们的努力将是徒劳。）</w:t>
      </w:r>
    </w:p>
    <w:bookmarkEnd w:id="0"/>
    <w:p w14:paraId="4F55641A">
      <w:pPr>
        <w:shd w:val="clear" w:color="auto"/>
        <w:spacing w:line="500" w:lineRule="exact"/>
        <w:ind w:firstLine="340" w:firstLineChars="100"/>
        <w:jc w:val="both"/>
        <w:rPr>
          <w:rFonts w:hint="eastAsia" w:hAnsi="宋体" w:cs="宋体"/>
          <w:color w:val="auto"/>
          <w:highlight w:val="none"/>
        </w:rPr>
        <w:sectPr>
          <w:headerReference r:id="rId5" w:type="first"/>
          <w:footerReference r:id="rId7" w:type="first"/>
          <w:headerReference r:id="rId4" w:type="default"/>
          <w:footerReference r:id="rId6" w:type="default"/>
          <w:pgSz w:w="11906" w:h="16838"/>
          <w:pgMar w:top="1440" w:right="1080" w:bottom="1440" w:left="1080" w:header="567" w:footer="964" w:gutter="0"/>
          <w:pgNumType w:start="1"/>
          <w:cols w:space="720" w:num="1"/>
          <w:titlePg/>
          <w:docGrid w:type="lines" w:linePitch="634" w:charSpace="0"/>
        </w:sectPr>
      </w:pPr>
    </w:p>
    <w:p w14:paraId="06690B7D">
      <w:pPr>
        <w:pStyle w:val="4"/>
        <w:keepNext w:val="0"/>
        <w:shd w:val="clear" w:color="auto"/>
        <w:spacing w:line="500" w:lineRule="exact"/>
        <w:jc w:val="center"/>
        <w:rPr>
          <w:rFonts w:hint="eastAsia" w:ascii="宋体" w:hAnsi="宋体" w:cs="宋体"/>
          <w:color w:val="auto"/>
          <w:sz w:val="30"/>
          <w:szCs w:val="30"/>
          <w:highlight w:val="none"/>
        </w:rPr>
      </w:pPr>
      <w:bookmarkStart w:id="1" w:name="_Toc2667"/>
      <w:bookmarkStart w:id="2" w:name="_Toc6492"/>
      <w:bookmarkStart w:id="3" w:name="_Toc351559940"/>
      <w:bookmarkStart w:id="4" w:name="_Toc14100"/>
      <w:bookmarkStart w:id="5" w:name="_Toc6467"/>
      <w:bookmarkStart w:id="6" w:name="_Toc237176505"/>
      <w:bookmarkStart w:id="7" w:name="_Toc217289129"/>
      <w:bookmarkStart w:id="8" w:name="_Toc205638623"/>
      <w:bookmarkStart w:id="9" w:name="_Toc184785918"/>
      <w:r>
        <w:rPr>
          <w:rFonts w:hint="eastAsia" w:ascii="宋体" w:hAnsi="宋体" w:cs="宋体"/>
          <w:color w:val="auto"/>
          <w:sz w:val="30"/>
          <w:szCs w:val="30"/>
          <w:highlight w:val="none"/>
        </w:rPr>
        <w:t>第一章  公开招标采购公告</w:t>
      </w:r>
      <w:bookmarkEnd w:id="1"/>
      <w:bookmarkEnd w:id="2"/>
      <w:bookmarkEnd w:id="3"/>
      <w:bookmarkEnd w:id="4"/>
      <w:bookmarkEnd w:id="5"/>
    </w:p>
    <w:p w14:paraId="3F92646A">
      <w:pPr>
        <w:pBdr>
          <w:top w:val="single" w:color="auto" w:sz="4" w:space="1"/>
          <w:left w:val="single" w:color="auto" w:sz="4" w:space="4"/>
          <w:bottom w:val="single" w:color="auto" w:sz="4" w:space="1"/>
          <w:right w:val="single" w:color="auto" w:sz="4" w:space="4"/>
        </w:pBdr>
        <w:shd w:val="clear" w:color="auto"/>
        <w:spacing w:line="460" w:lineRule="exact"/>
        <w:ind w:firstLine="420" w:firstLineChars="200"/>
        <w:rPr>
          <w:rFonts w:hint="eastAsia" w:hAnsi="宋体" w:cs="宋体"/>
          <w:color w:val="auto"/>
          <w:sz w:val="21"/>
          <w:szCs w:val="21"/>
          <w:highlight w:val="none"/>
        </w:rPr>
      </w:pPr>
      <w:r>
        <w:rPr>
          <w:rFonts w:hint="eastAsia" w:hAnsi="宋体" w:cs="宋体"/>
          <w:color w:val="auto"/>
          <w:sz w:val="21"/>
          <w:szCs w:val="21"/>
          <w:highlight w:val="none"/>
        </w:rPr>
        <w:t>项目概况</w:t>
      </w:r>
    </w:p>
    <w:p w14:paraId="6C8C22E2">
      <w:pPr>
        <w:pBdr>
          <w:top w:val="single" w:color="auto" w:sz="4" w:space="1"/>
          <w:left w:val="single" w:color="auto" w:sz="4" w:space="4"/>
          <w:bottom w:val="single" w:color="auto" w:sz="4" w:space="1"/>
          <w:right w:val="single" w:color="auto" w:sz="4" w:space="4"/>
        </w:pBdr>
        <w:shd w:val="clear" w:color="auto"/>
        <w:snapToGrid w:val="0"/>
        <w:spacing w:line="460" w:lineRule="exact"/>
        <w:ind w:firstLine="420" w:firstLineChars="200"/>
        <w:rPr>
          <w:rFonts w:hint="eastAsia" w:hAnsi="宋体" w:cs="宋体"/>
          <w:color w:val="auto"/>
          <w:sz w:val="21"/>
          <w:szCs w:val="21"/>
          <w:highlight w:val="none"/>
        </w:rPr>
      </w:pPr>
      <w:r>
        <w:rPr>
          <w:rFonts w:hint="eastAsia" w:hAnsi="宋体" w:cs="宋体"/>
          <w:color w:val="auto"/>
          <w:sz w:val="21"/>
          <w:szCs w:val="21"/>
          <w:highlight w:val="none"/>
          <w:lang w:eastAsia="zh-CN"/>
        </w:rPr>
        <w:t>2025-2026年婺城区农村人居环境长效管理第三方机构评估服务项目</w:t>
      </w:r>
      <w:r>
        <w:rPr>
          <w:rFonts w:hint="eastAsia" w:hAnsi="宋体" w:cs="宋体"/>
          <w:color w:val="auto"/>
          <w:sz w:val="21"/>
          <w:szCs w:val="21"/>
          <w:highlight w:val="none"/>
        </w:rPr>
        <w:t xml:space="preserve">的潜在投标人应在浙江省“政采云”平台获取招标文件，并于 </w:t>
      </w:r>
      <w:r>
        <w:rPr>
          <w:rFonts w:hint="eastAsia" w:hAnsi="宋体" w:cs="宋体"/>
          <w:color w:val="auto"/>
          <w:sz w:val="21"/>
          <w:szCs w:val="21"/>
          <w:highlight w:val="none"/>
          <w:lang w:eastAsia="zh-CN"/>
        </w:rPr>
        <w:t>2025</w:t>
      </w:r>
      <w:r>
        <w:rPr>
          <w:rFonts w:hint="eastAsia" w:hAnsi="宋体" w:cs="宋体"/>
          <w:bCs/>
          <w:color w:val="auto"/>
          <w:sz w:val="21"/>
          <w:szCs w:val="21"/>
          <w:highlight w:val="none"/>
        </w:rPr>
        <w:t>年</w:t>
      </w:r>
      <w:r>
        <w:rPr>
          <w:rFonts w:hint="eastAsia" w:hAnsi="宋体" w:cs="宋体"/>
          <w:bCs/>
          <w:color w:val="auto"/>
          <w:sz w:val="21"/>
          <w:szCs w:val="21"/>
          <w:highlight w:val="none"/>
          <w:lang w:val="en-US" w:eastAsia="zh-CN"/>
        </w:rPr>
        <w:t>4</w:t>
      </w:r>
      <w:r>
        <w:rPr>
          <w:rFonts w:hint="eastAsia" w:hAnsi="宋体" w:cs="宋体"/>
          <w:bCs/>
          <w:color w:val="auto"/>
          <w:sz w:val="21"/>
          <w:szCs w:val="21"/>
          <w:highlight w:val="none"/>
        </w:rPr>
        <w:t>月</w:t>
      </w:r>
      <w:r>
        <w:rPr>
          <w:rFonts w:hint="eastAsia" w:hAnsi="宋体" w:cs="宋体"/>
          <w:bCs/>
          <w:color w:val="auto"/>
          <w:sz w:val="21"/>
          <w:szCs w:val="21"/>
          <w:highlight w:val="none"/>
          <w:lang w:val="en-US" w:eastAsia="zh-CN"/>
        </w:rPr>
        <w:t>24</w:t>
      </w:r>
      <w:r>
        <w:rPr>
          <w:rFonts w:hint="eastAsia" w:hAnsi="宋体" w:cs="宋体"/>
          <w:bCs/>
          <w:color w:val="auto"/>
          <w:sz w:val="21"/>
          <w:szCs w:val="21"/>
          <w:highlight w:val="none"/>
        </w:rPr>
        <w:t>日</w:t>
      </w:r>
      <w:r>
        <w:rPr>
          <w:rFonts w:hint="eastAsia" w:hAnsi="宋体" w:cs="宋体"/>
          <w:bCs/>
          <w:color w:val="auto"/>
          <w:sz w:val="21"/>
          <w:szCs w:val="21"/>
          <w:highlight w:val="none"/>
          <w:lang w:val="en-US" w:eastAsia="zh-CN"/>
        </w:rPr>
        <w:t>14</w:t>
      </w:r>
      <w:r>
        <w:rPr>
          <w:rFonts w:hint="eastAsia" w:hAnsi="宋体" w:cs="宋体"/>
          <w:bCs/>
          <w:color w:val="auto"/>
          <w:sz w:val="21"/>
          <w:szCs w:val="21"/>
          <w:highlight w:val="none"/>
        </w:rPr>
        <w:t>点</w:t>
      </w:r>
      <w:r>
        <w:rPr>
          <w:rFonts w:hint="eastAsia" w:hAnsi="宋体" w:cs="宋体"/>
          <w:bCs/>
          <w:color w:val="auto"/>
          <w:sz w:val="21"/>
          <w:szCs w:val="21"/>
          <w:highlight w:val="none"/>
          <w:lang w:val="en-US" w:eastAsia="zh-CN"/>
        </w:rPr>
        <w:t>3</w:t>
      </w:r>
      <w:r>
        <w:rPr>
          <w:rFonts w:hint="eastAsia" w:hAnsi="宋体" w:cs="宋体"/>
          <w:bCs/>
          <w:color w:val="auto"/>
          <w:sz w:val="21"/>
          <w:szCs w:val="21"/>
          <w:highlight w:val="none"/>
        </w:rPr>
        <w:t>0分（北京时间）前上传投标文件</w:t>
      </w:r>
      <w:r>
        <w:rPr>
          <w:rFonts w:hint="eastAsia" w:hAnsi="宋体" w:cs="宋体"/>
          <w:color w:val="auto"/>
          <w:sz w:val="21"/>
          <w:szCs w:val="21"/>
          <w:highlight w:val="none"/>
        </w:rPr>
        <w:t>。</w:t>
      </w:r>
    </w:p>
    <w:p w14:paraId="43495DF0">
      <w:pPr>
        <w:keepNext w:val="0"/>
        <w:keepLines w:val="0"/>
        <w:pageBreakBefore w:val="0"/>
        <w:widowControl w:val="0"/>
        <w:shd w:val="clear" w:color="auto"/>
        <w:tabs>
          <w:tab w:val="left" w:pos="1260"/>
        </w:tabs>
        <w:kinsoku/>
        <w:wordWrap/>
        <w:overflowPunct/>
        <w:topLinePunct w:val="0"/>
        <w:autoSpaceDE/>
        <w:autoSpaceDN/>
        <w:bidi w:val="0"/>
        <w:adjustRightInd/>
        <w:snapToGrid w:val="0"/>
        <w:spacing w:line="500" w:lineRule="exact"/>
        <w:ind w:firstLine="422" w:firstLineChars="200"/>
        <w:jc w:val="both"/>
        <w:textAlignment w:val="auto"/>
        <w:rPr>
          <w:rFonts w:hint="eastAsia" w:hAnsi="宋体" w:cs="宋体"/>
          <w:b/>
          <w:color w:val="auto"/>
          <w:sz w:val="21"/>
          <w:szCs w:val="21"/>
          <w:highlight w:val="none"/>
        </w:rPr>
      </w:pPr>
      <w:bookmarkStart w:id="10" w:name="_Toc35393621"/>
      <w:bookmarkStart w:id="11" w:name="_Toc28359002"/>
      <w:bookmarkStart w:id="12" w:name="_Toc35393790"/>
      <w:bookmarkStart w:id="13" w:name="_Toc28359079"/>
      <w:bookmarkStart w:id="14" w:name="_Hlk24379207"/>
      <w:r>
        <w:rPr>
          <w:rFonts w:hint="eastAsia" w:hAnsi="宋体" w:cs="宋体"/>
          <w:b/>
          <w:color w:val="auto"/>
          <w:sz w:val="21"/>
          <w:szCs w:val="21"/>
          <w:highlight w:val="none"/>
        </w:rPr>
        <w:t>一、项目基本情况</w:t>
      </w:r>
      <w:bookmarkEnd w:id="10"/>
      <w:bookmarkEnd w:id="11"/>
      <w:bookmarkEnd w:id="12"/>
      <w:bookmarkEnd w:id="13"/>
    </w:p>
    <w:p w14:paraId="4059A8CB">
      <w:pPr>
        <w:keepNext w:val="0"/>
        <w:keepLines w:val="0"/>
        <w:pageBreakBefore w:val="0"/>
        <w:widowControl w:val="0"/>
        <w:shd w:val="clear" w:color="auto"/>
        <w:tabs>
          <w:tab w:val="left" w:pos="1260"/>
        </w:tabs>
        <w:kinsoku/>
        <w:wordWrap/>
        <w:overflowPunct/>
        <w:topLinePunct w:val="0"/>
        <w:autoSpaceDE/>
        <w:autoSpaceDN/>
        <w:bidi w:val="0"/>
        <w:adjustRightInd/>
        <w:snapToGrid w:val="0"/>
        <w:spacing w:line="500" w:lineRule="exact"/>
        <w:ind w:left="0" w:leftChars="0" w:firstLine="422" w:firstLineChars="200"/>
        <w:jc w:val="both"/>
        <w:textAlignment w:val="auto"/>
        <w:rPr>
          <w:rFonts w:hint="eastAsia" w:hAnsi="宋体" w:cs="宋体"/>
          <w:b w:val="0"/>
          <w:bCs/>
          <w:color w:val="auto"/>
          <w:sz w:val="21"/>
          <w:szCs w:val="21"/>
          <w:highlight w:val="none"/>
        </w:rPr>
      </w:pPr>
      <w:r>
        <w:rPr>
          <w:rFonts w:hint="eastAsia" w:hAnsi="宋体" w:cs="宋体"/>
          <w:b/>
          <w:color w:val="auto"/>
          <w:sz w:val="21"/>
          <w:szCs w:val="21"/>
          <w:highlight w:val="none"/>
        </w:rPr>
        <w:t>项目编号：</w:t>
      </w:r>
      <w:r>
        <w:rPr>
          <w:rFonts w:hint="eastAsia" w:hAnsi="宋体" w:cs="宋体"/>
          <w:b w:val="0"/>
          <w:bCs/>
          <w:color w:val="auto"/>
          <w:sz w:val="21"/>
          <w:szCs w:val="21"/>
          <w:highlight w:val="none"/>
          <w:lang w:eastAsia="zh-CN"/>
        </w:rPr>
        <w:t>TY2025-FW038-ZFCG038-1</w:t>
      </w:r>
      <w:r>
        <w:rPr>
          <w:rFonts w:hint="eastAsia" w:hAnsi="宋体" w:cs="宋体"/>
          <w:b w:val="0"/>
          <w:bCs/>
          <w:color w:val="auto"/>
          <w:sz w:val="21"/>
          <w:szCs w:val="21"/>
          <w:highlight w:val="none"/>
        </w:rPr>
        <w:t xml:space="preserve"> </w:t>
      </w:r>
    </w:p>
    <w:p w14:paraId="36DA5865">
      <w:pPr>
        <w:keepNext w:val="0"/>
        <w:keepLines w:val="0"/>
        <w:pageBreakBefore w:val="0"/>
        <w:widowControl w:val="0"/>
        <w:shd w:val="clear" w:color="auto"/>
        <w:tabs>
          <w:tab w:val="left" w:pos="1260"/>
        </w:tabs>
        <w:kinsoku/>
        <w:wordWrap/>
        <w:overflowPunct/>
        <w:topLinePunct w:val="0"/>
        <w:autoSpaceDE/>
        <w:autoSpaceDN/>
        <w:bidi w:val="0"/>
        <w:adjustRightInd/>
        <w:snapToGrid w:val="0"/>
        <w:spacing w:line="500" w:lineRule="exact"/>
        <w:ind w:left="0" w:leftChars="0" w:firstLine="422" w:firstLineChars="200"/>
        <w:jc w:val="both"/>
        <w:textAlignment w:val="auto"/>
        <w:rPr>
          <w:rFonts w:hint="eastAsia" w:hAnsi="宋体" w:cs="宋体"/>
          <w:b/>
          <w:color w:val="auto"/>
          <w:sz w:val="21"/>
          <w:szCs w:val="21"/>
          <w:highlight w:val="none"/>
        </w:rPr>
      </w:pPr>
      <w:r>
        <w:rPr>
          <w:rFonts w:hint="eastAsia" w:hAnsi="宋体" w:cs="宋体"/>
          <w:b/>
          <w:color w:val="auto"/>
          <w:sz w:val="21"/>
          <w:szCs w:val="21"/>
          <w:highlight w:val="none"/>
        </w:rPr>
        <w:t>政府采购计划文号</w:t>
      </w:r>
      <w:r>
        <w:rPr>
          <w:rFonts w:hint="eastAsia" w:ascii="宋体" w:hAnsi="宋体" w:eastAsia="宋体" w:cs="宋体"/>
          <w:b/>
          <w:color w:val="auto"/>
          <w:sz w:val="21"/>
          <w:szCs w:val="21"/>
          <w:highlight w:val="none"/>
          <w:lang w:eastAsia="zh-CN"/>
        </w:rPr>
        <w:t>：</w:t>
      </w:r>
      <w:r>
        <w:rPr>
          <w:rFonts w:hint="eastAsia" w:hAnsi="宋体" w:cs="宋体"/>
          <w:b w:val="0"/>
          <w:bCs/>
          <w:color w:val="auto"/>
          <w:sz w:val="21"/>
          <w:szCs w:val="21"/>
          <w:highlight w:val="none"/>
          <w:lang w:val="en-US" w:eastAsia="zh-CN"/>
        </w:rPr>
        <w:t>2025]95号</w:t>
      </w:r>
    </w:p>
    <w:p w14:paraId="0AA12A21">
      <w:pPr>
        <w:keepNext w:val="0"/>
        <w:keepLines w:val="0"/>
        <w:pageBreakBefore w:val="0"/>
        <w:widowControl w:val="0"/>
        <w:shd w:val="clear" w:color="auto"/>
        <w:tabs>
          <w:tab w:val="left" w:pos="1260"/>
        </w:tabs>
        <w:kinsoku/>
        <w:wordWrap/>
        <w:overflowPunct/>
        <w:topLinePunct w:val="0"/>
        <w:autoSpaceDE/>
        <w:autoSpaceDN/>
        <w:bidi w:val="0"/>
        <w:adjustRightInd/>
        <w:snapToGrid w:val="0"/>
        <w:spacing w:line="500" w:lineRule="exact"/>
        <w:ind w:left="0" w:leftChars="0" w:firstLine="422" w:firstLineChars="200"/>
        <w:jc w:val="both"/>
        <w:textAlignment w:val="auto"/>
        <w:rPr>
          <w:rFonts w:hint="eastAsia" w:hAnsi="宋体" w:cs="宋体"/>
          <w:b/>
          <w:color w:val="auto"/>
          <w:sz w:val="21"/>
          <w:szCs w:val="21"/>
          <w:highlight w:val="none"/>
        </w:rPr>
      </w:pPr>
      <w:r>
        <w:rPr>
          <w:rFonts w:hint="eastAsia" w:hAnsi="宋体" w:cs="宋体"/>
          <w:b/>
          <w:color w:val="auto"/>
          <w:sz w:val="21"/>
          <w:szCs w:val="21"/>
          <w:highlight w:val="none"/>
        </w:rPr>
        <w:t>采购组织类型：</w:t>
      </w:r>
      <w:r>
        <w:rPr>
          <w:rFonts w:hint="eastAsia" w:hAnsi="宋体" w:cs="宋体"/>
          <w:b w:val="0"/>
          <w:bCs/>
          <w:color w:val="auto"/>
          <w:sz w:val="21"/>
          <w:szCs w:val="21"/>
          <w:highlight w:val="none"/>
        </w:rPr>
        <w:t>分散采购委托代理</w:t>
      </w:r>
      <w:r>
        <w:rPr>
          <w:rFonts w:hint="eastAsia" w:hAnsi="宋体" w:cs="宋体"/>
          <w:b w:val="0"/>
          <w:bCs/>
          <w:color w:val="auto"/>
          <w:sz w:val="21"/>
          <w:szCs w:val="21"/>
          <w:highlight w:val="none"/>
        </w:rPr>
        <w:tab/>
      </w:r>
    </w:p>
    <w:p w14:paraId="65AF0FB6">
      <w:pPr>
        <w:keepNext w:val="0"/>
        <w:keepLines w:val="0"/>
        <w:pageBreakBefore w:val="0"/>
        <w:widowControl w:val="0"/>
        <w:shd w:val="clear" w:color="auto"/>
        <w:tabs>
          <w:tab w:val="left" w:pos="1260"/>
        </w:tabs>
        <w:kinsoku/>
        <w:wordWrap/>
        <w:overflowPunct/>
        <w:topLinePunct w:val="0"/>
        <w:autoSpaceDE/>
        <w:autoSpaceDN/>
        <w:bidi w:val="0"/>
        <w:adjustRightInd/>
        <w:snapToGrid w:val="0"/>
        <w:spacing w:line="500" w:lineRule="exact"/>
        <w:ind w:left="0" w:leftChars="0" w:firstLine="422" w:firstLineChars="200"/>
        <w:jc w:val="both"/>
        <w:textAlignment w:val="auto"/>
        <w:rPr>
          <w:rFonts w:hint="eastAsia" w:hAnsi="宋体" w:cs="宋体"/>
          <w:b/>
          <w:color w:val="auto"/>
          <w:sz w:val="21"/>
          <w:szCs w:val="21"/>
          <w:highlight w:val="none"/>
        </w:rPr>
      </w:pPr>
      <w:r>
        <w:rPr>
          <w:rFonts w:hint="eastAsia" w:hAnsi="宋体" w:cs="宋体"/>
          <w:b/>
          <w:color w:val="auto"/>
          <w:sz w:val="21"/>
          <w:szCs w:val="21"/>
          <w:highlight w:val="none"/>
        </w:rPr>
        <w:t>招标方式：</w:t>
      </w:r>
      <w:r>
        <w:rPr>
          <w:rFonts w:hint="eastAsia" w:hAnsi="宋体" w:cs="宋体"/>
          <w:bCs/>
          <w:color w:val="auto"/>
          <w:sz w:val="21"/>
          <w:szCs w:val="21"/>
          <w:highlight w:val="none"/>
        </w:rPr>
        <w:t>公开招标</w:t>
      </w:r>
    </w:p>
    <w:p w14:paraId="39680EFA">
      <w:pPr>
        <w:keepNext w:val="0"/>
        <w:keepLines w:val="0"/>
        <w:pageBreakBefore w:val="0"/>
        <w:widowControl w:val="0"/>
        <w:shd w:val="clear" w:color="auto"/>
        <w:tabs>
          <w:tab w:val="left" w:pos="1260"/>
        </w:tabs>
        <w:kinsoku/>
        <w:wordWrap/>
        <w:overflowPunct/>
        <w:topLinePunct w:val="0"/>
        <w:autoSpaceDE/>
        <w:autoSpaceDN/>
        <w:bidi w:val="0"/>
        <w:adjustRightInd/>
        <w:snapToGrid w:val="0"/>
        <w:spacing w:line="500" w:lineRule="exact"/>
        <w:ind w:left="0" w:leftChars="0" w:firstLine="422" w:firstLineChars="200"/>
        <w:jc w:val="both"/>
        <w:textAlignment w:val="auto"/>
        <w:rPr>
          <w:rFonts w:hint="eastAsia" w:hAnsi="宋体" w:eastAsia="宋体" w:cs="宋体"/>
          <w:color w:val="auto"/>
          <w:sz w:val="21"/>
          <w:szCs w:val="21"/>
          <w:highlight w:val="none"/>
          <w:lang w:eastAsia="zh-CN"/>
        </w:rPr>
      </w:pPr>
      <w:r>
        <w:rPr>
          <w:rFonts w:hint="eastAsia" w:hAnsi="宋体" w:cs="宋体"/>
          <w:b/>
          <w:color w:val="auto"/>
          <w:sz w:val="21"/>
          <w:szCs w:val="21"/>
          <w:highlight w:val="none"/>
        </w:rPr>
        <w:t>项目名称：</w:t>
      </w:r>
      <w:r>
        <w:rPr>
          <w:rFonts w:hint="eastAsia" w:hAnsi="宋体" w:cs="宋体"/>
          <w:color w:val="auto"/>
          <w:sz w:val="21"/>
          <w:szCs w:val="21"/>
          <w:highlight w:val="none"/>
          <w:lang w:eastAsia="zh-CN"/>
        </w:rPr>
        <w:t>2025-2026年婺城区农村人居环境长效管理第三方机构评估服务项目</w:t>
      </w:r>
    </w:p>
    <w:bookmarkEnd w:id="14"/>
    <w:p w14:paraId="6132CFE5">
      <w:pPr>
        <w:keepNext w:val="0"/>
        <w:keepLines w:val="0"/>
        <w:pageBreakBefore w:val="0"/>
        <w:widowControl w:val="0"/>
        <w:shd w:val="clear" w:color="auto"/>
        <w:tabs>
          <w:tab w:val="left" w:pos="1260"/>
        </w:tabs>
        <w:kinsoku/>
        <w:wordWrap/>
        <w:overflowPunct/>
        <w:topLinePunct w:val="0"/>
        <w:autoSpaceDE/>
        <w:autoSpaceDN/>
        <w:bidi w:val="0"/>
        <w:adjustRightInd/>
        <w:snapToGrid w:val="0"/>
        <w:spacing w:line="500" w:lineRule="exact"/>
        <w:ind w:left="0" w:leftChars="0" w:firstLine="422" w:firstLineChars="200"/>
        <w:jc w:val="both"/>
        <w:textAlignment w:val="auto"/>
        <w:rPr>
          <w:rFonts w:hint="eastAsia" w:hAnsi="宋体" w:cs="宋体"/>
          <w:b/>
          <w:color w:val="auto"/>
          <w:sz w:val="21"/>
          <w:szCs w:val="21"/>
          <w:highlight w:val="none"/>
        </w:rPr>
      </w:pPr>
      <w:r>
        <w:rPr>
          <w:rFonts w:hint="eastAsia" w:hAnsi="宋体" w:cs="宋体"/>
          <w:b/>
          <w:color w:val="auto"/>
          <w:sz w:val="21"/>
          <w:szCs w:val="21"/>
          <w:highlight w:val="none"/>
        </w:rPr>
        <w:t>预算金额（人民币）：</w:t>
      </w:r>
      <w:r>
        <w:rPr>
          <w:rFonts w:hint="eastAsia" w:hAnsi="宋体" w:cs="宋体"/>
          <w:bCs/>
          <w:color w:val="auto"/>
          <w:sz w:val="21"/>
          <w:szCs w:val="21"/>
          <w:highlight w:val="none"/>
          <w:lang w:val="en-US" w:eastAsia="zh-CN"/>
        </w:rPr>
        <w:t>112</w:t>
      </w:r>
      <w:r>
        <w:rPr>
          <w:rFonts w:hint="eastAsia" w:hAnsi="宋体" w:cs="宋体"/>
          <w:bCs/>
          <w:color w:val="auto"/>
          <w:sz w:val="21"/>
          <w:szCs w:val="21"/>
          <w:highlight w:val="none"/>
        </w:rPr>
        <w:t>万元</w:t>
      </w:r>
    </w:p>
    <w:p w14:paraId="50AD5E89">
      <w:pPr>
        <w:keepNext w:val="0"/>
        <w:keepLines w:val="0"/>
        <w:pageBreakBefore w:val="0"/>
        <w:widowControl w:val="0"/>
        <w:shd w:val="clear" w:color="auto"/>
        <w:tabs>
          <w:tab w:val="left" w:pos="1260"/>
        </w:tabs>
        <w:kinsoku/>
        <w:wordWrap/>
        <w:overflowPunct/>
        <w:topLinePunct w:val="0"/>
        <w:autoSpaceDE/>
        <w:autoSpaceDN/>
        <w:bidi w:val="0"/>
        <w:adjustRightInd/>
        <w:snapToGrid w:val="0"/>
        <w:spacing w:line="500" w:lineRule="exact"/>
        <w:ind w:left="0" w:leftChars="0" w:firstLine="422" w:firstLineChars="200"/>
        <w:jc w:val="both"/>
        <w:textAlignment w:val="auto"/>
        <w:rPr>
          <w:rFonts w:hint="eastAsia" w:hAnsi="宋体" w:cs="宋体"/>
          <w:b/>
          <w:color w:val="auto"/>
          <w:sz w:val="21"/>
          <w:szCs w:val="21"/>
          <w:highlight w:val="none"/>
        </w:rPr>
      </w:pPr>
      <w:r>
        <w:rPr>
          <w:rFonts w:hint="eastAsia" w:hAnsi="宋体" w:cs="宋体"/>
          <w:b/>
          <w:color w:val="auto"/>
          <w:sz w:val="21"/>
          <w:szCs w:val="21"/>
          <w:highlight w:val="none"/>
        </w:rPr>
        <w:t>最高限价（人民币）：</w:t>
      </w:r>
      <w:r>
        <w:rPr>
          <w:rFonts w:hint="eastAsia" w:hAnsi="宋体" w:cs="宋体"/>
          <w:bCs/>
          <w:color w:val="auto"/>
          <w:sz w:val="21"/>
          <w:szCs w:val="21"/>
          <w:highlight w:val="none"/>
          <w:lang w:eastAsia="zh-CN"/>
        </w:rPr>
        <w:t>320元/</w:t>
      </w:r>
      <w:r>
        <w:rPr>
          <w:rFonts w:hint="eastAsia" w:hAnsi="宋体" w:cs="宋体"/>
          <w:bCs/>
          <w:color w:val="auto"/>
          <w:sz w:val="21"/>
          <w:szCs w:val="21"/>
          <w:highlight w:val="none"/>
          <w:lang w:val="en-US" w:eastAsia="zh-CN"/>
        </w:rPr>
        <w:t>村·</w:t>
      </w:r>
      <w:r>
        <w:rPr>
          <w:rFonts w:hint="eastAsia" w:hAnsi="宋体" w:cs="宋体"/>
          <w:bCs/>
          <w:color w:val="auto"/>
          <w:sz w:val="21"/>
          <w:szCs w:val="21"/>
          <w:highlight w:val="none"/>
          <w:lang w:eastAsia="zh-CN"/>
        </w:rPr>
        <w:t>次</w:t>
      </w:r>
    </w:p>
    <w:p w14:paraId="0F2210CA">
      <w:pPr>
        <w:keepNext w:val="0"/>
        <w:keepLines w:val="0"/>
        <w:pageBreakBefore w:val="0"/>
        <w:widowControl w:val="0"/>
        <w:shd w:val="clear" w:color="auto"/>
        <w:tabs>
          <w:tab w:val="left" w:pos="1260"/>
        </w:tabs>
        <w:kinsoku/>
        <w:wordWrap/>
        <w:overflowPunct/>
        <w:topLinePunct w:val="0"/>
        <w:autoSpaceDE/>
        <w:autoSpaceDN/>
        <w:bidi w:val="0"/>
        <w:adjustRightInd/>
        <w:snapToGrid w:val="0"/>
        <w:spacing w:line="500" w:lineRule="exact"/>
        <w:ind w:firstLine="422" w:firstLineChars="200"/>
        <w:jc w:val="both"/>
        <w:textAlignment w:val="auto"/>
        <w:rPr>
          <w:rFonts w:hint="eastAsia" w:hAnsi="宋体" w:cs="宋体"/>
          <w:color w:val="auto"/>
          <w:sz w:val="21"/>
          <w:szCs w:val="21"/>
          <w:highlight w:val="none"/>
        </w:rPr>
      </w:pPr>
      <w:r>
        <w:rPr>
          <w:rFonts w:hint="eastAsia" w:hAnsi="宋体" w:cs="宋体"/>
          <w:b/>
          <w:color w:val="auto"/>
          <w:sz w:val="21"/>
          <w:szCs w:val="21"/>
          <w:highlight w:val="none"/>
        </w:rPr>
        <w:t>采购需求</w:t>
      </w:r>
      <w:r>
        <w:rPr>
          <w:rFonts w:hint="eastAsia" w:hAnsi="宋体" w:cs="宋体"/>
          <w:color w:val="auto"/>
          <w:sz w:val="21"/>
          <w:szCs w:val="21"/>
          <w:highlight w:val="none"/>
        </w:rPr>
        <w:t xml:space="preserve">： </w:t>
      </w:r>
    </w:p>
    <w:tbl>
      <w:tblPr>
        <w:tblStyle w:val="48"/>
        <w:tblW w:w="994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38"/>
        <w:gridCol w:w="1897"/>
        <w:gridCol w:w="5423"/>
        <w:gridCol w:w="686"/>
        <w:gridCol w:w="1296"/>
      </w:tblGrid>
      <w:tr w14:paraId="0BF6D1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638" w:type="dxa"/>
            <w:noWrap w:val="0"/>
            <w:vAlign w:val="center"/>
          </w:tcPr>
          <w:p w14:paraId="31B5AA72">
            <w:pPr>
              <w:shd w:val="clear" w:color="auto"/>
              <w:tabs>
                <w:tab w:val="left" w:pos="1260"/>
              </w:tabs>
              <w:autoSpaceDE/>
              <w:autoSpaceDN/>
              <w:adjustRightInd/>
              <w:spacing w:line="460" w:lineRule="exact"/>
              <w:jc w:val="center"/>
              <w:rPr>
                <w:rFonts w:hint="eastAsia" w:hAnsi="宋体" w:eastAsia="宋体" w:cs="宋体"/>
                <w:color w:val="auto"/>
                <w:sz w:val="21"/>
                <w:szCs w:val="21"/>
                <w:highlight w:val="none"/>
              </w:rPr>
            </w:pPr>
            <w:r>
              <w:rPr>
                <w:rFonts w:hint="eastAsia" w:hAnsi="宋体" w:eastAsia="宋体" w:cs="宋体"/>
                <w:color w:val="auto"/>
                <w:sz w:val="21"/>
                <w:szCs w:val="21"/>
                <w:highlight w:val="none"/>
              </w:rPr>
              <w:t>序号</w:t>
            </w:r>
          </w:p>
        </w:tc>
        <w:tc>
          <w:tcPr>
            <w:tcW w:w="1897" w:type="dxa"/>
            <w:noWrap w:val="0"/>
            <w:vAlign w:val="center"/>
          </w:tcPr>
          <w:p w14:paraId="501F2B18">
            <w:pPr>
              <w:shd w:val="clear" w:color="auto"/>
              <w:tabs>
                <w:tab w:val="left" w:pos="1260"/>
              </w:tabs>
              <w:autoSpaceDE/>
              <w:autoSpaceDN/>
              <w:adjustRightInd/>
              <w:spacing w:line="460" w:lineRule="exact"/>
              <w:jc w:val="center"/>
              <w:rPr>
                <w:rFonts w:hint="eastAsia" w:hAnsi="宋体" w:eastAsia="宋体" w:cs="宋体"/>
                <w:color w:val="auto"/>
                <w:sz w:val="21"/>
                <w:szCs w:val="21"/>
                <w:highlight w:val="none"/>
              </w:rPr>
            </w:pPr>
            <w:r>
              <w:rPr>
                <w:rFonts w:hint="eastAsia" w:hAnsi="宋体" w:eastAsia="宋体" w:cs="宋体"/>
                <w:color w:val="auto"/>
                <w:sz w:val="21"/>
                <w:szCs w:val="21"/>
                <w:highlight w:val="none"/>
              </w:rPr>
              <w:t>采购内容</w:t>
            </w:r>
          </w:p>
        </w:tc>
        <w:tc>
          <w:tcPr>
            <w:tcW w:w="5423" w:type="dxa"/>
            <w:noWrap w:val="0"/>
            <w:vAlign w:val="center"/>
          </w:tcPr>
          <w:p w14:paraId="57CA3E1C">
            <w:pPr>
              <w:shd w:val="clear" w:color="auto"/>
              <w:tabs>
                <w:tab w:val="left" w:pos="540"/>
              </w:tabs>
              <w:spacing w:line="460" w:lineRule="exact"/>
              <w:jc w:val="center"/>
              <w:rPr>
                <w:rFonts w:hint="eastAsia" w:hAnsi="宋体" w:eastAsia="宋体" w:cs="宋体"/>
                <w:color w:val="auto"/>
                <w:sz w:val="21"/>
                <w:szCs w:val="21"/>
                <w:highlight w:val="none"/>
              </w:rPr>
            </w:pPr>
            <w:r>
              <w:rPr>
                <w:rFonts w:hint="eastAsia" w:hAnsi="宋体" w:eastAsia="宋体" w:cs="Arial"/>
                <w:color w:val="auto"/>
                <w:sz w:val="21"/>
                <w:szCs w:val="21"/>
                <w:highlight w:val="none"/>
              </w:rPr>
              <w:t>技术及服务要求</w:t>
            </w:r>
          </w:p>
        </w:tc>
        <w:tc>
          <w:tcPr>
            <w:tcW w:w="686" w:type="dxa"/>
            <w:noWrap w:val="0"/>
            <w:vAlign w:val="center"/>
          </w:tcPr>
          <w:p w14:paraId="0585F441">
            <w:pPr>
              <w:shd w:val="clear" w:color="auto"/>
              <w:tabs>
                <w:tab w:val="left" w:pos="540"/>
              </w:tabs>
              <w:spacing w:line="460" w:lineRule="exact"/>
              <w:jc w:val="center"/>
              <w:rPr>
                <w:rFonts w:hint="eastAsia" w:hAnsi="宋体" w:eastAsia="宋体" w:cs="宋体"/>
                <w:color w:val="auto"/>
                <w:sz w:val="21"/>
                <w:szCs w:val="21"/>
                <w:highlight w:val="none"/>
                <w:lang w:eastAsia="zh-CN"/>
              </w:rPr>
            </w:pPr>
            <w:r>
              <w:rPr>
                <w:rFonts w:hint="eastAsia" w:hAnsi="宋体" w:cs="Arial"/>
                <w:color w:val="auto"/>
                <w:sz w:val="21"/>
                <w:szCs w:val="21"/>
                <w:highlight w:val="none"/>
                <w:lang w:val="en-US" w:eastAsia="zh-CN"/>
              </w:rPr>
              <w:t>服务期限</w:t>
            </w:r>
          </w:p>
        </w:tc>
        <w:tc>
          <w:tcPr>
            <w:tcW w:w="1296" w:type="dxa"/>
            <w:noWrap w:val="0"/>
            <w:vAlign w:val="center"/>
          </w:tcPr>
          <w:p w14:paraId="5830EF35">
            <w:pPr>
              <w:shd w:val="clear" w:color="auto"/>
              <w:tabs>
                <w:tab w:val="left" w:pos="1260"/>
              </w:tabs>
              <w:autoSpaceDE/>
              <w:autoSpaceDN/>
              <w:adjustRightInd/>
              <w:spacing w:line="500" w:lineRule="exact"/>
              <w:jc w:val="center"/>
              <w:rPr>
                <w:rFonts w:hint="eastAsia" w:hAnsi="宋体" w:eastAsia="宋体" w:cs="宋体"/>
                <w:color w:val="auto"/>
                <w:sz w:val="21"/>
                <w:szCs w:val="21"/>
                <w:highlight w:val="none"/>
              </w:rPr>
            </w:pPr>
            <w:r>
              <w:rPr>
                <w:rFonts w:hint="eastAsia" w:hAnsi="宋体" w:eastAsia="宋体" w:cs="宋体"/>
                <w:color w:val="auto"/>
                <w:sz w:val="21"/>
                <w:szCs w:val="21"/>
                <w:highlight w:val="none"/>
              </w:rPr>
              <w:t>最高限价</w:t>
            </w:r>
          </w:p>
          <w:p w14:paraId="7DC8667E">
            <w:pPr>
              <w:shd w:val="clear" w:color="auto"/>
              <w:tabs>
                <w:tab w:val="left" w:pos="1260"/>
              </w:tabs>
              <w:autoSpaceDE/>
              <w:autoSpaceDN/>
              <w:adjustRightInd/>
              <w:spacing w:line="500" w:lineRule="exact"/>
              <w:jc w:val="center"/>
              <w:rPr>
                <w:rFonts w:hint="eastAsia" w:hAnsi="宋体" w:eastAsia="宋体" w:cs="宋体"/>
                <w:color w:val="auto"/>
                <w:sz w:val="21"/>
                <w:szCs w:val="21"/>
                <w:highlight w:val="none"/>
              </w:rPr>
            </w:pPr>
            <w:r>
              <w:rPr>
                <w:rFonts w:hint="eastAsia" w:hAnsi="宋体" w:eastAsia="宋体" w:cs="宋体"/>
                <w:color w:val="auto"/>
                <w:sz w:val="21"/>
                <w:szCs w:val="21"/>
                <w:highlight w:val="none"/>
              </w:rPr>
              <w:t>（人民币）</w:t>
            </w:r>
          </w:p>
        </w:tc>
      </w:tr>
      <w:tr w14:paraId="654657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4" w:hRule="atLeast"/>
        </w:trPr>
        <w:tc>
          <w:tcPr>
            <w:tcW w:w="638" w:type="dxa"/>
            <w:noWrap w:val="0"/>
            <w:vAlign w:val="center"/>
          </w:tcPr>
          <w:p w14:paraId="3D4EAFC2">
            <w:pPr>
              <w:shd w:val="clear" w:color="auto"/>
              <w:tabs>
                <w:tab w:val="left" w:pos="1260"/>
              </w:tabs>
              <w:autoSpaceDE/>
              <w:autoSpaceDN/>
              <w:adjustRightInd/>
              <w:spacing w:line="460" w:lineRule="exact"/>
              <w:jc w:val="center"/>
              <w:rPr>
                <w:rFonts w:hint="eastAsia" w:hAnsi="宋体" w:eastAsia="宋体" w:cs="宋体"/>
                <w:color w:val="auto"/>
                <w:sz w:val="21"/>
                <w:szCs w:val="21"/>
                <w:highlight w:val="none"/>
              </w:rPr>
            </w:pPr>
            <w:r>
              <w:rPr>
                <w:rFonts w:hint="eastAsia" w:hAnsi="宋体" w:eastAsia="宋体" w:cs="Times New Roman"/>
                <w:color w:val="auto"/>
                <w:sz w:val="21"/>
                <w:szCs w:val="21"/>
                <w:highlight w:val="none"/>
              </w:rPr>
              <w:t>1</w:t>
            </w:r>
          </w:p>
        </w:tc>
        <w:tc>
          <w:tcPr>
            <w:tcW w:w="1897" w:type="dxa"/>
            <w:noWrap w:val="0"/>
            <w:vAlign w:val="center"/>
          </w:tcPr>
          <w:p w14:paraId="2EB268A1">
            <w:pPr>
              <w:shd w:val="clear" w:color="auto"/>
              <w:tabs>
                <w:tab w:val="left" w:pos="1260"/>
              </w:tabs>
              <w:autoSpaceDE/>
              <w:autoSpaceDN/>
              <w:adjustRightInd/>
              <w:spacing w:line="460" w:lineRule="exact"/>
              <w:jc w:val="center"/>
              <w:rPr>
                <w:rFonts w:hint="eastAsia" w:hAnsi="宋体" w:eastAsia="宋体" w:cs="宋体"/>
                <w:color w:val="auto"/>
                <w:sz w:val="21"/>
                <w:szCs w:val="21"/>
                <w:highlight w:val="none"/>
                <w:lang w:eastAsia="zh-CN"/>
              </w:rPr>
            </w:pPr>
            <w:r>
              <w:rPr>
                <w:rFonts w:hint="eastAsia" w:hAnsi="宋体" w:cs="Times New Roman"/>
                <w:color w:val="auto"/>
                <w:sz w:val="21"/>
                <w:szCs w:val="21"/>
                <w:highlight w:val="none"/>
                <w:lang w:eastAsia="zh-CN"/>
              </w:rPr>
              <w:t>2025-2026年婺城区农村人居环境长效管理第三方机构评估服务项目</w:t>
            </w:r>
          </w:p>
        </w:tc>
        <w:tc>
          <w:tcPr>
            <w:tcW w:w="5423" w:type="dxa"/>
            <w:noWrap w:val="0"/>
            <w:vAlign w:val="center"/>
          </w:tcPr>
          <w:p w14:paraId="6FFAB721">
            <w:pPr>
              <w:shd w:val="clear" w:color="auto"/>
              <w:tabs>
                <w:tab w:val="left" w:pos="1260"/>
              </w:tabs>
              <w:autoSpaceDE/>
              <w:autoSpaceDN/>
              <w:adjustRightInd/>
              <w:spacing w:line="460" w:lineRule="exact"/>
              <w:jc w:val="left"/>
              <w:rPr>
                <w:rFonts w:hint="eastAsia" w:hAnsi="宋体" w:eastAsia="宋体" w:cs="宋体"/>
                <w:color w:val="auto"/>
                <w:sz w:val="21"/>
                <w:szCs w:val="21"/>
                <w:highlight w:val="none"/>
              </w:rPr>
            </w:pPr>
            <w:r>
              <w:rPr>
                <w:rFonts w:hint="eastAsia" w:hAnsi="宋体" w:eastAsia="宋体" w:cs="宋体"/>
                <w:color w:val="auto"/>
                <w:sz w:val="21"/>
                <w:szCs w:val="21"/>
                <w:highlight w:val="none"/>
                <w:lang w:eastAsia="zh-CN"/>
              </w:rPr>
              <w:t>以省市</w:t>
            </w:r>
            <w:r>
              <w:rPr>
                <w:rFonts w:hint="default" w:hAnsi="宋体" w:cs="宋体"/>
                <w:color w:val="auto"/>
                <w:sz w:val="21"/>
                <w:szCs w:val="21"/>
                <w:highlight w:val="none"/>
                <w:lang w:eastAsia="zh-CN"/>
              </w:rPr>
              <w:t>区</w:t>
            </w:r>
            <w:r>
              <w:rPr>
                <w:rFonts w:hint="eastAsia" w:hAnsi="宋体" w:eastAsia="宋体" w:cs="宋体"/>
                <w:color w:val="auto"/>
                <w:sz w:val="21"/>
                <w:szCs w:val="21"/>
                <w:highlight w:val="none"/>
                <w:lang w:eastAsia="zh-CN"/>
              </w:rPr>
              <w:t>农村人居环境提升</w:t>
            </w:r>
            <w:r>
              <w:rPr>
                <w:rFonts w:hint="default" w:hAnsi="宋体" w:cs="宋体"/>
                <w:color w:val="auto"/>
                <w:sz w:val="21"/>
                <w:szCs w:val="21"/>
                <w:highlight w:val="none"/>
                <w:lang w:eastAsia="zh-CN"/>
              </w:rPr>
              <w:t>相关要求</w:t>
            </w:r>
            <w:r>
              <w:rPr>
                <w:rFonts w:hint="eastAsia" w:hAnsi="宋体" w:eastAsia="宋体" w:cs="宋体"/>
                <w:color w:val="auto"/>
                <w:sz w:val="21"/>
                <w:szCs w:val="21"/>
                <w:highlight w:val="none"/>
                <w:lang w:eastAsia="zh-CN"/>
              </w:rPr>
              <w:t>为</w:t>
            </w:r>
            <w:r>
              <w:rPr>
                <w:rFonts w:hint="eastAsia" w:hAnsi="宋体" w:cs="宋体"/>
                <w:color w:val="auto"/>
                <w:sz w:val="21"/>
                <w:szCs w:val="21"/>
                <w:highlight w:val="none"/>
                <w:lang w:eastAsia="zh-CN"/>
              </w:rPr>
              <w:t>评估</w:t>
            </w:r>
            <w:r>
              <w:rPr>
                <w:rFonts w:hint="eastAsia" w:hAnsi="宋体" w:eastAsia="宋体" w:cs="宋体"/>
                <w:color w:val="auto"/>
                <w:sz w:val="21"/>
                <w:szCs w:val="21"/>
                <w:highlight w:val="none"/>
                <w:lang w:eastAsia="zh-CN"/>
              </w:rPr>
              <w:t>主要标准，结合农村生活垃圾分类和文明城市创建等实际情况</w:t>
            </w:r>
            <w:r>
              <w:rPr>
                <w:rFonts w:hint="default" w:hAnsi="宋体" w:cs="宋体"/>
                <w:color w:val="auto"/>
                <w:sz w:val="21"/>
                <w:szCs w:val="21"/>
                <w:highlight w:val="none"/>
                <w:lang w:eastAsia="zh-CN"/>
              </w:rPr>
              <w:t>调整</w:t>
            </w:r>
            <w:r>
              <w:rPr>
                <w:rFonts w:hint="eastAsia" w:hAnsi="宋体" w:eastAsia="宋体" w:cs="宋体"/>
                <w:color w:val="auto"/>
                <w:sz w:val="21"/>
                <w:szCs w:val="21"/>
                <w:highlight w:val="none"/>
                <w:lang w:eastAsia="zh-CN"/>
              </w:rPr>
              <w:t>。每次完成农村人居环境的定期实地评估、问题实时上传、限期整改审核、自动评估评分、数据分析汇总等服务；</w:t>
            </w:r>
            <w:r>
              <w:rPr>
                <w:rFonts w:hint="eastAsia" w:hAnsi="宋体" w:eastAsia="宋体" w:cs="宋体"/>
                <w:color w:val="auto"/>
                <w:sz w:val="21"/>
                <w:szCs w:val="21"/>
                <w:highlight w:val="none"/>
              </w:rPr>
              <w:t>具体要求详见第二章《招标需求》。</w:t>
            </w:r>
          </w:p>
        </w:tc>
        <w:tc>
          <w:tcPr>
            <w:tcW w:w="686" w:type="dxa"/>
            <w:noWrap w:val="0"/>
            <w:vAlign w:val="center"/>
          </w:tcPr>
          <w:p w14:paraId="7541389E">
            <w:pPr>
              <w:shd w:val="clear" w:color="auto"/>
              <w:tabs>
                <w:tab w:val="left" w:pos="1260"/>
              </w:tabs>
              <w:autoSpaceDE/>
              <w:autoSpaceDN/>
              <w:adjustRightInd/>
              <w:spacing w:line="460" w:lineRule="exact"/>
              <w:jc w:val="center"/>
              <w:rPr>
                <w:rFonts w:hint="default" w:hAnsi="宋体" w:eastAsia="宋体" w:cs="宋体"/>
                <w:color w:val="auto"/>
                <w:sz w:val="21"/>
                <w:szCs w:val="21"/>
                <w:highlight w:val="none"/>
                <w:lang w:val="en-US" w:eastAsia="zh-CN"/>
              </w:rPr>
            </w:pPr>
            <w:r>
              <w:rPr>
                <w:rFonts w:hint="eastAsia" w:hAnsi="宋体" w:cs="宋体"/>
                <w:color w:val="auto"/>
                <w:sz w:val="21"/>
                <w:szCs w:val="21"/>
                <w:highlight w:val="none"/>
                <w:lang w:val="en-US" w:eastAsia="zh-CN"/>
              </w:rPr>
              <w:t>2年</w:t>
            </w:r>
          </w:p>
        </w:tc>
        <w:tc>
          <w:tcPr>
            <w:tcW w:w="1296" w:type="dxa"/>
            <w:noWrap w:val="0"/>
            <w:vAlign w:val="center"/>
          </w:tcPr>
          <w:p w14:paraId="6CCAA99C">
            <w:pPr>
              <w:shd w:val="clear" w:color="auto"/>
              <w:tabs>
                <w:tab w:val="left" w:pos="1260"/>
              </w:tabs>
              <w:autoSpaceDE/>
              <w:autoSpaceDN/>
              <w:adjustRightInd/>
              <w:spacing w:line="460" w:lineRule="exact"/>
              <w:jc w:val="center"/>
              <w:rPr>
                <w:rFonts w:hint="eastAsia" w:hAnsi="宋体" w:eastAsia="宋体" w:cs="宋体"/>
                <w:color w:val="auto"/>
                <w:sz w:val="21"/>
                <w:szCs w:val="21"/>
                <w:highlight w:val="none"/>
                <w:lang w:eastAsia="zh-CN"/>
              </w:rPr>
            </w:pPr>
            <w:r>
              <w:rPr>
                <w:rFonts w:hint="eastAsia" w:hAnsi="宋体" w:cs="宋体"/>
                <w:bCs/>
                <w:color w:val="auto"/>
                <w:sz w:val="21"/>
                <w:szCs w:val="21"/>
                <w:highlight w:val="none"/>
                <w:lang w:eastAsia="zh-CN"/>
              </w:rPr>
              <w:t>320元/</w:t>
            </w:r>
            <w:r>
              <w:rPr>
                <w:rFonts w:hint="eastAsia" w:hAnsi="宋体" w:cs="宋体"/>
                <w:bCs/>
                <w:color w:val="auto"/>
                <w:sz w:val="21"/>
                <w:szCs w:val="21"/>
                <w:highlight w:val="none"/>
                <w:lang w:val="en-US" w:eastAsia="zh-CN"/>
              </w:rPr>
              <w:t>村·</w:t>
            </w:r>
            <w:r>
              <w:rPr>
                <w:rFonts w:hint="eastAsia" w:hAnsi="宋体" w:cs="宋体"/>
                <w:bCs/>
                <w:color w:val="auto"/>
                <w:sz w:val="21"/>
                <w:szCs w:val="21"/>
                <w:highlight w:val="none"/>
                <w:lang w:eastAsia="zh-CN"/>
              </w:rPr>
              <w:t>次</w:t>
            </w:r>
          </w:p>
        </w:tc>
      </w:tr>
    </w:tbl>
    <w:p w14:paraId="6DDE71AA">
      <w:pPr>
        <w:shd w:val="clear" w:color="auto"/>
        <w:tabs>
          <w:tab w:val="left" w:pos="1260"/>
        </w:tabs>
        <w:autoSpaceDE/>
        <w:autoSpaceDN/>
        <w:adjustRightInd/>
        <w:snapToGrid w:val="0"/>
        <w:spacing w:line="500" w:lineRule="exact"/>
        <w:ind w:firstLine="316" w:firstLineChars="150"/>
        <w:jc w:val="both"/>
        <w:rPr>
          <w:rFonts w:hint="eastAsia" w:hAnsi="宋体" w:cs="宋体"/>
          <w:b/>
          <w:color w:val="auto"/>
          <w:sz w:val="21"/>
          <w:szCs w:val="21"/>
          <w:highlight w:val="none"/>
        </w:rPr>
      </w:pPr>
      <w:r>
        <w:rPr>
          <w:rFonts w:hint="eastAsia" w:hAnsi="宋体" w:cs="宋体"/>
          <w:b/>
          <w:color w:val="auto"/>
          <w:sz w:val="21"/>
          <w:szCs w:val="21"/>
          <w:highlight w:val="none"/>
        </w:rPr>
        <w:t>本项目接受联合体投标。</w:t>
      </w:r>
      <w:r>
        <w:rPr>
          <w:rFonts w:hint="eastAsia" w:hAnsi="宋体" w:cs="宋体"/>
          <w:b/>
          <w:color w:val="auto"/>
          <w:sz w:val="21"/>
          <w:szCs w:val="21"/>
          <w:highlight w:val="none"/>
        </w:rPr>
        <w:tab/>
      </w:r>
    </w:p>
    <w:p w14:paraId="113E8B1A">
      <w:pPr>
        <w:shd w:val="clear" w:color="auto"/>
        <w:tabs>
          <w:tab w:val="left" w:pos="1260"/>
        </w:tabs>
        <w:autoSpaceDE/>
        <w:autoSpaceDN/>
        <w:adjustRightInd/>
        <w:snapToGrid w:val="0"/>
        <w:spacing w:line="500" w:lineRule="exact"/>
        <w:ind w:firstLine="316" w:firstLineChars="150"/>
        <w:jc w:val="both"/>
        <w:rPr>
          <w:rFonts w:hint="eastAsia" w:hAnsi="宋体" w:cs="宋体"/>
          <w:b/>
          <w:color w:val="auto"/>
          <w:sz w:val="21"/>
          <w:szCs w:val="21"/>
          <w:highlight w:val="none"/>
        </w:rPr>
      </w:pPr>
      <w:bookmarkStart w:id="15" w:name="_Toc28359080"/>
      <w:bookmarkStart w:id="16" w:name="_Toc35393622"/>
      <w:bookmarkStart w:id="17" w:name="_Toc35393791"/>
      <w:bookmarkStart w:id="18" w:name="_Toc28359003"/>
      <w:r>
        <w:rPr>
          <w:rFonts w:hint="eastAsia" w:hAnsi="宋体" w:cs="宋体"/>
          <w:b/>
          <w:color w:val="auto"/>
          <w:sz w:val="21"/>
          <w:szCs w:val="21"/>
          <w:highlight w:val="none"/>
        </w:rPr>
        <w:t>二、申请人的资格要求：</w:t>
      </w:r>
    </w:p>
    <w:p w14:paraId="2E80494D">
      <w:pPr>
        <w:shd w:val="clear" w:color="auto"/>
        <w:tabs>
          <w:tab w:val="left" w:pos="1260"/>
        </w:tabs>
        <w:autoSpaceDE/>
        <w:autoSpaceDN/>
        <w:adjustRightInd/>
        <w:snapToGrid w:val="0"/>
        <w:spacing w:line="500" w:lineRule="exact"/>
        <w:ind w:firstLine="315" w:firstLineChars="150"/>
        <w:jc w:val="both"/>
        <w:rPr>
          <w:rFonts w:hint="eastAsia" w:hAnsi="宋体" w:cs="宋体"/>
          <w:color w:val="auto"/>
          <w:sz w:val="21"/>
          <w:szCs w:val="21"/>
          <w:highlight w:val="none"/>
        </w:rPr>
      </w:pPr>
      <w:r>
        <w:rPr>
          <w:rFonts w:hint="eastAsia" w:hAnsi="宋体" w:cs="宋体"/>
          <w:color w:val="auto"/>
          <w:sz w:val="21"/>
          <w:szCs w:val="21"/>
          <w:highlight w:val="none"/>
        </w:rPr>
        <w:t>1.满足《中华人民共和国政府采购法》第二十二条规定；未被“信用中国”（www.creditchina.gov.cn）、中国政府采购网（www.ccgp.gov.cn）列入失信被执行人、重大税收违法案件当事人名单、政府采购严重违法失信行为记录名单。</w:t>
      </w:r>
    </w:p>
    <w:p w14:paraId="512D8ECD">
      <w:pPr>
        <w:shd w:val="clear" w:color="auto"/>
        <w:tabs>
          <w:tab w:val="left" w:pos="1260"/>
        </w:tabs>
        <w:autoSpaceDE/>
        <w:autoSpaceDN/>
        <w:snapToGrid w:val="0"/>
        <w:spacing w:line="500" w:lineRule="exact"/>
        <w:ind w:firstLine="420" w:firstLineChars="200"/>
        <w:jc w:val="both"/>
        <w:rPr>
          <w:rFonts w:hint="eastAsia" w:hAnsi="宋体" w:cs="宋体"/>
          <w:color w:val="auto"/>
          <w:sz w:val="21"/>
          <w:szCs w:val="21"/>
          <w:highlight w:val="none"/>
        </w:rPr>
      </w:pPr>
      <w:r>
        <w:rPr>
          <w:rFonts w:hint="eastAsia" w:hAnsi="宋体" w:cs="宋体"/>
          <w:color w:val="auto"/>
          <w:sz w:val="21"/>
          <w:szCs w:val="21"/>
          <w:highlight w:val="none"/>
        </w:rPr>
        <w:t>2.落实政策：</w:t>
      </w:r>
    </w:p>
    <w:p w14:paraId="0E3E2F1E">
      <w:pPr>
        <w:shd w:val="clear" w:color="auto"/>
        <w:spacing w:line="500" w:lineRule="exact"/>
        <w:ind w:firstLine="420" w:firstLineChars="200"/>
        <w:rPr>
          <w:rFonts w:hint="eastAsia" w:hAnsi="宋体" w:cs="宋体"/>
          <w:color w:val="auto"/>
          <w:sz w:val="21"/>
          <w:szCs w:val="21"/>
          <w:highlight w:val="none"/>
        </w:rPr>
      </w:pPr>
      <w:r>
        <w:rPr>
          <w:rFonts w:hint="eastAsia" w:hAnsi="宋体" w:cs="宋体"/>
          <w:color w:val="auto"/>
          <w:sz w:val="21"/>
          <w:szCs w:val="21"/>
          <w:highlight w:val="none"/>
        </w:rPr>
        <w:t>（1）落实政府采购政策需满足的资格要求：</w:t>
      </w:r>
    </w:p>
    <w:p w14:paraId="019CC5C9">
      <w:pPr>
        <w:shd w:val="clear" w:color="auto"/>
        <w:spacing w:line="500" w:lineRule="exact"/>
        <w:ind w:firstLine="420" w:firstLineChars="200"/>
        <w:rPr>
          <w:rFonts w:hint="eastAsia" w:hAnsi="宋体" w:cs="宋体"/>
          <w:color w:val="auto"/>
          <w:sz w:val="21"/>
          <w:szCs w:val="21"/>
          <w:highlight w:val="none"/>
        </w:rPr>
      </w:pPr>
      <w:r>
        <w:rPr>
          <w:rFonts w:hint="eastAsia" w:hAnsi="宋体" w:cs="宋体"/>
          <w:color w:val="auto"/>
          <w:sz w:val="21"/>
          <w:szCs w:val="21"/>
          <w:highlight w:val="none"/>
        </w:rPr>
        <w:sym w:font="Wingdings" w:char="00A8"/>
      </w:r>
      <w:r>
        <w:rPr>
          <w:rFonts w:hint="eastAsia" w:hAnsi="宋体" w:cs="宋体"/>
          <w:color w:val="auto"/>
          <w:sz w:val="21"/>
          <w:szCs w:val="21"/>
          <w:highlight w:val="none"/>
        </w:rPr>
        <w:t>无；</w:t>
      </w:r>
    </w:p>
    <w:p w14:paraId="6E90E307">
      <w:pPr>
        <w:shd w:val="clear" w:color="auto"/>
        <w:spacing w:line="500" w:lineRule="exact"/>
        <w:ind w:firstLine="420" w:firstLineChars="200"/>
        <w:rPr>
          <w:rFonts w:hint="eastAsia" w:hAnsi="宋体" w:cs="宋体"/>
          <w:color w:val="auto"/>
          <w:sz w:val="21"/>
          <w:szCs w:val="21"/>
          <w:highlight w:val="none"/>
        </w:rPr>
      </w:pPr>
      <w:r>
        <w:rPr>
          <w:rFonts w:hint="eastAsia" w:hAnsi="宋体" w:cs="宋体"/>
          <w:color w:val="auto"/>
          <w:sz w:val="21"/>
          <w:szCs w:val="21"/>
          <w:highlight w:val="none"/>
        </w:rPr>
        <w:sym w:font="Wingdings" w:char="00FE"/>
      </w:r>
      <w:r>
        <w:rPr>
          <w:rFonts w:hint="eastAsia" w:hAnsi="宋体" w:cs="宋体"/>
          <w:color w:val="auto"/>
          <w:sz w:val="21"/>
          <w:szCs w:val="21"/>
          <w:highlight w:val="none"/>
        </w:rPr>
        <w:t>专门面向中小企业：</w:t>
      </w:r>
    </w:p>
    <w:p w14:paraId="56826FE3">
      <w:pPr>
        <w:shd w:val="clear" w:color="auto"/>
        <w:spacing w:line="500" w:lineRule="exact"/>
        <w:ind w:firstLine="840" w:firstLineChars="400"/>
        <w:rPr>
          <w:rFonts w:hint="eastAsia" w:hAnsi="宋体" w:cs="宋体"/>
          <w:color w:val="auto"/>
          <w:sz w:val="21"/>
          <w:szCs w:val="21"/>
          <w:highlight w:val="none"/>
          <w:u w:val="single"/>
        </w:rPr>
      </w:pPr>
      <w:r>
        <w:rPr>
          <w:rFonts w:hint="eastAsia" w:hAnsi="宋体" w:cs="宋体"/>
          <w:color w:val="auto"/>
          <w:sz w:val="21"/>
          <w:szCs w:val="21"/>
          <w:highlight w:val="none"/>
        </w:rPr>
        <w:sym w:font="Wingdings" w:char="00A8"/>
      </w:r>
      <w:r>
        <w:rPr>
          <w:rFonts w:hint="eastAsia" w:hAnsi="宋体" w:cs="宋体"/>
          <w:color w:val="auto"/>
          <w:sz w:val="21"/>
          <w:szCs w:val="21"/>
          <w:highlight w:val="none"/>
        </w:rPr>
        <w:t>货物全部由符合政策要求的中小企业制造，提供中小企业声明函；</w:t>
      </w:r>
    </w:p>
    <w:p w14:paraId="25229676">
      <w:pPr>
        <w:shd w:val="clear" w:color="auto"/>
        <w:spacing w:line="500" w:lineRule="exact"/>
        <w:ind w:firstLine="840" w:firstLineChars="400"/>
        <w:rPr>
          <w:rFonts w:hint="eastAsia" w:hAnsi="宋体" w:cs="宋体"/>
          <w:color w:val="auto"/>
          <w:sz w:val="21"/>
          <w:szCs w:val="21"/>
          <w:highlight w:val="none"/>
        </w:rPr>
      </w:pPr>
      <w:r>
        <w:rPr>
          <w:rFonts w:hint="eastAsia" w:hAnsi="宋体" w:cs="宋体"/>
          <w:color w:val="auto"/>
          <w:sz w:val="21"/>
          <w:szCs w:val="21"/>
          <w:highlight w:val="none"/>
        </w:rPr>
        <w:t>☐货物全部由符合政策要求的小微企业制造，提供中小企业声明函；</w:t>
      </w:r>
    </w:p>
    <w:p w14:paraId="4CB88558">
      <w:pPr>
        <w:shd w:val="clear" w:color="auto"/>
        <w:spacing w:line="500" w:lineRule="exact"/>
        <w:ind w:firstLine="840" w:firstLineChars="400"/>
        <w:rPr>
          <w:rFonts w:hint="eastAsia" w:hAnsi="宋体" w:cs="宋体"/>
          <w:color w:val="auto"/>
          <w:sz w:val="21"/>
          <w:szCs w:val="21"/>
          <w:highlight w:val="none"/>
          <w:u w:val="single"/>
        </w:rPr>
      </w:pPr>
      <w:r>
        <w:rPr>
          <w:rFonts w:hint="eastAsia" w:hAnsi="宋体" w:cs="宋体"/>
          <w:color w:val="auto"/>
          <w:sz w:val="21"/>
          <w:szCs w:val="21"/>
          <w:highlight w:val="none"/>
        </w:rPr>
        <w:sym w:font="Wingdings" w:char="00A8"/>
      </w:r>
      <w:r>
        <w:rPr>
          <w:rFonts w:hint="eastAsia" w:hAnsi="宋体" w:cs="宋体"/>
          <w:color w:val="auto"/>
          <w:sz w:val="21"/>
          <w:szCs w:val="21"/>
          <w:highlight w:val="none"/>
        </w:rPr>
        <w:t>工程全部由符合政策要求的中小企业承接，提供中小企业声明函；</w:t>
      </w:r>
    </w:p>
    <w:p w14:paraId="17934D95">
      <w:pPr>
        <w:shd w:val="clear" w:color="auto"/>
        <w:spacing w:line="500" w:lineRule="exact"/>
        <w:ind w:firstLine="840" w:firstLineChars="400"/>
        <w:rPr>
          <w:rFonts w:hint="eastAsia" w:hAnsi="宋体" w:cs="宋体"/>
          <w:color w:val="auto"/>
          <w:sz w:val="21"/>
          <w:szCs w:val="21"/>
          <w:highlight w:val="none"/>
        </w:rPr>
      </w:pPr>
      <w:r>
        <w:rPr>
          <w:rFonts w:hint="eastAsia" w:hAnsi="宋体" w:cs="宋体"/>
          <w:color w:val="auto"/>
          <w:sz w:val="21"/>
          <w:szCs w:val="21"/>
          <w:highlight w:val="none"/>
        </w:rPr>
        <w:t>☐工程全部由符合政策要求的小微企业承接，提供中小企业声明函；</w:t>
      </w:r>
    </w:p>
    <w:p w14:paraId="05651CD5">
      <w:pPr>
        <w:shd w:val="clear" w:color="auto"/>
        <w:spacing w:line="500" w:lineRule="exact"/>
        <w:ind w:firstLine="840" w:firstLineChars="400"/>
        <w:rPr>
          <w:rFonts w:hint="eastAsia" w:hAnsi="宋体" w:cs="宋体"/>
          <w:color w:val="auto"/>
          <w:sz w:val="21"/>
          <w:szCs w:val="21"/>
          <w:highlight w:val="none"/>
        </w:rPr>
      </w:pPr>
      <w:r>
        <w:rPr>
          <w:rFonts w:hint="eastAsia" w:hAnsi="宋体" w:cs="宋体"/>
          <w:color w:val="auto"/>
          <w:sz w:val="21"/>
          <w:szCs w:val="21"/>
          <w:highlight w:val="none"/>
        </w:rPr>
        <w:sym w:font="Wingdings" w:char="00FE"/>
      </w:r>
      <w:r>
        <w:rPr>
          <w:rFonts w:hint="eastAsia" w:hAnsi="宋体" w:cs="宋体"/>
          <w:color w:val="auto"/>
          <w:sz w:val="21"/>
          <w:szCs w:val="21"/>
          <w:highlight w:val="none"/>
        </w:rPr>
        <w:t>服务全部由符合政策要求的中小企业承接，提供中小企业声明函；</w:t>
      </w:r>
    </w:p>
    <w:p w14:paraId="38E77779">
      <w:pPr>
        <w:shd w:val="clear" w:color="auto"/>
        <w:spacing w:line="500" w:lineRule="exact"/>
        <w:ind w:firstLine="840" w:firstLineChars="400"/>
        <w:rPr>
          <w:rFonts w:hint="eastAsia" w:hAnsi="宋体" w:cs="宋体"/>
          <w:color w:val="auto"/>
          <w:sz w:val="21"/>
          <w:szCs w:val="21"/>
          <w:highlight w:val="none"/>
        </w:rPr>
      </w:pPr>
      <w:r>
        <w:rPr>
          <w:rFonts w:hint="eastAsia" w:hAnsi="宋体" w:cs="宋体"/>
          <w:color w:val="auto"/>
          <w:sz w:val="21"/>
          <w:szCs w:val="21"/>
          <w:highlight w:val="none"/>
        </w:rPr>
        <w:t>☐服务全部由符合政策要求的小微企业承接，提供中小企业声明函；</w:t>
      </w:r>
    </w:p>
    <w:p w14:paraId="0B10618E">
      <w:pPr>
        <w:shd w:val="clear" w:color="auto"/>
        <w:snapToGrid w:val="0"/>
        <w:spacing w:line="500" w:lineRule="exact"/>
        <w:ind w:firstLine="420" w:firstLineChars="200"/>
        <w:rPr>
          <w:rFonts w:hint="eastAsia" w:hAnsi="宋体" w:cs="宋体"/>
          <w:color w:val="auto"/>
          <w:sz w:val="21"/>
          <w:szCs w:val="21"/>
          <w:highlight w:val="none"/>
        </w:rPr>
      </w:pPr>
      <w:r>
        <w:rPr>
          <w:rFonts w:hint="eastAsia" w:hAnsi="宋体" w:cs="宋体"/>
          <w:color w:val="auto"/>
          <w:sz w:val="21"/>
          <w:szCs w:val="21"/>
          <w:highlight w:val="none"/>
        </w:rPr>
        <w:t>☐要求以联合体形式参加，提供联合协议和中小企业声明函，联合协议中中小企业合同金额应当达到</w:t>
      </w:r>
      <w:r>
        <w:rPr>
          <w:rFonts w:hint="eastAsia" w:hAnsi="宋体" w:cs="宋体"/>
          <w:color w:val="auto"/>
          <w:sz w:val="21"/>
          <w:szCs w:val="21"/>
          <w:highlight w:val="none"/>
          <w:u w:val="single"/>
        </w:rPr>
        <w:t xml:space="preserve">  </w:t>
      </w:r>
      <w:r>
        <w:rPr>
          <w:rFonts w:hint="eastAsia" w:hAnsi="宋体" w:cs="宋体"/>
          <w:color w:val="auto"/>
          <w:sz w:val="21"/>
          <w:szCs w:val="21"/>
          <w:highlight w:val="none"/>
        </w:rPr>
        <w:t>%，小微企业合同金额应当达到</w:t>
      </w:r>
      <w:r>
        <w:rPr>
          <w:rFonts w:hint="eastAsia" w:hAnsi="宋体" w:cs="宋体"/>
          <w:color w:val="auto"/>
          <w:sz w:val="21"/>
          <w:szCs w:val="21"/>
          <w:highlight w:val="none"/>
          <w:u w:val="single"/>
        </w:rPr>
        <w:t xml:space="preserve"> </w:t>
      </w:r>
      <w:r>
        <w:rPr>
          <w:rFonts w:hint="eastAsia" w:hAnsi="宋体" w:cs="宋体"/>
          <w:color w:val="auto"/>
          <w:sz w:val="21"/>
          <w:szCs w:val="21"/>
          <w:highlight w:val="none"/>
        </w:rPr>
        <w:t>%；</w:t>
      </w:r>
      <w:r>
        <w:rPr>
          <w:rFonts w:hint="eastAsia" w:hAnsi="宋体" w:cs="宋体"/>
          <w:color w:val="auto"/>
          <w:spacing w:val="8"/>
          <w:sz w:val="21"/>
          <w:szCs w:val="21"/>
          <w:highlight w:val="none"/>
        </w:rPr>
        <w:t>如果供应商本身提供所有标的均由中小企业制造、承建或承接，视同符合了资格条件，无需再与其他中小企业组成联合体参加政府采购活动，无需提供联合协议</w:t>
      </w:r>
      <w:r>
        <w:rPr>
          <w:rFonts w:hint="eastAsia" w:hAnsi="宋体" w:cs="宋体"/>
          <w:color w:val="auto"/>
          <w:sz w:val="21"/>
          <w:szCs w:val="21"/>
          <w:highlight w:val="none"/>
        </w:rPr>
        <w:t>；</w:t>
      </w:r>
    </w:p>
    <w:p w14:paraId="184A69BE">
      <w:pPr>
        <w:shd w:val="clear" w:color="auto"/>
        <w:snapToGrid w:val="0"/>
        <w:spacing w:line="500" w:lineRule="exact"/>
        <w:ind w:firstLine="420" w:firstLineChars="200"/>
        <w:rPr>
          <w:rFonts w:hint="eastAsia" w:hAnsi="宋体" w:cs="宋体"/>
          <w:color w:val="auto"/>
          <w:sz w:val="21"/>
          <w:szCs w:val="21"/>
          <w:highlight w:val="none"/>
        </w:rPr>
      </w:pPr>
      <w:r>
        <w:rPr>
          <w:rFonts w:hint="eastAsia" w:hAnsi="宋体" w:cs="宋体"/>
          <w:color w:val="auto"/>
          <w:sz w:val="21"/>
          <w:szCs w:val="21"/>
          <w:highlight w:val="none"/>
        </w:rPr>
        <w:t>☐要求合同分包，提供分包意向协议和中小企业声明函，分包意向协议中中小企业合同金额应当</w:t>
      </w:r>
      <w:r>
        <w:rPr>
          <w:rFonts w:hint="eastAsia" w:hAnsi="宋体" w:cs="宋体"/>
          <w:color w:val="auto"/>
          <w:sz w:val="21"/>
          <w:szCs w:val="21"/>
          <w:highlight w:val="none"/>
          <w:lang w:eastAsia="zh-CN"/>
        </w:rPr>
        <w:t>达到</w:t>
      </w:r>
      <w:r>
        <w:rPr>
          <w:rFonts w:hint="eastAsia" w:hAnsi="宋体" w:cs="宋体"/>
          <w:color w:val="auto"/>
          <w:sz w:val="21"/>
          <w:szCs w:val="21"/>
          <w:highlight w:val="none"/>
          <w:u w:val="single"/>
        </w:rPr>
        <w:t xml:space="preserve">  </w:t>
      </w:r>
      <w:r>
        <w:rPr>
          <w:rFonts w:hint="eastAsia" w:hAnsi="宋体" w:cs="宋体"/>
          <w:color w:val="auto"/>
          <w:sz w:val="21"/>
          <w:szCs w:val="21"/>
          <w:highlight w:val="none"/>
        </w:rPr>
        <w:t>% ，小微企业合同金额应当达到</w:t>
      </w:r>
      <w:r>
        <w:rPr>
          <w:rFonts w:hint="eastAsia" w:hAnsi="宋体" w:cs="宋体"/>
          <w:color w:val="auto"/>
          <w:sz w:val="21"/>
          <w:szCs w:val="21"/>
          <w:highlight w:val="none"/>
          <w:u w:val="single"/>
        </w:rPr>
        <w:t xml:space="preserve"> </w:t>
      </w:r>
      <w:r>
        <w:rPr>
          <w:rFonts w:hint="eastAsia" w:hAnsi="宋体" w:cs="宋体"/>
          <w:color w:val="auto"/>
          <w:sz w:val="21"/>
          <w:szCs w:val="21"/>
          <w:highlight w:val="none"/>
        </w:rPr>
        <w:t>% ；</w:t>
      </w:r>
      <w:r>
        <w:rPr>
          <w:rFonts w:hint="eastAsia" w:hAnsi="宋体" w:cs="宋体"/>
          <w:color w:val="auto"/>
          <w:spacing w:val="8"/>
          <w:sz w:val="21"/>
          <w:szCs w:val="21"/>
          <w:highlight w:val="none"/>
        </w:rPr>
        <w:t>如果供应商本身提供所有标的均由中小企业制造、承建或承接，视同符合了资格条件，无需再向中小企业分包，无需提供分包意向协议</w:t>
      </w:r>
      <w:r>
        <w:rPr>
          <w:rFonts w:hint="eastAsia" w:hAnsi="宋体" w:cs="宋体"/>
          <w:color w:val="auto"/>
          <w:sz w:val="21"/>
          <w:szCs w:val="21"/>
          <w:highlight w:val="none"/>
        </w:rPr>
        <w:t>；</w:t>
      </w:r>
    </w:p>
    <w:p w14:paraId="328DD636">
      <w:pPr>
        <w:shd w:val="clear" w:color="auto"/>
        <w:tabs>
          <w:tab w:val="left" w:pos="1260"/>
        </w:tabs>
        <w:autoSpaceDE/>
        <w:autoSpaceDN/>
        <w:adjustRightInd/>
        <w:spacing w:line="500" w:lineRule="exact"/>
        <w:ind w:firstLine="420" w:firstLineChars="200"/>
        <w:jc w:val="both"/>
        <w:rPr>
          <w:rFonts w:hint="eastAsia" w:hAnsi="宋体" w:cs="宋体"/>
          <w:color w:val="auto"/>
          <w:sz w:val="21"/>
          <w:szCs w:val="21"/>
          <w:highlight w:val="none"/>
          <w:lang w:bidi="ar"/>
        </w:rPr>
      </w:pPr>
      <w:r>
        <w:rPr>
          <w:rFonts w:hint="eastAsia" w:hAnsi="宋体" w:cs="宋体"/>
          <w:color w:val="auto"/>
          <w:sz w:val="21"/>
          <w:szCs w:val="21"/>
          <w:highlight w:val="none"/>
          <w:lang w:bidi="ar"/>
        </w:rPr>
        <w:t>采购项目需要落实的政府采购政策：执行节约能源、保护环境相关的节能产品政府强制采购和优先采购政策，执行环境标志产品政府优先采购政策；执行扶持不发达地区和少数民族地区、促进中小企业发展、支持监狱企业发展、促进残疾人就业、支持中小企业信用融资等政府采购政策。</w:t>
      </w:r>
      <w:bookmarkEnd w:id="15"/>
      <w:bookmarkEnd w:id="16"/>
      <w:bookmarkEnd w:id="17"/>
      <w:bookmarkEnd w:id="18"/>
      <w:bookmarkStart w:id="19" w:name="_Toc35393796"/>
      <w:bookmarkStart w:id="20" w:name="_Toc28359085"/>
      <w:bookmarkStart w:id="21" w:name="_Toc35393627"/>
      <w:bookmarkStart w:id="22" w:name="_Toc28359008"/>
    </w:p>
    <w:p w14:paraId="22251E14">
      <w:pPr>
        <w:shd w:val="clear" w:color="auto"/>
        <w:tabs>
          <w:tab w:val="left" w:pos="1260"/>
        </w:tabs>
        <w:autoSpaceDE/>
        <w:autoSpaceDN/>
        <w:adjustRightInd/>
        <w:spacing w:line="420" w:lineRule="exact"/>
        <w:ind w:firstLine="420" w:firstLineChars="200"/>
        <w:jc w:val="both"/>
        <w:rPr>
          <w:rFonts w:hint="eastAsia" w:hAnsi="宋体" w:eastAsia="宋体" w:cs="宋体"/>
          <w:color w:val="auto"/>
          <w:sz w:val="21"/>
          <w:szCs w:val="21"/>
          <w:highlight w:val="none"/>
          <w:lang w:val="en-US" w:eastAsia="zh-CN"/>
        </w:rPr>
      </w:pPr>
      <w:r>
        <w:rPr>
          <w:rFonts w:hint="eastAsia" w:hAnsi="宋体" w:cs="宋体"/>
          <w:color w:val="auto"/>
          <w:sz w:val="21"/>
          <w:szCs w:val="21"/>
          <w:highlight w:val="none"/>
        </w:rPr>
        <w:t>3.本项目的特定资格要求：</w:t>
      </w:r>
      <w:r>
        <w:rPr>
          <w:rFonts w:hint="eastAsia" w:hAnsi="宋体" w:cs="宋体"/>
          <w:color w:val="auto"/>
          <w:sz w:val="21"/>
          <w:szCs w:val="21"/>
          <w:highlight w:val="none"/>
          <w:lang w:val="en-US" w:eastAsia="zh-CN"/>
        </w:rPr>
        <w:t>无。</w:t>
      </w:r>
    </w:p>
    <w:p w14:paraId="7F05B48B">
      <w:pPr>
        <w:shd w:val="clear" w:color="auto"/>
        <w:autoSpaceDE/>
        <w:autoSpaceDN/>
        <w:adjustRightInd/>
        <w:snapToGrid w:val="0"/>
        <w:spacing w:line="500" w:lineRule="exact"/>
        <w:ind w:firstLine="420" w:firstLineChars="200"/>
        <w:rPr>
          <w:rFonts w:hint="eastAsia" w:hAnsi="宋体" w:cs="宋体"/>
          <w:color w:val="auto"/>
          <w:sz w:val="21"/>
          <w:szCs w:val="21"/>
          <w:highlight w:val="none"/>
        </w:rPr>
      </w:pPr>
      <w:r>
        <w:rPr>
          <w:rFonts w:hint="eastAsia" w:hAnsi="宋体" w:cs="宋体"/>
          <w:color w:val="auto"/>
          <w:sz w:val="21"/>
          <w:szCs w:val="21"/>
          <w:highlight w:val="none"/>
        </w:rPr>
        <w:t>4.联合体投标或分包的资格要求：</w:t>
      </w:r>
      <w:r>
        <w:rPr>
          <w:rFonts w:hint="eastAsia" w:ascii="宋体" w:hAnsi="宋体" w:eastAsia="宋体" w:cs="宋体"/>
          <w:i w:val="0"/>
          <w:iCs w:val="0"/>
          <w:caps w:val="0"/>
          <w:color w:val="auto"/>
          <w:spacing w:val="0"/>
          <w:sz w:val="21"/>
          <w:szCs w:val="21"/>
          <w:highlight w:val="none"/>
          <w:shd w:val="clear" w:color="auto" w:fill="auto"/>
        </w:rPr>
        <w:t>为了支持中小企业发展</w:t>
      </w:r>
      <w:r>
        <w:rPr>
          <w:rFonts w:hint="eastAsia" w:ascii="宋体" w:hAnsi="宋体" w:eastAsia="宋体" w:cs="宋体"/>
          <w:i w:val="0"/>
          <w:iCs w:val="0"/>
          <w:caps w:val="0"/>
          <w:color w:val="auto"/>
          <w:spacing w:val="0"/>
          <w:sz w:val="21"/>
          <w:szCs w:val="21"/>
          <w:highlight w:val="none"/>
          <w:shd w:val="clear" w:color="auto" w:fill="auto"/>
          <w:lang w:eastAsia="zh-CN"/>
        </w:rPr>
        <w:t>，</w:t>
      </w:r>
      <w:r>
        <w:rPr>
          <w:rFonts w:hint="eastAsia" w:ascii="宋体" w:hAnsi="宋体" w:eastAsia="宋体" w:cs="宋体"/>
          <w:color w:val="auto"/>
          <w:sz w:val="21"/>
          <w:szCs w:val="21"/>
          <w:highlight w:val="none"/>
          <w:lang w:val="en-US" w:eastAsia="zh-CN"/>
        </w:rPr>
        <w:t>本项目</w:t>
      </w:r>
      <w:r>
        <w:rPr>
          <w:rFonts w:hint="default" w:ascii="宋体" w:hAnsi="宋体" w:eastAsia="宋体" w:cs="宋体"/>
          <w:color w:val="auto"/>
          <w:sz w:val="21"/>
          <w:szCs w:val="21"/>
          <w:highlight w:val="none"/>
          <w:lang w:val="en-US" w:eastAsia="zh-CN"/>
        </w:rPr>
        <w:t>允许</w:t>
      </w:r>
      <w:r>
        <w:rPr>
          <w:rFonts w:hint="eastAsia" w:ascii="宋体" w:hAnsi="宋体" w:eastAsia="宋体" w:cs="宋体"/>
          <w:color w:val="auto"/>
          <w:sz w:val="21"/>
          <w:szCs w:val="21"/>
          <w:highlight w:val="none"/>
          <w:lang w:val="en-US" w:eastAsia="zh-CN"/>
        </w:rPr>
        <w:t>中</w:t>
      </w:r>
      <w:r>
        <w:rPr>
          <w:rFonts w:hint="eastAsia" w:hAnsi="宋体" w:eastAsia="宋体" w:cs="宋体"/>
          <w:color w:val="auto"/>
          <w:sz w:val="21"/>
          <w:szCs w:val="21"/>
          <w:highlight w:val="none"/>
          <w:lang w:val="en-US" w:eastAsia="zh-CN"/>
        </w:rPr>
        <w:t>小</w:t>
      </w:r>
      <w:r>
        <w:rPr>
          <w:rFonts w:hint="eastAsia" w:ascii="宋体" w:hAnsi="宋体" w:eastAsia="宋体" w:cs="宋体"/>
          <w:color w:val="auto"/>
          <w:sz w:val="21"/>
          <w:szCs w:val="21"/>
          <w:highlight w:val="none"/>
          <w:lang w:val="en-US" w:eastAsia="zh-CN"/>
        </w:rPr>
        <w:t>型企业与小微企业组成联合体参与投标，也允许中</w:t>
      </w:r>
      <w:r>
        <w:rPr>
          <w:rFonts w:hint="eastAsia" w:hAnsi="宋体" w:eastAsia="宋体" w:cs="宋体"/>
          <w:color w:val="auto"/>
          <w:sz w:val="21"/>
          <w:szCs w:val="21"/>
          <w:highlight w:val="none"/>
          <w:lang w:val="en-US" w:eastAsia="zh-CN"/>
        </w:rPr>
        <w:t>小</w:t>
      </w:r>
      <w:r>
        <w:rPr>
          <w:rFonts w:hint="eastAsia" w:ascii="宋体" w:hAnsi="宋体" w:eastAsia="宋体" w:cs="宋体"/>
          <w:color w:val="auto"/>
          <w:sz w:val="21"/>
          <w:szCs w:val="21"/>
          <w:highlight w:val="none"/>
          <w:lang w:val="en-US" w:eastAsia="zh-CN"/>
        </w:rPr>
        <w:t>型企业向小微企业合理分包，确保中小企业参与政府采购公平竞争机会。</w:t>
      </w:r>
      <w:r>
        <w:rPr>
          <w:rFonts w:hint="eastAsia" w:ascii="宋体" w:hAnsi="宋体" w:eastAsia="宋体" w:cs="宋体"/>
          <w:b w:val="0"/>
          <w:color w:val="auto"/>
          <w:sz w:val="21"/>
          <w:szCs w:val="21"/>
          <w:highlight w:val="none"/>
          <w:lang w:bidi="ar"/>
        </w:rPr>
        <w:t>组成联合体或者接受分包合同的</w:t>
      </w:r>
      <w:r>
        <w:rPr>
          <w:rFonts w:hint="eastAsia" w:hAnsi="宋体" w:eastAsia="宋体" w:cs="宋体"/>
          <w:b w:val="0"/>
          <w:color w:val="auto"/>
          <w:sz w:val="21"/>
          <w:szCs w:val="21"/>
          <w:highlight w:val="none"/>
          <w:lang w:val="en-US" w:eastAsia="zh-CN" w:bidi="ar"/>
        </w:rPr>
        <w:t>中</w:t>
      </w:r>
      <w:r>
        <w:rPr>
          <w:rFonts w:hint="eastAsia" w:ascii="宋体" w:hAnsi="宋体" w:eastAsia="宋体" w:cs="宋体"/>
          <w:b w:val="0"/>
          <w:color w:val="auto"/>
          <w:sz w:val="21"/>
          <w:szCs w:val="21"/>
          <w:highlight w:val="none"/>
          <w:lang w:bidi="ar"/>
        </w:rPr>
        <w:t>小</w:t>
      </w:r>
      <w:r>
        <w:rPr>
          <w:rFonts w:hint="eastAsia" w:ascii="宋体" w:hAnsi="宋体" w:eastAsia="宋体" w:cs="宋体"/>
          <w:b w:val="0"/>
          <w:color w:val="auto"/>
          <w:sz w:val="21"/>
          <w:szCs w:val="21"/>
          <w:highlight w:val="none"/>
          <w:lang w:val="en-US" w:eastAsia="zh-CN" w:bidi="ar"/>
        </w:rPr>
        <w:t>微</w:t>
      </w:r>
      <w:r>
        <w:rPr>
          <w:rFonts w:hint="eastAsia" w:ascii="宋体" w:hAnsi="宋体" w:eastAsia="宋体" w:cs="宋体"/>
          <w:b w:val="0"/>
          <w:color w:val="auto"/>
          <w:sz w:val="21"/>
          <w:szCs w:val="21"/>
          <w:highlight w:val="none"/>
          <w:lang w:bidi="ar"/>
        </w:rPr>
        <w:t>企业</w:t>
      </w:r>
      <w:r>
        <w:rPr>
          <w:rFonts w:hint="eastAsia" w:hAnsi="宋体" w:cs="宋体"/>
          <w:color w:val="auto"/>
          <w:sz w:val="21"/>
          <w:szCs w:val="21"/>
          <w:highlight w:val="none"/>
          <w:lang w:val="en-US" w:eastAsia="zh-CN"/>
        </w:rPr>
        <w:t>均应</w:t>
      </w:r>
      <w:r>
        <w:rPr>
          <w:rFonts w:hint="eastAsia" w:ascii="宋体" w:hAnsi="宋体" w:cs="宋体"/>
          <w:color w:val="auto"/>
          <w:sz w:val="21"/>
          <w:szCs w:val="21"/>
          <w:highlight w:val="none"/>
        </w:rPr>
        <w:t>不属于大企业的分支机构，不存在控股股东为大企业的情形，也不存在与大企业的负责人为同一人的情形。</w:t>
      </w:r>
      <w:r>
        <w:rPr>
          <w:rFonts w:hint="eastAsia" w:ascii="宋体" w:hAnsi="宋体" w:eastAsia="宋体" w:cs="宋体"/>
          <w:b w:val="0"/>
          <w:color w:val="auto"/>
          <w:sz w:val="21"/>
          <w:szCs w:val="21"/>
          <w:highlight w:val="none"/>
        </w:rPr>
        <w:t xml:space="preserve"> </w:t>
      </w:r>
      <w:r>
        <w:rPr>
          <w:rFonts w:hint="eastAsia" w:cs="宋体"/>
          <w:color w:val="auto"/>
          <w:sz w:val="21"/>
          <w:szCs w:val="21"/>
          <w:highlight w:val="none"/>
          <w:lang w:eastAsia="zh-CN"/>
        </w:rPr>
        <w:t>（</w:t>
      </w:r>
      <w:r>
        <w:rPr>
          <w:rFonts w:hint="eastAsia" w:cs="宋体"/>
          <w:color w:val="auto"/>
          <w:sz w:val="21"/>
          <w:szCs w:val="21"/>
          <w:highlight w:val="none"/>
          <w:lang w:val="en-US" w:eastAsia="zh-CN"/>
        </w:rPr>
        <w:t>联合体投标或分包时适用</w:t>
      </w:r>
      <w:r>
        <w:rPr>
          <w:rFonts w:hint="eastAsia" w:cs="宋体"/>
          <w:color w:val="auto"/>
          <w:sz w:val="21"/>
          <w:szCs w:val="21"/>
          <w:highlight w:val="none"/>
          <w:lang w:eastAsia="zh-CN"/>
        </w:rPr>
        <w:t>）</w:t>
      </w:r>
      <w:r>
        <w:rPr>
          <w:rFonts w:hint="eastAsia" w:hAnsi="宋体" w:cs="宋体"/>
          <w:color w:val="auto"/>
          <w:sz w:val="21"/>
          <w:szCs w:val="21"/>
          <w:highlight w:val="none"/>
        </w:rPr>
        <w:t xml:space="preserve"> </w:t>
      </w:r>
    </w:p>
    <w:p w14:paraId="37CABB4E">
      <w:pPr>
        <w:shd w:val="clear" w:color="auto"/>
        <w:tabs>
          <w:tab w:val="left" w:pos="1260"/>
        </w:tabs>
        <w:autoSpaceDE/>
        <w:autoSpaceDN/>
        <w:adjustRightInd/>
        <w:spacing w:line="500" w:lineRule="exact"/>
        <w:ind w:firstLine="422" w:firstLineChars="200"/>
        <w:jc w:val="both"/>
        <w:rPr>
          <w:rFonts w:hint="eastAsia" w:hAnsi="宋体" w:cs="宋体"/>
          <w:b/>
          <w:color w:val="auto"/>
          <w:sz w:val="21"/>
          <w:szCs w:val="21"/>
          <w:highlight w:val="none"/>
        </w:rPr>
      </w:pPr>
      <w:r>
        <w:rPr>
          <w:rFonts w:hint="eastAsia" w:hAnsi="宋体" w:cs="宋体"/>
          <w:b/>
          <w:color w:val="auto"/>
          <w:sz w:val="21"/>
          <w:szCs w:val="21"/>
          <w:highlight w:val="none"/>
        </w:rPr>
        <w:t>三、获取招标文件</w:t>
      </w:r>
    </w:p>
    <w:p w14:paraId="2814F1A1">
      <w:pPr>
        <w:shd w:val="clear" w:color="auto"/>
        <w:tabs>
          <w:tab w:val="left" w:pos="1260"/>
        </w:tabs>
        <w:autoSpaceDE/>
        <w:autoSpaceDN/>
        <w:adjustRightInd/>
        <w:spacing w:line="500" w:lineRule="exact"/>
        <w:ind w:firstLine="420" w:firstLineChars="200"/>
        <w:jc w:val="both"/>
        <w:rPr>
          <w:rFonts w:hint="eastAsia" w:hAnsi="宋体" w:cs="宋体"/>
          <w:color w:val="auto"/>
          <w:sz w:val="21"/>
          <w:szCs w:val="21"/>
          <w:highlight w:val="none"/>
        </w:rPr>
      </w:pPr>
      <w:r>
        <w:rPr>
          <w:rFonts w:hint="eastAsia" w:hAnsi="宋体" w:cs="宋体"/>
          <w:color w:val="auto"/>
          <w:sz w:val="21"/>
          <w:szCs w:val="21"/>
          <w:highlight w:val="none"/>
        </w:rPr>
        <w:t>1.时间：本项目公告发布之日起至</w:t>
      </w:r>
      <w:r>
        <w:rPr>
          <w:rFonts w:hint="eastAsia" w:hAnsi="宋体" w:cs="宋体"/>
          <w:color w:val="auto"/>
          <w:sz w:val="21"/>
          <w:szCs w:val="21"/>
          <w:highlight w:val="none"/>
          <w:lang w:eastAsia="zh-CN"/>
        </w:rPr>
        <w:t>2025</w:t>
      </w:r>
      <w:r>
        <w:rPr>
          <w:rFonts w:hint="eastAsia" w:hAnsi="宋体" w:cs="宋体"/>
          <w:color w:val="auto"/>
          <w:sz w:val="21"/>
          <w:szCs w:val="21"/>
          <w:highlight w:val="none"/>
        </w:rPr>
        <w:t>年</w:t>
      </w:r>
      <w:r>
        <w:rPr>
          <w:rFonts w:hint="eastAsia" w:hAnsi="宋体" w:cs="宋体"/>
          <w:color w:val="auto"/>
          <w:sz w:val="21"/>
          <w:szCs w:val="21"/>
          <w:highlight w:val="none"/>
          <w:lang w:val="en-US" w:eastAsia="zh-CN"/>
        </w:rPr>
        <w:t>4</w:t>
      </w:r>
      <w:r>
        <w:rPr>
          <w:rFonts w:hint="eastAsia" w:hAnsi="宋体" w:cs="宋体"/>
          <w:color w:val="auto"/>
          <w:sz w:val="21"/>
          <w:szCs w:val="21"/>
          <w:highlight w:val="none"/>
        </w:rPr>
        <w:t>月</w:t>
      </w:r>
      <w:r>
        <w:rPr>
          <w:rFonts w:hint="eastAsia" w:hAnsi="宋体" w:cs="宋体"/>
          <w:color w:val="auto"/>
          <w:sz w:val="21"/>
          <w:szCs w:val="21"/>
          <w:highlight w:val="none"/>
          <w:lang w:val="en-US" w:eastAsia="zh-CN"/>
        </w:rPr>
        <w:t>24</w:t>
      </w:r>
      <w:r>
        <w:rPr>
          <w:rFonts w:hint="eastAsia" w:hAnsi="宋体" w:cs="宋体"/>
          <w:color w:val="auto"/>
          <w:sz w:val="21"/>
          <w:szCs w:val="21"/>
          <w:highlight w:val="none"/>
        </w:rPr>
        <w:t>日止，每天上午00:00至12:00 ，下午12:00至23:59（北京时间）</w:t>
      </w:r>
    </w:p>
    <w:p w14:paraId="621D4218">
      <w:pPr>
        <w:pStyle w:val="43"/>
        <w:shd w:val="clear" w:color="auto"/>
        <w:spacing w:before="0" w:beforeAutospacing="0" w:after="0" w:afterAutospacing="0" w:line="500" w:lineRule="exact"/>
        <w:rPr>
          <w:rFonts w:hint="eastAsia" w:ascii="宋体" w:cs="宋体"/>
          <w:color w:val="auto"/>
          <w:sz w:val="21"/>
          <w:szCs w:val="21"/>
          <w:highlight w:val="none"/>
        </w:rPr>
      </w:pPr>
      <w:r>
        <w:rPr>
          <w:rFonts w:hint="eastAsia" w:ascii="宋体" w:cs="宋体"/>
          <w:color w:val="auto"/>
          <w:sz w:val="21"/>
          <w:szCs w:val="21"/>
          <w:highlight w:val="none"/>
          <w:shd w:val="clear" w:color="auto" w:fill="FFFFFF"/>
        </w:rPr>
        <w:t xml:space="preserve">     地点（网址）：政采云平台线上获取。</w:t>
      </w:r>
    </w:p>
    <w:p w14:paraId="7BACFC3E">
      <w:pPr>
        <w:pStyle w:val="43"/>
        <w:shd w:val="clear" w:color="auto"/>
        <w:spacing w:before="0" w:beforeAutospacing="0" w:after="0" w:afterAutospacing="0" w:line="500" w:lineRule="exact"/>
        <w:ind w:firstLine="210" w:firstLineChars="100"/>
        <w:rPr>
          <w:rFonts w:hint="eastAsia" w:ascii="宋体" w:cs="宋体"/>
          <w:color w:val="auto"/>
          <w:sz w:val="21"/>
          <w:szCs w:val="21"/>
          <w:highlight w:val="none"/>
          <w:shd w:val="clear" w:color="auto" w:fill="FFFFFF"/>
        </w:rPr>
      </w:pPr>
      <w:r>
        <w:rPr>
          <w:rFonts w:hint="eastAsia" w:ascii="宋体" w:cs="宋体"/>
          <w:color w:val="auto"/>
          <w:sz w:val="21"/>
          <w:szCs w:val="21"/>
          <w:highlight w:val="none"/>
          <w:shd w:val="clear" w:color="auto" w:fill="FFFFFF"/>
        </w:rPr>
        <w:t> 2.招标文件获取地址：登录政采云平台--后台项目采购板块点击申请获取采购文件。</w:t>
      </w:r>
    </w:p>
    <w:p w14:paraId="58FADA73">
      <w:pPr>
        <w:pStyle w:val="43"/>
        <w:shd w:val="clear" w:color="auto"/>
        <w:spacing w:before="0" w:beforeAutospacing="0" w:after="0" w:afterAutospacing="0" w:line="500" w:lineRule="exact"/>
        <w:ind w:firstLine="420" w:firstLineChars="200"/>
        <w:rPr>
          <w:rFonts w:hint="eastAsia" w:ascii="宋体" w:cs="宋体"/>
          <w:color w:val="auto"/>
          <w:sz w:val="21"/>
          <w:szCs w:val="21"/>
          <w:highlight w:val="none"/>
          <w:shd w:val="clear" w:color="auto" w:fill="FFFFFF"/>
        </w:rPr>
      </w:pPr>
      <w:r>
        <w:rPr>
          <w:rFonts w:hint="eastAsia" w:ascii="宋体" w:cs="宋体"/>
          <w:color w:val="auto"/>
          <w:sz w:val="21"/>
          <w:szCs w:val="21"/>
          <w:highlight w:val="none"/>
          <w:shd w:val="clear" w:color="auto" w:fill="FFFFFF"/>
        </w:rPr>
        <w:t>3.获取采购文件方式：供应商自行登录浙江省“政采云”平台（网址https://www.zcygov.cn）获取采购文件（供应商线上获取采购文件的流程：供应商</w:t>
      </w:r>
      <w:r>
        <w:rPr>
          <w:rFonts w:hint="eastAsia" w:ascii="宋体" w:cs="宋体"/>
          <w:color w:val="auto"/>
          <w:sz w:val="21"/>
          <w:szCs w:val="21"/>
          <w:highlight w:val="none"/>
          <w:shd w:val="clear" w:color="auto" w:fill="FFFFFF"/>
          <w:lang w:eastAsia="zh-CN"/>
        </w:rPr>
        <w:t>登录浙江省</w:t>
      </w:r>
      <w:r>
        <w:rPr>
          <w:rFonts w:hint="eastAsia" w:ascii="宋体" w:cs="宋体"/>
          <w:color w:val="auto"/>
          <w:sz w:val="21"/>
          <w:szCs w:val="21"/>
          <w:highlight w:val="none"/>
          <w:shd w:val="clear" w:color="auto" w:fill="FFFFFF"/>
        </w:rPr>
        <w:t>“政采云”平台并进入【项目采购】应用模块，点击左侧菜单的【获取采购文件】，点击对应项目的【申请获取采购文件】按钮，填写获取采购文件申请信息后，点右下角【确定】按钮提交）。 </w:t>
      </w:r>
    </w:p>
    <w:p w14:paraId="1711DE46">
      <w:pPr>
        <w:pStyle w:val="43"/>
        <w:shd w:val="clear" w:color="auto"/>
        <w:snapToGrid w:val="0"/>
        <w:spacing w:before="0" w:beforeAutospacing="0" w:after="0" w:afterAutospacing="0" w:line="500" w:lineRule="exact"/>
        <w:ind w:firstLine="420" w:firstLineChars="200"/>
        <w:rPr>
          <w:rFonts w:hint="eastAsia" w:ascii="宋体" w:cs="宋体"/>
          <w:color w:val="auto"/>
          <w:sz w:val="21"/>
          <w:szCs w:val="21"/>
          <w:highlight w:val="none"/>
          <w:shd w:val="clear" w:color="auto" w:fill="FFFFFF"/>
        </w:rPr>
      </w:pPr>
      <w:r>
        <w:rPr>
          <w:rFonts w:hint="eastAsia" w:ascii="宋体" w:cs="宋体"/>
          <w:color w:val="auto"/>
          <w:sz w:val="21"/>
          <w:szCs w:val="21"/>
          <w:highlight w:val="none"/>
          <w:shd w:val="clear" w:color="auto" w:fill="FFFFFF"/>
        </w:rPr>
        <w:t>4.售价（元）：0 </w:t>
      </w:r>
    </w:p>
    <w:p w14:paraId="5832B561">
      <w:pPr>
        <w:shd w:val="clear" w:color="auto"/>
        <w:autoSpaceDE/>
        <w:autoSpaceDN/>
        <w:adjustRightInd/>
        <w:spacing w:line="500" w:lineRule="exact"/>
        <w:ind w:firstLine="422" w:firstLineChars="200"/>
        <w:jc w:val="both"/>
        <w:rPr>
          <w:rStyle w:val="51"/>
          <w:rFonts w:hint="eastAsia" w:ascii="宋体" w:hAnsi="宋体" w:cs="宋体"/>
          <w:color w:val="auto"/>
          <w:sz w:val="21"/>
          <w:szCs w:val="21"/>
          <w:highlight w:val="none"/>
        </w:rPr>
      </w:pPr>
      <w:r>
        <w:rPr>
          <w:rStyle w:val="51"/>
          <w:rFonts w:hint="eastAsia" w:ascii="宋体" w:hAnsi="宋体" w:cs="宋体"/>
          <w:color w:val="auto"/>
          <w:sz w:val="21"/>
          <w:szCs w:val="21"/>
          <w:highlight w:val="none"/>
        </w:rPr>
        <w:t>注：</w:t>
      </w:r>
    </w:p>
    <w:p w14:paraId="4742B16B">
      <w:pPr>
        <w:pStyle w:val="46"/>
        <w:shd w:val="clear" w:color="auto"/>
        <w:spacing w:after="0" w:line="500" w:lineRule="exact"/>
        <w:ind w:left="0" w:leftChars="0" w:firstLine="422"/>
        <w:rPr>
          <w:rFonts w:hint="eastAsia" w:ascii="宋体" w:hAnsi="宋体" w:cs="宋体"/>
          <w:b/>
          <w:bCs/>
          <w:color w:val="auto"/>
          <w:kern w:val="0"/>
          <w:sz w:val="21"/>
          <w:szCs w:val="21"/>
          <w:highlight w:val="none"/>
        </w:rPr>
      </w:pPr>
      <w:r>
        <w:rPr>
          <w:rFonts w:hint="eastAsia" w:ascii="宋体" w:hAnsi="宋体" w:cs="宋体"/>
          <w:b/>
          <w:bCs/>
          <w:color w:val="auto"/>
          <w:kern w:val="0"/>
          <w:sz w:val="21"/>
          <w:szCs w:val="21"/>
          <w:highlight w:val="none"/>
        </w:rPr>
        <w:t>（1）浙江政府采购网上随公告发布的采购文件仅供阅览；供应商应按上述方式获取采购文件；未按上述方式完成获取采购文件流程的，不得对采购文件提起质疑投诉。同时请供应商在参加投标前随时关注项目的可能更正公告情况。</w:t>
      </w:r>
    </w:p>
    <w:p w14:paraId="5A80D6B7">
      <w:pPr>
        <w:shd w:val="clear" w:color="auto"/>
        <w:autoSpaceDE/>
        <w:autoSpaceDN/>
        <w:adjustRightInd/>
        <w:spacing w:line="500" w:lineRule="exact"/>
        <w:ind w:firstLine="422" w:firstLineChars="200"/>
        <w:jc w:val="both"/>
        <w:rPr>
          <w:rFonts w:hint="eastAsia" w:hAnsi="宋体" w:cs="宋体"/>
          <w:color w:val="auto"/>
          <w:highlight w:val="none"/>
        </w:rPr>
      </w:pPr>
      <w:r>
        <w:rPr>
          <w:rFonts w:hint="eastAsia" w:hAnsi="宋体" w:cs="宋体"/>
          <w:b/>
          <w:bCs/>
          <w:color w:val="auto"/>
          <w:sz w:val="21"/>
          <w:szCs w:val="21"/>
          <w:highlight w:val="none"/>
        </w:rPr>
        <w:t>（2）采购代理机构将拒绝接</w:t>
      </w:r>
      <w:r>
        <w:rPr>
          <w:rStyle w:val="51"/>
          <w:rFonts w:hint="eastAsia" w:ascii="宋体" w:hAnsi="宋体" w:cs="宋体"/>
          <w:color w:val="auto"/>
          <w:sz w:val="21"/>
          <w:szCs w:val="21"/>
          <w:highlight w:val="none"/>
        </w:rPr>
        <w:t>受非报名人的投标文件。</w:t>
      </w:r>
    </w:p>
    <w:p w14:paraId="29B44345">
      <w:pPr>
        <w:shd w:val="clear" w:color="auto"/>
        <w:tabs>
          <w:tab w:val="left" w:pos="1260"/>
        </w:tabs>
        <w:autoSpaceDE/>
        <w:autoSpaceDN/>
        <w:adjustRightInd/>
        <w:spacing w:line="500" w:lineRule="exact"/>
        <w:ind w:firstLine="422" w:firstLineChars="200"/>
        <w:jc w:val="both"/>
        <w:rPr>
          <w:rFonts w:hint="eastAsia" w:hAnsi="宋体" w:cs="宋体"/>
          <w:b/>
          <w:color w:val="auto"/>
          <w:sz w:val="21"/>
          <w:szCs w:val="21"/>
          <w:highlight w:val="none"/>
        </w:rPr>
      </w:pPr>
      <w:bookmarkStart w:id="23" w:name="_Toc28359082"/>
      <w:bookmarkStart w:id="24" w:name="_Toc28359005"/>
      <w:bookmarkStart w:id="25" w:name="_Toc35393624"/>
      <w:bookmarkStart w:id="26" w:name="_Toc35393793"/>
      <w:r>
        <w:rPr>
          <w:rFonts w:hint="eastAsia" w:hAnsi="宋体" w:cs="宋体"/>
          <w:b/>
          <w:color w:val="auto"/>
          <w:sz w:val="21"/>
          <w:szCs w:val="21"/>
          <w:highlight w:val="none"/>
        </w:rPr>
        <w:t>四、提交投标文件</w:t>
      </w:r>
      <w:bookmarkEnd w:id="23"/>
      <w:bookmarkEnd w:id="24"/>
      <w:r>
        <w:rPr>
          <w:rFonts w:hint="eastAsia" w:hAnsi="宋体" w:cs="宋体"/>
          <w:b/>
          <w:color w:val="auto"/>
          <w:sz w:val="21"/>
          <w:szCs w:val="21"/>
          <w:highlight w:val="none"/>
        </w:rPr>
        <w:t>截止时间、开标时间和地点</w:t>
      </w:r>
      <w:bookmarkEnd w:id="25"/>
      <w:bookmarkEnd w:id="26"/>
    </w:p>
    <w:p w14:paraId="6E1CC138">
      <w:pPr>
        <w:shd w:val="clear" w:color="auto"/>
        <w:tabs>
          <w:tab w:val="left" w:pos="1260"/>
        </w:tabs>
        <w:autoSpaceDE/>
        <w:autoSpaceDN/>
        <w:adjustRightInd/>
        <w:spacing w:line="500" w:lineRule="exact"/>
        <w:ind w:firstLine="420" w:firstLineChars="200"/>
        <w:jc w:val="both"/>
        <w:rPr>
          <w:rFonts w:hint="eastAsia" w:hAnsi="宋体" w:cs="宋体"/>
          <w:color w:val="auto"/>
          <w:sz w:val="21"/>
          <w:szCs w:val="21"/>
          <w:highlight w:val="none"/>
          <w:shd w:val="clear" w:color="auto" w:fill="FFFFFF"/>
        </w:rPr>
      </w:pPr>
      <w:r>
        <w:rPr>
          <w:rFonts w:hint="eastAsia" w:hAnsi="宋体" w:cs="宋体"/>
          <w:color w:val="auto"/>
          <w:sz w:val="21"/>
          <w:szCs w:val="21"/>
          <w:highlight w:val="none"/>
          <w:shd w:val="clear" w:color="auto" w:fill="FFFFFF"/>
        </w:rPr>
        <w:t>1.提交投标文件截止时间：</w:t>
      </w:r>
      <w:r>
        <w:rPr>
          <w:rFonts w:hint="eastAsia" w:hAnsi="宋体" w:cs="宋体"/>
          <w:color w:val="auto"/>
          <w:sz w:val="21"/>
          <w:szCs w:val="21"/>
          <w:highlight w:val="none"/>
          <w:shd w:val="clear" w:color="auto" w:fill="FFFFFF"/>
          <w:lang w:val="en-US" w:eastAsia="zh-CN"/>
        </w:rPr>
        <w:t>2025</w:t>
      </w:r>
      <w:r>
        <w:rPr>
          <w:rFonts w:hint="eastAsia" w:hAnsi="宋体" w:cs="宋体"/>
          <w:color w:val="auto"/>
          <w:sz w:val="21"/>
          <w:szCs w:val="21"/>
          <w:highlight w:val="none"/>
          <w:shd w:val="clear" w:color="auto" w:fill="FFFFFF"/>
        </w:rPr>
        <w:t>年</w:t>
      </w:r>
      <w:r>
        <w:rPr>
          <w:rFonts w:hint="eastAsia" w:hAnsi="宋体" w:cs="宋体"/>
          <w:color w:val="auto"/>
          <w:sz w:val="21"/>
          <w:szCs w:val="21"/>
          <w:highlight w:val="none"/>
          <w:shd w:val="clear" w:color="auto" w:fill="FFFFFF"/>
          <w:lang w:val="en-US" w:eastAsia="zh-CN"/>
        </w:rPr>
        <w:t>4</w:t>
      </w:r>
      <w:r>
        <w:rPr>
          <w:rFonts w:hint="eastAsia" w:hAnsi="宋体" w:cs="宋体"/>
          <w:color w:val="auto"/>
          <w:sz w:val="21"/>
          <w:szCs w:val="21"/>
          <w:highlight w:val="none"/>
          <w:shd w:val="clear" w:color="auto" w:fill="FFFFFF"/>
        </w:rPr>
        <w:t>月</w:t>
      </w:r>
      <w:r>
        <w:rPr>
          <w:rFonts w:hint="eastAsia" w:hAnsi="宋体" w:cs="宋体"/>
          <w:color w:val="auto"/>
          <w:sz w:val="21"/>
          <w:szCs w:val="21"/>
          <w:highlight w:val="none"/>
          <w:shd w:val="clear" w:color="auto" w:fill="FFFFFF"/>
          <w:lang w:val="en-US" w:eastAsia="zh-CN"/>
        </w:rPr>
        <w:t>24</w:t>
      </w:r>
      <w:r>
        <w:rPr>
          <w:rFonts w:hint="eastAsia" w:hAnsi="宋体" w:cs="宋体"/>
          <w:color w:val="auto"/>
          <w:sz w:val="21"/>
          <w:szCs w:val="21"/>
          <w:highlight w:val="none"/>
          <w:shd w:val="clear" w:color="auto" w:fill="FFFFFF"/>
        </w:rPr>
        <w:t>日</w:t>
      </w:r>
      <w:r>
        <w:rPr>
          <w:rFonts w:hint="eastAsia" w:hAnsi="宋体" w:cs="宋体"/>
          <w:color w:val="auto"/>
          <w:sz w:val="21"/>
          <w:szCs w:val="21"/>
          <w:highlight w:val="none"/>
          <w:shd w:val="clear" w:color="auto" w:fill="FFFFFF"/>
          <w:lang w:val="en-US" w:eastAsia="zh-CN"/>
        </w:rPr>
        <w:t>14:3</w:t>
      </w:r>
      <w:r>
        <w:rPr>
          <w:rFonts w:hint="eastAsia" w:hAnsi="宋体" w:cs="宋体"/>
          <w:color w:val="auto"/>
          <w:sz w:val="21"/>
          <w:szCs w:val="21"/>
          <w:highlight w:val="none"/>
          <w:shd w:val="clear" w:color="auto" w:fill="FFFFFF"/>
        </w:rPr>
        <w:t>0时（北京时间）</w:t>
      </w:r>
    </w:p>
    <w:p w14:paraId="5C49F34B">
      <w:pPr>
        <w:pStyle w:val="43"/>
        <w:shd w:val="clear" w:color="auto"/>
        <w:spacing w:before="0" w:beforeAutospacing="0" w:after="0" w:afterAutospacing="0" w:line="500" w:lineRule="exact"/>
        <w:ind w:firstLine="420" w:firstLineChars="200"/>
        <w:rPr>
          <w:rFonts w:hint="eastAsia" w:ascii="宋体" w:cs="宋体"/>
          <w:color w:val="auto"/>
          <w:sz w:val="21"/>
          <w:szCs w:val="21"/>
          <w:highlight w:val="none"/>
          <w:shd w:val="clear" w:color="auto" w:fill="FFFFFF"/>
        </w:rPr>
      </w:pPr>
      <w:r>
        <w:rPr>
          <w:rFonts w:hint="eastAsia" w:ascii="宋体" w:cs="宋体"/>
          <w:color w:val="auto"/>
          <w:sz w:val="21"/>
          <w:szCs w:val="21"/>
          <w:highlight w:val="none"/>
          <w:shd w:val="clear" w:color="auto" w:fill="FFFFFF"/>
        </w:rPr>
        <w:t>投标地点（网址）：通过浙江政府采购网政府采购云平台实行在线投标响应（投标人无须前往投标现场）。</w:t>
      </w:r>
    </w:p>
    <w:p w14:paraId="0BC794B7">
      <w:pPr>
        <w:pStyle w:val="43"/>
        <w:shd w:val="clear" w:color="auto"/>
        <w:spacing w:before="0" w:beforeAutospacing="0" w:after="0" w:afterAutospacing="0" w:line="500" w:lineRule="exact"/>
        <w:ind w:firstLine="420" w:firstLineChars="200"/>
        <w:rPr>
          <w:rFonts w:hint="eastAsia" w:ascii="宋体" w:cs="宋体"/>
          <w:color w:val="auto"/>
          <w:sz w:val="21"/>
          <w:szCs w:val="21"/>
          <w:highlight w:val="none"/>
        </w:rPr>
      </w:pPr>
      <w:r>
        <w:rPr>
          <w:rFonts w:hint="eastAsia" w:ascii="宋体" w:cs="宋体"/>
          <w:color w:val="auto"/>
          <w:sz w:val="21"/>
          <w:szCs w:val="21"/>
          <w:highlight w:val="none"/>
          <w:shd w:val="clear" w:color="auto" w:fill="FFFFFF"/>
        </w:rPr>
        <w:t>2</w:t>
      </w:r>
      <w:r>
        <w:rPr>
          <w:rFonts w:hint="eastAsia" w:ascii="宋体" w:cs="宋体"/>
          <w:color w:val="auto"/>
          <w:sz w:val="21"/>
          <w:szCs w:val="21"/>
          <w:highlight w:val="none"/>
        </w:rPr>
        <w:t>.</w:t>
      </w:r>
      <w:r>
        <w:rPr>
          <w:rFonts w:hint="eastAsia" w:ascii="宋体" w:cs="宋体"/>
          <w:color w:val="auto"/>
          <w:sz w:val="21"/>
          <w:szCs w:val="21"/>
          <w:highlight w:val="none"/>
          <w:shd w:val="clear" w:color="auto" w:fill="FFFFFF"/>
        </w:rPr>
        <w:t>开标时间</w:t>
      </w:r>
      <w:r>
        <w:rPr>
          <w:rFonts w:hint="eastAsia" w:ascii="宋体" w:cs="宋体"/>
          <w:color w:val="auto"/>
          <w:sz w:val="21"/>
          <w:szCs w:val="21"/>
          <w:highlight w:val="none"/>
        </w:rPr>
        <w:t>：</w:t>
      </w:r>
      <w:r>
        <w:rPr>
          <w:rFonts w:hint="eastAsia" w:hAnsi="宋体" w:cs="宋体"/>
          <w:color w:val="auto"/>
          <w:sz w:val="21"/>
          <w:szCs w:val="21"/>
          <w:highlight w:val="none"/>
          <w:shd w:val="clear" w:color="auto" w:fill="FFFFFF"/>
          <w:lang w:val="en-US" w:eastAsia="zh-CN"/>
        </w:rPr>
        <w:t>2025</w:t>
      </w:r>
      <w:r>
        <w:rPr>
          <w:rFonts w:hint="eastAsia" w:hAnsi="宋体" w:cs="宋体"/>
          <w:color w:val="auto"/>
          <w:sz w:val="21"/>
          <w:szCs w:val="21"/>
          <w:highlight w:val="none"/>
          <w:shd w:val="clear" w:color="auto" w:fill="FFFFFF"/>
        </w:rPr>
        <w:t>年</w:t>
      </w:r>
      <w:r>
        <w:rPr>
          <w:rFonts w:hint="eastAsia" w:hAnsi="宋体" w:cs="宋体"/>
          <w:color w:val="auto"/>
          <w:sz w:val="21"/>
          <w:szCs w:val="21"/>
          <w:highlight w:val="none"/>
          <w:shd w:val="clear" w:color="auto" w:fill="FFFFFF"/>
          <w:lang w:val="en-US" w:eastAsia="zh-CN"/>
        </w:rPr>
        <w:t>4</w:t>
      </w:r>
      <w:r>
        <w:rPr>
          <w:rFonts w:hint="eastAsia" w:hAnsi="宋体" w:cs="宋体"/>
          <w:color w:val="auto"/>
          <w:sz w:val="21"/>
          <w:szCs w:val="21"/>
          <w:highlight w:val="none"/>
          <w:shd w:val="clear" w:color="auto" w:fill="FFFFFF"/>
        </w:rPr>
        <w:t>月</w:t>
      </w:r>
      <w:r>
        <w:rPr>
          <w:rFonts w:hint="eastAsia" w:hAnsi="宋体" w:cs="宋体"/>
          <w:color w:val="auto"/>
          <w:sz w:val="21"/>
          <w:szCs w:val="21"/>
          <w:highlight w:val="none"/>
          <w:shd w:val="clear" w:color="auto" w:fill="FFFFFF"/>
          <w:lang w:val="en-US" w:eastAsia="zh-CN"/>
        </w:rPr>
        <w:t>2</w:t>
      </w:r>
      <w:r>
        <w:rPr>
          <w:rFonts w:hint="eastAsia" w:cs="宋体"/>
          <w:color w:val="auto"/>
          <w:sz w:val="21"/>
          <w:szCs w:val="21"/>
          <w:highlight w:val="none"/>
          <w:shd w:val="clear" w:color="auto" w:fill="FFFFFF"/>
          <w:lang w:val="en-US" w:eastAsia="zh-CN"/>
        </w:rPr>
        <w:t>4</w:t>
      </w:r>
      <w:r>
        <w:rPr>
          <w:rFonts w:hint="eastAsia" w:hAnsi="宋体" w:cs="宋体"/>
          <w:color w:val="auto"/>
          <w:sz w:val="21"/>
          <w:szCs w:val="21"/>
          <w:highlight w:val="none"/>
          <w:shd w:val="clear" w:color="auto" w:fill="FFFFFF"/>
        </w:rPr>
        <w:t>日</w:t>
      </w:r>
      <w:r>
        <w:rPr>
          <w:rFonts w:hint="eastAsia" w:cs="宋体"/>
          <w:color w:val="auto"/>
          <w:sz w:val="21"/>
          <w:szCs w:val="21"/>
          <w:highlight w:val="none"/>
          <w:shd w:val="clear" w:color="auto" w:fill="FFFFFF"/>
          <w:lang w:val="en-US" w:eastAsia="zh-CN"/>
        </w:rPr>
        <w:t>14</w:t>
      </w:r>
      <w:r>
        <w:rPr>
          <w:rFonts w:hint="eastAsia" w:hAnsi="宋体" w:cs="宋体"/>
          <w:color w:val="auto"/>
          <w:sz w:val="21"/>
          <w:szCs w:val="21"/>
          <w:highlight w:val="none"/>
          <w:shd w:val="clear" w:color="auto" w:fill="FFFFFF"/>
          <w:lang w:val="en-US" w:eastAsia="zh-CN"/>
        </w:rPr>
        <w:t>:3</w:t>
      </w:r>
      <w:r>
        <w:rPr>
          <w:rFonts w:hint="eastAsia" w:hAnsi="宋体" w:cs="宋体"/>
          <w:color w:val="auto"/>
          <w:sz w:val="21"/>
          <w:szCs w:val="21"/>
          <w:highlight w:val="none"/>
          <w:shd w:val="clear" w:color="auto" w:fill="FFFFFF"/>
        </w:rPr>
        <w:t>0</w:t>
      </w:r>
      <w:r>
        <w:rPr>
          <w:rFonts w:hint="eastAsia" w:ascii="宋体" w:hAnsi="宋体" w:eastAsia="宋体" w:cs="宋体"/>
          <w:color w:val="auto"/>
          <w:sz w:val="21"/>
          <w:szCs w:val="21"/>
          <w:highlight w:val="none"/>
          <w:shd w:val="clear" w:color="auto" w:fill="FFFFFF"/>
          <w:lang w:val="en-US" w:eastAsia="zh-CN" w:bidi="ar-SA"/>
        </w:rPr>
        <w:t>时（</w:t>
      </w:r>
      <w:r>
        <w:rPr>
          <w:rFonts w:hint="eastAsia" w:ascii="宋体" w:cs="宋体"/>
          <w:color w:val="auto"/>
          <w:sz w:val="21"/>
          <w:szCs w:val="21"/>
          <w:highlight w:val="none"/>
          <w:shd w:val="clear" w:color="auto" w:fill="FFFFFF"/>
        </w:rPr>
        <w:t>北京时间）</w:t>
      </w:r>
    </w:p>
    <w:p w14:paraId="2889F76E">
      <w:pPr>
        <w:shd w:val="clear" w:color="auto"/>
        <w:tabs>
          <w:tab w:val="left" w:pos="1260"/>
        </w:tabs>
        <w:autoSpaceDE/>
        <w:autoSpaceDN/>
        <w:adjustRightInd/>
        <w:snapToGrid w:val="0"/>
        <w:spacing w:line="500" w:lineRule="exact"/>
        <w:ind w:firstLine="420" w:firstLineChars="200"/>
        <w:jc w:val="both"/>
        <w:rPr>
          <w:rFonts w:hint="eastAsia" w:hAnsi="宋体" w:cs="宋体"/>
          <w:color w:val="auto"/>
          <w:sz w:val="21"/>
          <w:szCs w:val="21"/>
          <w:highlight w:val="none"/>
        </w:rPr>
      </w:pPr>
      <w:r>
        <w:rPr>
          <w:rFonts w:hint="eastAsia" w:hAnsi="宋体" w:cs="宋体"/>
          <w:color w:val="auto"/>
          <w:sz w:val="21"/>
          <w:szCs w:val="21"/>
          <w:highlight w:val="none"/>
          <w:shd w:val="clear" w:color="auto" w:fill="FFFFFF"/>
        </w:rPr>
        <w:t>3</w:t>
      </w:r>
      <w:r>
        <w:rPr>
          <w:rFonts w:hint="eastAsia" w:hAnsi="宋体" w:cs="宋体"/>
          <w:color w:val="auto"/>
          <w:sz w:val="21"/>
          <w:szCs w:val="21"/>
          <w:highlight w:val="none"/>
        </w:rPr>
        <w:t>.</w:t>
      </w:r>
      <w:r>
        <w:rPr>
          <w:rFonts w:hint="eastAsia" w:hAnsi="宋体" w:cs="宋体"/>
          <w:color w:val="auto"/>
          <w:sz w:val="21"/>
          <w:szCs w:val="21"/>
          <w:highlight w:val="none"/>
          <w:shd w:val="clear" w:color="auto" w:fill="FFFFFF"/>
        </w:rPr>
        <w:t>开标地点（网址）：</w:t>
      </w:r>
      <w:r>
        <w:rPr>
          <w:rFonts w:hint="eastAsia" w:hAnsi="宋体" w:cs="宋体"/>
          <w:color w:val="auto"/>
          <w:sz w:val="21"/>
          <w:szCs w:val="21"/>
          <w:highlight w:val="none"/>
        </w:rPr>
        <w:t>金华市双龙南街858号金华财富大厦（金华市行政服务中心新办事大厅4楼开标 1室）</w:t>
      </w:r>
      <w:r>
        <w:rPr>
          <w:rFonts w:hint="eastAsia" w:hAnsi="宋体" w:cs="宋体"/>
          <w:color w:val="auto"/>
          <w:sz w:val="21"/>
          <w:szCs w:val="21"/>
          <w:highlight w:val="none"/>
          <w:shd w:val="clear" w:color="auto" w:fill="FFFFFF"/>
        </w:rPr>
        <w:t xml:space="preserve"> 本项目通过浙江政府采购网政府采</w:t>
      </w:r>
      <w:r>
        <w:rPr>
          <w:rFonts w:hint="eastAsia" w:hAnsi="宋体" w:cs="宋体"/>
          <w:color w:val="auto"/>
          <w:sz w:val="21"/>
          <w:szCs w:val="21"/>
          <w:highlight w:val="none"/>
        </w:rPr>
        <w:t>购云平台在线开标，</w:t>
      </w:r>
      <w:r>
        <w:rPr>
          <w:rStyle w:val="51"/>
          <w:rFonts w:hint="eastAsia" w:ascii="宋体" w:hAnsi="宋体" w:cs="宋体"/>
          <w:b w:val="0"/>
          <w:color w:val="auto"/>
          <w:sz w:val="21"/>
          <w:szCs w:val="21"/>
          <w:highlight w:val="none"/>
        </w:rPr>
        <w:t>投标人无须前往投标现场</w:t>
      </w:r>
      <w:r>
        <w:rPr>
          <w:rStyle w:val="51"/>
          <w:rFonts w:hint="eastAsia" w:ascii="宋体" w:hAnsi="宋体" w:cs="宋体"/>
          <w:b w:val="0"/>
          <w:bCs w:val="0"/>
          <w:color w:val="auto"/>
          <w:sz w:val="21"/>
          <w:szCs w:val="21"/>
          <w:highlight w:val="none"/>
        </w:rPr>
        <w:t>。</w:t>
      </w:r>
      <w:r>
        <w:rPr>
          <w:rFonts w:hint="eastAsia" w:hAnsi="宋体" w:cs="宋体"/>
          <w:color w:val="auto"/>
          <w:sz w:val="21"/>
          <w:szCs w:val="21"/>
          <w:highlight w:val="none"/>
        </w:rPr>
        <w:t>但须准时在线参加，直至评审结束。开标截止时间后30分钟以内供应商登录“政采云”平台，用“项目采购-开标评标”功能进行解密投标文件。若供应商在规定时间内投标文件无法解密或解密失败，则投标无效。</w:t>
      </w:r>
    </w:p>
    <w:p w14:paraId="71663C7C">
      <w:pPr>
        <w:pStyle w:val="43"/>
        <w:numPr>
          <w:ilvl w:val="0"/>
          <w:numId w:val="4"/>
        </w:numPr>
        <w:shd w:val="clear" w:color="auto"/>
        <w:spacing w:before="0" w:beforeAutospacing="0" w:after="0" w:afterAutospacing="0" w:line="500" w:lineRule="exact"/>
        <w:ind w:firstLine="422" w:firstLineChars="200"/>
        <w:jc w:val="both"/>
        <w:rPr>
          <w:rStyle w:val="51"/>
          <w:rFonts w:hint="eastAsia" w:ascii="宋体" w:hAnsi="宋体" w:cs="宋体"/>
          <w:color w:val="auto"/>
          <w:sz w:val="21"/>
          <w:szCs w:val="21"/>
          <w:highlight w:val="none"/>
          <w:shd w:val="clear" w:color="auto" w:fill="FFFFFF"/>
        </w:rPr>
      </w:pPr>
      <w:bookmarkStart w:id="27" w:name="_Toc35393794"/>
      <w:bookmarkStart w:id="28" w:name="_Toc28359007"/>
      <w:bookmarkStart w:id="29" w:name="_Toc35393625"/>
      <w:bookmarkStart w:id="30" w:name="_Toc28359084"/>
      <w:r>
        <w:rPr>
          <w:rStyle w:val="51"/>
          <w:rFonts w:hint="eastAsia" w:ascii="宋体" w:hAnsi="宋体" w:cs="宋体"/>
          <w:color w:val="auto"/>
          <w:sz w:val="21"/>
          <w:szCs w:val="21"/>
          <w:highlight w:val="none"/>
          <w:shd w:val="clear" w:color="auto" w:fill="FFFFFF"/>
        </w:rPr>
        <w:t>公告期限</w:t>
      </w:r>
    </w:p>
    <w:p w14:paraId="09153877">
      <w:pPr>
        <w:shd w:val="clear" w:color="auto"/>
        <w:tabs>
          <w:tab w:val="left" w:pos="1260"/>
        </w:tabs>
        <w:autoSpaceDE/>
        <w:autoSpaceDN/>
        <w:adjustRightInd/>
        <w:snapToGrid w:val="0"/>
        <w:spacing w:line="500" w:lineRule="exact"/>
        <w:ind w:firstLine="420" w:firstLineChars="200"/>
        <w:jc w:val="both"/>
        <w:rPr>
          <w:rFonts w:hint="eastAsia" w:hAnsi="宋体" w:cs="宋体"/>
          <w:color w:val="auto"/>
          <w:sz w:val="21"/>
          <w:szCs w:val="21"/>
          <w:highlight w:val="none"/>
        </w:rPr>
      </w:pPr>
      <w:r>
        <w:rPr>
          <w:rFonts w:hint="eastAsia" w:hAnsi="宋体" w:cs="宋体"/>
          <w:color w:val="auto"/>
          <w:sz w:val="21"/>
          <w:szCs w:val="21"/>
          <w:highlight w:val="none"/>
        </w:rPr>
        <w:t>自本公告发布之日起5个工作日。</w:t>
      </w:r>
    </w:p>
    <w:p w14:paraId="10328156">
      <w:pPr>
        <w:shd w:val="clear" w:color="auto"/>
        <w:tabs>
          <w:tab w:val="left" w:pos="1260"/>
        </w:tabs>
        <w:autoSpaceDE/>
        <w:autoSpaceDN/>
        <w:adjustRightInd/>
        <w:spacing w:line="500" w:lineRule="exact"/>
        <w:ind w:firstLine="422" w:firstLineChars="200"/>
        <w:jc w:val="both"/>
        <w:rPr>
          <w:rFonts w:hint="eastAsia" w:hAnsi="宋体" w:cs="宋体"/>
          <w:color w:val="auto"/>
          <w:highlight w:val="none"/>
        </w:rPr>
      </w:pPr>
      <w:r>
        <w:rPr>
          <w:rFonts w:hint="eastAsia" w:hAnsi="宋体" w:cs="宋体"/>
          <w:b/>
          <w:color w:val="auto"/>
          <w:sz w:val="21"/>
          <w:szCs w:val="21"/>
          <w:highlight w:val="none"/>
        </w:rPr>
        <w:t>六、公告地址：</w:t>
      </w:r>
      <w:r>
        <w:rPr>
          <w:rFonts w:hint="eastAsia" w:hAnsi="宋体" w:cs="宋体"/>
          <w:color w:val="auto"/>
          <w:sz w:val="21"/>
          <w:szCs w:val="21"/>
          <w:highlight w:val="none"/>
        </w:rPr>
        <w:t>浙江政府采购网(http://zfcg.czt.zj.gov.cn/)。</w:t>
      </w:r>
    </w:p>
    <w:p w14:paraId="26FC077B">
      <w:pPr>
        <w:shd w:val="clear" w:color="auto"/>
        <w:tabs>
          <w:tab w:val="left" w:pos="1260"/>
        </w:tabs>
        <w:autoSpaceDE/>
        <w:autoSpaceDN/>
        <w:adjustRightInd/>
        <w:snapToGrid w:val="0"/>
        <w:spacing w:line="500" w:lineRule="exact"/>
        <w:ind w:firstLine="422" w:firstLineChars="200"/>
        <w:jc w:val="both"/>
        <w:rPr>
          <w:rFonts w:hint="eastAsia" w:hAnsi="宋体" w:cs="宋体"/>
          <w:color w:val="auto"/>
          <w:sz w:val="21"/>
          <w:szCs w:val="21"/>
          <w:highlight w:val="none"/>
        </w:rPr>
      </w:pPr>
      <w:r>
        <w:rPr>
          <w:rFonts w:hint="eastAsia" w:hAnsi="宋体" w:cs="宋体"/>
          <w:b/>
          <w:color w:val="auto"/>
          <w:sz w:val="21"/>
          <w:szCs w:val="21"/>
          <w:highlight w:val="none"/>
        </w:rPr>
        <w:t>七、其他补充事宜</w:t>
      </w:r>
    </w:p>
    <w:p w14:paraId="4E62366C">
      <w:pPr>
        <w:shd w:val="clear" w:color="auto"/>
        <w:tabs>
          <w:tab w:val="left" w:pos="1260"/>
        </w:tabs>
        <w:adjustRightInd/>
        <w:spacing w:line="500" w:lineRule="exact"/>
        <w:ind w:firstLine="420" w:firstLineChars="200"/>
        <w:rPr>
          <w:rFonts w:hint="eastAsia" w:hAnsi="宋体" w:cs="宋体"/>
          <w:bCs/>
          <w:color w:val="auto"/>
          <w:sz w:val="21"/>
          <w:szCs w:val="21"/>
          <w:highlight w:val="none"/>
        </w:rPr>
      </w:pPr>
      <w:r>
        <w:rPr>
          <w:rFonts w:hint="eastAsia" w:hAnsi="宋体" w:cs="宋体"/>
          <w:bCs/>
          <w:color w:val="auto"/>
          <w:sz w:val="21"/>
          <w:szCs w:val="21"/>
          <w:highlight w:val="none"/>
        </w:rPr>
        <w:t>1.《浙江省财政厅关于进一步发挥政府采购政策功能全力推动经济稳进提质的通知》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 助力扎实稳住经济的通知》（浙财采监〔2022〕8号）已分别于2022年1月29日、2022年2月1日和2022年7月1日开始实施，此前有关规定与上述文件内容不一致的，按上述文件要求执行。</w:t>
      </w:r>
    </w:p>
    <w:p w14:paraId="5ABDF04A">
      <w:pPr>
        <w:shd w:val="clear" w:color="auto"/>
        <w:tabs>
          <w:tab w:val="left" w:pos="1260"/>
        </w:tabs>
        <w:autoSpaceDE/>
        <w:autoSpaceDN/>
        <w:adjustRightInd/>
        <w:spacing w:line="500" w:lineRule="exact"/>
        <w:ind w:firstLine="420" w:firstLineChars="200"/>
        <w:rPr>
          <w:rFonts w:hint="eastAsia" w:hAnsi="宋体" w:cs="宋体"/>
          <w:bCs/>
          <w:color w:val="auto"/>
          <w:sz w:val="21"/>
          <w:szCs w:val="21"/>
          <w:highlight w:val="none"/>
        </w:rPr>
      </w:pPr>
      <w:r>
        <w:rPr>
          <w:rFonts w:hint="eastAsia" w:hAnsi="宋体" w:cs="宋体"/>
          <w:bCs/>
          <w:color w:val="auto"/>
          <w:sz w:val="21"/>
          <w:szCs w:val="21"/>
          <w:highlight w:val="none"/>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519CA76C">
      <w:pPr>
        <w:pStyle w:val="43"/>
        <w:shd w:val="clear" w:color="auto"/>
        <w:snapToGrid w:val="0"/>
        <w:spacing w:before="0" w:beforeAutospacing="0" w:after="0" w:afterAutospacing="0" w:line="500" w:lineRule="exact"/>
        <w:ind w:firstLine="420" w:firstLineChars="200"/>
        <w:rPr>
          <w:rFonts w:hint="eastAsia" w:ascii="宋体" w:cs="宋体"/>
          <w:bCs/>
          <w:color w:val="auto"/>
          <w:sz w:val="21"/>
          <w:szCs w:val="21"/>
          <w:highlight w:val="none"/>
        </w:rPr>
      </w:pPr>
      <w:r>
        <w:rPr>
          <w:rFonts w:hint="eastAsia" w:ascii="宋体" w:cs="宋体"/>
          <w:bCs/>
          <w:color w:val="auto"/>
          <w:sz w:val="21"/>
          <w:szCs w:val="21"/>
          <w:highlight w:val="none"/>
        </w:rPr>
        <w:t>3.供应商认为采购文件使自己的权益受到损害的，可以自获取采购文件之日或者采购文件公告期限届满之日（公告期限届满后获取采购文件的，以公告期限届满之日为准）起7个工作日内，对采购文件需求的以书面形式向采购人提出质疑，对其他内容的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供应商应在法定质疑期内一次性提出针对同一采购程序环节的质疑。</w:t>
      </w:r>
    </w:p>
    <w:p w14:paraId="54EE8EA0">
      <w:pPr>
        <w:shd w:val="clear" w:color="auto"/>
        <w:tabs>
          <w:tab w:val="left" w:pos="1260"/>
        </w:tabs>
        <w:adjustRightInd/>
        <w:spacing w:line="500" w:lineRule="exact"/>
        <w:ind w:firstLine="420"/>
        <w:jc w:val="both"/>
        <w:rPr>
          <w:rFonts w:hint="eastAsia" w:hAnsi="宋体" w:cs="宋体"/>
          <w:bCs/>
          <w:color w:val="auto"/>
          <w:sz w:val="21"/>
          <w:szCs w:val="21"/>
          <w:highlight w:val="none"/>
        </w:rPr>
      </w:pPr>
      <w:r>
        <w:rPr>
          <w:rFonts w:hint="eastAsia" w:hAnsi="宋体" w:cs="宋体"/>
          <w:bCs/>
          <w:color w:val="auto"/>
          <w:sz w:val="21"/>
          <w:szCs w:val="21"/>
          <w:highlight w:val="none"/>
        </w:rPr>
        <w:t>4.其他事项：</w:t>
      </w:r>
      <w:r>
        <w:rPr>
          <w:rFonts w:hint="eastAsia" w:hAnsi="宋体" w:cs="宋体"/>
          <w:bCs/>
          <w:color w:val="auto"/>
          <w:sz w:val="21"/>
          <w:szCs w:val="21"/>
          <w:highlight w:val="none"/>
          <w:lang w:bidi="ar"/>
        </w:rPr>
        <w:t>见招标文件。</w:t>
      </w:r>
      <w:r>
        <w:rPr>
          <w:rFonts w:hint="eastAsia" w:hAnsi="宋体" w:cs="宋体"/>
          <w:bCs/>
          <w:color w:val="auto"/>
          <w:sz w:val="21"/>
          <w:szCs w:val="21"/>
          <w:highlight w:val="none"/>
        </w:rPr>
        <w:t> </w:t>
      </w:r>
    </w:p>
    <w:p w14:paraId="736D9906">
      <w:pPr>
        <w:shd w:val="clear" w:color="auto"/>
        <w:tabs>
          <w:tab w:val="left" w:pos="1260"/>
        </w:tabs>
        <w:adjustRightInd/>
        <w:spacing w:line="500" w:lineRule="exact"/>
        <w:ind w:firstLine="420"/>
        <w:jc w:val="both"/>
        <w:rPr>
          <w:rFonts w:hint="eastAsia" w:hAnsi="宋体" w:cs="宋体"/>
          <w:bCs/>
          <w:color w:val="auto"/>
          <w:sz w:val="21"/>
          <w:szCs w:val="21"/>
          <w:highlight w:val="none"/>
          <w:lang w:bidi="ar"/>
        </w:rPr>
      </w:pPr>
      <w:r>
        <w:rPr>
          <w:rFonts w:hint="eastAsia" w:hAnsi="宋体" w:cs="宋体"/>
          <w:bCs/>
          <w:color w:val="auto"/>
          <w:sz w:val="21"/>
          <w:szCs w:val="21"/>
          <w:highlight w:val="none"/>
          <w:lang w:bidi="ar"/>
        </w:rPr>
        <w:t>5.企业信用融资: 省财政厅、浙江银监局、省金融办制定了《浙江省政府采购支持中小企业信用融资试点办法》浙财采监[2012]13号)，所称的政府采购信用融资，是指银行业金融机构(以下简称银行)以政府采购诚信考核和信用审查为基础，凭借政府采购合同，按优于一般中小企业的贷款利率直接向申请贷款的投标人发放贷款的一种融资方式。投标人可登录浙江政府采购网(https://zfcg.czt.zj.gov.cn/)的中小企业信用融资栏目了解相关信息。供应商可以通过浙江政府采购网(https://zfcg.czt.zj.gov.cn/)首页的“政采云金融服务”模块进入申请，还可以通过政府采购云平台(https://www.zcygov.cn/)首页的“金融服务”模块进入申请。</w:t>
      </w:r>
    </w:p>
    <w:p w14:paraId="32C4D2E8">
      <w:pPr>
        <w:shd w:val="clear" w:color="auto"/>
        <w:tabs>
          <w:tab w:val="left" w:pos="1260"/>
        </w:tabs>
        <w:autoSpaceDE/>
        <w:autoSpaceDN/>
        <w:adjustRightInd/>
        <w:spacing w:line="500" w:lineRule="exact"/>
        <w:ind w:firstLine="420"/>
        <w:jc w:val="both"/>
        <w:rPr>
          <w:rFonts w:hint="eastAsia" w:hAnsi="宋体" w:cs="宋体"/>
          <w:bCs/>
          <w:color w:val="auto"/>
          <w:sz w:val="21"/>
          <w:szCs w:val="21"/>
          <w:highlight w:val="none"/>
          <w:lang w:bidi="ar"/>
        </w:rPr>
      </w:pPr>
      <w:r>
        <w:rPr>
          <w:rFonts w:hint="eastAsia" w:hAnsi="宋体" w:cs="宋体"/>
          <w:bCs/>
          <w:color w:val="auto"/>
          <w:sz w:val="21"/>
          <w:szCs w:val="21"/>
          <w:highlight w:val="none"/>
          <w:lang w:bidi="ar"/>
        </w:rPr>
        <w:t>6.根据《浙江省财政厅关于进一步加大政府采购支持中小企业力度 助力扎实稳住经济的通知》（浙财采监〔2022〕8号）简化对政府采购供应商资格条件的形式审查，供应商书面承诺符合参与政府采购活动资格条件的，不需要再提供财务状况报告、依法缴纳税收和社会保障资金记录、无重大违法记录等证明材料。</w:t>
      </w:r>
    </w:p>
    <w:p w14:paraId="6130EFE9">
      <w:pPr>
        <w:widowControl/>
        <w:shd w:val="clear" w:color="auto"/>
        <w:tabs>
          <w:tab w:val="left" w:pos="1260"/>
        </w:tabs>
        <w:autoSpaceDE/>
        <w:autoSpaceDN/>
        <w:adjustRightInd/>
        <w:spacing w:line="500" w:lineRule="exact"/>
        <w:ind w:firstLine="420"/>
        <w:jc w:val="both"/>
        <w:rPr>
          <w:rFonts w:hint="eastAsia" w:hAnsi="宋体" w:cs="宋体"/>
          <w:b/>
          <w:color w:val="auto"/>
          <w:sz w:val="21"/>
          <w:szCs w:val="21"/>
          <w:highlight w:val="none"/>
          <w:lang w:bidi="ar"/>
        </w:rPr>
      </w:pPr>
      <w:r>
        <w:rPr>
          <w:rFonts w:hint="eastAsia" w:hAnsi="宋体" w:cs="宋体"/>
          <w:b/>
          <w:color w:val="auto"/>
          <w:sz w:val="21"/>
          <w:szCs w:val="21"/>
          <w:highlight w:val="none"/>
          <w:lang w:bidi="ar"/>
        </w:rPr>
        <w:t>政府采购金融服务提示：</w:t>
      </w:r>
    </w:p>
    <w:p w14:paraId="22DAE364">
      <w:pPr>
        <w:shd w:val="clear" w:color="auto"/>
        <w:spacing w:line="500" w:lineRule="exact"/>
        <w:ind w:firstLine="422" w:firstLineChars="200"/>
        <w:rPr>
          <w:rFonts w:hint="eastAsia" w:hAnsi="宋体" w:cs="宋体"/>
          <w:color w:val="auto"/>
          <w:sz w:val="21"/>
          <w:szCs w:val="21"/>
          <w:highlight w:val="none"/>
        </w:rPr>
      </w:pPr>
      <w:r>
        <w:rPr>
          <w:rFonts w:hint="eastAsia" w:hAnsi="宋体" w:cs="宋体"/>
          <w:b/>
          <w:bCs/>
          <w:color w:val="auto"/>
          <w:sz w:val="21"/>
          <w:szCs w:val="21"/>
          <w:highlight w:val="none"/>
        </w:rPr>
        <w:t>为扩大政府采购金融服务面，除政采云网上金融服务合作银行外，金华市范围增加线下合作银行两家，具体信息如下：</w:t>
      </w:r>
    </w:p>
    <w:p w14:paraId="1A364E60">
      <w:pPr>
        <w:shd w:val="clear" w:color="auto"/>
        <w:spacing w:line="500" w:lineRule="exact"/>
        <w:ind w:firstLine="422" w:firstLineChars="200"/>
        <w:rPr>
          <w:rFonts w:hint="eastAsia" w:hAnsi="宋体" w:cs="宋体"/>
          <w:b/>
          <w:bCs/>
          <w:color w:val="auto"/>
          <w:sz w:val="21"/>
          <w:szCs w:val="21"/>
          <w:highlight w:val="none"/>
        </w:rPr>
      </w:pPr>
      <w:r>
        <w:rPr>
          <w:rFonts w:hint="eastAsia" w:hAnsi="宋体" w:cs="宋体"/>
          <w:b/>
          <w:bCs/>
          <w:color w:val="auto"/>
          <w:sz w:val="21"/>
          <w:szCs w:val="21"/>
          <w:highlight w:val="none"/>
        </w:rPr>
        <w:t>金华银行文创支行   联系人：   姜  峰   联系电话： 13905792828   0579-82479020</w:t>
      </w:r>
    </w:p>
    <w:p w14:paraId="1EAFA0F1">
      <w:pPr>
        <w:shd w:val="clear" w:color="auto"/>
        <w:spacing w:line="500" w:lineRule="exact"/>
        <w:ind w:firstLine="422" w:firstLineChars="200"/>
        <w:rPr>
          <w:rFonts w:hint="eastAsia" w:hAnsi="宋体" w:cs="宋体"/>
          <w:color w:val="auto"/>
          <w:sz w:val="21"/>
          <w:szCs w:val="21"/>
          <w:highlight w:val="none"/>
          <w:lang w:bidi="ar"/>
        </w:rPr>
      </w:pPr>
      <w:r>
        <w:rPr>
          <w:rFonts w:hint="eastAsia" w:hAnsi="宋体" w:cs="宋体"/>
          <w:b/>
          <w:bCs/>
          <w:color w:val="auto"/>
          <w:sz w:val="21"/>
          <w:szCs w:val="21"/>
          <w:highlight w:val="none"/>
        </w:rPr>
        <w:t>浙商银行金华分行   联系人：   朱晨祥   联系电话： 15857978811   0579-82999581</w:t>
      </w:r>
    </w:p>
    <w:p w14:paraId="4010638B">
      <w:pPr>
        <w:pStyle w:val="43"/>
        <w:widowControl w:val="0"/>
        <w:shd w:val="clear" w:color="auto"/>
        <w:spacing w:before="0" w:beforeAutospacing="0" w:after="0" w:afterAutospacing="0" w:line="500" w:lineRule="exact"/>
        <w:ind w:firstLine="422" w:firstLineChars="200"/>
        <w:rPr>
          <w:rFonts w:hint="eastAsia" w:ascii="宋体" w:cs="宋体"/>
          <w:color w:val="auto"/>
          <w:sz w:val="21"/>
          <w:szCs w:val="21"/>
          <w:highlight w:val="none"/>
        </w:rPr>
      </w:pPr>
      <w:r>
        <w:rPr>
          <w:rStyle w:val="51"/>
          <w:rFonts w:hint="eastAsia" w:ascii="宋体" w:hAnsi="宋体" w:cs="宋体"/>
          <w:color w:val="auto"/>
          <w:sz w:val="21"/>
          <w:szCs w:val="21"/>
          <w:highlight w:val="none"/>
          <w:shd w:val="clear" w:color="auto" w:fill="FFFFFF"/>
        </w:rPr>
        <w:t>八、电子投标事项特别说明</w:t>
      </w:r>
    </w:p>
    <w:p w14:paraId="7C313126">
      <w:pPr>
        <w:pStyle w:val="43"/>
        <w:widowControl w:val="0"/>
        <w:shd w:val="clear" w:color="auto"/>
        <w:spacing w:before="0" w:beforeAutospacing="0" w:after="0" w:afterAutospacing="0" w:line="500" w:lineRule="exact"/>
        <w:ind w:firstLine="420" w:firstLineChars="200"/>
        <w:rPr>
          <w:rFonts w:hint="eastAsia" w:ascii="宋体" w:cs="宋体"/>
          <w:color w:val="auto"/>
          <w:sz w:val="21"/>
          <w:szCs w:val="21"/>
          <w:highlight w:val="none"/>
          <w:shd w:val="clear" w:color="auto" w:fill="FFFFFF"/>
        </w:rPr>
      </w:pPr>
      <w:r>
        <w:rPr>
          <w:rFonts w:hint="eastAsia" w:ascii="宋体" w:cs="宋体"/>
          <w:color w:val="auto"/>
          <w:sz w:val="21"/>
          <w:szCs w:val="21"/>
          <w:highlight w:val="none"/>
          <w:shd w:val="clear" w:color="auto" w:fill="FFFFFF"/>
        </w:rPr>
        <w:t>1.本项目实行电子投标，投标供应商应按照本项目采购文件和政采云平台的要求编制、加密并递交响应文件。供应商在使用系统进行投标的过程中遇到涉及平台使用的任何问题，可致电政采云平台技术支持热线咨询，联系方式：95763。</w:t>
      </w:r>
    </w:p>
    <w:p w14:paraId="3AFD07F2">
      <w:pPr>
        <w:pStyle w:val="43"/>
        <w:widowControl w:val="0"/>
        <w:shd w:val="clear" w:color="auto"/>
        <w:spacing w:before="0" w:beforeAutospacing="0" w:after="0" w:afterAutospacing="0" w:line="500" w:lineRule="exact"/>
        <w:ind w:firstLine="420" w:firstLineChars="200"/>
        <w:rPr>
          <w:rFonts w:hint="eastAsia" w:ascii="宋体" w:cs="宋体"/>
          <w:color w:val="auto"/>
          <w:sz w:val="21"/>
          <w:szCs w:val="21"/>
          <w:highlight w:val="none"/>
          <w:shd w:val="clear" w:color="auto" w:fill="FFFFFF"/>
        </w:rPr>
      </w:pPr>
      <w:r>
        <w:rPr>
          <w:rFonts w:hint="eastAsia" w:ascii="宋体" w:cs="宋体"/>
          <w:color w:val="auto"/>
          <w:sz w:val="21"/>
          <w:szCs w:val="21"/>
          <w:highlight w:val="none"/>
          <w:shd w:val="clear" w:color="auto" w:fill="FFFFFF"/>
        </w:rPr>
        <w:t>2.投标人应在开标前完成 CA 数字证书办理。（办理流程详见http://zfcg.czt.zj.gov.cn/bidClientTemplate/2019-05-27/12945.html）。完成 CA 数字证书办理预计一周左右，建议各投标人抓紧时间办理。</w:t>
      </w:r>
    </w:p>
    <w:p w14:paraId="0E64EF26">
      <w:pPr>
        <w:pStyle w:val="43"/>
        <w:shd w:val="clear" w:color="auto"/>
        <w:spacing w:before="0" w:beforeAutospacing="0" w:after="0" w:afterAutospacing="0" w:line="500" w:lineRule="exact"/>
        <w:ind w:firstLine="420" w:firstLineChars="200"/>
        <w:rPr>
          <w:rFonts w:hint="eastAsia" w:ascii="宋体" w:cs="宋体"/>
          <w:color w:val="auto"/>
          <w:sz w:val="21"/>
          <w:szCs w:val="21"/>
          <w:highlight w:val="none"/>
          <w:shd w:val="clear" w:color="auto" w:fill="FFFFFF"/>
        </w:rPr>
      </w:pPr>
      <w:r>
        <w:rPr>
          <w:rFonts w:hint="eastAsia" w:ascii="宋体" w:cs="宋体"/>
          <w:color w:val="auto"/>
          <w:sz w:val="21"/>
          <w:szCs w:val="21"/>
          <w:highlight w:val="none"/>
          <w:shd w:val="clear" w:color="auto" w:fill="FFFFFF"/>
        </w:rPr>
        <w:t>3.投标人通过政采云平台“电子交易客户端”制作响应文件，电子投标工具请供应商自行前往浙江省政府采购网下载并安装，（下载网址： http://zfcg.czt.zj.gov.cn/bidClientTemplate/2019-05-27/12946.html）。</w:t>
      </w:r>
    </w:p>
    <w:p w14:paraId="519ECD28">
      <w:pPr>
        <w:pStyle w:val="43"/>
        <w:shd w:val="clear" w:color="auto"/>
        <w:spacing w:before="0" w:beforeAutospacing="0" w:after="0" w:afterAutospacing="0" w:line="500" w:lineRule="exact"/>
        <w:ind w:firstLine="420" w:firstLineChars="200"/>
        <w:rPr>
          <w:rFonts w:hint="eastAsia" w:ascii="宋体" w:cs="宋体"/>
          <w:color w:val="auto"/>
          <w:sz w:val="21"/>
          <w:szCs w:val="21"/>
          <w:highlight w:val="none"/>
          <w:shd w:val="clear" w:color="auto" w:fill="FFFFFF"/>
        </w:rPr>
      </w:pPr>
      <w:r>
        <w:rPr>
          <w:rFonts w:hint="eastAsia" w:ascii="宋体" w:cs="宋体"/>
          <w:color w:val="auto"/>
          <w:sz w:val="21"/>
          <w:szCs w:val="21"/>
          <w:highlight w:val="none"/>
          <w:shd w:val="clear" w:color="auto" w:fill="FFFFFF"/>
        </w:rPr>
        <w:t>4.投标人将加密的电子版响应文件于投标截止时间前上传到政采云系统中。</w:t>
      </w:r>
    </w:p>
    <w:p w14:paraId="72891A78">
      <w:pPr>
        <w:pStyle w:val="43"/>
        <w:shd w:val="clear" w:color="auto"/>
        <w:spacing w:before="0" w:beforeAutospacing="0" w:after="0" w:afterAutospacing="0" w:line="500" w:lineRule="exact"/>
        <w:ind w:firstLine="420" w:firstLineChars="200"/>
        <w:rPr>
          <w:rFonts w:hint="eastAsia" w:ascii="宋体" w:cs="宋体"/>
          <w:color w:val="auto"/>
          <w:sz w:val="21"/>
          <w:szCs w:val="21"/>
          <w:highlight w:val="none"/>
          <w:shd w:val="clear" w:color="auto" w:fill="FFFFFF"/>
        </w:rPr>
      </w:pPr>
      <w:r>
        <w:rPr>
          <w:rFonts w:hint="eastAsia" w:ascii="宋体" w:cs="宋体"/>
          <w:color w:val="auto"/>
          <w:sz w:val="21"/>
          <w:szCs w:val="21"/>
          <w:highlight w:val="none"/>
          <w:shd w:val="clear" w:color="auto" w:fill="FFFFFF"/>
        </w:rPr>
        <w:t>5.具体的响应文件加密上传等操作详见政采云平台操作指南。https://edu.zcygov.cn/luban/e-biding?utm=a0004.2ef5001f.0001.0109.da8b35e0da8611e98d8937b7ef8a3544 。</w:t>
      </w:r>
    </w:p>
    <w:p w14:paraId="0C17036E">
      <w:pPr>
        <w:pStyle w:val="43"/>
        <w:shd w:val="clear" w:color="auto"/>
        <w:spacing w:before="0" w:beforeAutospacing="0" w:after="0" w:afterAutospacing="0" w:line="500" w:lineRule="exact"/>
        <w:ind w:firstLine="420" w:firstLineChars="200"/>
        <w:rPr>
          <w:rFonts w:hint="eastAsia" w:ascii="宋体" w:cs="宋体"/>
          <w:color w:val="auto"/>
          <w:sz w:val="21"/>
          <w:szCs w:val="21"/>
          <w:highlight w:val="none"/>
          <w:shd w:val="clear" w:color="auto" w:fill="FFFFFF"/>
        </w:rPr>
      </w:pPr>
      <w:r>
        <w:rPr>
          <w:rFonts w:hint="eastAsia" w:ascii="宋体" w:cs="宋体"/>
          <w:color w:val="auto"/>
          <w:sz w:val="21"/>
          <w:szCs w:val="21"/>
          <w:highlight w:val="none"/>
          <w:shd w:val="clear" w:color="auto" w:fill="FFFFFF"/>
        </w:rPr>
        <w:t>注：建议使用谷歌浏览器，使用其他浏览器可能发生无法解密等未知情况。</w:t>
      </w:r>
    </w:p>
    <w:p w14:paraId="2E40BC8E">
      <w:pPr>
        <w:shd w:val="clear" w:color="auto"/>
        <w:tabs>
          <w:tab w:val="left" w:pos="1260"/>
        </w:tabs>
        <w:autoSpaceDE/>
        <w:autoSpaceDN/>
        <w:adjustRightInd/>
        <w:snapToGrid w:val="0"/>
        <w:spacing w:line="500" w:lineRule="exact"/>
        <w:ind w:firstLine="315" w:firstLineChars="150"/>
        <w:jc w:val="both"/>
        <w:rPr>
          <w:rFonts w:hint="eastAsia" w:hAnsi="宋体" w:cs="宋体"/>
          <w:color w:val="auto"/>
          <w:sz w:val="21"/>
          <w:szCs w:val="21"/>
          <w:highlight w:val="none"/>
        </w:rPr>
      </w:pPr>
      <w:r>
        <w:rPr>
          <w:rFonts w:hint="eastAsia" w:hAnsi="宋体" w:cs="宋体"/>
          <w:color w:val="auto"/>
          <w:sz w:val="21"/>
          <w:szCs w:val="21"/>
          <w:highlight w:val="none"/>
          <w:shd w:val="clear" w:color="auto" w:fill="FFFFFF"/>
        </w:rPr>
        <w:t>6.投标人应当在投标截止时间前完成电子响应文件的传输递交，并可以补充、修改或者撤回电子响应文件。补充或者修改电子响应文件的，应当先行撤回原文件，补充、修改后重新传输递交。投标截止时间前未完成传输的，视为撤回响应文件。投标、响应截止时间后送达的投标、响应文件，将被政采云平台拒收。</w:t>
      </w:r>
    </w:p>
    <w:p w14:paraId="4FA09F5A">
      <w:pPr>
        <w:shd w:val="clear" w:color="auto"/>
        <w:tabs>
          <w:tab w:val="left" w:pos="1260"/>
        </w:tabs>
        <w:autoSpaceDE/>
        <w:autoSpaceDN/>
        <w:adjustRightInd/>
        <w:snapToGrid w:val="0"/>
        <w:spacing w:line="500" w:lineRule="exact"/>
        <w:ind w:firstLine="316" w:firstLineChars="150"/>
        <w:jc w:val="both"/>
        <w:rPr>
          <w:rFonts w:hint="eastAsia" w:hAnsi="宋体" w:cs="宋体"/>
          <w:b/>
          <w:color w:val="auto"/>
          <w:sz w:val="21"/>
          <w:szCs w:val="21"/>
          <w:highlight w:val="none"/>
        </w:rPr>
      </w:pPr>
      <w:r>
        <w:rPr>
          <w:rFonts w:hint="eastAsia" w:hAnsi="宋体" w:cs="宋体"/>
          <w:b/>
          <w:color w:val="auto"/>
          <w:sz w:val="21"/>
          <w:szCs w:val="21"/>
          <w:highlight w:val="none"/>
        </w:rPr>
        <w:t>九、对本次招标提出询问，请按以下方式联系。</w:t>
      </w:r>
    </w:p>
    <w:bookmarkEnd w:id="19"/>
    <w:bookmarkEnd w:id="20"/>
    <w:bookmarkEnd w:id="21"/>
    <w:bookmarkEnd w:id="22"/>
    <w:bookmarkEnd w:id="27"/>
    <w:bookmarkEnd w:id="28"/>
    <w:bookmarkEnd w:id="29"/>
    <w:bookmarkEnd w:id="30"/>
    <w:p w14:paraId="2937A09C">
      <w:pPr>
        <w:shd w:val="clear" w:color="auto"/>
        <w:tabs>
          <w:tab w:val="left" w:pos="1260"/>
        </w:tabs>
        <w:autoSpaceDE/>
        <w:autoSpaceDN/>
        <w:adjustRightInd/>
        <w:snapToGrid w:val="0"/>
        <w:spacing w:line="500" w:lineRule="exact"/>
        <w:ind w:firstLine="422" w:firstLineChars="200"/>
        <w:jc w:val="both"/>
        <w:rPr>
          <w:rFonts w:hint="eastAsia" w:hAnsi="宋体" w:cs="宋体"/>
          <w:b/>
          <w:color w:val="auto"/>
          <w:sz w:val="21"/>
          <w:szCs w:val="21"/>
          <w:highlight w:val="none"/>
        </w:rPr>
      </w:pPr>
      <w:r>
        <w:rPr>
          <w:rFonts w:hint="eastAsia" w:hAnsi="宋体" w:cs="宋体"/>
          <w:b/>
          <w:color w:val="auto"/>
          <w:sz w:val="21"/>
          <w:szCs w:val="21"/>
          <w:highlight w:val="none"/>
        </w:rPr>
        <w:t>1.采购人信息</w:t>
      </w:r>
    </w:p>
    <w:p w14:paraId="5AEACD54">
      <w:pPr>
        <w:shd w:val="clear" w:color="auto"/>
        <w:tabs>
          <w:tab w:val="left" w:pos="1260"/>
        </w:tabs>
        <w:autoSpaceDE/>
        <w:autoSpaceDN/>
        <w:snapToGrid w:val="0"/>
        <w:spacing w:line="500" w:lineRule="exact"/>
        <w:ind w:firstLine="420" w:firstLineChars="200"/>
        <w:rPr>
          <w:rFonts w:hint="eastAsia" w:hAnsi="宋体" w:cs="宋体"/>
          <w:color w:val="auto"/>
          <w:sz w:val="21"/>
          <w:szCs w:val="21"/>
          <w:highlight w:val="none"/>
        </w:rPr>
      </w:pPr>
      <w:r>
        <w:rPr>
          <w:rFonts w:hint="eastAsia" w:hAnsi="宋体" w:cs="宋体"/>
          <w:color w:val="auto"/>
          <w:sz w:val="21"/>
          <w:szCs w:val="21"/>
          <w:highlight w:val="none"/>
        </w:rPr>
        <w:t>名称：</w:t>
      </w:r>
      <w:r>
        <w:rPr>
          <w:rFonts w:hint="eastAsia" w:hAnsi="宋体" w:cs="宋体"/>
          <w:color w:val="auto"/>
          <w:sz w:val="21"/>
          <w:szCs w:val="21"/>
          <w:highlight w:val="none"/>
          <w:lang w:eastAsia="zh-CN"/>
        </w:rPr>
        <w:t>金华市婺城区乡村建设指导中心</w:t>
      </w:r>
      <w:r>
        <w:rPr>
          <w:rFonts w:hint="eastAsia" w:hAnsi="宋体" w:cs="宋体"/>
          <w:color w:val="auto"/>
          <w:sz w:val="21"/>
          <w:szCs w:val="21"/>
          <w:highlight w:val="none"/>
        </w:rPr>
        <w:t> 　　　　　　　　　</w:t>
      </w:r>
    </w:p>
    <w:p w14:paraId="0A4D83D7">
      <w:pPr>
        <w:shd w:val="clear" w:color="auto"/>
        <w:tabs>
          <w:tab w:val="left" w:pos="1260"/>
        </w:tabs>
        <w:autoSpaceDE/>
        <w:autoSpaceDN/>
        <w:snapToGrid w:val="0"/>
        <w:spacing w:line="500" w:lineRule="exact"/>
        <w:ind w:firstLine="420" w:firstLineChars="200"/>
        <w:rPr>
          <w:rFonts w:hint="eastAsia" w:hAnsi="宋体" w:cs="宋体"/>
          <w:color w:val="auto"/>
          <w:sz w:val="21"/>
          <w:szCs w:val="21"/>
          <w:highlight w:val="none"/>
        </w:rPr>
      </w:pPr>
      <w:r>
        <w:rPr>
          <w:rFonts w:hint="eastAsia" w:hAnsi="宋体" w:cs="宋体"/>
          <w:color w:val="auto"/>
          <w:sz w:val="21"/>
          <w:szCs w:val="21"/>
          <w:highlight w:val="none"/>
        </w:rPr>
        <w:t>地址：金华市</w:t>
      </w:r>
      <w:r>
        <w:rPr>
          <w:rFonts w:hint="eastAsia" w:hAnsi="宋体" w:cs="宋体"/>
          <w:color w:val="auto"/>
          <w:sz w:val="21"/>
          <w:szCs w:val="21"/>
          <w:highlight w:val="none"/>
          <w:lang w:val="en-US" w:eastAsia="zh-CN"/>
        </w:rPr>
        <w:t>宾虹西路2666号</w:t>
      </w:r>
      <w:r>
        <w:rPr>
          <w:rFonts w:hint="eastAsia" w:hAnsi="宋体" w:cs="宋体"/>
          <w:color w:val="auto"/>
          <w:sz w:val="21"/>
          <w:szCs w:val="21"/>
          <w:highlight w:val="none"/>
        </w:rPr>
        <w:t>       　　</w:t>
      </w:r>
    </w:p>
    <w:p w14:paraId="13936CA9">
      <w:pPr>
        <w:shd w:val="clear" w:color="auto"/>
        <w:tabs>
          <w:tab w:val="left" w:pos="1260"/>
        </w:tabs>
        <w:autoSpaceDE/>
        <w:autoSpaceDN/>
        <w:snapToGrid w:val="0"/>
        <w:spacing w:line="500" w:lineRule="exact"/>
        <w:ind w:firstLine="420" w:firstLineChars="200"/>
        <w:rPr>
          <w:rFonts w:hint="default" w:hAnsi="宋体" w:cs="宋体"/>
          <w:color w:val="auto"/>
          <w:sz w:val="21"/>
          <w:szCs w:val="21"/>
          <w:highlight w:val="none"/>
        </w:rPr>
      </w:pPr>
      <w:r>
        <w:rPr>
          <w:rFonts w:hint="eastAsia" w:hAnsi="宋体" w:cs="宋体"/>
          <w:color w:val="auto"/>
          <w:sz w:val="21"/>
          <w:szCs w:val="21"/>
          <w:highlight w:val="none"/>
        </w:rPr>
        <w:t>项目联系人（询问）：</w:t>
      </w:r>
      <w:r>
        <w:rPr>
          <w:rFonts w:hint="default" w:hAnsi="宋体" w:cs="宋体"/>
          <w:color w:val="auto"/>
          <w:sz w:val="21"/>
          <w:szCs w:val="21"/>
          <w:highlight w:val="none"/>
        </w:rPr>
        <w:t>洪蒙</w:t>
      </w:r>
    </w:p>
    <w:p w14:paraId="786120A8">
      <w:pPr>
        <w:shd w:val="clear" w:color="auto"/>
        <w:tabs>
          <w:tab w:val="left" w:pos="1260"/>
        </w:tabs>
        <w:autoSpaceDE/>
        <w:autoSpaceDN/>
        <w:snapToGrid w:val="0"/>
        <w:spacing w:line="500" w:lineRule="exact"/>
        <w:ind w:firstLine="420" w:firstLineChars="200"/>
        <w:rPr>
          <w:rFonts w:hint="default" w:hAnsi="宋体" w:cs="宋体"/>
          <w:color w:val="auto"/>
          <w:sz w:val="21"/>
          <w:szCs w:val="21"/>
          <w:highlight w:val="none"/>
        </w:rPr>
      </w:pPr>
      <w:r>
        <w:rPr>
          <w:rFonts w:hint="eastAsia" w:hAnsi="宋体" w:cs="宋体"/>
          <w:color w:val="auto"/>
          <w:sz w:val="21"/>
          <w:szCs w:val="21"/>
          <w:highlight w:val="none"/>
        </w:rPr>
        <w:t>项目联系方式（询问）：0579-</w:t>
      </w:r>
      <w:r>
        <w:rPr>
          <w:rFonts w:hint="default" w:hAnsi="宋体" w:cs="宋体"/>
          <w:color w:val="auto"/>
          <w:sz w:val="21"/>
          <w:szCs w:val="21"/>
          <w:highlight w:val="none"/>
        </w:rPr>
        <w:t>82225007</w:t>
      </w:r>
    </w:p>
    <w:p w14:paraId="5A086B8D">
      <w:pPr>
        <w:shd w:val="clear" w:color="auto"/>
        <w:tabs>
          <w:tab w:val="left" w:pos="1260"/>
        </w:tabs>
        <w:autoSpaceDE/>
        <w:autoSpaceDN/>
        <w:snapToGrid w:val="0"/>
        <w:spacing w:line="500" w:lineRule="exact"/>
        <w:ind w:firstLine="420" w:firstLineChars="200"/>
        <w:rPr>
          <w:rFonts w:hint="eastAsia" w:hAnsi="宋体" w:cs="宋体"/>
          <w:color w:val="auto"/>
          <w:sz w:val="21"/>
          <w:szCs w:val="21"/>
          <w:highlight w:val="none"/>
        </w:rPr>
      </w:pPr>
      <w:r>
        <w:rPr>
          <w:rFonts w:hint="eastAsia" w:hAnsi="宋体" w:cs="宋体"/>
          <w:color w:val="auto"/>
          <w:sz w:val="21"/>
          <w:szCs w:val="21"/>
          <w:highlight w:val="none"/>
        </w:rPr>
        <w:t>项目联系人（质疑）：</w:t>
      </w:r>
      <w:r>
        <w:rPr>
          <w:rFonts w:hint="eastAsia" w:ascii="宋体" w:hAnsi="宋体" w:eastAsia="宋体" w:cs="宋体"/>
          <w:color w:val="auto"/>
          <w:sz w:val="21"/>
          <w:szCs w:val="21"/>
          <w:highlight w:val="none"/>
          <w:lang w:val="en-US" w:eastAsia="zh-CN"/>
        </w:rPr>
        <w:t xml:space="preserve"> </w:t>
      </w:r>
      <w:r>
        <w:rPr>
          <w:rFonts w:hint="default" w:hAnsi="宋体" w:cs="宋体"/>
          <w:color w:val="auto"/>
          <w:sz w:val="21"/>
          <w:szCs w:val="21"/>
          <w:highlight w:val="none"/>
          <w:lang w:eastAsia="zh-CN"/>
        </w:rPr>
        <w:t>徐斌</w:t>
      </w:r>
      <w:r>
        <w:rPr>
          <w:rFonts w:hint="eastAsia"/>
          <w:color w:val="auto"/>
          <w:sz w:val="21"/>
          <w:szCs w:val="21"/>
          <w:highlight w:val="none"/>
          <w:lang w:val="en-US" w:eastAsia="zh-CN"/>
        </w:rPr>
        <w:t xml:space="preserve"> </w:t>
      </w:r>
      <w:r>
        <w:rPr>
          <w:rFonts w:hint="eastAsia" w:ascii="宋体" w:hAnsi="宋体" w:eastAsia="宋体" w:cs="宋体"/>
          <w:color w:val="auto"/>
          <w:sz w:val="21"/>
          <w:szCs w:val="21"/>
          <w:highlight w:val="none"/>
          <w:lang w:val="en-US" w:eastAsia="zh-CN"/>
        </w:rPr>
        <w:t xml:space="preserve"> </w:t>
      </w:r>
      <w:r>
        <w:rPr>
          <w:rFonts w:hint="eastAsia" w:hAnsi="宋体" w:cs="宋体"/>
          <w:color w:val="auto"/>
          <w:sz w:val="21"/>
          <w:szCs w:val="21"/>
          <w:highlight w:val="none"/>
        </w:rPr>
        <w:t xml:space="preserve"> </w:t>
      </w:r>
      <w:r>
        <w:rPr>
          <w:rFonts w:hint="eastAsia" w:ascii="宋体" w:hAnsi="宋体" w:eastAsia="宋体" w:cs="宋体"/>
          <w:color w:val="auto"/>
          <w:sz w:val="21"/>
          <w:szCs w:val="21"/>
          <w:highlight w:val="none"/>
          <w:lang w:val="en-US" w:eastAsia="zh-CN"/>
        </w:rPr>
        <w:t xml:space="preserve">    </w:t>
      </w:r>
      <w:r>
        <w:rPr>
          <w:rFonts w:hint="eastAsia" w:hAnsi="宋体" w:cs="宋体"/>
          <w:color w:val="auto"/>
          <w:sz w:val="21"/>
          <w:szCs w:val="21"/>
          <w:highlight w:val="none"/>
        </w:rPr>
        <w:t xml:space="preserve"> </w:t>
      </w:r>
    </w:p>
    <w:p w14:paraId="7771B4C9">
      <w:pPr>
        <w:shd w:val="clear" w:color="auto"/>
        <w:tabs>
          <w:tab w:val="left" w:pos="1260"/>
        </w:tabs>
        <w:autoSpaceDE/>
        <w:autoSpaceDN/>
        <w:snapToGrid w:val="0"/>
        <w:spacing w:line="500" w:lineRule="exact"/>
        <w:ind w:firstLine="420" w:firstLineChars="200"/>
        <w:rPr>
          <w:rFonts w:hint="default" w:hAnsi="宋体" w:cs="宋体"/>
          <w:color w:val="auto"/>
          <w:sz w:val="21"/>
          <w:szCs w:val="21"/>
          <w:highlight w:val="none"/>
        </w:rPr>
      </w:pPr>
      <w:r>
        <w:rPr>
          <w:rFonts w:hint="eastAsia" w:hAnsi="宋体" w:cs="宋体"/>
          <w:color w:val="auto"/>
          <w:sz w:val="21"/>
          <w:szCs w:val="21"/>
          <w:highlight w:val="none"/>
        </w:rPr>
        <w:t>项目联系方式（质疑）：</w:t>
      </w:r>
      <w:r>
        <w:rPr>
          <w:rFonts w:hint="eastAsia"/>
          <w:color w:val="auto"/>
          <w:sz w:val="21"/>
          <w:szCs w:val="21"/>
          <w:highlight w:val="none"/>
        </w:rPr>
        <w:t>0579-</w:t>
      </w:r>
      <w:r>
        <w:rPr>
          <w:rFonts w:hint="default"/>
          <w:color w:val="auto"/>
          <w:sz w:val="21"/>
          <w:szCs w:val="21"/>
          <w:highlight w:val="none"/>
          <w:lang w:eastAsia="zh-CN"/>
        </w:rPr>
        <w:t>82225030</w:t>
      </w:r>
    </w:p>
    <w:p w14:paraId="7912E31E">
      <w:pPr>
        <w:shd w:val="clear" w:color="auto"/>
        <w:tabs>
          <w:tab w:val="left" w:pos="1260"/>
        </w:tabs>
        <w:autoSpaceDE/>
        <w:autoSpaceDN/>
        <w:adjustRightInd/>
        <w:snapToGrid w:val="0"/>
        <w:spacing w:line="500" w:lineRule="exact"/>
        <w:ind w:firstLine="422" w:firstLineChars="200"/>
        <w:jc w:val="both"/>
        <w:rPr>
          <w:rFonts w:hint="eastAsia" w:hAnsi="宋体" w:cs="宋体"/>
          <w:b/>
          <w:color w:val="auto"/>
          <w:sz w:val="21"/>
          <w:szCs w:val="21"/>
          <w:highlight w:val="none"/>
        </w:rPr>
      </w:pPr>
      <w:r>
        <w:rPr>
          <w:rFonts w:hint="eastAsia" w:hAnsi="宋体" w:cs="宋体"/>
          <w:b/>
          <w:color w:val="auto"/>
          <w:sz w:val="21"/>
          <w:szCs w:val="21"/>
          <w:highlight w:val="none"/>
        </w:rPr>
        <w:t>2.采购代理机构信息</w:t>
      </w:r>
    </w:p>
    <w:p w14:paraId="75B70DC8">
      <w:pPr>
        <w:shd w:val="clear" w:color="auto"/>
        <w:tabs>
          <w:tab w:val="left" w:pos="1260"/>
        </w:tabs>
        <w:autoSpaceDE/>
        <w:autoSpaceDN/>
        <w:snapToGrid w:val="0"/>
        <w:spacing w:line="500" w:lineRule="exact"/>
        <w:ind w:firstLine="420" w:firstLineChars="200"/>
        <w:rPr>
          <w:rFonts w:hint="eastAsia" w:hAnsi="宋体" w:cs="宋体"/>
          <w:color w:val="auto"/>
          <w:sz w:val="21"/>
          <w:szCs w:val="21"/>
          <w:highlight w:val="none"/>
        </w:rPr>
      </w:pPr>
      <w:r>
        <w:rPr>
          <w:rFonts w:hint="eastAsia" w:hAnsi="宋体" w:cs="宋体"/>
          <w:color w:val="auto"/>
          <w:sz w:val="21"/>
          <w:szCs w:val="21"/>
          <w:highlight w:val="none"/>
        </w:rPr>
        <w:t>名称：金华市天盈招标代理有限公司 　　　　　　　　　　　</w:t>
      </w:r>
    </w:p>
    <w:p w14:paraId="2A1528EE">
      <w:pPr>
        <w:shd w:val="clear" w:color="auto"/>
        <w:tabs>
          <w:tab w:val="left" w:pos="1260"/>
        </w:tabs>
        <w:autoSpaceDE/>
        <w:autoSpaceDN/>
        <w:snapToGrid w:val="0"/>
        <w:spacing w:line="500" w:lineRule="exact"/>
        <w:ind w:firstLine="420" w:firstLineChars="200"/>
        <w:rPr>
          <w:rFonts w:hint="eastAsia" w:hAnsi="宋体" w:cs="宋体"/>
          <w:color w:val="auto"/>
          <w:sz w:val="21"/>
          <w:szCs w:val="21"/>
          <w:highlight w:val="none"/>
        </w:rPr>
      </w:pPr>
      <w:r>
        <w:rPr>
          <w:rFonts w:hint="eastAsia" w:hAnsi="宋体" w:cs="宋体"/>
          <w:color w:val="auto"/>
          <w:sz w:val="21"/>
          <w:szCs w:val="21"/>
          <w:highlight w:val="none"/>
        </w:rPr>
        <w:t>地址：金华市创新街18号南楼四楼，农科教大楼西侧 　     　</w:t>
      </w:r>
    </w:p>
    <w:p w14:paraId="158A6A12">
      <w:pPr>
        <w:shd w:val="clear" w:color="auto"/>
        <w:tabs>
          <w:tab w:val="left" w:pos="1260"/>
        </w:tabs>
        <w:autoSpaceDE/>
        <w:autoSpaceDN/>
        <w:snapToGrid w:val="0"/>
        <w:spacing w:line="500" w:lineRule="exact"/>
        <w:ind w:firstLine="420" w:firstLineChars="200"/>
        <w:rPr>
          <w:rFonts w:hint="eastAsia" w:hAnsi="宋体" w:cs="宋体"/>
          <w:color w:val="auto"/>
          <w:sz w:val="21"/>
          <w:szCs w:val="21"/>
          <w:highlight w:val="none"/>
        </w:rPr>
      </w:pPr>
      <w:r>
        <w:rPr>
          <w:rFonts w:hint="eastAsia" w:hAnsi="宋体" w:cs="宋体"/>
          <w:color w:val="auto"/>
          <w:sz w:val="21"/>
          <w:szCs w:val="21"/>
          <w:highlight w:val="none"/>
        </w:rPr>
        <w:t>项目联系人（询问）：李宗宝　   　　　　　　　　　　　</w:t>
      </w:r>
    </w:p>
    <w:p w14:paraId="281488C0">
      <w:pPr>
        <w:shd w:val="clear" w:color="auto"/>
        <w:tabs>
          <w:tab w:val="left" w:pos="1260"/>
        </w:tabs>
        <w:autoSpaceDE/>
        <w:autoSpaceDN/>
        <w:snapToGrid w:val="0"/>
        <w:spacing w:line="500" w:lineRule="exact"/>
        <w:ind w:firstLine="420" w:firstLineChars="200"/>
        <w:rPr>
          <w:rFonts w:hint="eastAsia" w:hAnsi="宋体" w:cs="宋体"/>
          <w:color w:val="auto"/>
          <w:sz w:val="21"/>
          <w:szCs w:val="21"/>
          <w:highlight w:val="none"/>
        </w:rPr>
      </w:pPr>
      <w:r>
        <w:rPr>
          <w:rFonts w:hint="eastAsia" w:hAnsi="宋体" w:cs="宋体"/>
          <w:color w:val="auto"/>
          <w:sz w:val="21"/>
          <w:szCs w:val="21"/>
          <w:highlight w:val="none"/>
        </w:rPr>
        <w:t>项目联系方式（询问）：0579-81338925、</w:t>
      </w:r>
      <w:r>
        <w:rPr>
          <w:rFonts w:hint="eastAsia" w:hAnsi="宋体" w:cs="宋体"/>
          <w:color w:val="auto"/>
          <w:sz w:val="21"/>
          <w:szCs w:val="21"/>
          <w:highlight w:val="none"/>
          <w:lang w:val="en-US" w:eastAsia="zh-CN"/>
        </w:rPr>
        <w:t>82681716</w:t>
      </w:r>
      <w:r>
        <w:rPr>
          <w:rFonts w:hint="eastAsia" w:hAnsi="宋体" w:cs="宋体"/>
          <w:color w:val="auto"/>
          <w:sz w:val="21"/>
          <w:szCs w:val="21"/>
          <w:highlight w:val="none"/>
        </w:rPr>
        <w:t>　</w:t>
      </w:r>
    </w:p>
    <w:p w14:paraId="0B722F3E">
      <w:pPr>
        <w:shd w:val="clear" w:color="auto"/>
        <w:tabs>
          <w:tab w:val="left" w:pos="1260"/>
        </w:tabs>
        <w:autoSpaceDE/>
        <w:autoSpaceDN/>
        <w:snapToGrid w:val="0"/>
        <w:spacing w:line="500" w:lineRule="exact"/>
        <w:ind w:firstLine="420" w:firstLineChars="200"/>
        <w:rPr>
          <w:rFonts w:hAnsi="宋体" w:cs="宋体"/>
          <w:bCs/>
          <w:color w:val="auto"/>
          <w:sz w:val="21"/>
          <w:szCs w:val="21"/>
          <w:highlight w:val="none"/>
        </w:rPr>
      </w:pPr>
      <w:r>
        <w:rPr>
          <w:rFonts w:hint="eastAsia" w:hAnsi="宋体" w:cs="宋体"/>
          <w:bCs/>
          <w:color w:val="auto"/>
          <w:sz w:val="21"/>
          <w:szCs w:val="21"/>
          <w:highlight w:val="none"/>
        </w:rPr>
        <w:t>质疑联系人：夏翰宇</w:t>
      </w:r>
    </w:p>
    <w:p w14:paraId="4FF65234">
      <w:pPr>
        <w:shd w:val="clear" w:color="auto"/>
        <w:tabs>
          <w:tab w:val="left" w:pos="1260"/>
        </w:tabs>
        <w:autoSpaceDE/>
        <w:autoSpaceDN/>
        <w:adjustRightInd/>
        <w:snapToGrid w:val="0"/>
        <w:spacing w:line="500" w:lineRule="exact"/>
        <w:ind w:firstLine="420" w:firstLineChars="200"/>
        <w:jc w:val="both"/>
        <w:rPr>
          <w:rFonts w:hint="eastAsia" w:hAnsi="宋体" w:cs="宋体"/>
          <w:color w:val="auto"/>
          <w:sz w:val="21"/>
          <w:szCs w:val="21"/>
          <w:highlight w:val="none"/>
        </w:rPr>
      </w:pPr>
      <w:r>
        <w:rPr>
          <w:rFonts w:hint="eastAsia" w:hAnsi="宋体" w:cs="宋体"/>
          <w:bCs/>
          <w:color w:val="auto"/>
          <w:sz w:val="21"/>
          <w:szCs w:val="21"/>
          <w:highlight w:val="none"/>
        </w:rPr>
        <w:t>质疑联系方式：</w:t>
      </w:r>
      <w:r>
        <w:rPr>
          <w:rFonts w:hint="eastAsia"/>
          <w:color w:val="auto"/>
          <w:sz w:val="21"/>
          <w:szCs w:val="21"/>
          <w:highlight w:val="none"/>
        </w:rPr>
        <w:t>0579-82474058</w:t>
      </w:r>
      <w:r>
        <w:rPr>
          <w:rFonts w:hint="eastAsia" w:hAnsi="宋体" w:cs="宋体"/>
          <w:color w:val="auto"/>
          <w:sz w:val="21"/>
          <w:szCs w:val="21"/>
          <w:highlight w:val="none"/>
        </w:rPr>
        <w:t> </w:t>
      </w:r>
    </w:p>
    <w:p w14:paraId="5219933E">
      <w:pPr>
        <w:shd w:val="clear" w:color="auto"/>
        <w:tabs>
          <w:tab w:val="left" w:pos="1260"/>
        </w:tabs>
        <w:autoSpaceDE/>
        <w:autoSpaceDN/>
        <w:adjustRightInd/>
        <w:snapToGrid w:val="0"/>
        <w:spacing w:line="500" w:lineRule="exact"/>
        <w:ind w:firstLine="422" w:firstLineChars="200"/>
        <w:jc w:val="both"/>
        <w:rPr>
          <w:rFonts w:hint="eastAsia" w:hAnsi="宋体" w:cs="宋体"/>
          <w:b/>
          <w:color w:val="auto"/>
          <w:sz w:val="21"/>
          <w:szCs w:val="21"/>
          <w:highlight w:val="none"/>
        </w:rPr>
      </w:pPr>
      <w:r>
        <w:rPr>
          <w:rFonts w:hint="eastAsia" w:hAnsi="宋体" w:cs="宋体"/>
          <w:b/>
          <w:color w:val="auto"/>
          <w:sz w:val="21"/>
          <w:szCs w:val="21"/>
          <w:highlight w:val="none"/>
        </w:rPr>
        <w:t>3.同级政府采购监督管理部门</w:t>
      </w:r>
    </w:p>
    <w:p w14:paraId="6982A250">
      <w:pPr>
        <w:shd w:val="clear" w:color="auto"/>
        <w:tabs>
          <w:tab w:val="left" w:pos="1260"/>
        </w:tabs>
        <w:autoSpaceDE/>
        <w:autoSpaceDN/>
        <w:snapToGrid w:val="0"/>
        <w:spacing w:line="500" w:lineRule="exact"/>
        <w:ind w:firstLine="420" w:firstLineChars="200"/>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rPr>
        <w:t>名 称：</w:t>
      </w:r>
      <w:r>
        <w:rPr>
          <w:rFonts w:hint="eastAsia" w:hAnsi="宋体" w:cs="宋体"/>
          <w:color w:val="auto"/>
          <w:sz w:val="21"/>
          <w:szCs w:val="21"/>
          <w:highlight w:val="none"/>
          <w:lang w:eastAsia="zh-CN"/>
        </w:rPr>
        <w:t>金华市婺城区财政局政府采购监督管理办公室</w:t>
      </w:r>
    </w:p>
    <w:p w14:paraId="1C63F1B0">
      <w:pPr>
        <w:shd w:val="clear" w:color="auto"/>
        <w:tabs>
          <w:tab w:val="left" w:pos="1260"/>
        </w:tabs>
        <w:autoSpaceDE/>
        <w:autoSpaceDN/>
        <w:snapToGrid w:val="0"/>
        <w:spacing w:line="5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联系人 ：李女士 </w:t>
      </w:r>
    </w:p>
    <w:p w14:paraId="40CD6F24">
      <w:pPr>
        <w:shd w:val="clear" w:color="auto"/>
        <w:tabs>
          <w:tab w:val="left" w:pos="1260"/>
        </w:tabs>
        <w:autoSpaceDE/>
        <w:autoSpaceDN/>
        <w:snapToGrid w:val="0"/>
        <w:spacing w:line="5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电话：0579-82487292　　　　　　</w:t>
      </w:r>
    </w:p>
    <w:p w14:paraId="17BB8CCA">
      <w:pPr>
        <w:shd w:val="clear" w:color="auto"/>
        <w:tabs>
          <w:tab w:val="left" w:pos="1260"/>
        </w:tabs>
        <w:autoSpaceDE/>
        <w:autoSpaceDN/>
        <w:adjustRightInd/>
        <w:snapToGrid w:val="0"/>
        <w:spacing w:line="500" w:lineRule="exact"/>
        <w:ind w:firstLine="420" w:firstLineChars="200"/>
        <w:jc w:val="both"/>
        <w:rPr>
          <w:rFonts w:hint="eastAsia" w:hAnsi="宋体" w:cs="宋体"/>
          <w:color w:val="auto"/>
          <w:sz w:val="21"/>
          <w:szCs w:val="21"/>
          <w:highlight w:val="none"/>
        </w:rPr>
      </w:pPr>
      <w:r>
        <w:rPr>
          <w:rFonts w:hint="eastAsia" w:hAnsi="宋体" w:cs="宋体"/>
          <w:color w:val="auto"/>
          <w:sz w:val="21"/>
          <w:szCs w:val="21"/>
          <w:highlight w:val="none"/>
        </w:rPr>
        <w:t xml:space="preserve"> 　</w:t>
      </w:r>
    </w:p>
    <w:p w14:paraId="4B945881">
      <w:pPr>
        <w:pStyle w:val="43"/>
        <w:shd w:val="clear" w:color="auto"/>
        <w:spacing w:before="0" w:beforeAutospacing="0" w:after="0" w:afterAutospacing="0" w:line="500" w:lineRule="exact"/>
        <w:ind w:firstLine="422" w:firstLineChars="200"/>
        <w:rPr>
          <w:rStyle w:val="51"/>
          <w:rFonts w:hint="eastAsia" w:ascii="宋体" w:hAnsi="宋体" w:cs="宋体"/>
          <w:color w:val="auto"/>
          <w:sz w:val="21"/>
          <w:szCs w:val="21"/>
          <w:highlight w:val="none"/>
          <w:shd w:val="clear" w:color="auto" w:fill="FFFFFF"/>
        </w:rPr>
      </w:pPr>
    </w:p>
    <w:p w14:paraId="5158EEA7">
      <w:pPr>
        <w:pStyle w:val="43"/>
        <w:shd w:val="clear" w:color="auto"/>
        <w:spacing w:before="0" w:beforeAutospacing="0" w:after="0" w:afterAutospacing="0" w:line="500" w:lineRule="exact"/>
        <w:ind w:firstLine="422" w:firstLineChars="200"/>
        <w:rPr>
          <w:rStyle w:val="51"/>
          <w:rFonts w:hint="eastAsia" w:ascii="宋体" w:hAnsi="宋体" w:cs="宋体"/>
          <w:color w:val="auto"/>
          <w:sz w:val="21"/>
          <w:szCs w:val="21"/>
          <w:highlight w:val="none"/>
          <w:shd w:val="clear" w:color="auto" w:fill="FFFFFF"/>
        </w:rPr>
      </w:pPr>
    </w:p>
    <w:p w14:paraId="09E26E48">
      <w:pPr>
        <w:shd w:val="clear" w:color="auto"/>
        <w:rPr>
          <w:rFonts w:hint="eastAsia"/>
          <w:color w:val="auto"/>
          <w:highlight w:val="none"/>
        </w:rPr>
      </w:pPr>
    </w:p>
    <w:p w14:paraId="1B5F705F">
      <w:pPr>
        <w:pStyle w:val="43"/>
        <w:shd w:val="clear" w:color="auto"/>
        <w:spacing w:before="0" w:beforeAutospacing="0" w:after="0" w:afterAutospacing="0" w:line="500" w:lineRule="exact"/>
        <w:ind w:firstLine="422" w:firstLineChars="200"/>
        <w:rPr>
          <w:rStyle w:val="51"/>
          <w:rFonts w:hint="eastAsia" w:ascii="宋体" w:hAnsi="宋体" w:cs="宋体"/>
          <w:color w:val="auto"/>
          <w:sz w:val="21"/>
          <w:szCs w:val="21"/>
          <w:highlight w:val="none"/>
          <w:shd w:val="clear" w:color="auto" w:fill="FFFFFF"/>
        </w:rPr>
      </w:pPr>
    </w:p>
    <w:p w14:paraId="22DB831F">
      <w:pPr>
        <w:shd w:val="clear" w:color="auto"/>
        <w:rPr>
          <w:rFonts w:hint="eastAsia" w:hAnsi="宋体" w:cs="宋体"/>
          <w:color w:val="auto"/>
          <w:highlight w:val="none"/>
        </w:rPr>
      </w:pPr>
    </w:p>
    <w:p w14:paraId="52DC54E1">
      <w:pPr>
        <w:pStyle w:val="43"/>
        <w:shd w:val="clear" w:color="auto"/>
        <w:spacing w:before="0" w:beforeAutospacing="0" w:after="0" w:afterAutospacing="0" w:line="500" w:lineRule="exact"/>
        <w:ind w:firstLine="422" w:firstLineChars="200"/>
        <w:rPr>
          <w:rStyle w:val="51"/>
          <w:rFonts w:hint="eastAsia" w:ascii="宋体" w:hAnsi="宋体" w:cs="宋体"/>
          <w:color w:val="auto"/>
          <w:sz w:val="21"/>
          <w:szCs w:val="21"/>
          <w:highlight w:val="none"/>
          <w:shd w:val="clear" w:color="auto" w:fill="FFFFFF"/>
        </w:rPr>
      </w:pPr>
    </w:p>
    <w:p w14:paraId="0618C7D4">
      <w:pPr>
        <w:shd w:val="clear" w:color="auto"/>
        <w:rPr>
          <w:rFonts w:hint="eastAsia" w:hAnsi="宋体" w:cs="宋体"/>
          <w:color w:val="auto"/>
          <w:highlight w:val="none"/>
        </w:rPr>
      </w:pPr>
    </w:p>
    <w:p w14:paraId="4A2D5FE1">
      <w:pPr>
        <w:pStyle w:val="43"/>
        <w:shd w:val="clear" w:color="auto"/>
        <w:spacing w:before="0" w:beforeAutospacing="0" w:after="0" w:afterAutospacing="0" w:line="500" w:lineRule="exact"/>
        <w:ind w:firstLine="422" w:firstLineChars="200"/>
        <w:rPr>
          <w:rStyle w:val="51"/>
          <w:rFonts w:hint="eastAsia" w:ascii="宋体" w:hAnsi="宋体" w:cs="宋体"/>
          <w:color w:val="auto"/>
          <w:sz w:val="21"/>
          <w:szCs w:val="21"/>
          <w:highlight w:val="none"/>
          <w:shd w:val="clear" w:color="auto" w:fill="FFFFFF"/>
        </w:rPr>
      </w:pPr>
    </w:p>
    <w:bookmarkEnd w:id="6"/>
    <w:bookmarkEnd w:id="7"/>
    <w:bookmarkEnd w:id="8"/>
    <w:bookmarkEnd w:id="9"/>
    <w:p w14:paraId="3BF27874">
      <w:pPr>
        <w:pStyle w:val="4"/>
        <w:keepNext w:val="0"/>
        <w:shd w:val="clear" w:color="auto"/>
        <w:spacing w:line="360" w:lineRule="auto"/>
        <w:jc w:val="center"/>
        <w:rPr>
          <w:rFonts w:hint="eastAsia" w:ascii="宋体" w:hAnsi="宋体" w:cs="宋体"/>
          <w:color w:val="auto"/>
          <w:sz w:val="30"/>
          <w:szCs w:val="30"/>
          <w:highlight w:val="none"/>
        </w:rPr>
      </w:pPr>
      <w:bookmarkStart w:id="31" w:name="_Toc351559941"/>
      <w:bookmarkStart w:id="32" w:name="_Toc28191"/>
      <w:bookmarkStart w:id="33" w:name="_Toc24989"/>
      <w:bookmarkStart w:id="34" w:name="_Toc32238"/>
      <w:r>
        <w:rPr>
          <w:rFonts w:hint="eastAsia" w:ascii="宋体" w:hAnsi="宋体" w:cs="宋体"/>
          <w:color w:val="auto"/>
          <w:sz w:val="30"/>
          <w:szCs w:val="30"/>
          <w:highlight w:val="none"/>
        </w:rPr>
        <w:br w:type="page"/>
      </w:r>
      <w:bookmarkStart w:id="35" w:name="_Toc20758"/>
      <w:r>
        <w:rPr>
          <w:rFonts w:hint="eastAsia" w:ascii="宋体" w:hAnsi="宋体" w:cs="宋体"/>
          <w:color w:val="auto"/>
          <w:sz w:val="30"/>
          <w:szCs w:val="30"/>
          <w:highlight w:val="none"/>
        </w:rPr>
        <w:t>第二章  招标需求</w:t>
      </w:r>
      <w:bookmarkEnd w:id="31"/>
      <w:bookmarkEnd w:id="32"/>
      <w:bookmarkEnd w:id="33"/>
      <w:bookmarkEnd w:id="34"/>
      <w:bookmarkEnd w:id="35"/>
    </w:p>
    <w:p w14:paraId="45D58EE1">
      <w:pPr>
        <w:keepNext w:val="0"/>
        <w:keepLines w:val="0"/>
        <w:pageBreakBefore w:val="0"/>
        <w:widowControl w:val="0"/>
        <w:shd w:val="clear"/>
        <w:kinsoku/>
        <w:wordWrap/>
        <w:overflowPunct/>
        <w:topLinePunct w:val="0"/>
        <w:autoSpaceDE w:val="0"/>
        <w:autoSpaceDN w:val="0"/>
        <w:bidi w:val="0"/>
        <w:adjustRightInd w:val="0"/>
        <w:snapToGrid/>
        <w:spacing w:line="500" w:lineRule="exact"/>
        <w:ind w:firstLine="422" w:firstLineChars="200"/>
        <w:textAlignment w:val="auto"/>
        <w:rPr>
          <w:rFonts w:hint="eastAsia" w:ascii="宋体" w:hAnsi="Times New Roman" w:eastAsia="宋体" w:cs="Times New Roman"/>
          <w:color w:val="auto"/>
          <w:sz w:val="21"/>
          <w:szCs w:val="21"/>
          <w:highlight w:val="none"/>
          <w:lang w:eastAsia="zh-CN"/>
        </w:rPr>
      </w:pPr>
      <w:bookmarkStart w:id="36" w:name="_Toc14294_WPSOffice_Level1"/>
      <w:bookmarkStart w:id="37" w:name="_Toc487792261"/>
      <w:bookmarkStart w:id="38" w:name="_Toc32525"/>
      <w:bookmarkStart w:id="39" w:name="_Toc487792301"/>
      <w:bookmarkStart w:id="40" w:name="_Toc236047431"/>
      <w:bookmarkStart w:id="41" w:name="_Toc25588"/>
      <w:bookmarkStart w:id="42" w:name="_Toc13784_WPSOffice_Level1"/>
      <w:bookmarkStart w:id="43" w:name="_Toc149724252"/>
      <w:bookmarkStart w:id="44" w:name="_Toc16467"/>
      <w:bookmarkStart w:id="45" w:name="_Toc4494_WPSOffice_Level1"/>
      <w:bookmarkStart w:id="46" w:name="_Toc342633574"/>
      <w:bookmarkStart w:id="47" w:name="_Toc4853_WPSOffice_Level1"/>
      <w:bookmarkStart w:id="48" w:name="_Toc29945_WPSOffice_Level1"/>
      <w:bookmarkStart w:id="49" w:name="_Toc294777238"/>
      <w:bookmarkStart w:id="50" w:name="_Toc359230105"/>
      <w:bookmarkStart w:id="51" w:name="_Toc16694"/>
      <w:bookmarkStart w:id="52" w:name="_Toc204483585"/>
      <w:bookmarkStart w:id="53" w:name="_Toc351559942"/>
      <w:r>
        <w:rPr>
          <w:rFonts w:hint="eastAsia" w:ascii="宋体" w:hAnsi="Times New Roman" w:eastAsia="宋体" w:cs="Times New Roman"/>
          <w:b/>
          <w:bCs/>
          <w:color w:val="auto"/>
          <w:sz w:val="21"/>
          <w:szCs w:val="21"/>
          <w:highlight w:val="none"/>
        </w:rPr>
        <w:t>一、项目</w:t>
      </w:r>
      <w:r>
        <w:rPr>
          <w:rFonts w:hint="eastAsia" w:ascii="宋体" w:hAnsi="Times New Roman" w:eastAsia="宋体" w:cs="Times New Roman"/>
          <w:b/>
          <w:bCs/>
          <w:color w:val="auto"/>
          <w:sz w:val="21"/>
          <w:szCs w:val="21"/>
          <w:highlight w:val="none"/>
          <w:lang w:val="en-US" w:eastAsia="zh-CN"/>
        </w:rPr>
        <w:t>概况</w:t>
      </w:r>
    </w:p>
    <w:p w14:paraId="466C79D1">
      <w:pPr>
        <w:keepNext w:val="0"/>
        <w:keepLines w:val="0"/>
        <w:pageBreakBefore w:val="0"/>
        <w:widowControl w:val="0"/>
        <w:shd w:val="clear"/>
        <w:kinsoku/>
        <w:wordWrap/>
        <w:overflowPunct/>
        <w:topLinePunct w:val="0"/>
        <w:autoSpaceDE w:val="0"/>
        <w:autoSpaceDN w:val="0"/>
        <w:bidi w:val="0"/>
        <w:adjustRightInd w:val="0"/>
        <w:snapToGrid/>
        <w:spacing w:line="500" w:lineRule="exact"/>
        <w:ind w:firstLine="420" w:firstLineChars="200"/>
        <w:textAlignment w:val="auto"/>
        <w:rPr>
          <w:rFonts w:hint="eastAsia" w:ascii="宋体" w:hAnsi="Times New Roman" w:eastAsia="宋体" w:cs="Times New Roman"/>
          <w:color w:val="auto"/>
          <w:sz w:val="21"/>
          <w:szCs w:val="21"/>
          <w:highlight w:val="none"/>
        </w:rPr>
      </w:pPr>
      <w:r>
        <w:rPr>
          <w:rFonts w:hint="eastAsia" w:ascii="宋体" w:hAnsi="Times New Roman" w:eastAsia="宋体" w:cs="Times New Roman"/>
          <w:color w:val="auto"/>
          <w:sz w:val="21"/>
          <w:szCs w:val="21"/>
          <w:highlight w:val="none"/>
        </w:rPr>
        <w:t>为进一步提升农村人居环境长效管理水平，建立全面、统一、公平、有效的长效管理评估整改机制，需开展2025-2026年农村人居环境长效管理第三方机构评估服务招标，以政府采购的方式公开招标</w:t>
      </w:r>
      <w:r>
        <w:rPr>
          <w:rFonts w:hint="eastAsia" w:cs="Times New Roman"/>
          <w:color w:val="auto"/>
          <w:sz w:val="21"/>
          <w:szCs w:val="21"/>
          <w:highlight w:val="none"/>
          <w:lang w:val="en-US" w:eastAsia="zh-CN"/>
        </w:rPr>
        <w:t>选定一家服务机构开展评估工作</w:t>
      </w:r>
      <w:r>
        <w:rPr>
          <w:rFonts w:hint="eastAsia" w:ascii="宋体" w:hAnsi="Times New Roman" w:eastAsia="宋体" w:cs="Times New Roman"/>
          <w:color w:val="auto"/>
          <w:sz w:val="21"/>
          <w:szCs w:val="21"/>
          <w:highlight w:val="none"/>
        </w:rPr>
        <w:t>。</w:t>
      </w:r>
    </w:p>
    <w:p w14:paraId="44428854">
      <w:pPr>
        <w:keepNext w:val="0"/>
        <w:keepLines w:val="0"/>
        <w:pageBreakBefore w:val="0"/>
        <w:widowControl w:val="0"/>
        <w:shd w:val="clear"/>
        <w:kinsoku/>
        <w:wordWrap/>
        <w:overflowPunct/>
        <w:topLinePunct w:val="0"/>
        <w:autoSpaceDE w:val="0"/>
        <w:autoSpaceDN w:val="0"/>
        <w:bidi w:val="0"/>
        <w:adjustRightInd w:val="0"/>
        <w:snapToGrid/>
        <w:spacing w:line="500" w:lineRule="exact"/>
        <w:ind w:firstLine="422" w:firstLineChars="200"/>
        <w:textAlignment w:val="auto"/>
        <w:rPr>
          <w:rFonts w:hint="default" w:ascii="宋体" w:hAnsi="Times New Roman" w:eastAsia="宋体" w:cs="Times New Roman"/>
          <w:b/>
          <w:bCs/>
          <w:color w:val="auto"/>
          <w:sz w:val="21"/>
          <w:szCs w:val="21"/>
          <w:highlight w:val="none"/>
          <w:lang w:val="en-US" w:eastAsia="zh-CN"/>
        </w:rPr>
      </w:pPr>
      <w:r>
        <w:rPr>
          <w:rFonts w:hint="eastAsia" w:ascii="宋体" w:hAnsi="Times New Roman" w:eastAsia="宋体" w:cs="Times New Roman"/>
          <w:b/>
          <w:bCs/>
          <w:color w:val="auto"/>
          <w:sz w:val="21"/>
          <w:szCs w:val="21"/>
          <w:highlight w:val="none"/>
          <w:lang w:val="en-US" w:eastAsia="zh-CN"/>
        </w:rPr>
        <w:t>二</w:t>
      </w:r>
      <w:r>
        <w:rPr>
          <w:rFonts w:hint="eastAsia" w:ascii="宋体" w:hAnsi="Times New Roman" w:eastAsia="宋体" w:cs="Times New Roman"/>
          <w:b/>
          <w:bCs/>
          <w:color w:val="auto"/>
          <w:sz w:val="21"/>
          <w:szCs w:val="21"/>
          <w:highlight w:val="none"/>
        </w:rPr>
        <w:t>、</w:t>
      </w:r>
      <w:r>
        <w:rPr>
          <w:rFonts w:hint="eastAsia" w:ascii="宋体" w:hAnsi="Times New Roman" w:eastAsia="宋体" w:cs="Times New Roman"/>
          <w:b/>
          <w:bCs/>
          <w:color w:val="auto"/>
          <w:sz w:val="21"/>
          <w:szCs w:val="21"/>
          <w:highlight w:val="none"/>
          <w:lang w:val="en-US" w:eastAsia="zh-CN"/>
        </w:rPr>
        <w:t>项目内容</w:t>
      </w:r>
    </w:p>
    <w:p w14:paraId="2313C3A4">
      <w:pPr>
        <w:keepNext w:val="0"/>
        <w:keepLines w:val="0"/>
        <w:pageBreakBefore w:val="0"/>
        <w:widowControl w:val="0"/>
        <w:shd w:val="clear"/>
        <w:kinsoku/>
        <w:wordWrap/>
        <w:overflowPunct/>
        <w:topLinePunct w:val="0"/>
        <w:autoSpaceDE w:val="0"/>
        <w:autoSpaceDN w:val="0"/>
        <w:bidi w:val="0"/>
        <w:adjustRightInd w:val="0"/>
        <w:snapToGrid/>
        <w:spacing w:line="500" w:lineRule="exact"/>
        <w:ind w:firstLine="420" w:firstLineChars="200"/>
        <w:textAlignment w:val="auto"/>
        <w:rPr>
          <w:rFonts w:hint="eastAsia" w:ascii="宋体" w:hAnsi="Times New Roman" w:eastAsia="宋体" w:cs="Times New Roman"/>
          <w:b w:val="0"/>
          <w:bCs w:val="0"/>
          <w:color w:val="auto"/>
          <w:sz w:val="21"/>
          <w:szCs w:val="21"/>
          <w:highlight w:val="none"/>
        </w:rPr>
      </w:pPr>
      <w:r>
        <w:rPr>
          <w:rFonts w:hint="eastAsia" w:ascii="宋体" w:hAnsi="Times New Roman" w:eastAsia="宋体" w:cs="Times New Roman"/>
          <w:b w:val="0"/>
          <w:bCs w:val="0"/>
          <w:color w:val="auto"/>
          <w:sz w:val="21"/>
          <w:szCs w:val="21"/>
          <w:highlight w:val="none"/>
          <w:lang w:eastAsia="zh-CN"/>
        </w:rPr>
        <w:t>（</w:t>
      </w:r>
      <w:r>
        <w:rPr>
          <w:rFonts w:hint="eastAsia" w:ascii="宋体" w:hAnsi="Times New Roman" w:eastAsia="宋体" w:cs="Times New Roman"/>
          <w:b w:val="0"/>
          <w:bCs w:val="0"/>
          <w:color w:val="auto"/>
          <w:sz w:val="21"/>
          <w:szCs w:val="21"/>
          <w:highlight w:val="none"/>
          <w:lang w:val="en-US" w:eastAsia="zh-CN"/>
        </w:rPr>
        <w:t>一</w:t>
      </w:r>
      <w:r>
        <w:rPr>
          <w:rFonts w:hint="eastAsia" w:ascii="宋体" w:hAnsi="Times New Roman" w:eastAsia="宋体" w:cs="Times New Roman"/>
          <w:b w:val="0"/>
          <w:bCs w:val="0"/>
          <w:color w:val="auto"/>
          <w:sz w:val="21"/>
          <w:szCs w:val="21"/>
          <w:highlight w:val="none"/>
          <w:lang w:eastAsia="zh-CN"/>
        </w:rPr>
        <w:t>）</w:t>
      </w:r>
      <w:r>
        <w:rPr>
          <w:rFonts w:hint="eastAsia" w:cs="Times New Roman"/>
          <w:b w:val="0"/>
          <w:bCs w:val="0"/>
          <w:color w:val="auto"/>
          <w:sz w:val="21"/>
          <w:szCs w:val="21"/>
          <w:highlight w:val="none"/>
          <w:lang w:eastAsia="zh-CN"/>
        </w:rPr>
        <w:t>评估</w:t>
      </w:r>
      <w:r>
        <w:rPr>
          <w:rFonts w:hint="eastAsia" w:ascii="宋体" w:hAnsi="Times New Roman" w:eastAsia="宋体" w:cs="Times New Roman"/>
          <w:b w:val="0"/>
          <w:bCs w:val="0"/>
          <w:color w:val="auto"/>
          <w:sz w:val="21"/>
          <w:szCs w:val="21"/>
          <w:highlight w:val="none"/>
        </w:rPr>
        <w:t>方式</w:t>
      </w:r>
    </w:p>
    <w:p w14:paraId="5EE41806">
      <w:pPr>
        <w:keepNext w:val="0"/>
        <w:keepLines w:val="0"/>
        <w:pageBreakBefore w:val="0"/>
        <w:widowControl w:val="0"/>
        <w:shd w:val="clear"/>
        <w:kinsoku/>
        <w:wordWrap/>
        <w:overflowPunct/>
        <w:topLinePunct w:val="0"/>
        <w:autoSpaceDE w:val="0"/>
        <w:autoSpaceDN w:val="0"/>
        <w:bidi w:val="0"/>
        <w:adjustRightInd w:val="0"/>
        <w:snapToGrid/>
        <w:spacing w:line="500" w:lineRule="exact"/>
        <w:ind w:firstLine="420" w:firstLineChars="200"/>
        <w:textAlignment w:val="auto"/>
        <w:rPr>
          <w:rFonts w:hint="eastAsia" w:ascii="宋体" w:hAnsi="Times New Roman" w:eastAsia="宋体" w:cs="Times New Roman"/>
          <w:b w:val="0"/>
          <w:bCs w:val="0"/>
          <w:color w:val="auto"/>
          <w:sz w:val="21"/>
          <w:szCs w:val="21"/>
          <w:highlight w:val="none"/>
        </w:rPr>
      </w:pPr>
      <w:r>
        <w:rPr>
          <w:rFonts w:hint="eastAsia" w:ascii="宋体" w:hAnsi="Times New Roman" w:eastAsia="宋体" w:cs="Times New Roman"/>
          <w:b w:val="0"/>
          <w:bCs w:val="0"/>
          <w:color w:val="auto"/>
          <w:sz w:val="21"/>
          <w:szCs w:val="21"/>
          <w:highlight w:val="none"/>
        </w:rPr>
        <w:t>由中标的第三方机构负责</w:t>
      </w:r>
      <w:r>
        <w:rPr>
          <w:rFonts w:hint="eastAsia" w:ascii="宋体" w:hAnsi="Times New Roman" w:eastAsia="宋体" w:cs="Times New Roman"/>
          <w:color w:val="auto"/>
          <w:sz w:val="21"/>
          <w:szCs w:val="21"/>
          <w:highlight w:val="none"/>
        </w:rPr>
        <w:t>2025-2026年农村人居环境长效管理第三方机构评估服务</w:t>
      </w:r>
      <w:r>
        <w:rPr>
          <w:rFonts w:hint="eastAsia" w:ascii="宋体" w:hAnsi="Times New Roman" w:eastAsia="宋体" w:cs="Times New Roman"/>
          <w:b w:val="0"/>
          <w:bCs w:val="0"/>
          <w:color w:val="auto"/>
          <w:sz w:val="21"/>
          <w:szCs w:val="21"/>
          <w:highlight w:val="none"/>
        </w:rPr>
        <w:t>工作，</w:t>
      </w:r>
      <w:r>
        <w:rPr>
          <w:rFonts w:hint="eastAsia" w:cs="Times New Roman"/>
          <w:b w:val="0"/>
          <w:bCs w:val="0"/>
          <w:color w:val="auto"/>
          <w:sz w:val="21"/>
          <w:szCs w:val="21"/>
          <w:highlight w:val="none"/>
          <w:lang w:val="en-US" w:eastAsia="zh-CN"/>
        </w:rPr>
        <w:t>按照采购人通知，开展不定期巡查工作</w:t>
      </w:r>
      <w:r>
        <w:rPr>
          <w:rFonts w:hint="eastAsia" w:ascii="宋体" w:hAnsi="Times New Roman" w:eastAsia="宋体" w:cs="Times New Roman"/>
          <w:b w:val="0"/>
          <w:bCs w:val="0"/>
          <w:color w:val="auto"/>
          <w:sz w:val="21"/>
          <w:szCs w:val="21"/>
          <w:highlight w:val="none"/>
        </w:rPr>
        <w:t>，</w:t>
      </w:r>
      <w:r>
        <w:rPr>
          <w:rFonts w:hint="eastAsia" w:cs="Times New Roman"/>
          <w:b w:val="0"/>
          <w:bCs w:val="0"/>
          <w:color w:val="auto"/>
          <w:sz w:val="21"/>
          <w:szCs w:val="21"/>
          <w:highlight w:val="none"/>
          <w:lang w:eastAsia="zh-CN"/>
        </w:rPr>
        <w:t>评估</w:t>
      </w:r>
      <w:r>
        <w:rPr>
          <w:rFonts w:hint="eastAsia" w:ascii="宋体" w:hAnsi="Times New Roman" w:eastAsia="宋体" w:cs="Times New Roman"/>
          <w:b w:val="0"/>
          <w:bCs w:val="0"/>
          <w:color w:val="auto"/>
          <w:sz w:val="21"/>
          <w:szCs w:val="21"/>
          <w:highlight w:val="none"/>
        </w:rPr>
        <w:t>时使用《婺城人居》手机端进行实地测评，实时上传问题照片。</w:t>
      </w:r>
    </w:p>
    <w:p w14:paraId="0B04700D">
      <w:pPr>
        <w:keepNext w:val="0"/>
        <w:keepLines w:val="0"/>
        <w:pageBreakBefore w:val="0"/>
        <w:widowControl w:val="0"/>
        <w:shd w:val="clear"/>
        <w:kinsoku/>
        <w:wordWrap/>
        <w:overflowPunct/>
        <w:topLinePunct w:val="0"/>
        <w:autoSpaceDE w:val="0"/>
        <w:autoSpaceDN w:val="0"/>
        <w:bidi w:val="0"/>
        <w:adjustRightInd w:val="0"/>
        <w:snapToGrid/>
        <w:spacing w:line="500" w:lineRule="exact"/>
        <w:ind w:firstLine="420" w:firstLineChars="200"/>
        <w:textAlignment w:val="auto"/>
        <w:rPr>
          <w:rFonts w:hint="eastAsia" w:ascii="宋体" w:hAnsi="Times New Roman" w:eastAsia="宋体" w:cs="Times New Roman"/>
          <w:b w:val="0"/>
          <w:bCs w:val="0"/>
          <w:color w:val="auto"/>
          <w:sz w:val="21"/>
          <w:szCs w:val="21"/>
          <w:highlight w:val="none"/>
        </w:rPr>
      </w:pPr>
      <w:r>
        <w:rPr>
          <w:rFonts w:hint="eastAsia" w:ascii="宋体" w:hAnsi="Times New Roman" w:eastAsia="宋体" w:cs="Times New Roman"/>
          <w:b w:val="0"/>
          <w:bCs w:val="0"/>
          <w:color w:val="auto"/>
          <w:sz w:val="21"/>
          <w:szCs w:val="21"/>
          <w:highlight w:val="none"/>
          <w:lang w:val="en-US" w:eastAsia="zh-CN"/>
        </w:rPr>
        <w:t>（二）</w:t>
      </w:r>
      <w:r>
        <w:rPr>
          <w:rFonts w:hint="eastAsia" w:cs="Times New Roman"/>
          <w:b w:val="0"/>
          <w:bCs w:val="0"/>
          <w:color w:val="auto"/>
          <w:sz w:val="21"/>
          <w:szCs w:val="21"/>
          <w:highlight w:val="none"/>
          <w:lang w:eastAsia="zh-CN"/>
        </w:rPr>
        <w:t>评估</w:t>
      </w:r>
      <w:r>
        <w:rPr>
          <w:rFonts w:hint="eastAsia" w:ascii="宋体" w:hAnsi="Times New Roman" w:eastAsia="宋体" w:cs="Times New Roman"/>
          <w:b w:val="0"/>
          <w:bCs w:val="0"/>
          <w:color w:val="auto"/>
          <w:sz w:val="21"/>
          <w:szCs w:val="21"/>
          <w:highlight w:val="none"/>
        </w:rPr>
        <w:t>范围</w:t>
      </w:r>
    </w:p>
    <w:p w14:paraId="751F2A55">
      <w:pPr>
        <w:keepNext w:val="0"/>
        <w:keepLines w:val="0"/>
        <w:pageBreakBefore w:val="0"/>
        <w:widowControl w:val="0"/>
        <w:shd w:val="clear"/>
        <w:kinsoku/>
        <w:wordWrap/>
        <w:overflowPunct/>
        <w:topLinePunct w:val="0"/>
        <w:autoSpaceDE w:val="0"/>
        <w:autoSpaceDN w:val="0"/>
        <w:bidi w:val="0"/>
        <w:adjustRightInd w:val="0"/>
        <w:snapToGrid/>
        <w:spacing w:line="500" w:lineRule="exact"/>
        <w:ind w:firstLine="420" w:firstLineChars="200"/>
        <w:textAlignment w:val="auto"/>
        <w:rPr>
          <w:rFonts w:hint="default" w:ascii="宋体" w:hAnsi="Times New Roman" w:eastAsia="宋体" w:cs="Times New Roman"/>
          <w:b w:val="0"/>
          <w:bCs w:val="0"/>
          <w:color w:val="auto"/>
          <w:sz w:val="21"/>
          <w:szCs w:val="21"/>
          <w:highlight w:val="none"/>
        </w:rPr>
      </w:pPr>
      <w:r>
        <w:rPr>
          <w:rFonts w:hint="default" w:cs="Times New Roman"/>
          <w:b w:val="0"/>
          <w:bCs w:val="0"/>
          <w:color w:val="auto"/>
          <w:sz w:val="21"/>
          <w:szCs w:val="21"/>
          <w:highlight w:val="none"/>
        </w:rPr>
        <w:t>婺城</w:t>
      </w:r>
      <w:r>
        <w:rPr>
          <w:rFonts w:hint="eastAsia" w:ascii="宋体" w:hAnsi="Times New Roman" w:eastAsia="宋体" w:cs="Times New Roman"/>
          <w:b w:val="0"/>
          <w:bCs w:val="0"/>
          <w:color w:val="auto"/>
          <w:sz w:val="21"/>
          <w:szCs w:val="21"/>
          <w:highlight w:val="none"/>
        </w:rPr>
        <w:t>区</w:t>
      </w:r>
      <w:r>
        <w:rPr>
          <w:rFonts w:hint="eastAsia" w:ascii="宋体" w:hAnsi="Times New Roman" w:eastAsia="宋体" w:cs="Times New Roman"/>
          <w:b w:val="0"/>
          <w:bCs w:val="0"/>
          <w:color w:val="auto"/>
          <w:sz w:val="21"/>
          <w:szCs w:val="21"/>
          <w:highlight w:val="none"/>
          <w:lang w:val="en-US" w:eastAsia="zh-CN"/>
        </w:rPr>
        <w:t>21</w:t>
      </w:r>
      <w:r>
        <w:rPr>
          <w:rFonts w:hint="eastAsia" w:cs="Times New Roman"/>
          <w:b w:val="0"/>
          <w:bCs w:val="0"/>
          <w:color w:val="auto"/>
          <w:sz w:val="21"/>
          <w:szCs w:val="21"/>
          <w:highlight w:val="none"/>
          <w:lang w:val="en-US" w:eastAsia="zh-CN"/>
        </w:rPr>
        <w:t>2</w:t>
      </w:r>
      <w:r>
        <w:rPr>
          <w:rFonts w:hint="eastAsia" w:ascii="宋体" w:hAnsi="Times New Roman" w:eastAsia="宋体" w:cs="Times New Roman"/>
          <w:b w:val="0"/>
          <w:bCs w:val="0"/>
          <w:color w:val="auto"/>
          <w:sz w:val="21"/>
          <w:szCs w:val="21"/>
          <w:highlight w:val="none"/>
          <w:lang w:val="en-US" w:eastAsia="zh-CN"/>
        </w:rPr>
        <w:t>个</w:t>
      </w:r>
      <w:r>
        <w:rPr>
          <w:rFonts w:hint="eastAsia" w:ascii="宋体" w:hAnsi="Times New Roman" w:eastAsia="宋体" w:cs="Times New Roman"/>
          <w:b w:val="0"/>
          <w:bCs w:val="0"/>
          <w:color w:val="auto"/>
          <w:sz w:val="21"/>
          <w:szCs w:val="21"/>
          <w:highlight w:val="none"/>
        </w:rPr>
        <w:t>行政村，</w:t>
      </w:r>
      <w:r>
        <w:rPr>
          <w:rFonts w:hint="eastAsia" w:cs="Times New Roman"/>
          <w:b w:val="0"/>
          <w:bCs w:val="0"/>
          <w:color w:val="auto"/>
          <w:sz w:val="21"/>
          <w:szCs w:val="21"/>
          <w:highlight w:val="none"/>
          <w:lang w:val="en-US" w:eastAsia="zh-CN"/>
        </w:rPr>
        <w:t>两年合同期内总共评估</w:t>
      </w:r>
      <w:r>
        <w:rPr>
          <w:rFonts w:hint="default" w:cs="Times New Roman"/>
          <w:b w:val="0"/>
          <w:bCs w:val="0"/>
          <w:color w:val="auto"/>
          <w:sz w:val="21"/>
          <w:szCs w:val="21"/>
          <w:highlight w:val="none"/>
          <w:lang w:eastAsia="zh-CN"/>
        </w:rPr>
        <w:t>预计</w:t>
      </w:r>
      <w:r>
        <w:rPr>
          <w:rFonts w:hint="eastAsia" w:cs="Times New Roman"/>
          <w:b w:val="0"/>
          <w:bCs w:val="0"/>
          <w:color w:val="auto"/>
          <w:sz w:val="21"/>
          <w:szCs w:val="21"/>
          <w:highlight w:val="none"/>
          <w:lang w:val="en-US" w:eastAsia="zh-CN"/>
        </w:rPr>
        <w:t>3000行政</w:t>
      </w:r>
      <w:r>
        <w:rPr>
          <w:rFonts w:hint="default" w:cs="Times New Roman"/>
          <w:b w:val="0"/>
          <w:bCs w:val="0"/>
          <w:color w:val="auto"/>
          <w:sz w:val="21"/>
          <w:szCs w:val="21"/>
          <w:highlight w:val="none"/>
          <w:lang w:eastAsia="zh-CN"/>
        </w:rPr>
        <w:t>村</w:t>
      </w:r>
      <w:r>
        <w:rPr>
          <w:rFonts w:hint="eastAsia" w:cs="Times New Roman"/>
          <w:b w:val="0"/>
          <w:bCs w:val="0"/>
          <w:color w:val="auto"/>
          <w:sz w:val="21"/>
          <w:szCs w:val="21"/>
          <w:highlight w:val="none"/>
          <w:lang w:val="en-US" w:eastAsia="zh-CN"/>
        </w:rPr>
        <w:t>次</w:t>
      </w:r>
      <w:r>
        <w:rPr>
          <w:rFonts w:hint="eastAsia" w:ascii="宋体" w:hAnsi="Times New Roman" w:eastAsia="宋体" w:cs="Times New Roman"/>
          <w:b w:val="0"/>
          <w:bCs w:val="0"/>
          <w:color w:val="auto"/>
          <w:sz w:val="21"/>
          <w:szCs w:val="21"/>
          <w:highlight w:val="none"/>
        </w:rPr>
        <w:t>，每月实际评估村数及频次将根据实际工作需要调整，具体评估时间及对象村由</w:t>
      </w:r>
      <w:r>
        <w:rPr>
          <w:rFonts w:hint="eastAsia" w:cs="Times New Roman"/>
          <w:b w:val="0"/>
          <w:bCs w:val="0"/>
          <w:color w:val="auto"/>
          <w:sz w:val="21"/>
          <w:szCs w:val="21"/>
          <w:highlight w:val="none"/>
          <w:lang w:val="en-US" w:eastAsia="zh-CN"/>
        </w:rPr>
        <w:t>采购人</w:t>
      </w:r>
      <w:r>
        <w:rPr>
          <w:rFonts w:hint="eastAsia" w:ascii="宋体" w:hAnsi="Times New Roman" w:eastAsia="宋体" w:cs="Times New Roman"/>
          <w:b w:val="0"/>
          <w:bCs w:val="0"/>
          <w:color w:val="auto"/>
          <w:sz w:val="21"/>
          <w:szCs w:val="21"/>
          <w:highlight w:val="none"/>
        </w:rPr>
        <w:t>提前通知</w:t>
      </w:r>
      <w:r>
        <w:rPr>
          <w:rFonts w:hint="eastAsia" w:cs="Times New Roman"/>
          <w:b w:val="0"/>
          <w:bCs w:val="0"/>
          <w:color w:val="auto"/>
          <w:sz w:val="21"/>
          <w:szCs w:val="21"/>
          <w:highlight w:val="none"/>
          <w:lang w:val="en-US" w:eastAsia="zh-CN"/>
        </w:rPr>
        <w:t>供应商</w:t>
      </w:r>
      <w:r>
        <w:rPr>
          <w:rFonts w:hint="eastAsia" w:cs="Times New Roman"/>
          <w:b w:val="0"/>
          <w:bCs w:val="0"/>
          <w:color w:val="auto"/>
          <w:sz w:val="21"/>
          <w:szCs w:val="21"/>
          <w:highlight w:val="none"/>
          <w:lang w:eastAsia="zh-CN"/>
        </w:rPr>
        <w:t>，</w:t>
      </w:r>
      <w:r>
        <w:rPr>
          <w:rFonts w:hint="eastAsia" w:ascii="宋体" w:hAnsi="Times New Roman" w:eastAsia="宋体" w:cs="Times New Roman"/>
          <w:b w:val="0"/>
          <w:bCs w:val="0"/>
          <w:color w:val="auto"/>
          <w:sz w:val="21"/>
          <w:szCs w:val="21"/>
          <w:highlight w:val="none"/>
        </w:rPr>
        <w:t>不可漏查和多查。</w:t>
      </w:r>
      <w:r>
        <w:rPr>
          <w:rFonts w:hint="default" w:cs="Times New Roman"/>
          <w:b w:val="0"/>
          <w:bCs w:val="0"/>
          <w:color w:val="auto"/>
          <w:sz w:val="21"/>
          <w:szCs w:val="21"/>
          <w:highlight w:val="none"/>
        </w:rPr>
        <w:t>按</w:t>
      </w:r>
      <w:r>
        <w:rPr>
          <w:rFonts w:hint="eastAsia" w:cs="Times New Roman"/>
          <w:b w:val="0"/>
          <w:bCs w:val="0"/>
          <w:color w:val="auto"/>
          <w:sz w:val="21"/>
          <w:szCs w:val="21"/>
          <w:highlight w:val="none"/>
          <w:lang w:val="en-US" w:eastAsia="zh-CN"/>
        </w:rPr>
        <w:t>最高限价</w:t>
      </w:r>
      <w:r>
        <w:rPr>
          <w:rFonts w:hint="default" w:cs="Times New Roman"/>
          <w:b w:val="0"/>
          <w:bCs w:val="0"/>
          <w:color w:val="auto"/>
          <w:sz w:val="21"/>
          <w:szCs w:val="21"/>
          <w:highlight w:val="none"/>
        </w:rPr>
        <w:t>320元/村·次，软件平台维护费4.5万元/年进行结算，若上级政策变动或有工作要求更改，具体评估可根据需求调整。</w:t>
      </w:r>
    </w:p>
    <w:p w14:paraId="1BCD95C5">
      <w:pPr>
        <w:keepNext w:val="0"/>
        <w:keepLines w:val="0"/>
        <w:pageBreakBefore w:val="0"/>
        <w:widowControl w:val="0"/>
        <w:shd w:val="clear"/>
        <w:kinsoku/>
        <w:wordWrap/>
        <w:overflowPunct/>
        <w:topLinePunct w:val="0"/>
        <w:autoSpaceDE w:val="0"/>
        <w:autoSpaceDN w:val="0"/>
        <w:bidi w:val="0"/>
        <w:adjustRightInd w:val="0"/>
        <w:snapToGrid/>
        <w:spacing w:line="500" w:lineRule="exact"/>
        <w:ind w:firstLine="420" w:firstLineChars="200"/>
        <w:textAlignment w:val="auto"/>
        <w:rPr>
          <w:rFonts w:hint="eastAsia" w:ascii="宋体" w:hAnsi="Times New Roman" w:eastAsia="宋体" w:cs="Times New Roman"/>
          <w:b w:val="0"/>
          <w:bCs w:val="0"/>
          <w:color w:val="auto"/>
          <w:sz w:val="21"/>
          <w:szCs w:val="21"/>
          <w:highlight w:val="none"/>
        </w:rPr>
      </w:pPr>
      <w:r>
        <w:rPr>
          <w:rFonts w:hint="eastAsia" w:ascii="宋体" w:hAnsi="Times New Roman" w:eastAsia="宋体" w:cs="Times New Roman"/>
          <w:b w:val="0"/>
          <w:bCs w:val="0"/>
          <w:color w:val="auto"/>
          <w:sz w:val="21"/>
          <w:szCs w:val="21"/>
          <w:highlight w:val="none"/>
          <w:lang w:val="en-US" w:eastAsia="zh-CN"/>
        </w:rPr>
        <w:t>（三）</w:t>
      </w:r>
      <w:r>
        <w:rPr>
          <w:rFonts w:hint="eastAsia" w:cs="Times New Roman"/>
          <w:b w:val="0"/>
          <w:bCs w:val="0"/>
          <w:color w:val="auto"/>
          <w:sz w:val="21"/>
          <w:szCs w:val="21"/>
          <w:highlight w:val="none"/>
          <w:lang w:eastAsia="zh-CN"/>
        </w:rPr>
        <w:t>评估</w:t>
      </w:r>
      <w:r>
        <w:rPr>
          <w:rFonts w:hint="eastAsia" w:ascii="宋体" w:hAnsi="Times New Roman" w:eastAsia="宋体" w:cs="Times New Roman"/>
          <w:b w:val="0"/>
          <w:bCs w:val="0"/>
          <w:color w:val="auto"/>
          <w:sz w:val="21"/>
          <w:szCs w:val="21"/>
          <w:highlight w:val="none"/>
        </w:rPr>
        <w:t>内容</w:t>
      </w:r>
    </w:p>
    <w:p w14:paraId="10C35841">
      <w:pPr>
        <w:keepNext w:val="0"/>
        <w:keepLines w:val="0"/>
        <w:pageBreakBefore w:val="0"/>
        <w:widowControl w:val="0"/>
        <w:shd w:val="clear"/>
        <w:kinsoku/>
        <w:wordWrap/>
        <w:overflowPunct/>
        <w:topLinePunct w:val="0"/>
        <w:autoSpaceDE w:val="0"/>
        <w:autoSpaceDN w:val="0"/>
        <w:bidi w:val="0"/>
        <w:adjustRightInd w:val="0"/>
        <w:snapToGrid/>
        <w:spacing w:line="500" w:lineRule="exact"/>
        <w:ind w:firstLine="420" w:firstLineChars="200"/>
        <w:textAlignment w:val="auto"/>
        <w:rPr>
          <w:rFonts w:hint="eastAsia" w:ascii="宋体" w:hAnsi="Times New Roman" w:eastAsia="宋体" w:cs="Times New Roman"/>
          <w:b w:val="0"/>
          <w:bCs w:val="0"/>
          <w:color w:val="auto"/>
          <w:sz w:val="21"/>
          <w:szCs w:val="21"/>
          <w:highlight w:val="none"/>
        </w:rPr>
      </w:pPr>
      <w:r>
        <w:rPr>
          <w:rFonts w:hint="eastAsia" w:ascii="宋体" w:hAnsi="Times New Roman" w:eastAsia="宋体" w:cs="Times New Roman"/>
          <w:b w:val="0"/>
          <w:bCs w:val="0"/>
          <w:color w:val="auto"/>
          <w:sz w:val="21"/>
          <w:szCs w:val="21"/>
          <w:highlight w:val="none"/>
        </w:rPr>
        <w:t>婺城区农村人居环境长效管理包括：农村人居环境长效管理相关制度落实，生活垃圾分类实效，公共设施管理和运维，环境卫生村容村貌等问题的长效管理情况。</w:t>
      </w:r>
    </w:p>
    <w:p w14:paraId="31D55D51">
      <w:pPr>
        <w:keepNext w:val="0"/>
        <w:keepLines w:val="0"/>
        <w:pageBreakBefore w:val="0"/>
        <w:widowControl w:val="0"/>
        <w:shd w:val="clear"/>
        <w:kinsoku/>
        <w:wordWrap/>
        <w:overflowPunct/>
        <w:topLinePunct w:val="0"/>
        <w:autoSpaceDE w:val="0"/>
        <w:autoSpaceDN w:val="0"/>
        <w:bidi w:val="0"/>
        <w:adjustRightInd w:val="0"/>
        <w:snapToGrid/>
        <w:spacing w:line="500" w:lineRule="exact"/>
        <w:ind w:firstLine="420" w:firstLineChars="200"/>
        <w:textAlignment w:val="auto"/>
        <w:rPr>
          <w:rFonts w:hint="eastAsia" w:ascii="宋体" w:hAnsi="Times New Roman" w:eastAsia="宋体" w:cs="Times New Roman"/>
          <w:b w:val="0"/>
          <w:bCs w:val="0"/>
          <w:color w:val="auto"/>
          <w:sz w:val="21"/>
          <w:szCs w:val="21"/>
          <w:highlight w:val="none"/>
        </w:rPr>
      </w:pPr>
      <w:r>
        <w:rPr>
          <w:rFonts w:hint="eastAsia" w:ascii="宋体" w:hAnsi="Times New Roman" w:eastAsia="宋体" w:cs="Times New Roman"/>
          <w:b w:val="0"/>
          <w:bCs w:val="0"/>
          <w:color w:val="auto"/>
          <w:sz w:val="21"/>
          <w:szCs w:val="21"/>
          <w:highlight w:val="none"/>
          <w:lang w:val="en-US" w:eastAsia="zh-CN"/>
        </w:rPr>
        <w:t>（四）</w:t>
      </w:r>
      <w:r>
        <w:rPr>
          <w:rFonts w:hint="eastAsia" w:cs="Times New Roman"/>
          <w:b w:val="0"/>
          <w:bCs w:val="0"/>
          <w:color w:val="auto"/>
          <w:sz w:val="21"/>
          <w:szCs w:val="21"/>
          <w:highlight w:val="none"/>
          <w:lang w:eastAsia="zh-CN"/>
        </w:rPr>
        <w:t>评估</w:t>
      </w:r>
      <w:r>
        <w:rPr>
          <w:rFonts w:hint="eastAsia" w:ascii="宋体" w:hAnsi="Times New Roman" w:eastAsia="宋体" w:cs="Times New Roman"/>
          <w:b w:val="0"/>
          <w:bCs w:val="0"/>
          <w:color w:val="auto"/>
          <w:sz w:val="21"/>
          <w:szCs w:val="21"/>
          <w:highlight w:val="none"/>
        </w:rPr>
        <w:t>标准</w:t>
      </w:r>
    </w:p>
    <w:p w14:paraId="2E70C41D">
      <w:pPr>
        <w:keepNext w:val="0"/>
        <w:keepLines w:val="0"/>
        <w:pageBreakBefore w:val="0"/>
        <w:widowControl w:val="0"/>
        <w:shd w:val="clear"/>
        <w:kinsoku/>
        <w:wordWrap/>
        <w:overflowPunct/>
        <w:topLinePunct w:val="0"/>
        <w:autoSpaceDE w:val="0"/>
        <w:autoSpaceDN w:val="0"/>
        <w:bidi w:val="0"/>
        <w:adjustRightInd w:val="0"/>
        <w:snapToGrid/>
        <w:spacing w:line="500" w:lineRule="exact"/>
        <w:ind w:firstLine="420" w:firstLineChars="200"/>
        <w:textAlignment w:val="auto"/>
        <w:rPr>
          <w:rFonts w:hint="eastAsia" w:ascii="宋体" w:hAnsi="Times New Roman" w:eastAsia="宋体" w:cs="Times New Roman"/>
          <w:color w:val="auto"/>
          <w:sz w:val="21"/>
          <w:szCs w:val="21"/>
          <w:highlight w:val="none"/>
        </w:rPr>
      </w:pPr>
      <w:r>
        <w:rPr>
          <w:rFonts w:hint="eastAsia" w:ascii="宋体" w:hAnsi="Times New Roman" w:eastAsia="宋体" w:cs="Times New Roman"/>
          <w:color w:val="auto"/>
          <w:sz w:val="21"/>
          <w:szCs w:val="21"/>
          <w:highlight w:val="none"/>
        </w:rPr>
        <w:t>按照婺城区政府提供的《婺城区全域美农村人居环境长效管理</w:t>
      </w:r>
      <w:r>
        <w:rPr>
          <w:rFonts w:hint="eastAsia" w:cs="Times New Roman"/>
          <w:color w:val="auto"/>
          <w:sz w:val="21"/>
          <w:szCs w:val="21"/>
          <w:highlight w:val="none"/>
          <w:lang w:eastAsia="zh-CN"/>
        </w:rPr>
        <w:t>评估</w:t>
      </w:r>
      <w:r>
        <w:rPr>
          <w:rFonts w:hint="eastAsia" w:ascii="宋体" w:hAnsi="Times New Roman" w:eastAsia="宋体" w:cs="Times New Roman"/>
          <w:color w:val="auto"/>
          <w:sz w:val="21"/>
          <w:szCs w:val="21"/>
          <w:highlight w:val="none"/>
        </w:rPr>
        <w:t>评分表》(附件1)进行评分，</w:t>
      </w:r>
      <w:r>
        <w:rPr>
          <w:rFonts w:hint="eastAsia" w:cs="Times New Roman"/>
          <w:color w:val="auto"/>
          <w:sz w:val="21"/>
          <w:szCs w:val="21"/>
          <w:highlight w:val="none"/>
          <w:lang w:eastAsia="zh-CN"/>
        </w:rPr>
        <w:t>评估</w:t>
      </w:r>
      <w:r>
        <w:rPr>
          <w:rFonts w:hint="eastAsia" w:ascii="宋体" w:hAnsi="Times New Roman" w:eastAsia="宋体" w:cs="Times New Roman"/>
          <w:color w:val="auto"/>
          <w:sz w:val="21"/>
          <w:szCs w:val="21"/>
          <w:highlight w:val="none"/>
        </w:rPr>
        <w:t>标准会按照省、市</w:t>
      </w:r>
      <w:r>
        <w:rPr>
          <w:rFonts w:hint="default" w:cs="Times New Roman"/>
          <w:color w:val="auto"/>
          <w:sz w:val="21"/>
          <w:szCs w:val="21"/>
          <w:highlight w:val="none"/>
        </w:rPr>
        <w:t>、区</w:t>
      </w:r>
      <w:r>
        <w:rPr>
          <w:rFonts w:hint="eastAsia" w:ascii="宋体" w:hAnsi="Times New Roman" w:eastAsia="宋体" w:cs="Times New Roman"/>
          <w:color w:val="auto"/>
          <w:sz w:val="21"/>
          <w:szCs w:val="21"/>
          <w:highlight w:val="none"/>
        </w:rPr>
        <w:t>考核最新内容和要求进行更新。</w:t>
      </w:r>
    </w:p>
    <w:p w14:paraId="78D83236">
      <w:pPr>
        <w:keepNext w:val="0"/>
        <w:keepLines w:val="0"/>
        <w:pageBreakBefore w:val="0"/>
        <w:widowControl w:val="0"/>
        <w:shd w:val="clear"/>
        <w:kinsoku/>
        <w:wordWrap/>
        <w:overflowPunct/>
        <w:topLinePunct w:val="0"/>
        <w:autoSpaceDE w:val="0"/>
        <w:autoSpaceDN w:val="0"/>
        <w:bidi w:val="0"/>
        <w:adjustRightInd w:val="0"/>
        <w:snapToGrid/>
        <w:spacing w:line="500" w:lineRule="exact"/>
        <w:ind w:firstLine="420" w:firstLineChars="200"/>
        <w:textAlignment w:val="auto"/>
        <w:rPr>
          <w:rFonts w:hint="default" w:ascii="宋体" w:hAnsi="Times New Roman" w:eastAsia="宋体" w:cs="Times New Roman"/>
          <w:color w:val="auto"/>
          <w:sz w:val="21"/>
          <w:szCs w:val="21"/>
          <w:highlight w:val="none"/>
          <w:lang w:val="en-US" w:eastAsia="zh-CN"/>
        </w:rPr>
      </w:pPr>
      <w:r>
        <w:rPr>
          <w:rFonts w:hint="eastAsia" w:ascii="宋体" w:hAnsi="Times New Roman" w:eastAsia="宋体" w:cs="Times New Roman"/>
          <w:color w:val="auto"/>
          <w:sz w:val="21"/>
          <w:szCs w:val="21"/>
          <w:highlight w:val="none"/>
          <w:lang w:eastAsia="zh-CN"/>
        </w:rPr>
        <w:t>（</w:t>
      </w:r>
      <w:r>
        <w:rPr>
          <w:rFonts w:hint="eastAsia" w:ascii="宋体" w:hAnsi="Times New Roman" w:eastAsia="宋体" w:cs="Times New Roman"/>
          <w:color w:val="auto"/>
          <w:sz w:val="21"/>
          <w:szCs w:val="21"/>
          <w:highlight w:val="none"/>
          <w:lang w:val="en-US" w:eastAsia="zh-CN"/>
        </w:rPr>
        <w:t>五</w:t>
      </w:r>
      <w:r>
        <w:rPr>
          <w:rFonts w:hint="eastAsia" w:ascii="宋体" w:hAnsi="Times New Roman" w:eastAsia="宋体" w:cs="Times New Roman"/>
          <w:color w:val="auto"/>
          <w:sz w:val="21"/>
          <w:szCs w:val="21"/>
          <w:highlight w:val="none"/>
          <w:lang w:eastAsia="zh-CN"/>
        </w:rPr>
        <w:t>）</w:t>
      </w:r>
      <w:r>
        <w:rPr>
          <w:rFonts w:hint="eastAsia" w:ascii="宋体" w:hAnsi="Times New Roman" w:eastAsia="宋体" w:cs="Times New Roman"/>
          <w:color w:val="auto"/>
          <w:sz w:val="21"/>
          <w:szCs w:val="21"/>
          <w:highlight w:val="none"/>
          <w:lang w:val="en-US" w:eastAsia="zh-CN"/>
        </w:rPr>
        <w:t>服务期限</w:t>
      </w:r>
    </w:p>
    <w:p w14:paraId="0B997D7C">
      <w:pPr>
        <w:keepNext w:val="0"/>
        <w:keepLines w:val="0"/>
        <w:pageBreakBefore w:val="0"/>
        <w:widowControl w:val="0"/>
        <w:shd w:val="clear"/>
        <w:kinsoku/>
        <w:wordWrap/>
        <w:overflowPunct/>
        <w:topLinePunct w:val="0"/>
        <w:autoSpaceDE w:val="0"/>
        <w:autoSpaceDN w:val="0"/>
        <w:bidi w:val="0"/>
        <w:adjustRightInd w:val="0"/>
        <w:snapToGrid/>
        <w:spacing w:line="500" w:lineRule="exact"/>
        <w:ind w:firstLine="420" w:firstLineChars="200"/>
        <w:textAlignment w:val="auto"/>
        <w:rPr>
          <w:rFonts w:hint="default" w:ascii="宋体" w:hAnsi="Times New Roman" w:eastAsia="宋体" w:cs="Times New Roman"/>
          <w:color w:val="auto"/>
          <w:sz w:val="21"/>
          <w:szCs w:val="21"/>
          <w:highlight w:val="none"/>
          <w:lang w:val="en-US" w:eastAsia="zh-CN"/>
        </w:rPr>
      </w:pPr>
      <w:r>
        <w:rPr>
          <w:rFonts w:hint="eastAsia" w:cs="Times New Roman"/>
          <w:color w:val="auto"/>
          <w:sz w:val="21"/>
          <w:szCs w:val="21"/>
          <w:highlight w:val="none"/>
          <w:lang w:val="en-US" w:eastAsia="zh-CN"/>
        </w:rPr>
        <w:t>二</w:t>
      </w:r>
      <w:r>
        <w:rPr>
          <w:rFonts w:hint="eastAsia" w:ascii="宋体" w:hAnsi="Times New Roman" w:eastAsia="宋体" w:cs="Times New Roman"/>
          <w:color w:val="auto"/>
          <w:sz w:val="21"/>
          <w:szCs w:val="21"/>
          <w:highlight w:val="none"/>
          <w:lang w:val="en-US" w:eastAsia="zh-CN"/>
        </w:rPr>
        <w:t>年，具体起止时间由采购人确定</w:t>
      </w:r>
      <w:r>
        <w:rPr>
          <w:rFonts w:hint="eastAsia" w:ascii="宋体" w:hAnsi="Times New Roman" w:eastAsia="宋体" w:cs="Times New Roman"/>
          <w:color w:val="auto"/>
          <w:sz w:val="21"/>
          <w:szCs w:val="21"/>
          <w:highlight w:val="none"/>
        </w:rPr>
        <w:t>。</w:t>
      </w:r>
    </w:p>
    <w:p w14:paraId="2C7E2310">
      <w:pPr>
        <w:keepNext w:val="0"/>
        <w:keepLines w:val="0"/>
        <w:pageBreakBefore w:val="0"/>
        <w:widowControl w:val="0"/>
        <w:shd w:val="clear"/>
        <w:kinsoku/>
        <w:wordWrap/>
        <w:overflowPunct/>
        <w:topLinePunct w:val="0"/>
        <w:autoSpaceDE w:val="0"/>
        <w:autoSpaceDN w:val="0"/>
        <w:bidi w:val="0"/>
        <w:adjustRightInd w:val="0"/>
        <w:snapToGrid/>
        <w:spacing w:line="500" w:lineRule="exact"/>
        <w:ind w:firstLine="420" w:firstLineChars="200"/>
        <w:textAlignment w:val="auto"/>
        <w:rPr>
          <w:rFonts w:hint="default" w:ascii="宋体" w:hAnsi="Times New Roman" w:eastAsia="宋体" w:cs="Times New Roman"/>
          <w:color w:val="auto"/>
          <w:sz w:val="21"/>
          <w:szCs w:val="21"/>
          <w:highlight w:val="none"/>
          <w:lang w:val="en-US" w:eastAsia="zh-CN"/>
        </w:rPr>
      </w:pPr>
      <w:r>
        <w:rPr>
          <w:rFonts w:hint="eastAsia" w:ascii="宋体" w:hAnsi="Times New Roman" w:eastAsia="宋体" w:cs="Times New Roman"/>
          <w:color w:val="auto"/>
          <w:sz w:val="21"/>
          <w:szCs w:val="21"/>
          <w:highlight w:val="none"/>
          <w:lang w:val="en-US" w:eastAsia="zh-CN"/>
        </w:rPr>
        <w:t>（六）其他要求</w:t>
      </w:r>
    </w:p>
    <w:p w14:paraId="59B6AF08">
      <w:pPr>
        <w:keepNext w:val="0"/>
        <w:keepLines w:val="0"/>
        <w:pageBreakBefore w:val="0"/>
        <w:widowControl w:val="0"/>
        <w:shd w:val="clear"/>
        <w:kinsoku/>
        <w:wordWrap/>
        <w:overflowPunct/>
        <w:topLinePunct w:val="0"/>
        <w:autoSpaceDE w:val="0"/>
        <w:autoSpaceDN w:val="0"/>
        <w:bidi w:val="0"/>
        <w:adjustRightInd w:val="0"/>
        <w:snapToGrid/>
        <w:spacing w:after="0" w:line="500" w:lineRule="exact"/>
        <w:ind w:firstLine="420" w:firstLineChars="200"/>
        <w:textAlignment w:val="baseline"/>
        <w:rPr>
          <w:rFonts w:hint="eastAsia" w:ascii="宋体" w:hAnsi="宋体" w:eastAsia="宋体" w:cs="宋体"/>
          <w:color w:val="auto"/>
          <w:sz w:val="21"/>
          <w:szCs w:val="21"/>
          <w:highlight w:val="none"/>
          <w:lang w:val="en-US" w:eastAsia="zh-CN" w:bidi="ar-SA"/>
        </w:rPr>
      </w:pPr>
      <w:r>
        <w:rPr>
          <w:rFonts w:hint="eastAsia" w:ascii="宋体" w:hAnsi="宋体" w:eastAsia="宋体" w:cs="宋体"/>
          <w:color w:val="auto"/>
          <w:sz w:val="21"/>
          <w:szCs w:val="21"/>
          <w:highlight w:val="none"/>
          <w:lang w:val="en-US" w:eastAsia="zh-CN" w:bidi="ar-SA"/>
        </w:rPr>
        <w:t>为使该项目工作有章理事，有组织办事，有程序运作。中标的第三方机构要积极配合相关政府部门，认真执行政府工作制度，要求把工作责任落到实处。</w:t>
      </w:r>
    </w:p>
    <w:p w14:paraId="35B04CA0">
      <w:pPr>
        <w:keepNext w:val="0"/>
        <w:keepLines w:val="0"/>
        <w:pageBreakBefore w:val="0"/>
        <w:widowControl w:val="0"/>
        <w:shd w:val="clear"/>
        <w:kinsoku/>
        <w:wordWrap/>
        <w:overflowPunct/>
        <w:topLinePunct w:val="0"/>
        <w:autoSpaceDE w:val="0"/>
        <w:autoSpaceDN w:val="0"/>
        <w:bidi w:val="0"/>
        <w:adjustRightInd w:val="0"/>
        <w:snapToGrid/>
        <w:spacing w:after="0" w:line="500" w:lineRule="exact"/>
        <w:ind w:firstLine="420" w:firstLineChars="200"/>
        <w:textAlignment w:val="baseline"/>
        <w:rPr>
          <w:rFonts w:hint="eastAsia" w:ascii="宋体" w:hAnsi="宋体" w:eastAsia="宋体" w:cs="宋体"/>
          <w:color w:val="auto"/>
          <w:sz w:val="21"/>
          <w:szCs w:val="21"/>
          <w:highlight w:val="none"/>
          <w:lang w:val="en-US" w:eastAsia="zh-CN" w:bidi="ar-SA"/>
        </w:rPr>
      </w:pPr>
      <w:r>
        <w:rPr>
          <w:rFonts w:hint="eastAsia" w:ascii="宋体" w:hAnsi="宋体" w:eastAsia="宋体" w:cs="宋体"/>
          <w:color w:val="auto"/>
          <w:sz w:val="21"/>
          <w:szCs w:val="21"/>
          <w:highlight w:val="none"/>
          <w:lang w:val="en-US" w:eastAsia="zh-CN" w:bidi="ar-SA"/>
        </w:rPr>
        <w:t>1.本次招标</w:t>
      </w:r>
      <w:r>
        <w:rPr>
          <w:rFonts w:hint="eastAsia" w:hAnsi="宋体" w:cs="宋体"/>
          <w:color w:val="auto"/>
          <w:sz w:val="21"/>
          <w:szCs w:val="21"/>
          <w:highlight w:val="none"/>
          <w:lang w:val="en-US" w:eastAsia="zh-CN" w:bidi="ar-SA"/>
        </w:rPr>
        <w:t>选定一家</w:t>
      </w:r>
      <w:r>
        <w:rPr>
          <w:rFonts w:hint="eastAsia" w:ascii="宋体" w:hAnsi="宋体" w:eastAsia="宋体" w:cs="宋体"/>
          <w:color w:val="auto"/>
          <w:sz w:val="21"/>
          <w:szCs w:val="21"/>
          <w:highlight w:val="none"/>
          <w:lang w:val="en-US" w:eastAsia="zh-CN" w:bidi="ar-SA"/>
        </w:rPr>
        <w:t>中标单位，</w:t>
      </w:r>
      <w:r>
        <w:rPr>
          <w:rFonts w:hint="eastAsia" w:hAnsi="宋体" w:cs="宋体"/>
          <w:color w:val="auto"/>
          <w:sz w:val="21"/>
          <w:szCs w:val="21"/>
          <w:highlight w:val="none"/>
          <w:lang w:val="en-US" w:eastAsia="zh-CN" w:bidi="ar-SA"/>
        </w:rPr>
        <w:t>具</w:t>
      </w:r>
      <w:r>
        <w:rPr>
          <w:rFonts w:hint="eastAsia" w:ascii="宋体" w:hAnsi="宋体" w:eastAsia="宋体" w:cs="宋体"/>
          <w:color w:val="auto"/>
          <w:sz w:val="21"/>
          <w:szCs w:val="21"/>
          <w:highlight w:val="none"/>
          <w:lang w:val="en-US" w:eastAsia="zh-CN" w:bidi="ar-SA"/>
        </w:rPr>
        <w:t>有农村人居环境方面</w:t>
      </w:r>
      <w:r>
        <w:rPr>
          <w:rFonts w:hint="eastAsia" w:hAnsi="宋体" w:cs="宋体"/>
          <w:color w:val="auto"/>
          <w:sz w:val="21"/>
          <w:szCs w:val="21"/>
          <w:highlight w:val="none"/>
          <w:lang w:val="en-US" w:eastAsia="zh-CN" w:bidi="ar-SA"/>
        </w:rPr>
        <w:t>评估</w:t>
      </w:r>
      <w:r>
        <w:rPr>
          <w:rFonts w:hint="eastAsia" w:ascii="宋体" w:hAnsi="宋体" w:eastAsia="宋体" w:cs="宋体"/>
          <w:color w:val="auto"/>
          <w:sz w:val="21"/>
          <w:szCs w:val="21"/>
          <w:highlight w:val="none"/>
          <w:lang w:val="en-US" w:eastAsia="zh-CN" w:bidi="ar-SA"/>
        </w:rPr>
        <w:t>经历的单位优先，项目</w:t>
      </w:r>
      <w:r>
        <w:rPr>
          <w:rFonts w:hint="eastAsia" w:hAnsi="宋体" w:cs="宋体"/>
          <w:color w:val="auto"/>
          <w:sz w:val="21"/>
          <w:szCs w:val="21"/>
          <w:highlight w:val="none"/>
          <w:lang w:val="en-US" w:eastAsia="zh-CN" w:bidi="ar-SA"/>
        </w:rPr>
        <w:t>评估</w:t>
      </w:r>
      <w:r>
        <w:rPr>
          <w:rFonts w:hint="eastAsia" w:ascii="宋体" w:hAnsi="宋体" w:eastAsia="宋体" w:cs="宋体"/>
          <w:color w:val="auto"/>
          <w:sz w:val="21"/>
          <w:szCs w:val="21"/>
          <w:highlight w:val="none"/>
          <w:lang w:val="en-US" w:eastAsia="zh-CN" w:bidi="ar-SA"/>
        </w:rPr>
        <w:t>团队10人以上，</w:t>
      </w:r>
      <w:r>
        <w:rPr>
          <w:rFonts w:hint="eastAsia" w:hAnsi="宋体" w:cs="宋体"/>
          <w:color w:val="auto"/>
          <w:sz w:val="21"/>
          <w:szCs w:val="21"/>
          <w:highlight w:val="none"/>
          <w:lang w:val="en-US" w:eastAsia="zh-CN" w:bidi="ar-SA"/>
        </w:rPr>
        <w:t>评估</w:t>
      </w:r>
      <w:r>
        <w:rPr>
          <w:rFonts w:hint="eastAsia" w:ascii="宋体" w:hAnsi="宋体" w:eastAsia="宋体" w:cs="宋体"/>
          <w:color w:val="auto"/>
          <w:sz w:val="21"/>
          <w:szCs w:val="21"/>
          <w:highlight w:val="none"/>
          <w:lang w:val="en-US" w:eastAsia="zh-CN" w:bidi="ar-SA"/>
        </w:rPr>
        <w:t>人员具有高中以上文化水平，能够熟练的操作智能设备。每月</w:t>
      </w:r>
      <w:r>
        <w:rPr>
          <w:rFonts w:hint="eastAsia" w:hAnsi="宋体" w:cs="宋体"/>
          <w:color w:val="auto"/>
          <w:sz w:val="21"/>
          <w:szCs w:val="21"/>
          <w:highlight w:val="none"/>
          <w:lang w:val="en-US" w:eastAsia="zh-CN" w:bidi="ar-SA"/>
        </w:rPr>
        <w:t>评估</w:t>
      </w:r>
      <w:r>
        <w:rPr>
          <w:rFonts w:hint="default" w:hAnsi="宋体" w:cs="宋体"/>
          <w:color w:val="auto"/>
          <w:sz w:val="21"/>
          <w:szCs w:val="21"/>
          <w:highlight w:val="none"/>
          <w:lang w:eastAsia="zh-CN" w:bidi="ar-SA"/>
        </w:rPr>
        <w:t>应</w:t>
      </w:r>
      <w:r>
        <w:rPr>
          <w:rFonts w:hint="eastAsia" w:ascii="宋体" w:hAnsi="宋体" w:eastAsia="宋体" w:cs="宋体"/>
          <w:color w:val="auto"/>
          <w:sz w:val="21"/>
          <w:szCs w:val="21"/>
          <w:highlight w:val="none"/>
          <w:lang w:val="en-US" w:eastAsia="zh-CN" w:bidi="ar-SA"/>
        </w:rPr>
        <w:t>做到</w:t>
      </w:r>
      <w:r>
        <w:rPr>
          <w:rFonts w:hint="eastAsia" w:hAnsi="宋体" w:cs="宋体"/>
          <w:color w:val="auto"/>
          <w:sz w:val="21"/>
          <w:szCs w:val="21"/>
          <w:highlight w:val="none"/>
          <w:lang w:val="en-US" w:eastAsia="zh-CN" w:bidi="ar-SA"/>
        </w:rPr>
        <w:t>评估</w:t>
      </w:r>
      <w:r>
        <w:rPr>
          <w:rFonts w:hint="eastAsia" w:ascii="宋体" w:hAnsi="宋体" w:eastAsia="宋体" w:cs="宋体"/>
          <w:color w:val="auto"/>
          <w:sz w:val="21"/>
          <w:szCs w:val="21"/>
          <w:highlight w:val="none"/>
          <w:lang w:val="en-US" w:eastAsia="zh-CN" w:bidi="ar-SA"/>
        </w:rPr>
        <w:t>内容不漏项，</w:t>
      </w:r>
      <w:r>
        <w:rPr>
          <w:rFonts w:hint="eastAsia" w:hAnsi="宋体" w:cs="宋体"/>
          <w:color w:val="auto"/>
          <w:sz w:val="21"/>
          <w:szCs w:val="21"/>
          <w:highlight w:val="none"/>
          <w:lang w:val="en-US" w:eastAsia="zh-CN" w:bidi="ar-SA"/>
        </w:rPr>
        <w:t>评估</w:t>
      </w:r>
      <w:r>
        <w:rPr>
          <w:rFonts w:hint="eastAsia" w:ascii="宋体" w:hAnsi="宋体" w:eastAsia="宋体" w:cs="宋体"/>
          <w:color w:val="auto"/>
          <w:sz w:val="21"/>
          <w:szCs w:val="21"/>
          <w:highlight w:val="none"/>
          <w:lang w:val="en-US" w:eastAsia="zh-CN" w:bidi="ar-SA"/>
        </w:rPr>
        <w:t>结果反映真实情况，按照评分标准严格打分。</w:t>
      </w:r>
    </w:p>
    <w:p w14:paraId="772D0BF5">
      <w:pPr>
        <w:keepNext w:val="0"/>
        <w:keepLines w:val="0"/>
        <w:pageBreakBefore w:val="0"/>
        <w:widowControl w:val="0"/>
        <w:shd w:val="clear"/>
        <w:kinsoku/>
        <w:wordWrap/>
        <w:overflowPunct/>
        <w:topLinePunct w:val="0"/>
        <w:autoSpaceDE w:val="0"/>
        <w:autoSpaceDN w:val="0"/>
        <w:bidi w:val="0"/>
        <w:adjustRightInd w:val="0"/>
        <w:snapToGrid/>
        <w:spacing w:after="0" w:line="500" w:lineRule="exact"/>
        <w:ind w:firstLine="420" w:firstLineChars="200"/>
        <w:textAlignment w:val="baseline"/>
        <w:rPr>
          <w:rFonts w:hint="default" w:ascii="宋体" w:hAnsi="宋体" w:eastAsia="宋体" w:cs="宋体"/>
          <w:color w:val="auto"/>
          <w:sz w:val="21"/>
          <w:szCs w:val="21"/>
          <w:highlight w:val="none"/>
          <w:lang w:eastAsia="zh-CN" w:bidi="ar-SA"/>
        </w:rPr>
      </w:pPr>
      <w:r>
        <w:rPr>
          <w:rFonts w:hint="eastAsia" w:ascii="宋体" w:hAnsi="宋体" w:eastAsia="宋体" w:cs="宋体"/>
          <w:color w:val="auto"/>
          <w:sz w:val="21"/>
          <w:szCs w:val="21"/>
          <w:highlight w:val="none"/>
          <w:lang w:val="en-US" w:eastAsia="zh-CN" w:bidi="ar-SA"/>
        </w:rPr>
        <w:t>2.中标单位使用《金华市婺城区农村人居环境大数据平台》</w:t>
      </w:r>
      <w:r>
        <w:rPr>
          <w:rFonts w:hint="eastAsia" w:ascii="宋体" w:hAnsi="宋体" w:cs="宋体"/>
          <w:color w:val="auto"/>
          <w:sz w:val="21"/>
          <w:szCs w:val="21"/>
          <w:highlight w:val="none"/>
        </w:rPr>
        <w:t>（</w:t>
      </w:r>
      <w:r>
        <w:rPr>
          <w:rFonts w:hint="eastAsia" w:ascii="宋体" w:hAnsi="宋体" w:cs="宋体"/>
          <w:color w:val="auto"/>
          <w:sz w:val="21"/>
          <w:szCs w:val="21"/>
          <w:highlight w:val="none"/>
          <w:lang w:val="en-US" w:eastAsia="zh-CN"/>
        </w:rPr>
        <w:t>同时</w:t>
      </w:r>
      <w:r>
        <w:rPr>
          <w:rFonts w:hint="eastAsia" w:ascii="宋体" w:hAnsi="宋体" w:cs="宋体"/>
          <w:color w:val="auto"/>
          <w:sz w:val="21"/>
          <w:szCs w:val="21"/>
          <w:highlight w:val="none"/>
        </w:rPr>
        <w:t>承担平台的正常维护</w:t>
      </w:r>
      <w:r>
        <w:rPr>
          <w:rFonts w:hint="eastAsia" w:ascii="宋体" w:hAnsi="宋体" w:cs="宋体"/>
          <w:color w:val="auto"/>
          <w:sz w:val="21"/>
          <w:szCs w:val="21"/>
          <w:highlight w:val="none"/>
          <w:lang w:val="en-US" w:eastAsia="zh-CN"/>
        </w:rPr>
        <w:t>费用，</w:t>
      </w:r>
      <w:r>
        <w:rPr>
          <w:rFonts w:hint="eastAsia" w:hAnsi="宋体" w:cs="宋体"/>
          <w:color w:val="auto"/>
          <w:sz w:val="21"/>
          <w:szCs w:val="21"/>
          <w:highlight w:val="none"/>
          <w:lang w:val="en-US" w:eastAsia="zh-CN"/>
        </w:rPr>
        <w:t>4.5</w:t>
      </w:r>
      <w:r>
        <w:rPr>
          <w:rFonts w:hint="eastAsia" w:ascii="宋体" w:hAnsi="宋体" w:cs="宋体"/>
          <w:color w:val="auto"/>
          <w:sz w:val="21"/>
          <w:szCs w:val="21"/>
          <w:highlight w:val="none"/>
          <w:lang w:val="en-US" w:eastAsia="zh-CN"/>
        </w:rPr>
        <w:t>万元/年</w:t>
      </w:r>
      <w:r>
        <w:rPr>
          <w:rFonts w:hint="eastAsia" w:ascii="宋体" w:hAnsi="宋体" w:cs="宋体"/>
          <w:color w:val="auto"/>
          <w:sz w:val="21"/>
          <w:szCs w:val="21"/>
          <w:highlight w:val="none"/>
        </w:rPr>
        <w:t>）</w:t>
      </w:r>
      <w:r>
        <w:rPr>
          <w:rFonts w:hint="eastAsia" w:ascii="宋体" w:hAnsi="宋体" w:eastAsia="宋体" w:cs="宋体"/>
          <w:color w:val="auto"/>
          <w:sz w:val="21"/>
          <w:szCs w:val="21"/>
          <w:highlight w:val="none"/>
          <w:lang w:val="en-US" w:eastAsia="zh-CN" w:bidi="ar-SA"/>
        </w:rPr>
        <w:t>开展</w:t>
      </w:r>
      <w:r>
        <w:rPr>
          <w:rFonts w:hint="eastAsia" w:hAnsi="宋体" w:cs="宋体"/>
          <w:color w:val="auto"/>
          <w:sz w:val="21"/>
          <w:szCs w:val="21"/>
          <w:highlight w:val="none"/>
          <w:lang w:val="en-US" w:eastAsia="zh-CN" w:bidi="ar-SA"/>
        </w:rPr>
        <w:t>评估</w:t>
      </w:r>
      <w:r>
        <w:rPr>
          <w:rFonts w:hint="eastAsia" w:ascii="宋体" w:hAnsi="宋体" w:eastAsia="宋体" w:cs="宋体"/>
          <w:color w:val="auto"/>
          <w:sz w:val="21"/>
          <w:szCs w:val="21"/>
          <w:highlight w:val="none"/>
          <w:lang w:val="en-US" w:eastAsia="zh-CN" w:bidi="ar-SA"/>
        </w:rPr>
        <w:t>服务，每月完成农村人居环境的定期实地</w:t>
      </w:r>
      <w:r>
        <w:rPr>
          <w:rFonts w:hint="eastAsia" w:hAnsi="宋体" w:cs="宋体"/>
          <w:color w:val="auto"/>
          <w:sz w:val="21"/>
          <w:szCs w:val="21"/>
          <w:highlight w:val="none"/>
          <w:lang w:val="en-US" w:eastAsia="zh-CN" w:bidi="ar-SA"/>
        </w:rPr>
        <w:t>评估</w:t>
      </w:r>
      <w:r>
        <w:rPr>
          <w:rFonts w:hint="eastAsia" w:ascii="宋体" w:hAnsi="宋体" w:eastAsia="宋体" w:cs="宋体"/>
          <w:color w:val="auto"/>
          <w:sz w:val="21"/>
          <w:szCs w:val="21"/>
          <w:highlight w:val="none"/>
          <w:lang w:val="en-US" w:eastAsia="zh-CN" w:bidi="ar-SA"/>
        </w:rPr>
        <w:t>、问题实时上传、限期整改审核、自动</w:t>
      </w:r>
      <w:r>
        <w:rPr>
          <w:rFonts w:hint="eastAsia" w:hAnsi="宋体" w:cs="宋体"/>
          <w:color w:val="auto"/>
          <w:sz w:val="21"/>
          <w:szCs w:val="21"/>
          <w:highlight w:val="none"/>
          <w:lang w:val="en-US" w:eastAsia="zh-CN" w:bidi="ar-SA"/>
        </w:rPr>
        <w:t>评估</w:t>
      </w:r>
      <w:r>
        <w:rPr>
          <w:rFonts w:hint="eastAsia" w:ascii="宋体" w:hAnsi="宋体" w:eastAsia="宋体" w:cs="宋体"/>
          <w:color w:val="auto"/>
          <w:sz w:val="21"/>
          <w:szCs w:val="21"/>
          <w:highlight w:val="none"/>
          <w:lang w:val="en-US" w:eastAsia="zh-CN" w:bidi="ar-SA"/>
        </w:rPr>
        <w:t>评分、数据分析汇总等工作。按时上报相关汇总数据，做好《</w:t>
      </w:r>
      <w:r>
        <w:rPr>
          <w:rFonts w:hint="eastAsia" w:hAnsi="宋体" w:cs="宋体"/>
          <w:color w:val="auto"/>
          <w:sz w:val="21"/>
          <w:szCs w:val="21"/>
          <w:highlight w:val="none"/>
          <w:lang w:val="en-US" w:eastAsia="zh-CN" w:bidi="ar-SA"/>
        </w:rPr>
        <w:t>评估</w:t>
      </w:r>
      <w:r>
        <w:rPr>
          <w:rFonts w:hint="eastAsia" w:ascii="宋体" w:hAnsi="宋体" w:eastAsia="宋体" w:cs="宋体"/>
          <w:color w:val="auto"/>
          <w:sz w:val="21"/>
          <w:szCs w:val="21"/>
          <w:highlight w:val="none"/>
          <w:lang w:val="en-US" w:eastAsia="zh-CN" w:bidi="ar-SA"/>
        </w:rPr>
        <w:t>方案评分表》PDF、形成书面文字及</w:t>
      </w:r>
      <w:r>
        <w:rPr>
          <w:rFonts w:hint="eastAsia" w:hAnsi="宋体" w:cs="宋体"/>
          <w:color w:val="auto"/>
          <w:sz w:val="21"/>
          <w:szCs w:val="21"/>
          <w:highlight w:val="none"/>
          <w:lang w:val="en-US" w:eastAsia="zh-CN" w:bidi="ar-SA"/>
        </w:rPr>
        <w:t>评估</w:t>
      </w:r>
      <w:r>
        <w:rPr>
          <w:rFonts w:hint="eastAsia" w:ascii="宋体" w:hAnsi="宋体" w:eastAsia="宋体" w:cs="宋体"/>
          <w:color w:val="auto"/>
          <w:sz w:val="21"/>
          <w:szCs w:val="21"/>
          <w:highlight w:val="none"/>
          <w:lang w:val="en-US" w:eastAsia="zh-CN" w:bidi="ar-SA"/>
        </w:rPr>
        <w:t>总结报告，装订好提交</w:t>
      </w:r>
      <w:r>
        <w:rPr>
          <w:rFonts w:hint="eastAsia" w:hAnsi="宋体" w:cs="宋体"/>
          <w:color w:val="auto"/>
          <w:sz w:val="21"/>
          <w:szCs w:val="21"/>
          <w:highlight w:val="none"/>
          <w:lang w:val="en-US" w:eastAsia="zh-CN" w:bidi="ar-SA"/>
        </w:rPr>
        <w:t>给采购人</w:t>
      </w:r>
      <w:r>
        <w:rPr>
          <w:rFonts w:hint="eastAsia" w:ascii="宋体" w:hAnsi="宋体" w:eastAsia="宋体" w:cs="宋体"/>
          <w:color w:val="auto"/>
          <w:sz w:val="21"/>
          <w:szCs w:val="21"/>
          <w:highlight w:val="none"/>
          <w:lang w:val="en-US" w:eastAsia="zh-CN" w:bidi="ar-SA"/>
        </w:rPr>
        <w:t>。</w:t>
      </w:r>
      <w:r>
        <w:rPr>
          <w:rFonts w:hint="default" w:hAnsi="宋体" w:cs="宋体"/>
          <w:color w:val="auto"/>
          <w:sz w:val="21"/>
          <w:szCs w:val="21"/>
          <w:highlight w:val="none"/>
          <w:lang w:eastAsia="zh-CN" w:bidi="ar-SA"/>
        </w:rPr>
        <w:t>如服务期间所使用平台变化，由采购人通知中标单位，中标单位应及时调整。</w:t>
      </w:r>
    </w:p>
    <w:p w14:paraId="1B79BB44">
      <w:pPr>
        <w:keepNext w:val="0"/>
        <w:keepLines w:val="0"/>
        <w:pageBreakBefore w:val="0"/>
        <w:widowControl w:val="0"/>
        <w:shd w:val="clear"/>
        <w:kinsoku/>
        <w:wordWrap/>
        <w:overflowPunct/>
        <w:topLinePunct w:val="0"/>
        <w:autoSpaceDE w:val="0"/>
        <w:autoSpaceDN w:val="0"/>
        <w:bidi w:val="0"/>
        <w:adjustRightInd w:val="0"/>
        <w:snapToGrid/>
        <w:spacing w:after="0" w:line="500" w:lineRule="exact"/>
        <w:ind w:firstLine="420" w:firstLineChars="200"/>
        <w:textAlignment w:val="baseline"/>
        <w:rPr>
          <w:rFonts w:hint="default" w:ascii="宋体" w:hAnsi="宋体" w:eastAsia="宋体" w:cs="宋体"/>
          <w:color w:val="auto"/>
          <w:sz w:val="21"/>
          <w:szCs w:val="21"/>
          <w:highlight w:val="none"/>
          <w:lang w:val="en-US" w:eastAsia="zh-CN" w:bidi="ar-SA"/>
        </w:rPr>
      </w:pPr>
      <w:r>
        <w:rPr>
          <w:rFonts w:hint="eastAsia" w:ascii="宋体" w:hAnsi="宋体" w:eastAsia="宋体" w:cs="宋体"/>
          <w:color w:val="auto"/>
          <w:sz w:val="21"/>
          <w:szCs w:val="21"/>
          <w:highlight w:val="none"/>
          <w:lang w:val="en-US" w:eastAsia="zh-CN" w:bidi="ar-SA"/>
        </w:rPr>
        <w:t>3.每月实际评估村数及频次将根据实际工作需要调整，具体评估时间及对象村由</w:t>
      </w:r>
      <w:r>
        <w:rPr>
          <w:rFonts w:hint="eastAsia" w:hAnsi="宋体" w:cs="宋体"/>
          <w:color w:val="auto"/>
          <w:sz w:val="21"/>
          <w:szCs w:val="21"/>
          <w:highlight w:val="none"/>
          <w:lang w:val="en-US" w:eastAsia="zh-CN" w:bidi="ar-SA"/>
        </w:rPr>
        <w:t>采购人</w:t>
      </w:r>
      <w:r>
        <w:rPr>
          <w:rFonts w:hint="eastAsia" w:ascii="宋体" w:hAnsi="宋体" w:eastAsia="宋体" w:cs="宋体"/>
          <w:color w:val="auto"/>
          <w:sz w:val="21"/>
          <w:szCs w:val="21"/>
          <w:highlight w:val="none"/>
          <w:lang w:val="en-US" w:eastAsia="zh-CN" w:bidi="ar-SA"/>
        </w:rPr>
        <w:t>提前通知</w:t>
      </w:r>
      <w:r>
        <w:rPr>
          <w:rFonts w:hint="eastAsia" w:hAnsi="宋体" w:cs="宋体"/>
          <w:color w:val="auto"/>
          <w:sz w:val="21"/>
          <w:szCs w:val="21"/>
          <w:highlight w:val="none"/>
          <w:lang w:val="en-US" w:eastAsia="zh-CN" w:bidi="ar-SA"/>
        </w:rPr>
        <w:t>供应商</w:t>
      </w:r>
      <w:r>
        <w:rPr>
          <w:rFonts w:hint="eastAsia" w:ascii="宋体" w:hAnsi="宋体" w:eastAsia="宋体" w:cs="宋体"/>
          <w:color w:val="auto"/>
          <w:sz w:val="21"/>
          <w:szCs w:val="21"/>
          <w:highlight w:val="none"/>
          <w:lang w:val="en-US" w:eastAsia="zh-CN" w:bidi="ar-SA"/>
        </w:rPr>
        <w:t>。在</w:t>
      </w:r>
      <w:r>
        <w:rPr>
          <w:rFonts w:hint="default" w:hAnsi="宋体" w:cs="宋体"/>
          <w:color w:val="auto"/>
          <w:sz w:val="21"/>
          <w:szCs w:val="21"/>
          <w:highlight w:val="none"/>
          <w:lang w:eastAsia="zh-CN" w:bidi="ar-SA"/>
        </w:rPr>
        <w:t>服务</w:t>
      </w:r>
      <w:r>
        <w:rPr>
          <w:rFonts w:hint="eastAsia" w:ascii="宋体" w:hAnsi="宋体" w:eastAsia="宋体" w:cs="宋体"/>
          <w:color w:val="auto"/>
          <w:sz w:val="21"/>
          <w:szCs w:val="21"/>
          <w:highlight w:val="none"/>
          <w:lang w:val="en-US" w:eastAsia="zh-CN" w:bidi="ar-SA"/>
        </w:rPr>
        <w:t>期间开展区级督查，</w:t>
      </w:r>
      <w:r>
        <w:rPr>
          <w:rFonts w:hint="eastAsia" w:hAnsi="宋体" w:cs="宋体"/>
          <w:color w:val="auto"/>
          <w:sz w:val="21"/>
          <w:szCs w:val="21"/>
          <w:highlight w:val="none"/>
          <w:lang w:val="en-US" w:eastAsia="zh-CN" w:bidi="ar-SA"/>
        </w:rPr>
        <w:t>采购人及上级部门从供应商已评估完成的村庄中</w:t>
      </w:r>
      <w:r>
        <w:rPr>
          <w:rFonts w:hint="eastAsia" w:ascii="宋体" w:hAnsi="宋体" w:eastAsia="宋体" w:cs="宋体"/>
          <w:color w:val="auto"/>
          <w:sz w:val="21"/>
          <w:szCs w:val="21"/>
          <w:highlight w:val="none"/>
          <w:lang w:val="en-US" w:eastAsia="zh-CN" w:bidi="ar-SA"/>
        </w:rPr>
        <w:t>随机</w:t>
      </w:r>
      <w:r>
        <w:rPr>
          <w:rFonts w:hint="eastAsia" w:hAnsi="宋体" w:cs="宋体"/>
          <w:color w:val="auto"/>
          <w:sz w:val="21"/>
          <w:szCs w:val="21"/>
          <w:highlight w:val="none"/>
          <w:lang w:val="en-US" w:eastAsia="zh-CN" w:bidi="ar-SA"/>
        </w:rPr>
        <w:t>抽查部分村庄</w:t>
      </w:r>
      <w:r>
        <w:rPr>
          <w:rFonts w:hint="eastAsia" w:ascii="宋体" w:hAnsi="宋体" w:eastAsia="宋体" w:cs="宋体"/>
          <w:color w:val="auto"/>
          <w:sz w:val="21"/>
          <w:szCs w:val="21"/>
          <w:highlight w:val="none"/>
          <w:lang w:val="en-US" w:eastAsia="zh-CN" w:bidi="ar-SA"/>
        </w:rPr>
        <w:t>，从问题照片数量、</w:t>
      </w:r>
      <w:r>
        <w:rPr>
          <w:rFonts w:hint="eastAsia" w:hAnsi="宋体" w:cs="宋体"/>
          <w:color w:val="auto"/>
          <w:sz w:val="21"/>
          <w:szCs w:val="21"/>
          <w:highlight w:val="none"/>
          <w:lang w:val="en-US" w:eastAsia="zh-CN" w:bidi="ar-SA"/>
        </w:rPr>
        <w:t>评估</w:t>
      </w:r>
      <w:r>
        <w:rPr>
          <w:rFonts w:hint="eastAsia" w:ascii="宋体" w:hAnsi="宋体" w:eastAsia="宋体" w:cs="宋体"/>
          <w:color w:val="auto"/>
          <w:sz w:val="21"/>
          <w:szCs w:val="21"/>
          <w:highlight w:val="none"/>
          <w:lang w:val="en-US" w:eastAsia="zh-CN" w:bidi="ar-SA"/>
        </w:rPr>
        <w:t>范围轨迹、整改审核准确率等方面与</w:t>
      </w:r>
      <w:r>
        <w:rPr>
          <w:rFonts w:hint="eastAsia" w:hAnsi="宋体" w:cs="宋体"/>
          <w:color w:val="auto"/>
          <w:sz w:val="21"/>
          <w:szCs w:val="21"/>
          <w:highlight w:val="none"/>
          <w:lang w:val="en-US" w:eastAsia="zh-CN" w:bidi="ar-SA"/>
        </w:rPr>
        <w:t>供应商评估</w:t>
      </w:r>
      <w:r>
        <w:rPr>
          <w:rFonts w:hint="eastAsia" w:ascii="宋体" w:hAnsi="宋体" w:eastAsia="宋体" w:cs="宋体"/>
          <w:color w:val="auto"/>
          <w:sz w:val="21"/>
          <w:szCs w:val="21"/>
          <w:highlight w:val="none"/>
          <w:lang w:val="en-US" w:eastAsia="zh-CN" w:bidi="ar-SA"/>
        </w:rPr>
        <w:t>结果进行对比</w:t>
      </w:r>
      <w:r>
        <w:rPr>
          <w:rFonts w:hint="eastAsia" w:hAnsi="宋体" w:cs="宋体"/>
          <w:color w:val="auto"/>
          <w:sz w:val="21"/>
          <w:szCs w:val="21"/>
          <w:highlight w:val="none"/>
          <w:lang w:val="en-US" w:eastAsia="zh-CN" w:bidi="ar-SA"/>
        </w:rPr>
        <w:t>督查</w:t>
      </w:r>
      <w:r>
        <w:rPr>
          <w:rFonts w:hint="eastAsia" w:ascii="宋体" w:hAnsi="宋体" w:eastAsia="宋体" w:cs="宋体"/>
          <w:color w:val="auto"/>
          <w:sz w:val="21"/>
          <w:szCs w:val="21"/>
          <w:highlight w:val="none"/>
          <w:lang w:val="en-US" w:eastAsia="zh-CN" w:bidi="ar-SA"/>
        </w:rPr>
        <w:t>。</w:t>
      </w:r>
      <w:r>
        <w:rPr>
          <w:rFonts w:hint="eastAsia" w:hAnsi="宋体" w:cs="宋体"/>
          <w:color w:val="auto"/>
          <w:sz w:val="21"/>
          <w:szCs w:val="21"/>
          <w:highlight w:val="none"/>
          <w:lang w:val="en-US" w:eastAsia="zh-CN" w:bidi="ar-SA"/>
        </w:rPr>
        <w:t>采购人及上级部门督查期间由中标供应商配备随行人员和车辆。</w:t>
      </w:r>
    </w:p>
    <w:p w14:paraId="37B04EE9">
      <w:pPr>
        <w:keepNext w:val="0"/>
        <w:keepLines w:val="0"/>
        <w:pageBreakBefore w:val="0"/>
        <w:widowControl w:val="0"/>
        <w:shd w:val="clear"/>
        <w:kinsoku/>
        <w:wordWrap/>
        <w:overflowPunct/>
        <w:topLinePunct w:val="0"/>
        <w:autoSpaceDE w:val="0"/>
        <w:autoSpaceDN w:val="0"/>
        <w:bidi w:val="0"/>
        <w:adjustRightInd w:val="0"/>
        <w:snapToGrid/>
        <w:spacing w:after="0" w:line="500" w:lineRule="exact"/>
        <w:ind w:firstLine="420" w:firstLineChars="200"/>
        <w:textAlignment w:val="baseline"/>
        <w:rPr>
          <w:rFonts w:hint="eastAsia" w:ascii="宋体" w:hAnsi="宋体" w:eastAsia="宋体" w:cs="宋体"/>
          <w:color w:val="auto"/>
          <w:sz w:val="21"/>
          <w:szCs w:val="21"/>
          <w:highlight w:val="none"/>
          <w:lang w:val="en-US" w:eastAsia="zh-CN" w:bidi="ar-SA"/>
        </w:rPr>
      </w:pPr>
      <w:r>
        <w:rPr>
          <w:rFonts w:hint="eastAsia" w:ascii="宋体" w:hAnsi="宋体" w:eastAsia="宋体" w:cs="宋体"/>
          <w:color w:val="auto"/>
          <w:sz w:val="21"/>
          <w:szCs w:val="21"/>
          <w:highlight w:val="none"/>
          <w:lang w:val="en-US" w:eastAsia="zh-CN" w:bidi="ar-SA"/>
        </w:rPr>
        <w:t>4.中标单位</w:t>
      </w:r>
      <w:r>
        <w:rPr>
          <w:rFonts w:hint="eastAsia" w:hAnsi="宋体" w:cs="宋体"/>
          <w:color w:val="auto"/>
          <w:sz w:val="21"/>
          <w:szCs w:val="21"/>
          <w:highlight w:val="none"/>
          <w:lang w:val="en-US" w:eastAsia="zh-CN" w:bidi="ar-SA"/>
        </w:rPr>
        <w:t>评估</w:t>
      </w:r>
      <w:r>
        <w:rPr>
          <w:rFonts w:hint="eastAsia" w:ascii="宋体" w:hAnsi="宋体" w:eastAsia="宋体" w:cs="宋体"/>
          <w:color w:val="auto"/>
          <w:sz w:val="21"/>
          <w:szCs w:val="21"/>
          <w:highlight w:val="none"/>
          <w:lang w:val="en-US" w:eastAsia="zh-CN" w:bidi="ar-SA"/>
        </w:rPr>
        <w:t>结果与区级督查结果明显不符的，将对中标单位实行处罚，扣除服务费3000元</w:t>
      </w:r>
      <w:r>
        <w:rPr>
          <w:rFonts w:hint="eastAsia" w:hAnsi="宋体" w:cs="宋体"/>
          <w:color w:val="auto"/>
          <w:sz w:val="21"/>
          <w:szCs w:val="21"/>
          <w:highlight w:val="none"/>
          <w:lang w:val="en-US" w:eastAsia="zh-CN" w:bidi="ar-SA"/>
        </w:rPr>
        <w:t>/行政村次</w:t>
      </w:r>
      <w:r>
        <w:rPr>
          <w:rFonts w:hint="eastAsia" w:ascii="宋体" w:hAnsi="宋体" w:eastAsia="宋体" w:cs="宋体"/>
          <w:color w:val="auto"/>
          <w:sz w:val="21"/>
          <w:szCs w:val="21"/>
          <w:highlight w:val="none"/>
          <w:lang w:val="en-US" w:eastAsia="zh-CN" w:bidi="ar-SA"/>
        </w:rPr>
        <w:t>，当月5个及以上村明显不符的，将扣除当月50%</w:t>
      </w:r>
      <w:r>
        <w:rPr>
          <w:rFonts w:hint="eastAsia" w:hAnsi="宋体" w:cs="宋体"/>
          <w:color w:val="auto"/>
          <w:sz w:val="21"/>
          <w:szCs w:val="21"/>
          <w:highlight w:val="none"/>
          <w:lang w:val="en-US" w:eastAsia="zh-CN" w:bidi="ar-SA"/>
        </w:rPr>
        <w:t>评估</w:t>
      </w:r>
      <w:r>
        <w:rPr>
          <w:rFonts w:hint="eastAsia" w:ascii="宋体" w:hAnsi="宋体" w:eastAsia="宋体" w:cs="宋体"/>
          <w:color w:val="auto"/>
          <w:sz w:val="21"/>
          <w:szCs w:val="21"/>
          <w:highlight w:val="none"/>
          <w:lang w:val="en-US" w:eastAsia="zh-CN" w:bidi="ar-SA"/>
        </w:rPr>
        <w:t>服务费。</w:t>
      </w:r>
    </w:p>
    <w:p w14:paraId="07C9005B">
      <w:pPr>
        <w:keepNext w:val="0"/>
        <w:keepLines w:val="0"/>
        <w:pageBreakBefore w:val="0"/>
        <w:widowControl w:val="0"/>
        <w:shd w:val="clear"/>
        <w:kinsoku/>
        <w:wordWrap/>
        <w:overflowPunct/>
        <w:topLinePunct w:val="0"/>
        <w:autoSpaceDE w:val="0"/>
        <w:autoSpaceDN w:val="0"/>
        <w:bidi w:val="0"/>
        <w:adjustRightInd w:val="0"/>
        <w:snapToGrid/>
        <w:spacing w:after="0" w:line="500" w:lineRule="exact"/>
        <w:ind w:firstLine="420" w:firstLineChars="200"/>
        <w:textAlignment w:val="baseline"/>
        <w:rPr>
          <w:rFonts w:hint="default" w:ascii="宋体" w:hAnsi="宋体" w:eastAsia="宋体" w:cs="宋体"/>
          <w:color w:val="auto"/>
          <w:sz w:val="21"/>
          <w:szCs w:val="21"/>
          <w:highlight w:val="none"/>
          <w:lang w:val="en-US" w:eastAsia="zh-CN" w:bidi="ar-SA"/>
        </w:rPr>
      </w:pPr>
      <w:r>
        <w:rPr>
          <w:rFonts w:hint="eastAsia" w:ascii="宋体" w:hAnsi="宋体" w:eastAsia="宋体" w:cs="宋体"/>
          <w:color w:val="auto"/>
          <w:sz w:val="21"/>
          <w:szCs w:val="21"/>
          <w:highlight w:val="none"/>
          <w:lang w:val="en-US" w:eastAsia="zh-CN" w:bidi="ar-SA"/>
        </w:rPr>
        <w:t>5.为维护</w:t>
      </w:r>
      <w:r>
        <w:rPr>
          <w:rFonts w:hint="eastAsia" w:hAnsi="宋体" w:cs="宋体"/>
          <w:color w:val="auto"/>
          <w:sz w:val="21"/>
          <w:szCs w:val="21"/>
          <w:highlight w:val="none"/>
          <w:lang w:val="en-US" w:eastAsia="zh-CN" w:bidi="ar-SA"/>
        </w:rPr>
        <w:t>评估</w:t>
      </w:r>
      <w:r>
        <w:rPr>
          <w:rFonts w:hint="eastAsia" w:ascii="宋体" w:hAnsi="宋体" w:eastAsia="宋体" w:cs="宋体"/>
          <w:color w:val="auto"/>
          <w:sz w:val="21"/>
          <w:szCs w:val="21"/>
          <w:highlight w:val="none"/>
          <w:lang w:val="en-US" w:eastAsia="zh-CN" w:bidi="ar-SA"/>
        </w:rPr>
        <w:t>工作的公平公正性，中标单位须遵循《廉洁承诺书》（附件2）的各项条款，不得违背。</w:t>
      </w:r>
    </w:p>
    <w:p w14:paraId="229BA7D0">
      <w:pPr>
        <w:keepNext w:val="0"/>
        <w:keepLines w:val="0"/>
        <w:pageBreakBefore w:val="0"/>
        <w:widowControl w:val="0"/>
        <w:shd w:val="clear"/>
        <w:kinsoku/>
        <w:wordWrap/>
        <w:overflowPunct/>
        <w:topLinePunct w:val="0"/>
        <w:autoSpaceDE w:val="0"/>
        <w:autoSpaceDN w:val="0"/>
        <w:bidi w:val="0"/>
        <w:adjustRightInd w:val="0"/>
        <w:snapToGrid/>
        <w:spacing w:line="500" w:lineRule="exact"/>
        <w:ind w:firstLine="422" w:firstLineChars="200"/>
        <w:textAlignment w:val="auto"/>
        <w:rPr>
          <w:rFonts w:hint="eastAsia" w:ascii="宋体" w:hAnsi="Times New Roman" w:eastAsia="宋体" w:cs="Times New Roman"/>
          <w:color w:val="auto"/>
          <w:sz w:val="21"/>
          <w:szCs w:val="21"/>
          <w:highlight w:val="none"/>
        </w:rPr>
      </w:pPr>
      <w:r>
        <w:rPr>
          <w:rFonts w:hint="eastAsia" w:ascii="宋体" w:hAnsi="Times New Roman" w:eastAsia="宋体" w:cs="Times New Roman"/>
          <w:b/>
          <w:bCs/>
          <w:color w:val="auto"/>
          <w:sz w:val="21"/>
          <w:szCs w:val="21"/>
          <w:highlight w:val="none"/>
          <w:lang w:val="en-US" w:eastAsia="zh-CN"/>
        </w:rPr>
        <w:t>三</w:t>
      </w:r>
      <w:r>
        <w:rPr>
          <w:rFonts w:hint="eastAsia" w:ascii="宋体" w:hAnsi="Times New Roman" w:eastAsia="宋体" w:cs="Times New Roman"/>
          <w:b/>
          <w:bCs/>
          <w:color w:val="auto"/>
          <w:sz w:val="21"/>
          <w:szCs w:val="21"/>
          <w:highlight w:val="none"/>
        </w:rPr>
        <w:t>、支付方式</w:t>
      </w:r>
    </w:p>
    <w:p w14:paraId="51C442E9">
      <w:pPr>
        <w:keepNext w:val="0"/>
        <w:keepLines w:val="0"/>
        <w:pageBreakBefore w:val="0"/>
        <w:widowControl w:val="0"/>
        <w:shd w:val="clear"/>
        <w:kinsoku/>
        <w:wordWrap/>
        <w:overflowPunct/>
        <w:topLinePunct w:val="0"/>
        <w:autoSpaceDE w:val="0"/>
        <w:autoSpaceDN w:val="0"/>
        <w:bidi w:val="0"/>
        <w:adjustRightInd w:val="0"/>
        <w:snapToGrid/>
        <w:spacing w:line="500" w:lineRule="exact"/>
        <w:ind w:firstLine="420" w:firstLineChars="200"/>
        <w:textAlignment w:val="auto"/>
        <w:rPr>
          <w:rFonts w:hint="default" w:ascii="宋体" w:hAnsi="Times New Roman" w:eastAsia="宋体" w:cs="Times New Roman"/>
          <w:color w:val="auto"/>
          <w:sz w:val="21"/>
          <w:szCs w:val="21"/>
          <w:highlight w:val="none"/>
          <w:lang w:val="en-US" w:eastAsia="zh-CN"/>
        </w:rPr>
      </w:pPr>
      <w:r>
        <w:rPr>
          <w:rFonts w:hint="eastAsia" w:ascii="宋体" w:hAnsi="Times New Roman" w:eastAsia="宋体" w:cs="Times New Roman"/>
          <w:color w:val="auto"/>
          <w:sz w:val="21"/>
          <w:szCs w:val="21"/>
          <w:highlight w:val="none"/>
          <w:lang w:val="en-US" w:eastAsia="zh-CN"/>
        </w:rPr>
        <w:t>1.</w:t>
      </w:r>
      <w:bookmarkStart w:id="54" w:name="OLE_LINK1"/>
      <w:r>
        <w:rPr>
          <w:rFonts w:hint="eastAsia" w:ascii="宋体" w:hAnsi="Times New Roman" w:eastAsia="宋体" w:cs="Times New Roman"/>
          <w:color w:val="auto"/>
          <w:sz w:val="21"/>
          <w:szCs w:val="21"/>
          <w:highlight w:val="none"/>
          <w:lang w:val="en-US" w:eastAsia="zh-CN"/>
        </w:rPr>
        <w:t>合同签订生效以及具备实施条件后</w:t>
      </w:r>
      <w:r>
        <w:rPr>
          <w:rFonts w:hint="eastAsia" w:cs="Times New Roman"/>
          <w:color w:val="auto"/>
          <w:sz w:val="21"/>
          <w:szCs w:val="21"/>
          <w:highlight w:val="none"/>
          <w:lang w:val="en-US" w:eastAsia="zh-CN"/>
        </w:rPr>
        <w:t>1个月</w:t>
      </w:r>
      <w:r>
        <w:rPr>
          <w:rFonts w:hint="eastAsia" w:ascii="宋体" w:hAnsi="Times New Roman" w:eastAsia="宋体" w:cs="Times New Roman"/>
          <w:color w:val="auto"/>
          <w:sz w:val="21"/>
          <w:szCs w:val="21"/>
          <w:highlight w:val="none"/>
          <w:lang w:val="en-US" w:eastAsia="zh-CN"/>
        </w:rPr>
        <w:t>内，采购人向供应商支付</w:t>
      </w:r>
      <w:r>
        <w:rPr>
          <w:rFonts w:hint="eastAsia" w:cs="Times New Roman"/>
          <w:color w:val="auto"/>
          <w:sz w:val="21"/>
          <w:szCs w:val="21"/>
          <w:highlight w:val="none"/>
          <w:lang w:val="en-US" w:eastAsia="zh-CN"/>
        </w:rPr>
        <w:t>暂定</w:t>
      </w:r>
      <w:r>
        <w:rPr>
          <w:rFonts w:hint="eastAsia" w:ascii="宋体" w:hAnsi="Times New Roman" w:eastAsia="宋体" w:cs="Times New Roman"/>
          <w:color w:val="auto"/>
          <w:sz w:val="21"/>
          <w:szCs w:val="21"/>
          <w:highlight w:val="none"/>
          <w:lang w:val="en-US" w:eastAsia="zh-CN"/>
        </w:rPr>
        <w:t>合同金额的30%预付款，202</w:t>
      </w:r>
      <w:r>
        <w:rPr>
          <w:rFonts w:hint="default" w:cs="Times New Roman"/>
          <w:color w:val="auto"/>
          <w:sz w:val="21"/>
          <w:szCs w:val="21"/>
          <w:highlight w:val="none"/>
          <w:lang w:eastAsia="zh-CN"/>
        </w:rPr>
        <w:t>5</w:t>
      </w:r>
      <w:r>
        <w:rPr>
          <w:rFonts w:hint="eastAsia" w:ascii="宋体" w:hAnsi="Times New Roman" w:eastAsia="宋体" w:cs="Times New Roman"/>
          <w:color w:val="auto"/>
          <w:sz w:val="21"/>
          <w:szCs w:val="21"/>
          <w:highlight w:val="none"/>
          <w:lang w:val="en-US" w:eastAsia="zh-CN"/>
        </w:rPr>
        <w:t>年1</w:t>
      </w:r>
      <w:r>
        <w:rPr>
          <w:rFonts w:hint="default" w:cs="Times New Roman"/>
          <w:color w:val="auto"/>
          <w:sz w:val="21"/>
          <w:szCs w:val="21"/>
          <w:highlight w:val="none"/>
          <w:lang w:eastAsia="zh-CN"/>
        </w:rPr>
        <w:t>1</w:t>
      </w:r>
      <w:r>
        <w:rPr>
          <w:rFonts w:hint="eastAsia" w:ascii="宋体" w:hAnsi="Times New Roman" w:eastAsia="宋体" w:cs="Times New Roman"/>
          <w:color w:val="auto"/>
          <w:sz w:val="21"/>
          <w:szCs w:val="21"/>
          <w:highlight w:val="none"/>
        </w:rPr>
        <w:t>月份支付</w:t>
      </w:r>
      <w:r>
        <w:rPr>
          <w:rFonts w:hint="eastAsia" w:cs="Times New Roman"/>
          <w:color w:val="auto"/>
          <w:sz w:val="21"/>
          <w:szCs w:val="21"/>
          <w:highlight w:val="none"/>
          <w:lang w:val="en-US" w:eastAsia="zh-CN"/>
        </w:rPr>
        <w:t>暂定</w:t>
      </w:r>
      <w:r>
        <w:rPr>
          <w:rFonts w:hint="default" w:cs="Times New Roman"/>
          <w:color w:val="auto"/>
          <w:sz w:val="21"/>
          <w:szCs w:val="21"/>
          <w:highlight w:val="none"/>
        </w:rPr>
        <w:t>合同金额的20%</w:t>
      </w:r>
      <w:r>
        <w:rPr>
          <w:rFonts w:hint="eastAsia" w:ascii="宋体" w:hAnsi="Times New Roman" w:eastAsia="宋体" w:cs="Times New Roman"/>
          <w:color w:val="auto"/>
          <w:sz w:val="21"/>
          <w:szCs w:val="21"/>
          <w:highlight w:val="none"/>
        </w:rPr>
        <w:t>，</w:t>
      </w:r>
      <w:r>
        <w:rPr>
          <w:rFonts w:hint="default" w:cs="Times New Roman"/>
          <w:color w:val="auto"/>
          <w:sz w:val="21"/>
          <w:szCs w:val="21"/>
          <w:highlight w:val="none"/>
        </w:rPr>
        <w:t>2026年7月份支付</w:t>
      </w:r>
      <w:r>
        <w:rPr>
          <w:rFonts w:hint="eastAsia" w:cs="Times New Roman"/>
          <w:color w:val="auto"/>
          <w:sz w:val="21"/>
          <w:szCs w:val="21"/>
          <w:highlight w:val="none"/>
          <w:lang w:val="en-US" w:eastAsia="zh-CN"/>
        </w:rPr>
        <w:t>暂定</w:t>
      </w:r>
      <w:r>
        <w:rPr>
          <w:rFonts w:hint="default" w:cs="Times New Roman"/>
          <w:color w:val="auto"/>
          <w:sz w:val="21"/>
          <w:szCs w:val="21"/>
          <w:highlight w:val="none"/>
        </w:rPr>
        <w:t>合同金额的20%，</w:t>
      </w:r>
      <w:r>
        <w:rPr>
          <w:rFonts w:hint="eastAsia" w:cs="Times New Roman"/>
          <w:color w:val="auto"/>
          <w:sz w:val="21"/>
          <w:szCs w:val="21"/>
          <w:highlight w:val="none"/>
          <w:lang w:val="en-US" w:eastAsia="zh-CN"/>
        </w:rPr>
        <w:t>服务期结束</w:t>
      </w:r>
      <w:r>
        <w:rPr>
          <w:rFonts w:hint="eastAsia" w:cs="Times New Roman"/>
          <w:color w:val="auto"/>
          <w:sz w:val="21"/>
          <w:szCs w:val="21"/>
          <w:highlight w:val="none"/>
          <w:lang w:eastAsia="zh-CN"/>
        </w:rPr>
        <w:t>评估</w:t>
      </w:r>
      <w:r>
        <w:rPr>
          <w:rFonts w:hint="eastAsia" w:ascii="宋体" w:hAnsi="Times New Roman" w:eastAsia="宋体" w:cs="Times New Roman"/>
          <w:color w:val="auto"/>
          <w:sz w:val="21"/>
          <w:szCs w:val="21"/>
          <w:highlight w:val="none"/>
        </w:rPr>
        <w:t>服务全部完成后提供</w:t>
      </w:r>
      <w:r>
        <w:rPr>
          <w:rFonts w:hint="eastAsia" w:cs="Times New Roman"/>
          <w:color w:val="auto"/>
          <w:sz w:val="21"/>
          <w:szCs w:val="21"/>
          <w:highlight w:val="none"/>
          <w:lang w:eastAsia="zh-CN"/>
        </w:rPr>
        <w:t>评估</w:t>
      </w:r>
      <w:r>
        <w:rPr>
          <w:rFonts w:hint="eastAsia" w:ascii="宋体" w:hAnsi="Times New Roman" w:eastAsia="宋体" w:cs="Times New Roman"/>
          <w:color w:val="auto"/>
          <w:sz w:val="21"/>
          <w:szCs w:val="21"/>
          <w:highlight w:val="none"/>
        </w:rPr>
        <w:t>完成情况书面报告，经</w:t>
      </w:r>
      <w:r>
        <w:rPr>
          <w:rFonts w:hint="eastAsia" w:cs="Times New Roman"/>
          <w:color w:val="auto"/>
          <w:sz w:val="21"/>
          <w:szCs w:val="21"/>
          <w:highlight w:val="none"/>
          <w:lang w:val="en-US" w:eastAsia="zh-CN"/>
        </w:rPr>
        <w:t>采购人审核</w:t>
      </w:r>
      <w:r>
        <w:rPr>
          <w:rFonts w:hint="eastAsia" w:ascii="宋体" w:hAnsi="Times New Roman" w:eastAsia="宋体" w:cs="Times New Roman"/>
          <w:color w:val="auto"/>
          <w:sz w:val="21"/>
          <w:szCs w:val="21"/>
          <w:highlight w:val="none"/>
        </w:rPr>
        <w:t>确认后支付</w:t>
      </w:r>
      <w:r>
        <w:rPr>
          <w:rFonts w:hint="eastAsia" w:cs="Times New Roman"/>
          <w:color w:val="auto"/>
          <w:sz w:val="21"/>
          <w:szCs w:val="21"/>
          <w:highlight w:val="none"/>
          <w:lang w:val="en-US" w:eastAsia="zh-CN"/>
        </w:rPr>
        <w:t>至实际合同金额的100%</w:t>
      </w:r>
      <w:r>
        <w:rPr>
          <w:rFonts w:hint="eastAsia" w:ascii="宋体" w:hAnsi="Times New Roman" w:eastAsia="宋体" w:cs="Times New Roman"/>
          <w:color w:val="auto"/>
          <w:sz w:val="21"/>
          <w:szCs w:val="21"/>
          <w:highlight w:val="none"/>
        </w:rPr>
        <w:t>。</w:t>
      </w:r>
      <w:r>
        <w:rPr>
          <w:rFonts w:hint="default" w:hAnsi="宋体" w:cs="宋体"/>
          <w:color w:val="auto"/>
          <w:sz w:val="21"/>
          <w:szCs w:val="21"/>
          <w:highlight w:val="none"/>
        </w:rPr>
        <w:t>如遇财政预算</w:t>
      </w:r>
      <w:r>
        <w:rPr>
          <w:rFonts w:hint="eastAsia" w:hAnsi="宋体" w:cs="宋体"/>
          <w:color w:val="auto"/>
          <w:sz w:val="21"/>
          <w:szCs w:val="21"/>
          <w:highlight w:val="none"/>
          <w:lang w:val="en-US" w:eastAsia="zh-CN"/>
        </w:rPr>
        <w:t>安排</w:t>
      </w:r>
      <w:r>
        <w:rPr>
          <w:rFonts w:hint="default" w:hAnsi="宋体" w:cs="宋体"/>
          <w:color w:val="auto"/>
          <w:sz w:val="21"/>
          <w:szCs w:val="21"/>
          <w:highlight w:val="none"/>
        </w:rPr>
        <w:t>问题则相应付款延迟。</w:t>
      </w:r>
      <w:r>
        <w:rPr>
          <w:rFonts w:hint="eastAsia" w:cs="Times New Roman"/>
          <w:color w:val="auto"/>
          <w:sz w:val="21"/>
          <w:szCs w:val="21"/>
          <w:highlight w:val="none"/>
          <w:lang w:val="en-US" w:eastAsia="zh-CN"/>
        </w:rPr>
        <w:t>实际合同金额</w:t>
      </w:r>
      <w:r>
        <w:rPr>
          <w:rFonts w:hint="eastAsia" w:hAnsi="宋体" w:cs="宋体"/>
          <w:color w:val="auto"/>
          <w:sz w:val="21"/>
          <w:szCs w:val="21"/>
          <w:highlight w:val="none"/>
          <w:lang w:val="en-US" w:eastAsia="zh-CN"/>
        </w:rPr>
        <w:t>=实际完成评估的行政村数量*中标单价。</w:t>
      </w:r>
      <w:bookmarkEnd w:id="54"/>
    </w:p>
    <w:p w14:paraId="52D6B45A">
      <w:pPr>
        <w:keepNext w:val="0"/>
        <w:keepLines w:val="0"/>
        <w:pageBreakBefore w:val="0"/>
        <w:widowControl w:val="0"/>
        <w:shd w:val="clear"/>
        <w:kinsoku/>
        <w:wordWrap/>
        <w:overflowPunct/>
        <w:topLinePunct w:val="0"/>
        <w:autoSpaceDE w:val="0"/>
        <w:autoSpaceDN w:val="0"/>
        <w:bidi w:val="0"/>
        <w:adjustRightInd w:val="0"/>
        <w:snapToGrid/>
        <w:spacing w:line="500" w:lineRule="exact"/>
        <w:ind w:firstLine="420" w:firstLineChars="200"/>
        <w:textAlignment w:val="auto"/>
        <w:rPr>
          <w:rFonts w:hint="eastAsia" w:ascii="宋体" w:hAnsi="宋体" w:eastAsia="宋体" w:cs="宋体"/>
          <w:b w:val="0"/>
          <w:bCs w:val="0"/>
          <w:snapToGrid w:val="0"/>
          <w:color w:val="auto"/>
          <w:sz w:val="21"/>
          <w:szCs w:val="21"/>
          <w:highlight w:val="none"/>
        </w:rPr>
      </w:pPr>
      <w:r>
        <w:rPr>
          <w:rFonts w:hint="eastAsia" w:ascii="宋体" w:hAnsi="宋体" w:eastAsia="宋体" w:cs="宋体"/>
          <w:b w:val="0"/>
          <w:bCs w:val="0"/>
          <w:snapToGrid w:val="0"/>
          <w:color w:val="auto"/>
          <w:sz w:val="21"/>
          <w:szCs w:val="21"/>
          <w:highlight w:val="none"/>
          <w:lang w:val="en-US" w:eastAsia="zh-CN"/>
        </w:rPr>
        <w:t>2.</w:t>
      </w:r>
      <w:r>
        <w:rPr>
          <w:rFonts w:hint="eastAsia" w:ascii="宋体" w:hAnsi="宋体" w:eastAsia="宋体" w:cs="宋体"/>
          <w:b w:val="0"/>
          <w:bCs w:val="0"/>
          <w:snapToGrid w:val="0"/>
          <w:color w:val="auto"/>
          <w:sz w:val="21"/>
          <w:szCs w:val="21"/>
          <w:highlight w:val="none"/>
        </w:rPr>
        <w:t>中标</w:t>
      </w:r>
      <w:r>
        <w:rPr>
          <w:rFonts w:hint="eastAsia" w:ascii="宋体" w:hAnsi="宋体" w:eastAsia="宋体" w:cs="宋体"/>
          <w:b w:val="0"/>
          <w:bCs w:val="0"/>
          <w:snapToGrid w:val="0"/>
          <w:color w:val="auto"/>
          <w:sz w:val="21"/>
          <w:szCs w:val="21"/>
          <w:highlight w:val="none"/>
          <w:lang w:val="en-US" w:eastAsia="zh-CN"/>
        </w:rPr>
        <w:t>人</w:t>
      </w:r>
      <w:r>
        <w:rPr>
          <w:rFonts w:hint="eastAsia" w:ascii="宋体" w:hAnsi="宋体" w:eastAsia="宋体" w:cs="宋体"/>
          <w:b w:val="0"/>
          <w:bCs w:val="0"/>
          <w:snapToGrid w:val="0"/>
          <w:color w:val="auto"/>
          <w:sz w:val="21"/>
          <w:szCs w:val="21"/>
          <w:highlight w:val="none"/>
        </w:rPr>
        <w:t>在结算合同价款时需提供正式的税务发票。</w:t>
      </w:r>
    </w:p>
    <w:p w14:paraId="68C59717">
      <w:pPr>
        <w:shd w:val="clear" w:color="auto"/>
        <w:adjustRightInd/>
        <w:spacing w:line="500" w:lineRule="exact"/>
        <w:ind w:firstLine="422" w:firstLineChars="200"/>
        <w:rPr>
          <w:rFonts w:hint="eastAsia" w:ascii="宋体" w:hAnsi="宋体" w:eastAsia="宋体" w:cs="宋体"/>
          <w:b/>
          <w:bCs/>
          <w:snapToGrid w:val="0"/>
          <w:color w:val="auto"/>
          <w:sz w:val="21"/>
          <w:szCs w:val="21"/>
          <w:highlight w:val="none"/>
        </w:rPr>
      </w:pPr>
    </w:p>
    <w:p w14:paraId="6CA8993F">
      <w:pPr>
        <w:keepNext w:val="0"/>
        <w:keepLines w:val="0"/>
        <w:pageBreakBefore/>
        <w:widowControl/>
        <w:shd w:val="clear"/>
        <w:kinsoku/>
        <w:wordWrap/>
        <w:overflowPunct/>
        <w:topLinePunct w:val="0"/>
        <w:autoSpaceDE w:val="0"/>
        <w:autoSpaceDN w:val="0"/>
        <w:bidi w:val="0"/>
        <w:adjustRightInd w:val="0"/>
        <w:snapToGrid/>
        <w:spacing w:line="500" w:lineRule="exact"/>
        <w:jc w:val="left"/>
        <w:textAlignment w:val="auto"/>
        <w:rPr>
          <w:rFonts w:hint="eastAsia" w:ascii="宋体" w:hAnsi="宋体" w:eastAsia="宋体" w:cs="宋体"/>
          <w:bCs/>
          <w:color w:val="auto"/>
          <w:kern w:val="0"/>
          <w:sz w:val="21"/>
          <w:szCs w:val="21"/>
          <w:highlight w:val="none"/>
        </w:rPr>
      </w:pPr>
      <w:r>
        <w:rPr>
          <w:rFonts w:hint="eastAsia" w:ascii="宋体" w:hAnsi="宋体" w:eastAsia="宋体" w:cs="宋体"/>
          <w:bCs/>
          <w:color w:val="auto"/>
          <w:kern w:val="0"/>
          <w:sz w:val="21"/>
          <w:szCs w:val="21"/>
          <w:highlight w:val="none"/>
        </w:rPr>
        <w:t>附件1</w:t>
      </w:r>
    </w:p>
    <w:p w14:paraId="36E163CA">
      <w:pPr>
        <w:keepNext w:val="0"/>
        <w:keepLines w:val="0"/>
        <w:pageBreakBefore w:val="0"/>
        <w:widowControl/>
        <w:shd w:val="clear"/>
        <w:kinsoku/>
        <w:wordWrap/>
        <w:overflowPunct/>
        <w:topLinePunct w:val="0"/>
        <w:autoSpaceDE w:val="0"/>
        <w:autoSpaceDN w:val="0"/>
        <w:bidi w:val="0"/>
        <w:adjustRightInd w:val="0"/>
        <w:snapToGrid/>
        <w:spacing w:line="500" w:lineRule="exact"/>
        <w:jc w:val="center"/>
        <w:textAlignment w:val="auto"/>
        <w:rPr>
          <w:rFonts w:hint="eastAsia" w:ascii="宋体" w:hAnsi="宋体" w:eastAsia="宋体" w:cs="宋体"/>
          <w:bCs/>
          <w:color w:val="auto"/>
          <w:kern w:val="0"/>
          <w:sz w:val="21"/>
          <w:szCs w:val="21"/>
          <w:highlight w:val="none"/>
        </w:rPr>
      </w:pPr>
      <w:r>
        <w:rPr>
          <w:rFonts w:hint="eastAsia" w:ascii="宋体" w:hAnsi="宋体" w:eastAsia="宋体" w:cs="宋体"/>
          <w:bCs/>
          <w:color w:val="auto"/>
          <w:kern w:val="0"/>
          <w:sz w:val="21"/>
          <w:szCs w:val="21"/>
          <w:highlight w:val="none"/>
        </w:rPr>
        <w:t>婺城区全域美农村人居环境长效管理</w:t>
      </w:r>
      <w:r>
        <w:rPr>
          <w:rFonts w:hint="eastAsia" w:hAnsi="宋体" w:cs="宋体"/>
          <w:bCs/>
          <w:color w:val="auto"/>
          <w:kern w:val="0"/>
          <w:sz w:val="21"/>
          <w:szCs w:val="21"/>
          <w:highlight w:val="none"/>
          <w:lang w:eastAsia="zh-CN"/>
        </w:rPr>
        <w:t>评估</w:t>
      </w:r>
      <w:r>
        <w:rPr>
          <w:rFonts w:hint="eastAsia" w:ascii="宋体" w:hAnsi="宋体" w:eastAsia="宋体" w:cs="宋体"/>
          <w:bCs/>
          <w:color w:val="auto"/>
          <w:kern w:val="0"/>
          <w:sz w:val="21"/>
          <w:szCs w:val="21"/>
          <w:highlight w:val="none"/>
        </w:rPr>
        <w:t>评分表</w:t>
      </w:r>
    </w:p>
    <w:p w14:paraId="4DC5D815">
      <w:pPr>
        <w:widowControl/>
        <w:shd w:val="clear"/>
        <w:spacing w:line="400" w:lineRule="exact"/>
        <w:rPr>
          <w:rFonts w:hint="eastAsia" w:ascii="宋体" w:hAnsi="宋体" w:eastAsia="宋体" w:cs="宋体"/>
          <w:bCs/>
          <w:color w:val="auto"/>
          <w:kern w:val="0"/>
          <w:sz w:val="21"/>
          <w:szCs w:val="21"/>
          <w:highlight w:val="none"/>
        </w:rPr>
      </w:pPr>
      <w:r>
        <w:rPr>
          <w:rFonts w:hint="eastAsia" w:ascii="宋体" w:hAnsi="宋体" w:eastAsia="宋体" w:cs="宋体"/>
          <w:color w:val="auto"/>
          <w:kern w:val="0"/>
          <w:sz w:val="21"/>
          <w:szCs w:val="21"/>
          <w:highlight w:val="none"/>
        </w:rPr>
        <w:t>乡（镇）          村                                              年    月    日</w:t>
      </w:r>
    </w:p>
    <w:tbl>
      <w:tblPr>
        <w:tblStyle w:val="48"/>
        <w:tblW w:w="9881" w:type="dxa"/>
        <w:jc w:val="center"/>
        <w:tblLayout w:type="fixed"/>
        <w:tblCellMar>
          <w:top w:w="0" w:type="dxa"/>
          <w:left w:w="108" w:type="dxa"/>
          <w:bottom w:w="0" w:type="dxa"/>
          <w:right w:w="108" w:type="dxa"/>
        </w:tblCellMar>
      </w:tblPr>
      <w:tblGrid>
        <w:gridCol w:w="708"/>
        <w:gridCol w:w="3758"/>
        <w:gridCol w:w="4464"/>
        <w:gridCol w:w="951"/>
      </w:tblGrid>
      <w:tr w14:paraId="7B04F1ED">
        <w:tblPrEx>
          <w:tblCellMar>
            <w:top w:w="0" w:type="dxa"/>
            <w:left w:w="108" w:type="dxa"/>
            <w:bottom w:w="0" w:type="dxa"/>
            <w:right w:w="108" w:type="dxa"/>
          </w:tblCellMar>
        </w:tblPrEx>
        <w:trPr>
          <w:trHeight w:val="331" w:hRule="atLeast"/>
          <w:jc w:val="center"/>
        </w:trPr>
        <w:tc>
          <w:tcPr>
            <w:tcW w:w="708" w:type="dxa"/>
            <w:tcBorders>
              <w:top w:val="single" w:color="auto" w:sz="4" w:space="0"/>
              <w:left w:val="single" w:color="auto" w:sz="4" w:space="0"/>
              <w:bottom w:val="single" w:color="auto" w:sz="4" w:space="0"/>
              <w:right w:val="single" w:color="auto" w:sz="4" w:space="0"/>
            </w:tcBorders>
            <w:noWrap/>
            <w:vAlign w:val="center"/>
          </w:tcPr>
          <w:p w14:paraId="1FC39755">
            <w:pPr>
              <w:keepNext w:val="0"/>
              <w:keepLines w:val="0"/>
              <w:pageBreakBefore w:val="0"/>
              <w:widowControl/>
              <w:shd w:val="clear"/>
              <w:kinsoku/>
              <w:wordWrap/>
              <w:overflowPunct/>
              <w:topLinePunct w:val="0"/>
              <w:autoSpaceDE w:val="0"/>
              <w:autoSpaceDN w:val="0"/>
              <w:bidi w:val="0"/>
              <w:adjustRightInd w:val="0"/>
              <w:snapToGrid/>
              <w:spacing w:line="460" w:lineRule="exact"/>
              <w:jc w:val="center"/>
              <w:textAlignment w:val="auto"/>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类别</w:t>
            </w:r>
          </w:p>
        </w:tc>
        <w:tc>
          <w:tcPr>
            <w:tcW w:w="3758" w:type="dxa"/>
            <w:tcBorders>
              <w:top w:val="single" w:color="auto" w:sz="4" w:space="0"/>
              <w:left w:val="nil"/>
              <w:bottom w:val="single" w:color="auto" w:sz="4" w:space="0"/>
              <w:right w:val="single" w:color="auto" w:sz="4" w:space="0"/>
            </w:tcBorders>
            <w:noWrap/>
            <w:vAlign w:val="center"/>
          </w:tcPr>
          <w:p w14:paraId="0BD21EF2">
            <w:pPr>
              <w:keepNext w:val="0"/>
              <w:keepLines w:val="0"/>
              <w:pageBreakBefore w:val="0"/>
              <w:widowControl/>
              <w:shd w:val="clear"/>
              <w:kinsoku/>
              <w:wordWrap/>
              <w:overflowPunct/>
              <w:topLinePunct w:val="0"/>
              <w:autoSpaceDE w:val="0"/>
              <w:autoSpaceDN w:val="0"/>
              <w:bidi w:val="0"/>
              <w:adjustRightInd w:val="0"/>
              <w:snapToGrid/>
              <w:spacing w:line="460" w:lineRule="exact"/>
              <w:jc w:val="center"/>
              <w:textAlignment w:val="auto"/>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内容</w:t>
            </w:r>
          </w:p>
        </w:tc>
        <w:tc>
          <w:tcPr>
            <w:tcW w:w="4464" w:type="dxa"/>
            <w:tcBorders>
              <w:top w:val="single" w:color="auto" w:sz="4" w:space="0"/>
              <w:left w:val="nil"/>
              <w:bottom w:val="single" w:color="auto" w:sz="4" w:space="0"/>
              <w:right w:val="single" w:color="auto" w:sz="4" w:space="0"/>
            </w:tcBorders>
            <w:noWrap/>
            <w:vAlign w:val="center"/>
          </w:tcPr>
          <w:p w14:paraId="11798F8D">
            <w:pPr>
              <w:keepNext w:val="0"/>
              <w:keepLines w:val="0"/>
              <w:pageBreakBefore w:val="0"/>
              <w:widowControl/>
              <w:shd w:val="clear"/>
              <w:kinsoku/>
              <w:wordWrap/>
              <w:overflowPunct/>
              <w:topLinePunct w:val="0"/>
              <w:autoSpaceDE w:val="0"/>
              <w:autoSpaceDN w:val="0"/>
              <w:bidi w:val="0"/>
              <w:adjustRightInd w:val="0"/>
              <w:snapToGrid/>
              <w:spacing w:line="460" w:lineRule="exact"/>
              <w:jc w:val="center"/>
              <w:textAlignment w:val="auto"/>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扣分细则</w:t>
            </w:r>
          </w:p>
        </w:tc>
        <w:tc>
          <w:tcPr>
            <w:tcW w:w="951" w:type="dxa"/>
            <w:tcBorders>
              <w:top w:val="single" w:color="auto" w:sz="4" w:space="0"/>
              <w:left w:val="nil"/>
              <w:bottom w:val="single" w:color="auto" w:sz="4" w:space="0"/>
              <w:right w:val="single" w:color="auto" w:sz="4" w:space="0"/>
            </w:tcBorders>
            <w:noWrap/>
            <w:vAlign w:val="center"/>
          </w:tcPr>
          <w:p w14:paraId="0B96AB70">
            <w:pPr>
              <w:keepNext w:val="0"/>
              <w:keepLines w:val="0"/>
              <w:pageBreakBefore w:val="0"/>
              <w:widowControl/>
              <w:shd w:val="clear"/>
              <w:kinsoku/>
              <w:wordWrap/>
              <w:overflowPunct/>
              <w:topLinePunct w:val="0"/>
              <w:autoSpaceDE w:val="0"/>
              <w:autoSpaceDN w:val="0"/>
              <w:bidi w:val="0"/>
              <w:adjustRightInd w:val="0"/>
              <w:snapToGrid/>
              <w:spacing w:line="460" w:lineRule="exact"/>
              <w:jc w:val="center"/>
              <w:textAlignment w:val="auto"/>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分值</w:t>
            </w:r>
          </w:p>
        </w:tc>
      </w:tr>
      <w:tr w14:paraId="5216B145">
        <w:tblPrEx>
          <w:tblCellMar>
            <w:top w:w="0" w:type="dxa"/>
            <w:left w:w="108" w:type="dxa"/>
            <w:bottom w:w="0" w:type="dxa"/>
            <w:right w:w="108" w:type="dxa"/>
          </w:tblCellMar>
        </w:tblPrEx>
        <w:trPr>
          <w:trHeight w:val="470" w:hRule="atLeast"/>
          <w:jc w:val="center"/>
        </w:trPr>
        <w:tc>
          <w:tcPr>
            <w:tcW w:w="708" w:type="dxa"/>
            <w:vMerge w:val="restart"/>
            <w:tcBorders>
              <w:top w:val="nil"/>
              <w:left w:val="single" w:color="auto" w:sz="4" w:space="0"/>
              <w:right w:val="nil"/>
            </w:tcBorders>
            <w:noWrap/>
            <w:vAlign w:val="center"/>
          </w:tcPr>
          <w:p w14:paraId="27FDC38F">
            <w:pPr>
              <w:keepNext w:val="0"/>
              <w:keepLines w:val="0"/>
              <w:pageBreakBefore w:val="0"/>
              <w:widowControl/>
              <w:shd w:val="clear"/>
              <w:kinsoku/>
              <w:wordWrap/>
              <w:overflowPunct/>
              <w:topLinePunct w:val="0"/>
              <w:autoSpaceDE w:val="0"/>
              <w:autoSpaceDN w:val="0"/>
              <w:bidi w:val="0"/>
              <w:adjustRightInd w:val="0"/>
              <w:snapToGrid/>
              <w:spacing w:line="460" w:lineRule="exact"/>
              <w:jc w:val="center"/>
              <w:textAlignment w:val="auto"/>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一、</w:t>
            </w:r>
          </w:p>
          <w:p w14:paraId="37C3202A">
            <w:pPr>
              <w:keepNext w:val="0"/>
              <w:keepLines w:val="0"/>
              <w:pageBreakBefore w:val="0"/>
              <w:widowControl/>
              <w:shd w:val="clear"/>
              <w:kinsoku/>
              <w:wordWrap/>
              <w:overflowPunct/>
              <w:topLinePunct w:val="0"/>
              <w:autoSpaceDE w:val="0"/>
              <w:autoSpaceDN w:val="0"/>
              <w:bidi w:val="0"/>
              <w:adjustRightInd w:val="0"/>
              <w:snapToGrid/>
              <w:spacing w:line="460" w:lineRule="exact"/>
              <w:jc w:val="center"/>
              <w:textAlignment w:val="auto"/>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 xml:space="preserve">制度     落实    </w:t>
            </w:r>
          </w:p>
        </w:tc>
        <w:tc>
          <w:tcPr>
            <w:tcW w:w="3758" w:type="dxa"/>
            <w:tcBorders>
              <w:top w:val="nil"/>
              <w:left w:val="single" w:color="auto" w:sz="4" w:space="0"/>
              <w:bottom w:val="single" w:color="auto" w:sz="4" w:space="0"/>
              <w:right w:val="single" w:color="auto" w:sz="4" w:space="0"/>
            </w:tcBorders>
            <w:noWrap/>
            <w:vAlign w:val="center"/>
          </w:tcPr>
          <w:p w14:paraId="17370981">
            <w:pPr>
              <w:keepNext w:val="0"/>
              <w:keepLines w:val="0"/>
              <w:pageBreakBefore w:val="0"/>
              <w:widowControl/>
              <w:shd w:val="clear"/>
              <w:kinsoku/>
              <w:wordWrap/>
              <w:overflowPunct/>
              <w:topLinePunct w:val="0"/>
              <w:autoSpaceDE w:val="0"/>
              <w:autoSpaceDN w:val="0"/>
              <w:bidi w:val="0"/>
              <w:adjustRightInd w:val="0"/>
              <w:snapToGrid/>
              <w:spacing w:line="460" w:lineRule="exact"/>
              <w:textAlignment w:val="auto"/>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1.落实生活垃圾分类宣传，显著位置不少于3条，每条主要道路不少于2条。</w:t>
            </w:r>
          </w:p>
        </w:tc>
        <w:tc>
          <w:tcPr>
            <w:tcW w:w="4464" w:type="dxa"/>
            <w:tcBorders>
              <w:top w:val="nil"/>
              <w:left w:val="nil"/>
              <w:bottom w:val="single" w:color="auto" w:sz="4" w:space="0"/>
              <w:right w:val="single" w:color="auto" w:sz="4" w:space="0"/>
            </w:tcBorders>
            <w:noWrap/>
            <w:vAlign w:val="center"/>
          </w:tcPr>
          <w:p w14:paraId="68EC492F">
            <w:pPr>
              <w:keepNext w:val="0"/>
              <w:keepLines w:val="0"/>
              <w:pageBreakBefore w:val="0"/>
              <w:widowControl/>
              <w:shd w:val="clear"/>
              <w:kinsoku/>
              <w:wordWrap/>
              <w:overflowPunct/>
              <w:topLinePunct w:val="0"/>
              <w:autoSpaceDE w:val="0"/>
              <w:autoSpaceDN w:val="0"/>
              <w:bidi w:val="0"/>
              <w:adjustRightInd w:val="0"/>
              <w:snapToGrid/>
              <w:spacing w:line="460" w:lineRule="exact"/>
              <w:textAlignment w:val="auto"/>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村显著位置和主要道路生活垃圾宣传标语或公项目益广告少一条扣1分。</w:t>
            </w:r>
          </w:p>
        </w:tc>
        <w:tc>
          <w:tcPr>
            <w:tcW w:w="951" w:type="dxa"/>
            <w:vMerge w:val="restart"/>
            <w:tcBorders>
              <w:top w:val="single" w:color="auto" w:sz="4" w:space="0"/>
              <w:left w:val="single" w:color="auto" w:sz="4" w:space="0"/>
              <w:right w:val="single" w:color="auto" w:sz="4" w:space="0"/>
            </w:tcBorders>
            <w:noWrap/>
            <w:vAlign w:val="center"/>
          </w:tcPr>
          <w:p w14:paraId="6F58374D">
            <w:pPr>
              <w:keepNext w:val="0"/>
              <w:keepLines w:val="0"/>
              <w:pageBreakBefore w:val="0"/>
              <w:widowControl/>
              <w:shd w:val="clear"/>
              <w:kinsoku/>
              <w:wordWrap/>
              <w:overflowPunct/>
              <w:topLinePunct w:val="0"/>
              <w:autoSpaceDE w:val="0"/>
              <w:autoSpaceDN w:val="0"/>
              <w:bidi w:val="0"/>
              <w:adjustRightInd w:val="0"/>
              <w:snapToGrid/>
              <w:spacing w:line="460" w:lineRule="exact"/>
              <w:jc w:val="center"/>
              <w:textAlignment w:val="auto"/>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4</w:t>
            </w:r>
          </w:p>
        </w:tc>
      </w:tr>
      <w:tr w14:paraId="0AB8551B">
        <w:tblPrEx>
          <w:tblCellMar>
            <w:top w:w="0" w:type="dxa"/>
            <w:left w:w="108" w:type="dxa"/>
            <w:bottom w:w="0" w:type="dxa"/>
            <w:right w:w="108" w:type="dxa"/>
          </w:tblCellMar>
        </w:tblPrEx>
        <w:trPr>
          <w:trHeight w:val="23" w:hRule="atLeast"/>
          <w:jc w:val="center"/>
        </w:trPr>
        <w:tc>
          <w:tcPr>
            <w:tcW w:w="708" w:type="dxa"/>
            <w:vMerge w:val="continue"/>
            <w:tcBorders>
              <w:left w:val="single" w:color="auto" w:sz="4" w:space="0"/>
              <w:right w:val="nil"/>
            </w:tcBorders>
            <w:noWrap/>
            <w:vAlign w:val="center"/>
          </w:tcPr>
          <w:p w14:paraId="12C816D2">
            <w:pPr>
              <w:keepNext w:val="0"/>
              <w:keepLines w:val="0"/>
              <w:pageBreakBefore w:val="0"/>
              <w:widowControl/>
              <w:shd w:val="clear"/>
              <w:kinsoku/>
              <w:wordWrap/>
              <w:overflowPunct/>
              <w:topLinePunct w:val="0"/>
              <w:autoSpaceDE w:val="0"/>
              <w:autoSpaceDN w:val="0"/>
              <w:bidi w:val="0"/>
              <w:adjustRightInd w:val="0"/>
              <w:snapToGrid/>
              <w:spacing w:line="460" w:lineRule="exact"/>
              <w:jc w:val="center"/>
              <w:textAlignment w:val="auto"/>
              <w:rPr>
                <w:rFonts w:hint="eastAsia" w:ascii="宋体" w:hAnsi="宋体" w:eastAsia="宋体" w:cs="宋体"/>
                <w:color w:val="auto"/>
                <w:kern w:val="0"/>
                <w:sz w:val="21"/>
                <w:szCs w:val="21"/>
                <w:highlight w:val="none"/>
              </w:rPr>
            </w:pPr>
          </w:p>
        </w:tc>
        <w:tc>
          <w:tcPr>
            <w:tcW w:w="3758" w:type="dxa"/>
            <w:tcBorders>
              <w:top w:val="nil"/>
              <w:left w:val="single" w:color="auto" w:sz="4" w:space="0"/>
              <w:bottom w:val="single" w:color="auto" w:sz="4" w:space="0"/>
              <w:right w:val="single" w:color="auto" w:sz="4" w:space="0"/>
            </w:tcBorders>
            <w:noWrap/>
            <w:vAlign w:val="center"/>
          </w:tcPr>
          <w:p w14:paraId="2D61F2AA">
            <w:pPr>
              <w:keepNext w:val="0"/>
              <w:keepLines w:val="0"/>
              <w:pageBreakBefore w:val="0"/>
              <w:widowControl/>
              <w:shd w:val="clear"/>
              <w:kinsoku/>
              <w:wordWrap/>
              <w:overflowPunct/>
              <w:topLinePunct w:val="0"/>
              <w:autoSpaceDE w:val="0"/>
              <w:autoSpaceDN w:val="0"/>
              <w:bidi w:val="0"/>
              <w:adjustRightInd w:val="0"/>
              <w:snapToGrid/>
              <w:spacing w:line="460" w:lineRule="exact"/>
              <w:textAlignment w:val="auto"/>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2.村级落实“党员干部联系农户”制度。</w:t>
            </w:r>
          </w:p>
        </w:tc>
        <w:tc>
          <w:tcPr>
            <w:tcW w:w="4464" w:type="dxa"/>
            <w:tcBorders>
              <w:top w:val="nil"/>
              <w:left w:val="nil"/>
              <w:bottom w:val="single" w:color="auto" w:sz="4" w:space="0"/>
              <w:right w:val="single" w:color="auto" w:sz="4" w:space="0"/>
            </w:tcBorders>
            <w:noWrap/>
            <w:vAlign w:val="center"/>
          </w:tcPr>
          <w:p w14:paraId="25B0559C">
            <w:pPr>
              <w:keepNext w:val="0"/>
              <w:keepLines w:val="0"/>
              <w:pageBreakBefore w:val="0"/>
              <w:widowControl/>
              <w:shd w:val="clear"/>
              <w:kinsoku/>
              <w:wordWrap/>
              <w:overflowPunct/>
              <w:topLinePunct w:val="0"/>
              <w:autoSpaceDE w:val="0"/>
              <w:autoSpaceDN w:val="0"/>
              <w:bidi w:val="0"/>
              <w:adjustRightInd w:val="0"/>
              <w:snapToGrid/>
              <w:spacing w:line="460" w:lineRule="exact"/>
              <w:textAlignment w:val="auto"/>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无党员干部联系农户名单公示扣2分，垃圾桶未按要求编号或模糊不清扣0.5分/处。</w:t>
            </w:r>
          </w:p>
        </w:tc>
        <w:tc>
          <w:tcPr>
            <w:tcW w:w="951" w:type="dxa"/>
            <w:vMerge w:val="continue"/>
            <w:tcBorders>
              <w:left w:val="single" w:color="auto" w:sz="4" w:space="0"/>
              <w:bottom w:val="single" w:color="auto" w:sz="4" w:space="0"/>
              <w:right w:val="single" w:color="auto" w:sz="4" w:space="0"/>
            </w:tcBorders>
            <w:noWrap/>
            <w:vAlign w:val="center"/>
          </w:tcPr>
          <w:p w14:paraId="39145CBC">
            <w:pPr>
              <w:keepNext w:val="0"/>
              <w:keepLines w:val="0"/>
              <w:pageBreakBefore w:val="0"/>
              <w:widowControl/>
              <w:shd w:val="clear"/>
              <w:kinsoku/>
              <w:wordWrap/>
              <w:overflowPunct/>
              <w:topLinePunct w:val="0"/>
              <w:autoSpaceDE w:val="0"/>
              <w:autoSpaceDN w:val="0"/>
              <w:bidi w:val="0"/>
              <w:adjustRightInd w:val="0"/>
              <w:snapToGrid/>
              <w:spacing w:line="460" w:lineRule="exact"/>
              <w:textAlignment w:val="auto"/>
              <w:rPr>
                <w:rFonts w:hint="eastAsia" w:ascii="宋体" w:hAnsi="宋体" w:eastAsia="宋体" w:cs="宋体"/>
                <w:color w:val="auto"/>
                <w:kern w:val="0"/>
                <w:sz w:val="21"/>
                <w:szCs w:val="21"/>
                <w:highlight w:val="none"/>
              </w:rPr>
            </w:pPr>
          </w:p>
        </w:tc>
      </w:tr>
      <w:tr w14:paraId="4902CD01">
        <w:tblPrEx>
          <w:tblCellMar>
            <w:top w:w="0" w:type="dxa"/>
            <w:left w:w="108" w:type="dxa"/>
            <w:bottom w:w="0" w:type="dxa"/>
            <w:right w:w="108" w:type="dxa"/>
          </w:tblCellMar>
        </w:tblPrEx>
        <w:trPr>
          <w:trHeight w:val="23" w:hRule="atLeast"/>
          <w:jc w:val="center"/>
        </w:trPr>
        <w:tc>
          <w:tcPr>
            <w:tcW w:w="708" w:type="dxa"/>
            <w:vMerge w:val="continue"/>
            <w:tcBorders>
              <w:left w:val="single" w:color="auto" w:sz="4" w:space="0"/>
              <w:bottom w:val="nil"/>
              <w:right w:val="nil"/>
            </w:tcBorders>
            <w:noWrap/>
            <w:vAlign w:val="center"/>
          </w:tcPr>
          <w:p w14:paraId="16112B26">
            <w:pPr>
              <w:keepNext w:val="0"/>
              <w:keepLines w:val="0"/>
              <w:pageBreakBefore w:val="0"/>
              <w:widowControl/>
              <w:shd w:val="clear"/>
              <w:kinsoku/>
              <w:wordWrap/>
              <w:overflowPunct/>
              <w:topLinePunct w:val="0"/>
              <w:autoSpaceDE w:val="0"/>
              <w:autoSpaceDN w:val="0"/>
              <w:bidi w:val="0"/>
              <w:adjustRightInd w:val="0"/>
              <w:snapToGrid/>
              <w:spacing w:line="460" w:lineRule="exact"/>
              <w:jc w:val="center"/>
              <w:textAlignment w:val="auto"/>
              <w:rPr>
                <w:rFonts w:hint="eastAsia" w:ascii="宋体" w:hAnsi="宋体" w:eastAsia="宋体" w:cs="宋体"/>
                <w:color w:val="auto"/>
                <w:kern w:val="0"/>
                <w:sz w:val="21"/>
                <w:szCs w:val="21"/>
                <w:highlight w:val="none"/>
              </w:rPr>
            </w:pPr>
          </w:p>
        </w:tc>
        <w:tc>
          <w:tcPr>
            <w:tcW w:w="3758" w:type="dxa"/>
            <w:tcBorders>
              <w:top w:val="nil"/>
              <w:left w:val="single" w:color="auto" w:sz="4" w:space="0"/>
              <w:bottom w:val="single" w:color="auto" w:sz="4" w:space="0"/>
              <w:right w:val="single" w:color="auto" w:sz="4" w:space="0"/>
            </w:tcBorders>
            <w:noWrap/>
            <w:vAlign w:val="center"/>
          </w:tcPr>
          <w:p w14:paraId="62F898B3">
            <w:pPr>
              <w:keepNext w:val="0"/>
              <w:keepLines w:val="0"/>
              <w:pageBreakBefore w:val="0"/>
              <w:widowControl/>
              <w:shd w:val="clear"/>
              <w:kinsoku/>
              <w:wordWrap/>
              <w:overflowPunct/>
              <w:topLinePunct w:val="0"/>
              <w:autoSpaceDE w:val="0"/>
              <w:autoSpaceDN w:val="0"/>
              <w:bidi w:val="0"/>
              <w:adjustRightInd w:val="0"/>
              <w:snapToGrid/>
              <w:spacing w:line="460" w:lineRule="exact"/>
              <w:textAlignment w:val="auto"/>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3.村级落实“农户源头分类促进榜”公示制度。</w:t>
            </w:r>
          </w:p>
        </w:tc>
        <w:tc>
          <w:tcPr>
            <w:tcW w:w="4464" w:type="dxa"/>
            <w:tcBorders>
              <w:top w:val="nil"/>
              <w:left w:val="nil"/>
              <w:bottom w:val="single" w:color="auto" w:sz="4" w:space="0"/>
              <w:right w:val="single" w:color="auto" w:sz="4" w:space="0"/>
            </w:tcBorders>
            <w:noWrap/>
            <w:vAlign w:val="center"/>
          </w:tcPr>
          <w:p w14:paraId="4E0239B6">
            <w:pPr>
              <w:keepNext w:val="0"/>
              <w:keepLines w:val="0"/>
              <w:pageBreakBefore w:val="0"/>
              <w:widowControl/>
              <w:shd w:val="clear"/>
              <w:kinsoku/>
              <w:wordWrap/>
              <w:overflowPunct/>
              <w:topLinePunct w:val="0"/>
              <w:autoSpaceDE w:val="0"/>
              <w:autoSpaceDN w:val="0"/>
              <w:bidi w:val="0"/>
              <w:adjustRightInd w:val="0"/>
              <w:snapToGrid/>
              <w:spacing w:line="460" w:lineRule="exact"/>
              <w:textAlignment w:val="auto"/>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无“农户源头分类促进榜”扣</w:t>
            </w:r>
            <w:r>
              <w:rPr>
                <w:rFonts w:hint="default" w:hAnsi="宋体" w:cs="宋体"/>
                <w:color w:val="auto"/>
                <w:kern w:val="0"/>
                <w:sz w:val="21"/>
                <w:szCs w:val="21"/>
                <w:highlight w:val="none"/>
              </w:rPr>
              <w:t>2</w:t>
            </w:r>
            <w:r>
              <w:rPr>
                <w:rFonts w:hint="eastAsia" w:ascii="宋体" w:hAnsi="宋体" w:eastAsia="宋体" w:cs="宋体"/>
                <w:color w:val="auto"/>
                <w:kern w:val="0"/>
                <w:sz w:val="21"/>
                <w:szCs w:val="21"/>
                <w:highlight w:val="none"/>
              </w:rPr>
              <w:t>分，公示内容未更新</w:t>
            </w:r>
            <w:r>
              <w:rPr>
                <w:rFonts w:hint="default" w:hAnsi="宋体" w:cs="宋体"/>
                <w:color w:val="auto"/>
                <w:kern w:val="0"/>
                <w:sz w:val="21"/>
                <w:szCs w:val="21"/>
                <w:highlight w:val="none"/>
              </w:rPr>
              <w:t>或</w:t>
            </w:r>
            <w:r>
              <w:rPr>
                <w:rFonts w:hint="eastAsia" w:ascii="宋体" w:hAnsi="宋体" w:eastAsia="宋体" w:cs="宋体"/>
                <w:color w:val="auto"/>
                <w:kern w:val="0"/>
                <w:sz w:val="21"/>
                <w:szCs w:val="21"/>
                <w:highlight w:val="none"/>
              </w:rPr>
              <w:t>公示信息不全</w:t>
            </w:r>
            <w:r>
              <w:rPr>
                <w:rFonts w:hint="default" w:hAnsi="宋体" w:cs="宋体"/>
                <w:color w:val="auto"/>
                <w:kern w:val="0"/>
                <w:sz w:val="21"/>
                <w:szCs w:val="21"/>
                <w:highlight w:val="none"/>
              </w:rPr>
              <w:t>，</w:t>
            </w:r>
            <w:r>
              <w:rPr>
                <w:rFonts w:hint="eastAsia" w:ascii="宋体" w:hAnsi="宋体" w:eastAsia="宋体" w:cs="宋体"/>
                <w:color w:val="auto"/>
                <w:kern w:val="0"/>
                <w:sz w:val="21"/>
                <w:szCs w:val="21"/>
                <w:highlight w:val="none"/>
              </w:rPr>
              <w:t>扣1分。</w:t>
            </w:r>
          </w:p>
        </w:tc>
        <w:tc>
          <w:tcPr>
            <w:tcW w:w="951" w:type="dxa"/>
            <w:tcBorders>
              <w:top w:val="single" w:color="auto" w:sz="4" w:space="0"/>
              <w:left w:val="single" w:color="auto" w:sz="4" w:space="0"/>
              <w:bottom w:val="single" w:color="auto" w:sz="4" w:space="0"/>
              <w:right w:val="single" w:color="auto" w:sz="4" w:space="0"/>
            </w:tcBorders>
            <w:noWrap/>
            <w:vAlign w:val="center"/>
          </w:tcPr>
          <w:p w14:paraId="62B08BBD">
            <w:pPr>
              <w:keepNext w:val="0"/>
              <w:keepLines w:val="0"/>
              <w:pageBreakBefore w:val="0"/>
              <w:widowControl/>
              <w:shd w:val="clear"/>
              <w:kinsoku/>
              <w:wordWrap/>
              <w:overflowPunct/>
              <w:topLinePunct w:val="0"/>
              <w:autoSpaceDE w:val="0"/>
              <w:autoSpaceDN w:val="0"/>
              <w:bidi w:val="0"/>
              <w:adjustRightInd w:val="0"/>
              <w:snapToGrid/>
              <w:spacing w:line="460" w:lineRule="exact"/>
              <w:jc w:val="center"/>
              <w:textAlignment w:val="auto"/>
              <w:rPr>
                <w:rFonts w:hint="default" w:ascii="宋体" w:hAnsi="宋体" w:eastAsia="宋体" w:cs="宋体"/>
                <w:color w:val="auto"/>
                <w:kern w:val="0"/>
                <w:sz w:val="21"/>
                <w:szCs w:val="21"/>
                <w:highlight w:val="none"/>
              </w:rPr>
            </w:pPr>
            <w:r>
              <w:rPr>
                <w:rFonts w:hint="default" w:hAnsi="宋体" w:cs="宋体"/>
                <w:color w:val="auto"/>
                <w:kern w:val="0"/>
                <w:sz w:val="21"/>
                <w:szCs w:val="21"/>
                <w:highlight w:val="none"/>
              </w:rPr>
              <w:t>2</w:t>
            </w:r>
          </w:p>
        </w:tc>
      </w:tr>
      <w:tr w14:paraId="120581A0">
        <w:tblPrEx>
          <w:tblCellMar>
            <w:top w:w="0" w:type="dxa"/>
            <w:left w:w="108" w:type="dxa"/>
            <w:bottom w:w="0" w:type="dxa"/>
            <w:right w:w="108" w:type="dxa"/>
          </w:tblCellMar>
        </w:tblPrEx>
        <w:trPr>
          <w:trHeight w:val="23" w:hRule="atLeast"/>
          <w:jc w:val="center"/>
        </w:trPr>
        <w:tc>
          <w:tcPr>
            <w:tcW w:w="708" w:type="dxa"/>
            <w:vMerge w:val="restart"/>
            <w:tcBorders>
              <w:top w:val="single" w:color="auto" w:sz="4" w:space="0"/>
              <w:left w:val="single" w:color="auto" w:sz="4" w:space="0"/>
              <w:bottom w:val="nil"/>
              <w:right w:val="nil"/>
            </w:tcBorders>
            <w:noWrap/>
            <w:vAlign w:val="center"/>
          </w:tcPr>
          <w:p w14:paraId="0B6389A8">
            <w:pPr>
              <w:keepNext w:val="0"/>
              <w:keepLines w:val="0"/>
              <w:pageBreakBefore w:val="0"/>
              <w:widowControl/>
              <w:shd w:val="clear"/>
              <w:kinsoku/>
              <w:wordWrap/>
              <w:overflowPunct/>
              <w:topLinePunct w:val="0"/>
              <w:autoSpaceDE w:val="0"/>
              <w:autoSpaceDN w:val="0"/>
              <w:bidi w:val="0"/>
              <w:adjustRightInd w:val="0"/>
              <w:snapToGrid/>
              <w:spacing w:line="460" w:lineRule="exact"/>
              <w:jc w:val="center"/>
              <w:textAlignment w:val="auto"/>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二、</w:t>
            </w:r>
          </w:p>
          <w:p w14:paraId="3258C3F9">
            <w:pPr>
              <w:keepNext w:val="0"/>
              <w:keepLines w:val="0"/>
              <w:pageBreakBefore w:val="0"/>
              <w:widowControl/>
              <w:shd w:val="clear"/>
              <w:kinsoku/>
              <w:wordWrap/>
              <w:overflowPunct/>
              <w:topLinePunct w:val="0"/>
              <w:autoSpaceDE w:val="0"/>
              <w:autoSpaceDN w:val="0"/>
              <w:bidi w:val="0"/>
              <w:adjustRightInd w:val="0"/>
              <w:snapToGrid/>
              <w:spacing w:line="460" w:lineRule="exact"/>
              <w:jc w:val="center"/>
              <w:textAlignment w:val="auto"/>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垃圾</w:t>
            </w:r>
          </w:p>
          <w:p w14:paraId="497D61FF">
            <w:pPr>
              <w:keepNext w:val="0"/>
              <w:keepLines w:val="0"/>
              <w:pageBreakBefore w:val="0"/>
              <w:widowControl/>
              <w:shd w:val="clear"/>
              <w:kinsoku/>
              <w:wordWrap/>
              <w:overflowPunct/>
              <w:topLinePunct w:val="0"/>
              <w:autoSpaceDE w:val="0"/>
              <w:autoSpaceDN w:val="0"/>
              <w:bidi w:val="0"/>
              <w:adjustRightInd w:val="0"/>
              <w:snapToGrid/>
              <w:spacing w:line="460" w:lineRule="exact"/>
              <w:jc w:val="center"/>
              <w:textAlignment w:val="auto"/>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 xml:space="preserve">分类           实效    </w:t>
            </w:r>
          </w:p>
        </w:tc>
        <w:tc>
          <w:tcPr>
            <w:tcW w:w="3758" w:type="dxa"/>
            <w:tcBorders>
              <w:top w:val="single" w:color="auto" w:sz="4" w:space="0"/>
              <w:left w:val="single" w:color="auto" w:sz="4" w:space="0"/>
              <w:bottom w:val="single" w:color="auto" w:sz="4" w:space="0"/>
              <w:right w:val="single" w:color="auto" w:sz="4" w:space="0"/>
            </w:tcBorders>
            <w:noWrap/>
            <w:vAlign w:val="center"/>
          </w:tcPr>
          <w:p w14:paraId="6EEDA028">
            <w:pPr>
              <w:keepNext w:val="0"/>
              <w:keepLines w:val="0"/>
              <w:pageBreakBefore w:val="0"/>
              <w:widowControl/>
              <w:shd w:val="clear"/>
              <w:kinsoku/>
              <w:wordWrap/>
              <w:overflowPunct/>
              <w:topLinePunct w:val="0"/>
              <w:autoSpaceDE w:val="0"/>
              <w:autoSpaceDN w:val="0"/>
              <w:bidi w:val="0"/>
              <w:adjustRightInd w:val="0"/>
              <w:snapToGrid/>
              <w:spacing w:line="460" w:lineRule="exact"/>
              <w:textAlignment w:val="auto"/>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4.村级设置生活垃圾分类投放设施。垃圾桶颜色标示规范、整洁有序，定点摆放，无破损；两定四分投放点设施配置规范齐全。无不规范公共垃圾大桶。</w:t>
            </w:r>
          </w:p>
        </w:tc>
        <w:tc>
          <w:tcPr>
            <w:tcW w:w="4464" w:type="dxa"/>
            <w:tcBorders>
              <w:top w:val="single" w:color="auto" w:sz="4" w:space="0"/>
              <w:left w:val="nil"/>
              <w:bottom w:val="single" w:color="auto" w:sz="4" w:space="0"/>
              <w:right w:val="single" w:color="auto" w:sz="4" w:space="0"/>
            </w:tcBorders>
            <w:noWrap/>
            <w:vAlign w:val="center"/>
          </w:tcPr>
          <w:p w14:paraId="4A0F2DF5">
            <w:pPr>
              <w:keepNext w:val="0"/>
              <w:keepLines w:val="0"/>
              <w:pageBreakBefore w:val="0"/>
              <w:widowControl/>
              <w:shd w:val="clear"/>
              <w:kinsoku/>
              <w:wordWrap/>
              <w:overflowPunct/>
              <w:topLinePunct w:val="0"/>
              <w:autoSpaceDE w:val="0"/>
              <w:autoSpaceDN w:val="0"/>
              <w:bidi w:val="0"/>
              <w:adjustRightInd w:val="0"/>
              <w:snapToGrid/>
              <w:spacing w:line="460" w:lineRule="exact"/>
              <w:textAlignment w:val="auto"/>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无分类投放容器扣5分。垃圾桶颜色标示不规范，未定点摆放，破损、脏扣0.5分/处；两定四分投放点设施缺少或不规范扣0.5分/处。发现不规范公共垃圾大桶1处扣1分</w:t>
            </w:r>
          </w:p>
        </w:tc>
        <w:tc>
          <w:tcPr>
            <w:tcW w:w="951" w:type="dxa"/>
            <w:tcBorders>
              <w:top w:val="single" w:color="auto" w:sz="4" w:space="0"/>
              <w:left w:val="nil"/>
              <w:bottom w:val="single" w:color="auto" w:sz="4" w:space="0"/>
              <w:right w:val="single" w:color="auto" w:sz="4" w:space="0"/>
            </w:tcBorders>
            <w:noWrap/>
            <w:vAlign w:val="center"/>
          </w:tcPr>
          <w:p w14:paraId="4DCF4B96">
            <w:pPr>
              <w:keepNext w:val="0"/>
              <w:keepLines w:val="0"/>
              <w:pageBreakBefore w:val="0"/>
              <w:widowControl/>
              <w:shd w:val="clear"/>
              <w:kinsoku/>
              <w:wordWrap/>
              <w:overflowPunct/>
              <w:topLinePunct w:val="0"/>
              <w:autoSpaceDE w:val="0"/>
              <w:autoSpaceDN w:val="0"/>
              <w:bidi w:val="0"/>
              <w:adjustRightInd w:val="0"/>
              <w:snapToGrid/>
              <w:spacing w:line="460" w:lineRule="exact"/>
              <w:jc w:val="center"/>
              <w:textAlignment w:val="auto"/>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5</w:t>
            </w:r>
          </w:p>
        </w:tc>
      </w:tr>
      <w:tr w14:paraId="690BEF7D">
        <w:tblPrEx>
          <w:tblCellMar>
            <w:top w:w="0" w:type="dxa"/>
            <w:left w:w="108" w:type="dxa"/>
            <w:bottom w:w="0" w:type="dxa"/>
            <w:right w:w="108" w:type="dxa"/>
          </w:tblCellMar>
        </w:tblPrEx>
        <w:trPr>
          <w:trHeight w:val="23" w:hRule="atLeast"/>
          <w:jc w:val="center"/>
        </w:trPr>
        <w:tc>
          <w:tcPr>
            <w:tcW w:w="708" w:type="dxa"/>
            <w:vMerge w:val="continue"/>
            <w:tcBorders>
              <w:top w:val="single" w:color="auto" w:sz="4" w:space="0"/>
              <w:left w:val="single" w:color="auto" w:sz="4" w:space="0"/>
              <w:bottom w:val="nil"/>
              <w:right w:val="nil"/>
            </w:tcBorders>
            <w:noWrap/>
            <w:vAlign w:val="center"/>
          </w:tcPr>
          <w:p w14:paraId="5789616F">
            <w:pPr>
              <w:keepNext w:val="0"/>
              <w:keepLines w:val="0"/>
              <w:pageBreakBefore w:val="0"/>
              <w:widowControl/>
              <w:shd w:val="clear"/>
              <w:kinsoku/>
              <w:wordWrap/>
              <w:overflowPunct/>
              <w:topLinePunct w:val="0"/>
              <w:autoSpaceDE w:val="0"/>
              <w:autoSpaceDN w:val="0"/>
              <w:bidi w:val="0"/>
              <w:adjustRightInd w:val="0"/>
              <w:snapToGrid/>
              <w:spacing w:line="460" w:lineRule="exact"/>
              <w:jc w:val="center"/>
              <w:textAlignment w:val="auto"/>
              <w:rPr>
                <w:rFonts w:hint="eastAsia" w:ascii="宋体" w:hAnsi="宋体" w:eastAsia="宋体" w:cs="宋体"/>
                <w:color w:val="auto"/>
                <w:kern w:val="0"/>
                <w:sz w:val="21"/>
                <w:szCs w:val="21"/>
                <w:highlight w:val="none"/>
              </w:rPr>
            </w:pPr>
          </w:p>
        </w:tc>
        <w:tc>
          <w:tcPr>
            <w:tcW w:w="3758" w:type="dxa"/>
            <w:tcBorders>
              <w:top w:val="single" w:color="auto" w:sz="4" w:space="0"/>
              <w:left w:val="single" w:color="auto" w:sz="4" w:space="0"/>
              <w:bottom w:val="single" w:color="auto" w:sz="4" w:space="0"/>
              <w:right w:val="single" w:color="auto" w:sz="4" w:space="0"/>
            </w:tcBorders>
            <w:noWrap/>
            <w:vAlign w:val="center"/>
          </w:tcPr>
          <w:p w14:paraId="64353407">
            <w:pPr>
              <w:keepNext w:val="0"/>
              <w:keepLines w:val="0"/>
              <w:pageBreakBefore w:val="0"/>
              <w:widowControl/>
              <w:shd w:val="clear"/>
              <w:kinsoku/>
              <w:wordWrap/>
              <w:overflowPunct/>
              <w:topLinePunct w:val="0"/>
              <w:autoSpaceDE w:val="0"/>
              <w:autoSpaceDN w:val="0"/>
              <w:bidi w:val="0"/>
              <w:adjustRightInd w:val="0"/>
              <w:snapToGrid/>
              <w:spacing w:line="460" w:lineRule="exact"/>
              <w:textAlignment w:val="auto"/>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5.清运员每天定时入户分类收集，两定四分投放点定时开放，督导员做好督查提醒。生活垃圾收集后分类分仓清运不混装，二次分拣到位。</w:t>
            </w:r>
          </w:p>
        </w:tc>
        <w:tc>
          <w:tcPr>
            <w:tcW w:w="4464" w:type="dxa"/>
            <w:tcBorders>
              <w:top w:val="single" w:color="auto" w:sz="4" w:space="0"/>
              <w:left w:val="nil"/>
              <w:bottom w:val="single" w:color="auto" w:sz="4" w:space="0"/>
              <w:right w:val="single" w:color="auto" w:sz="4" w:space="0"/>
            </w:tcBorders>
            <w:noWrap/>
            <w:vAlign w:val="center"/>
          </w:tcPr>
          <w:p w14:paraId="6B53EE92">
            <w:pPr>
              <w:keepNext w:val="0"/>
              <w:keepLines w:val="0"/>
              <w:pageBreakBefore w:val="0"/>
              <w:widowControl/>
              <w:shd w:val="clear"/>
              <w:kinsoku/>
              <w:wordWrap/>
              <w:overflowPunct/>
              <w:topLinePunct w:val="0"/>
              <w:autoSpaceDE w:val="0"/>
              <w:autoSpaceDN w:val="0"/>
              <w:bidi w:val="0"/>
              <w:adjustRightInd w:val="0"/>
              <w:snapToGrid/>
              <w:spacing w:line="460" w:lineRule="exact"/>
              <w:textAlignment w:val="auto"/>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农户垃圾桶溢出每户扣1分，投放点未定时开放或关闭扣2分，督导员脱岗扣2分，未主动督查扣1分。二次分拣不到位扣3分，清运车辆混装运输扣</w:t>
            </w:r>
            <w:r>
              <w:rPr>
                <w:rFonts w:hint="default" w:hAnsi="宋体" w:cs="宋体"/>
                <w:color w:val="auto"/>
                <w:kern w:val="0"/>
                <w:sz w:val="21"/>
                <w:szCs w:val="21"/>
                <w:highlight w:val="none"/>
              </w:rPr>
              <w:t>5</w:t>
            </w:r>
            <w:r>
              <w:rPr>
                <w:rFonts w:hint="eastAsia" w:ascii="宋体" w:hAnsi="宋体" w:eastAsia="宋体" w:cs="宋体"/>
                <w:color w:val="auto"/>
                <w:kern w:val="0"/>
                <w:sz w:val="21"/>
                <w:szCs w:val="21"/>
                <w:highlight w:val="none"/>
              </w:rPr>
              <w:t>分。</w:t>
            </w:r>
          </w:p>
        </w:tc>
        <w:tc>
          <w:tcPr>
            <w:tcW w:w="951" w:type="dxa"/>
            <w:tcBorders>
              <w:top w:val="nil"/>
              <w:left w:val="nil"/>
              <w:bottom w:val="single" w:color="auto" w:sz="4" w:space="0"/>
              <w:right w:val="single" w:color="auto" w:sz="4" w:space="0"/>
            </w:tcBorders>
            <w:noWrap/>
            <w:vAlign w:val="center"/>
          </w:tcPr>
          <w:p w14:paraId="79958EFD">
            <w:pPr>
              <w:keepNext w:val="0"/>
              <w:keepLines w:val="0"/>
              <w:pageBreakBefore w:val="0"/>
              <w:widowControl/>
              <w:shd w:val="clear"/>
              <w:kinsoku/>
              <w:wordWrap/>
              <w:overflowPunct/>
              <w:topLinePunct w:val="0"/>
              <w:autoSpaceDE w:val="0"/>
              <w:autoSpaceDN w:val="0"/>
              <w:bidi w:val="0"/>
              <w:adjustRightInd w:val="0"/>
              <w:snapToGrid/>
              <w:spacing w:line="460" w:lineRule="exact"/>
              <w:jc w:val="center"/>
              <w:textAlignment w:val="auto"/>
              <w:rPr>
                <w:rFonts w:hint="default" w:ascii="宋体" w:hAnsi="宋体" w:eastAsia="宋体" w:cs="宋体"/>
                <w:color w:val="auto"/>
                <w:kern w:val="0"/>
                <w:sz w:val="21"/>
                <w:szCs w:val="21"/>
                <w:highlight w:val="none"/>
              </w:rPr>
            </w:pPr>
            <w:r>
              <w:rPr>
                <w:rFonts w:hint="default" w:hAnsi="宋体" w:cs="宋体"/>
                <w:color w:val="auto"/>
                <w:kern w:val="0"/>
                <w:sz w:val="21"/>
                <w:szCs w:val="21"/>
                <w:highlight w:val="none"/>
              </w:rPr>
              <w:t>6</w:t>
            </w:r>
          </w:p>
        </w:tc>
      </w:tr>
      <w:tr w14:paraId="4D052C7D">
        <w:tblPrEx>
          <w:tblCellMar>
            <w:top w:w="0" w:type="dxa"/>
            <w:left w:w="108" w:type="dxa"/>
            <w:bottom w:w="0" w:type="dxa"/>
            <w:right w:w="108" w:type="dxa"/>
          </w:tblCellMar>
        </w:tblPrEx>
        <w:trPr>
          <w:trHeight w:val="23" w:hRule="atLeast"/>
          <w:jc w:val="center"/>
        </w:trPr>
        <w:tc>
          <w:tcPr>
            <w:tcW w:w="708" w:type="dxa"/>
            <w:vMerge w:val="continue"/>
            <w:tcBorders>
              <w:top w:val="single" w:color="auto" w:sz="4" w:space="0"/>
              <w:left w:val="single" w:color="auto" w:sz="4" w:space="0"/>
              <w:bottom w:val="nil"/>
              <w:right w:val="nil"/>
            </w:tcBorders>
            <w:noWrap/>
            <w:vAlign w:val="center"/>
          </w:tcPr>
          <w:p w14:paraId="65C9C3FE">
            <w:pPr>
              <w:keepNext w:val="0"/>
              <w:keepLines w:val="0"/>
              <w:pageBreakBefore w:val="0"/>
              <w:widowControl/>
              <w:shd w:val="clear"/>
              <w:kinsoku/>
              <w:wordWrap/>
              <w:overflowPunct/>
              <w:topLinePunct w:val="0"/>
              <w:autoSpaceDE w:val="0"/>
              <w:autoSpaceDN w:val="0"/>
              <w:bidi w:val="0"/>
              <w:adjustRightInd w:val="0"/>
              <w:snapToGrid/>
              <w:spacing w:line="460" w:lineRule="exact"/>
              <w:jc w:val="center"/>
              <w:textAlignment w:val="auto"/>
              <w:rPr>
                <w:rFonts w:hint="eastAsia" w:ascii="宋体" w:hAnsi="宋体" w:eastAsia="宋体" w:cs="宋体"/>
                <w:color w:val="auto"/>
                <w:kern w:val="0"/>
                <w:sz w:val="21"/>
                <w:szCs w:val="21"/>
                <w:highlight w:val="none"/>
              </w:rPr>
            </w:pPr>
          </w:p>
        </w:tc>
        <w:tc>
          <w:tcPr>
            <w:tcW w:w="3758" w:type="dxa"/>
            <w:tcBorders>
              <w:top w:val="single" w:color="auto" w:sz="4" w:space="0"/>
              <w:left w:val="single" w:color="auto" w:sz="4" w:space="0"/>
              <w:bottom w:val="single" w:color="auto" w:sz="4" w:space="0"/>
              <w:right w:val="single" w:color="auto" w:sz="4" w:space="0"/>
            </w:tcBorders>
            <w:noWrap/>
            <w:vAlign w:val="center"/>
          </w:tcPr>
          <w:p w14:paraId="1401F7B2">
            <w:pPr>
              <w:keepNext w:val="0"/>
              <w:keepLines w:val="0"/>
              <w:pageBreakBefore w:val="0"/>
              <w:widowControl/>
              <w:shd w:val="clear"/>
              <w:kinsoku/>
              <w:wordWrap/>
              <w:overflowPunct/>
              <w:topLinePunct w:val="0"/>
              <w:autoSpaceDE w:val="0"/>
              <w:autoSpaceDN w:val="0"/>
              <w:bidi w:val="0"/>
              <w:adjustRightInd w:val="0"/>
              <w:snapToGrid/>
              <w:spacing w:line="460" w:lineRule="exact"/>
              <w:textAlignment w:val="auto"/>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6.垃圾处理终端有新鲜垃圾投入，可腐垃圾和其他垃圾分类到位</w:t>
            </w:r>
            <w:r>
              <w:rPr>
                <w:rFonts w:hint="eastAsia" w:hAnsi="宋体" w:cs="宋体"/>
                <w:color w:val="auto"/>
                <w:kern w:val="0"/>
                <w:sz w:val="21"/>
                <w:szCs w:val="21"/>
                <w:highlight w:val="none"/>
                <w:lang w:eastAsia="zh-CN"/>
              </w:rPr>
              <w:t>，</w:t>
            </w:r>
            <w:r>
              <w:rPr>
                <w:rFonts w:hint="eastAsia" w:ascii="宋体" w:hAnsi="宋体" w:eastAsia="宋体" w:cs="宋体"/>
                <w:color w:val="auto"/>
                <w:kern w:val="0"/>
                <w:sz w:val="21"/>
                <w:szCs w:val="21"/>
                <w:highlight w:val="none"/>
              </w:rPr>
              <w:t>阳光堆肥房分仓倾倒。</w:t>
            </w:r>
          </w:p>
        </w:tc>
        <w:tc>
          <w:tcPr>
            <w:tcW w:w="4464" w:type="dxa"/>
            <w:tcBorders>
              <w:top w:val="single" w:color="auto" w:sz="4" w:space="0"/>
              <w:left w:val="nil"/>
              <w:bottom w:val="single" w:color="auto" w:sz="4" w:space="0"/>
              <w:right w:val="single" w:color="auto" w:sz="4" w:space="0"/>
            </w:tcBorders>
            <w:noWrap/>
            <w:vAlign w:val="center"/>
          </w:tcPr>
          <w:p w14:paraId="05E3E3EC">
            <w:pPr>
              <w:keepNext w:val="0"/>
              <w:keepLines w:val="0"/>
              <w:pageBreakBefore w:val="0"/>
              <w:widowControl/>
              <w:shd w:val="clear"/>
              <w:kinsoku/>
              <w:wordWrap/>
              <w:overflowPunct/>
              <w:topLinePunct w:val="0"/>
              <w:autoSpaceDE w:val="0"/>
              <w:autoSpaceDN w:val="0"/>
              <w:bidi w:val="0"/>
              <w:adjustRightInd w:val="0"/>
              <w:snapToGrid/>
              <w:spacing w:line="460" w:lineRule="exact"/>
              <w:textAlignment w:val="auto"/>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处理终端内无新鲜垃圾扣5分，堆肥池内</w:t>
            </w:r>
            <w:r>
              <w:rPr>
                <w:rFonts w:hint="eastAsia" w:hAnsi="宋体" w:cs="宋体"/>
                <w:color w:val="auto"/>
                <w:kern w:val="0"/>
                <w:sz w:val="21"/>
                <w:szCs w:val="21"/>
                <w:highlight w:val="none"/>
                <w:lang w:eastAsia="zh-CN"/>
              </w:rPr>
              <w:t>、</w:t>
            </w:r>
            <w:r>
              <w:rPr>
                <w:rFonts w:hint="eastAsia" w:hAnsi="宋体" w:cs="宋体"/>
                <w:color w:val="auto"/>
                <w:kern w:val="0"/>
                <w:sz w:val="21"/>
                <w:szCs w:val="21"/>
                <w:highlight w:val="none"/>
                <w:lang w:val="en-US" w:eastAsia="zh-CN"/>
              </w:rPr>
              <w:t>阳光堆肥房</w:t>
            </w:r>
            <w:r>
              <w:rPr>
                <w:rFonts w:hint="eastAsia" w:ascii="宋体" w:hAnsi="宋体" w:eastAsia="宋体" w:cs="宋体"/>
                <w:color w:val="auto"/>
                <w:kern w:val="0"/>
                <w:sz w:val="21"/>
                <w:szCs w:val="21"/>
                <w:highlight w:val="none"/>
              </w:rPr>
              <w:t>和其他垃圾中转点内分类不到位的各扣</w:t>
            </w:r>
            <w:r>
              <w:rPr>
                <w:rFonts w:hint="default" w:hAnsi="宋体" w:cs="宋体"/>
                <w:color w:val="auto"/>
                <w:kern w:val="0"/>
                <w:sz w:val="21"/>
                <w:szCs w:val="21"/>
                <w:highlight w:val="none"/>
              </w:rPr>
              <w:t>1</w:t>
            </w:r>
            <w:r>
              <w:rPr>
                <w:rFonts w:hint="eastAsia" w:ascii="宋体" w:hAnsi="宋体" w:eastAsia="宋体" w:cs="宋体"/>
                <w:color w:val="auto"/>
                <w:kern w:val="0"/>
                <w:sz w:val="21"/>
                <w:szCs w:val="21"/>
                <w:highlight w:val="none"/>
              </w:rPr>
              <w:t>-</w:t>
            </w:r>
            <w:r>
              <w:rPr>
                <w:rFonts w:hint="default" w:hAnsi="宋体" w:cs="宋体"/>
                <w:color w:val="auto"/>
                <w:kern w:val="0"/>
                <w:sz w:val="21"/>
                <w:szCs w:val="21"/>
                <w:highlight w:val="none"/>
              </w:rPr>
              <w:t>4</w:t>
            </w:r>
            <w:r>
              <w:rPr>
                <w:rFonts w:hint="eastAsia" w:ascii="宋体" w:hAnsi="宋体" w:eastAsia="宋体" w:cs="宋体"/>
                <w:color w:val="auto"/>
                <w:kern w:val="0"/>
                <w:sz w:val="21"/>
                <w:szCs w:val="21"/>
                <w:highlight w:val="none"/>
              </w:rPr>
              <w:t>分</w:t>
            </w:r>
            <w:r>
              <w:rPr>
                <w:rFonts w:hint="default" w:hAnsi="宋体" w:cs="宋体"/>
                <w:color w:val="auto"/>
                <w:kern w:val="0"/>
                <w:sz w:val="21"/>
                <w:szCs w:val="21"/>
                <w:highlight w:val="none"/>
              </w:rPr>
              <w:t>（视严重程度）</w:t>
            </w:r>
            <w:r>
              <w:rPr>
                <w:rFonts w:hint="eastAsia" w:ascii="宋体" w:hAnsi="宋体" w:eastAsia="宋体" w:cs="宋体"/>
                <w:color w:val="auto"/>
                <w:kern w:val="0"/>
                <w:sz w:val="21"/>
                <w:szCs w:val="21"/>
                <w:highlight w:val="none"/>
              </w:rPr>
              <w:t>。</w:t>
            </w:r>
          </w:p>
        </w:tc>
        <w:tc>
          <w:tcPr>
            <w:tcW w:w="951" w:type="dxa"/>
            <w:tcBorders>
              <w:top w:val="nil"/>
              <w:left w:val="nil"/>
              <w:bottom w:val="single" w:color="auto" w:sz="4" w:space="0"/>
              <w:right w:val="single" w:color="auto" w:sz="4" w:space="0"/>
            </w:tcBorders>
            <w:noWrap/>
            <w:vAlign w:val="center"/>
          </w:tcPr>
          <w:p w14:paraId="1C25C35C">
            <w:pPr>
              <w:keepNext w:val="0"/>
              <w:keepLines w:val="0"/>
              <w:pageBreakBefore w:val="0"/>
              <w:widowControl/>
              <w:shd w:val="clear"/>
              <w:kinsoku/>
              <w:wordWrap/>
              <w:overflowPunct/>
              <w:topLinePunct w:val="0"/>
              <w:autoSpaceDE w:val="0"/>
              <w:autoSpaceDN w:val="0"/>
              <w:bidi w:val="0"/>
              <w:adjustRightInd w:val="0"/>
              <w:snapToGrid/>
              <w:spacing w:line="460" w:lineRule="exact"/>
              <w:jc w:val="center"/>
              <w:textAlignment w:val="auto"/>
              <w:rPr>
                <w:rFonts w:hint="default" w:ascii="宋体" w:hAnsi="宋体" w:eastAsia="宋体" w:cs="宋体"/>
                <w:color w:val="auto"/>
                <w:kern w:val="0"/>
                <w:sz w:val="21"/>
                <w:szCs w:val="21"/>
                <w:highlight w:val="none"/>
              </w:rPr>
            </w:pPr>
            <w:r>
              <w:rPr>
                <w:rFonts w:hint="default" w:hAnsi="宋体" w:cs="宋体"/>
                <w:color w:val="auto"/>
                <w:kern w:val="0"/>
                <w:sz w:val="21"/>
                <w:szCs w:val="21"/>
                <w:highlight w:val="none"/>
              </w:rPr>
              <w:t>6</w:t>
            </w:r>
          </w:p>
        </w:tc>
      </w:tr>
      <w:tr w14:paraId="48975981">
        <w:tblPrEx>
          <w:tblCellMar>
            <w:top w:w="0" w:type="dxa"/>
            <w:left w:w="108" w:type="dxa"/>
            <w:bottom w:w="0" w:type="dxa"/>
            <w:right w:w="108" w:type="dxa"/>
          </w:tblCellMar>
        </w:tblPrEx>
        <w:trPr>
          <w:trHeight w:val="23" w:hRule="atLeast"/>
          <w:jc w:val="center"/>
        </w:trPr>
        <w:tc>
          <w:tcPr>
            <w:tcW w:w="708" w:type="dxa"/>
            <w:vMerge w:val="continue"/>
            <w:tcBorders>
              <w:top w:val="single" w:color="auto" w:sz="4" w:space="0"/>
              <w:left w:val="single" w:color="auto" w:sz="4" w:space="0"/>
              <w:bottom w:val="nil"/>
              <w:right w:val="nil"/>
            </w:tcBorders>
            <w:noWrap/>
            <w:vAlign w:val="center"/>
          </w:tcPr>
          <w:p w14:paraId="3F6296F2">
            <w:pPr>
              <w:keepNext w:val="0"/>
              <w:keepLines w:val="0"/>
              <w:pageBreakBefore w:val="0"/>
              <w:widowControl/>
              <w:shd w:val="clear"/>
              <w:kinsoku/>
              <w:wordWrap/>
              <w:overflowPunct/>
              <w:topLinePunct w:val="0"/>
              <w:autoSpaceDE w:val="0"/>
              <w:autoSpaceDN w:val="0"/>
              <w:bidi w:val="0"/>
              <w:adjustRightInd w:val="0"/>
              <w:snapToGrid/>
              <w:spacing w:line="460" w:lineRule="exact"/>
              <w:jc w:val="center"/>
              <w:textAlignment w:val="auto"/>
              <w:rPr>
                <w:rFonts w:hint="eastAsia" w:ascii="宋体" w:hAnsi="宋体" w:eastAsia="宋体" w:cs="宋体"/>
                <w:color w:val="auto"/>
                <w:kern w:val="0"/>
                <w:sz w:val="21"/>
                <w:szCs w:val="21"/>
                <w:highlight w:val="none"/>
              </w:rPr>
            </w:pPr>
          </w:p>
        </w:tc>
        <w:tc>
          <w:tcPr>
            <w:tcW w:w="3758" w:type="dxa"/>
            <w:tcBorders>
              <w:top w:val="nil"/>
              <w:left w:val="single" w:color="auto" w:sz="4" w:space="0"/>
              <w:bottom w:val="single" w:color="auto" w:sz="4" w:space="0"/>
              <w:right w:val="single" w:color="auto" w:sz="4" w:space="0"/>
            </w:tcBorders>
            <w:noWrap/>
            <w:vAlign w:val="center"/>
          </w:tcPr>
          <w:p w14:paraId="176B19B8">
            <w:pPr>
              <w:keepNext w:val="0"/>
              <w:keepLines w:val="0"/>
              <w:pageBreakBefore w:val="0"/>
              <w:widowControl/>
              <w:shd w:val="clear"/>
              <w:kinsoku/>
              <w:wordWrap/>
              <w:overflowPunct/>
              <w:topLinePunct w:val="0"/>
              <w:autoSpaceDE w:val="0"/>
              <w:autoSpaceDN w:val="0"/>
              <w:bidi w:val="0"/>
              <w:adjustRightInd w:val="0"/>
              <w:snapToGrid/>
              <w:spacing w:line="460" w:lineRule="exact"/>
              <w:textAlignment w:val="auto"/>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★农户生活垃圾按可腐和不可腐分类到位，源头分类单独计算准确率。</w:t>
            </w:r>
          </w:p>
        </w:tc>
        <w:tc>
          <w:tcPr>
            <w:tcW w:w="4464" w:type="dxa"/>
            <w:tcBorders>
              <w:top w:val="nil"/>
              <w:left w:val="nil"/>
              <w:bottom w:val="single" w:color="auto" w:sz="4" w:space="0"/>
              <w:right w:val="single" w:color="auto" w:sz="4" w:space="0"/>
            </w:tcBorders>
            <w:noWrap/>
            <w:vAlign w:val="center"/>
          </w:tcPr>
          <w:p w14:paraId="08F09A4B">
            <w:pPr>
              <w:keepNext w:val="0"/>
              <w:keepLines w:val="0"/>
              <w:pageBreakBefore w:val="0"/>
              <w:widowControl/>
              <w:shd w:val="clear"/>
              <w:kinsoku/>
              <w:wordWrap/>
              <w:overflowPunct/>
              <w:topLinePunct w:val="0"/>
              <w:autoSpaceDE w:val="0"/>
              <w:autoSpaceDN w:val="0"/>
              <w:bidi w:val="0"/>
              <w:adjustRightInd w:val="0"/>
              <w:snapToGrid/>
              <w:spacing w:line="460" w:lineRule="exact"/>
              <w:textAlignment w:val="auto"/>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 xml:space="preserve">行政村随机抽查垃圾桶20户以上。两定四分检查全部投放点垃圾桶。 </w:t>
            </w:r>
          </w:p>
        </w:tc>
        <w:tc>
          <w:tcPr>
            <w:tcW w:w="951" w:type="dxa"/>
            <w:tcBorders>
              <w:top w:val="nil"/>
              <w:left w:val="nil"/>
              <w:bottom w:val="single" w:color="auto" w:sz="4" w:space="0"/>
              <w:right w:val="single" w:color="auto" w:sz="4" w:space="0"/>
            </w:tcBorders>
            <w:noWrap/>
            <w:vAlign w:val="center"/>
          </w:tcPr>
          <w:p w14:paraId="6F0DE231">
            <w:pPr>
              <w:keepNext w:val="0"/>
              <w:keepLines w:val="0"/>
              <w:pageBreakBefore w:val="0"/>
              <w:widowControl/>
              <w:shd w:val="clear"/>
              <w:kinsoku/>
              <w:wordWrap/>
              <w:overflowPunct/>
              <w:topLinePunct w:val="0"/>
              <w:autoSpaceDE w:val="0"/>
              <w:autoSpaceDN w:val="0"/>
              <w:bidi w:val="0"/>
              <w:adjustRightInd w:val="0"/>
              <w:snapToGrid/>
              <w:spacing w:line="460" w:lineRule="exact"/>
              <w:jc w:val="center"/>
              <w:textAlignment w:val="auto"/>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0</w:t>
            </w:r>
          </w:p>
        </w:tc>
      </w:tr>
      <w:tr w14:paraId="59414149">
        <w:tblPrEx>
          <w:tblCellMar>
            <w:top w:w="0" w:type="dxa"/>
            <w:left w:w="108" w:type="dxa"/>
            <w:bottom w:w="0" w:type="dxa"/>
            <w:right w:w="108" w:type="dxa"/>
          </w:tblCellMar>
        </w:tblPrEx>
        <w:trPr>
          <w:trHeight w:val="23" w:hRule="atLeast"/>
          <w:jc w:val="center"/>
        </w:trPr>
        <w:tc>
          <w:tcPr>
            <w:tcW w:w="708" w:type="dxa"/>
            <w:vMerge w:val="restart"/>
            <w:tcBorders>
              <w:top w:val="single" w:color="auto" w:sz="4" w:space="0"/>
              <w:left w:val="single" w:color="auto" w:sz="4" w:space="0"/>
              <w:right w:val="nil"/>
            </w:tcBorders>
            <w:noWrap/>
            <w:vAlign w:val="center"/>
          </w:tcPr>
          <w:p w14:paraId="4256EE24">
            <w:pPr>
              <w:keepNext w:val="0"/>
              <w:keepLines w:val="0"/>
              <w:pageBreakBefore w:val="0"/>
              <w:widowControl/>
              <w:shd w:val="clear"/>
              <w:kinsoku/>
              <w:wordWrap/>
              <w:overflowPunct/>
              <w:topLinePunct w:val="0"/>
              <w:autoSpaceDE w:val="0"/>
              <w:autoSpaceDN w:val="0"/>
              <w:bidi w:val="0"/>
              <w:adjustRightInd w:val="0"/>
              <w:snapToGrid/>
              <w:spacing w:line="460" w:lineRule="exact"/>
              <w:jc w:val="center"/>
              <w:textAlignment w:val="auto"/>
              <w:rPr>
                <w:rFonts w:hint="eastAsia" w:ascii="宋体" w:hAnsi="宋体" w:eastAsia="宋体" w:cs="宋体"/>
                <w:color w:val="auto"/>
                <w:kern w:val="0"/>
                <w:sz w:val="21"/>
                <w:szCs w:val="21"/>
                <w:highlight w:val="none"/>
              </w:rPr>
            </w:pPr>
          </w:p>
          <w:p w14:paraId="38A3F0A5">
            <w:pPr>
              <w:keepNext w:val="0"/>
              <w:keepLines w:val="0"/>
              <w:pageBreakBefore w:val="0"/>
              <w:widowControl/>
              <w:shd w:val="clear"/>
              <w:kinsoku/>
              <w:wordWrap/>
              <w:overflowPunct/>
              <w:topLinePunct w:val="0"/>
              <w:autoSpaceDE w:val="0"/>
              <w:autoSpaceDN w:val="0"/>
              <w:bidi w:val="0"/>
              <w:adjustRightInd w:val="0"/>
              <w:snapToGrid/>
              <w:spacing w:line="460" w:lineRule="exact"/>
              <w:jc w:val="center"/>
              <w:textAlignment w:val="auto"/>
              <w:rPr>
                <w:rFonts w:hint="eastAsia" w:ascii="宋体" w:hAnsi="宋体" w:eastAsia="宋体" w:cs="宋体"/>
                <w:color w:val="auto"/>
                <w:kern w:val="0"/>
                <w:sz w:val="21"/>
                <w:szCs w:val="21"/>
                <w:highlight w:val="none"/>
              </w:rPr>
            </w:pPr>
          </w:p>
          <w:p w14:paraId="1757C914">
            <w:pPr>
              <w:keepNext w:val="0"/>
              <w:keepLines w:val="0"/>
              <w:pageBreakBefore w:val="0"/>
              <w:widowControl/>
              <w:shd w:val="clear"/>
              <w:kinsoku/>
              <w:wordWrap/>
              <w:overflowPunct/>
              <w:topLinePunct w:val="0"/>
              <w:autoSpaceDE w:val="0"/>
              <w:autoSpaceDN w:val="0"/>
              <w:bidi w:val="0"/>
              <w:adjustRightInd w:val="0"/>
              <w:snapToGrid/>
              <w:spacing w:line="460" w:lineRule="exact"/>
              <w:jc w:val="center"/>
              <w:textAlignment w:val="auto"/>
              <w:rPr>
                <w:rFonts w:hint="eastAsia" w:ascii="宋体" w:hAnsi="宋体" w:eastAsia="宋体" w:cs="宋体"/>
                <w:color w:val="auto"/>
                <w:kern w:val="0"/>
                <w:sz w:val="21"/>
                <w:szCs w:val="21"/>
                <w:highlight w:val="none"/>
              </w:rPr>
            </w:pPr>
          </w:p>
          <w:p w14:paraId="15EBF781">
            <w:pPr>
              <w:keepNext w:val="0"/>
              <w:keepLines w:val="0"/>
              <w:pageBreakBefore w:val="0"/>
              <w:widowControl/>
              <w:shd w:val="clear"/>
              <w:kinsoku/>
              <w:wordWrap/>
              <w:overflowPunct/>
              <w:topLinePunct w:val="0"/>
              <w:autoSpaceDE w:val="0"/>
              <w:autoSpaceDN w:val="0"/>
              <w:bidi w:val="0"/>
              <w:adjustRightInd w:val="0"/>
              <w:snapToGrid/>
              <w:spacing w:line="460" w:lineRule="exact"/>
              <w:jc w:val="center"/>
              <w:textAlignment w:val="auto"/>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三、</w:t>
            </w:r>
          </w:p>
          <w:p w14:paraId="31861B12">
            <w:pPr>
              <w:keepNext w:val="0"/>
              <w:keepLines w:val="0"/>
              <w:pageBreakBefore w:val="0"/>
              <w:widowControl/>
              <w:shd w:val="clear"/>
              <w:kinsoku/>
              <w:wordWrap/>
              <w:overflowPunct/>
              <w:topLinePunct w:val="0"/>
              <w:autoSpaceDE w:val="0"/>
              <w:autoSpaceDN w:val="0"/>
              <w:bidi w:val="0"/>
              <w:adjustRightInd w:val="0"/>
              <w:snapToGrid/>
              <w:spacing w:line="460" w:lineRule="exact"/>
              <w:jc w:val="center"/>
              <w:textAlignment w:val="auto"/>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公共</w:t>
            </w:r>
          </w:p>
          <w:p w14:paraId="5682C434">
            <w:pPr>
              <w:keepNext w:val="0"/>
              <w:keepLines w:val="0"/>
              <w:pageBreakBefore w:val="0"/>
              <w:widowControl/>
              <w:shd w:val="clear"/>
              <w:kinsoku/>
              <w:wordWrap/>
              <w:overflowPunct/>
              <w:topLinePunct w:val="0"/>
              <w:autoSpaceDE w:val="0"/>
              <w:autoSpaceDN w:val="0"/>
              <w:bidi w:val="0"/>
              <w:adjustRightInd w:val="0"/>
              <w:snapToGrid/>
              <w:spacing w:line="460" w:lineRule="exact"/>
              <w:jc w:val="center"/>
              <w:textAlignment w:val="auto"/>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设施</w:t>
            </w:r>
            <w:r>
              <w:rPr>
                <w:rFonts w:hint="eastAsia" w:ascii="宋体" w:hAnsi="宋体" w:eastAsia="宋体" w:cs="宋体"/>
                <w:color w:val="auto"/>
                <w:kern w:val="0"/>
                <w:sz w:val="21"/>
                <w:szCs w:val="21"/>
                <w:highlight w:val="none"/>
              </w:rPr>
              <w:br w:type="textWrapping"/>
            </w:r>
            <w:r>
              <w:rPr>
                <w:rFonts w:hint="eastAsia" w:ascii="宋体" w:hAnsi="宋体" w:eastAsia="宋体" w:cs="宋体"/>
                <w:color w:val="auto"/>
                <w:kern w:val="0"/>
                <w:sz w:val="21"/>
                <w:szCs w:val="21"/>
                <w:highlight w:val="none"/>
              </w:rPr>
              <w:t>管理</w:t>
            </w:r>
          </w:p>
        </w:tc>
        <w:tc>
          <w:tcPr>
            <w:tcW w:w="3758" w:type="dxa"/>
            <w:tcBorders>
              <w:top w:val="nil"/>
              <w:left w:val="single" w:color="auto" w:sz="4" w:space="0"/>
              <w:bottom w:val="single" w:color="auto" w:sz="4" w:space="0"/>
              <w:right w:val="single" w:color="auto" w:sz="4" w:space="0"/>
            </w:tcBorders>
            <w:noWrap/>
            <w:vAlign w:val="center"/>
          </w:tcPr>
          <w:p w14:paraId="6E6015AA">
            <w:pPr>
              <w:keepNext w:val="0"/>
              <w:keepLines w:val="0"/>
              <w:pageBreakBefore w:val="0"/>
              <w:widowControl/>
              <w:shd w:val="clear"/>
              <w:kinsoku/>
              <w:wordWrap/>
              <w:overflowPunct/>
              <w:topLinePunct w:val="0"/>
              <w:autoSpaceDE w:val="0"/>
              <w:autoSpaceDN w:val="0"/>
              <w:bidi w:val="0"/>
              <w:adjustRightInd w:val="0"/>
              <w:snapToGrid/>
              <w:spacing w:line="460" w:lineRule="exact"/>
              <w:textAlignment w:val="auto"/>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7.处理终端封闭管理，按规定设置门窗锁、护栏、警示标志等安全设施到位。</w:t>
            </w:r>
          </w:p>
        </w:tc>
        <w:tc>
          <w:tcPr>
            <w:tcW w:w="4464" w:type="dxa"/>
            <w:tcBorders>
              <w:top w:val="nil"/>
              <w:left w:val="nil"/>
              <w:bottom w:val="single" w:color="auto" w:sz="4" w:space="0"/>
              <w:right w:val="single" w:color="auto" w:sz="4" w:space="0"/>
            </w:tcBorders>
            <w:noWrap/>
            <w:vAlign w:val="center"/>
          </w:tcPr>
          <w:p w14:paraId="0C2A36A2">
            <w:pPr>
              <w:keepNext w:val="0"/>
              <w:keepLines w:val="0"/>
              <w:pageBreakBefore w:val="0"/>
              <w:widowControl/>
              <w:shd w:val="clear"/>
              <w:kinsoku/>
              <w:wordWrap/>
              <w:overflowPunct/>
              <w:topLinePunct w:val="0"/>
              <w:autoSpaceDE w:val="0"/>
              <w:autoSpaceDN w:val="0"/>
              <w:bidi w:val="0"/>
              <w:adjustRightInd w:val="0"/>
              <w:snapToGrid/>
              <w:spacing w:line="460" w:lineRule="exact"/>
              <w:textAlignment w:val="auto"/>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未设置护栏和警示标识，门锁、盖板、玻璃等设施损坏每处扣0.5分。</w:t>
            </w:r>
          </w:p>
        </w:tc>
        <w:tc>
          <w:tcPr>
            <w:tcW w:w="951" w:type="dxa"/>
            <w:tcBorders>
              <w:top w:val="single" w:color="auto" w:sz="4" w:space="0"/>
              <w:left w:val="single" w:color="auto" w:sz="4" w:space="0"/>
              <w:bottom w:val="single" w:color="auto" w:sz="4" w:space="0"/>
              <w:right w:val="single" w:color="auto" w:sz="4" w:space="0"/>
            </w:tcBorders>
            <w:noWrap/>
            <w:vAlign w:val="center"/>
          </w:tcPr>
          <w:p w14:paraId="724C69A2">
            <w:pPr>
              <w:keepNext w:val="0"/>
              <w:keepLines w:val="0"/>
              <w:pageBreakBefore w:val="0"/>
              <w:widowControl/>
              <w:shd w:val="clear"/>
              <w:kinsoku/>
              <w:wordWrap/>
              <w:overflowPunct/>
              <w:topLinePunct w:val="0"/>
              <w:autoSpaceDE w:val="0"/>
              <w:autoSpaceDN w:val="0"/>
              <w:bidi w:val="0"/>
              <w:adjustRightInd w:val="0"/>
              <w:snapToGrid/>
              <w:spacing w:line="460" w:lineRule="exact"/>
              <w:jc w:val="center"/>
              <w:textAlignment w:val="auto"/>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3</w:t>
            </w:r>
          </w:p>
        </w:tc>
      </w:tr>
      <w:tr w14:paraId="3061A99F">
        <w:tblPrEx>
          <w:tblCellMar>
            <w:top w:w="0" w:type="dxa"/>
            <w:left w:w="108" w:type="dxa"/>
            <w:bottom w:w="0" w:type="dxa"/>
            <w:right w:w="108" w:type="dxa"/>
          </w:tblCellMar>
        </w:tblPrEx>
        <w:trPr>
          <w:trHeight w:val="23" w:hRule="atLeast"/>
          <w:jc w:val="center"/>
        </w:trPr>
        <w:tc>
          <w:tcPr>
            <w:tcW w:w="708" w:type="dxa"/>
            <w:vMerge w:val="continue"/>
            <w:tcBorders>
              <w:left w:val="single" w:color="auto" w:sz="4" w:space="0"/>
              <w:right w:val="nil"/>
            </w:tcBorders>
            <w:noWrap/>
            <w:vAlign w:val="center"/>
          </w:tcPr>
          <w:p w14:paraId="4F6C4252">
            <w:pPr>
              <w:keepNext w:val="0"/>
              <w:keepLines w:val="0"/>
              <w:pageBreakBefore w:val="0"/>
              <w:widowControl/>
              <w:shd w:val="clear"/>
              <w:kinsoku/>
              <w:wordWrap/>
              <w:overflowPunct/>
              <w:topLinePunct w:val="0"/>
              <w:autoSpaceDE w:val="0"/>
              <w:autoSpaceDN w:val="0"/>
              <w:bidi w:val="0"/>
              <w:adjustRightInd w:val="0"/>
              <w:snapToGrid/>
              <w:spacing w:line="460" w:lineRule="exact"/>
              <w:jc w:val="center"/>
              <w:textAlignment w:val="auto"/>
              <w:rPr>
                <w:rFonts w:hint="eastAsia" w:ascii="宋体" w:hAnsi="宋体" w:eastAsia="宋体" w:cs="宋体"/>
                <w:color w:val="auto"/>
                <w:kern w:val="0"/>
                <w:sz w:val="21"/>
                <w:szCs w:val="21"/>
                <w:highlight w:val="none"/>
              </w:rPr>
            </w:pPr>
          </w:p>
        </w:tc>
        <w:tc>
          <w:tcPr>
            <w:tcW w:w="3758" w:type="dxa"/>
            <w:tcBorders>
              <w:top w:val="single" w:color="auto" w:sz="4" w:space="0"/>
              <w:left w:val="single" w:color="auto" w:sz="4" w:space="0"/>
              <w:bottom w:val="single" w:color="auto" w:sz="4" w:space="0"/>
              <w:right w:val="single" w:color="auto" w:sz="4" w:space="0"/>
            </w:tcBorders>
            <w:noWrap/>
            <w:vAlign w:val="center"/>
          </w:tcPr>
          <w:p w14:paraId="64D8A3FD">
            <w:pPr>
              <w:keepNext w:val="0"/>
              <w:keepLines w:val="0"/>
              <w:pageBreakBefore w:val="0"/>
              <w:widowControl/>
              <w:shd w:val="clear"/>
              <w:kinsoku/>
              <w:wordWrap/>
              <w:overflowPunct/>
              <w:topLinePunct w:val="0"/>
              <w:autoSpaceDE w:val="0"/>
              <w:autoSpaceDN w:val="0"/>
              <w:bidi w:val="0"/>
              <w:adjustRightInd w:val="0"/>
              <w:snapToGrid/>
              <w:spacing w:line="460" w:lineRule="exact"/>
              <w:textAlignment w:val="auto"/>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8.处理终端“房长制或站长制”立牌公示，职责履行到位，台账记录齐全。</w:t>
            </w:r>
          </w:p>
        </w:tc>
        <w:tc>
          <w:tcPr>
            <w:tcW w:w="4464" w:type="dxa"/>
            <w:tcBorders>
              <w:top w:val="single" w:color="auto" w:sz="4" w:space="0"/>
              <w:left w:val="single" w:color="auto" w:sz="4" w:space="0"/>
              <w:bottom w:val="single" w:color="auto" w:sz="4" w:space="0"/>
              <w:right w:val="single" w:color="auto" w:sz="4" w:space="0"/>
            </w:tcBorders>
            <w:noWrap/>
            <w:vAlign w:val="center"/>
          </w:tcPr>
          <w:p w14:paraId="454465A8">
            <w:pPr>
              <w:keepNext w:val="0"/>
              <w:keepLines w:val="0"/>
              <w:pageBreakBefore w:val="0"/>
              <w:widowControl/>
              <w:shd w:val="clear"/>
              <w:kinsoku/>
              <w:wordWrap/>
              <w:overflowPunct/>
              <w:topLinePunct w:val="0"/>
              <w:autoSpaceDE w:val="0"/>
              <w:autoSpaceDN w:val="0"/>
              <w:bidi w:val="0"/>
              <w:adjustRightInd w:val="0"/>
              <w:snapToGrid/>
              <w:spacing w:line="460" w:lineRule="exact"/>
              <w:textAlignment w:val="auto"/>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无公示牌扣2分，字迹模糊扣</w:t>
            </w:r>
            <w:r>
              <w:rPr>
                <w:rFonts w:hint="default" w:hAnsi="宋体" w:cs="宋体"/>
                <w:color w:val="auto"/>
                <w:kern w:val="0"/>
                <w:sz w:val="21"/>
                <w:szCs w:val="21"/>
                <w:highlight w:val="none"/>
              </w:rPr>
              <w:t>或</w:t>
            </w:r>
            <w:r>
              <w:rPr>
                <w:rFonts w:hint="eastAsia" w:ascii="宋体" w:hAnsi="宋体" w:eastAsia="宋体" w:cs="宋体"/>
                <w:color w:val="auto"/>
                <w:kern w:val="0"/>
                <w:sz w:val="21"/>
                <w:szCs w:val="21"/>
                <w:highlight w:val="none"/>
              </w:rPr>
              <w:t>台账记录不齐全</w:t>
            </w:r>
            <w:r>
              <w:rPr>
                <w:rFonts w:hint="default" w:hAnsi="宋体" w:cs="宋体"/>
                <w:color w:val="auto"/>
                <w:kern w:val="0"/>
                <w:sz w:val="21"/>
                <w:szCs w:val="21"/>
                <w:highlight w:val="none"/>
              </w:rPr>
              <w:t>，扣</w:t>
            </w:r>
            <w:r>
              <w:rPr>
                <w:rFonts w:hint="eastAsia" w:ascii="宋体" w:hAnsi="宋体" w:eastAsia="宋体" w:cs="宋体"/>
                <w:color w:val="auto"/>
                <w:kern w:val="0"/>
                <w:sz w:val="21"/>
                <w:szCs w:val="21"/>
                <w:highlight w:val="none"/>
              </w:rPr>
              <w:t>1分。</w:t>
            </w:r>
          </w:p>
        </w:tc>
        <w:tc>
          <w:tcPr>
            <w:tcW w:w="951" w:type="dxa"/>
            <w:vMerge w:val="restart"/>
            <w:tcBorders>
              <w:top w:val="single" w:color="auto" w:sz="4" w:space="0"/>
              <w:left w:val="single" w:color="auto" w:sz="4" w:space="0"/>
              <w:right w:val="single" w:color="auto" w:sz="4" w:space="0"/>
            </w:tcBorders>
            <w:noWrap/>
            <w:vAlign w:val="center"/>
          </w:tcPr>
          <w:p w14:paraId="538C2F75">
            <w:pPr>
              <w:keepNext w:val="0"/>
              <w:keepLines w:val="0"/>
              <w:pageBreakBefore w:val="0"/>
              <w:widowControl/>
              <w:shd w:val="clear"/>
              <w:tabs>
                <w:tab w:val="left" w:pos="257"/>
                <w:tab w:val="center" w:pos="431"/>
              </w:tabs>
              <w:kinsoku/>
              <w:wordWrap/>
              <w:overflowPunct/>
              <w:topLinePunct w:val="0"/>
              <w:autoSpaceDE w:val="0"/>
              <w:autoSpaceDN w:val="0"/>
              <w:bidi w:val="0"/>
              <w:adjustRightInd w:val="0"/>
              <w:snapToGrid/>
              <w:spacing w:line="460" w:lineRule="exact"/>
              <w:jc w:val="center"/>
              <w:textAlignment w:val="auto"/>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5</w:t>
            </w:r>
          </w:p>
        </w:tc>
      </w:tr>
      <w:tr w14:paraId="3FD84C77">
        <w:tblPrEx>
          <w:tblCellMar>
            <w:top w:w="0" w:type="dxa"/>
            <w:left w:w="108" w:type="dxa"/>
            <w:bottom w:w="0" w:type="dxa"/>
            <w:right w:w="108" w:type="dxa"/>
          </w:tblCellMar>
        </w:tblPrEx>
        <w:trPr>
          <w:trHeight w:val="23" w:hRule="atLeast"/>
          <w:jc w:val="center"/>
        </w:trPr>
        <w:tc>
          <w:tcPr>
            <w:tcW w:w="708" w:type="dxa"/>
            <w:vMerge w:val="continue"/>
            <w:tcBorders>
              <w:left w:val="single" w:color="auto" w:sz="4" w:space="0"/>
              <w:right w:val="nil"/>
            </w:tcBorders>
            <w:noWrap/>
            <w:vAlign w:val="center"/>
          </w:tcPr>
          <w:p w14:paraId="30E9A144">
            <w:pPr>
              <w:keepNext w:val="0"/>
              <w:keepLines w:val="0"/>
              <w:pageBreakBefore w:val="0"/>
              <w:widowControl/>
              <w:shd w:val="clear"/>
              <w:kinsoku/>
              <w:wordWrap/>
              <w:overflowPunct/>
              <w:topLinePunct w:val="0"/>
              <w:autoSpaceDE w:val="0"/>
              <w:autoSpaceDN w:val="0"/>
              <w:bidi w:val="0"/>
              <w:adjustRightInd w:val="0"/>
              <w:snapToGrid/>
              <w:spacing w:line="460" w:lineRule="exact"/>
              <w:jc w:val="center"/>
              <w:textAlignment w:val="auto"/>
              <w:rPr>
                <w:rFonts w:hint="eastAsia" w:ascii="宋体" w:hAnsi="宋体" w:eastAsia="宋体" w:cs="宋体"/>
                <w:color w:val="auto"/>
                <w:kern w:val="0"/>
                <w:sz w:val="21"/>
                <w:szCs w:val="21"/>
                <w:highlight w:val="none"/>
              </w:rPr>
            </w:pPr>
          </w:p>
        </w:tc>
        <w:tc>
          <w:tcPr>
            <w:tcW w:w="3758" w:type="dxa"/>
            <w:tcBorders>
              <w:top w:val="single" w:color="auto" w:sz="4" w:space="0"/>
              <w:left w:val="single" w:color="auto" w:sz="4" w:space="0"/>
              <w:bottom w:val="single" w:color="auto" w:sz="4" w:space="0"/>
              <w:right w:val="single" w:color="auto" w:sz="4" w:space="0"/>
            </w:tcBorders>
            <w:noWrap/>
            <w:vAlign w:val="center"/>
          </w:tcPr>
          <w:p w14:paraId="3C850A64">
            <w:pPr>
              <w:keepNext w:val="0"/>
              <w:keepLines w:val="0"/>
              <w:pageBreakBefore w:val="0"/>
              <w:widowControl/>
              <w:shd w:val="clear"/>
              <w:kinsoku/>
              <w:wordWrap/>
              <w:overflowPunct/>
              <w:topLinePunct w:val="0"/>
              <w:autoSpaceDE w:val="0"/>
              <w:autoSpaceDN w:val="0"/>
              <w:bidi w:val="0"/>
              <w:adjustRightInd w:val="0"/>
              <w:snapToGrid/>
              <w:spacing w:line="460" w:lineRule="exact"/>
              <w:textAlignment w:val="auto"/>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9.垃圾处理终端站运行正常，能定期清理、灭虫、灭菌，投放微生物菌种。</w:t>
            </w:r>
          </w:p>
        </w:tc>
        <w:tc>
          <w:tcPr>
            <w:tcW w:w="4464" w:type="dxa"/>
            <w:tcBorders>
              <w:top w:val="single" w:color="auto" w:sz="4" w:space="0"/>
              <w:left w:val="nil"/>
              <w:bottom w:val="single" w:color="auto" w:sz="4" w:space="0"/>
              <w:right w:val="single" w:color="auto" w:sz="4" w:space="0"/>
            </w:tcBorders>
            <w:noWrap/>
            <w:vAlign w:val="center"/>
          </w:tcPr>
          <w:p w14:paraId="2FB57BE0">
            <w:pPr>
              <w:keepNext w:val="0"/>
              <w:keepLines w:val="0"/>
              <w:pageBreakBefore w:val="0"/>
              <w:widowControl/>
              <w:shd w:val="clear"/>
              <w:kinsoku/>
              <w:wordWrap/>
              <w:overflowPunct/>
              <w:topLinePunct w:val="0"/>
              <w:autoSpaceDE w:val="0"/>
              <w:autoSpaceDN w:val="0"/>
              <w:bidi w:val="0"/>
              <w:adjustRightInd w:val="0"/>
              <w:snapToGrid/>
              <w:spacing w:line="460" w:lineRule="exact"/>
              <w:textAlignment w:val="auto"/>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处理终端未正常使用扣5分，未定期清理、除蚊灭蝇和投放菌种的每项扣1-2分。</w:t>
            </w:r>
          </w:p>
        </w:tc>
        <w:tc>
          <w:tcPr>
            <w:tcW w:w="951" w:type="dxa"/>
            <w:vMerge w:val="continue"/>
            <w:tcBorders>
              <w:left w:val="single" w:color="auto" w:sz="4" w:space="0"/>
              <w:bottom w:val="single" w:color="auto" w:sz="4" w:space="0"/>
              <w:right w:val="single" w:color="auto" w:sz="4" w:space="0"/>
            </w:tcBorders>
            <w:noWrap/>
            <w:vAlign w:val="center"/>
          </w:tcPr>
          <w:p w14:paraId="44AA4B85">
            <w:pPr>
              <w:keepNext w:val="0"/>
              <w:keepLines w:val="0"/>
              <w:pageBreakBefore w:val="0"/>
              <w:widowControl/>
              <w:shd w:val="clear"/>
              <w:kinsoku/>
              <w:wordWrap/>
              <w:overflowPunct/>
              <w:topLinePunct w:val="0"/>
              <w:autoSpaceDE w:val="0"/>
              <w:autoSpaceDN w:val="0"/>
              <w:bidi w:val="0"/>
              <w:adjustRightInd w:val="0"/>
              <w:snapToGrid/>
              <w:spacing w:line="460" w:lineRule="exact"/>
              <w:jc w:val="center"/>
              <w:textAlignment w:val="auto"/>
              <w:rPr>
                <w:rFonts w:hint="eastAsia" w:ascii="宋体" w:hAnsi="宋体" w:eastAsia="宋体" w:cs="宋体"/>
                <w:color w:val="auto"/>
                <w:kern w:val="0"/>
                <w:sz w:val="21"/>
                <w:szCs w:val="21"/>
                <w:highlight w:val="none"/>
              </w:rPr>
            </w:pPr>
          </w:p>
        </w:tc>
      </w:tr>
      <w:tr w14:paraId="35A61FC5">
        <w:tblPrEx>
          <w:tblCellMar>
            <w:top w:w="0" w:type="dxa"/>
            <w:left w:w="108" w:type="dxa"/>
            <w:bottom w:w="0" w:type="dxa"/>
            <w:right w:w="108" w:type="dxa"/>
          </w:tblCellMar>
        </w:tblPrEx>
        <w:trPr>
          <w:trHeight w:val="23" w:hRule="atLeast"/>
          <w:jc w:val="center"/>
        </w:trPr>
        <w:tc>
          <w:tcPr>
            <w:tcW w:w="708" w:type="dxa"/>
            <w:vMerge w:val="continue"/>
            <w:tcBorders>
              <w:left w:val="single" w:color="auto" w:sz="4" w:space="0"/>
              <w:right w:val="nil"/>
            </w:tcBorders>
            <w:noWrap/>
            <w:vAlign w:val="center"/>
          </w:tcPr>
          <w:p w14:paraId="355583EC">
            <w:pPr>
              <w:keepNext w:val="0"/>
              <w:keepLines w:val="0"/>
              <w:pageBreakBefore w:val="0"/>
              <w:widowControl/>
              <w:shd w:val="clear"/>
              <w:kinsoku/>
              <w:wordWrap/>
              <w:overflowPunct/>
              <w:topLinePunct w:val="0"/>
              <w:autoSpaceDE w:val="0"/>
              <w:autoSpaceDN w:val="0"/>
              <w:bidi w:val="0"/>
              <w:adjustRightInd w:val="0"/>
              <w:snapToGrid/>
              <w:spacing w:line="460" w:lineRule="exact"/>
              <w:jc w:val="center"/>
              <w:textAlignment w:val="auto"/>
              <w:rPr>
                <w:rFonts w:hint="eastAsia" w:ascii="宋体" w:hAnsi="宋体" w:eastAsia="宋体" w:cs="宋体"/>
                <w:color w:val="auto"/>
                <w:kern w:val="0"/>
                <w:sz w:val="21"/>
                <w:szCs w:val="21"/>
                <w:highlight w:val="none"/>
              </w:rPr>
            </w:pPr>
          </w:p>
        </w:tc>
        <w:tc>
          <w:tcPr>
            <w:tcW w:w="3758" w:type="dxa"/>
            <w:tcBorders>
              <w:top w:val="nil"/>
              <w:left w:val="single" w:color="auto" w:sz="4" w:space="0"/>
              <w:bottom w:val="single" w:color="auto" w:sz="4" w:space="0"/>
              <w:right w:val="single" w:color="auto" w:sz="4" w:space="0"/>
            </w:tcBorders>
            <w:noWrap/>
            <w:vAlign w:val="center"/>
          </w:tcPr>
          <w:p w14:paraId="03180BE8">
            <w:pPr>
              <w:keepNext w:val="0"/>
              <w:keepLines w:val="0"/>
              <w:pageBreakBefore w:val="0"/>
              <w:widowControl/>
              <w:shd w:val="clear"/>
              <w:kinsoku/>
              <w:wordWrap/>
              <w:overflowPunct/>
              <w:topLinePunct w:val="0"/>
              <w:autoSpaceDE w:val="0"/>
              <w:autoSpaceDN w:val="0"/>
              <w:bidi w:val="0"/>
              <w:adjustRightInd w:val="0"/>
              <w:snapToGrid/>
              <w:spacing w:line="460" w:lineRule="exact"/>
              <w:textAlignment w:val="auto"/>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10.垃圾处理终端周边环境整洁，污水不外流，不焚烧垃圾，其他垃圾清运及时。村级中转站有顶有门，清运及时。</w:t>
            </w:r>
          </w:p>
        </w:tc>
        <w:tc>
          <w:tcPr>
            <w:tcW w:w="4464" w:type="dxa"/>
            <w:tcBorders>
              <w:top w:val="nil"/>
              <w:left w:val="nil"/>
              <w:bottom w:val="single" w:color="auto" w:sz="4" w:space="0"/>
              <w:right w:val="single" w:color="auto" w:sz="4" w:space="0"/>
            </w:tcBorders>
            <w:noWrap/>
            <w:vAlign w:val="center"/>
          </w:tcPr>
          <w:p w14:paraId="119F08A3">
            <w:pPr>
              <w:keepNext w:val="0"/>
              <w:keepLines w:val="0"/>
              <w:pageBreakBefore w:val="0"/>
              <w:widowControl/>
              <w:shd w:val="clear"/>
              <w:kinsoku/>
              <w:wordWrap/>
              <w:overflowPunct/>
              <w:topLinePunct w:val="0"/>
              <w:autoSpaceDE w:val="0"/>
              <w:autoSpaceDN w:val="0"/>
              <w:bidi w:val="0"/>
              <w:adjustRightInd w:val="0"/>
              <w:snapToGrid/>
              <w:spacing w:line="460" w:lineRule="exact"/>
              <w:textAlignment w:val="auto"/>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散落垃圾扣0.5分/处，焚烧垃圾扣1分/处，污水外流扣2分。中转站无门屋顶各扣1分，清运不及时扣2分。</w:t>
            </w:r>
          </w:p>
        </w:tc>
        <w:tc>
          <w:tcPr>
            <w:tcW w:w="951" w:type="dxa"/>
            <w:tcBorders>
              <w:top w:val="single" w:color="auto" w:sz="4" w:space="0"/>
              <w:left w:val="single" w:color="auto" w:sz="4" w:space="0"/>
              <w:bottom w:val="single" w:color="auto" w:sz="4" w:space="0"/>
              <w:right w:val="single" w:color="auto" w:sz="4" w:space="0"/>
            </w:tcBorders>
            <w:noWrap/>
            <w:vAlign w:val="center"/>
          </w:tcPr>
          <w:p w14:paraId="76D93E8F">
            <w:pPr>
              <w:keepNext w:val="0"/>
              <w:keepLines w:val="0"/>
              <w:pageBreakBefore w:val="0"/>
              <w:widowControl/>
              <w:shd w:val="clear"/>
              <w:kinsoku/>
              <w:wordWrap/>
              <w:overflowPunct/>
              <w:topLinePunct w:val="0"/>
              <w:autoSpaceDE w:val="0"/>
              <w:autoSpaceDN w:val="0"/>
              <w:bidi w:val="0"/>
              <w:adjustRightInd w:val="0"/>
              <w:snapToGrid/>
              <w:spacing w:line="460" w:lineRule="exact"/>
              <w:jc w:val="center"/>
              <w:textAlignment w:val="auto"/>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4</w:t>
            </w:r>
          </w:p>
        </w:tc>
      </w:tr>
      <w:tr w14:paraId="0DBEEDC9">
        <w:tblPrEx>
          <w:tblCellMar>
            <w:top w:w="0" w:type="dxa"/>
            <w:left w:w="108" w:type="dxa"/>
            <w:bottom w:w="0" w:type="dxa"/>
            <w:right w:w="108" w:type="dxa"/>
          </w:tblCellMar>
        </w:tblPrEx>
        <w:trPr>
          <w:trHeight w:val="23" w:hRule="atLeast"/>
          <w:jc w:val="center"/>
        </w:trPr>
        <w:tc>
          <w:tcPr>
            <w:tcW w:w="708" w:type="dxa"/>
            <w:vMerge w:val="continue"/>
            <w:tcBorders>
              <w:left w:val="single" w:color="auto" w:sz="4" w:space="0"/>
              <w:right w:val="nil"/>
            </w:tcBorders>
            <w:noWrap/>
            <w:vAlign w:val="center"/>
          </w:tcPr>
          <w:p w14:paraId="7667C46A">
            <w:pPr>
              <w:keepNext w:val="0"/>
              <w:keepLines w:val="0"/>
              <w:pageBreakBefore w:val="0"/>
              <w:widowControl/>
              <w:shd w:val="clear"/>
              <w:kinsoku/>
              <w:wordWrap/>
              <w:overflowPunct/>
              <w:topLinePunct w:val="0"/>
              <w:autoSpaceDE w:val="0"/>
              <w:autoSpaceDN w:val="0"/>
              <w:bidi w:val="0"/>
              <w:adjustRightInd w:val="0"/>
              <w:snapToGrid/>
              <w:spacing w:line="460" w:lineRule="exact"/>
              <w:jc w:val="center"/>
              <w:textAlignment w:val="auto"/>
              <w:rPr>
                <w:rFonts w:hint="eastAsia" w:ascii="宋体" w:hAnsi="宋体" w:eastAsia="宋体" w:cs="宋体"/>
                <w:color w:val="auto"/>
                <w:kern w:val="0"/>
                <w:sz w:val="21"/>
                <w:szCs w:val="21"/>
                <w:highlight w:val="none"/>
              </w:rPr>
            </w:pPr>
          </w:p>
        </w:tc>
        <w:tc>
          <w:tcPr>
            <w:tcW w:w="3758" w:type="dxa"/>
            <w:tcBorders>
              <w:top w:val="nil"/>
              <w:left w:val="single" w:color="auto" w:sz="4" w:space="0"/>
              <w:bottom w:val="single" w:color="auto" w:sz="4" w:space="0"/>
              <w:right w:val="single" w:color="auto" w:sz="4" w:space="0"/>
            </w:tcBorders>
            <w:noWrap/>
            <w:vAlign w:val="center"/>
          </w:tcPr>
          <w:p w14:paraId="30B616C2">
            <w:pPr>
              <w:keepNext w:val="0"/>
              <w:keepLines w:val="0"/>
              <w:pageBreakBefore w:val="0"/>
              <w:widowControl/>
              <w:shd w:val="clear"/>
              <w:kinsoku/>
              <w:wordWrap/>
              <w:overflowPunct/>
              <w:topLinePunct w:val="0"/>
              <w:autoSpaceDE w:val="0"/>
              <w:autoSpaceDN w:val="0"/>
              <w:bidi w:val="0"/>
              <w:adjustRightInd w:val="0"/>
              <w:snapToGrid/>
              <w:spacing w:line="460" w:lineRule="exact"/>
              <w:textAlignment w:val="auto"/>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11.村庄消除旱厕或露天粪坑，建有农村公厕，实行“所长制“管理，制度牌上墙，公厕日常管护到位。</w:t>
            </w:r>
          </w:p>
        </w:tc>
        <w:tc>
          <w:tcPr>
            <w:tcW w:w="4464" w:type="dxa"/>
            <w:tcBorders>
              <w:top w:val="nil"/>
              <w:left w:val="nil"/>
              <w:bottom w:val="single" w:color="auto" w:sz="4" w:space="0"/>
              <w:right w:val="single" w:color="auto" w:sz="4" w:space="0"/>
            </w:tcBorders>
            <w:noWrap/>
            <w:vAlign w:val="center"/>
          </w:tcPr>
          <w:p w14:paraId="48A8FCA4">
            <w:pPr>
              <w:keepNext w:val="0"/>
              <w:keepLines w:val="0"/>
              <w:pageBreakBefore w:val="0"/>
              <w:widowControl/>
              <w:shd w:val="clear"/>
              <w:kinsoku/>
              <w:wordWrap/>
              <w:overflowPunct/>
              <w:topLinePunct w:val="0"/>
              <w:autoSpaceDE w:val="0"/>
              <w:autoSpaceDN w:val="0"/>
              <w:bidi w:val="0"/>
              <w:adjustRightInd w:val="0"/>
              <w:snapToGrid/>
              <w:spacing w:line="460" w:lineRule="exact"/>
              <w:textAlignment w:val="auto"/>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 xml:space="preserve">有旱厕或露天粪坑扣5分。无公厕扣5分，未开门扣3分，无水、无电扣2分，卫生差扣1分/处。无所长制扣2分，信息不全扣0.5分。 </w:t>
            </w:r>
          </w:p>
        </w:tc>
        <w:tc>
          <w:tcPr>
            <w:tcW w:w="951" w:type="dxa"/>
            <w:tcBorders>
              <w:top w:val="single" w:color="auto" w:sz="4" w:space="0"/>
              <w:left w:val="nil"/>
              <w:bottom w:val="single" w:color="auto" w:sz="4" w:space="0"/>
              <w:right w:val="single" w:color="auto" w:sz="4" w:space="0"/>
            </w:tcBorders>
            <w:noWrap/>
            <w:vAlign w:val="center"/>
          </w:tcPr>
          <w:p w14:paraId="5B64C9B9">
            <w:pPr>
              <w:keepNext w:val="0"/>
              <w:keepLines w:val="0"/>
              <w:pageBreakBefore w:val="0"/>
              <w:widowControl/>
              <w:shd w:val="clear"/>
              <w:kinsoku/>
              <w:wordWrap/>
              <w:overflowPunct/>
              <w:topLinePunct w:val="0"/>
              <w:autoSpaceDE w:val="0"/>
              <w:autoSpaceDN w:val="0"/>
              <w:bidi w:val="0"/>
              <w:adjustRightInd w:val="0"/>
              <w:snapToGrid/>
              <w:spacing w:line="460" w:lineRule="exact"/>
              <w:jc w:val="center"/>
              <w:textAlignment w:val="auto"/>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10</w:t>
            </w:r>
          </w:p>
        </w:tc>
      </w:tr>
      <w:tr w14:paraId="788C2603">
        <w:tblPrEx>
          <w:tblCellMar>
            <w:top w:w="0" w:type="dxa"/>
            <w:left w:w="108" w:type="dxa"/>
            <w:bottom w:w="0" w:type="dxa"/>
            <w:right w:w="108" w:type="dxa"/>
          </w:tblCellMar>
        </w:tblPrEx>
        <w:trPr>
          <w:trHeight w:val="23" w:hRule="atLeast"/>
          <w:jc w:val="center"/>
        </w:trPr>
        <w:tc>
          <w:tcPr>
            <w:tcW w:w="708" w:type="dxa"/>
            <w:vMerge w:val="continue"/>
            <w:tcBorders>
              <w:left w:val="single" w:color="auto" w:sz="4" w:space="0"/>
              <w:bottom w:val="single" w:color="auto" w:sz="4" w:space="0"/>
              <w:right w:val="nil"/>
            </w:tcBorders>
            <w:noWrap/>
            <w:vAlign w:val="center"/>
          </w:tcPr>
          <w:p w14:paraId="750CBAB6">
            <w:pPr>
              <w:keepNext w:val="0"/>
              <w:keepLines w:val="0"/>
              <w:pageBreakBefore w:val="0"/>
              <w:widowControl/>
              <w:shd w:val="clear"/>
              <w:kinsoku/>
              <w:wordWrap/>
              <w:overflowPunct/>
              <w:topLinePunct w:val="0"/>
              <w:autoSpaceDE w:val="0"/>
              <w:autoSpaceDN w:val="0"/>
              <w:bidi w:val="0"/>
              <w:adjustRightInd w:val="0"/>
              <w:snapToGrid/>
              <w:spacing w:line="460" w:lineRule="exact"/>
              <w:jc w:val="center"/>
              <w:textAlignment w:val="auto"/>
              <w:rPr>
                <w:rFonts w:hint="eastAsia" w:ascii="宋体" w:hAnsi="宋体" w:eastAsia="宋体" w:cs="宋体"/>
                <w:color w:val="auto"/>
                <w:kern w:val="0"/>
                <w:sz w:val="21"/>
                <w:szCs w:val="21"/>
                <w:highlight w:val="none"/>
              </w:rPr>
            </w:pPr>
          </w:p>
        </w:tc>
        <w:tc>
          <w:tcPr>
            <w:tcW w:w="3758" w:type="dxa"/>
            <w:tcBorders>
              <w:top w:val="nil"/>
              <w:left w:val="single" w:color="auto" w:sz="4" w:space="0"/>
              <w:bottom w:val="single" w:color="auto" w:sz="4" w:space="0"/>
              <w:right w:val="single" w:color="auto" w:sz="4" w:space="0"/>
            </w:tcBorders>
            <w:noWrap/>
            <w:vAlign w:val="center"/>
          </w:tcPr>
          <w:p w14:paraId="23C31BDD">
            <w:pPr>
              <w:keepNext w:val="0"/>
              <w:keepLines w:val="0"/>
              <w:pageBreakBefore w:val="0"/>
              <w:widowControl/>
              <w:shd w:val="clear"/>
              <w:kinsoku/>
              <w:wordWrap/>
              <w:overflowPunct/>
              <w:topLinePunct w:val="0"/>
              <w:autoSpaceDE w:val="0"/>
              <w:autoSpaceDN w:val="0"/>
              <w:bidi w:val="0"/>
              <w:adjustRightInd w:val="0"/>
              <w:snapToGrid/>
              <w:spacing w:line="460" w:lineRule="exact"/>
              <w:textAlignment w:val="auto"/>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12.公共设施、文体设施维护良好，生态洗衣房用水畅通，环境整洁。</w:t>
            </w:r>
          </w:p>
        </w:tc>
        <w:tc>
          <w:tcPr>
            <w:tcW w:w="4464" w:type="dxa"/>
            <w:tcBorders>
              <w:top w:val="nil"/>
              <w:left w:val="nil"/>
              <w:bottom w:val="single" w:color="auto" w:sz="4" w:space="0"/>
              <w:right w:val="single" w:color="auto" w:sz="4" w:space="0"/>
            </w:tcBorders>
            <w:noWrap/>
            <w:vAlign w:val="center"/>
          </w:tcPr>
          <w:p w14:paraId="333BFC44">
            <w:pPr>
              <w:keepNext w:val="0"/>
              <w:keepLines w:val="0"/>
              <w:pageBreakBefore w:val="0"/>
              <w:widowControl/>
              <w:shd w:val="clear"/>
              <w:kinsoku/>
              <w:wordWrap/>
              <w:overflowPunct/>
              <w:topLinePunct w:val="0"/>
              <w:autoSpaceDE w:val="0"/>
              <w:autoSpaceDN w:val="0"/>
              <w:bidi w:val="0"/>
              <w:adjustRightInd w:val="0"/>
              <w:snapToGrid/>
              <w:spacing w:line="460" w:lineRule="exact"/>
              <w:textAlignment w:val="auto"/>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公共设施破损扣1分/处、生锈扣0.5分/处，生态洗衣房设施损坏，污水溢流一处扣1分。</w:t>
            </w:r>
          </w:p>
        </w:tc>
        <w:tc>
          <w:tcPr>
            <w:tcW w:w="951" w:type="dxa"/>
            <w:tcBorders>
              <w:top w:val="nil"/>
              <w:left w:val="nil"/>
              <w:bottom w:val="single" w:color="auto" w:sz="4" w:space="0"/>
              <w:right w:val="single" w:color="auto" w:sz="4" w:space="0"/>
            </w:tcBorders>
            <w:noWrap/>
            <w:vAlign w:val="center"/>
          </w:tcPr>
          <w:p w14:paraId="42AEF80B">
            <w:pPr>
              <w:keepNext w:val="0"/>
              <w:keepLines w:val="0"/>
              <w:pageBreakBefore w:val="0"/>
              <w:widowControl/>
              <w:shd w:val="clear"/>
              <w:kinsoku/>
              <w:wordWrap/>
              <w:overflowPunct/>
              <w:topLinePunct w:val="0"/>
              <w:autoSpaceDE w:val="0"/>
              <w:autoSpaceDN w:val="0"/>
              <w:bidi w:val="0"/>
              <w:adjustRightInd w:val="0"/>
              <w:snapToGrid/>
              <w:spacing w:line="460" w:lineRule="exact"/>
              <w:jc w:val="center"/>
              <w:textAlignment w:val="auto"/>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5</w:t>
            </w:r>
          </w:p>
        </w:tc>
      </w:tr>
      <w:tr w14:paraId="76F1A22C">
        <w:tblPrEx>
          <w:tblCellMar>
            <w:top w:w="0" w:type="dxa"/>
            <w:left w:w="108" w:type="dxa"/>
            <w:bottom w:w="0" w:type="dxa"/>
            <w:right w:w="108" w:type="dxa"/>
          </w:tblCellMar>
        </w:tblPrEx>
        <w:trPr>
          <w:trHeight w:val="23" w:hRule="atLeast"/>
          <w:jc w:val="center"/>
        </w:trPr>
        <w:tc>
          <w:tcPr>
            <w:tcW w:w="708" w:type="dxa"/>
            <w:vMerge w:val="restart"/>
            <w:tcBorders>
              <w:top w:val="single" w:color="auto" w:sz="4" w:space="0"/>
              <w:left w:val="single" w:color="auto" w:sz="4" w:space="0"/>
              <w:bottom w:val="single" w:color="auto" w:sz="4" w:space="0"/>
              <w:right w:val="single" w:color="auto" w:sz="4" w:space="0"/>
            </w:tcBorders>
            <w:noWrap/>
            <w:vAlign w:val="center"/>
          </w:tcPr>
          <w:p w14:paraId="292DF611">
            <w:pPr>
              <w:keepNext w:val="0"/>
              <w:keepLines w:val="0"/>
              <w:pageBreakBefore w:val="0"/>
              <w:widowControl/>
              <w:shd w:val="clear"/>
              <w:kinsoku/>
              <w:wordWrap/>
              <w:overflowPunct/>
              <w:topLinePunct w:val="0"/>
              <w:autoSpaceDE w:val="0"/>
              <w:autoSpaceDN w:val="0"/>
              <w:bidi w:val="0"/>
              <w:adjustRightInd w:val="0"/>
              <w:snapToGrid/>
              <w:spacing w:line="460" w:lineRule="exact"/>
              <w:jc w:val="center"/>
              <w:textAlignment w:val="auto"/>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四、</w:t>
            </w:r>
          </w:p>
          <w:p w14:paraId="4E0A67F5">
            <w:pPr>
              <w:keepNext w:val="0"/>
              <w:keepLines w:val="0"/>
              <w:pageBreakBefore w:val="0"/>
              <w:widowControl/>
              <w:shd w:val="clear"/>
              <w:kinsoku/>
              <w:wordWrap/>
              <w:overflowPunct/>
              <w:topLinePunct w:val="0"/>
              <w:autoSpaceDE w:val="0"/>
              <w:autoSpaceDN w:val="0"/>
              <w:bidi w:val="0"/>
              <w:adjustRightInd w:val="0"/>
              <w:snapToGrid/>
              <w:spacing w:line="460" w:lineRule="exact"/>
              <w:jc w:val="center"/>
              <w:textAlignment w:val="auto"/>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环境</w:t>
            </w:r>
          </w:p>
          <w:p w14:paraId="01153474">
            <w:pPr>
              <w:keepNext w:val="0"/>
              <w:keepLines w:val="0"/>
              <w:pageBreakBefore w:val="0"/>
              <w:widowControl/>
              <w:shd w:val="clear"/>
              <w:kinsoku/>
              <w:wordWrap/>
              <w:overflowPunct/>
              <w:topLinePunct w:val="0"/>
              <w:autoSpaceDE w:val="0"/>
              <w:autoSpaceDN w:val="0"/>
              <w:bidi w:val="0"/>
              <w:adjustRightInd w:val="0"/>
              <w:snapToGrid/>
              <w:spacing w:line="460" w:lineRule="exact"/>
              <w:jc w:val="center"/>
              <w:textAlignment w:val="auto"/>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卫生</w:t>
            </w:r>
          </w:p>
          <w:p w14:paraId="4ED23517">
            <w:pPr>
              <w:keepNext w:val="0"/>
              <w:keepLines w:val="0"/>
              <w:pageBreakBefore w:val="0"/>
              <w:widowControl/>
              <w:shd w:val="clear"/>
              <w:kinsoku/>
              <w:wordWrap/>
              <w:overflowPunct/>
              <w:topLinePunct w:val="0"/>
              <w:autoSpaceDE w:val="0"/>
              <w:autoSpaceDN w:val="0"/>
              <w:bidi w:val="0"/>
              <w:adjustRightInd w:val="0"/>
              <w:snapToGrid/>
              <w:spacing w:line="460" w:lineRule="exact"/>
              <w:jc w:val="center"/>
              <w:textAlignment w:val="auto"/>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 xml:space="preserve">村容          村貌           </w:t>
            </w:r>
          </w:p>
        </w:tc>
        <w:tc>
          <w:tcPr>
            <w:tcW w:w="3758" w:type="dxa"/>
            <w:tcBorders>
              <w:top w:val="single" w:color="auto" w:sz="4" w:space="0"/>
              <w:left w:val="single" w:color="auto" w:sz="4" w:space="0"/>
              <w:bottom w:val="single" w:color="auto" w:sz="4" w:space="0"/>
              <w:right w:val="single" w:color="auto" w:sz="4" w:space="0"/>
            </w:tcBorders>
            <w:noWrap/>
            <w:vAlign w:val="center"/>
          </w:tcPr>
          <w:p w14:paraId="703DE292">
            <w:pPr>
              <w:keepNext w:val="0"/>
              <w:keepLines w:val="0"/>
              <w:pageBreakBefore w:val="0"/>
              <w:widowControl/>
              <w:shd w:val="clear"/>
              <w:kinsoku/>
              <w:wordWrap/>
              <w:overflowPunct/>
              <w:topLinePunct w:val="0"/>
              <w:autoSpaceDE w:val="0"/>
              <w:autoSpaceDN w:val="0"/>
              <w:bidi w:val="0"/>
              <w:adjustRightInd w:val="0"/>
              <w:snapToGrid/>
              <w:spacing w:line="460" w:lineRule="exact"/>
              <w:textAlignment w:val="auto"/>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13.村庄内道路、池塘、水沟、绿化带及公共场所干净整洁，无废弃物。</w:t>
            </w:r>
          </w:p>
        </w:tc>
        <w:tc>
          <w:tcPr>
            <w:tcW w:w="4464" w:type="dxa"/>
            <w:tcBorders>
              <w:top w:val="single" w:color="auto" w:sz="4" w:space="0"/>
              <w:left w:val="single" w:color="auto" w:sz="4" w:space="0"/>
              <w:bottom w:val="single" w:color="auto" w:sz="4" w:space="0"/>
              <w:right w:val="single" w:color="auto" w:sz="4" w:space="0"/>
            </w:tcBorders>
            <w:noWrap/>
            <w:vAlign w:val="center"/>
          </w:tcPr>
          <w:p w14:paraId="7C93EE4A">
            <w:pPr>
              <w:keepNext w:val="0"/>
              <w:keepLines w:val="0"/>
              <w:pageBreakBefore w:val="0"/>
              <w:widowControl/>
              <w:shd w:val="clear"/>
              <w:kinsoku/>
              <w:wordWrap/>
              <w:overflowPunct/>
              <w:topLinePunct w:val="0"/>
              <w:autoSpaceDE w:val="0"/>
              <w:autoSpaceDN w:val="0"/>
              <w:bidi w:val="0"/>
              <w:adjustRightInd w:val="0"/>
              <w:snapToGrid/>
              <w:spacing w:line="460" w:lineRule="exact"/>
              <w:textAlignment w:val="auto"/>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暴露垃圾或水面漂浮物扣0.15-1分/处；发现污水直排或黑臭水域一处扣1分。</w:t>
            </w:r>
          </w:p>
        </w:tc>
        <w:tc>
          <w:tcPr>
            <w:tcW w:w="951" w:type="dxa"/>
            <w:tcBorders>
              <w:top w:val="single" w:color="auto" w:sz="4" w:space="0"/>
              <w:left w:val="single" w:color="auto" w:sz="4" w:space="0"/>
              <w:bottom w:val="single" w:color="auto" w:sz="4" w:space="0"/>
              <w:right w:val="single" w:color="auto" w:sz="4" w:space="0"/>
            </w:tcBorders>
            <w:noWrap/>
            <w:vAlign w:val="center"/>
          </w:tcPr>
          <w:p w14:paraId="185AC72B">
            <w:pPr>
              <w:keepNext w:val="0"/>
              <w:keepLines w:val="0"/>
              <w:pageBreakBefore w:val="0"/>
              <w:widowControl/>
              <w:shd w:val="clear"/>
              <w:kinsoku/>
              <w:wordWrap/>
              <w:overflowPunct/>
              <w:topLinePunct w:val="0"/>
              <w:autoSpaceDE w:val="0"/>
              <w:autoSpaceDN w:val="0"/>
              <w:bidi w:val="0"/>
              <w:adjustRightInd w:val="0"/>
              <w:snapToGrid/>
              <w:spacing w:line="460" w:lineRule="exact"/>
              <w:jc w:val="center"/>
              <w:textAlignment w:val="auto"/>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15</w:t>
            </w:r>
          </w:p>
        </w:tc>
      </w:tr>
      <w:tr w14:paraId="683DC356">
        <w:tblPrEx>
          <w:tblCellMar>
            <w:top w:w="0" w:type="dxa"/>
            <w:left w:w="108" w:type="dxa"/>
            <w:bottom w:w="0" w:type="dxa"/>
            <w:right w:w="108" w:type="dxa"/>
          </w:tblCellMar>
        </w:tblPrEx>
        <w:trPr>
          <w:trHeight w:val="23" w:hRule="atLeast"/>
          <w:jc w:val="center"/>
        </w:trPr>
        <w:tc>
          <w:tcPr>
            <w:tcW w:w="708" w:type="dxa"/>
            <w:vMerge w:val="continue"/>
            <w:tcBorders>
              <w:top w:val="single" w:color="auto" w:sz="4" w:space="0"/>
              <w:left w:val="single" w:color="auto" w:sz="4" w:space="0"/>
              <w:bottom w:val="single" w:color="auto" w:sz="4" w:space="0"/>
              <w:right w:val="single" w:color="auto" w:sz="4" w:space="0"/>
            </w:tcBorders>
            <w:noWrap/>
            <w:vAlign w:val="center"/>
          </w:tcPr>
          <w:p w14:paraId="791F346B">
            <w:pPr>
              <w:keepNext w:val="0"/>
              <w:keepLines w:val="0"/>
              <w:pageBreakBefore w:val="0"/>
              <w:widowControl/>
              <w:shd w:val="clear"/>
              <w:kinsoku/>
              <w:wordWrap/>
              <w:overflowPunct/>
              <w:topLinePunct w:val="0"/>
              <w:autoSpaceDE w:val="0"/>
              <w:autoSpaceDN w:val="0"/>
              <w:bidi w:val="0"/>
              <w:adjustRightInd w:val="0"/>
              <w:snapToGrid/>
              <w:spacing w:line="460" w:lineRule="exact"/>
              <w:jc w:val="center"/>
              <w:textAlignment w:val="auto"/>
              <w:rPr>
                <w:rFonts w:hint="eastAsia" w:ascii="宋体" w:hAnsi="宋体" w:eastAsia="宋体" w:cs="宋体"/>
                <w:color w:val="auto"/>
                <w:kern w:val="0"/>
                <w:sz w:val="21"/>
                <w:szCs w:val="21"/>
                <w:highlight w:val="none"/>
              </w:rPr>
            </w:pPr>
          </w:p>
        </w:tc>
        <w:tc>
          <w:tcPr>
            <w:tcW w:w="3758" w:type="dxa"/>
            <w:tcBorders>
              <w:top w:val="single" w:color="auto" w:sz="4" w:space="0"/>
              <w:left w:val="single" w:color="auto" w:sz="4" w:space="0"/>
              <w:bottom w:val="single" w:color="auto" w:sz="4" w:space="0"/>
              <w:right w:val="single" w:color="auto" w:sz="4" w:space="0"/>
            </w:tcBorders>
            <w:noWrap/>
            <w:vAlign w:val="center"/>
          </w:tcPr>
          <w:p w14:paraId="3F82C156">
            <w:pPr>
              <w:keepNext w:val="0"/>
              <w:keepLines w:val="0"/>
              <w:pageBreakBefore w:val="0"/>
              <w:widowControl/>
              <w:shd w:val="clear"/>
              <w:kinsoku/>
              <w:wordWrap/>
              <w:overflowPunct/>
              <w:topLinePunct w:val="0"/>
              <w:autoSpaceDE w:val="0"/>
              <w:autoSpaceDN w:val="0"/>
              <w:bidi w:val="0"/>
              <w:adjustRightInd w:val="0"/>
              <w:snapToGrid/>
              <w:spacing w:line="460" w:lineRule="exact"/>
              <w:textAlignment w:val="auto"/>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14.村内主要场所、农户房前屋后等位置干净、有序，家禽家畜圈养。</w:t>
            </w:r>
          </w:p>
        </w:tc>
        <w:tc>
          <w:tcPr>
            <w:tcW w:w="4464" w:type="dxa"/>
            <w:tcBorders>
              <w:top w:val="single" w:color="auto" w:sz="4" w:space="0"/>
              <w:left w:val="single" w:color="auto" w:sz="4" w:space="0"/>
              <w:bottom w:val="single" w:color="auto" w:sz="4" w:space="0"/>
              <w:right w:val="single" w:color="auto" w:sz="4" w:space="0"/>
            </w:tcBorders>
            <w:noWrap/>
            <w:vAlign w:val="center"/>
          </w:tcPr>
          <w:p w14:paraId="50F2F5DD">
            <w:pPr>
              <w:keepNext w:val="0"/>
              <w:keepLines w:val="0"/>
              <w:pageBreakBefore w:val="0"/>
              <w:widowControl/>
              <w:shd w:val="clear"/>
              <w:kinsoku/>
              <w:wordWrap/>
              <w:overflowPunct/>
              <w:topLinePunct w:val="0"/>
              <w:autoSpaceDE w:val="0"/>
              <w:autoSpaceDN w:val="0"/>
              <w:bidi w:val="0"/>
              <w:adjustRightInd w:val="0"/>
              <w:snapToGrid/>
              <w:spacing w:line="460" w:lineRule="exact"/>
              <w:textAlignment w:val="auto"/>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乱堆放扣0.5-1分/处，乱贴乱画、乱接乱拉、乱晾乱晒、家禽家畜散养扣0.5分/处。</w:t>
            </w:r>
          </w:p>
        </w:tc>
        <w:tc>
          <w:tcPr>
            <w:tcW w:w="951" w:type="dxa"/>
            <w:tcBorders>
              <w:top w:val="single" w:color="auto" w:sz="4" w:space="0"/>
              <w:left w:val="single" w:color="auto" w:sz="4" w:space="0"/>
              <w:bottom w:val="single" w:color="auto" w:sz="4" w:space="0"/>
              <w:right w:val="single" w:color="auto" w:sz="4" w:space="0"/>
            </w:tcBorders>
            <w:noWrap/>
            <w:vAlign w:val="center"/>
          </w:tcPr>
          <w:p w14:paraId="398DA18A">
            <w:pPr>
              <w:keepNext w:val="0"/>
              <w:keepLines w:val="0"/>
              <w:pageBreakBefore w:val="0"/>
              <w:widowControl/>
              <w:shd w:val="clear"/>
              <w:kinsoku/>
              <w:wordWrap/>
              <w:overflowPunct/>
              <w:topLinePunct w:val="0"/>
              <w:autoSpaceDE w:val="0"/>
              <w:autoSpaceDN w:val="0"/>
              <w:bidi w:val="0"/>
              <w:adjustRightInd w:val="0"/>
              <w:snapToGrid/>
              <w:spacing w:line="460" w:lineRule="exact"/>
              <w:jc w:val="center"/>
              <w:textAlignment w:val="auto"/>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20</w:t>
            </w:r>
          </w:p>
        </w:tc>
      </w:tr>
      <w:tr w14:paraId="078F44BB">
        <w:tblPrEx>
          <w:tblCellMar>
            <w:top w:w="0" w:type="dxa"/>
            <w:left w:w="108" w:type="dxa"/>
            <w:bottom w:w="0" w:type="dxa"/>
            <w:right w:w="108" w:type="dxa"/>
          </w:tblCellMar>
        </w:tblPrEx>
        <w:trPr>
          <w:trHeight w:val="23" w:hRule="atLeast"/>
          <w:jc w:val="center"/>
        </w:trPr>
        <w:tc>
          <w:tcPr>
            <w:tcW w:w="708" w:type="dxa"/>
            <w:vMerge w:val="continue"/>
            <w:tcBorders>
              <w:top w:val="single" w:color="auto" w:sz="4" w:space="0"/>
              <w:left w:val="single" w:color="auto" w:sz="4" w:space="0"/>
              <w:bottom w:val="single" w:color="auto" w:sz="4" w:space="0"/>
              <w:right w:val="single" w:color="auto" w:sz="4" w:space="0"/>
            </w:tcBorders>
            <w:noWrap/>
            <w:vAlign w:val="center"/>
          </w:tcPr>
          <w:p w14:paraId="6493B90E">
            <w:pPr>
              <w:keepNext w:val="0"/>
              <w:keepLines w:val="0"/>
              <w:pageBreakBefore w:val="0"/>
              <w:widowControl/>
              <w:shd w:val="clear"/>
              <w:kinsoku/>
              <w:wordWrap/>
              <w:overflowPunct/>
              <w:topLinePunct w:val="0"/>
              <w:autoSpaceDE w:val="0"/>
              <w:autoSpaceDN w:val="0"/>
              <w:bidi w:val="0"/>
              <w:adjustRightInd w:val="0"/>
              <w:snapToGrid/>
              <w:spacing w:line="460" w:lineRule="exact"/>
              <w:jc w:val="center"/>
              <w:textAlignment w:val="auto"/>
              <w:rPr>
                <w:rFonts w:hint="eastAsia" w:ascii="宋体" w:hAnsi="宋体" w:eastAsia="宋体" w:cs="宋体"/>
                <w:color w:val="auto"/>
                <w:kern w:val="0"/>
                <w:sz w:val="21"/>
                <w:szCs w:val="21"/>
                <w:highlight w:val="none"/>
              </w:rPr>
            </w:pPr>
          </w:p>
        </w:tc>
        <w:tc>
          <w:tcPr>
            <w:tcW w:w="3758" w:type="dxa"/>
            <w:tcBorders>
              <w:top w:val="single" w:color="auto" w:sz="4" w:space="0"/>
              <w:left w:val="single" w:color="auto" w:sz="4" w:space="0"/>
              <w:bottom w:val="single" w:color="auto" w:sz="4" w:space="0"/>
              <w:right w:val="single" w:color="auto" w:sz="4" w:space="0"/>
            </w:tcBorders>
            <w:noWrap/>
            <w:vAlign w:val="center"/>
          </w:tcPr>
          <w:p w14:paraId="10AD9FD5">
            <w:pPr>
              <w:keepNext w:val="0"/>
              <w:keepLines w:val="0"/>
              <w:pageBreakBefore w:val="0"/>
              <w:widowControl/>
              <w:shd w:val="clear"/>
              <w:kinsoku/>
              <w:wordWrap/>
              <w:overflowPunct/>
              <w:topLinePunct w:val="0"/>
              <w:autoSpaceDE w:val="0"/>
              <w:autoSpaceDN w:val="0"/>
              <w:bidi w:val="0"/>
              <w:adjustRightInd w:val="0"/>
              <w:snapToGrid/>
              <w:spacing w:line="460" w:lineRule="exact"/>
              <w:textAlignment w:val="auto"/>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 xml:space="preserve">15.村庄内主要道路、河道两侧及闲置地块等全绿化，做好日常养护。 </w:t>
            </w:r>
          </w:p>
        </w:tc>
        <w:tc>
          <w:tcPr>
            <w:tcW w:w="4464" w:type="dxa"/>
            <w:tcBorders>
              <w:top w:val="single" w:color="auto" w:sz="4" w:space="0"/>
              <w:left w:val="single" w:color="auto" w:sz="4" w:space="0"/>
              <w:bottom w:val="single" w:color="auto" w:sz="4" w:space="0"/>
              <w:right w:val="single" w:color="auto" w:sz="4" w:space="0"/>
            </w:tcBorders>
            <w:noWrap/>
            <w:vAlign w:val="center"/>
          </w:tcPr>
          <w:p w14:paraId="08F36131">
            <w:pPr>
              <w:keepNext w:val="0"/>
              <w:keepLines w:val="0"/>
              <w:pageBreakBefore w:val="0"/>
              <w:widowControl/>
              <w:shd w:val="clear"/>
              <w:kinsoku/>
              <w:wordWrap/>
              <w:overflowPunct/>
              <w:topLinePunct w:val="0"/>
              <w:autoSpaceDE w:val="0"/>
              <w:autoSpaceDN w:val="0"/>
              <w:bidi w:val="0"/>
              <w:adjustRightInd w:val="0"/>
              <w:snapToGrid/>
              <w:spacing w:line="460" w:lineRule="exact"/>
              <w:textAlignment w:val="auto"/>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主干道绿化带未修剪管护，有明显裸露地块，较多死株或杂草一处扣0.5分。</w:t>
            </w:r>
          </w:p>
        </w:tc>
        <w:tc>
          <w:tcPr>
            <w:tcW w:w="951" w:type="dxa"/>
            <w:tcBorders>
              <w:top w:val="single" w:color="auto" w:sz="4" w:space="0"/>
              <w:left w:val="single" w:color="auto" w:sz="4" w:space="0"/>
              <w:bottom w:val="single" w:color="auto" w:sz="4" w:space="0"/>
              <w:right w:val="single" w:color="auto" w:sz="4" w:space="0"/>
            </w:tcBorders>
            <w:noWrap/>
            <w:vAlign w:val="center"/>
          </w:tcPr>
          <w:p w14:paraId="6B8E204B">
            <w:pPr>
              <w:keepNext w:val="0"/>
              <w:keepLines w:val="0"/>
              <w:pageBreakBefore w:val="0"/>
              <w:widowControl/>
              <w:shd w:val="clear"/>
              <w:kinsoku/>
              <w:wordWrap/>
              <w:overflowPunct/>
              <w:topLinePunct w:val="0"/>
              <w:autoSpaceDE w:val="0"/>
              <w:autoSpaceDN w:val="0"/>
              <w:bidi w:val="0"/>
              <w:adjustRightInd w:val="0"/>
              <w:snapToGrid/>
              <w:spacing w:line="460" w:lineRule="exact"/>
              <w:jc w:val="center"/>
              <w:textAlignment w:val="auto"/>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5</w:t>
            </w:r>
          </w:p>
        </w:tc>
      </w:tr>
      <w:tr w14:paraId="0564B711">
        <w:tblPrEx>
          <w:tblCellMar>
            <w:top w:w="0" w:type="dxa"/>
            <w:left w:w="108" w:type="dxa"/>
            <w:bottom w:w="0" w:type="dxa"/>
            <w:right w:w="108" w:type="dxa"/>
          </w:tblCellMar>
        </w:tblPrEx>
        <w:trPr>
          <w:trHeight w:val="23" w:hRule="atLeast"/>
          <w:jc w:val="center"/>
        </w:trPr>
        <w:tc>
          <w:tcPr>
            <w:tcW w:w="708" w:type="dxa"/>
            <w:vMerge w:val="continue"/>
            <w:tcBorders>
              <w:top w:val="single" w:color="auto" w:sz="4" w:space="0"/>
              <w:left w:val="single" w:color="auto" w:sz="4" w:space="0"/>
              <w:bottom w:val="single" w:color="auto" w:sz="4" w:space="0"/>
              <w:right w:val="single" w:color="auto" w:sz="4" w:space="0"/>
            </w:tcBorders>
            <w:noWrap/>
            <w:vAlign w:val="center"/>
          </w:tcPr>
          <w:p w14:paraId="696501B3">
            <w:pPr>
              <w:keepNext w:val="0"/>
              <w:keepLines w:val="0"/>
              <w:pageBreakBefore w:val="0"/>
              <w:widowControl/>
              <w:shd w:val="clear"/>
              <w:kinsoku/>
              <w:wordWrap/>
              <w:overflowPunct/>
              <w:topLinePunct w:val="0"/>
              <w:autoSpaceDE w:val="0"/>
              <w:autoSpaceDN w:val="0"/>
              <w:bidi w:val="0"/>
              <w:adjustRightInd w:val="0"/>
              <w:snapToGrid/>
              <w:spacing w:line="460" w:lineRule="exact"/>
              <w:jc w:val="center"/>
              <w:textAlignment w:val="auto"/>
              <w:rPr>
                <w:rFonts w:hint="eastAsia" w:ascii="宋体" w:hAnsi="宋体" w:eastAsia="宋体" w:cs="宋体"/>
                <w:color w:val="auto"/>
                <w:kern w:val="0"/>
                <w:sz w:val="21"/>
                <w:szCs w:val="21"/>
                <w:highlight w:val="none"/>
              </w:rPr>
            </w:pPr>
          </w:p>
        </w:tc>
        <w:tc>
          <w:tcPr>
            <w:tcW w:w="3758" w:type="dxa"/>
            <w:tcBorders>
              <w:top w:val="single" w:color="auto" w:sz="4" w:space="0"/>
              <w:left w:val="single" w:color="auto" w:sz="4" w:space="0"/>
              <w:bottom w:val="single" w:color="auto" w:sz="4" w:space="0"/>
              <w:right w:val="single" w:color="auto" w:sz="4" w:space="0"/>
            </w:tcBorders>
            <w:noWrap/>
            <w:vAlign w:val="center"/>
          </w:tcPr>
          <w:p w14:paraId="75B219CD">
            <w:pPr>
              <w:keepNext w:val="0"/>
              <w:keepLines w:val="0"/>
              <w:pageBreakBefore w:val="0"/>
              <w:widowControl/>
              <w:shd w:val="clear"/>
              <w:kinsoku/>
              <w:wordWrap/>
              <w:overflowPunct/>
              <w:topLinePunct w:val="0"/>
              <w:autoSpaceDE w:val="0"/>
              <w:autoSpaceDN w:val="0"/>
              <w:bidi w:val="0"/>
              <w:adjustRightInd w:val="0"/>
              <w:snapToGrid/>
              <w:spacing w:line="460" w:lineRule="exact"/>
              <w:textAlignment w:val="auto"/>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16.村庄进出道路沿线及可视区域干净整洁，周边田园无废弃污染物。</w:t>
            </w:r>
          </w:p>
        </w:tc>
        <w:tc>
          <w:tcPr>
            <w:tcW w:w="4464" w:type="dxa"/>
            <w:tcBorders>
              <w:top w:val="single" w:color="auto" w:sz="4" w:space="0"/>
              <w:left w:val="single" w:color="auto" w:sz="4" w:space="0"/>
              <w:bottom w:val="single" w:color="auto" w:sz="4" w:space="0"/>
              <w:right w:val="single" w:color="auto" w:sz="4" w:space="0"/>
            </w:tcBorders>
            <w:noWrap/>
            <w:vAlign w:val="center"/>
          </w:tcPr>
          <w:p w14:paraId="15F2D1A8">
            <w:pPr>
              <w:keepNext w:val="0"/>
              <w:keepLines w:val="0"/>
              <w:pageBreakBefore w:val="0"/>
              <w:widowControl/>
              <w:shd w:val="clear"/>
              <w:kinsoku/>
              <w:wordWrap/>
              <w:overflowPunct/>
              <w:topLinePunct w:val="0"/>
              <w:autoSpaceDE w:val="0"/>
              <w:autoSpaceDN w:val="0"/>
              <w:bidi w:val="0"/>
              <w:adjustRightInd w:val="0"/>
              <w:snapToGrid/>
              <w:spacing w:line="460" w:lineRule="exact"/>
              <w:textAlignment w:val="auto"/>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成堆暴露垃圾一处扣1分；田园废弃物扣0.15-1分/处，焚烧垃圾、秸秆扣2分/处。</w:t>
            </w:r>
          </w:p>
        </w:tc>
        <w:tc>
          <w:tcPr>
            <w:tcW w:w="951" w:type="dxa"/>
            <w:tcBorders>
              <w:top w:val="single" w:color="auto" w:sz="4" w:space="0"/>
              <w:left w:val="single" w:color="auto" w:sz="4" w:space="0"/>
              <w:bottom w:val="single" w:color="auto" w:sz="4" w:space="0"/>
              <w:right w:val="single" w:color="auto" w:sz="4" w:space="0"/>
            </w:tcBorders>
            <w:noWrap/>
            <w:vAlign w:val="center"/>
          </w:tcPr>
          <w:p w14:paraId="2EA3D148">
            <w:pPr>
              <w:keepNext w:val="0"/>
              <w:keepLines w:val="0"/>
              <w:pageBreakBefore w:val="0"/>
              <w:widowControl/>
              <w:shd w:val="clear"/>
              <w:kinsoku/>
              <w:wordWrap/>
              <w:overflowPunct/>
              <w:topLinePunct w:val="0"/>
              <w:autoSpaceDE w:val="0"/>
              <w:autoSpaceDN w:val="0"/>
              <w:bidi w:val="0"/>
              <w:adjustRightInd w:val="0"/>
              <w:snapToGrid/>
              <w:spacing w:line="460" w:lineRule="exact"/>
              <w:jc w:val="center"/>
              <w:textAlignment w:val="auto"/>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10</w:t>
            </w:r>
          </w:p>
        </w:tc>
      </w:tr>
      <w:tr w14:paraId="140967C8">
        <w:tblPrEx>
          <w:tblCellMar>
            <w:top w:w="0" w:type="dxa"/>
            <w:left w:w="108" w:type="dxa"/>
            <w:bottom w:w="0" w:type="dxa"/>
            <w:right w:w="108" w:type="dxa"/>
          </w:tblCellMar>
        </w:tblPrEx>
        <w:trPr>
          <w:trHeight w:val="520" w:hRule="atLeast"/>
          <w:jc w:val="center"/>
        </w:trPr>
        <w:tc>
          <w:tcPr>
            <w:tcW w:w="708" w:type="dxa"/>
            <w:tcBorders>
              <w:top w:val="single" w:color="auto" w:sz="4" w:space="0"/>
              <w:left w:val="single" w:color="auto" w:sz="4" w:space="0"/>
              <w:bottom w:val="single" w:color="auto" w:sz="4" w:space="0"/>
              <w:right w:val="nil"/>
            </w:tcBorders>
            <w:noWrap/>
            <w:vAlign w:val="center"/>
          </w:tcPr>
          <w:p w14:paraId="6768F0CE">
            <w:pPr>
              <w:keepNext w:val="0"/>
              <w:keepLines w:val="0"/>
              <w:pageBreakBefore w:val="0"/>
              <w:widowControl/>
              <w:shd w:val="clear"/>
              <w:kinsoku/>
              <w:wordWrap/>
              <w:overflowPunct/>
              <w:topLinePunct w:val="0"/>
              <w:autoSpaceDE w:val="0"/>
              <w:autoSpaceDN w:val="0"/>
              <w:bidi w:val="0"/>
              <w:adjustRightInd w:val="0"/>
              <w:snapToGrid/>
              <w:spacing w:line="460" w:lineRule="exact"/>
              <w:jc w:val="center"/>
              <w:textAlignment w:val="auto"/>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总分</w:t>
            </w:r>
          </w:p>
        </w:tc>
        <w:tc>
          <w:tcPr>
            <w:tcW w:w="3758" w:type="dxa"/>
            <w:tcBorders>
              <w:top w:val="single" w:color="auto" w:sz="4" w:space="0"/>
              <w:left w:val="single" w:color="auto" w:sz="4" w:space="0"/>
              <w:bottom w:val="single" w:color="auto" w:sz="4" w:space="0"/>
              <w:right w:val="single" w:color="auto" w:sz="4" w:space="0"/>
            </w:tcBorders>
            <w:noWrap/>
            <w:vAlign w:val="center"/>
          </w:tcPr>
          <w:p w14:paraId="35C16CAC">
            <w:pPr>
              <w:keepNext w:val="0"/>
              <w:keepLines w:val="0"/>
              <w:pageBreakBefore w:val="0"/>
              <w:widowControl/>
              <w:shd w:val="clear"/>
              <w:kinsoku/>
              <w:wordWrap/>
              <w:overflowPunct/>
              <w:topLinePunct w:val="0"/>
              <w:autoSpaceDE w:val="0"/>
              <w:autoSpaceDN w:val="0"/>
              <w:bidi w:val="0"/>
              <w:adjustRightInd w:val="0"/>
              <w:snapToGrid/>
              <w:spacing w:line="460" w:lineRule="exact"/>
              <w:jc w:val="center"/>
              <w:textAlignment w:val="auto"/>
              <w:rPr>
                <w:rFonts w:hint="eastAsia" w:ascii="宋体" w:hAnsi="宋体" w:eastAsia="宋体" w:cs="宋体"/>
                <w:color w:val="auto"/>
                <w:kern w:val="0"/>
                <w:sz w:val="21"/>
                <w:szCs w:val="21"/>
                <w:highlight w:val="none"/>
              </w:rPr>
            </w:pPr>
          </w:p>
        </w:tc>
        <w:tc>
          <w:tcPr>
            <w:tcW w:w="4464" w:type="dxa"/>
            <w:tcBorders>
              <w:top w:val="single" w:color="auto" w:sz="4" w:space="0"/>
              <w:left w:val="nil"/>
              <w:bottom w:val="single" w:color="auto" w:sz="4" w:space="0"/>
              <w:right w:val="single" w:color="auto" w:sz="4" w:space="0"/>
            </w:tcBorders>
            <w:noWrap/>
            <w:vAlign w:val="center"/>
          </w:tcPr>
          <w:p w14:paraId="680F2775">
            <w:pPr>
              <w:keepNext w:val="0"/>
              <w:keepLines w:val="0"/>
              <w:pageBreakBefore w:val="0"/>
              <w:widowControl/>
              <w:shd w:val="clear"/>
              <w:kinsoku/>
              <w:wordWrap/>
              <w:overflowPunct/>
              <w:topLinePunct w:val="0"/>
              <w:autoSpaceDE w:val="0"/>
              <w:autoSpaceDN w:val="0"/>
              <w:bidi w:val="0"/>
              <w:adjustRightInd w:val="0"/>
              <w:snapToGrid/>
              <w:spacing w:line="460" w:lineRule="exact"/>
              <w:jc w:val="center"/>
              <w:textAlignment w:val="auto"/>
              <w:rPr>
                <w:rFonts w:hint="eastAsia" w:ascii="宋体" w:hAnsi="宋体" w:eastAsia="宋体" w:cs="宋体"/>
                <w:color w:val="auto"/>
                <w:kern w:val="0"/>
                <w:sz w:val="21"/>
                <w:szCs w:val="21"/>
                <w:highlight w:val="none"/>
              </w:rPr>
            </w:pPr>
          </w:p>
        </w:tc>
        <w:tc>
          <w:tcPr>
            <w:tcW w:w="951" w:type="dxa"/>
            <w:tcBorders>
              <w:top w:val="single" w:color="auto" w:sz="4" w:space="0"/>
              <w:left w:val="nil"/>
              <w:bottom w:val="single" w:color="auto" w:sz="4" w:space="0"/>
              <w:right w:val="single" w:color="auto" w:sz="4" w:space="0"/>
            </w:tcBorders>
            <w:noWrap/>
            <w:vAlign w:val="center"/>
          </w:tcPr>
          <w:p w14:paraId="0A09A612">
            <w:pPr>
              <w:keepNext w:val="0"/>
              <w:keepLines w:val="0"/>
              <w:pageBreakBefore w:val="0"/>
              <w:widowControl/>
              <w:shd w:val="clear"/>
              <w:kinsoku/>
              <w:wordWrap/>
              <w:overflowPunct/>
              <w:topLinePunct w:val="0"/>
              <w:autoSpaceDE w:val="0"/>
              <w:autoSpaceDN w:val="0"/>
              <w:bidi w:val="0"/>
              <w:adjustRightInd w:val="0"/>
              <w:snapToGrid/>
              <w:spacing w:line="460" w:lineRule="exact"/>
              <w:jc w:val="center"/>
              <w:textAlignment w:val="auto"/>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shd w:val="clear" w:color="auto" w:fill="auto"/>
              </w:rPr>
              <w:fldChar w:fldCharType="begin"/>
            </w:r>
            <w:r>
              <w:rPr>
                <w:rFonts w:hint="eastAsia" w:ascii="宋体" w:hAnsi="宋体" w:eastAsia="宋体" w:cs="宋体"/>
                <w:color w:val="auto"/>
                <w:kern w:val="0"/>
                <w:sz w:val="21"/>
                <w:szCs w:val="21"/>
                <w:highlight w:val="none"/>
                <w:shd w:val="clear" w:color="auto" w:fill="auto"/>
              </w:rPr>
              <w:instrText xml:space="preserve"> =SUM(ABOVE) </w:instrText>
            </w:r>
            <w:r>
              <w:rPr>
                <w:rFonts w:hint="eastAsia" w:ascii="宋体" w:hAnsi="宋体" w:eastAsia="宋体" w:cs="宋体"/>
                <w:color w:val="auto"/>
                <w:kern w:val="0"/>
                <w:sz w:val="21"/>
                <w:szCs w:val="21"/>
                <w:highlight w:val="none"/>
                <w:shd w:val="clear" w:color="auto" w:fill="auto"/>
              </w:rPr>
              <w:fldChar w:fldCharType="separate"/>
            </w:r>
            <w:r>
              <w:rPr>
                <w:rFonts w:hint="eastAsia" w:ascii="宋体" w:hAnsi="宋体" w:eastAsia="宋体" w:cs="宋体"/>
                <w:color w:val="auto"/>
                <w:kern w:val="0"/>
                <w:sz w:val="21"/>
                <w:szCs w:val="21"/>
                <w:highlight w:val="none"/>
                <w:shd w:val="clear" w:color="auto" w:fill="auto"/>
              </w:rPr>
              <w:t>98</w:t>
            </w:r>
            <w:r>
              <w:rPr>
                <w:rFonts w:hint="eastAsia" w:ascii="宋体" w:hAnsi="宋体" w:eastAsia="宋体" w:cs="宋体"/>
                <w:color w:val="auto"/>
                <w:kern w:val="0"/>
                <w:sz w:val="21"/>
                <w:szCs w:val="21"/>
                <w:highlight w:val="none"/>
                <w:shd w:val="clear" w:color="auto" w:fill="auto"/>
              </w:rPr>
              <w:fldChar w:fldCharType="end"/>
            </w:r>
          </w:p>
        </w:tc>
      </w:tr>
    </w:tbl>
    <w:p w14:paraId="6BF5A893">
      <w:pPr>
        <w:keepNext w:val="0"/>
        <w:keepLines w:val="0"/>
        <w:pageBreakBefore w:val="0"/>
        <w:widowControl w:val="0"/>
        <w:shd w:val="clear"/>
        <w:kinsoku/>
        <w:wordWrap/>
        <w:overflowPunct/>
        <w:topLinePunct w:val="0"/>
        <w:autoSpaceDE w:val="0"/>
        <w:autoSpaceDN w:val="0"/>
        <w:bidi w:val="0"/>
        <w:adjustRightInd/>
        <w:snapToGrid/>
        <w:spacing w:before="0" w:after="0" w:line="500" w:lineRule="exact"/>
        <w:ind w:left="0" w:leftChars="0" w:right="0" w:firstLine="420" w:firstLineChars="200"/>
        <w:jc w:val="both"/>
        <w:textAlignment w:val="auto"/>
        <w:rPr>
          <w:rFonts w:hint="default" w:ascii="宋体" w:hAnsi="宋体" w:eastAsia="宋体" w:cs="宋体"/>
          <w:color w:val="auto"/>
          <w:kern w:val="2"/>
          <w:sz w:val="21"/>
          <w:szCs w:val="21"/>
          <w:highlight w:val="none"/>
          <w:lang w:val="en-US" w:eastAsia="zh-CN" w:bidi="ar-SA"/>
        </w:rPr>
      </w:pPr>
      <w:r>
        <w:rPr>
          <w:rFonts w:hint="eastAsia" w:hAnsi="宋体" w:cs="宋体"/>
          <w:color w:val="auto"/>
          <w:kern w:val="2"/>
          <w:sz w:val="21"/>
          <w:szCs w:val="21"/>
          <w:highlight w:val="none"/>
          <w:lang w:val="en-US" w:eastAsia="zh-CN" w:bidi="ar-SA"/>
        </w:rPr>
        <w:t>注：如上级评估政策调整，供应商须无条件配合采购人调整上表相应评估内容。</w:t>
      </w:r>
    </w:p>
    <w:p w14:paraId="45EB5104">
      <w:pPr>
        <w:shd w:val="clear"/>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br w:type="page"/>
      </w:r>
    </w:p>
    <w:p w14:paraId="7029D01D">
      <w:pPr>
        <w:keepNext w:val="0"/>
        <w:keepLines w:val="0"/>
        <w:pageBreakBefore w:val="0"/>
        <w:widowControl w:val="0"/>
        <w:shd w:val="clear"/>
        <w:kinsoku/>
        <w:wordWrap/>
        <w:overflowPunct/>
        <w:topLinePunct w:val="0"/>
        <w:autoSpaceDE w:val="0"/>
        <w:autoSpaceDN w:val="0"/>
        <w:bidi w:val="0"/>
        <w:adjustRightInd/>
        <w:snapToGrid/>
        <w:spacing w:before="0" w:after="0" w:line="500" w:lineRule="exact"/>
        <w:ind w:left="0" w:leftChars="0" w:right="0" w:firstLine="420" w:firstLineChars="200"/>
        <w:jc w:val="both"/>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 xml:space="preserve">附件2 </w:t>
      </w:r>
    </w:p>
    <w:p w14:paraId="64A2C0D2">
      <w:pPr>
        <w:keepNext w:val="0"/>
        <w:keepLines w:val="0"/>
        <w:pageBreakBefore w:val="0"/>
        <w:widowControl/>
        <w:shd w:val="clear"/>
        <w:kinsoku/>
        <w:wordWrap/>
        <w:overflowPunct/>
        <w:topLinePunct w:val="0"/>
        <w:autoSpaceDE/>
        <w:autoSpaceDN/>
        <w:bidi w:val="0"/>
        <w:adjustRightInd/>
        <w:snapToGrid/>
        <w:spacing w:before="0" w:beforeAutospacing="0" w:after="0" w:afterAutospacing="0" w:line="500" w:lineRule="exact"/>
        <w:ind w:left="0" w:leftChars="0" w:right="0" w:rightChars="0" w:firstLine="0" w:firstLineChars="0"/>
        <w:jc w:val="center"/>
        <w:textAlignment w:val="auto"/>
        <w:rPr>
          <w:rFonts w:hint="eastAsia" w:ascii="宋体" w:hAnsi="宋体" w:eastAsia="宋体" w:cs="宋体"/>
          <w:color w:val="auto"/>
          <w:sz w:val="21"/>
          <w:szCs w:val="21"/>
          <w:highlight w:val="none"/>
          <w:shd w:val="clear" w:color="auto" w:fill="FFFFFF"/>
          <w:lang w:val="en-US" w:eastAsia="zh-CN" w:bidi="ar-SA"/>
        </w:rPr>
      </w:pPr>
      <w:r>
        <w:rPr>
          <w:rFonts w:hint="eastAsia" w:ascii="宋体" w:hAnsi="宋体" w:eastAsia="宋体" w:cs="宋体"/>
          <w:b/>
          <w:bCs/>
          <w:color w:val="auto"/>
          <w:spacing w:val="6"/>
          <w:sz w:val="32"/>
          <w:szCs w:val="32"/>
          <w:highlight w:val="none"/>
          <w:shd w:val="clear" w:color="auto" w:fill="FFFFFF"/>
          <w:lang w:val="en-US" w:eastAsia="zh-CN" w:bidi="ar-SA"/>
        </w:rPr>
        <w:t>廉 洁 承 诺 书</w:t>
      </w:r>
      <w:r>
        <w:rPr>
          <w:rFonts w:hint="eastAsia" w:ascii="宋体" w:hAnsi="宋体" w:eastAsia="宋体" w:cs="宋体"/>
          <w:color w:val="auto"/>
          <w:sz w:val="21"/>
          <w:szCs w:val="21"/>
          <w:highlight w:val="none"/>
          <w:shd w:val="clear" w:color="auto" w:fill="FFFFFF"/>
          <w:lang w:val="en-US" w:eastAsia="zh-CN" w:bidi="ar-SA"/>
        </w:rPr>
        <w:t> </w:t>
      </w:r>
    </w:p>
    <w:p w14:paraId="3A7EB0E8">
      <w:pPr>
        <w:keepNext w:val="0"/>
        <w:keepLines w:val="0"/>
        <w:pageBreakBefore w:val="0"/>
        <w:widowControl w:val="0"/>
        <w:shd w:val="clear"/>
        <w:kinsoku/>
        <w:wordWrap/>
        <w:overflowPunct/>
        <w:topLinePunct w:val="0"/>
        <w:autoSpaceDE w:val="0"/>
        <w:autoSpaceDN w:val="0"/>
        <w:bidi w:val="0"/>
        <w:adjustRightInd/>
        <w:snapToGrid/>
        <w:spacing w:before="0" w:after="0" w:line="500" w:lineRule="exact"/>
        <w:ind w:left="0" w:leftChars="0" w:right="0" w:firstLine="420" w:firstLineChars="200"/>
        <w:jc w:val="both"/>
        <w:textAlignment w:val="auto"/>
        <w:rPr>
          <w:rFonts w:hint="eastAsia" w:ascii="宋体" w:hAnsi="宋体" w:eastAsia="宋体" w:cs="宋体"/>
          <w:color w:val="auto"/>
          <w:kern w:val="2"/>
          <w:sz w:val="21"/>
          <w:szCs w:val="21"/>
          <w:highlight w:val="none"/>
          <w:lang w:val="en-US" w:eastAsia="zh-CN" w:bidi="ar-SA"/>
        </w:rPr>
      </w:pPr>
    </w:p>
    <w:p w14:paraId="1564471F">
      <w:pPr>
        <w:keepNext w:val="0"/>
        <w:keepLines w:val="0"/>
        <w:pageBreakBefore w:val="0"/>
        <w:shd w:val="clear"/>
        <w:kinsoku/>
        <w:wordWrap/>
        <w:overflowPunct/>
        <w:topLinePunct w:val="0"/>
        <w:bidi w:val="0"/>
        <w:snapToGrid/>
        <w:spacing w:line="500" w:lineRule="exact"/>
        <w:ind w:right="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为全面履行</w:t>
      </w:r>
      <w:r>
        <w:rPr>
          <w:rFonts w:hint="eastAsia" w:ascii="宋体" w:hAnsi="宋体" w:eastAsia="宋体" w:cs="宋体"/>
          <w:color w:val="auto"/>
          <w:sz w:val="21"/>
          <w:szCs w:val="21"/>
          <w:highlight w:val="none"/>
          <w:lang w:eastAsia="zh-CN"/>
        </w:rPr>
        <w:t>2025-2026年婺城区农村人居环境长效管理第三方机构评估服务项目</w:t>
      </w:r>
      <w:r>
        <w:rPr>
          <w:rFonts w:hint="eastAsia" w:ascii="宋体" w:hAnsi="宋体" w:eastAsia="宋体" w:cs="宋体"/>
          <w:color w:val="auto"/>
          <w:sz w:val="21"/>
          <w:szCs w:val="21"/>
          <w:highlight w:val="none"/>
        </w:rPr>
        <w:t>合同约定，有效预防和禁止商业贿赂、腐败及其他不正当行为的发生，维护</w:t>
      </w:r>
      <w:r>
        <w:rPr>
          <w:rFonts w:hint="eastAsia" w:hAnsi="宋体" w:cs="宋体"/>
          <w:color w:val="auto"/>
          <w:sz w:val="21"/>
          <w:szCs w:val="21"/>
          <w:highlight w:val="none"/>
          <w:lang w:eastAsia="zh-CN"/>
        </w:rPr>
        <w:t>评估</w:t>
      </w:r>
      <w:r>
        <w:rPr>
          <w:rFonts w:hint="eastAsia" w:ascii="宋体" w:hAnsi="宋体" w:eastAsia="宋体" w:cs="宋体"/>
          <w:color w:val="auto"/>
          <w:sz w:val="21"/>
          <w:szCs w:val="21"/>
          <w:highlight w:val="none"/>
        </w:rPr>
        <w:t xml:space="preserve">工作的有序进行，根据国家相关法律法规，我公司特向金华市婺城区乡村建设指导中心出具以下不可撤销承诺，作为本项目采购合同附件，与协议具有同等法律效力。    </w:t>
      </w:r>
    </w:p>
    <w:p w14:paraId="654ECCA6">
      <w:pPr>
        <w:keepNext w:val="0"/>
        <w:keepLines w:val="0"/>
        <w:pageBreakBefore w:val="0"/>
        <w:shd w:val="clear"/>
        <w:kinsoku/>
        <w:wordWrap/>
        <w:overflowPunct/>
        <w:topLinePunct w:val="0"/>
        <w:bidi w:val="0"/>
        <w:snapToGrid/>
        <w:spacing w:line="500" w:lineRule="exact"/>
        <w:ind w:right="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1、在</w:t>
      </w:r>
      <w:r>
        <w:rPr>
          <w:rFonts w:hint="eastAsia" w:hAnsi="宋体" w:cs="宋体"/>
          <w:color w:val="auto"/>
          <w:sz w:val="21"/>
          <w:szCs w:val="21"/>
          <w:highlight w:val="none"/>
          <w:lang w:eastAsia="zh-CN"/>
        </w:rPr>
        <w:t>评估</w:t>
      </w:r>
      <w:r>
        <w:rPr>
          <w:rFonts w:hint="eastAsia" w:ascii="宋体" w:hAnsi="宋体" w:eastAsia="宋体" w:cs="宋体"/>
          <w:color w:val="auto"/>
          <w:sz w:val="21"/>
          <w:szCs w:val="21"/>
          <w:highlight w:val="none"/>
        </w:rPr>
        <w:t>过程中，严格遵守国家有关的法律法规及廉洁从业规定，坚持公开、公平、公正、诚实信用原则，不损害国家、社会公共利益，切实落实</w:t>
      </w:r>
      <w:r>
        <w:rPr>
          <w:rFonts w:hint="eastAsia" w:hAnsi="宋体" w:cs="宋体"/>
          <w:color w:val="auto"/>
          <w:sz w:val="21"/>
          <w:szCs w:val="21"/>
          <w:highlight w:val="none"/>
          <w:lang w:eastAsia="zh-CN"/>
        </w:rPr>
        <w:t>评估</w:t>
      </w:r>
      <w:r>
        <w:rPr>
          <w:rFonts w:hint="eastAsia" w:ascii="宋体" w:hAnsi="宋体" w:eastAsia="宋体" w:cs="宋体"/>
          <w:color w:val="auto"/>
          <w:sz w:val="21"/>
          <w:szCs w:val="21"/>
          <w:highlight w:val="none"/>
        </w:rPr>
        <w:t>职责。 </w:t>
      </w:r>
    </w:p>
    <w:p w14:paraId="42927532">
      <w:pPr>
        <w:keepNext w:val="0"/>
        <w:keepLines w:val="0"/>
        <w:pageBreakBefore w:val="0"/>
        <w:shd w:val="clear"/>
        <w:kinsoku/>
        <w:wordWrap/>
        <w:overflowPunct/>
        <w:topLinePunct w:val="0"/>
        <w:bidi w:val="0"/>
        <w:snapToGrid/>
        <w:spacing w:line="500" w:lineRule="exact"/>
        <w:ind w:right="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2、我公司（含我公司工作人员，下同）承诺不接受被</w:t>
      </w:r>
      <w:r>
        <w:rPr>
          <w:rFonts w:hint="eastAsia" w:hAnsi="宋体" w:cs="宋体"/>
          <w:color w:val="auto"/>
          <w:sz w:val="21"/>
          <w:szCs w:val="21"/>
          <w:highlight w:val="none"/>
          <w:lang w:eastAsia="zh-CN"/>
        </w:rPr>
        <w:t>评估</w:t>
      </w:r>
      <w:r>
        <w:rPr>
          <w:rFonts w:hint="eastAsia" w:ascii="宋体" w:hAnsi="宋体" w:eastAsia="宋体" w:cs="宋体"/>
          <w:color w:val="auto"/>
          <w:sz w:val="21"/>
          <w:szCs w:val="21"/>
          <w:highlight w:val="none"/>
        </w:rPr>
        <w:t>对象单位（含工作人员的配偶、子女及亲属，下同）行贿或馈赠，包括但不限于现金、礼金、贵重礼品、物品、购物卡、消费卡和有价证券等。 </w:t>
      </w:r>
    </w:p>
    <w:p w14:paraId="0716B956">
      <w:pPr>
        <w:keepNext w:val="0"/>
        <w:keepLines w:val="0"/>
        <w:pageBreakBefore w:val="0"/>
        <w:shd w:val="clear"/>
        <w:kinsoku/>
        <w:wordWrap/>
        <w:overflowPunct/>
        <w:topLinePunct w:val="0"/>
        <w:bidi w:val="0"/>
        <w:snapToGrid/>
        <w:spacing w:line="500" w:lineRule="exact"/>
        <w:ind w:right="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3、我公司承诺不接受被</w:t>
      </w:r>
      <w:r>
        <w:rPr>
          <w:rFonts w:hint="eastAsia" w:hAnsi="宋体" w:cs="宋体"/>
          <w:color w:val="auto"/>
          <w:sz w:val="21"/>
          <w:szCs w:val="21"/>
          <w:highlight w:val="none"/>
          <w:lang w:eastAsia="zh-CN"/>
        </w:rPr>
        <w:t>评估</w:t>
      </w:r>
      <w:r>
        <w:rPr>
          <w:rFonts w:hint="eastAsia" w:ascii="宋体" w:hAnsi="宋体" w:eastAsia="宋体" w:cs="宋体"/>
          <w:color w:val="auto"/>
          <w:sz w:val="21"/>
          <w:szCs w:val="21"/>
          <w:highlight w:val="none"/>
        </w:rPr>
        <w:t>对象单位提供宴请、联谊活动、度假、旅游、考察和参观等活动，以及营业性娱乐场所（包括但不限于营业性的歌厅、舞厅、卡拉OK厅和夜总会等）消费。 </w:t>
      </w:r>
    </w:p>
    <w:p w14:paraId="520768D0">
      <w:pPr>
        <w:keepNext w:val="0"/>
        <w:keepLines w:val="0"/>
        <w:pageBreakBefore w:val="0"/>
        <w:shd w:val="clear"/>
        <w:kinsoku/>
        <w:wordWrap/>
        <w:overflowPunct/>
        <w:topLinePunct w:val="0"/>
        <w:bidi w:val="0"/>
        <w:snapToGrid/>
        <w:spacing w:line="500" w:lineRule="exact"/>
        <w:ind w:right="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4、我公司（含利益相关单位）承诺坚决杜绝参与被</w:t>
      </w:r>
      <w:r>
        <w:rPr>
          <w:rFonts w:hint="eastAsia" w:hAnsi="宋体" w:cs="宋体"/>
          <w:color w:val="auto"/>
          <w:sz w:val="21"/>
          <w:szCs w:val="21"/>
          <w:highlight w:val="none"/>
          <w:lang w:eastAsia="zh-CN"/>
        </w:rPr>
        <w:t>评估</w:t>
      </w:r>
      <w:r>
        <w:rPr>
          <w:rFonts w:hint="eastAsia" w:ascii="宋体" w:hAnsi="宋体" w:eastAsia="宋体" w:cs="宋体"/>
          <w:color w:val="auto"/>
          <w:sz w:val="21"/>
          <w:szCs w:val="21"/>
          <w:highlight w:val="none"/>
        </w:rPr>
        <w:t>对象（含有相关利益的单位）的环卫保洁、垃圾清运等工作，杜绝与被</w:t>
      </w:r>
      <w:r>
        <w:rPr>
          <w:rFonts w:hint="eastAsia" w:hAnsi="宋体" w:cs="宋体"/>
          <w:color w:val="auto"/>
          <w:sz w:val="21"/>
          <w:szCs w:val="21"/>
          <w:highlight w:val="none"/>
          <w:lang w:eastAsia="zh-CN"/>
        </w:rPr>
        <w:t>评估</w:t>
      </w:r>
      <w:r>
        <w:rPr>
          <w:rFonts w:hint="eastAsia" w:ascii="宋体" w:hAnsi="宋体" w:eastAsia="宋体" w:cs="宋体"/>
          <w:color w:val="auto"/>
          <w:sz w:val="21"/>
          <w:szCs w:val="21"/>
          <w:highlight w:val="none"/>
        </w:rPr>
        <w:t>单位串通应付</w:t>
      </w:r>
      <w:r>
        <w:rPr>
          <w:rFonts w:hint="eastAsia" w:hAnsi="宋体" w:cs="宋体"/>
          <w:color w:val="auto"/>
          <w:sz w:val="21"/>
          <w:szCs w:val="21"/>
          <w:highlight w:val="none"/>
          <w:lang w:eastAsia="zh-CN"/>
        </w:rPr>
        <w:t>评估</w:t>
      </w:r>
      <w:r>
        <w:rPr>
          <w:rFonts w:hint="eastAsia" w:ascii="宋体" w:hAnsi="宋体" w:eastAsia="宋体" w:cs="宋体"/>
          <w:color w:val="auto"/>
          <w:sz w:val="21"/>
          <w:szCs w:val="21"/>
          <w:highlight w:val="none"/>
        </w:rPr>
        <w:t>等行为的发生。</w:t>
      </w:r>
    </w:p>
    <w:p w14:paraId="5C97D918">
      <w:pPr>
        <w:keepNext w:val="0"/>
        <w:keepLines w:val="0"/>
        <w:pageBreakBefore w:val="0"/>
        <w:shd w:val="clear"/>
        <w:kinsoku/>
        <w:wordWrap/>
        <w:overflowPunct/>
        <w:topLinePunct w:val="0"/>
        <w:bidi w:val="0"/>
        <w:snapToGrid/>
        <w:spacing w:line="500" w:lineRule="exact"/>
        <w:ind w:right="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5、如我公司违反承诺规定的，视情况严重程度，按照下列规定处罚：</w:t>
      </w:r>
    </w:p>
    <w:p w14:paraId="24579E55">
      <w:pPr>
        <w:keepNext w:val="0"/>
        <w:keepLines w:val="0"/>
        <w:pageBreakBefore w:val="0"/>
        <w:shd w:val="clear"/>
        <w:kinsoku/>
        <w:wordWrap/>
        <w:overflowPunct/>
        <w:topLinePunct w:val="0"/>
        <w:bidi w:val="0"/>
        <w:snapToGrid/>
        <w:spacing w:line="500" w:lineRule="exact"/>
        <w:ind w:right="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（1）发生一次以上情况，自愿接受5000元罚款；</w:t>
      </w:r>
    </w:p>
    <w:p w14:paraId="4A2BFE60">
      <w:pPr>
        <w:keepNext w:val="0"/>
        <w:keepLines w:val="0"/>
        <w:pageBreakBefore w:val="0"/>
        <w:shd w:val="clear"/>
        <w:kinsoku/>
        <w:wordWrap/>
        <w:overflowPunct/>
        <w:topLinePunct w:val="0"/>
        <w:bidi w:val="0"/>
        <w:snapToGrid/>
        <w:spacing w:line="500" w:lineRule="exact"/>
        <w:ind w:right="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（2）采购人有权单方面终止本项目合同，且由我公司承担所有损失。</w:t>
      </w:r>
    </w:p>
    <w:p w14:paraId="57BA3AC8">
      <w:pPr>
        <w:keepNext w:val="0"/>
        <w:keepLines w:val="0"/>
        <w:pageBreakBefore w:val="0"/>
        <w:shd w:val="clear"/>
        <w:kinsoku/>
        <w:wordWrap/>
        <w:overflowPunct/>
        <w:topLinePunct w:val="0"/>
        <w:bidi w:val="0"/>
        <w:snapToGrid/>
        <w:spacing w:line="500" w:lineRule="exact"/>
        <w:ind w:right="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本承诺书自我公司法定代表人或授权代表签字并加盖我公司公章后生效。 </w:t>
      </w:r>
    </w:p>
    <w:p w14:paraId="4322AC18">
      <w:pPr>
        <w:keepNext w:val="0"/>
        <w:keepLines w:val="0"/>
        <w:pageBreakBefore w:val="0"/>
        <w:shd w:val="clear"/>
        <w:kinsoku/>
        <w:wordWrap/>
        <w:overflowPunct/>
        <w:topLinePunct w:val="0"/>
        <w:bidi w:val="0"/>
        <w:snapToGrid/>
        <w:spacing w:line="500" w:lineRule="exact"/>
        <w:ind w:right="0" w:firstLine="420" w:firstLineChars="200"/>
        <w:textAlignment w:val="auto"/>
        <w:rPr>
          <w:rFonts w:hint="eastAsia" w:ascii="宋体" w:hAnsi="宋体" w:eastAsia="宋体" w:cs="宋体"/>
          <w:color w:val="auto"/>
          <w:sz w:val="21"/>
          <w:szCs w:val="21"/>
          <w:highlight w:val="none"/>
        </w:rPr>
      </w:pPr>
    </w:p>
    <w:p w14:paraId="2B6252CA">
      <w:pPr>
        <w:keepNext w:val="0"/>
        <w:keepLines w:val="0"/>
        <w:pageBreakBefore w:val="0"/>
        <w:shd w:val="clear"/>
        <w:kinsoku/>
        <w:wordWrap/>
        <w:overflowPunct/>
        <w:topLinePunct w:val="0"/>
        <w:bidi w:val="0"/>
        <w:snapToGrid/>
        <w:spacing w:line="500" w:lineRule="exact"/>
        <w:ind w:right="0" w:firstLine="420" w:firstLineChars="200"/>
        <w:textAlignment w:val="auto"/>
        <w:rPr>
          <w:rFonts w:hint="eastAsia" w:ascii="宋体" w:hAnsi="宋体" w:eastAsia="宋体" w:cs="宋体"/>
          <w:color w:val="auto"/>
          <w:sz w:val="21"/>
          <w:szCs w:val="21"/>
          <w:highlight w:val="none"/>
        </w:rPr>
      </w:pPr>
    </w:p>
    <w:p w14:paraId="6C8A3AAA">
      <w:pPr>
        <w:keepNext w:val="0"/>
        <w:keepLines w:val="0"/>
        <w:pageBreakBefore w:val="0"/>
        <w:shd w:val="clear"/>
        <w:kinsoku/>
        <w:wordWrap/>
        <w:overflowPunct/>
        <w:topLinePunct w:val="0"/>
        <w:bidi w:val="0"/>
        <w:snapToGrid/>
        <w:spacing w:line="500" w:lineRule="exact"/>
        <w:ind w:right="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承诺人（盖章）： </w:t>
      </w:r>
    </w:p>
    <w:p w14:paraId="2A24C457">
      <w:pPr>
        <w:keepNext w:val="0"/>
        <w:keepLines w:val="0"/>
        <w:pageBreakBefore w:val="0"/>
        <w:widowControl w:val="0"/>
        <w:shd w:val="clear"/>
        <w:kinsoku/>
        <w:wordWrap/>
        <w:overflowPunct/>
        <w:topLinePunct w:val="0"/>
        <w:autoSpaceDE w:val="0"/>
        <w:autoSpaceDN w:val="0"/>
        <w:bidi w:val="0"/>
        <w:adjustRightInd w:val="0"/>
        <w:snapToGrid/>
        <w:spacing w:line="500" w:lineRule="exact"/>
        <w:ind w:firstLine="420" w:firstLineChars="200"/>
        <w:textAlignment w:val="auto"/>
        <w:rPr>
          <w:rFonts w:hint="eastAsia" w:ascii="宋体" w:hAnsi="宋体" w:eastAsia="宋体" w:cs="宋体"/>
          <w:b/>
          <w:bCs/>
          <w:color w:val="auto"/>
          <w:sz w:val="21"/>
          <w:szCs w:val="21"/>
          <w:highlight w:val="none"/>
          <w:lang w:val="en-US" w:eastAsia="zh-CN"/>
        </w:rPr>
      </w:pPr>
      <w:r>
        <w:rPr>
          <w:rFonts w:hint="eastAsia" w:ascii="宋体" w:hAnsi="宋体" w:eastAsia="宋体" w:cs="宋体"/>
          <w:color w:val="auto"/>
          <w:sz w:val="21"/>
          <w:szCs w:val="21"/>
          <w:highlight w:val="none"/>
        </w:rPr>
        <w:t>年    月   日</w:t>
      </w:r>
    </w:p>
    <w:bookmarkEnd w:id="36"/>
    <w:bookmarkEnd w:id="37"/>
    <w:bookmarkEnd w:id="38"/>
    <w:bookmarkEnd w:id="39"/>
    <w:bookmarkEnd w:id="40"/>
    <w:bookmarkEnd w:id="41"/>
    <w:bookmarkEnd w:id="42"/>
    <w:bookmarkEnd w:id="43"/>
    <w:bookmarkEnd w:id="44"/>
    <w:bookmarkEnd w:id="45"/>
    <w:bookmarkEnd w:id="46"/>
    <w:bookmarkEnd w:id="47"/>
    <w:bookmarkEnd w:id="48"/>
    <w:bookmarkEnd w:id="49"/>
    <w:bookmarkEnd w:id="50"/>
    <w:bookmarkEnd w:id="51"/>
    <w:bookmarkEnd w:id="52"/>
    <w:p w14:paraId="46E4328F">
      <w:pPr>
        <w:shd w:val="clear"/>
        <w:rPr>
          <w:rFonts w:hint="eastAsia" w:hAnsi="宋体" w:cs="宋体"/>
          <w:b/>
          <w:color w:val="auto"/>
          <w:sz w:val="30"/>
          <w:szCs w:val="30"/>
          <w:highlight w:val="none"/>
        </w:rPr>
      </w:pPr>
      <w:bookmarkStart w:id="55" w:name="_Toc32010"/>
      <w:bookmarkStart w:id="56" w:name="_Toc17766"/>
      <w:bookmarkStart w:id="57" w:name="_Toc24184"/>
      <w:r>
        <w:rPr>
          <w:rFonts w:hint="eastAsia" w:hAnsi="宋体" w:cs="宋体"/>
          <w:b/>
          <w:color w:val="auto"/>
          <w:sz w:val="30"/>
          <w:szCs w:val="30"/>
          <w:highlight w:val="none"/>
        </w:rPr>
        <w:br w:type="page"/>
      </w:r>
    </w:p>
    <w:p w14:paraId="258703AC">
      <w:pPr>
        <w:shd w:val="clear" w:color="auto"/>
        <w:jc w:val="center"/>
        <w:outlineLvl w:val="0"/>
        <w:rPr>
          <w:rFonts w:hint="eastAsia" w:hAnsi="宋体" w:cs="宋体"/>
          <w:b/>
          <w:color w:val="auto"/>
          <w:sz w:val="30"/>
          <w:szCs w:val="30"/>
          <w:highlight w:val="none"/>
        </w:rPr>
      </w:pPr>
      <w:bookmarkStart w:id="58" w:name="_Toc27060"/>
      <w:r>
        <w:rPr>
          <w:rFonts w:hint="eastAsia" w:hAnsi="宋体" w:cs="宋体"/>
          <w:b/>
          <w:color w:val="auto"/>
          <w:sz w:val="30"/>
          <w:szCs w:val="30"/>
          <w:highlight w:val="none"/>
        </w:rPr>
        <w:t>第三章  投标人须知</w:t>
      </w:r>
      <w:bookmarkEnd w:id="53"/>
      <w:bookmarkEnd w:id="55"/>
      <w:bookmarkEnd w:id="56"/>
      <w:bookmarkEnd w:id="57"/>
      <w:bookmarkEnd w:id="58"/>
    </w:p>
    <w:p w14:paraId="570C86B9">
      <w:pPr>
        <w:pStyle w:val="4"/>
        <w:shd w:val="clear" w:color="auto"/>
        <w:spacing w:line="460" w:lineRule="exact"/>
        <w:jc w:val="center"/>
        <w:rPr>
          <w:rFonts w:hint="eastAsia" w:ascii="宋体" w:hAnsi="宋体" w:cs="宋体"/>
          <w:color w:val="auto"/>
          <w:sz w:val="30"/>
          <w:szCs w:val="30"/>
          <w:highlight w:val="none"/>
        </w:rPr>
      </w:pPr>
      <w:bookmarkStart w:id="59" w:name="_Toc21650"/>
      <w:bookmarkStart w:id="60" w:name="_Toc351559943"/>
      <w:bookmarkStart w:id="61" w:name="_Toc13546"/>
      <w:bookmarkStart w:id="62" w:name="_Toc20700"/>
      <w:bookmarkStart w:id="63" w:name="_Toc8677"/>
      <w:r>
        <w:rPr>
          <w:rFonts w:hint="eastAsia" w:ascii="宋体" w:hAnsi="宋体" w:cs="宋体"/>
          <w:color w:val="auto"/>
          <w:sz w:val="30"/>
          <w:szCs w:val="30"/>
          <w:highlight w:val="none"/>
        </w:rPr>
        <w:t>前附表</w:t>
      </w:r>
      <w:bookmarkEnd w:id="59"/>
      <w:bookmarkEnd w:id="60"/>
      <w:bookmarkEnd w:id="61"/>
      <w:bookmarkEnd w:id="62"/>
      <w:bookmarkEnd w:id="63"/>
    </w:p>
    <w:tbl>
      <w:tblPr>
        <w:tblStyle w:val="48"/>
        <w:tblW w:w="9960"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33"/>
        <w:gridCol w:w="2307"/>
        <w:gridCol w:w="6920"/>
      </w:tblGrid>
      <w:tr w14:paraId="6106FB3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09" w:hRule="atLeast"/>
        </w:trPr>
        <w:tc>
          <w:tcPr>
            <w:tcW w:w="733" w:type="dxa"/>
            <w:tcBorders>
              <w:top w:val="single" w:color="auto" w:sz="4" w:space="0"/>
              <w:left w:val="single" w:color="auto" w:sz="4" w:space="0"/>
              <w:bottom w:val="single" w:color="auto" w:sz="4" w:space="0"/>
              <w:right w:val="single" w:color="auto" w:sz="4" w:space="0"/>
            </w:tcBorders>
            <w:noWrap w:val="0"/>
            <w:vAlign w:val="center"/>
          </w:tcPr>
          <w:p w14:paraId="134AF9A2">
            <w:pPr>
              <w:shd w:val="clear" w:color="auto"/>
              <w:snapToGrid w:val="0"/>
              <w:spacing w:line="460" w:lineRule="exact"/>
              <w:jc w:val="center"/>
              <w:rPr>
                <w:rFonts w:hint="eastAsia" w:hAnsi="宋体" w:eastAsia="宋体" w:cs="宋体"/>
                <w:color w:val="auto"/>
                <w:sz w:val="21"/>
                <w:szCs w:val="21"/>
                <w:highlight w:val="none"/>
              </w:rPr>
            </w:pPr>
            <w:r>
              <w:rPr>
                <w:rFonts w:hint="eastAsia" w:hAnsi="宋体" w:eastAsia="宋体" w:cs="宋体"/>
                <w:color w:val="auto"/>
                <w:sz w:val="21"/>
                <w:szCs w:val="21"/>
                <w:highlight w:val="none"/>
              </w:rPr>
              <w:t>序号</w:t>
            </w:r>
          </w:p>
        </w:tc>
        <w:tc>
          <w:tcPr>
            <w:tcW w:w="9227" w:type="dxa"/>
            <w:gridSpan w:val="2"/>
            <w:tcBorders>
              <w:top w:val="single" w:color="auto" w:sz="4" w:space="0"/>
              <w:left w:val="single" w:color="auto" w:sz="4" w:space="0"/>
              <w:bottom w:val="single" w:color="auto" w:sz="4" w:space="0"/>
              <w:right w:val="single" w:color="auto" w:sz="4" w:space="0"/>
            </w:tcBorders>
            <w:noWrap w:val="0"/>
            <w:vAlign w:val="center"/>
          </w:tcPr>
          <w:p w14:paraId="590A22A8">
            <w:pPr>
              <w:shd w:val="clear" w:color="auto"/>
              <w:snapToGrid w:val="0"/>
              <w:spacing w:line="460" w:lineRule="exact"/>
              <w:ind w:firstLine="2940" w:firstLineChars="1400"/>
              <w:rPr>
                <w:rFonts w:hint="eastAsia" w:hAnsi="宋体" w:eastAsia="宋体" w:cs="宋体"/>
                <w:color w:val="auto"/>
                <w:sz w:val="21"/>
                <w:szCs w:val="21"/>
                <w:highlight w:val="none"/>
              </w:rPr>
            </w:pPr>
            <w:r>
              <w:rPr>
                <w:rFonts w:hint="eastAsia" w:hAnsi="宋体" w:eastAsia="宋体" w:cs="宋体"/>
                <w:color w:val="auto"/>
                <w:sz w:val="21"/>
                <w:szCs w:val="21"/>
                <w:highlight w:val="none"/>
              </w:rPr>
              <w:t>内容、要求</w:t>
            </w:r>
          </w:p>
        </w:tc>
      </w:tr>
      <w:tr w14:paraId="229B5DD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24" w:hRule="atLeast"/>
        </w:trPr>
        <w:tc>
          <w:tcPr>
            <w:tcW w:w="733" w:type="dxa"/>
            <w:tcBorders>
              <w:top w:val="single" w:color="auto" w:sz="4" w:space="0"/>
              <w:left w:val="single" w:color="auto" w:sz="4" w:space="0"/>
              <w:bottom w:val="single" w:color="auto" w:sz="4" w:space="0"/>
              <w:right w:val="single" w:color="auto" w:sz="4" w:space="0"/>
            </w:tcBorders>
            <w:noWrap w:val="0"/>
            <w:vAlign w:val="center"/>
          </w:tcPr>
          <w:p w14:paraId="357A9FDB">
            <w:pPr>
              <w:shd w:val="clear" w:color="auto"/>
              <w:snapToGrid w:val="0"/>
              <w:spacing w:line="460" w:lineRule="exact"/>
              <w:jc w:val="center"/>
              <w:rPr>
                <w:rFonts w:hint="eastAsia" w:hAnsi="宋体" w:eastAsia="宋体" w:cs="宋体"/>
                <w:color w:val="auto"/>
                <w:sz w:val="21"/>
                <w:szCs w:val="21"/>
                <w:highlight w:val="none"/>
              </w:rPr>
            </w:pPr>
            <w:r>
              <w:rPr>
                <w:rFonts w:hint="eastAsia" w:hAnsi="宋体" w:eastAsia="宋体" w:cs="宋体"/>
                <w:color w:val="auto"/>
                <w:sz w:val="21"/>
                <w:szCs w:val="21"/>
                <w:highlight w:val="none"/>
              </w:rPr>
              <w:t>1</w:t>
            </w:r>
          </w:p>
        </w:tc>
        <w:tc>
          <w:tcPr>
            <w:tcW w:w="9227" w:type="dxa"/>
            <w:gridSpan w:val="2"/>
            <w:tcBorders>
              <w:top w:val="single" w:color="auto" w:sz="4" w:space="0"/>
              <w:left w:val="single" w:color="auto" w:sz="4" w:space="0"/>
              <w:bottom w:val="single" w:color="auto" w:sz="4" w:space="0"/>
              <w:right w:val="single" w:color="auto" w:sz="4" w:space="0"/>
            </w:tcBorders>
            <w:noWrap w:val="0"/>
            <w:vAlign w:val="center"/>
          </w:tcPr>
          <w:p w14:paraId="4EF7902C">
            <w:pPr>
              <w:shd w:val="clear" w:color="auto"/>
              <w:snapToGrid w:val="0"/>
              <w:spacing w:line="460" w:lineRule="exact"/>
              <w:rPr>
                <w:rFonts w:hint="eastAsia" w:hAnsi="宋体" w:eastAsia="宋体" w:cs="宋体"/>
                <w:color w:val="auto"/>
                <w:sz w:val="21"/>
                <w:szCs w:val="21"/>
                <w:highlight w:val="none"/>
                <w:lang w:eastAsia="zh-CN"/>
              </w:rPr>
            </w:pPr>
            <w:r>
              <w:rPr>
                <w:rFonts w:hint="eastAsia" w:hAnsi="宋体" w:eastAsia="宋体" w:cs="宋体"/>
                <w:color w:val="auto"/>
                <w:sz w:val="21"/>
                <w:szCs w:val="21"/>
                <w:highlight w:val="none"/>
              </w:rPr>
              <w:t>项目名称：</w:t>
            </w:r>
            <w:r>
              <w:rPr>
                <w:rFonts w:hint="eastAsia" w:hAnsi="宋体" w:cs="宋体"/>
                <w:color w:val="auto"/>
                <w:sz w:val="21"/>
                <w:szCs w:val="21"/>
                <w:highlight w:val="none"/>
                <w:lang w:eastAsia="zh-CN"/>
              </w:rPr>
              <w:t>2025-2026年婺城区农村人居环境长效管理第三方机构评估服务项目</w:t>
            </w:r>
          </w:p>
        </w:tc>
      </w:tr>
      <w:tr w14:paraId="492E78F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733" w:type="dxa"/>
            <w:tcBorders>
              <w:top w:val="single" w:color="auto" w:sz="4" w:space="0"/>
              <w:left w:val="single" w:color="auto" w:sz="4" w:space="0"/>
              <w:bottom w:val="single" w:color="auto" w:sz="4" w:space="0"/>
              <w:right w:val="single" w:color="auto" w:sz="4" w:space="0"/>
            </w:tcBorders>
            <w:noWrap w:val="0"/>
            <w:vAlign w:val="center"/>
          </w:tcPr>
          <w:p w14:paraId="10565CF7">
            <w:pPr>
              <w:shd w:val="clear" w:color="auto"/>
              <w:snapToGrid w:val="0"/>
              <w:spacing w:line="460" w:lineRule="exact"/>
              <w:jc w:val="center"/>
              <w:rPr>
                <w:rFonts w:hint="eastAsia" w:hAnsi="宋体" w:eastAsia="宋体" w:cs="宋体"/>
                <w:color w:val="auto"/>
                <w:sz w:val="21"/>
                <w:szCs w:val="21"/>
                <w:highlight w:val="none"/>
              </w:rPr>
            </w:pPr>
            <w:r>
              <w:rPr>
                <w:rFonts w:hint="eastAsia" w:hAnsi="宋体" w:eastAsia="宋体" w:cs="宋体"/>
                <w:color w:val="auto"/>
                <w:sz w:val="21"/>
                <w:szCs w:val="21"/>
                <w:highlight w:val="none"/>
              </w:rPr>
              <w:t>2</w:t>
            </w:r>
          </w:p>
        </w:tc>
        <w:tc>
          <w:tcPr>
            <w:tcW w:w="9227" w:type="dxa"/>
            <w:gridSpan w:val="2"/>
            <w:tcBorders>
              <w:top w:val="single" w:color="auto" w:sz="4" w:space="0"/>
              <w:left w:val="single" w:color="auto" w:sz="4" w:space="0"/>
              <w:bottom w:val="single" w:color="auto" w:sz="4" w:space="0"/>
              <w:right w:val="single" w:color="auto" w:sz="4" w:space="0"/>
            </w:tcBorders>
            <w:noWrap w:val="0"/>
            <w:vAlign w:val="center"/>
          </w:tcPr>
          <w:p w14:paraId="7B438F1E">
            <w:pPr>
              <w:shd w:val="clear" w:color="auto"/>
              <w:snapToGrid w:val="0"/>
              <w:spacing w:line="460" w:lineRule="exact"/>
              <w:rPr>
                <w:rFonts w:hint="eastAsia" w:hAnsi="宋体" w:eastAsia="宋体" w:cs="宋体"/>
                <w:b/>
                <w:bCs/>
                <w:color w:val="auto"/>
                <w:sz w:val="21"/>
                <w:szCs w:val="21"/>
                <w:highlight w:val="none"/>
              </w:rPr>
            </w:pPr>
            <w:r>
              <w:rPr>
                <w:rFonts w:hint="eastAsia" w:hAnsi="宋体" w:eastAsia="宋体" w:cs="宋体"/>
                <w:b/>
                <w:bCs/>
                <w:color w:val="auto"/>
                <w:sz w:val="21"/>
                <w:szCs w:val="21"/>
                <w:highlight w:val="none"/>
              </w:rPr>
              <w:t>投标报价及费用：</w:t>
            </w:r>
          </w:p>
          <w:p w14:paraId="1F7D49D1">
            <w:pPr>
              <w:shd w:val="clear" w:color="auto"/>
              <w:snapToGrid w:val="0"/>
              <w:spacing w:line="460" w:lineRule="exact"/>
              <w:rPr>
                <w:rFonts w:hint="eastAsia" w:hAnsi="宋体" w:eastAsia="宋体" w:cs="宋体"/>
                <w:b/>
                <w:bCs/>
                <w:color w:val="auto"/>
                <w:sz w:val="21"/>
                <w:szCs w:val="21"/>
                <w:highlight w:val="none"/>
              </w:rPr>
            </w:pPr>
            <w:r>
              <w:rPr>
                <w:rFonts w:hint="eastAsia" w:hAnsi="宋体" w:eastAsia="宋体" w:cs="宋体"/>
                <w:b/>
                <w:bCs/>
                <w:color w:val="auto"/>
                <w:sz w:val="21"/>
                <w:szCs w:val="21"/>
                <w:highlight w:val="none"/>
              </w:rPr>
              <w:t>1.</w:t>
            </w:r>
            <w:r>
              <w:rPr>
                <w:rFonts w:hint="eastAsia" w:hAnsi="宋体" w:eastAsia="宋体" w:cs="宋体"/>
                <w:b/>
                <w:color w:val="auto"/>
                <w:sz w:val="21"/>
                <w:szCs w:val="21"/>
                <w:highlight w:val="none"/>
              </w:rPr>
              <w:t>本项目投标应以人民币报价；</w:t>
            </w:r>
          </w:p>
          <w:p w14:paraId="15E4EE14">
            <w:pPr>
              <w:shd w:val="clear" w:color="auto"/>
              <w:snapToGrid w:val="0"/>
              <w:spacing w:line="460" w:lineRule="exact"/>
              <w:rPr>
                <w:rFonts w:hint="eastAsia" w:hAnsi="宋体" w:eastAsia="宋体" w:cs="宋体"/>
                <w:b/>
                <w:bCs/>
                <w:color w:val="auto"/>
                <w:sz w:val="21"/>
                <w:szCs w:val="21"/>
                <w:highlight w:val="none"/>
              </w:rPr>
            </w:pPr>
            <w:r>
              <w:rPr>
                <w:rFonts w:hint="eastAsia" w:hAnsi="宋体" w:eastAsia="宋体" w:cs="宋体"/>
                <w:b/>
                <w:bCs/>
                <w:color w:val="auto"/>
                <w:sz w:val="21"/>
                <w:szCs w:val="21"/>
                <w:highlight w:val="none"/>
              </w:rPr>
              <w:t>2.不论投标结果如何，投标人均应自行承担所有与投标有关的全部费用；</w:t>
            </w:r>
          </w:p>
          <w:p w14:paraId="1FDD0B52">
            <w:pPr>
              <w:shd w:val="clear" w:color="auto"/>
              <w:snapToGrid w:val="0"/>
              <w:spacing w:line="460" w:lineRule="exact"/>
              <w:rPr>
                <w:rFonts w:hint="eastAsia" w:hAnsi="宋体" w:eastAsia="宋体" w:cs="宋体"/>
                <w:b/>
                <w:bCs/>
                <w:color w:val="auto"/>
                <w:sz w:val="21"/>
                <w:szCs w:val="21"/>
                <w:highlight w:val="none"/>
              </w:rPr>
            </w:pPr>
            <w:r>
              <w:rPr>
                <w:rFonts w:hint="eastAsia" w:hAnsi="宋体" w:eastAsia="宋体" w:cs="宋体"/>
                <w:b/>
                <w:color w:val="auto"/>
                <w:sz w:val="21"/>
                <w:szCs w:val="21"/>
                <w:highlight w:val="none"/>
              </w:rPr>
              <w:t>3.投标人取得中标资格后，</w:t>
            </w:r>
            <w:r>
              <w:rPr>
                <w:rFonts w:hint="eastAsia" w:hAnsi="宋体" w:eastAsia="宋体" w:cs="宋体"/>
                <w:b/>
                <w:bCs/>
                <w:color w:val="auto"/>
                <w:sz w:val="21"/>
                <w:szCs w:val="21"/>
                <w:highlight w:val="none"/>
              </w:rPr>
              <w:t>须向招标代理机构支付采购代理服务费，采购代理服务费</w:t>
            </w:r>
            <w:r>
              <w:rPr>
                <w:rFonts w:hint="eastAsia" w:hAnsi="宋体" w:cs="宋体"/>
                <w:b/>
                <w:bCs/>
                <w:color w:val="auto"/>
                <w:kern w:val="2"/>
                <w:sz w:val="21"/>
                <w:szCs w:val="21"/>
                <w:highlight w:val="none"/>
                <w:lang w:val="en-US" w:eastAsia="zh-CN"/>
              </w:rPr>
              <w:t>按照暂定合同金额(预算金额)为基数分段累计</w:t>
            </w:r>
            <w:r>
              <w:rPr>
                <w:rFonts w:hint="eastAsia" w:hAnsi="宋体" w:eastAsia="宋体" w:cs="宋体"/>
                <w:b/>
                <w:bCs/>
                <w:color w:val="auto"/>
                <w:kern w:val="2"/>
                <w:sz w:val="21"/>
                <w:szCs w:val="21"/>
                <w:highlight w:val="none"/>
              </w:rPr>
              <w:t>计算（中标金额100万元以内部分按1.</w:t>
            </w:r>
            <w:r>
              <w:rPr>
                <w:rFonts w:hint="eastAsia" w:hAnsi="宋体" w:eastAsia="宋体" w:cs="宋体"/>
                <w:b/>
                <w:bCs/>
                <w:color w:val="auto"/>
                <w:kern w:val="2"/>
                <w:sz w:val="21"/>
                <w:szCs w:val="21"/>
                <w:highlight w:val="none"/>
                <w:lang w:val="en-US" w:eastAsia="zh-CN"/>
              </w:rPr>
              <w:t>5</w:t>
            </w:r>
            <w:r>
              <w:rPr>
                <w:rFonts w:hint="eastAsia" w:hAnsi="宋体" w:eastAsia="宋体" w:cs="宋体"/>
                <w:b/>
                <w:bCs/>
                <w:color w:val="auto"/>
                <w:kern w:val="2"/>
                <w:sz w:val="21"/>
                <w:szCs w:val="21"/>
                <w:highlight w:val="none"/>
              </w:rPr>
              <w:t>%费率，</w:t>
            </w:r>
            <w:r>
              <w:rPr>
                <w:rFonts w:hint="eastAsia" w:hAnsi="宋体" w:eastAsia="宋体" w:cs="宋体"/>
                <w:b/>
                <w:bCs/>
                <w:color w:val="auto"/>
                <w:kern w:val="2"/>
                <w:sz w:val="21"/>
                <w:szCs w:val="21"/>
                <w:highlight w:val="none"/>
                <w:lang w:val="en-US" w:eastAsia="zh-CN"/>
              </w:rPr>
              <w:t>100万元以上部分按0.8%费率计算</w:t>
            </w:r>
            <w:r>
              <w:rPr>
                <w:rFonts w:hint="eastAsia" w:hAnsi="宋体" w:eastAsia="宋体" w:cs="宋体"/>
                <w:b/>
                <w:bCs/>
                <w:color w:val="auto"/>
                <w:kern w:val="2"/>
                <w:sz w:val="21"/>
                <w:szCs w:val="21"/>
                <w:highlight w:val="none"/>
              </w:rPr>
              <w:t>）</w:t>
            </w:r>
            <w:r>
              <w:rPr>
                <w:rFonts w:hint="eastAsia" w:hAnsi="宋体" w:eastAsia="宋体" w:cs="宋体"/>
                <w:b/>
                <w:color w:val="auto"/>
                <w:sz w:val="21"/>
                <w:szCs w:val="21"/>
                <w:highlight w:val="none"/>
              </w:rPr>
              <w:t>，中标人在收到中标通知书的同时向招标代理机构以银行转账等形式支付采购代理服务费：户名：金华市天盈招标代理有限公司，开户银行：金华银行股份有限公司多湖支行，银行账号：0188990822000064。（汇款用途请注明“采购代理服务费”及项目编号）</w:t>
            </w:r>
          </w:p>
        </w:tc>
      </w:tr>
      <w:tr w14:paraId="04DD0BE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20" w:hRule="atLeast"/>
        </w:trPr>
        <w:tc>
          <w:tcPr>
            <w:tcW w:w="733" w:type="dxa"/>
            <w:tcBorders>
              <w:top w:val="single" w:color="auto" w:sz="4" w:space="0"/>
              <w:left w:val="single" w:color="auto" w:sz="4" w:space="0"/>
              <w:bottom w:val="single" w:color="auto" w:sz="4" w:space="0"/>
              <w:right w:val="single" w:color="auto" w:sz="4" w:space="0"/>
            </w:tcBorders>
            <w:noWrap w:val="0"/>
            <w:vAlign w:val="center"/>
          </w:tcPr>
          <w:p w14:paraId="449889D1">
            <w:pPr>
              <w:shd w:val="clear" w:color="auto"/>
              <w:snapToGrid w:val="0"/>
              <w:spacing w:line="460" w:lineRule="exact"/>
              <w:jc w:val="center"/>
              <w:rPr>
                <w:rFonts w:hint="eastAsia" w:hAnsi="宋体" w:eastAsia="宋体" w:cs="宋体"/>
                <w:color w:val="auto"/>
                <w:sz w:val="21"/>
                <w:szCs w:val="21"/>
                <w:highlight w:val="none"/>
              </w:rPr>
            </w:pPr>
            <w:r>
              <w:rPr>
                <w:rFonts w:hint="eastAsia" w:hAnsi="宋体" w:eastAsia="宋体" w:cs="宋体"/>
                <w:color w:val="auto"/>
                <w:sz w:val="21"/>
                <w:szCs w:val="21"/>
                <w:highlight w:val="none"/>
              </w:rPr>
              <w:t>3</w:t>
            </w:r>
          </w:p>
        </w:tc>
        <w:tc>
          <w:tcPr>
            <w:tcW w:w="9227" w:type="dxa"/>
            <w:gridSpan w:val="2"/>
            <w:tcBorders>
              <w:top w:val="single" w:color="auto" w:sz="4" w:space="0"/>
              <w:left w:val="single" w:color="auto" w:sz="4" w:space="0"/>
              <w:bottom w:val="single" w:color="auto" w:sz="4" w:space="0"/>
              <w:right w:val="single" w:color="auto" w:sz="4" w:space="0"/>
            </w:tcBorders>
            <w:noWrap w:val="0"/>
            <w:vAlign w:val="center"/>
          </w:tcPr>
          <w:p w14:paraId="12E29E59">
            <w:pPr>
              <w:shd w:val="clear" w:color="auto"/>
              <w:snapToGrid w:val="0"/>
              <w:spacing w:line="460" w:lineRule="exact"/>
              <w:rPr>
                <w:rFonts w:hint="eastAsia" w:hAnsi="宋体" w:eastAsia="宋体" w:cs="宋体"/>
                <w:color w:val="auto"/>
                <w:sz w:val="21"/>
                <w:szCs w:val="21"/>
                <w:highlight w:val="none"/>
              </w:rPr>
            </w:pPr>
            <w:r>
              <w:rPr>
                <w:rFonts w:hint="eastAsia" w:hAnsi="宋体" w:eastAsia="宋体" w:cs="宋体"/>
                <w:color w:val="auto"/>
                <w:sz w:val="21"/>
                <w:szCs w:val="21"/>
                <w:highlight w:val="none"/>
              </w:rPr>
              <w:t>答疑与澄清：投标人如认为招标文件表述不清晰、存在歧视性、排他性或者其他违法内容的，应当自知道或者应知其权益受到损害之日起七个工作日内，以书面形式要求招标采购单位作出书面解释、澄清或者向招标采购单位提出书面质疑；招标采购单位对已发出的招标文件进行必要澄清、答复、修改或补充的，在财政部门指定的政府采购信息发布媒体上发布更正公告，并以书面形式通知所有招标文件收受人。澄清或者修改的内容可能影响投标文件编制的，应当在投标截止时间至少15日前，以书面形式通知所有获取招标文件的潜在投标人；不足15日的，顺延提交投标文件的截止时间。</w:t>
            </w:r>
          </w:p>
        </w:tc>
      </w:tr>
      <w:tr w14:paraId="07B55B9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20" w:hRule="atLeast"/>
        </w:trPr>
        <w:tc>
          <w:tcPr>
            <w:tcW w:w="733" w:type="dxa"/>
            <w:tcBorders>
              <w:top w:val="single" w:color="auto" w:sz="4" w:space="0"/>
              <w:left w:val="single" w:color="auto" w:sz="4" w:space="0"/>
              <w:bottom w:val="single" w:color="auto" w:sz="4" w:space="0"/>
              <w:right w:val="single" w:color="auto" w:sz="4" w:space="0"/>
            </w:tcBorders>
            <w:noWrap w:val="0"/>
            <w:vAlign w:val="center"/>
          </w:tcPr>
          <w:p w14:paraId="086CFCDE">
            <w:pPr>
              <w:shd w:val="clear" w:color="auto"/>
              <w:snapToGrid w:val="0"/>
              <w:spacing w:line="500" w:lineRule="exact"/>
              <w:jc w:val="center"/>
              <w:rPr>
                <w:rFonts w:hint="eastAsia" w:hAnsi="宋体" w:eastAsia="宋体" w:cs="宋体"/>
                <w:color w:val="auto"/>
                <w:sz w:val="21"/>
                <w:szCs w:val="21"/>
                <w:highlight w:val="none"/>
              </w:rPr>
            </w:pPr>
            <w:r>
              <w:rPr>
                <w:rFonts w:hint="eastAsia" w:hAnsi="宋体" w:eastAsia="宋体" w:cs="宋体"/>
                <w:color w:val="auto"/>
                <w:sz w:val="21"/>
                <w:szCs w:val="21"/>
                <w:highlight w:val="none"/>
              </w:rPr>
              <w:t>4</w:t>
            </w:r>
          </w:p>
        </w:tc>
        <w:tc>
          <w:tcPr>
            <w:tcW w:w="9227" w:type="dxa"/>
            <w:gridSpan w:val="2"/>
            <w:tcBorders>
              <w:top w:val="single" w:color="auto" w:sz="4" w:space="0"/>
              <w:left w:val="single" w:color="auto" w:sz="4" w:space="0"/>
              <w:bottom w:val="single" w:color="auto" w:sz="4" w:space="0"/>
              <w:right w:val="single" w:color="auto" w:sz="4" w:space="0"/>
            </w:tcBorders>
            <w:noWrap w:val="0"/>
            <w:vAlign w:val="center"/>
          </w:tcPr>
          <w:p w14:paraId="6C6D57CB">
            <w:pPr>
              <w:widowControl/>
              <w:shd w:val="clear" w:color="auto"/>
              <w:snapToGrid w:val="0"/>
              <w:spacing w:line="460" w:lineRule="exact"/>
              <w:rPr>
                <w:rFonts w:hint="eastAsia" w:hAnsi="宋体" w:eastAsia="宋体" w:cs="宋体"/>
                <w:b/>
                <w:bCs/>
                <w:color w:val="auto"/>
                <w:sz w:val="21"/>
                <w:szCs w:val="21"/>
                <w:highlight w:val="none"/>
              </w:rPr>
            </w:pPr>
            <w:r>
              <w:rPr>
                <w:rFonts w:hint="eastAsia" w:hAnsi="宋体" w:eastAsia="宋体" w:cs="宋体"/>
                <w:b/>
                <w:bCs/>
                <w:color w:val="auto"/>
                <w:sz w:val="21"/>
                <w:szCs w:val="21"/>
                <w:highlight w:val="none"/>
              </w:rPr>
              <w:t>政策落实：</w:t>
            </w:r>
          </w:p>
          <w:p w14:paraId="05B9D491">
            <w:pPr>
              <w:widowControl/>
              <w:shd w:val="clear" w:color="auto"/>
              <w:snapToGrid w:val="0"/>
              <w:spacing w:line="460" w:lineRule="exact"/>
              <w:ind w:firstLine="420" w:firstLineChars="200"/>
              <w:rPr>
                <w:rFonts w:hint="eastAsia" w:hAnsi="宋体" w:eastAsia="宋体" w:cs="宋体"/>
                <w:color w:val="auto"/>
                <w:sz w:val="21"/>
                <w:szCs w:val="21"/>
                <w:highlight w:val="none"/>
              </w:rPr>
            </w:pPr>
            <w:r>
              <w:rPr>
                <w:rFonts w:hint="eastAsia" w:hAnsi="宋体" w:eastAsia="宋体" w:cs="宋体"/>
                <w:color w:val="auto"/>
                <w:sz w:val="21"/>
                <w:szCs w:val="21"/>
                <w:highlight w:val="none"/>
              </w:rPr>
              <w:t>1.扶持中小企业（监狱企业、残疾人福利性单位）：</w:t>
            </w:r>
          </w:p>
          <w:p w14:paraId="2C10C9E7">
            <w:pPr>
              <w:widowControl/>
              <w:shd w:val="clear" w:color="auto"/>
              <w:snapToGrid w:val="0"/>
              <w:spacing w:line="460" w:lineRule="exact"/>
              <w:ind w:firstLine="420" w:firstLineChars="200"/>
              <w:rPr>
                <w:rFonts w:hint="eastAsia" w:hAnsi="宋体" w:eastAsia="宋体" w:cs="宋体"/>
                <w:color w:val="auto"/>
                <w:sz w:val="21"/>
                <w:szCs w:val="21"/>
                <w:highlight w:val="none"/>
              </w:rPr>
            </w:pPr>
            <w:r>
              <w:rPr>
                <w:rFonts w:hint="eastAsia" w:hAnsi="宋体" w:eastAsia="宋体" w:cs="宋体"/>
                <w:color w:val="auto"/>
                <w:sz w:val="21"/>
                <w:szCs w:val="21"/>
                <w:highlight w:val="none"/>
              </w:rPr>
              <w:t>根据《政府采购促进中小企业发展管理办法》（财库〔2020〕46号），本单位在政府采购活动中应当通过加强采购需求管理，落实预留采购份额，价格评审优惠、优先采购等措施，提高中小企业在政府采购中的份额，支持中小企业发展。项目相关情况如下：</w:t>
            </w:r>
          </w:p>
          <w:p w14:paraId="5E2DAA2E">
            <w:pPr>
              <w:widowControl/>
              <w:shd w:val="clear" w:color="auto"/>
              <w:snapToGrid w:val="0"/>
              <w:spacing w:line="460" w:lineRule="exact"/>
              <w:ind w:firstLine="420" w:firstLineChars="200"/>
              <w:rPr>
                <w:rFonts w:hint="eastAsia" w:hAnsi="宋体" w:eastAsia="宋体" w:cs="宋体"/>
                <w:color w:val="auto"/>
                <w:sz w:val="21"/>
                <w:szCs w:val="21"/>
                <w:highlight w:val="none"/>
              </w:rPr>
            </w:pPr>
            <w:r>
              <w:rPr>
                <w:rFonts w:hint="eastAsia" w:hAnsi="宋体" w:eastAsia="宋体" w:cs="宋体"/>
                <w:color w:val="auto"/>
                <w:sz w:val="21"/>
                <w:szCs w:val="21"/>
                <w:highlight w:val="none"/>
              </w:rPr>
              <w:t>（1）项目预算：</w:t>
            </w:r>
            <w:r>
              <w:rPr>
                <w:rFonts w:hint="eastAsia" w:hAnsi="宋体" w:eastAsia="宋体" w:cs="宋体"/>
                <w:color w:val="auto"/>
                <w:sz w:val="21"/>
                <w:szCs w:val="21"/>
                <w:highlight w:val="none"/>
                <w:u w:val="single"/>
              </w:rPr>
              <w:t xml:space="preserve">  </w:t>
            </w:r>
            <w:r>
              <w:rPr>
                <w:rFonts w:hint="eastAsia" w:hAnsi="宋体" w:cs="宋体"/>
                <w:color w:val="auto"/>
                <w:sz w:val="21"/>
                <w:szCs w:val="21"/>
                <w:highlight w:val="none"/>
                <w:u w:val="single"/>
                <w:lang w:val="en-US" w:eastAsia="zh-CN"/>
              </w:rPr>
              <w:t>112</w:t>
            </w:r>
            <w:r>
              <w:rPr>
                <w:rFonts w:hint="eastAsia" w:hAnsi="宋体" w:eastAsia="宋体" w:cs="宋体"/>
                <w:color w:val="auto"/>
                <w:sz w:val="21"/>
                <w:szCs w:val="21"/>
                <w:highlight w:val="none"/>
                <w:u w:val="single"/>
              </w:rPr>
              <w:t xml:space="preserve">   </w:t>
            </w:r>
            <w:r>
              <w:rPr>
                <w:rFonts w:hint="eastAsia" w:hAnsi="宋体" w:eastAsia="宋体" w:cs="宋体"/>
                <w:color w:val="auto"/>
                <w:sz w:val="21"/>
                <w:szCs w:val="21"/>
                <w:highlight w:val="none"/>
              </w:rPr>
              <w:t>万元；</w:t>
            </w:r>
          </w:p>
          <w:p w14:paraId="5835DF3B">
            <w:pPr>
              <w:widowControl/>
              <w:shd w:val="clear" w:color="auto"/>
              <w:snapToGrid w:val="0"/>
              <w:spacing w:line="460" w:lineRule="exact"/>
              <w:ind w:firstLine="420" w:firstLineChars="200"/>
              <w:rPr>
                <w:rFonts w:hint="eastAsia" w:hAnsi="宋体" w:eastAsia="宋体" w:cs="宋体"/>
                <w:color w:val="auto"/>
                <w:sz w:val="21"/>
                <w:szCs w:val="21"/>
                <w:highlight w:val="none"/>
              </w:rPr>
            </w:pPr>
            <w:r>
              <w:rPr>
                <w:rFonts w:hint="eastAsia" w:hAnsi="宋体" w:eastAsia="宋体" w:cs="宋体"/>
                <w:color w:val="auto"/>
                <w:sz w:val="21"/>
                <w:szCs w:val="21"/>
                <w:highlight w:val="none"/>
              </w:rPr>
              <w:t>（2）项目属性：</w:t>
            </w:r>
            <w:r>
              <w:rPr>
                <w:rFonts w:hint="eastAsia" w:hAnsi="宋体" w:eastAsia="宋体" w:cs="宋体"/>
                <w:color w:val="auto"/>
                <w:sz w:val="21"/>
                <w:szCs w:val="21"/>
                <w:highlight w:val="none"/>
                <w:u w:val="single"/>
              </w:rPr>
              <w:t xml:space="preserve"> ②    </w:t>
            </w:r>
            <w:r>
              <w:rPr>
                <w:rFonts w:hint="eastAsia" w:hAnsi="宋体" w:eastAsia="宋体" w:cs="宋体"/>
                <w:color w:val="auto"/>
                <w:sz w:val="21"/>
                <w:szCs w:val="21"/>
                <w:highlight w:val="none"/>
              </w:rPr>
              <w:t>（①货物类/②服务类/③工程类）；</w:t>
            </w:r>
          </w:p>
          <w:p w14:paraId="2EC57103">
            <w:pPr>
              <w:widowControl/>
              <w:shd w:val="clear" w:color="auto"/>
              <w:snapToGrid w:val="0"/>
              <w:spacing w:line="460" w:lineRule="exact"/>
              <w:ind w:firstLine="420" w:firstLineChars="200"/>
              <w:rPr>
                <w:rFonts w:hint="eastAsia" w:hAnsi="宋体" w:eastAsia="宋体" w:cs="宋体"/>
                <w:color w:val="auto"/>
                <w:sz w:val="21"/>
                <w:szCs w:val="21"/>
                <w:highlight w:val="none"/>
              </w:rPr>
            </w:pPr>
            <w:r>
              <w:rPr>
                <w:rFonts w:hint="eastAsia" w:hAnsi="宋体" w:eastAsia="宋体" w:cs="宋体"/>
                <w:color w:val="auto"/>
                <w:sz w:val="21"/>
                <w:szCs w:val="21"/>
                <w:highlight w:val="none"/>
              </w:rPr>
              <w:t>（3）项目对应的中小企业划分标准所属行业：</w:t>
            </w:r>
            <w:r>
              <w:rPr>
                <w:rFonts w:hint="eastAsia" w:hAnsi="宋体" w:eastAsia="宋体" w:cs="宋体"/>
                <w:color w:val="auto"/>
                <w:sz w:val="21"/>
                <w:szCs w:val="21"/>
                <w:highlight w:val="none"/>
                <w:u w:val="single"/>
              </w:rPr>
              <w:t xml:space="preserve">  </w:t>
            </w:r>
            <w:r>
              <w:rPr>
                <w:rFonts w:hint="eastAsia" w:hAnsi="宋体" w:eastAsia="宋体" w:cs="宋体"/>
                <w:color w:val="auto"/>
                <w:sz w:val="21"/>
                <w:szCs w:val="21"/>
                <w:highlight w:val="none"/>
                <w:u w:val="single"/>
                <w:lang w:eastAsia="zh-CN"/>
              </w:rPr>
              <w:t>其他未列明行业</w:t>
            </w:r>
            <w:r>
              <w:rPr>
                <w:rFonts w:hint="eastAsia" w:hAnsi="宋体" w:eastAsia="宋体" w:cs="宋体"/>
                <w:color w:val="auto"/>
                <w:sz w:val="21"/>
                <w:szCs w:val="21"/>
                <w:highlight w:val="none"/>
                <w:u w:val="single"/>
              </w:rPr>
              <w:t xml:space="preserve"> </w:t>
            </w:r>
            <w:r>
              <w:rPr>
                <w:rFonts w:hint="eastAsia" w:hAnsi="宋体" w:eastAsia="宋体" w:cs="宋体"/>
                <w:color w:val="auto"/>
                <w:sz w:val="21"/>
                <w:szCs w:val="21"/>
                <w:highlight w:val="none"/>
              </w:rPr>
              <w:t>（具体根据《中小企业划型标准规定》执行）；</w:t>
            </w:r>
          </w:p>
          <w:p w14:paraId="3005B59C">
            <w:pPr>
              <w:widowControl/>
              <w:shd w:val="clear" w:color="auto"/>
              <w:snapToGrid w:val="0"/>
              <w:spacing w:line="460" w:lineRule="exact"/>
              <w:ind w:firstLine="420" w:firstLineChars="200"/>
              <w:rPr>
                <w:rFonts w:hint="eastAsia" w:hAnsi="宋体" w:eastAsia="宋体" w:cs="宋体"/>
                <w:color w:val="auto"/>
                <w:sz w:val="21"/>
                <w:szCs w:val="21"/>
                <w:highlight w:val="none"/>
              </w:rPr>
            </w:pPr>
            <w:r>
              <w:rPr>
                <w:rFonts w:hint="eastAsia" w:hAnsi="宋体" w:eastAsia="宋体" w:cs="宋体"/>
                <w:color w:val="auto"/>
                <w:sz w:val="21"/>
                <w:szCs w:val="21"/>
                <w:highlight w:val="none"/>
              </w:rPr>
              <w:t>（4）本项目</w:t>
            </w:r>
            <w:r>
              <w:rPr>
                <w:rFonts w:hint="eastAsia" w:hAnsi="宋体" w:eastAsia="宋体" w:cs="宋体"/>
                <w:color w:val="auto"/>
                <w:sz w:val="21"/>
                <w:szCs w:val="21"/>
                <w:highlight w:val="none"/>
                <w:u w:val="single"/>
              </w:rPr>
              <w:t xml:space="preserve"> 是  </w:t>
            </w:r>
            <w:r>
              <w:rPr>
                <w:rFonts w:hint="eastAsia" w:hAnsi="宋体" w:eastAsia="宋体" w:cs="宋体"/>
                <w:color w:val="auto"/>
                <w:sz w:val="21"/>
                <w:szCs w:val="21"/>
                <w:highlight w:val="none"/>
              </w:rPr>
              <w:t>（是/否）属于预留份额专门面向中小企业采购的项目。</w:t>
            </w:r>
          </w:p>
          <w:p w14:paraId="2570ED6D">
            <w:pPr>
              <w:widowControl/>
              <w:shd w:val="clear" w:color="auto"/>
              <w:snapToGrid w:val="0"/>
              <w:spacing w:line="460" w:lineRule="exact"/>
              <w:ind w:firstLine="420" w:firstLineChars="200"/>
              <w:rPr>
                <w:rFonts w:hint="eastAsia" w:ascii="宋体" w:hAnsi="宋体" w:eastAsia="宋体" w:cs="宋体"/>
                <w:color w:val="auto"/>
                <w:sz w:val="21"/>
                <w:szCs w:val="21"/>
                <w:highlight w:val="none"/>
              </w:rPr>
            </w:pPr>
            <w:r>
              <w:rPr>
                <w:rFonts w:hint="eastAsia" w:hAnsi="宋体" w:eastAsia="宋体" w:cs="宋体"/>
                <w:color w:val="auto"/>
                <w:sz w:val="21"/>
                <w:szCs w:val="21"/>
                <w:highlight w:val="none"/>
              </w:rPr>
              <w:t>（5）</w:t>
            </w:r>
            <w:r>
              <w:rPr>
                <w:rFonts w:hint="eastAsia" w:ascii="宋体" w:hAnsi="宋体" w:eastAsia="宋体" w:cs="宋体"/>
                <w:color w:val="auto"/>
                <w:sz w:val="21"/>
                <w:szCs w:val="21"/>
                <w:highlight w:val="none"/>
              </w:rPr>
              <w:t>上述第4项中确定为“是”的采购项目，预留份额通过（①）措施进行：</w:t>
            </w:r>
          </w:p>
          <w:p w14:paraId="78728DFA">
            <w:pPr>
              <w:widowControl/>
              <w:shd w:val="clear" w:color="auto"/>
              <w:snapToGrid w:val="0"/>
              <w:spacing w:line="46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①将采购项目整体或者设置采购包专门面向中小企业采购； </w:t>
            </w:r>
          </w:p>
          <w:p w14:paraId="0738F07C">
            <w:pPr>
              <w:widowControl/>
              <w:shd w:val="clear" w:color="auto"/>
              <w:snapToGrid w:val="0"/>
              <w:spacing w:line="46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②要求供应商以联合体形式参加采购活动，且联合体中中小企业承担的部分达到</w:t>
            </w:r>
            <w:r>
              <w:rPr>
                <w:rFonts w:hint="eastAsia" w:ascii="宋体" w:hAnsi="宋体" w:eastAsia="宋体" w:cs="宋体"/>
                <w:color w:val="auto"/>
                <w:sz w:val="21"/>
                <w:szCs w:val="21"/>
                <w:highlight w:val="none"/>
                <w:u w:val="single"/>
              </w:rPr>
              <w:t> / </w:t>
            </w:r>
            <w:r>
              <w:rPr>
                <w:rFonts w:hint="eastAsia" w:ascii="宋体" w:hAnsi="宋体" w:eastAsia="宋体" w:cs="宋体"/>
                <w:color w:val="auto"/>
                <w:sz w:val="21"/>
                <w:szCs w:val="21"/>
                <w:highlight w:val="none"/>
              </w:rPr>
              <w:t xml:space="preserve">(比例)； </w:t>
            </w:r>
          </w:p>
          <w:p w14:paraId="77D9F0A4">
            <w:pPr>
              <w:widowControl/>
              <w:shd w:val="clear" w:color="auto"/>
              <w:snapToGrid w:val="0"/>
              <w:spacing w:line="46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③要求获得采购合同的供应商将采购项目中的</w:t>
            </w:r>
            <w:r>
              <w:rPr>
                <w:rFonts w:hint="eastAsia" w:ascii="宋体" w:hAnsi="宋体" w:eastAsia="宋体" w:cs="宋体"/>
                <w:color w:val="auto"/>
                <w:sz w:val="21"/>
                <w:szCs w:val="21"/>
                <w:highlight w:val="none"/>
                <w:u w:val="single"/>
              </w:rPr>
              <w:t xml:space="preserve"> / </w:t>
            </w:r>
            <w:r>
              <w:rPr>
                <w:rFonts w:hint="eastAsia" w:ascii="宋体" w:hAnsi="宋体" w:eastAsia="宋体" w:cs="宋体"/>
                <w:color w:val="auto"/>
                <w:sz w:val="21"/>
                <w:szCs w:val="21"/>
                <w:highlight w:val="none"/>
              </w:rPr>
              <w:t>(比例)分包给一家或者多家中小企业。</w:t>
            </w:r>
          </w:p>
          <w:p w14:paraId="56BA46F3">
            <w:pPr>
              <w:widowControl/>
              <w:shd w:val="clear" w:color="auto"/>
              <w:snapToGrid w:val="0"/>
              <w:spacing w:line="460" w:lineRule="exact"/>
              <w:ind w:firstLine="422" w:firstLineChars="200"/>
              <w:rPr>
                <w:rFonts w:hint="eastAsia" w:hAnsi="宋体" w:eastAsia="宋体" w:cs="宋体"/>
                <w:color w:val="auto"/>
                <w:sz w:val="21"/>
                <w:szCs w:val="21"/>
                <w:highlight w:val="none"/>
              </w:rPr>
            </w:pPr>
            <w:r>
              <w:rPr>
                <w:rFonts w:hint="eastAsia" w:ascii="宋体" w:hAnsi="宋体" w:eastAsia="宋体" w:cs="宋体"/>
                <w:b/>
                <w:color w:val="auto"/>
                <w:sz w:val="21"/>
                <w:szCs w:val="21"/>
                <w:highlight w:val="none"/>
              </w:rPr>
              <w:t>专门面向中小企业采购的项目或者标项，不再执行价格评审优惠的扶持政策。</w:t>
            </w:r>
          </w:p>
          <w:p w14:paraId="04A99126">
            <w:pPr>
              <w:widowControl/>
              <w:shd w:val="clear" w:color="auto"/>
              <w:snapToGrid w:val="0"/>
              <w:spacing w:line="460" w:lineRule="exact"/>
              <w:ind w:firstLine="420" w:firstLineChars="200"/>
              <w:rPr>
                <w:rFonts w:hint="eastAsia" w:hAnsi="宋体" w:eastAsia="宋体" w:cs="宋体"/>
                <w:color w:val="auto"/>
                <w:sz w:val="21"/>
                <w:szCs w:val="21"/>
                <w:highlight w:val="none"/>
              </w:rPr>
            </w:pPr>
            <w:r>
              <w:rPr>
                <w:rFonts w:hint="eastAsia" w:hAnsi="宋体" w:eastAsia="宋体" w:cs="宋体"/>
                <w:color w:val="auto"/>
                <w:sz w:val="21"/>
                <w:szCs w:val="21"/>
                <w:highlight w:val="none"/>
              </w:rPr>
              <w:t>2.节能产品、环境标志产品的强制采购政策</w:t>
            </w:r>
          </w:p>
          <w:p w14:paraId="1CEAE2FD">
            <w:pPr>
              <w:widowControl/>
              <w:shd w:val="clear" w:color="auto"/>
              <w:snapToGrid w:val="0"/>
              <w:spacing w:line="460" w:lineRule="exact"/>
              <w:ind w:firstLine="420" w:firstLineChars="200"/>
              <w:rPr>
                <w:rFonts w:hint="eastAsia" w:hAnsi="宋体" w:eastAsia="宋体" w:cs="宋体"/>
                <w:color w:val="auto"/>
                <w:sz w:val="21"/>
                <w:szCs w:val="21"/>
                <w:highlight w:val="none"/>
              </w:rPr>
            </w:pPr>
            <w:r>
              <w:rPr>
                <w:rFonts w:hint="eastAsia" w:hAnsi="宋体" w:eastAsia="宋体" w:cs="宋体"/>
                <w:color w:val="auto"/>
                <w:sz w:val="21"/>
                <w:szCs w:val="21"/>
                <w:highlight w:val="none"/>
              </w:rPr>
              <w:t>根据财政部、国家发展和改革委员会、生态环境部等部门公布的政府采购节能产品、环境标志产品品目清单的规定，依据品目清单和认证证书实施政府优先采购和强制采购。采购人拟采购的产品属于品目清单范围内的强制采购品目的，供应商提供的产品应具有国家确定的认证机构出具的、处于有效期之内的节能产品、环境标志产品认证证书，并在响应文件中提供该产品节能产品、环境标志产品认证证书，否则无效。（注：本项目不适用）</w:t>
            </w:r>
          </w:p>
          <w:p w14:paraId="7AE50613">
            <w:pPr>
              <w:widowControl/>
              <w:shd w:val="clear" w:color="auto"/>
              <w:snapToGrid w:val="0"/>
              <w:spacing w:line="460" w:lineRule="exact"/>
              <w:ind w:firstLine="420" w:firstLineChars="200"/>
              <w:rPr>
                <w:rFonts w:hint="eastAsia" w:hAnsi="宋体" w:eastAsia="宋体" w:cs="宋体"/>
                <w:color w:val="auto"/>
                <w:sz w:val="21"/>
                <w:szCs w:val="21"/>
                <w:highlight w:val="none"/>
              </w:rPr>
            </w:pPr>
            <w:r>
              <w:rPr>
                <w:rFonts w:hint="eastAsia" w:hAnsi="宋体" w:eastAsia="宋体" w:cs="宋体"/>
                <w:color w:val="auto"/>
                <w:sz w:val="21"/>
                <w:szCs w:val="21"/>
                <w:highlight w:val="none"/>
              </w:rPr>
              <w:t>3.节能产品、环境标志产品的优先采购政策</w:t>
            </w:r>
          </w:p>
          <w:p w14:paraId="5C980B0F">
            <w:pPr>
              <w:widowControl/>
              <w:shd w:val="clear" w:color="auto"/>
              <w:snapToGrid w:val="0"/>
              <w:spacing w:line="460" w:lineRule="exact"/>
              <w:ind w:firstLine="420" w:firstLineChars="200"/>
              <w:rPr>
                <w:rFonts w:hint="eastAsia" w:hAnsi="宋体" w:eastAsia="宋体" w:cs="宋体"/>
                <w:color w:val="auto"/>
                <w:sz w:val="21"/>
                <w:szCs w:val="21"/>
                <w:highlight w:val="none"/>
              </w:rPr>
            </w:pPr>
            <w:r>
              <w:rPr>
                <w:rFonts w:hint="eastAsia" w:hAnsi="宋体" w:eastAsia="宋体" w:cs="宋体"/>
                <w:color w:val="auto"/>
                <w:sz w:val="21"/>
                <w:szCs w:val="21"/>
                <w:highlight w:val="none"/>
              </w:rPr>
              <w:t>根据财政部、国家发展和改革委员会、生态环境部等部门公布的政府采购节能产品、环境标志产品品目清单的规定、依据品目清单和认证证书实施政府优先采购和强制采购。采购人拟采购的产品属于品目清单范围内的优先采购品目的，供应商提供的产品应具有国家确定的认证机构出具的、处于有效期之内的节能产品、环境标志产品认证证书，并在响应文件中提供该产品节能产品、环境标志产品认证证书</w:t>
            </w:r>
            <w:r>
              <w:rPr>
                <w:rFonts w:hint="eastAsia" w:hAnsi="宋体" w:cs="宋体"/>
                <w:color w:val="auto"/>
                <w:sz w:val="21"/>
                <w:szCs w:val="21"/>
                <w:highlight w:val="none"/>
                <w:lang w:eastAsia="zh-CN"/>
              </w:rPr>
              <w:t>。</w:t>
            </w:r>
            <w:r>
              <w:rPr>
                <w:rFonts w:hint="eastAsia" w:hAnsi="宋体" w:eastAsia="宋体" w:cs="宋体"/>
                <w:color w:val="auto"/>
                <w:sz w:val="21"/>
                <w:szCs w:val="21"/>
                <w:highlight w:val="none"/>
              </w:rPr>
              <w:t>（注：本项目不适用）</w:t>
            </w:r>
          </w:p>
        </w:tc>
      </w:tr>
      <w:tr w14:paraId="082F34A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20" w:hRule="atLeast"/>
        </w:trPr>
        <w:tc>
          <w:tcPr>
            <w:tcW w:w="733" w:type="dxa"/>
            <w:tcBorders>
              <w:top w:val="single" w:color="auto" w:sz="4" w:space="0"/>
              <w:left w:val="single" w:color="auto" w:sz="4" w:space="0"/>
              <w:bottom w:val="single" w:color="auto" w:sz="4" w:space="0"/>
              <w:right w:val="single" w:color="auto" w:sz="4" w:space="0"/>
            </w:tcBorders>
            <w:noWrap w:val="0"/>
            <w:vAlign w:val="center"/>
          </w:tcPr>
          <w:p w14:paraId="79EA929C">
            <w:pPr>
              <w:shd w:val="clear" w:color="auto"/>
              <w:snapToGrid w:val="0"/>
              <w:spacing w:line="500" w:lineRule="exact"/>
              <w:jc w:val="center"/>
              <w:rPr>
                <w:rFonts w:hint="eastAsia" w:hAnsi="宋体" w:eastAsia="宋体" w:cs="宋体"/>
                <w:color w:val="auto"/>
                <w:sz w:val="21"/>
                <w:szCs w:val="21"/>
                <w:highlight w:val="none"/>
              </w:rPr>
            </w:pPr>
            <w:r>
              <w:rPr>
                <w:rFonts w:hint="eastAsia" w:hAnsi="宋体" w:eastAsia="宋体" w:cs="宋体"/>
                <w:color w:val="auto"/>
                <w:sz w:val="21"/>
                <w:szCs w:val="21"/>
                <w:highlight w:val="none"/>
              </w:rPr>
              <w:t>5</w:t>
            </w:r>
          </w:p>
        </w:tc>
        <w:tc>
          <w:tcPr>
            <w:tcW w:w="9227" w:type="dxa"/>
            <w:gridSpan w:val="2"/>
            <w:tcBorders>
              <w:top w:val="single" w:color="auto" w:sz="4" w:space="0"/>
              <w:left w:val="single" w:color="auto" w:sz="4" w:space="0"/>
              <w:bottom w:val="single" w:color="auto" w:sz="4" w:space="0"/>
              <w:right w:val="single" w:color="auto" w:sz="4" w:space="0"/>
            </w:tcBorders>
            <w:noWrap w:val="0"/>
            <w:vAlign w:val="center"/>
          </w:tcPr>
          <w:p w14:paraId="7C3E549F">
            <w:pPr>
              <w:shd w:val="clear" w:color="auto"/>
              <w:snapToGrid w:val="0"/>
              <w:spacing w:line="460" w:lineRule="exact"/>
              <w:rPr>
                <w:rFonts w:hint="eastAsia" w:hAnsi="宋体" w:eastAsia="宋体" w:cs="宋体"/>
                <w:color w:val="auto"/>
                <w:sz w:val="21"/>
                <w:szCs w:val="21"/>
                <w:highlight w:val="none"/>
              </w:rPr>
            </w:pPr>
            <w:r>
              <w:rPr>
                <w:rFonts w:hint="eastAsia" w:hAnsi="宋体" w:eastAsia="宋体" w:cs="宋体"/>
                <w:b/>
                <w:bCs/>
                <w:color w:val="auto"/>
                <w:sz w:val="21"/>
                <w:szCs w:val="21"/>
                <w:highlight w:val="none"/>
                <w:lang w:bidi="ar"/>
              </w:rPr>
              <w:t>信用查询：</w:t>
            </w:r>
          </w:p>
          <w:p w14:paraId="70906CEC">
            <w:pPr>
              <w:shd w:val="clear" w:color="auto"/>
              <w:snapToGrid w:val="0"/>
              <w:spacing w:line="460" w:lineRule="exact"/>
              <w:rPr>
                <w:rFonts w:hint="eastAsia" w:hAnsi="宋体" w:eastAsia="宋体" w:cs="宋体"/>
                <w:color w:val="auto"/>
                <w:sz w:val="21"/>
                <w:szCs w:val="21"/>
                <w:highlight w:val="none"/>
              </w:rPr>
            </w:pPr>
            <w:r>
              <w:rPr>
                <w:rFonts w:hint="eastAsia" w:hAnsi="宋体" w:eastAsia="宋体" w:cs="宋体"/>
                <w:color w:val="auto"/>
                <w:sz w:val="21"/>
                <w:szCs w:val="21"/>
                <w:highlight w:val="none"/>
              </w:rPr>
              <w:t>根据《关于在政府采购活动中查询及使用信用记录有关问题的通知》财库[2016]125号的规定：</w:t>
            </w:r>
          </w:p>
          <w:p w14:paraId="1FA59A63">
            <w:pPr>
              <w:shd w:val="clear" w:color="auto"/>
              <w:snapToGrid w:val="0"/>
              <w:spacing w:line="460" w:lineRule="exact"/>
              <w:rPr>
                <w:rFonts w:hint="eastAsia" w:hAnsi="宋体" w:eastAsia="宋体" w:cs="宋体"/>
                <w:color w:val="auto"/>
                <w:sz w:val="21"/>
                <w:szCs w:val="21"/>
                <w:highlight w:val="none"/>
              </w:rPr>
            </w:pPr>
            <w:r>
              <w:rPr>
                <w:rFonts w:hint="eastAsia" w:hAnsi="宋体" w:eastAsia="宋体" w:cs="宋体"/>
                <w:color w:val="auto"/>
                <w:sz w:val="21"/>
                <w:szCs w:val="21"/>
                <w:highlight w:val="none"/>
              </w:rPr>
              <w:t>（1）</w:t>
            </w:r>
            <w:r>
              <w:rPr>
                <w:rFonts w:hint="eastAsia" w:hAnsi="宋体" w:cs="宋体"/>
                <w:color w:val="auto"/>
                <w:sz w:val="21"/>
                <w:szCs w:val="21"/>
                <w:highlight w:val="none"/>
                <w:lang w:eastAsia="zh-CN"/>
              </w:rPr>
              <w:t>采购人</w:t>
            </w:r>
            <w:r>
              <w:rPr>
                <w:rFonts w:hint="eastAsia" w:hAnsi="宋体" w:eastAsia="宋体" w:cs="宋体"/>
                <w:color w:val="auto"/>
                <w:sz w:val="21"/>
                <w:szCs w:val="21"/>
                <w:highlight w:val="none"/>
              </w:rPr>
              <w:t>或采购代理机构将对本项目供应商的信用记录进行查询。查询渠道为信用中国网站（www.creditchina.gov.cn）、中国政府采购网（www.ccgp.gov.cn）；</w:t>
            </w:r>
          </w:p>
          <w:p w14:paraId="6911CF2A">
            <w:pPr>
              <w:shd w:val="clear" w:color="auto"/>
              <w:snapToGrid w:val="0"/>
              <w:spacing w:line="460" w:lineRule="exact"/>
              <w:rPr>
                <w:rFonts w:hint="eastAsia" w:hAnsi="宋体" w:eastAsia="宋体" w:cs="宋体"/>
                <w:color w:val="auto"/>
                <w:sz w:val="21"/>
                <w:szCs w:val="21"/>
                <w:highlight w:val="none"/>
              </w:rPr>
            </w:pPr>
            <w:r>
              <w:rPr>
                <w:rFonts w:hint="eastAsia" w:hAnsi="宋体" w:eastAsia="宋体" w:cs="宋体"/>
                <w:color w:val="auto"/>
                <w:sz w:val="21"/>
                <w:szCs w:val="21"/>
                <w:highlight w:val="none"/>
              </w:rPr>
              <w:t>（2）截止时点：提交投标文件（响应文件）截止时间前3年内；</w:t>
            </w:r>
          </w:p>
          <w:p w14:paraId="11590AD4">
            <w:pPr>
              <w:shd w:val="clear" w:color="auto"/>
              <w:snapToGrid w:val="0"/>
              <w:spacing w:line="460" w:lineRule="exact"/>
              <w:rPr>
                <w:rFonts w:hint="eastAsia" w:hAnsi="宋体" w:eastAsia="宋体" w:cs="宋体"/>
                <w:color w:val="auto"/>
                <w:sz w:val="21"/>
                <w:szCs w:val="21"/>
                <w:highlight w:val="none"/>
              </w:rPr>
            </w:pPr>
            <w:r>
              <w:rPr>
                <w:rFonts w:hint="eastAsia" w:hAnsi="宋体" w:eastAsia="宋体" w:cs="宋体"/>
                <w:color w:val="auto"/>
                <w:sz w:val="21"/>
                <w:szCs w:val="21"/>
                <w:highlight w:val="none"/>
              </w:rPr>
              <w:t>（3）查询记录和证据的留存：信用信息查询记录和证据以网页截图等方式留存。</w:t>
            </w:r>
          </w:p>
          <w:p w14:paraId="37D95414">
            <w:pPr>
              <w:shd w:val="clear" w:color="auto"/>
              <w:snapToGrid w:val="0"/>
              <w:spacing w:line="460" w:lineRule="exact"/>
              <w:rPr>
                <w:rFonts w:hint="eastAsia" w:hAnsi="宋体" w:eastAsia="宋体" w:cs="宋体"/>
                <w:color w:val="auto"/>
                <w:sz w:val="21"/>
                <w:szCs w:val="21"/>
                <w:highlight w:val="none"/>
              </w:rPr>
            </w:pPr>
            <w:r>
              <w:rPr>
                <w:rFonts w:hint="eastAsia" w:hAnsi="宋体" w:eastAsia="宋体" w:cs="宋体"/>
                <w:color w:val="auto"/>
                <w:sz w:val="21"/>
                <w:szCs w:val="21"/>
                <w:highlight w:val="none"/>
              </w:rPr>
              <w:t>（4）使用规则：被列入失信被执行人、重大税收违法案件当事人名单、政府采购严重违法失信行为记录名单</w:t>
            </w:r>
            <w:r>
              <w:rPr>
                <w:rFonts w:hint="eastAsia" w:hAnsi="宋体" w:cs="宋体"/>
                <w:color w:val="auto"/>
                <w:sz w:val="21"/>
                <w:szCs w:val="21"/>
                <w:highlight w:val="none"/>
                <w:lang w:eastAsia="zh-CN"/>
              </w:rPr>
              <w:t>及其他</w:t>
            </w:r>
            <w:r>
              <w:rPr>
                <w:rFonts w:hint="eastAsia" w:hAnsi="宋体" w:eastAsia="宋体" w:cs="宋体"/>
                <w:color w:val="auto"/>
                <w:sz w:val="21"/>
                <w:szCs w:val="21"/>
                <w:highlight w:val="none"/>
              </w:rPr>
              <w:t>不符合《中华人民共和国政府采购法》第二十二条规定条件的，其投标将被拒绝。</w:t>
            </w:r>
          </w:p>
          <w:p w14:paraId="773DA151">
            <w:pPr>
              <w:shd w:val="clear" w:color="auto"/>
              <w:snapToGrid w:val="0"/>
              <w:spacing w:line="460" w:lineRule="exact"/>
              <w:rPr>
                <w:rFonts w:hint="eastAsia" w:hAnsi="宋体" w:eastAsia="宋体" w:cs="宋体"/>
                <w:color w:val="auto"/>
                <w:sz w:val="21"/>
                <w:szCs w:val="21"/>
                <w:highlight w:val="none"/>
              </w:rPr>
            </w:pPr>
            <w:r>
              <w:rPr>
                <w:rFonts w:hint="eastAsia" w:hAnsi="宋体" w:eastAsia="宋体" w:cs="宋体"/>
                <w:color w:val="auto"/>
                <w:sz w:val="21"/>
                <w:szCs w:val="21"/>
                <w:highlight w:val="none"/>
              </w:rPr>
              <w:t>（5）联合体成员任意一方存在不良信用记录的，视同联合体存在不良信用记录。</w:t>
            </w:r>
          </w:p>
        </w:tc>
      </w:tr>
      <w:tr w14:paraId="06BF7BA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20" w:hRule="atLeast"/>
        </w:trPr>
        <w:tc>
          <w:tcPr>
            <w:tcW w:w="733" w:type="dxa"/>
            <w:tcBorders>
              <w:top w:val="single" w:color="auto" w:sz="4" w:space="0"/>
              <w:left w:val="single" w:color="auto" w:sz="4" w:space="0"/>
              <w:bottom w:val="single" w:color="auto" w:sz="4" w:space="0"/>
              <w:right w:val="single" w:color="auto" w:sz="4" w:space="0"/>
            </w:tcBorders>
            <w:noWrap w:val="0"/>
            <w:vAlign w:val="center"/>
          </w:tcPr>
          <w:p w14:paraId="58068845">
            <w:pPr>
              <w:shd w:val="clear" w:color="auto"/>
              <w:snapToGrid w:val="0"/>
              <w:spacing w:line="500" w:lineRule="exact"/>
              <w:jc w:val="center"/>
              <w:rPr>
                <w:rFonts w:hint="eastAsia" w:hAnsi="宋体" w:eastAsia="宋体" w:cs="宋体"/>
                <w:color w:val="auto"/>
                <w:sz w:val="21"/>
                <w:szCs w:val="21"/>
                <w:highlight w:val="none"/>
              </w:rPr>
            </w:pPr>
            <w:r>
              <w:rPr>
                <w:rFonts w:hint="eastAsia" w:hAnsi="宋体" w:eastAsia="宋体" w:cs="宋体"/>
                <w:color w:val="auto"/>
                <w:sz w:val="21"/>
                <w:szCs w:val="21"/>
                <w:highlight w:val="none"/>
              </w:rPr>
              <w:t>6</w:t>
            </w:r>
          </w:p>
        </w:tc>
        <w:tc>
          <w:tcPr>
            <w:tcW w:w="2307" w:type="dxa"/>
            <w:tcBorders>
              <w:top w:val="single" w:color="auto" w:sz="4" w:space="0"/>
              <w:left w:val="single" w:color="auto" w:sz="4" w:space="0"/>
              <w:bottom w:val="single" w:color="auto" w:sz="4" w:space="0"/>
              <w:right w:val="single" w:color="auto" w:sz="4" w:space="0"/>
            </w:tcBorders>
            <w:noWrap w:val="0"/>
            <w:vAlign w:val="center"/>
          </w:tcPr>
          <w:p w14:paraId="008757DA">
            <w:pPr>
              <w:shd w:val="clear" w:color="auto"/>
              <w:snapToGrid w:val="0"/>
              <w:spacing w:line="500" w:lineRule="exact"/>
              <w:rPr>
                <w:rFonts w:hint="eastAsia" w:hAnsi="宋体" w:eastAsia="宋体" w:cs="宋体"/>
                <w:color w:val="auto"/>
                <w:sz w:val="21"/>
                <w:szCs w:val="21"/>
                <w:highlight w:val="none"/>
              </w:rPr>
            </w:pPr>
            <w:r>
              <w:rPr>
                <w:rFonts w:hint="eastAsia" w:hAnsi="宋体" w:eastAsia="宋体" w:cs="宋体"/>
                <w:snapToGrid w:val="0"/>
                <w:color w:val="auto"/>
                <w:sz w:val="21"/>
                <w:szCs w:val="21"/>
                <w:highlight w:val="none"/>
              </w:rPr>
              <w:t>本项目对应的中小企业划分标准所属行业</w:t>
            </w:r>
          </w:p>
        </w:tc>
        <w:tc>
          <w:tcPr>
            <w:tcW w:w="6920" w:type="dxa"/>
            <w:tcBorders>
              <w:top w:val="single" w:color="auto" w:sz="4" w:space="0"/>
              <w:left w:val="single" w:color="auto" w:sz="4" w:space="0"/>
              <w:bottom w:val="single" w:color="auto" w:sz="4" w:space="0"/>
              <w:right w:val="single" w:color="auto" w:sz="4" w:space="0"/>
            </w:tcBorders>
            <w:noWrap w:val="0"/>
            <w:vAlign w:val="center"/>
          </w:tcPr>
          <w:p w14:paraId="249A8BDD">
            <w:pPr>
              <w:shd w:val="clear" w:color="auto"/>
              <w:snapToGrid w:val="0"/>
              <w:spacing w:line="500" w:lineRule="exact"/>
              <w:rPr>
                <w:rFonts w:hint="eastAsia" w:hAnsi="宋体" w:eastAsia="宋体" w:cs="宋体"/>
                <w:color w:val="auto"/>
                <w:highlight w:val="none"/>
              </w:rPr>
            </w:pPr>
            <w:r>
              <w:rPr>
                <w:rFonts w:hint="eastAsia" w:hAnsi="宋体" w:eastAsia="宋体" w:cs="宋体"/>
                <w:color w:val="auto"/>
                <w:sz w:val="21"/>
                <w:szCs w:val="21"/>
                <w:highlight w:val="none"/>
              </w:rPr>
              <w:t>根据《关于印发中小企业划型标准规定的通知》（工信部联企业〔2011〕300号），本项目</w:t>
            </w:r>
            <w:r>
              <w:rPr>
                <w:rFonts w:hint="eastAsia" w:hAnsi="宋体" w:eastAsia="宋体" w:cs="宋体"/>
                <w:snapToGrid w:val="0"/>
                <w:color w:val="auto"/>
                <w:sz w:val="21"/>
                <w:szCs w:val="21"/>
                <w:highlight w:val="none"/>
              </w:rPr>
              <w:t>对应的中小企业</w:t>
            </w:r>
            <w:r>
              <w:rPr>
                <w:rFonts w:hint="eastAsia" w:hAnsi="宋体" w:eastAsia="宋体" w:cs="宋体"/>
                <w:color w:val="auto"/>
                <w:sz w:val="21"/>
                <w:szCs w:val="21"/>
                <w:highlight w:val="none"/>
              </w:rPr>
              <w:t>按所属行业为</w:t>
            </w:r>
            <w:r>
              <w:rPr>
                <w:rFonts w:hint="eastAsia" w:hAnsi="宋体" w:eastAsia="宋体" w:cs="宋体"/>
                <w:color w:val="auto"/>
                <w:sz w:val="21"/>
                <w:szCs w:val="21"/>
                <w:highlight w:val="none"/>
                <w:u w:val="single"/>
              </w:rPr>
              <w:t xml:space="preserve">  </w:t>
            </w:r>
            <w:r>
              <w:rPr>
                <w:rFonts w:hint="eastAsia" w:hAnsi="宋体" w:eastAsia="宋体" w:cs="宋体"/>
                <w:color w:val="auto"/>
                <w:sz w:val="21"/>
                <w:szCs w:val="21"/>
                <w:highlight w:val="none"/>
                <w:u w:val="single"/>
                <w:lang w:eastAsia="zh-CN"/>
              </w:rPr>
              <w:t>其他未列明行业</w:t>
            </w:r>
            <w:r>
              <w:rPr>
                <w:rFonts w:hint="eastAsia" w:hAnsi="宋体" w:eastAsia="宋体" w:cs="宋体"/>
                <w:color w:val="auto"/>
                <w:sz w:val="21"/>
                <w:szCs w:val="21"/>
                <w:highlight w:val="none"/>
                <w:u w:val="single"/>
              </w:rPr>
              <w:t xml:space="preserve"> </w:t>
            </w:r>
            <w:r>
              <w:rPr>
                <w:rFonts w:hint="eastAsia" w:hAnsi="宋体" w:eastAsia="宋体" w:cs="宋体"/>
                <w:color w:val="auto"/>
                <w:sz w:val="21"/>
                <w:szCs w:val="21"/>
                <w:highlight w:val="none"/>
              </w:rPr>
              <w:t>。</w:t>
            </w:r>
          </w:p>
        </w:tc>
      </w:tr>
      <w:tr w14:paraId="1503788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20" w:hRule="atLeast"/>
        </w:trPr>
        <w:tc>
          <w:tcPr>
            <w:tcW w:w="733" w:type="dxa"/>
            <w:tcBorders>
              <w:top w:val="single" w:color="auto" w:sz="4" w:space="0"/>
              <w:left w:val="single" w:color="auto" w:sz="4" w:space="0"/>
              <w:bottom w:val="single" w:color="auto" w:sz="4" w:space="0"/>
              <w:right w:val="single" w:color="auto" w:sz="4" w:space="0"/>
            </w:tcBorders>
            <w:noWrap w:val="0"/>
            <w:vAlign w:val="center"/>
          </w:tcPr>
          <w:p w14:paraId="39655E96">
            <w:pPr>
              <w:shd w:val="clear" w:color="auto"/>
              <w:snapToGrid w:val="0"/>
              <w:spacing w:line="500" w:lineRule="exact"/>
              <w:jc w:val="center"/>
              <w:rPr>
                <w:rFonts w:hint="eastAsia" w:hAnsi="宋体" w:eastAsia="宋体" w:cs="宋体"/>
                <w:color w:val="auto"/>
                <w:sz w:val="21"/>
                <w:szCs w:val="21"/>
                <w:highlight w:val="none"/>
              </w:rPr>
            </w:pPr>
            <w:r>
              <w:rPr>
                <w:rFonts w:hint="eastAsia" w:hAnsi="宋体" w:eastAsia="宋体" w:cs="宋体"/>
                <w:color w:val="auto"/>
                <w:sz w:val="21"/>
                <w:szCs w:val="21"/>
                <w:highlight w:val="none"/>
              </w:rPr>
              <w:t>7</w:t>
            </w:r>
          </w:p>
        </w:tc>
        <w:tc>
          <w:tcPr>
            <w:tcW w:w="2307" w:type="dxa"/>
            <w:tcBorders>
              <w:top w:val="single" w:color="auto" w:sz="4" w:space="0"/>
              <w:left w:val="single" w:color="auto" w:sz="4" w:space="0"/>
              <w:bottom w:val="single" w:color="auto" w:sz="4" w:space="0"/>
              <w:right w:val="single" w:color="auto" w:sz="4" w:space="0"/>
            </w:tcBorders>
            <w:noWrap w:val="0"/>
            <w:vAlign w:val="center"/>
          </w:tcPr>
          <w:p w14:paraId="5BA83313">
            <w:pPr>
              <w:shd w:val="clear" w:color="auto"/>
              <w:snapToGrid w:val="0"/>
              <w:spacing w:line="460" w:lineRule="exact"/>
              <w:rPr>
                <w:rFonts w:hint="eastAsia" w:hAnsi="宋体" w:eastAsia="宋体" w:cs="宋体"/>
                <w:color w:val="auto"/>
                <w:sz w:val="21"/>
                <w:szCs w:val="21"/>
                <w:highlight w:val="none"/>
              </w:rPr>
            </w:pPr>
            <w:r>
              <w:rPr>
                <w:rFonts w:hint="eastAsia" w:hAnsi="宋体" w:eastAsia="宋体" w:cs="宋体"/>
                <w:snapToGrid w:val="0"/>
                <w:color w:val="auto"/>
                <w:sz w:val="21"/>
                <w:szCs w:val="21"/>
                <w:highlight w:val="none"/>
              </w:rPr>
              <w:t>节能产品</w:t>
            </w:r>
          </w:p>
        </w:tc>
        <w:tc>
          <w:tcPr>
            <w:tcW w:w="6920" w:type="dxa"/>
            <w:tcBorders>
              <w:top w:val="single" w:color="auto" w:sz="4" w:space="0"/>
              <w:left w:val="single" w:color="auto" w:sz="4" w:space="0"/>
              <w:bottom w:val="single" w:color="auto" w:sz="4" w:space="0"/>
              <w:right w:val="single" w:color="auto" w:sz="4" w:space="0"/>
            </w:tcBorders>
            <w:noWrap w:val="0"/>
            <w:vAlign w:val="center"/>
          </w:tcPr>
          <w:p w14:paraId="63408C2D">
            <w:pPr>
              <w:shd w:val="clear" w:color="auto"/>
              <w:snapToGrid w:val="0"/>
              <w:spacing w:line="460" w:lineRule="exact"/>
              <w:rPr>
                <w:rFonts w:hint="eastAsia" w:hAnsi="宋体" w:eastAsia="宋体" w:cs="宋体"/>
                <w:color w:val="auto"/>
                <w:sz w:val="21"/>
                <w:szCs w:val="21"/>
                <w:highlight w:val="none"/>
              </w:rPr>
            </w:pPr>
            <w:r>
              <w:rPr>
                <w:rFonts w:hint="eastAsia" w:hAnsi="宋体" w:eastAsia="宋体" w:cs="宋体"/>
                <w:color w:val="auto"/>
                <w:kern w:val="2"/>
                <w:sz w:val="21"/>
                <w:highlight w:val="none"/>
              </w:rPr>
              <w:t>□</w:t>
            </w:r>
            <w:r>
              <w:rPr>
                <w:rFonts w:hint="eastAsia" w:hAnsi="宋体" w:eastAsia="宋体" w:cs="宋体"/>
                <w:color w:val="auto"/>
                <w:sz w:val="21"/>
                <w:szCs w:val="21"/>
                <w:highlight w:val="none"/>
              </w:rPr>
              <w:t xml:space="preserve"> 强制采购节能产品</w:t>
            </w:r>
          </w:p>
          <w:p w14:paraId="5AABF46E">
            <w:pPr>
              <w:pStyle w:val="99"/>
              <w:shd w:val="clear" w:color="auto"/>
              <w:snapToGrid w:val="0"/>
              <w:spacing w:before="0" w:line="460" w:lineRule="exact"/>
              <w:ind w:firstLine="0" w:firstLineChars="0"/>
              <w:rPr>
                <w:rFonts w:hint="eastAsia" w:hAnsi="宋体" w:eastAsia="宋体" w:cs="宋体"/>
                <w:color w:val="auto"/>
                <w:sz w:val="21"/>
                <w:highlight w:val="none"/>
              </w:rPr>
            </w:pPr>
            <w:r>
              <w:rPr>
                <w:rFonts w:hint="eastAsia" w:hAnsi="宋体" w:eastAsia="宋体" w:cs="宋体"/>
                <w:color w:val="auto"/>
                <w:sz w:val="21"/>
                <w:highlight w:val="none"/>
              </w:rPr>
              <w:t>□ 优先采购节能产品</w:t>
            </w:r>
          </w:p>
          <w:p w14:paraId="0FD50961">
            <w:pPr>
              <w:shd w:val="clear" w:color="auto"/>
              <w:snapToGrid w:val="0"/>
              <w:spacing w:line="460" w:lineRule="exact"/>
              <w:rPr>
                <w:rFonts w:hint="eastAsia" w:hAnsi="宋体" w:eastAsia="宋体" w:cs="宋体"/>
                <w:color w:val="auto"/>
                <w:highlight w:val="none"/>
              </w:rPr>
            </w:pPr>
            <w:r>
              <w:rPr>
                <w:rFonts w:hint="eastAsia" w:hAnsi="宋体" w:eastAsia="宋体" w:cs="宋体"/>
                <w:color w:val="auto"/>
                <w:kern w:val="2"/>
                <w:sz w:val="21"/>
                <w:szCs w:val="21"/>
                <w:highlight w:val="none"/>
              </w:rPr>
              <w:sym w:font="Wingdings" w:char="00FE"/>
            </w:r>
            <w:r>
              <w:rPr>
                <w:rFonts w:hint="eastAsia" w:hAnsi="宋体" w:eastAsia="宋体" w:cs="宋体"/>
                <w:color w:val="auto"/>
                <w:kern w:val="2"/>
                <w:sz w:val="21"/>
                <w:szCs w:val="21"/>
                <w:highlight w:val="none"/>
              </w:rPr>
              <w:t xml:space="preserve"> 不适用</w:t>
            </w:r>
          </w:p>
        </w:tc>
      </w:tr>
      <w:tr w14:paraId="108B23B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20" w:hRule="atLeast"/>
        </w:trPr>
        <w:tc>
          <w:tcPr>
            <w:tcW w:w="733" w:type="dxa"/>
            <w:tcBorders>
              <w:top w:val="single" w:color="auto" w:sz="4" w:space="0"/>
              <w:left w:val="single" w:color="auto" w:sz="4" w:space="0"/>
              <w:bottom w:val="single" w:color="auto" w:sz="4" w:space="0"/>
              <w:right w:val="single" w:color="auto" w:sz="4" w:space="0"/>
            </w:tcBorders>
            <w:noWrap w:val="0"/>
            <w:vAlign w:val="center"/>
          </w:tcPr>
          <w:p w14:paraId="02443A13">
            <w:pPr>
              <w:shd w:val="clear" w:color="auto"/>
              <w:snapToGrid w:val="0"/>
              <w:spacing w:line="500" w:lineRule="exact"/>
              <w:jc w:val="center"/>
              <w:rPr>
                <w:rFonts w:hint="eastAsia" w:hAnsi="宋体" w:eastAsia="宋体" w:cs="宋体"/>
                <w:color w:val="auto"/>
                <w:sz w:val="21"/>
                <w:szCs w:val="21"/>
                <w:highlight w:val="none"/>
              </w:rPr>
            </w:pPr>
            <w:r>
              <w:rPr>
                <w:rFonts w:hint="eastAsia" w:hAnsi="宋体" w:eastAsia="宋体" w:cs="宋体"/>
                <w:color w:val="auto"/>
                <w:sz w:val="21"/>
                <w:szCs w:val="21"/>
                <w:highlight w:val="none"/>
              </w:rPr>
              <w:t>8</w:t>
            </w:r>
          </w:p>
        </w:tc>
        <w:tc>
          <w:tcPr>
            <w:tcW w:w="2307" w:type="dxa"/>
            <w:tcBorders>
              <w:top w:val="single" w:color="auto" w:sz="4" w:space="0"/>
              <w:left w:val="single" w:color="auto" w:sz="4" w:space="0"/>
              <w:bottom w:val="single" w:color="auto" w:sz="4" w:space="0"/>
              <w:right w:val="single" w:color="auto" w:sz="4" w:space="0"/>
            </w:tcBorders>
            <w:noWrap w:val="0"/>
            <w:vAlign w:val="center"/>
          </w:tcPr>
          <w:p w14:paraId="7350FB88">
            <w:pPr>
              <w:shd w:val="clear" w:color="auto"/>
              <w:snapToGrid w:val="0"/>
              <w:spacing w:line="460" w:lineRule="exact"/>
              <w:rPr>
                <w:rFonts w:hint="eastAsia" w:hAnsi="宋体" w:eastAsia="宋体" w:cs="宋体"/>
                <w:color w:val="auto"/>
                <w:sz w:val="21"/>
                <w:szCs w:val="21"/>
                <w:highlight w:val="none"/>
              </w:rPr>
            </w:pPr>
            <w:r>
              <w:rPr>
                <w:rFonts w:hint="eastAsia" w:hAnsi="宋体" w:eastAsia="宋体" w:cs="宋体"/>
                <w:snapToGrid w:val="0"/>
                <w:color w:val="auto"/>
                <w:sz w:val="21"/>
                <w:szCs w:val="21"/>
                <w:highlight w:val="none"/>
              </w:rPr>
              <w:t>环境标志产品</w:t>
            </w:r>
          </w:p>
        </w:tc>
        <w:tc>
          <w:tcPr>
            <w:tcW w:w="6920" w:type="dxa"/>
            <w:tcBorders>
              <w:top w:val="single" w:color="auto" w:sz="4" w:space="0"/>
              <w:left w:val="single" w:color="auto" w:sz="4" w:space="0"/>
              <w:bottom w:val="single" w:color="auto" w:sz="4" w:space="0"/>
              <w:right w:val="single" w:color="auto" w:sz="4" w:space="0"/>
            </w:tcBorders>
            <w:noWrap w:val="0"/>
            <w:vAlign w:val="center"/>
          </w:tcPr>
          <w:p w14:paraId="05E01DF8">
            <w:pPr>
              <w:pStyle w:val="99"/>
              <w:shd w:val="clear" w:color="auto"/>
              <w:snapToGrid w:val="0"/>
              <w:spacing w:before="0" w:line="460" w:lineRule="exact"/>
              <w:ind w:firstLine="0" w:firstLineChars="0"/>
              <w:rPr>
                <w:rFonts w:hint="eastAsia" w:hAnsi="宋体" w:eastAsia="宋体" w:cs="宋体"/>
                <w:color w:val="auto"/>
                <w:sz w:val="21"/>
                <w:highlight w:val="none"/>
              </w:rPr>
            </w:pPr>
            <w:r>
              <w:rPr>
                <w:rFonts w:hint="eastAsia" w:hAnsi="宋体" w:eastAsia="宋体" w:cs="宋体"/>
                <w:color w:val="auto"/>
                <w:sz w:val="21"/>
                <w:highlight w:val="none"/>
              </w:rPr>
              <w:t>□ 优先采购环境标志产品</w:t>
            </w:r>
          </w:p>
          <w:p w14:paraId="6F7E61A2">
            <w:pPr>
              <w:shd w:val="clear" w:color="auto"/>
              <w:snapToGrid w:val="0"/>
              <w:spacing w:line="460" w:lineRule="exact"/>
              <w:rPr>
                <w:rFonts w:hint="eastAsia" w:hAnsi="宋体" w:eastAsia="宋体" w:cs="宋体"/>
                <w:color w:val="auto"/>
                <w:highlight w:val="none"/>
              </w:rPr>
            </w:pPr>
            <w:r>
              <w:rPr>
                <w:rFonts w:hint="eastAsia" w:hAnsi="宋体" w:eastAsia="宋体" w:cs="宋体"/>
                <w:color w:val="auto"/>
                <w:sz w:val="21"/>
                <w:szCs w:val="21"/>
                <w:highlight w:val="none"/>
              </w:rPr>
              <w:sym w:font="Wingdings" w:char="00FE"/>
            </w:r>
            <w:r>
              <w:rPr>
                <w:rFonts w:hint="eastAsia" w:hAnsi="宋体" w:eastAsia="宋体" w:cs="宋体"/>
                <w:color w:val="auto"/>
                <w:sz w:val="21"/>
                <w:szCs w:val="21"/>
                <w:highlight w:val="none"/>
              </w:rPr>
              <w:t xml:space="preserve"> 不适用</w:t>
            </w:r>
          </w:p>
        </w:tc>
      </w:tr>
      <w:tr w14:paraId="3283E29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20" w:hRule="atLeast"/>
        </w:trPr>
        <w:tc>
          <w:tcPr>
            <w:tcW w:w="733" w:type="dxa"/>
            <w:tcBorders>
              <w:top w:val="single" w:color="auto" w:sz="4" w:space="0"/>
              <w:left w:val="single" w:color="auto" w:sz="4" w:space="0"/>
              <w:bottom w:val="single" w:color="auto" w:sz="4" w:space="0"/>
              <w:right w:val="single" w:color="auto" w:sz="4" w:space="0"/>
            </w:tcBorders>
            <w:noWrap w:val="0"/>
            <w:vAlign w:val="center"/>
          </w:tcPr>
          <w:p w14:paraId="4BD5DFCE">
            <w:pPr>
              <w:shd w:val="clear" w:color="auto"/>
              <w:snapToGrid w:val="0"/>
              <w:spacing w:line="460" w:lineRule="exact"/>
              <w:jc w:val="center"/>
              <w:rPr>
                <w:rFonts w:hint="eastAsia" w:hAnsi="宋体" w:eastAsia="宋体" w:cs="宋体"/>
                <w:color w:val="auto"/>
                <w:sz w:val="21"/>
                <w:szCs w:val="21"/>
                <w:highlight w:val="none"/>
              </w:rPr>
            </w:pPr>
            <w:r>
              <w:rPr>
                <w:rFonts w:hint="eastAsia" w:hAnsi="宋体" w:eastAsia="宋体" w:cs="宋体"/>
                <w:color w:val="auto"/>
                <w:sz w:val="21"/>
                <w:szCs w:val="21"/>
                <w:highlight w:val="none"/>
              </w:rPr>
              <w:t>9</w:t>
            </w:r>
          </w:p>
        </w:tc>
        <w:tc>
          <w:tcPr>
            <w:tcW w:w="9227" w:type="dxa"/>
            <w:gridSpan w:val="2"/>
            <w:tcBorders>
              <w:top w:val="single" w:color="auto" w:sz="4" w:space="0"/>
              <w:left w:val="single" w:color="auto" w:sz="4" w:space="0"/>
              <w:bottom w:val="single" w:color="auto" w:sz="4" w:space="0"/>
              <w:right w:val="single" w:color="auto" w:sz="4" w:space="0"/>
            </w:tcBorders>
            <w:noWrap w:val="0"/>
            <w:vAlign w:val="center"/>
          </w:tcPr>
          <w:p w14:paraId="4DE209A5">
            <w:pPr>
              <w:shd w:val="clear" w:color="auto"/>
              <w:snapToGrid w:val="0"/>
              <w:spacing w:line="460" w:lineRule="exact"/>
              <w:jc w:val="both"/>
              <w:textAlignment w:val="bottom"/>
              <w:rPr>
                <w:rFonts w:hint="eastAsia" w:hAnsi="宋体" w:eastAsia="宋体" w:cs="宋体"/>
                <w:bCs/>
                <w:color w:val="auto"/>
                <w:sz w:val="21"/>
                <w:szCs w:val="21"/>
                <w:highlight w:val="none"/>
              </w:rPr>
            </w:pPr>
            <w:r>
              <w:rPr>
                <w:rFonts w:hint="eastAsia" w:hAnsi="宋体" w:eastAsia="宋体" w:cs="宋体"/>
                <w:b/>
                <w:color w:val="auto"/>
                <w:sz w:val="21"/>
                <w:szCs w:val="21"/>
                <w:highlight w:val="none"/>
              </w:rPr>
              <w:t>投标文件的递交：</w:t>
            </w:r>
          </w:p>
          <w:p w14:paraId="002C12FF">
            <w:pPr>
              <w:shd w:val="clear" w:color="auto"/>
              <w:snapToGrid w:val="0"/>
              <w:spacing w:line="460" w:lineRule="exact"/>
              <w:jc w:val="both"/>
              <w:textAlignment w:val="bottom"/>
              <w:rPr>
                <w:rFonts w:hint="eastAsia" w:hAnsi="宋体" w:eastAsia="宋体" w:cs="宋体"/>
                <w:bCs/>
                <w:color w:val="auto"/>
                <w:sz w:val="21"/>
                <w:szCs w:val="21"/>
                <w:highlight w:val="none"/>
              </w:rPr>
            </w:pPr>
            <w:r>
              <w:rPr>
                <w:rFonts w:hint="eastAsia" w:ascii="宋体" w:hAnsi="宋体" w:eastAsia="宋体" w:cs="宋体"/>
                <w:bCs/>
                <w:color w:val="auto"/>
                <w:sz w:val="21"/>
                <w:szCs w:val="21"/>
                <w:highlight w:val="none"/>
              </w:rPr>
              <w:t>本项目投标文件分</w:t>
            </w:r>
            <w:r>
              <w:rPr>
                <w:rFonts w:hint="eastAsia" w:ascii="宋体" w:hAnsi="宋体" w:eastAsia="宋体" w:cs="宋体"/>
                <w:b/>
                <w:color w:val="auto"/>
                <w:sz w:val="21"/>
                <w:szCs w:val="21"/>
                <w:highlight w:val="none"/>
              </w:rPr>
              <w:t>资格文件、商务技术文件</w:t>
            </w:r>
            <w:r>
              <w:rPr>
                <w:rFonts w:hint="eastAsia" w:ascii="宋体" w:hAnsi="宋体" w:eastAsia="宋体" w:cs="宋体"/>
                <w:b/>
                <w:bCs/>
                <w:color w:val="auto"/>
                <w:sz w:val="21"/>
                <w:szCs w:val="21"/>
                <w:highlight w:val="none"/>
              </w:rPr>
              <w:t>、</w:t>
            </w:r>
            <w:r>
              <w:rPr>
                <w:rFonts w:hint="eastAsia" w:ascii="宋体" w:hAnsi="宋体" w:eastAsia="宋体" w:cs="宋体"/>
                <w:b/>
                <w:color w:val="auto"/>
                <w:sz w:val="21"/>
                <w:szCs w:val="21"/>
                <w:highlight w:val="none"/>
              </w:rPr>
              <w:t>报价文件</w:t>
            </w:r>
            <w:r>
              <w:rPr>
                <w:rFonts w:hint="eastAsia" w:ascii="宋体" w:hAnsi="宋体" w:eastAsia="宋体" w:cs="宋体"/>
                <w:b/>
                <w:bCs/>
                <w:color w:val="auto"/>
                <w:sz w:val="21"/>
                <w:szCs w:val="21"/>
                <w:highlight w:val="none"/>
                <w:lang w:val="en-US" w:eastAsia="zh-CN"/>
              </w:rPr>
              <w:t>三</w:t>
            </w:r>
            <w:r>
              <w:rPr>
                <w:rFonts w:hint="eastAsia" w:ascii="宋体" w:hAnsi="宋体" w:eastAsia="宋体" w:cs="宋体"/>
                <w:b/>
                <w:bCs/>
                <w:color w:val="auto"/>
                <w:sz w:val="21"/>
                <w:szCs w:val="21"/>
                <w:highlight w:val="none"/>
              </w:rPr>
              <w:t>部分</w:t>
            </w:r>
            <w:r>
              <w:rPr>
                <w:rFonts w:hint="eastAsia" w:hAnsi="宋体" w:eastAsia="宋体" w:cs="宋体"/>
                <w:color w:val="auto"/>
                <w:sz w:val="21"/>
                <w:szCs w:val="21"/>
                <w:highlight w:val="none"/>
              </w:rPr>
              <w:t>。</w:t>
            </w:r>
            <w:r>
              <w:rPr>
                <w:rFonts w:hint="eastAsia" w:hAnsi="宋体" w:eastAsia="宋体" w:cs="宋体"/>
                <w:bCs/>
                <w:color w:val="auto"/>
                <w:sz w:val="21"/>
                <w:szCs w:val="21"/>
                <w:highlight w:val="none"/>
              </w:rPr>
              <w:t>投标人应以以下方式递交投标文件：</w:t>
            </w:r>
          </w:p>
          <w:p w14:paraId="27B0C78D">
            <w:pPr>
              <w:pStyle w:val="46"/>
              <w:shd w:val="clear" w:color="auto"/>
              <w:snapToGrid w:val="0"/>
              <w:spacing w:after="0" w:line="460" w:lineRule="exact"/>
              <w:ind w:left="0" w:leftChars="0" w:firstLine="0"/>
              <w:jc w:val="left"/>
              <w:rPr>
                <w:rFonts w:hint="eastAsia" w:ascii="宋体" w:hAnsi="宋体" w:cs="宋体"/>
                <w:bCs/>
                <w:color w:val="auto"/>
                <w:sz w:val="21"/>
                <w:szCs w:val="21"/>
                <w:highlight w:val="none"/>
              </w:rPr>
            </w:pPr>
            <w:r>
              <w:rPr>
                <w:rFonts w:hint="eastAsia" w:ascii="宋体" w:hAnsi="宋体" w:cs="宋体"/>
                <w:bCs/>
                <w:color w:val="auto"/>
                <w:sz w:val="21"/>
                <w:szCs w:val="21"/>
                <w:highlight w:val="none"/>
              </w:rPr>
              <w:t>★1.本项目实行“网上</w:t>
            </w:r>
            <w:r>
              <w:rPr>
                <w:rFonts w:hint="eastAsia" w:ascii="宋体" w:hAnsi="宋体" w:cs="宋体"/>
                <w:snapToGrid w:val="0"/>
                <w:color w:val="auto"/>
                <w:sz w:val="21"/>
                <w:szCs w:val="21"/>
                <w:highlight w:val="none"/>
              </w:rPr>
              <w:t>电子</w:t>
            </w:r>
            <w:r>
              <w:rPr>
                <w:rFonts w:hint="eastAsia" w:ascii="宋体" w:hAnsi="宋体" w:cs="宋体"/>
                <w:bCs/>
                <w:color w:val="auto"/>
                <w:sz w:val="21"/>
                <w:szCs w:val="21"/>
                <w:highlight w:val="none"/>
              </w:rPr>
              <w:t>投标、电子评标”，投标人应于投标截止时间前在“政采云”（</w:t>
            </w:r>
            <w:r>
              <w:rPr>
                <w:rFonts w:hint="eastAsia" w:ascii="宋体" w:hAnsi="宋体" w:cs="宋体"/>
                <w:color w:val="auto"/>
                <w:sz w:val="21"/>
                <w:szCs w:val="21"/>
                <w:highlight w:val="none"/>
                <w:shd w:val="clear" w:color="auto" w:fill="FFFFFF"/>
              </w:rPr>
              <w:t xml:space="preserve"> 电子交易客户端</w:t>
            </w:r>
            <w:r>
              <w:rPr>
                <w:rFonts w:hint="eastAsia" w:ascii="宋体" w:hAnsi="宋体" w:cs="宋体"/>
                <w:bCs/>
                <w:color w:val="auto"/>
                <w:sz w:val="21"/>
                <w:szCs w:val="21"/>
                <w:highlight w:val="none"/>
              </w:rPr>
              <w:t>）上传输、递交电子版投标文件（包括资格文件、商务技术文件和报价文件）；</w:t>
            </w:r>
          </w:p>
          <w:p w14:paraId="26BC9150">
            <w:pPr>
              <w:shd w:val="clear" w:color="auto"/>
              <w:snapToGrid w:val="0"/>
              <w:spacing w:line="460" w:lineRule="exact"/>
              <w:jc w:val="both"/>
              <w:textAlignment w:val="bottom"/>
              <w:rPr>
                <w:rFonts w:hint="eastAsia" w:hAnsi="宋体" w:eastAsia="宋体" w:cs="宋体"/>
                <w:bCs/>
                <w:color w:val="auto"/>
                <w:sz w:val="21"/>
                <w:szCs w:val="21"/>
                <w:highlight w:val="none"/>
              </w:rPr>
            </w:pPr>
            <w:r>
              <w:rPr>
                <w:rFonts w:hint="eastAsia" w:hAnsi="宋体" w:eastAsia="宋体" w:cs="宋体"/>
                <w:bCs/>
                <w:color w:val="auto"/>
                <w:sz w:val="21"/>
                <w:szCs w:val="21"/>
                <w:highlight w:val="none"/>
              </w:rPr>
              <w:t>2.本招标文件所涉及的法定代表人或其授权代表签字或盖章的内容，如果投标人没有法定代表人电子签章，</w:t>
            </w:r>
            <w:r>
              <w:rPr>
                <w:rFonts w:hint="eastAsia" w:hAnsi="宋体" w:eastAsia="宋体" w:cs="宋体"/>
                <w:bCs/>
                <w:color w:val="auto"/>
                <w:sz w:val="21"/>
                <w:szCs w:val="21"/>
                <w:highlight w:val="none"/>
                <w:lang w:eastAsia="zh-CN"/>
              </w:rPr>
              <w:t>涉及</w:t>
            </w:r>
            <w:r>
              <w:rPr>
                <w:rFonts w:hint="eastAsia" w:hAnsi="宋体" w:eastAsia="宋体" w:cs="宋体"/>
                <w:bCs/>
                <w:color w:val="auto"/>
                <w:sz w:val="21"/>
                <w:szCs w:val="21"/>
                <w:highlight w:val="none"/>
              </w:rPr>
              <w:t xml:space="preserve">法定代表人或其授权代表签字或盖章的内容，投标人可以线下签字或盖章后扫描上传。  </w:t>
            </w:r>
          </w:p>
          <w:p w14:paraId="0096FD49">
            <w:pPr>
              <w:shd w:val="clear" w:color="auto"/>
              <w:snapToGrid w:val="0"/>
              <w:spacing w:line="460" w:lineRule="exact"/>
              <w:jc w:val="both"/>
              <w:textAlignment w:val="bottom"/>
              <w:rPr>
                <w:rFonts w:hint="eastAsia" w:hAnsi="宋体" w:eastAsia="宋体" w:cs="宋体"/>
                <w:b/>
                <w:color w:val="auto"/>
                <w:sz w:val="21"/>
                <w:szCs w:val="21"/>
                <w:highlight w:val="none"/>
              </w:rPr>
            </w:pPr>
            <w:r>
              <w:rPr>
                <w:rFonts w:hint="eastAsia" w:hAnsi="宋体" w:eastAsia="宋体" w:cs="宋体"/>
                <w:color w:val="auto"/>
                <w:sz w:val="21"/>
                <w:szCs w:val="21"/>
                <w:highlight w:val="none"/>
                <w:shd w:val="clear" w:color="auto" w:fill="FFFFFF"/>
              </w:rPr>
              <w:t>★3.联合体投标的，须以联合体投标人的牵头单位的CA进行投标文件制作。</w:t>
            </w:r>
          </w:p>
        </w:tc>
      </w:tr>
      <w:tr w14:paraId="240CE01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20" w:hRule="atLeast"/>
        </w:trPr>
        <w:tc>
          <w:tcPr>
            <w:tcW w:w="733" w:type="dxa"/>
            <w:tcBorders>
              <w:top w:val="single" w:color="auto" w:sz="4" w:space="0"/>
              <w:left w:val="single" w:color="auto" w:sz="4" w:space="0"/>
              <w:bottom w:val="single" w:color="auto" w:sz="4" w:space="0"/>
              <w:right w:val="single" w:color="auto" w:sz="4" w:space="0"/>
            </w:tcBorders>
            <w:noWrap w:val="0"/>
            <w:vAlign w:val="center"/>
          </w:tcPr>
          <w:p w14:paraId="441F673B">
            <w:pPr>
              <w:shd w:val="clear" w:color="auto"/>
              <w:snapToGrid w:val="0"/>
              <w:spacing w:line="460" w:lineRule="exact"/>
              <w:jc w:val="center"/>
              <w:rPr>
                <w:rFonts w:hint="eastAsia" w:hAnsi="宋体" w:eastAsia="宋体" w:cs="宋体"/>
                <w:color w:val="auto"/>
                <w:sz w:val="21"/>
                <w:szCs w:val="21"/>
                <w:highlight w:val="none"/>
              </w:rPr>
            </w:pPr>
            <w:r>
              <w:rPr>
                <w:rFonts w:hint="eastAsia" w:hAnsi="宋体" w:eastAsia="宋体" w:cs="宋体"/>
                <w:color w:val="auto"/>
                <w:sz w:val="21"/>
                <w:szCs w:val="21"/>
                <w:highlight w:val="none"/>
              </w:rPr>
              <w:t>10</w:t>
            </w:r>
          </w:p>
        </w:tc>
        <w:tc>
          <w:tcPr>
            <w:tcW w:w="9227" w:type="dxa"/>
            <w:gridSpan w:val="2"/>
            <w:tcBorders>
              <w:top w:val="single" w:color="auto" w:sz="4" w:space="0"/>
              <w:left w:val="single" w:color="auto" w:sz="4" w:space="0"/>
              <w:bottom w:val="single" w:color="auto" w:sz="4" w:space="0"/>
              <w:right w:val="single" w:color="auto" w:sz="4" w:space="0"/>
            </w:tcBorders>
            <w:noWrap w:val="0"/>
            <w:vAlign w:val="center"/>
          </w:tcPr>
          <w:p w14:paraId="066FF300">
            <w:pPr>
              <w:shd w:val="clear" w:color="auto"/>
              <w:snapToGrid w:val="0"/>
              <w:spacing w:line="460" w:lineRule="exact"/>
              <w:rPr>
                <w:rFonts w:hint="eastAsia" w:hAnsi="宋体" w:eastAsia="宋体" w:cs="宋体"/>
                <w:color w:val="auto"/>
                <w:sz w:val="21"/>
                <w:szCs w:val="21"/>
                <w:highlight w:val="none"/>
              </w:rPr>
            </w:pPr>
            <w:r>
              <w:rPr>
                <w:rFonts w:hint="eastAsia" w:hAnsi="宋体" w:eastAsia="宋体" w:cs="宋体"/>
                <w:color w:val="auto"/>
                <w:sz w:val="21"/>
                <w:szCs w:val="21"/>
                <w:highlight w:val="none"/>
              </w:rPr>
              <w:t>投标截止时间及地点：</w:t>
            </w:r>
          </w:p>
          <w:p w14:paraId="7F5FD01C">
            <w:pPr>
              <w:shd w:val="clear" w:color="auto"/>
              <w:snapToGrid w:val="0"/>
              <w:spacing w:line="460" w:lineRule="exact"/>
              <w:rPr>
                <w:rFonts w:hint="eastAsia" w:hAnsi="宋体" w:eastAsia="宋体" w:cs="宋体"/>
                <w:bCs/>
                <w:color w:val="auto"/>
                <w:sz w:val="21"/>
                <w:szCs w:val="21"/>
                <w:highlight w:val="none"/>
              </w:rPr>
            </w:pPr>
            <w:r>
              <w:rPr>
                <w:rFonts w:hint="eastAsia" w:hAnsi="宋体" w:eastAsia="宋体" w:cs="宋体"/>
                <w:color w:val="auto"/>
                <w:sz w:val="21"/>
                <w:szCs w:val="21"/>
                <w:highlight w:val="none"/>
              </w:rPr>
              <w:t>投标人应当在投标截止时间前在“政采云”（电子交易平台）上自行上传加密的电子投标（响应）文件。投标截止时间后递交的电子投标（响应）文件，将被政采云平台拒收。</w:t>
            </w:r>
          </w:p>
        </w:tc>
      </w:tr>
      <w:tr w14:paraId="34360E7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37" w:hRule="atLeast"/>
        </w:trPr>
        <w:tc>
          <w:tcPr>
            <w:tcW w:w="733" w:type="dxa"/>
            <w:tcBorders>
              <w:top w:val="single" w:color="auto" w:sz="4" w:space="0"/>
              <w:left w:val="single" w:color="auto" w:sz="4" w:space="0"/>
              <w:bottom w:val="single" w:color="auto" w:sz="4" w:space="0"/>
              <w:right w:val="single" w:color="auto" w:sz="4" w:space="0"/>
            </w:tcBorders>
            <w:noWrap w:val="0"/>
            <w:vAlign w:val="center"/>
          </w:tcPr>
          <w:p w14:paraId="16CC9527">
            <w:pPr>
              <w:shd w:val="clear" w:color="auto"/>
              <w:snapToGrid w:val="0"/>
              <w:spacing w:line="460" w:lineRule="exact"/>
              <w:jc w:val="center"/>
              <w:rPr>
                <w:rFonts w:hint="eastAsia" w:hAnsi="宋体" w:eastAsia="宋体" w:cs="宋体"/>
                <w:color w:val="auto"/>
                <w:sz w:val="21"/>
                <w:szCs w:val="21"/>
                <w:highlight w:val="none"/>
              </w:rPr>
            </w:pPr>
            <w:r>
              <w:rPr>
                <w:rFonts w:hint="eastAsia" w:hAnsi="宋体" w:eastAsia="宋体" w:cs="宋体"/>
                <w:color w:val="auto"/>
                <w:sz w:val="21"/>
                <w:szCs w:val="21"/>
                <w:highlight w:val="none"/>
              </w:rPr>
              <w:t>11</w:t>
            </w:r>
          </w:p>
        </w:tc>
        <w:tc>
          <w:tcPr>
            <w:tcW w:w="9227" w:type="dxa"/>
            <w:gridSpan w:val="2"/>
            <w:tcBorders>
              <w:top w:val="single" w:color="auto" w:sz="4" w:space="0"/>
              <w:left w:val="single" w:color="auto" w:sz="4" w:space="0"/>
              <w:bottom w:val="single" w:color="auto" w:sz="4" w:space="0"/>
              <w:right w:val="single" w:color="auto" w:sz="4" w:space="0"/>
            </w:tcBorders>
            <w:noWrap w:val="0"/>
            <w:vAlign w:val="center"/>
          </w:tcPr>
          <w:p w14:paraId="4A63795A">
            <w:pPr>
              <w:shd w:val="clear" w:color="auto"/>
              <w:snapToGrid w:val="0"/>
              <w:spacing w:line="460" w:lineRule="exact"/>
              <w:jc w:val="both"/>
              <w:textAlignment w:val="bottom"/>
              <w:rPr>
                <w:rFonts w:hint="eastAsia" w:hAnsi="宋体" w:eastAsia="宋体" w:cs="宋体"/>
                <w:bCs/>
                <w:color w:val="auto"/>
                <w:sz w:val="21"/>
                <w:szCs w:val="21"/>
                <w:highlight w:val="none"/>
              </w:rPr>
            </w:pPr>
            <w:r>
              <w:rPr>
                <w:rFonts w:hint="eastAsia" w:hAnsi="宋体" w:eastAsia="宋体" w:cs="宋体"/>
                <w:color w:val="auto"/>
                <w:sz w:val="21"/>
                <w:szCs w:val="21"/>
                <w:highlight w:val="none"/>
              </w:rPr>
              <w:t>截止开标时间，政采云（电子交易平台）自动提取所有投标文件，投标人须在解密时限内完成解密，解密时限为30分钟，投标人在规定的时间内都已解密完成，则系统自动结束解密，采购代理机构开启投标文件；除另有规定外，投标人未能在约定的解密时限内完成解密的，系统将默认其自动放弃投标。</w:t>
            </w:r>
          </w:p>
        </w:tc>
      </w:tr>
      <w:tr w14:paraId="6986AE7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37" w:hRule="atLeast"/>
        </w:trPr>
        <w:tc>
          <w:tcPr>
            <w:tcW w:w="733" w:type="dxa"/>
            <w:tcBorders>
              <w:top w:val="single" w:color="auto" w:sz="4" w:space="0"/>
              <w:left w:val="single" w:color="auto" w:sz="4" w:space="0"/>
              <w:bottom w:val="single" w:color="auto" w:sz="4" w:space="0"/>
              <w:right w:val="single" w:color="auto" w:sz="4" w:space="0"/>
            </w:tcBorders>
            <w:noWrap w:val="0"/>
            <w:vAlign w:val="center"/>
          </w:tcPr>
          <w:p w14:paraId="6AE29F92">
            <w:pPr>
              <w:shd w:val="clear" w:color="auto"/>
              <w:snapToGrid w:val="0"/>
              <w:spacing w:line="460" w:lineRule="exact"/>
              <w:jc w:val="center"/>
              <w:rPr>
                <w:rFonts w:hint="eastAsia" w:hAnsi="宋体" w:eastAsia="宋体" w:cs="宋体"/>
                <w:color w:val="auto"/>
                <w:sz w:val="21"/>
                <w:szCs w:val="21"/>
                <w:highlight w:val="none"/>
              </w:rPr>
            </w:pPr>
            <w:r>
              <w:rPr>
                <w:rFonts w:hint="eastAsia" w:hAnsi="宋体" w:eastAsia="宋体" w:cs="宋体"/>
                <w:color w:val="auto"/>
                <w:sz w:val="21"/>
                <w:szCs w:val="21"/>
                <w:highlight w:val="none"/>
              </w:rPr>
              <w:t>12</w:t>
            </w:r>
          </w:p>
        </w:tc>
        <w:tc>
          <w:tcPr>
            <w:tcW w:w="9227" w:type="dxa"/>
            <w:gridSpan w:val="2"/>
            <w:tcBorders>
              <w:top w:val="single" w:color="auto" w:sz="4" w:space="0"/>
              <w:left w:val="single" w:color="auto" w:sz="4" w:space="0"/>
              <w:bottom w:val="single" w:color="auto" w:sz="4" w:space="0"/>
              <w:right w:val="single" w:color="auto" w:sz="4" w:space="0"/>
            </w:tcBorders>
            <w:noWrap w:val="0"/>
            <w:vAlign w:val="center"/>
          </w:tcPr>
          <w:p w14:paraId="77E85BAC">
            <w:pPr>
              <w:shd w:val="clear" w:color="auto"/>
              <w:snapToGrid w:val="0"/>
              <w:spacing w:line="460" w:lineRule="exact"/>
              <w:rPr>
                <w:rFonts w:hint="eastAsia" w:ascii="宋体" w:hAnsi="宋体" w:eastAsia="宋体" w:cs="宋体"/>
                <w:color w:val="auto"/>
                <w:sz w:val="21"/>
                <w:szCs w:val="21"/>
                <w:highlight w:val="none"/>
              </w:rPr>
            </w:pPr>
            <w:r>
              <w:rPr>
                <w:rFonts w:hint="eastAsia" w:hAnsi="宋体" w:eastAsia="宋体" w:cs="宋体"/>
                <w:b/>
                <w:color w:val="auto"/>
                <w:sz w:val="21"/>
                <w:szCs w:val="21"/>
                <w:highlight w:val="none"/>
              </w:rPr>
              <w:t xml:space="preserve">履约保证金的收取及退还: </w:t>
            </w:r>
            <w:r>
              <w:rPr>
                <w:rFonts w:hint="eastAsia" w:ascii="宋体" w:hAnsi="宋体" w:eastAsia="宋体" w:cs="宋体"/>
                <w:color w:val="auto"/>
                <w:sz w:val="21"/>
                <w:szCs w:val="21"/>
                <w:highlight w:val="none"/>
              </w:rPr>
              <w:t>中标供应商须交纳合同金额1%的履约保证金至采购人指定账户。在中标人与采购人签订合同后7个工作日内递交，投标人需以支票、汇票、本票或者金融机构、保险公司、担保机构出具的保函/保险（可在政采云平台购买，咨询热线4009039583）等非现金形式提交。履约保证金（或履约保函）在中标人按合同约定提供服务至服务期满，且服务已达到采购文件与合同约定的要求及中标人响应文件的承诺后15天内，予以无息退还（或撤销履约保函）。</w:t>
            </w:r>
          </w:p>
          <w:p w14:paraId="72A0E84A">
            <w:pPr>
              <w:shd w:val="clear" w:color="auto"/>
              <w:snapToGrid w:val="0"/>
              <w:spacing w:line="460" w:lineRule="exact"/>
              <w:textAlignment w:val="bottom"/>
              <w:rPr>
                <w:rFonts w:hint="default"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t>备注：为支持和促进中小企业发展，进一步发挥政府采购政策功能，浙江省财政厅出台浙财采监〔2020〕3 号文件，企业若有购买保险/保函或者融资意向，</w:t>
            </w:r>
            <w:r>
              <w:rPr>
                <w:rFonts w:hint="eastAsia" w:hAnsi="宋体" w:cs="宋体"/>
                <w:color w:val="auto"/>
                <w:sz w:val="21"/>
                <w:szCs w:val="21"/>
                <w:highlight w:val="none"/>
                <w:lang w:eastAsia="zh-CN"/>
              </w:rPr>
              <w:t>可登录</w:t>
            </w:r>
            <w:r>
              <w:rPr>
                <w:rFonts w:hint="eastAsia" w:ascii="宋体" w:hAnsi="宋体" w:eastAsia="宋体" w:cs="宋体"/>
                <w:color w:val="auto"/>
                <w:sz w:val="21"/>
                <w:szCs w:val="21"/>
                <w:highlight w:val="none"/>
              </w:rPr>
              <w:t>政采云平台融资服务（https://jinrong.zcygov.cn/），查看相应融资政策文件及各相关服务方案，咨询热线400-903-9583。</w:t>
            </w:r>
          </w:p>
        </w:tc>
      </w:tr>
      <w:tr w14:paraId="058C92E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94" w:hRule="atLeast"/>
        </w:trPr>
        <w:tc>
          <w:tcPr>
            <w:tcW w:w="733" w:type="dxa"/>
            <w:tcBorders>
              <w:top w:val="single" w:color="auto" w:sz="4" w:space="0"/>
              <w:left w:val="single" w:color="auto" w:sz="4" w:space="0"/>
              <w:bottom w:val="single" w:color="auto" w:sz="4" w:space="0"/>
              <w:right w:val="single" w:color="auto" w:sz="4" w:space="0"/>
            </w:tcBorders>
            <w:noWrap w:val="0"/>
            <w:vAlign w:val="center"/>
          </w:tcPr>
          <w:p w14:paraId="6EEF5D50">
            <w:pPr>
              <w:shd w:val="clear" w:color="auto"/>
              <w:snapToGrid w:val="0"/>
              <w:spacing w:line="460" w:lineRule="exact"/>
              <w:jc w:val="center"/>
              <w:rPr>
                <w:rFonts w:hint="eastAsia" w:hAnsi="宋体" w:eastAsia="宋体" w:cs="宋体"/>
                <w:color w:val="auto"/>
                <w:sz w:val="21"/>
                <w:szCs w:val="21"/>
                <w:highlight w:val="none"/>
              </w:rPr>
            </w:pPr>
            <w:r>
              <w:rPr>
                <w:rFonts w:hint="eastAsia" w:hAnsi="宋体" w:eastAsia="宋体" w:cs="宋体"/>
                <w:color w:val="auto"/>
                <w:sz w:val="21"/>
                <w:szCs w:val="21"/>
                <w:highlight w:val="none"/>
              </w:rPr>
              <w:t>13</w:t>
            </w:r>
          </w:p>
        </w:tc>
        <w:tc>
          <w:tcPr>
            <w:tcW w:w="9227" w:type="dxa"/>
            <w:gridSpan w:val="2"/>
            <w:tcBorders>
              <w:top w:val="single" w:color="auto" w:sz="4" w:space="0"/>
              <w:left w:val="single" w:color="auto" w:sz="4" w:space="0"/>
              <w:bottom w:val="single" w:color="auto" w:sz="4" w:space="0"/>
              <w:right w:val="single" w:color="auto" w:sz="4" w:space="0"/>
            </w:tcBorders>
            <w:noWrap w:val="0"/>
            <w:vAlign w:val="center"/>
          </w:tcPr>
          <w:p w14:paraId="6BD4B68E">
            <w:pPr>
              <w:shd w:val="clear" w:color="auto"/>
              <w:snapToGrid w:val="0"/>
              <w:spacing w:line="460" w:lineRule="exact"/>
              <w:textAlignment w:val="bottom"/>
              <w:rPr>
                <w:rFonts w:hint="eastAsia" w:hAnsi="宋体" w:eastAsia="宋体" w:cs="宋体"/>
                <w:color w:val="auto"/>
                <w:sz w:val="21"/>
                <w:szCs w:val="21"/>
                <w:highlight w:val="none"/>
              </w:rPr>
            </w:pPr>
            <w:r>
              <w:rPr>
                <w:rFonts w:hint="eastAsia" w:hAnsi="宋体" w:eastAsia="宋体" w:cs="宋体"/>
                <w:color w:val="auto"/>
                <w:sz w:val="21"/>
                <w:szCs w:val="21"/>
                <w:highlight w:val="none"/>
              </w:rPr>
              <w:t>评标办法：综合评分法。</w:t>
            </w:r>
          </w:p>
        </w:tc>
      </w:tr>
      <w:tr w14:paraId="3D879E0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85" w:hRule="atLeast"/>
        </w:trPr>
        <w:tc>
          <w:tcPr>
            <w:tcW w:w="733" w:type="dxa"/>
            <w:tcBorders>
              <w:top w:val="single" w:color="auto" w:sz="4" w:space="0"/>
              <w:left w:val="single" w:color="auto" w:sz="4" w:space="0"/>
              <w:bottom w:val="single" w:color="auto" w:sz="4" w:space="0"/>
              <w:right w:val="single" w:color="auto" w:sz="4" w:space="0"/>
            </w:tcBorders>
            <w:noWrap w:val="0"/>
            <w:vAlign w:val="center"/>
          </w:tcPr>
          <w:p w14:paraId="39D71348">
            <w:pPr>
              <w:shd w:val="clear" w:color="auto"/>
              <w:snapToGrid w:val="0"/>
              <w:spacing w:line="460" w:lineRule="exact"/>
              <w:jc w:val="center"/>
              <w:rPr>
                <w:rFonts w:hint="eastAsia" w:hAnsi="宋体" w:eastAsia="宋体" w:cs="宋体"/>
                <w:color w:val="auto"/>
                <w:sz w:val="21"/>
                <w:szCs w:val="21"/>
                <w:highlight w:val="none"/>
              </w:rPr>
            </w:pPr>
            <w:r>
              <w:rPr>
                <w:rFonts w:hint="eastAsia" w:hAnsi="宋体" w:eastAsia="宋体" w:cs="宋体"/>
                <w:color w:val="auto"/>
                <w:sz w:val="21"/>
                <w:szCs w:val="21"/>
                <w:highlight w:val="none"/>
              </w:rPr>
              <w:t>14</w:t>
            </w:r>
          </w:p>
        </w:tc>
        <w:tc>
          <w:tcPr>
            <w:tcW w:w="9227" w:type="dxa"/>
            <w:gridSpan w:val="2"/>
            <w:tcBorders>
              <w:top w:val="single" w:color="auto" w:sz="4" w:space="0"/>
              <w:left w:val="single" w:color="auto" w:sz="4" w:space="0"/>
              <w:bottom w:val="single" w:color="auto" w:sz="4" w:space="0"/>
              <w:right w:val="single" w:color="auto" w:sz="4" w:space="0"/>
            </w:tcBorders>
            <w:noWrap w:val="0"/>
            <w:vAlign w:val="center"/>
          </w:tcPr>
          <w:p w14:paraId="409C34E9">
            <w:pPr>
              <w:shd w:val="clear" w:color="auto"/>
              <w:snapToGrid w:val="0"/>
              <w:spacing w:line="460" w:lineRule="exact"/>
              <w:textAlignment w:val="bottom"/>
              <w:rPr>
                <w:rFonts w:hint="eastAsia" w:hAnsi="宋体" w:eastAsia="宋体" w:cs="宋体"/>
                <w:color w:val="auto"/>
                <w:sz w:val="21"/>
                <w:szCs w:val="21"/>
                <w:highlight w:val="none"/>
              </w:rPr>
            </w:pPr>
            <w:r>
              <w:rPr>
                <w:rFonts w:hint="eastAsia" w:hAnsi="宋体" w:eastAsia="宋体" w:cs="宋体"/>
                <w:color w:val="auto"/>
                <w:sz w:val="21"/>
                <w:szCs w:val="21"/>
                <w:highlight w:val="none"/>
              </w:rPr>
              <w:t>结果公示：结果公示于浙江政府采购网(</w:t>
            </w:r>
            <w:r>
              <w:rPr>
                <w:rFonts w:hint="eastAsia" w:hAnsi="宋体" w:eastAsia="宋体" w:cs="宋体"/>
                <w:color w:val="auto"/>
                <w:sz w:val="21"/>
                <w:szCs w:val="21"/>
                <w:highlight w:val="none"/>
              </w:rPr>
              <w:fldChar w:fldCharType="begin"/>
            </w:r>
            <w:r>
              <w:rPr>
                <w:rFonts w:hint="eastAsia" w:hAnsi="宋体" w:eastAsia="宋体" w:cs="宋体"/>
                <w:color w:val="auto"/>
                <w:sz w:val="21"/>
                <w:szCs w:val="21"/>
                <w:highlight w:val="none"/>
              </w:rPr>
              <w:instrText xml:space="preserve"> HYPERLINK "http://www.zjzfcg.gov.cn/" </w:instrText>
            </w:r>
            <w:r>
              <w:rPr>
                <w:rFonts w:hint="eastAsia" w:hAnsi="宋体" w:eastAsia="宋体" w:cs="宋体"/>
                <w:color w:val="auto"/>
                <w:sz w:val="21"/>
                <w:szCs w:val="21"/>
                <w:highlight w:val="none"/>
              </w:rPr>
              <w:fldChar w:fldCharType="separate"/>
            </w:r>
            <w:r>
              <w:rPr>
                <w:rFonts w:hint="eastAsia" w:hAnsi="宋体" w:eastAsia="宋体" w:cs="宋体"/>
                <w:color w:val="auto"/>
                <w:sz w:val="21"/>
                <w:szCs w:val="21"/>
                <w:highlight w:val="none"/>
              </w:rPr>
              <w:t>http://zfcg.czt.zj.gov.cn/</w:t>
            </w:r>
            <w:r>
              <w:rPr>
                <w:rFonts w:hint="eastAsia" w:hAnsi="宋体" w:eastAsia="宋体" w:cs="宋体"/>
                <w:color w:val="auto"/>
                <w:sz w:val="21"/>
                <w:szCs w:val="21"/>
                <w:highlight w:val="none"/>
              </w:rPr>
              <w:fldChar w:fldCharType="end"/>
            </w:r>
            <w:r>
              <w:rPr>
                <w:rFonts w:hint="eastAsia" w:hAnsi="宋体" w:eastAsia="宋体" w:cs="宋体"/>
                <w:color w:val="auto"/>
                <w:sz w:val="21"/>
                <w:szCs w:val="21"/>
                <w:highlight w:val="none"/>
              </w:rPr>
              <w:t xml:space="preserve">) </w:t>
            </w:r>
          </w:p>
        </w:tc>
      </w:tr>
      <w:tr w14:paraId="71FA661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68" w:hRule="atLeast"/>
        </w:trPr>
        <w:tc>
          <w:tcPr>
            <w:tcW w:w="733" w:type="dxa"/>
            <w:tcBorders>
              <w:top w:val="nil"/>
              <w:left w:val="single" w:color="auto" w:sz="4" w:space="0"/>
              <w:bottom w:val="single" w:color="auto" w:sz="4" w:space="0"/>
              <w:right w:val="single" w:color="auto" w:sz="4" w:space="0"/>
            </w:tcBorders>
            <w:noWrap w:val="0"/>
            <w:vAlign w:val="center"/>
          </w:tcPr>
          <w:p w14:paraId="23656D8C">
            <w:pPr>
              <w:shd w:val="clear" w:color="auto"/>
              <w:snapToGrid w:val="0"/>
              <w:spacing w:line="460" w:lineRule="exact"/>
              <w:jc w:val="center"/>
              <w:rPr>
                <w:rFonts w:hint="eastAsia" w:hAnsi="宋体" w:eastAsia="宋体" w:cs="宋体"/>
                <w:color w:val="auto"/>
                <w:sz w:val="21"/>
                <w:szCs w:val="21"/>
                <w:highlight w:val="none"/>
              </w:rPr>
            </w:pPr>
            <w:r>
              <w:rPr>
                <w:rFonts w:hint="eastAsia" w:hAnsi="宋体" w:eastAsia="宋体" w:cs="宋体"/>
                <w:color w:val="auto"/>
                <w:sz w:val="21"/>
                <w:szCs w:val="21"/>
                <w:highlight w:val="none"/>
              </w:rPr>
              <w:t>15</w:t>
            </w:r>
          </w:p>
        </w:tc>
        <w:tc>
          <w:tcPr>
            <w:tcW w:w="9227" w:type="dxa"/>
            <w:gridSpan w:val="2"/>
            <w:tcBorders>
              <w:top w:val="nil"/>
              <w:left w:val="single" w:color="auto" w:sz="4" w:space="0"/>
              <w:bottom w:val="single" w:color="auto" w:sz="4" w:space="0"/>
              <w:right w:val="single" w:color="auto" w:sz="4" w:space="0"/>
            </w:tcBorders>
            <w:noWrap w:val="0"/>
            <w:vAlign w:val="center"/>
          </w:tcPr>
          <w:p w14:paraId="64572EC9">
            <w:pPr>
              <w:shd w:val="clear" w:color="auto"/>
              <w:snapToGrid w:val="0"/>
              <w:spacing w:line="460" w:lineRule="exact"/>
              <w:textAlignment w:val="bottom"/>
              <w:rPr>
                <w:rFonts w:hint="eastAsia" w:hAnsi="宋体" w:eastAsia="宋体" w:cs="宋体"/>
                <w:color w:val="auto"/>
                <w:sz w:val="21"/>
                <w:szCs w:val="21"/>
                <w:highlight w:val="none"/>
              </w:rPr>
            </w:pPr>
            <w:r>
              <w:rPr>
                <w:rFonts w:hint="eastAsia" w:hAnsi="宋体" w:eastAsia="宋体" w:cs="宋体"/>
                <w:color w:val="auto"/>
                <w:sz w:val="21"/>
                <w:szCs w:val="21"/>
                <w:highlight w:val="none"/>
              </w:rPr>
              <w:t>签订合同时间：中标通知书发出后20日内。</w:t>
            </w:r>
          </w:p>
        </w:tc>
      </w:tr>
      <w:tr w14:paraId="598FE85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47" w:hRule="atLeast"/>
        </w:trPr>
        <w:tc>
          <w:tcPr>
            <w:tcW w:w="733" w:type="dxa"/>
            <w:tcBorders>
              <w:top w:val="single" w:color="auto" w:sz="4" w:space="0"/>
              <w:left w:val="single" w:color="auto" w:sz="4" w:space="0"/>
              <w:bottom w:val="single" w:color="auto" w:sz="4" w:space="0"/>
              <w:right w:val="single" w:color="auto" w:sz="4" w:space="0"/>
            </w:tcBorders>
            <w:noWrap w:val="0"/>
            <w:vAlign w:val="center"/>
          </w:tcPr>
          <w:p w14:paraId="73540D63">
            <w:pPr>
              <w:shd w:val="clear" w:color="auto"/>
              <w:snapToGrid w:val="0"/>
              <w:spacing w:line="460" w:lineRule="exact"/>
              <w:jc w:val="center"/>
              <w:rPr>
                <w:rFonts w:hint="eastAsia" w:hAnsi="宋体" w:eastAsia="宋体" w:cs="宋体"/>
                <w:color w:val="auto"/>
                <w:sz w:val="21"/>
                <w:szCs w:val="21"/>
                <w:highlight w:val="none"/>
              </w:rPr>
            </w:pPr>
            <w:r>
              <w:rPr>
                <w:rFonts w:hint="eastAsia" w:hAnsi="宋体" w:eastAsia="宋体" w:cs="宋体"/>
                <w:color w:val="auto"/>
                <w:sz w:val="21"/>
                <w:szCs w:val="21"/>
                <w:highlight w:val="none"/>
              </w:rPr>
              <w:t>16</w:t>
            </w:r>
          </w:p>
        </w:tc>
        <w:tc>
          <w:tcPr>
            <w:tcW w:w="9227" w:type="dxa"/>
            <w:gridSpan w:val="2"/>
            <w:tcBorders>
              <w:top w:val="single" w:color="auto" w:sz="4" w:space="0"/>
              <w:left w:val="single" w:color="auto" w:sz="4" w:space="0"/>
              <w:bottom w:val="single" w:color="auto" w:sz="4" w:space="0"/>
              <w:right w:val="single" w:color="auto" w:sz="4" w:space="0"/>
            </w:tcBorders>
            <w:noWrap w:val="0"/>
            <w:vAlign w:val="center"/>
          </w:tcPr>
          <w:p w14:paraId="69665149">
            <w:pPr>
              <w:shd w:val="clear" w:color="auto"/>
              <w:snapToGrid w:val="0"/>
              <w:spacing w:line="460" w:lineRule="exact"/>
              <w:rPr>
                <w:rFonts w:hint="eastAsia" w:hAnsi="宋体" w:eastAsia="宋体" w:cs="宋体"/>
                <w:color w:val="auto"/>
                <w:sz w:val="21"/>
                <w:szCs w:val="21"/>
                <w:highlight w:val="none"/>
              </w:rPr>
            </w:pPr>
            <w:r>
              <w:rPr>
                <w:rFonts w:hint="eastAsia" w:hAnsi="宋体" w:eastAsia="宋体" w:cs="宋体"/>
                <w:color w:val="auto"/>
                <w:sz w:val="21"/>
                <w:szCs w:val="21"/>
                <w:highlight w:val="none"/>
              </w:rPr>
              <w:t>投标文件有效期：90天。</w:t>
            </w:r>
          </w:p>
        </w:tc>
      </w:tr>
      <w:tr w14:paraId="31C9739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733" w:type="dxa"/>
            <w:tcBorders>
              <w:top w:val="single" w:color="auto" w:sz="4" w:space="0"/>
              <w:left w:val="single" w:color="auto" w:sz="4" w:space="0"/>
              <w:bottom w:val="single" w:color="auto" w:sz="4" w:space="0"/>
              <w:right w:val="single" w:color="auto" w:sz="4" w:space="0"/>
            </w:tcBorders>
            <w:noWrap w:val="0"/>
            <w:vAlign w:val="center"/>
          </w:tcPr>
          <w:p w14:paraId="25CD4E97">
            <w:pPr>
              <w:shd w:val="clear" w:color="auto"/>
              <w:snapToGrid w:val="0"/>
              <w:spacing w:line="460" w:lineRule="exact"/>
              <w:jc w:val="center"/>
              <w:rPr>
                <w:rFonts w:hint="eastAsia" w:hAnsi="宋体" w:eastAsia="宋体" w:cs="宋体"/>
                <w:color w:val="auto"/>
                <w:sz w:val="21"/>
                <w:szCs w:val="21"/>
                <w:highlight w:val="none"/>
              </w:rPr>
            </w:pPr>
            <w:r>
              <w:rPr>
                <w:rFonts w:hint="eastAsia" w:hAnsi="宋体" w:eastAsia="宋体" w:cs="宋体"/>
                <w:color w:val="auto"/>
                <w:sz w:val="21"/>
                <w:szCs w:val="21"/>
                <w:highlight w:val="none"/>
              </w:rPr>
              <w:t>17</w:t>
            </w:r>
          </w:p>
        </w:tc>
        <w:tc>
          <w:tcPr>
            <w:tcW w:w="9227" w:type="dxa"/>
            <w:gridSpan w:val="2"/>
            <w:tcBorders>
              <w:top w:val="single" w:color="auto" w:sz="4" w:space="0"/>
              <w:left w:val="single" w:color="auto" w:sz="4" w:space="0"/>
              <w:bottom w:val="single" w:color="auto" w:sz="4" w:space="0"/>
              <w:right w:val="single" w:color="auto" w:sz="4" w:space="0"/>
            </w:tcBorders>
            <w:noWrap w:val="0"/>
            <w:vAlign w:val="center"/>
          </w:tcPr>
          <w:p w14:paraId="7CB14B2A">
            <w:pPr>
              <w:shd w:val="clear" w:color="auto"/>
              <w:snapToGrid w:val="0"/>
              <w:spacing w:line="460" w:lineRule="exact"/>
              <w:rPr>
                <w:rFonts w:hint="eastAsia" w:hAnsi="宋体" w:eastAsia="宋体" w:cs="宋体"/>
                <w:color w:val="auto"/>
                <w:sz w:val="21"/>
                <w:szCs w:val="21"/>
                <w:highlight w:val="none"/>
              </w:rPr>
            </w:pPr>
            <w:r>
              <w:rPr>
                <w:rFonts w:hint="eastAsia" w:hAnsi="宋体" w:eastAsia="宋体" w:cs="宋体"/>
                <w:color w:val="auto"/>
                <w:sz w:val="21"/>
                <w:szCs w:val="21"/>
                <w:highlight w:val="none"/>
              </w:rPr>
              <w:t>解释：本招标文件的解释权属于招标采购单位。</w:t>
            </w:r>
          </w:p>
        </w:tc>
      </w:tr>
    </w:tbl>
    <w:p w14:paraId="18F89B25">
      <w:pPr>
        <w:shd w:val="clear" w:color="auto"/>
        <w:autoSpaceDE/>
        <w:autoSpaceDN/>
        <w:adjustRightInd/>
        <w:spacing w:line="500" w:lineRule="exact"/>
        <w:ind w:firstLine="422" w:firstLineChars="200"/>
        <w:jc w:val="both"/>
        <w:rPr>
          <w:rFonts w:hint="eastAsia" w:hAnsi="宋体" w:cs="宋体"/>
          <w:b/>
          <w:color w:val="auto"/>
          <w:sz w:val="21"/>
          <w:szCs w:val="21"/>
          <w:highlight w:val="none"/>
        </w:rPr>
      </w:pPr>
      <w:r>
        <w:rPr>
          <w:rFonts w:hint="eastAsia" w:hAnsi="宋体" w:cs="宋体"/>
          <w:b/>
          <w:color w:val="auto"/>
          <w:sz w:val="21"/>
          <w:szCs w:val="21"/>
          <w:highlight w:val="none"/>
        </w:rPr>
        <w:t>一、总则</w:t>
      </w:r>
    </w:p>
    <w:p w14:paraId="705A44CC">
      <w:pPr>
        <w:shd w:val="clear" w:color="auto"/>
        <w:autoSpaceDE/>
        <w:autoSpaceDN/>
        <w:adjustRightInd/>
        <w:spacing w:line="500" w:lineRule="exact"/>
        <w:ind w:firstLine="422" w:firstLineChars="200"/>
        <w:jc w:val="both"/>
        <w:rPr>
          <w:rFonts w:hint="eastAsia" w:hAnsi="宋体" w:cs="宋体"/>
          <w:b/>
          <w:color w:val="auto"/>
          <w:sz w:val="21"/>
          <w:szCs w:val="21"/>
          <w:highlight w:val="none"/>
        </w:rPr>
      </w:pPr>
      <w:r>
        <w:rPr>
          <w:rFonts w:hint="eastAsia" w:hAnsi="宋体" w:cs="宋体"/>
          <w:b/>
          <w:color w:val="auto"/>
          <w:sz w:val="21"/>
          <w:szCs w:val="21"/>
          <w:highlight w:val="none"/>
        </w:rPr>
        <w:t>（一）适用范围</w:t>
      </w:r>
    </w:p>
    <w:p w14:paraId="1394253E">
      <w:pPr>
        <w:shd w:val="clear" w:color="auto"/>
        <w:autoSpaceDE/>
        <w:autoSpaceDN/>
        <w:adjustRightInd/>
        <w:spacing w:line="500" w:lineRule="exact"/>
        <w:ind w:firstLine="420" w:firstLineChars="200"/>
        <w:jc w:val="both"/>
        <w:rPr>
          <w:rFonts w:hint="eastAsia" w:hAnsi="宋体" w:cs="宋体"/>
          <w:color w:val="auto"/>
          <w:sz w:val="21"/>
          <w:szCs w:val="21"/>
          <w:highlight w:val="none"/>
        </w:rPr>
      </w:pPr>
      <w:r>
        <w:rPr>
          <w:rFonts w:hint="eastAsia" w:hAnsi="宋体" w:cs="宋体"/>
          <w:color w:val="auto"/>
          <w:sz w:val="21"/>
          <w:szCs w:val="21"/>
          <w:highlight w:val="none"/>
        </w:rPr>
        <w:t>本招标文件适用于</w:t>
      </w:r>
      <w:r>
        <w:rPr>
          <w:rFonts w:hint="eastAsia" w:hAnsi="宋体" w:cs="宋体"/>
          <w:color w:val="auto"/>
          <w:sz w:val="21"/>
          <w:szCs w:val="21"/>
          <w:highlight w:val="none"/>
          <w:lang w:eastAsia="zh-CN"/>
        </w:rPr>
        <w:t>2025-2026年婺城区农村人居环境长效管理第三方机构评估服务项目</w:t>
      </w:r>
      <w:r>
        <w:rPr>
          <w:rFonts w:hint="eastAsia" w:hAnsi="宋体" w:cs="宋体"/>
          <w:color w:val="auto"/>
          <w:sz w:val="21"/>
          <w:szCs w:val="21"/>
          <w:highlight w:val="none"/>
        </w:rPr>
        <w:t>的招标、投标、评标、定标、验收、合同履约、付款等行为（法律、法规另有规定的，从其规定）。</w:t>
      </w:r>
    </w:p>
    <w:p w14:paraId="27AFF6DB">
      <w:pPr>
        <w:shd w:val="clear" w:color="auto"/>
        <w:autoSpaceDE/>
        <w:autoSpaceDN/>
        <w:adjustRightInd/>
        <w:spacing w:line="500" w:lineRule="exact"/>
        <w:ind w:firstLine="422" w:firstLineChars="200"/>
        <w:jc w:val="both"/>
        <w:rPr>
          <w:rFonts w:hint="eastAsia" w:hAnsi="宋体" w:cs="宋体"/>
          <w:b/>
          <w:color w:val="auto"/>
          <w:sz w:val="21"/>
          <w:szCs w:val="21"/>
          <w:highlight w:val="none"/>
        </w:rPr>
      </w:pPr>
      <w:r>
        <w:rPr>
          <w:rFonts w:hint="eastAsia" w:hAnsi="宋体" w:cs="宋体"/>
          <w:b/>
          <w:color w:val="auto"/>
          <w:sz w:val="21"/>
          <w:szCs w:val="21"/>
          <w:highlight w:val="none"/>
        </w:rPr>
        <w:t>（二）定义</w:t>
      </w:r>
    </w:p>
    <w:p w14:paraId="3BA65C1B">
      <w:pPr>
        <w:shd w:val="clear" w:color="auto"/>
        <w:autoSpaceDE/>
        <w:autoSpaceDN/>
        <w:adjustRightInd/>
        <w:spacing w:line="500" w:lineRule="exact"/>
        <w:ind w:firstLine="420" w:firstLineChars="200"/>
        <w:jc w:val="both"/>
        <w:rPr>
          <w:rFonts w:hint="eastAsia" w:hAnsi="宋体" w:cs="宋体"/>
          <w:color w:val="auto"/>
          <w:sz w:val="21"/>
          <w:szCs w:val="21"/>
          <w:highlight w:val="none"/>
        </w:rPr>
      </w:pPr>
      <w:r>
        <w:rPr>
          <w:rFonts w:hint="eastAsia" w:hAnsi="宋体" w:cs="宋体"/>
          <w:color w:val="auto"/>
          <w:sz w:val="21"/>
          <w:szCs w:val="21"/>
          <w:highlight w:val="none"/>
        </w:rPr>
        <w:t>1.招标采购单位系指组织本次招标的代理机构和</w:t>
      </w:r>
      <w:r>
        <w:rPr>
          <w:rFonts w:hint="eastAsia" w:hAnsi="宋体" w:cs="宋体"/>
          <w:color w:val="auto"/>
          <w:sz w:val="21"/>
          <w:szCs w:val="21"/>
          <w:highlight w:val="none"/>
          <w:lang w:eastAsia="zh-CN"/>
        </w:rPr>
        <w:t>采购人</w:t>
      </w:r>
      <w:r>
        <w:rPr>
          <w:rFonts w:hint="eastAsia" w:hAnsi="宋体" w:cs="宋体"/>
          <w:color w:val="auto"/>
          <w:sz w:val="21"/>
          <w:szCs w:val="21"/>
          <w:highlight w:val="none"/>
        </w:rPr>
        <w:t>（或称</w:t>
      </w:r>
      <w:r>
        <w:rPr>
          <w:rFonts w:hint="eastAsia" w:hAnsi="宋体" w:cs="宋体"/>
          <w:color w:val="auto"/>
          <w:sz w:val="21"/>
          <w:szCs w:val="21"/>
          <w:highlight w:val="none"/>
          <w:lang w:val="en-US" w:eastAsia="zh-CN"/>
        </w:rPr>
        <w:t>招标人</w:t>
      </w:r>
      <w:r>
        <w:rPr>
          <w:rFonts w:hint="eastAsia" w:hAnsi="宋体" w:cs="宋体"/>
          <w:color w:val="auto"/>
          <w:sz w:val="21"/>
          <w:szCs w:val="21"/>
          <w:highlight w:val="none"/>
        </w:rPr>
        <w:t>、采购单位）。</w:t>
      </w:r>
    </w:p>
    <w:p w14:paraId="2709E5F4">
      <w:pPr>
        <w:shd w:val="clear" w:color="auto"/>
        <w:autoSpaceDE/>
        <w:autoSpaceDN/>
        <w:adjustRightInd/>
        <w:spacing w:line="500" w:lineRule="exact"/>
        <w:ind w:firstLine="420" w:firstLineChars="200"/>
        <w:jc w:val="both"/>
        <w:rPr>
          <w:rFonts w:hint="eastAsia" w:hAnsi="宋体" w:cs="宋体"/>
          <w:color w:val="auto"/>
          <w:sz w:val="21"/>
          <w:szCs w:val="21"/>
          <w:highlight w:val="none"/>
        </w:rPr>
      </w:pPr>
      <w:r>
        <w:rPr>
          <w:rFonts w:hint="eastAsia" w:hAnsi="宋体" w:cs="宋体"/>
          <w:color w:val="auto"/>
          <w:sz w:val="21"/>
          <w:szCs w:val="21"/>
          <w:highlight w:val="none"/>
        </w:rPr>
        <w:t>2.“投标人”系指向</w:t>
      </w:r>
      <w:r>
        <w:rPr>
          <w:rFonts w:hint="eastAsia" w:hAnsi="宋体" w:cs="宋体"/>
          <w:color w:val="auto"/>
          <w:sz w:val="21"/>
          <w:szCs w:val="21"/>
          <w:highlight w:val="none"/>
          <w:lang w:eastAsia="zh-CN"/>
        </w:rPr>
        <w:t>采购人</w:t>
      </w:r>
      <w:r>
        <w:rPr>
          <w:rFonts w:hint="eastAsia" w:hAnsi="宋体" w:cs="宋体"/>
          <w:color w:val="auto"/>
          <w:sz w:val="21"/>
          <w:szCs w:val="21"/>
          <w:highlight w:val="none"/>
        </w:rPr>
        <w:t>提交投标文件的单位或个人或投标联合体（或称供应商</w:t>
      </w:r>
      <w:r>
        <w:rPr>
          <w:rFonts w:hint="eastAsia" w:hAnsi="宋体" w:cs="宋体"/>
          <w:color w:val="auto"/>
          <w:sz w:val="21"/>
          <w:szCs w:val="21"/>
          <w:highlight w:val="none"/>
          <w:lang w:eastAsia="zh-CN"/>
        </w:rPr>
        <w:t>），</w:t>
      </w:r>
      <w:r>
        <w:rPr>
          <w:rFonts w:hint="eastAsia" w:hAnsi="宋体" w:cs="宋体"/>
          <w:color w:val="auto"/>
          <w:sz w:val="21"/>
          <w:szCs w:val="21"/>
          <w:highlight w:val="none"/>
          <w:lang w:val="en-US" w:eastAsia="zh-CN"/>
        </w:rPr>
        <w:t>取得中标资格后称为“中标人”</w:t>
      </w:r>
      <w:r>
        <w:rPr>
          <w:rFonts w:hint="eastAsia" w:hAnsi="宋体" w:cs="宋体"/>
          <w:color w:val="auto"/>
          <w:sz w:val="21"/>
          <w:szCs w:val="21"/>
          <w:highlight w:val="none"/>
        </w:rPr>
        <w:t>。</w:t>
      </w:r>
    </w:p>
    <w:p w14:paraId="3882D7DC">
      <w:pPr>
        <w:shd w:val="clear" w:color="auto"/>
        <w:autoSpaceDE/>
        <w:autoSpaceDN/>
        <w:adjustRightInd/>
        <w:spacing w:line="500" w:lineRule="exact"/>
        <w:ind w:firstLine="420" w:firstLineChars="200"/>
        <w:jc w:val="both"/>
        <w:rPr>
          <w:rFonts w:hint="eastAsia" w:hAnsi="宋体" w:cs="宋体"/>
          <w:color w:val="auto"/>
          <w:sz w:val="21"/>
          <w:szCs w:val="21"/>
          <w:highlight w:val="none"/>
        </w:rPr>
      </w:pPr>
      <w:r>
        <w:rPr>
          <w:rFonts w:hint="eastAsia" w:hAnsi="宋体" w:cs="宋体"/>
          <w:color w:val="auto"/>
          <w:sz w:val="21"/>
          <w:szCs w:val="21"/>
          <w:highlight w:val="none"/>
        </w:rPr>
        <w:t>3.“产品”系指供方按招标文件规定，须向采购人提供</w:t>
      </w:r>
      <w:r>
        <w:rPr>
          <w:rFonts w:hint="eastAsia" w:hAnsi="宋体" w:cs="宋体"/>
          <w:color w:val="auto"/>
          <w:sz w:val="21"/>
          <w:szCs w:val="21"/>
          <w:highlight w:val="none"/>
          <w:lang w:eastAsia="zh-CN"/>
        </w:rPr>
        <w:t>2025-2026年婺城区农村人居环境长效管理第三方机构评估服务项目</w:t>
      </w:r>
      <w:r>
        <w:rPr>
          <w:rFonts w:hint="eastAsia" w:hAnsi="宋体" w:cs="宋体"/>
          <w:color w:val="auto"/>
          <w:sz w:val="21"/>
          <w:szCs w:val="21"/>
          <w:highlight w:val="none"/>
        </w:rPr>
        <w:t>的</w:t>
      </w:r>
      <w:r>
        <w:rPr>
          <w:rFonts w:hint="eastAsia" w:hAnsi="宋体" w:cs="宋体"/>
          <w:color w:val="auto"/>
          <w:sz w:val="21"/>
          <w:szCs w:val="21"/>
          <w:highlight w:val="none"/>
          <w:lang w:val="en-US" w:eastAsia="zh-CN"/>
        </w:rPr>
        <w:t>服务</w:t>
      </w:r>
      <w:r>
        <w:rPr>
          <w:rFonts w:hint="eastAsia" w:hAnsi="宋体" w:cs="宋体"/>
          <w:color w:val="auto"/>
          <w:sz w:val="21"/>
          <w:szCs w:val="21"/>
          <w:highlight w:val="none"/>
        </w:rPr>
        <w:t>成果、其它有关技术资料和材料。</w:t>
      </w:r>
    </w:p>
    <w:p w14:paraId="2412CF5C">
      <w:pPr>
        <w:shd w:val="clear" w:color="auto"/>
        <w:autoSpaceDE/>
        <w:autoSpaceDN/>
        <w:adjustRightInd/>
        <w:spacing w:line="500" w:lineRule="exact"/>
        <w:ind w:firstLine="420" w:firstLineChars="200"/>
        <w:jc w:val="both"/>
        <w:rPr>
          <w:rFonts w:hint="eastAsia" w:hAnsi="宋体" w:cs="宋体"/>
          <w:color w:val="auto"/>
          <w:sz w:val="21"/>
          <w:szCs w:val="21"/>
          <w:highlight w:val="none"/>
        </w:rPr>
      </w:pPr>
      <w:r>
        <w:rPr>
          <w:rFonts w:hint="eastAsia" w:hAnsi="宋体" w:cs="宋体"/>
          <w:color w:val="auto"/>
          <w:sz w:val="21"/>
          <w:szCs w:val="21"/>
          <w:highlight w:val="none"/>
        </w:rPr>
        <w:t>4.“服务”系指招标文件规定投标人须承担的符合标准的服务以及有关的伴随服务。</w:t>
      </w:r>
    </w:p>
    <w:p w14:paraId="4D48284E">
      <w:pPr>
        <w:shd w:val="clear" w:color="auto"/>
        <w:autoSpaceDE/>
        <w:autoSpaceDN/>
        <w:adjustRightInd/>
        <w:spacing w:line="500" w:lineRule="exact"/>
        <w:ind w:firstLine="420" w:firstLineChars="200"/>
        <w:jc w:val="both"/>
        <w:rPr>
          <w:rFonts w:hint="eastAsia" w:hAnsi="宋体" w:cs="宋体"/>
          <w:color w:val="auto"/>
          <w:sz w:val="21"/>
          <w:szCs w:val="21"/>
          <w:highlight w:val="none"/>
        </w:rPr>
      </w:pPr>
      <w:r>
        <w:rPr>
          <w:rFonts w:hint="eastAsia" w:hAnsi="宋体" w:cs="宋体"/>
          <w:color w:val="auto"/>
          <w:sz w:val="21"/>
          <w:szCs w:val="21"/>
          <w:highlight w:val="none"/>
        </w:rPr>
        <w:t>5.“项目”系指投标人按招标文件规定向采购人提供的专业服务并提交符合要求的服务成果。</w:t>
      </w:r>
    </w:p>
    <w:p w14:paraId="387659E6">
      <w:pPr>
        <w:shd w:val="clear" w:color="auto"/>
        <w:autoSpaceDE/>
        <w:autoSpaceDN/>
        <w:adjustRightInd/>
        <w:spacing w:line="500" w:lineRule="exact"/>
        <w:ind w:firstLine="420" w:firstLineChars="200"/>
        <w:jc w:val="both"/>
        <w:rPr>
          <w:rFonts w:hint="eastAsia" w:hAnsi="宋体" w:cs="宋体"/>
          <w:color w:val="auto"/>
          <w:sz w:val="21"/>
          <w:szCs w:val="21"/>
          <w:highlight w:val="none"/>
        </w:rPr>
      </w:pPr>
      <w:r>
        <w:rPr>
          <w:rFonts w:hint="eastAsia" w:hAnsi="宋体" w:cs="宋体"/>
          <w:color w:val="auto"/>
          <w:sz w:val="21"/>
          <w:szCs w:val="21"/>
          <w:highlight w:val="none"/>
        </w:rPr>
        <w:t>6.“书面形式”包括信函、传真、电报等。</w:t>
      </w:r>
    </w:p>
    <w:p w14:paraId="618CD28F">
      <w:pPr>
        <w:shd w:val="clear" w:color="auto"/>
        <w:autoSpaceDE/>
        <w:autoSpaceDN/>
        <w:adjustRightInd/>
        <w:spacing w:line="500" w:lineRule="exact"/>
        <w:ind w:firstLine="420" w:firstLineChars="200"/>
        <w:jc w:val="both"/>
        <w:rPr>
          <w:rFonts w:hint="eastAsia" w:hAnsi="宋体" w:cs="宋体"/>
          <w:color w:val="auto"/>
          <w:sz w:val="21"/>
          <w:szCs w:val="21"/>
          <w:highlight w:val="none"/>
        </w:rPr>
      </w:pPr>
      <w:r>
        <w:rPr>
          <w:rFonts w:hint="eastAsia" w:hAnsi="宋体" w:cs="宋体"/>
          <w:color w:val="auto"/>
          <w:sz w:val="21"/>
          <w:szCs w:val="21"/>
          <w:highlight w:val="none"/>
        </w:rPr>
        <w:t>7.“</w:t>
      </w:r>
      <w:r>
        <w:rPr>
          <w:rFonts w:hint="eastAsia" w:hAnsi="宋体" w:cs="宋体"/>
          <w:bCs/>
          <w:color w:val="auto"/>
          <w:sz w:val="21"/>
          <w:szCs w:val="21"/>
          <w:highlight w:val="none"/>
        </w:rPr>
        <w:t>★</w:t>
      </w:r>
      <w:r>
        <w:rPr>
          <w:rFonts w:hint="eastAsia" w:hAnsi="宋体" w:cs="宋体"/>
          <w:color w:val="auto"/>
          <w:sz w:val="21"/>
          <w:szCs w:val="21"/>
          <w:highlight w:val="none"/>
        </w:rPr>
        <w:t>”系指实质性要求指标，“</w:t>
      </w:r>
      <w:r>
        <w:rPr>
          <w:rFonts w:hint="eastAsia" w:hAnsi="宋体" w:cs="宋体"/>
          <w:b/>
          <w:color w:val="auto"/>
          <w:sz w:val="21"/>
          <w:szCs w:val="21"/>
          <w:highlight w:val="none"/>
        </w:rPr>
        <w:t>▲</w:t>
      </w:r>
      <w:r>
        <w:rPr>
          <w:rFonts w:hint="eastAsia" w:hAnsi="宋体" w:cs="宋体"/>
          <w:color w:val="auto"/>
          <w:sz w:val="21"/>
          <w:szCs w:val="21"/>
          <w:highlight w:val="none"/>
        </w:rPr>
        <w:t>”系指重要性指标条款（如有）。</w:t>
      </w:r>
    </w:p>
    <w:p w14:paraId="30F15A26">
      <w:pPr>
        <w:shd w:val="clear" w:color="auto"/>
        <w:autoSpaceDE/>
        <w:autoSpaceDN/>
        <w:adjustRightInd/>
        <w:spacing w:line="500" w:lineRule="exact"/>
        <w:ind w:firstLine="422" w:firstLineChars="200"/>
        <w:jc w:val="both"/>
        <w:rPr>
          <w:rFonts w:hint="eastAsia" w:hAnsi="宋体" w:cs="宋体"/>
          <w:b/>
          <w:color w:val="auto"/>
          <w:sz w:val="21"/>
          <w:szCs w:val="21"/>
          <w:highlight w:val="none"/>
        </w:rPr>
      </w:pPr>
      <w:r>
        <w:rPr>
          <w:rFonts w:hint="eastAsia" w:hAnsi="宋体" w:cs="宋体"/>
          <w:b/>
          <w:color w:val="auto"/>
          <w:sz w:val="21"/>
          <w:szCs w:val="21"/>
          <w:highlight w:val="none"/>
        </w:rPr>
        <w:t>（三）招标方式</w:t>
      </w:r>
    </w:p>
    <w:p w14:paraId="3BE2B7F3">
      <w:pPr>
        <w:shd w:val="clear" w:color="auto"/>
        <w:autoSpaceDE/>
        <w:autoSpaceDN/>
        <w:adjustRightInd/>
        <w:spacing w:line="500" w:lineRule="exact"/>
        <w:ind w:firstLine="420" w:firstLineChars="200"/>
        <w:jc w:val="both"/>
        <w:rPr>
          <w:rFonts w:hint="eastAsia" w:hAnsi="宋体" w:cs="宋体"/>
          <w:color w:val="auto"/>
          <w:sz w:val="21"/>
          <w:szCs w:val="21"/>
          <w:highlight w:val="none"/>
        </w:rPr>
      </w:pPr>
      <w:r>
        <w:rPr>
          <w:rFonts w:hint="eastAsia" w:hAnsi="宋体" w:cs="宋体"/>
          <w:color w:val="auto"/>
          <w:sz w:val="21"/>
          <w:szCs w:val="21"/>
          <w:highlight w:val="none"/>
        </w:rPr>
        <w:t>本次招标采用公开招标方式进行。</w:t>
      </w:r>
    </w:p>
    <w:p w14:paraId="163BC4FE">
      <w:pPr>
        <w:shd w:val="clear" w:color="auto"/>
        <w:autoSpaceDE/>
        <w:autoSpaceDN/>
        <w:adjustRightInd/>
        <w:spacing w:line="500" w:lineRule="exact"/>
        <w:ind w:firstLine="422" w:firstLineChars="200"/>
        <w:jc w:val="both"/>
        <w:rPr>
          <w:rFonts w:hint="eastAsia" w:hAnsi="宋体" w:cs="宋体"/>
          <w:b/>
          <w:color w:val="auto"/>
          <w:sz w:val="21"/>
          <w:szCs w:val="21"/>
          <w:highlight w:val="none"/>
        </w:rPr>
      </w:pPr>
      <w:r>
        <w:rPr>
          <w:rFonts w:hint="eastAsia" w:hAnsi="宋体" w:cs="宋体"/>
          <w:b/>
          <w:color w:val="auto"/>
          <w:sz w:val="21"/>
          <w:szCs w:val="21"/>
          <w:highlight w:val="none"/>
        </w:rPr>
        <w:t>（四）投标委托</w:t>
      </w:r>
    </w:p>
    <w:p w14:paraId="2FEFEBA5">
      <w:pPr>
        <w:shd w:val="clear" w:color="auto"/>
        <w:autoSpaceDE/>
        <w:autoSpaceDN/>
        <w:adjustRightInd/>
        <w:spacing w:line="500" w:lineRule="exact"/>
        <w:ind w:firstLine="420" w:firstLineChars="200"/>
        <w:jc w:val="both"/>
        <w:rPr>
          <w:rFonts w:hint="eastAsia" w:hAnsi="宋体" w:cs="宋体"/>
          <w:color w:val="auto"/>
          <w:sz w:val="21"/>
          <w:szCs w:val="21"/>
          <w:highlight w:val="none"/>
        </w:rPr>
      </w:pPr>
      <w:r>
        <w:rPr>
          <w:rFonts w:hint="eastAsia" w:hAnsi="宋体" w:cs="宋体"/>
          <w:color w:val="auto"/>
          <w:sz w:val="21"/>
          <w:szCs w:val="21"/>
          <w:highlight w:val="none"/>
        </w:rPr>
        <w:t>如投标人代表不是法定代表人（或“联合体投标人牵头单位的法定代表人”，下同），须有法定代表人出具的授权委托书。</w:t>
      </w:r>
    </w:p>
    <w:p w14:paraId="07CAFFCE">
      <w:pPr>
        <w:shd w:val="clear" w:color="auto"/>
        <w:autoSpaceDE/>
        <w:autoSpaceDN/>
        <w:adjustRightInd/>
        <w:spacing w:line="500" w:lineRule="exact"/>
        <w:ind w:firstLine="422" w:firstLineChars="200"/>
        <w:jc w:val="both"/>
        <w:rPr>
          <w:rFonts w:hint="eastAsia" w:hAnsi="宋体" w:cs="宋体"/>
          <w:b/>
          <w:color w:val="auto"/>
          <w:sz w:val="21"/>
          <w:szCs w:val="21"/>
          <w:highlight w:val="none"/>
        </w:rPr>
      </w:pPr>
      <w:r>
        <w:rPr>
          <w:rFonts w:hint="eastAsia" w:hAnsi="宋体" w:cs="宋体"/>
          <w:b/>
          <w:color w:val="auto"/>
          <w:sz w:val="21"/>
          <w:szCs w:val="21"/>
          <w:highlight w:val="none"/>
        </w:rPr>
        <w:t>（五）投标费用</w:t>
      </w:r>
    </w:p>
    <w:p w14:paraId="2657FB39">
      <w:pPr>
        <w:shd w:val="clear" w:color="auto"/>
        <w:autoSpaceDE/>
        <w:autoSpaceDN/>
        <w:adjustRightInd/>
        <w:spacing w:line="500" w:lineRule="exact"/>
        <w:ind w:firstLine="420" w:firstLineChars="200"/>
        <w:jc w:val="both"/>
        <w:rPr>
          <w:rFonts w:hint="eastAsia" w:hAnsi="宋体" w:cs="宋体"/>
          <w:color w:val="auto"/>
          <w:sz w:val="21"/>
          <w:szCs w:val="21"/>
          <w:highlight w:val="none"/>
        </w:rPr>
      </w:pPr>
      <w:r>
        <w:rPr>
          <w:rFonts w:hint="eastAsia" w:hAnsi="宋体" w:cs="宋体"/>
          <w:color w:val="auto"/>
          <w:sz w:val="21"/>
          <w:szCs w:val="21"/>
          <w:highlight w:val="none"/>
        </w:rPr>
        <w:t>不论投标结果如何，投标人均应自行承担所有与投标有关的全部费用（招标文件有相反规定除外）。</w:t>
      </w:r>
    </w:p>
    <w:p w14:paraId="5E824F8F">
      <w:pPr>
        <w:shd w:val="clear" w:color="auto"/>
        <w:autoSpaceDE/>
        <w:autoSpaceDN/>
        <w:adjustRightInd/>
        <w:spacing w:line="500" w:lineRule="exact"/>
        <w:ind w:firstLine="422" w:firstLineChars="200"/>
        <w:jc w:val="both"/>
        <w:rPr>
          <w:rFonts w:hint="eastAsia" w:hAnsi="宋体" w:cs="宋体"/>
          <w:b/>
          <w:color w:val="auto"/>
          <w:sz w:val="21"/>
          <w:szCs w:val="21"/>
          <w:highlight w:val="none"/>
        </w:rPr>
      </w:pPr>
      <w:r>
        <w:rPr>
          <w:rFonts w:hint="eastAsia" w:hAnsi="宋体" w:cs="宋体"/>
          <w:b/>
          <w:color w:val="auto"/>
          <w:sz w:val="21"/>
          <w:szCs w:val="21"/>
          <w:highlight w:val="none"/>
        </w:rPr>
        <w:t>（六）联合体投标</w:t>
      </w:r>
    </w:p>
    <w:p w14:paraId="2A8A76F7">
      <w:pPr>
        <w:shd w:val="clear" w:color="auto"/>
        <w:autoSpaceDE/>
        <w:autoSpaceDN/>
        <w:adjustRightInd/>
        <w:spacing w:line="500" w:lineRule="exact"/>
        <w:ind w:firstLine="420" w:firstLineChars="200"/>
        <w:jc w:val="both"/>
        <w:rPr>
          <w:rFonts w:hint="eastAsia" w:hAnsi="宋体" w:cs="宋体"/>
          <w:color w:val="auto"/>
          <w:sz w:val="21"/>
          <w:szCs w:val="21"/>
          <w:highlight w:val="none"/>
        </w:rPr>
      </w:pPr>
      <w:r>
        <w:rPr>
          <w:rFonts w:hint="eastAsia" w:hAnsi="宋体" w:cs="宋体"/>
          <w:color w:val="auto"/>
          <w:sz w:val="21"/>
          <w:szCs w:val="21"/>
          <w:highlight w:val="none"/>
        </w:rPr>
        <w:t>1.本项目专门面向中小企业采购，允许中型企业与小微企业组成联合体、小微企业与小微企业组成联合体参与投标。组成联合体的中小微企业均应不属于大企业的分支机构，不存在控股股东为大企业的情形，也不存在与大企业的负责人为同一人的情形。</w:t>
      </w:r>
    </w:p>
    <w:p w14:paraId="2660EECA">
      <w:pPr>
        <w:shd w:val="clear" w:color="auto"/>
        <w:autoSpaceDE/>
        <w:autoSpaceDN/>
        <w:adjustRightInd/>
        <w:spacing w:line="500" w:lineRule="exact"/>
        <w:ind w:firstLine="420" w:firstLineChars="200"/>
        <w:jc w:val="both"/>
        <w:rPr>
          <w:rFonts w:hint="eastAsia" w:hAnsi="宋体" w:cs="宋体"/>
          <w:color w:val="auto"/>
          <w:sz w:val="21"/>
          <w:szCs w:val="21"/>
          <w:highlight w:val="none"/>
        </w:rPr>
      </w:pPr>
      <w:r>
        <w:rPr>
          <w:rFonts w:hint="eastAsia" w:hAnsi="宋体" w:cs="宋体"/>
          <w:color w:val="auto"/>
          <w:sz w:val="21"/>
          <w:szCs w:val="21"/>
          <w:highlight w:val="none"/>
        </w:rPr>
        <w:t>2.以联合体形式参加投标的，联合体各方均应当符合《政府采购法》第二十二条第一款规定的条件。</w:t>
      </w:r>
    </w:p>
    <w:p w14:paraId="27EC24C8">
      <w:pPr>
        <w:shd w:val="clear" w:color="auto"/>
        <w:autoSpaceDE/>
        <w:autoSpaceDN/>
        <w:adjustRightInd/>
        <w:spacing w:line="500" w:lineRule="exact"/>
        <w:ind w:firstLine="420" w:firstLineChars="200"/>
        <w:jc w:val="both"/>
        <w:rPr>
          <w:rFonts w:hint="eastAsia" w:hAnsi="宋体" w:cs="宋体"/>
          <w:color w:val="auto"/>
          <w:sz w:val="21"/>
          <w:szCs w:val="21"/>
          <w:highlight w:val="none"/>
        </w:rPr>
      </w:pPr>
      <w:r>
        <w:rPr>
          <w:rFonts w:hint="eastAsia" w:hAnsi="宋体" w:cs="宋体"/>
          <w:color w:val="auto"/>
          <w:sz w:val="21"/>
          <w:szCs w:val="21"/>
          <w:highlight w:val="none"/>
        </w:rPr>
        <w:t>3.联合体各方之间应当签订联合协议，明确联合体牵头人，并约定联合体各方应当承担的工作和相应的责任，然后，将联合协议连同投标文件一并提交。联合体中有同类资质的投标人按照联合体分工承担相同工作的，应当按照资质等级较低的投标人确定资质等级。联合体各方签订联合体协议后，不得再以自己的名义单独在同一项目中参与投标，也不得组成新的联合体参加同一项目投标。联合体各方在同一采购项目中以自己名义单独投标或者参加其他联合体共同投标的，相关投标均无效。</w:t>
      </w:r>
    </w:p>
    <w:p w14:paraId="03BFFD7A">
      <w:pPr>
        <w:shd w:val="clear" w:color="auto"/>
        <w:autoSpaceDE/>
        <w:autoSpaceDN/>
        <w:adjustRightInd/>
        <w:spacing w:line="500" w:lineRule="exact"/>
        <w:ind w:firstLine="420" w:firstLineChars="200"/>
        <w:jc w:val="both"/>
        <w:rPr>
          <w:rFonts w:hint="eastAsia" w:hAnsi="宋体" w:cs="宋体"/>
          <w:color w:val="auto"/>
          <w:sz w:val="21"/>
          <w:szCs w:val="21"/>
          <w:highlight w:val="none"/>
        </w:rPr>
      </w:pPr>
      <w:r>
        <w:rPr>
          <w:rFonts w:hint="eastAsia" w:hAnsi="宋体" w:cs="宋体"/>
          <w:color w:val="auto"/>
          <w:sz w:val="21"/>
          <w:szCs w:val="21"/>
          <w:highlight w:val="none"/>
        </w:rPr>
        <w:t>4.联合体各方应当共同与招标人签订采购合同，就采购合同约定的事项对招标人承担连带责任。</w:t>
      </w:r>
    </w:p>
    <w:p w14:paraId="5A8A4EB5">
      <w:pPr>
        <w:shd w:val="clear" w:color="auto"/>
        <w:autoSpaceDE/>
        <w:autoSpaceDN/>
        <w:adjustRightInd/>
        <w:spacing w:line="500" w:lineRule="exact"/>
        <w:ind w:firstLine="420" w:firstLineChars="200"/>
        <w:jc w:val="both"/>
        <w:rPr>
          <w:rFonts w:hint="eastAsia" w:hAnsi="宋体" w:cs="宋体"/>
          <w:color w:val="auto"/>
          <w:sz w:val="21"/>
          <w:szCs w:val="21"/>
          <w:highlight w:val="none"/>
        </w:rPr>
      </w:pPr>
      <w:r>
        <w:rPr>
          <w:rFonts w:hint="eastAsia" w:hAnsi="宋体" w:cs="宋体"/>
          <w:color w:val="auto"/>
          <w:sz w:val="21"/>
          <w:szCs w:val="21"/>
          <w:highlight w:val="none"/>
        </w:rPr>
        <w:t>5.以联合体形式参加政府采购活动，联合体各方均为中小企业的，联合体视同中小企业。其中，联合体各方均为小微企业的，联合体视同小微企业。</w:t>
      </w:r>
    </w:p>
    <w:p w14:paraId="28B54731">
      <w:pPr>
        <w:shd w:val="clear" w:color="auto"/>
        <w:autoSpaceDE/>
        <w:autoSpaceDN/>
        <w:adjustRightInd/>
        <w:spacing w:line="500" w:lineRule="exact"/>
        <w:ind w:firstLine="422" w:firstLineChars="200"/>
        <w:jc w:val="both"/>
        <w:rPr>
          <w:rFonts w:hint="eastAsia" w:hAnsi="宋体" w:cs="宋体"/>
          <w:b/>
          <w:color w:val="auto"/>
          <w:sz w:val="21"/>
          <w:szCs w:val="21"/>
          <w:highlight w:val="none"/>
        </w:rPr>
      </w:pPr>
      <w:r>
        <w:rPr>
          <w:rFonts w:hint="eastAsia" w:hAnsi="宋体" w:cs="宋体"/>
          <w:b/>
          <w:color w:val="auto"/>
          <w:sz w:val="21"/>
          <w:szCs w:val="21"/>
          <w:highlight w:val="none"/>
        </w:rPr>
        <w:t>（七）转包与分包</w:t>
      </w:r>
    </w:p>
    <w:p w14:paraId="0E268140">
      <w:pPr>
        <w:shd w:val="clear" w:color="auto"/>
        <w:autoSpaceDE/>
        <w:autoSpaceDN/>
        <w:adjustRightInd/>
        <w:spacing w:line="500" w:lineRule="exact"/>
        <w:ind w:firstLine="420" w:firstLineChars="200"/>
        <w:jc w:val="both"/>
        <w:rPr>
          <w:rFonts w:hint="eastAsia" w:hAnsi="宋体" w:cs="宋体"/>
          <w:color w:val="auto"/>
          <w:sz w:val="21"/>
          <w:szCs w:val="21"/>
          <w:highlight w:val="none"/>
        </w:rPr>
      </w:pPr>
      <w:r>
        <w:rPr>
          <w:rFonts w:hint="eastAsia" w:hAnsi="宋体" w:cs="宋体"/>
          <w:color w:val="auto"/>
          <w:sz w:val="21"/>
          <w:szCs w:val="21"/>
          <w:highlight w:val="none"/>
        </w:rPr>
        <w:t>1.转包：本项目不允许转包。</w:t>
      </w:r>
    </w:p>
    <w:p w14:paraId="79DC518E">
      <w:pPr>
        <w:shd w:val="clear" w:color="auto"/>
        <w:snapToGrid w:val="0"/>
        <w:spacing w:line="500" w:lineRule="exact"/>
        <w:ind w:firstLine="420" w:firstLineChars="200"/>
        <w:rPr>
          <w:rFonts w:hAnsi="宋体" w:cs="宋体"/>
          <w:color w:val="auto"/>
          <w:sz w:val="21"/>
          <w:szCs w:val="21"/>
          <w:highlight w:val="none"/>
        </w:rPr>
      </w:pPr>
      <w:r>
        <w:rPr>
          <w:rFonts w:hint="eastAsia" w:hAnsi="宋体" w:cs="宋体"/>
          <w:color w:val="auto"/>
          <w:sz w:val="21"/>
          <w:szCs w:val="21"/>
          <w:highlight w:val="none"/>
        </w:rPr>
        <w:t>2.分包：</w:t>
      </w:r>
      <w:r>
        <w:rPr>
          <w:rFonts w:hint="eastAsia" w:cs="宋体"/>
          <w:color w:val="auto"/>
          <w:sz w:val="21"/>
          <w:szCs w:val="21"/>
          <w:highlight w:val="none"/>
        </w:rPr>
        <w:t>为了支持中小企业发展，本项目允许中小型企业与小微企业组成联合体参与投标，也允许中小型企业向小微企业合理分包，确保中小企业参与政府采购公平竞争机会。组成联合体或者接受分包合同的中小微企业均应不属于大企业的分支机构，不存在控股股东为大企业的情形，也不存在与大企业的负责人为同一人的情形。 （联合体投标或分包时适用）</w:t>
      </w:r>
      <w:r>
        <w:rPr>
          <w:rFonts w:hint="eastAsia" w:hAnsi="宋体" w:cs="宋体"/>
          <w:color w:val="auto"/>
          <w:sz w:val="21"/>
          <w:szCs w:val="21"/>
          <w:highlight w:val="none"/>
          <w:lang w:bidi="ar"/>
        </w:rPr>
        <w:t>。</w:t>
      </w:r>
    </w:p>
    <w:p w14:paraId="57B894E3">
      <w:pPr>
        <w:shd w:val="clear" w:color="auto"/>
        <w:autoSpaceDE/>
        <w:autoSpaceDN/>
        <w:adjustRightInd/>
        <w:spacing w:line="500" w:lineRule="exact"/>
        <w:ind w:firstLine="420" w:firstLineChars="200"/>
        <w:jc w:val="both"/>
        <w:rPr>
          <w:rFonts w:hint="eastAsia" w:hAnsi="宋体" w:cs="宋体"/>
          <w:color w:val="auto"/>
          <w:sz w:val="21"/>
          <w:szCs w:val="21"/>
          <w:highlight w:val="none"/>
        </w:rPr>
      </w:pPr>
      <w:r>
        <w:rPr>
          <w:rFonts w:hint="eastAsia" w:hAnsi="宋体" w:cs="宋体"/>
          <w:color w:val="auto"/>
          <w:sz w:val="21"/>
          <w:szCs w:val="21"/>
          <w:highlight w:val="none"/>
        </w:rPr>
        <w:t>投标人在工作分包时，应当在投标文件中载明分包承担主体、分包工作内容及分包合同份额占</w:t>
      </w:r>
      <w:r>
        <w:rPr>
          <w:rFonts w:hint="eastAsia" w:hAnsi="宋体" w:cs="宋体"/>
          <w:color w:val="auto"/>
          <w:sz w:val="21"/>
          <w:szCs w:val="21"/>
          <w:highlight w:val="none"/>
          <w:lang w:bidi="ar"/>
        </w:rPr>
        <w:t>到合同总金额的</w:t>
      </w:r>
      <w:r>
        <w:rPr>
          <w:rFonts w:hint="eastAsia" w:hAnsi="宋体" w:cs="宋体"/>
          <w:color w:val="auto"/>
          <w:sz w:val="21"/>
          <w:szCs w:val="21"/>
          <w:highlight w:val="none"/>
        </w:rPr>
        <w:t>百分比，分包承担主体应当具备相应资质条件且不得再次分包。</w:t>
      </w:r>
    </w:p>
    <w:p w14:paraId="66C66B4A">
      <w:pPr>
        <w:shd w:val="clear" w:color="auto"/>
        <w:autoSpaceDE/>
        <w:autoSpaceDN/>
        <w:adjustRightInd/>
        <w:snapToGrid w:val="0"/>
        <w:spacing w:line="520" w:lineRule="exact"/>
        <w:ind w:firstLine="420" w:firstLineChars="200"/>
        <w:jc w:val="both"/>
        <w:rPr>
          <w:rFonts w:hint="eastAsia" w:hAnsi="宋体" w:cs="宋体"/>
          <w:color w:val="auto"/>
          <w:sz w:val="21"/>
          <w:szCs w:val="21"/>
          <w:highlight w:val="none"/>
        </w:rPr>
      </w:pPr>
      <w:r>
        <w:rPr>
          <w:rFonts w:hint="eastAsia" w:hAnsi="宋体" w:cs="宋体"/>
          <w:color w:val="auto"/>
          <w:sz w:val="21"/>
          <w:szCs w:val="21"/>
          <w:highlight w:val="none"/>
        </w:rPr>
        <w:t>政府采购合同采用分包履行的，中标供应商就采购项目和分包项目向采购人负责，分包供应商就分包项目承担责任。</w:t>
      </w:r>
    </w:p>
    <w:p w14:paraId="5C6CD9C1">
      <w:pPr>
        <w:shd w:val="clear" w:color="auto"/>
        <w:autoSpaceDE/>
        <w:autoSpaceDN/>
        <w:adjustRightInd/>
        <w:spacing w:line="500" w:lineRule="exact"/>
        <w:ind w:firstLine="422" w:firstLineChars="200"/>
        <w:jc w:val="both"/>
        <w:rPr>
          <w:rFonts w:hint="eastAsia" w:hAnsi="宋体" w:cs="宋体"/>
          <w:b/>
          <w:color w:val="auto"/>
          <w:sz w:val="21"/>
          <w:szCs w:val="21"/>
          <w:highlight w:val="none"/>
        </w:rPr>
      </w:pPr>
      <w:r>
        <w:rPr>
          <w:rFonts w:hint="eastAsia" w:hAnsi="宋体" w:cs="宋体"/>
          <w:b/>
          <w:color w:val="auto"/>
          <w:sz w:val="21"/>
          <w:szCs w:val="21"/>
          <w:highlight w:val="none"/>
        </w:rPr>
        <w:t>（八）特别说明</w:t>
      </w:r>
    </w:p>
    <w:p w14:paraId="29FDE37B">
      <w:pPr>
        <w:shd w:val="clear" w:color="auto"/>
        <w:autoSpaceDE/>
        <w:autoSpaceDN/>
        <w:adjustRightInd/>
        <w:spacing w:line="500" w:lineRule="exact"/>
        <w:ind w:firstLine="420" w:firstLineChars="200"/>
        <w:jc w:val="both"/>
        <w:rPr>
          <w:rFonts w:hint="eastAsia" w:hAnsi="宋体" w:cs="宋体"/>
          <w:b/>
          <w:color w:val="auto"/>
          <w:sz w:val="21"/>
          <w:highlight w:val="none"/>
        </w:rPr>
      </w:pPr>
      <w:r>
        <w:rPr>
          <w:rFonts w:hint="eastAsia" w:hAnsi="宋体" w:cs="宋体"/>
          <w:bCs/>
          <w:color w:val="auto"/>
          <w:sz w:val="21"/>
          <w:szCs w:val="21"/>
          <w:highlight w:val="none"/>
        </w:rPr>
        <w:t>★1.投标单位负责人为同一人或者存在直接控股、管理关系的不同投标人，不得参加同一合同项下的政府采购活动。如在评标过程（或标后质疑投诉期内）中发现投标人间存在上述关系，存在上述关系的全部投标人均做无效投标（或无效中标）处理。</w:t>
      </w:r>
    </w:p>
    <w:p w14:paraId="3DBF8C61">
      <w:pPr>
        <w:shd w:val="clear" w:color="auto"/>
        <w:autoSpaceDE/>
        <w:autoSpaceDN/>
        <w:adjustRightInd/>
        <w:spacing w:line="500" w:lineRule="exact"/>
        <w:ind w:firstLine="422" w:firstLineChars="200"/>
        <w:jc w:val="both"/>
        <w:rPr>
          <w:rFonts w:hint="eastAsia" w:hAnsi="宋体" w:cs="宋体"/>
          <w:b/>
          <w:color w:val="auto"/>
          <w:sz w:val="21"/>
          <w:szCs w:val="21"/>
          <w:highlight w:val="none"/>
        </w:rPr>
      </w:pPr>
      <w:r>
        <w:rPr>
          <w:rFonts w:hint="eastAsia" w:hAnsi="宋体" w:cs="宋体"/>
          <w:b/>
          <w:color w:val="auto"/>
          <w:sz w:val="21"/>
          <w:highlight w:val="none"/>
        </w:rPr>
        <w:t>2.</w:t>
      </w:r>
      <w:r>
        <w:rPr>
          <w:rFonts w:hint="eastAsia" w:hAnsi="宋体" w:cs="宋体"/>
          <w:b/>
          <w:color w:val="auto"/>
          <w:sz w:val="21"/>
          <w:szCs w:val="21"/>
          <w:highlight w:val="none"/>
        </w:rPr>
        <w:t>“政采云”平台运营机构，以及与该机构有直接控股或者管理关系可能影响采购公正性的任何单位和个人，不得在该平台进行的政府采购项目电子交易中投标、响应政府采购项目。</w:t>
      </w:r>
    </w:p>
    <w:p w14:paraId="5ADB20FF">
      <w:pPr>
        <w:shd w:val="clear" w:color="auto"/>
        <w:autoSpaceDE/>
        <w:autoSpaceDN/>
        <w:adjustRightInd/>
        <w:spacing w:line="500" w:lineRule="exact"/>
        <w:ind w:firstLine="420" w:firstLineChars="200"/>
        <w:jc w:val="both"/>
        <w:rPr>
          <w:rFonts w:hint="eastAsia" w:hAnsi="宋体" w:cs="宋体"/>
          <w:color w:val="auto"/>
          <w:sz w:val="21"/>
          <w:szCs w:val="21"/>
          <w:highlight w:val="none"/>
        </w:rPr>
      </w:pPr>
      <w:r>
        <w:rPr>
          <w:rFonts w:hint="eastAsia" w:hAnsi="宋体" w:cs="宋体"/>
          <w:color w:val="auto"/>
          <w:sz w:val="21"/>
          <w:szCs w:val="21"/>
          <w:highlight w:val="none"/>
        </w:rPr>
        <w:t>3.投标人投标所使用的资格、信誉、荣誉、业绩与企业认证必须为本单位（或本投标联合体）所拥有。投标人投标所使用的采购项目实施人员必须为本单位员工（或本投标联合体）。</w:t>
      </w:r>
    </w:p>
    <w:p w14:paraId="6B393D21">
      <w:pPr>
        <w:shd w:val="clear" w:color="auto"/>
        <w:autoSpaceDE/>
        <w:autoSpaceDN/>
        <w:adjustRightInd/>
        <w:spacing w:line="500" w:lineRule="exact"/>
        <w:ind w:firstLine="420" w:firstLineChars="200"/>
        <w:jc w:val="both"/>
        <w:rPr>
          <w:rFonts w:hint="eastAsia" w:hAnsi="宋体" w:cs="宋体"/>
          <w:color w:val="auto"/>
          <w:sz w:val="21"/>
          <w:szCs w:val="21"/>
          <w:highlight w:val="none"/>
        </w:rPr>
      </w:pPr>
      <w:r>
        <w:rPr>
          <w:rFonts w:hint="eastAsia" w:hAnsi="宋体" w:cs="宋体"/>
          <w:color w:val="auto"/>
          <w:sz w:val="21"/>
          <w:szCs w:val="21"/>
          <w:highlight w:val="none"/>
        </w:rPr>
        <w:t>4.投标人应仔细阅读招标文件的所有内容，按照招标文件的要求提交投标文件。投标人必须对投标文件所提供的全部资料的真实性承担法律责任，并无条件接受采购代理机构、</w:t>
      </w:r>
      <w:r>
        <w:rPr>
          <w:rFonts w:hint="eastAsia" w:hAnsi="宋体" w:cs="宋体"/>
          <w:color w:val="auto"/>
          <w:sz w:val="21"/>
          <w:szCs w:val="21"/>
          <w:highlight w:val="none"/>
          <w:lang w:eastAsia="zh-CN"/>
        </w:rPr>
        <w:t>采购人</w:t>
      </w:r>
      <w:r>
        <w:rPr>
          <w:rFonts w:hint="eastAsia" w:hAnsi="宋体" w:cs="宋体"/>
          <w:color w:val="auto"/>
          <w:sz w:val="21"/>
          <w:szCs w:val="21"/>
          <w:highlight w:val="none"/>
        </w:rPr>
        <w:t>及政府采购监督管理部门等对其中任何资料进行核实的要求。</w:t>
      </w:r>
    </w:p>
    <w:p w14:paraId="1A1BADF8">
      <w:pPr>
        <w:shd w:val="clear" w:color="auto"/>
        <w:autoSpaceDE/>
        <w:autoSpaceDN/>
        <w:adjustRightInd/>
        <w:spacing w:line="500" w:lineRule="exact"/>
        <w:ind w:firstLine="420" w:firstLineChars="200"/>
        <w:jc w:val="both"/>
        <w:rPr>
          <w:rFonts w:hint="eastAsia" w:hAnsi="宋体" w:cs="宋体"/>
          <w:color w:val="auto"/>
          <w:sz w:val="21"/>
          <w:szCs w:val="21"/>
          <w:highlight w:val="none"/>
        </w:rPr>
      </w:pPr>
      <w:r>
        <w:rPr>
          <w:rFonts w:hint="eastAsia" w:hAnsi="宋体" w:cs="宋体"/>
          <w:color w:val="auto"/>
          <w:sz w:val="21"/>
          <w:szCs w:val="21"/>
          <w:highlight w:val="none"/>
        </w:rPr>
        <w:t>5.投标人在投标活动中提供任何虚假材料，其投标无效，并报监管部门查处；中标后发现的，中标人须依照相关法律法规的规定赔偿</w:t>
      </w:r>
      <w:r>
        <w:rPr>
          <w:rFonts w:hint="eastAsia" w:hAnsi="宋体" w:cs="宋体"/>
          <w:color w:val="auto"/>
          <w:sz w:val="21"/>
          <w:szCs w:val="21"/>
          <w:highlight w:val="none"/>
          <w:lang w:eastAsia="zh-CN"/>
        </w:rPr>
        <w:t>采购人</w:t>
      </w:r>
      <w:r>
        <w:rPr>
          <w:rFonts w:hint="eastAsia" w:hAnsi="宋体" w:cs="宋体"/>
          <w:color w:val="auto"/>
          <w:sz w:val="21"/>
          <w:szCs w:val="21"/>
          <w:highlight w:val="none"/>
        </w:rPr>
        <w:t>，且民事赔偿并不免除违法投标人的行政与刑事责任。</w:t>
      </w:r>
    </w:p>
    <w:p w14:paraId="14A233F7">
      <w:pPr>
        <w:shd w:val="clear" w:color="auto"/>
        <w:autoSpaceDE/>
        <w:autoSpaceDN/>
        <w:adjustRightInd/>
        <w:spacing w:line="500" w:lineRule="exact"/>
        <w:ind w:firstLine="422" w:firstLineChars="200"/>
        <w:jc w:val="both"/>
        <w:rPr>
          <w:rFonts w:hint="eastAsia" w:hAnsi="宋体" w:cs="宋体"/>
          <w:b/>
          <w:color w:val="auto"/>
          <w:sz w:val="21"/>
          <w:szCs w:val="21"/>
          <w:highlight w:val="none"/>
        </w:rPr>
      </w:pPr>
      <w:r>
        <w:rPr>
          <w:rFonts w:hint="eastAsia" w:hAnsi="宋体" w:cs="宋体"/>
          <w:b/>
          <w:color w:val="auto"/>
          <w:sz w:val="21"/>
          <w:szCs w:val="21"/>
          <w:highlight w:val="none"/>
        </w:rPr>
        <w:t>（九）质疑和投诉</w:t>
      </w:r>
    </w:p>
    <w:p w14:paraId="627A1C1A">
      <w:pPr>
        <w:shd w:val="clear" w:color="auto"/>
        <w:autoSpaceDE/>
        <w:autoSpaceDN/>
        <w:adjustRightInd/>
        <w:spacing w:line="500" w:lineRule="exact"/>
        <w:ind w:firstLine="420" w:firstLineChars="200"/>
        <w:jc w:val="both"/>
        <w:rPr>
          <w:rFonts w:hint="eastAsia" w:hAnsi="宋体" w:cs="宋体"/>
          <w:color w:val="auto"/>
          <w:sz w:val="21"/>
          <w:szCs w:val="21"/>
          <w:highlight w:val="none"/>
        </w:rPr>
      </w:pPr>
      <w:r>
        <w:rPr>
          <w:rFonts w:hint="eastAsia" w:hAnsi="宋体" w:cs="宋体"/>
          <w:color w:val="auto"/>
          <w:sz w:val="21"/>
          <w:szCs w:val="21"/>
          <w:highlight w:val="none"/>
        </w:rPr>
        <w:t>1.投标人认为招标文件、招标过程或中标结果使自己的合法权益受到损害的，应当在知道或者应知其权益受到损害之日起七个工作日内，以书面形式向</w:t>
      </w:r>
      <w:r>
        <w:rPr>
          <w:rFonts w:hint="eastAsia" w:hAnsi="宋体" w:cs="宋体"/>
          <w:color w:val="auto"/>
          <w:sz w:val="21"/>
          <w:szCs w:val="21"/>
          <w:highlight w:val="none"/>
          <w:lang w:eastAsia="zh-CN"/>
        </w:rPr>
        <w:t>采购人</w:t>
      </w:r>
      <w:r>
        <w:rPr>
          <w:rFonts w:hint="eastAsia" w:hAnsi="宋体" w:cs="宋体"/>
          <w:color w:val="auto"/>
          <w:sz w:val="21"/>
          <w:szCs w:val="21"/>
          <w:highlight w:val="none"/>
        </w:rPr>
        <w:t>、采购代理机构提出质疑。投标人对招标采购单位的质疑答复不满意或者招标采购单位未在规定时间内作出答复的，可以在答复期满后十五个工作日内向同级采购监管部门投诉。</w:t>
      </w:r>
    </w:p>
    <w:p w14:paraId="4CFF02AB">
      <w:pPr>
        <w:shd w:val="clear" w:color="auto"/>
        <w:autoSpaceDE/>
        <w:autoSpaceDN/>
        <w:adjustRightInd/>
        <w:spacing w:line="500" w:lineRule="exact"/>
        <w:ind w:firstLine="420" w:firstLineChars="200"/>
        <w:jc w:val="both"/>
        <w:rPr>
          <w:rFonts w:hint="eastAsia" w:hAnsi="宋体" w:cs="宋体"/>
          <w:color w:val="auto"/>
          <w:sz w:val="21"/>
          <w:szCs w:val="21"/>
          <w:highlight w:val="none"/>
          <w:lang w:eastAsia="zh-TW"/>
        </w:rPr>
      </w:pPr>
      <w:r>
        <w:rPr>
          <w:rFonts w:hint="eastAsia" w:hAnsi="宋体" w:cs="宋体"/>
          <w:color w:val="auto"/>
          <w:sz w:val="21"/>
          <w:szCs w:val="21"/>
          <w:highlight w:val="none"/>
        </w:rPr>
        <w:t>2.质疑、投诉应当符合中华人民共和国财政部令第94号《政府采购质疑和投诉办法》的规定，并分别采用财政部发布的《政府采购供应商质疑函范本》和《政府采购供应商投诉书范本》等书面形式，质疑书、投诉书均应明确阐述招标文件、招标过程或中标结果中使自己合法权益受到损害的实质性内容，提供相关事实、依据和证据及其来源或线索，便于有关单位调查、答复和处理。</w:t>
      </w:r>
      <w:r>
        <w:rPr>
          <w:rFonts w:hint="eastAsia" w:hAnsi="宋体" w:cs="宋体"/>
          <w:bCs/>
          <w:color w:val="auto"/>
          <w:sz w:val="21"/>
          <w:szCs w:val="21"/>
          <w:highlight w:val="none"/>
        </w:rPr>
        <w:t>质疑函范本、投诉书范本请到浙江政府采购网下载专区下载。</w:t>
      </w:r>
    </w:p>
    <w:p w14:paraId="1D327D68">
      <w:pPr>
        <w:shd w:val="clear" w:color="auto"/>
        <w:autoSpaceDE/>
        <w:autoSpaceDN/>
        <w:adjustRightInd/>
        <w:spacing w:line="500" w:lineRule="exact"/>
        <w:ind w:firstLine="420" w:firstLineChars="200"/>
        <w:jc w:val="both"/>
        <w:rPr>
          <w:rFonts w:hint="eastAsia" w:hAnsi="宋体" w:cs="宋体"/>
          <w:color w:val="auto"/>
          <w:sz w:val="21"/>
          <w:szCs w:val="21"/>
          <w:highlight w:val="none"/>
        </w:rPr>
      </w:pPr>
      <w:r>
        <w:rPr>
          <w:rFonts w:hint="eastAsia" w:hAnsi="宋体" w:cs="宋体"/>
          <w:color w:val="auto"/>
          <w:sz w:val="21"/>
          <w:szCs w:val="21"/>
          <w:highlight w:val="none"/>
        </w:rPr>
        <w:t>3.</w:t>
      </w:r>
      <w:r>
        <w:rPr>
          <w:rFonts w:hint="eastAsia" w:hAnsi="宋体" w:cs="宋体"/>
          <w:color w:val="auto"/>
          <w:sz w:val="21"/>
          <w:szCs w:val="21"/>
          <w:highlight w:val="none"/>
          <w:lang w:val="zh-CN"/>
        </w:rPr>
        <w:t>投标人须在法定质疑期内一次性提出针对同一采购程序环节的质疑。未按上述要求提供的质疑函，采购代理机构有权不予受理。</w:t>
      </w:r>
    </w:p>
    <w:p w14:paraId="1BD462CC">
      <w:pPr>
        <w:shd w:val="clear" w:color="auto"/>
        <w:autoSpaceDE/>
        <w:autoSpaceDN/>
        <w:adjustRightInd/>
        <w:spacing w:line="500" w:lineRule="exact"/>
        <w:ind w:firstLine="422" w:firstLineChars="200"/>
        <w:jc w:val="both"/>
        <w:rPr>
          <w:rFonts w:hint="eastAsia" w:hAnsi="宋体" w:cs="宋体"/>
          <w:b/>
          <w:color w:val="auto"/>
          <w:sz w:val="21"/>
          <w:szCs w:val="21"/>
          <w:highlight w:val="none"/>
        </w:rPr>
      </w:pPr>
      <w:r>
        <w:rPr>
          <w:rFonts w:hint="eastAsia" w:hAnsi="宋体" w:cs="宋体"/>
          <w:b/>
          <w:color w:val="auto"/>
          <w:sz w:val="21"/>
          <w:szCs w:val="21"/>
          <w:highlight w:val="none"/>
        </w:rPr>
        <w:t>二、招标文件</w:t>
      </w:r>
    </w:p>
    <w:p w14:paraId="3CB98507">
      <w:pPr>
        <w:shd w:val="clear" w:color="auto"/>
        <w:autoSpaceDE/>
        <w:autoSpaceDN/>
        <w:adjustRightInd/>
        <w:spacing w:line="500" w:lineRule="exact"/>
        <w:ind w:firstLine="422" w:firstLineChars="200"/>
        <w:jc w:val="both"/>
        <w:rPr>
          <w:rFonts w:hint="eastAsia" w:hAnsi="宋体" w:cs="宋体"/>
          <w:b/>
          <w:color w:val="auto"/>
          <w:sz w:val="21"/>
          <w:szCs w:val="21"/>
          <w:highlight w:val="none"/>
        </w:rPr>
      </w:pPr>
      <w:r>
        <w:rPr>
          <w:rFonts w:hint="eastAsia" w:hAnsi="宋体" w:cs="宋体"/>
          <w:b/>
          <w:color w:val="auto"/>
          <w:sz w:val="21"/>
          <w:szCs w:val="21"/>
          <w:highlight w:val="none"/>
        </w:rPr>
        <w:t>（一）招标文件的构成。本招标文件由以下部分组成：</w:t>
      </w:r>
    </w:p>
    <w:p w14:paraId="7AF80EB9">
      <w:pPr>
        <w:shd w:val="clear" w:color="auto"/>
        <w:autoSpaceDE/>
        <w:autoSpaceDN/>
        <w:adjustRightInd/>
        <w:spacing w:line="500" w:lineRule="exact"/>
        <w:ind w:firstLine="420" w:firstLineChars="200"/>
        <w:jc w:val="both"/>
        <w:rPr>
          <w:rFonts w:hint="eastAsia" w:hAnsi="宋体" w:cs="宋体"/>
          <w:color w:val="auto"/>
          <w:sz w:val="21"/>
          <w:szCs w:val="21"/>
          <w:highlight w:val="none"/>
        </w:rPr>
      </w:pPr>
      <w:r>
        <w:rPr>
          <w:rFonts w:hint="eastAsia" w:hAnsi="宋体" w:cs="宋体"/>
          <w:color w:val="auto"/>
          <w:sz w:val="21"/>
          <w:szCs w:val="21"/>
          <w:highlight w:val="none"/>
        </w:rPr>
        <w:t>1.招标公告</w:t>
      </w:r>
    </w:p>
    <w:p w14:paraId="5D746BD7">
      <w:pPr>
        <w:shd w:val="clear" w:color="auto"/>
        <w:autoSpaceDE/>
        <w:autoSpaceDN/>
        <w:adjustRightInd/>
        <w:spacing w:line="500" w:lineRule="exact"/>
        <w:ind w:firstLine="420" w:firstLineChars="200"/>
        <w:jc w:val="both"/>
        <w:rPr>
          <w:rFonts w:hint="eastAsia" w:hAnsi="宋体" w:cs="宋体"/>
          <w:color w:val="auto"/>
          <w:sz w:val="21"/>
          <w:szCs w:val="21"/>
          <w:highlight w:val="none"/>
        </w:rPr>
      </w:pPr>
      <w:r>
        <w:rPr>
          <w:rFonts w:hint="eastAsia" w:hAnsi="宋体" w:cs="宋体"/>
          <w:color w:val="auto"/>
          <w:sz w:val="21"/>
          <w:szCs w:val="21"/>
          <w:highlight w:val="none"/>
        </w:rPr>
        <w:t>2.招标需求</w:t>
      </w:r>
    </w:p>
    <w:p w14:paraId="1D91691F">
      <w:pPr>
        <w:shd w:val="clear" w:color="auto"/>
        <w:autoSpaceDE/>
        <w:autoSpaceDN/>
        <w:adjustRightInd/>
        <w:spacing w:line="500" w:lineRule="exact"/>
        <w:ind w:firstLine="420" w:firstLineChars="200"/>
        <w:jc w:val="both"/>
        <w:rPr>
          <w:rFonts w:hint="eastAsia" w:hAnsi="宋体" w:cs="宋体"/>
          <w:color w:val="auto"/>
          <w:sz w:val="21"/>
          <w:szCs w:val="21"/>
          <w:highlight w:val="none"/>
        </w:rPr>
      </w:pPr>
      <w:r>
        <w:rPr>
          <w:rFonts w:hint="eastAsia" w:hAnsi="宋体" w:cs="宋体"/>
          <w:color w:val="auto"/>
          <w:sz w:val="21"/>
          <w:szCs w:val="21"/>
          <w:highlight w:val="none"/>
        </w:rPr>
        <w:t>3.投标人须知</w:t>
      </w:r>
    </w:p>
    <w:p w14:paraId="07F93801">
      <w:pPr>
        <w:shd w:val="clear" w:color="auto"/>
        <w:autoSpaceDE/>
        <w:autoSpaceDN/>
        <w:adjustRightInd/>
        <w:spacing w:line="500" w:lineRule="exact"/>
        <w:ind w:firstLine="420" w:firstLineChars="200"/>
        <w:jc w:val="both"/>
        <w:rPr>
          <w:rFonts w:hint="eastAsia" w:hAnsi="宋体" w:cs="宋体"/>
          <w:color w:val="auto"/>
          <w:sz w:val="21"/>
          <w:szCs w:val="21"/>
          <w:highlight w:val="none"/>
        </w:rPr>
      </w:pPr>
      <w:r>
        <w:rPr>
          <w:rFonts w:hint="eastAsia" w:hAnsi="宋体" w:cs="宋体"/>
          <w:color w:val="auto"/>
          <w:sz w:val="21"/>
          <w:szCs w:val="21"/>
          <w:highlight w:val="none"/>
        </w:rPr>
        <w:t>4.评标办法及标准</w:t>
      </w:r>
    </w:p>
    <w:p w14:paraId="0B7B8023">
      <w:pPr>
        <w:shd w:val="clear" w:color="auto"/>
        <w:autoSpaceDE/>
        <w:autoSpaceDN/>
        <w:adjustRightInd/>
        <w:spacing w:line="500" w:lineRule="exact"/>
        <w:ind w:firstLine="420" w:firstLineChars="200"/>
        <w:jc w:val="both"/>
        <w:rPr>
          <w:rFonts w:hint="eastAsia" w:hAnsi="宋体" w:cs="宋体"/>
          <w:color w:val="auto"/>
          <w:sz w:val="21"/>
          <w:szCs w:val="21"/>
          <w:highlight w:val="none"/>
        </w:rPr>
      </w:pPr>
      <w:r>
        <w:rPr>
          <w:rFonts w:hint="eastAsia" w:hAnsi="宋体" w:cs="宋体"/>
          <w:color w:val="auto"/>
          <w:sz w:val="21"/>
          <w:szCs w:val="21"/>
          <w:highlight w:val="none"/>
        </w:rPr>
        <w:t>5.合同文本</w:t>
      </w:r>
    </w:p>
    <w:p w14:paraId="4EA35DF7">
      <w:pPr>
        <w:shd w:val="clear" w:color="auto"/>
        <w:autoSpaceDE/>
        <w:autoSpaceDN/>
        <w:adjustRightInd/>
        <w:spacing w:line="500" w:lineRule="exact"/>
        <w:ind w:firstLine="420" w:firstLineChars="200"/>
        <w:jc w:val="both"/>
        <w:rPr>
          <w:rFonts w:hint="eastAsia" w:hAnsi="宋体" w:cs="宋体"/>
          <w:color w:val="auto"/>
          <w:sz w:val="21"/>
          <w:szCs w:val="21"/>
          <w:highlight w:val="none"/>
        </w:rPr>
      </w:pPr>
      <w:r>
        <w:rPr>
          <w:rFonts w:hint="eastAsia" w:hAnsi="宋体" w:cs="宋体"/>
          <w:color w:val="auto"/>
          <w:sz w:val="21"/>
          <w:szCs w:val="21"/>
          <w:highlight w:val="none"/>
        </w:rPr>
        <w:t>6.投标文件格式</w:t>
      </w:r>
    </w:p>
    <w:p w14:paraId="6E4CE8F6">
      <w:pPr>
        <w:shd w:val="clear" w:color="auto"/>
        <w:autoSpaceDE/>
        <w:autoSpaceDN/>
        <w:adjustRightInd/>
        <w:spacing w:line="500" w:lineRule="exact"/>
        <w:ind w:firstLine="420" w:firstLineChars="200"/>
        <w:jc w:val="both"/>
        <w:rPr>
          <w:rFonts w:hint="eastAsia" w:hAnsi="宋体" w:cs="宋体"/>
          <w:color w:val="auto"/>
          <w:sz w:val="21"/>
          <w:szCs w:val="21"/>
          <w:highlight w:val="none"/>
        </w:rPr>
      </w:pPr>
      <w:r>
        <w:rPr>
          <w:rFonts w:hint="eastAsia" w:hAnsi="宋体" w:cs="宋体"/>
          <w:color w:val="auto"/>
          <w:sz w:val="21"/>
          <w:szCs w:val="21"/>
          <w:highlight w:val="none"/>
        </w:rPr>
        <w:t>7.本项目招标文件的澄清、答复、修改、补充的内容（如有）</w:t>
      </w:r>
    </w:p>
    <w:p w14:paraId="61272C45">
      <w:pPr>
        <w:shd w:val="clear" w:color="auto"/>
        <w:autoSpaceDE/>
        <w:autoSpaceDN/>
        <w:adjustRightInd/>
        <w:spacing w:line="500" w:lineRule="exact"/>
        <w:ind w:firstLine="422" w:firstLineChars="200"/>
        <w:jc w:val="both"/>
        <w:rPr>
          <w:rFonts w:hint="eastAsia" w:hAnsi="宋体" w:cs="宋体"/>
          <w:b/>
          <w:color w:val="auto"/>
          <w:sz w:val="21"/>
          <w:szCs w:val="21"/>
          <w:highlight w:val="none"/>
        </w:rPr>
      </w:pPr>
      <w:r>
        <w:rPr>
          <w:rFonts w:hint="eastAsia" w:hAnsi="宋体" w:cs="宋体"/>
          <w:b/>
          <w:color w:val="auto"/>
          <w:sz w:val="21"/>
          <w:szCs w:val="21"/>
          <w:highlight w:val="none"/>
        </w:rPr>
        <w:t>（二）投标人的风险</w:t>
      </w:r>
    </w:p>
    <w:p w14:paraId="66EE7F00">
      <w:pPr>
        <w:shd w:val="clear" w:color="auto"/>
        <w:autoSpaceDE/>
        <w:autoSpaceDN/>
        <w:adjustRightInd/>
        <w:spacing w:line="500" w:lineRule="exact"/>
        <w:ind w:firstLine="420" w:firstLineChars="200"/>
        <w:jc w:val="both"/>
        <w:rPr>
          <w:rFonts w:hint="eastAsia" w:hAnsi="宋体" w:cs="宋体"/>
          <w:color w:val="auto"/>
          <w:sz w:val="21"/>
          <w:szCs w:val="21"/>
          <w:highlight w:val="none"/>
        </w:rPr>
      </w:pPr>
      <w:r>
        <w:rPr>
          <w:rFonts w:hint="eastAsia" w:hAnsi="宋体" w:cs="宋体"/>
          <w:color w:val="auto"/>
          <w:sz w:val="21"/>
          <w:szCs w:val="21"/>
          <w:highlight w:val="none"/>
        </w:rPr>
        <w:t>投标人没有按照招标文件要求提供全部资料，或者投标人没有对招标文件在各方面作出实质性响应是投标人的风险，并可能导致其投标被拒绝。</w:t>
      </w:r>
    </w:p>
    <w:p w14:paraId="4B86F669">
      <w:pPr>
        <w:shd w:val="clear" w:color="auto"/>
        <w:autoSpaceDE/>
        <w:autoSpaceDN/>
        <w:adjustRightInd/>
        <w:spacing w:line="500" w:lineRule="exact"/>
        <w:ind w:firstLine="420" w:firstLineChars="200"/>
        <w:jc w:val="both"/>
        <w:rPr>
          <w:rFonts w:hint="eastAsia" w:hAnsi="宋体" w:cs="宋体"/>
          <w:color w:val="auto"/>
          <w:sz w:val="21"/>
          <w:szCs w:val="21"/>
          <w:highlight w:val="none"/>
        </w:rPr>
      </w:pPr>
      <w:r>
        <w:rPr>
          <w:rFonts w:hint="eastAsia" w:hAnsi="宋体" w:cs="宋体"/>
          <w:color w:val="auto"/>
          <w:sz w:val="21"/>
          <w:szCs w:val="21"/>
          <w:highlight w:val="none"/>
          <w:lang w:eastAsia="zh-CN"/>
        </w:rPr>
        <w:t>采购人</w:t>
      </w:r>
      <w:r>
        <w:rPr>
          <w:rFonts w:hint="eastAsia" w:hAnsi="宋体" w:cs="宋体"/>
          <w:color w:val="auto"/>
          <w:sz w:val="21"/>
          <w:szCs w:val="21"/>
          <w:highlight w:val="none"/>
        </w:rPr>
        <w:t>、采购代理机构不保证所有已完成报名的投标人都符合资格要求。</w:t>
      </w:r>
    </w:p>
    <w:p w14:paraId="46F31E90">
      <w:pPr>
        <w:shd w:val="clear" w:color="auto"/>
        <w:autoSpaceDE/>
        <w:autoSpaceDN/>
        <w:adjustRightInd/>
        <w:spacing w:line="500" w:lineRule="exact"/>
        <w:ind w:firstLine="422" w:firstLineChars="200"/>
        <w:jc w:val="both"/>
        <w:rPr>
          <w:rFonts w:hint="eastAsia" w:hAnsi="宋体" w:cs="宋体"/>
          <w:b/>
          <w:color w:val="auto"/>
          <w:sz w:val="21"/>
          <w:szCs w:val="21"/>
          <w:highlight w:val="none"/>
        </w:rPr>
      </w:pPr>
      <w:r>
        <w:rPr>
          <w:rFonts w:hint="eastAsia" w:hAnsi="宋体" w:cs="宋体"/>
          <w:b/>
          <w:color w:val="auto"/>
          <w:sz w:val="21"/>
          <w:szCs w:val="21"/>
          <w:highlight w:val="none"/>
        </w:rPr>
        <w:t>（三）招标文件的澄清与修改</w:t>
      </w:r>
    </w:p>
    <w:p w14:paraId="42168581">
      <w:pPr>
        <w:shd w:val="clear" w:color="auto"/>
        <w:autoSpaceDE/>
        <w:autoSpaceDN/>
        <w:snapToGrid w:val="0"/>
        <w:spacing w:line="500" w:lineRule="exact"/>
        <w:ind w:firstLine="420" w:firstLineChars="200"/>
        <w:rPr>
          <w:rFonts w:hint="eastAsia" w:hAnsi="宋体" w:cs="宋体"/>
          <w:color w:val="auto"/>
          <w:sz w:val="21"/>
          <w:szCs w:val="21"/>
          <w:highlight w:val="none"/>
        </w:rPr>
      </w:pPr>
      <w:r>
        <w:rPr>
          <w:rFonts w:hint="eastAsia" w:hAnsi="宋体" w:cs="宋体"/>
          <w:color w:val="auto"/>
          <w:sz w:val="21"/>
          <w:szCs w:val="21"/>
          <w:highlight w:val="none"/>
        </w:rPr>
        <w:t>1.投标人应认真阅读本招标文件，发现其中有误或有不合理要求的，应当自知道或者应知其权益受到损害之日起七个工作日内，以书面形式要求招标采购单位作出书面解释、澄清或者向招标采购单位提出书面质疑；招标采购单位对已发出的招标文件进行必要澄清、答复、修改或补充的，在财政部门指定的政府采购信息发布媒体上发布更正公告，并以书面形式通知所有招标文件收受人。澄清或者修改的内容可能影响投标文件编制的，应当在投标截止时间至少15日前，以书面形式通知所有获取招标文件的潜在投标人；不足15日的，顺延提交投标文件的截止时间。</w:t>
      </w:r>
    </w:p>
    <w:p w14:paraId="0E328182">
      <w:pPr>
        <w:shd w:val="clear" w:color="auto"/>
        <w:autoSpaceDE/>
        <w:autoSpaceDN/>
        <w:snapToGrid w:val="0"/>
        <w:spacing w:line="500" w:lineRule="exact"/>
        <w:ind w:firstLine="420" w:firstLineChars="200"/>
        <w:rPr>
          <w:rFonts w:hint="eastAsia" w:hAnsi="宋体" w:cs="宋体"/>
          <w:color w:val="auto"/>
          <w:sz w:val="21"/>
          <w:szCs w:val="21"/>
          <w:highlight w:val="none"/>
        </w:rPr>
      </w:pPr>
      <w:r>
        <w:rPr>
          <w:rFonts w:hint="eastAsia" w:hAnsi="宋体" w:cs="宋体"/>
          <w:color w:val="auto"/>
          <w:sz w:val="21"/>
          <w:szCs w:val="21"/>
          <w:highlight w:val="none"/>
        </w:rPr>
        <w:t>2.采购代理机构必须以书面形式答复投标人要求澄清的问题，并将不包含问题来源的答复书面通知所有购买招标文件的投标人，除书面答复以外的其他澄清方式及澄清内容均无效。</w:t>
      </w:r>
    </w:p>
    <w:p w14:paraId="6C23ECDB">
      <w:pPr>
        <w:shd w:val="clear" w:color="auto"/>
        <w:autoSpaceDE/>
        <w:autoSpaceDN/>
        <w:snapToGrid w:val="0"/>
        <w:spacing w:line="500" w:lineRule="exact"/>
        <w:ind w:firstLine="420" w:firstLineChars="200"/>
        <w:rPr>
          <w:rFonts w:hint="eastAsia" w:hAnsi="宋体" w:cs="宋体"/>
          <w:color w:val="auto"/>
          <w:sz w:val="21"/>
          <w:szCs w:val="21"/>
          <w:highlight w:val="none"/>
        </w:rPr>
      </w:pPr>
      <w:r>
        <w:rPr>
          <w:rFonts w:hint="eastAsia" w:hAnsi="宋体" w:cs="宋体"/>
          <w:color w:val="auto"/>
          <w:sz w:val="21"/>
          <w:szCs w:val="21"/>
          <w:highlight w:val="none"/>
        </w:rPr>
        <w:t>3.招标文件澄清、答复、修改、补充的内容为招标文件的组成部分。当招标文件与招标文件的答复、澄清、修改、补充通知就同一内容的表述不一致时，以最后发出的书面文件为准。</w:t>
      </w:r>
    </w:p>
    <w:p w14:paraId="4AA0B4BE">
      <w:pPr>
        <w:shd w:val="clear" w:color="auto"/>
        <w:autoSpaceDE/>
        <w:autoSpaceDN/>
        <w:snapToGrid w:val="0"/>
        <w:spacing w:line="500" w:lineRule="exact"/>
        <w:ind w:firstLine="420" w:firstLineChars="200"/>
        <w:rPr>
          <w:rFonts w:hint="eastAsia" w:hAnsi="宋体" w:cs="宋体"/>
          <w:color w:val="auto"/>
          <w:sz w:val="21"/>
          <w:szCs w:val="21"/>
          <w:highlight w:val="none"/>
        </w:rPr>
      </w:pPr>
      <w:r>
        <w:rPr>
          <w:rFonts w:hint="eastAsia" w:hAnsi="宋体" w:cs="宋体"/>
          <w:color w:val="auto"/>
          <w:sz w:val="21"/>
          <w:szCs w:val="21"/>
          <w:highlight w:val="none"/>
        </w:rPr>
        <w:t>4.招标文件的澄清、答复、修改或补充都应该通过本代理机构以法定形式发布，</w:t>
      </w:r>
      <w:r>
        <w:rPr>
          <w:rFonts w:hint="eastAsia" w:hAnsi="宋体" w:cs="宋体"/>
          <w:color w:val="auto"/>
          <w:sz w:val="21"/>
          <w:szCs w:val="21"/>
          <w:highlight w:val="none"/>
          <w:lang w:eastAsia="zh-CN"/>
        </w:rPr>
        <w:t>采购人</w:t>
      </w:r>
      <w:r>
        <w:rPr>
          <w:rFonts w:hint="eastAsia" w:hAnsi="宋体" w:cs="宋体"/>
          <w:color w:val="auto"/>
          <w:sz w:val="21"/>
          <w:szCs w:val="21"/>
          <w:highlight w:val="none"/>
        </w:rPr>
        <w:t>非通过本机构，不得擅自澄清、答复、修改或补充招标文件。</w:t>
      </w:r>
    </w:p>
    <w:p w14:paraId="48AC46A5">
      <w:pPr>
        <w:shd w:val="clear" w:color="auto"/>
        <w:autoSpaceDE/>
        <w:autoSpaceDN/>
        <w:adjustRightInd/>
        <w:spacing w:line="500" w:lineRule="exact"/>
        <w:ind w:firstLine="422" w:firstLineChars="200"/>
        <w:jc w:val="both"/>
        <w:rPr>
          <w:rFonts w:hint="eastAsia" w:hAnsi="宋体" w:cs="宋体"/>
          <w:b/>
          <w:color w:val="auto"/>
          <w:sz w:val="21"/>
          <w:szCs w:val="21"/>
          <w:highlight w:val="none"/>
        </w:rPr>
      </w:pPr>
      <w:r>
        <w:rPr>
          <w:rFonts w:hint="eastAsia" w:hAnsi="宋体" w:cs="宋体"/>
          <w:b/>
          <w:color w:val="auto"/>
          <w:sz w:val="21"/>
          <w:szCs w:val="21"/>
          <w:highlight w:val="none"/>
        </w:rPr>
        <w:t>三、投标文件的编制</w:t>
      </w:r>
    </w:p>
    <w:p w14:paraId="49F07650">
      <w:pPr>
        <w:shd w:val="clear" w:color="auto"/>
        <w:snapToGrid w:val="0"/>
        <w:spacing w:line="500" w:lineRule="exact"/>
        <w:ind w:firstLine="422" w:firstLineChars="200"/>
        <w:rPr>
          <w:rFonts w:hint="eastAsia" w:hAnsi="宋体" w:cs="宋体"/>
          <w:b/>
          <w:color w:val="auto"/>
          <w:sz w:val="21"/>
          <w:szCs w:val="21"/>
          <w:highlight w:val="none"/>
        </w:rPr>
      </w:pPr>
      <w:r>
        <w:rPr>
          <w:rFonts w:hint="eastAsia" w:hAnsi="宋体" w:cs="宋体"/>
          <w:b/>
          <w:color w:val="auto"/>
          <w:sz w:val="21"/>
          <w:szCs w:val="21"/>
          <w:highlight w:val="none"/>
        </w:rPr>
        <w:t>注：投标人应保证所提供文件资料的真实性，所有文件资料必须是针对本次投标的。如发现投标人提供了虚假文件资料，其投标将被拒绝，并自行承担相应的法律责任。</w:t>
      </w:r>
    </w:p>
    <w:p w14:paraId="1D2BCE8A">
      <w:pPr>
        <w:shd w:val="clear" w:color="auto"/>
        <w:tabs>
          <w:tab w:val="left" w:pos="6955"/>
        </w:tabs>
        <w:snapToGrid w:val="0"/>
        <w:spacing w:line="500" w:lineRule="exact"/>
        <w:ind w:firstLine="422" w:firstLineChars="200"/>
        <w:rPr>
          <w:rFonts w:hint="eastAsia" w:hAnsi="宋体" w:cs="宋体"/>
          <w:b/>
          <w:color w:val="auto"/>
          <w:sz w:val="21"/>
          <w:szCs w:val="21"/>
          <w:highlight w:val="none"/>
        </w:rPr>
      </w:pPr>
      <w:r>
        <w:rPr>
          <w:rFonts w:hint="eastAsia" w:hAnsi="宋体" w:cs="宋体"/>
          <w:b/>
          <w:color w:val="auto"/>
          <w:sz w:val="21"/>
          <w:szCs w:val="21"/>
          <w:highlight w:val="none"/>
        </w:rPr>
        <w:t>（一）投标文件的形式</w:t>
      </w:r>
      <w:r>
        <w:rPr>
          <w:rFonts w:hint="eastAsia" w:hAnsi="宋体" w:cs="宋体"/>
          <w:b/>
          <w:color w:val="auto"/>
          <w:sz w:val="21"/>
          <w:szCs w:val="21"/>
          <w:highlight w:val="none"/>
        </w:rPr>
        <w:tab/>
      </w:r>
    </w:p>
    <w:p w14:paraId="302BA0C6">
      <w:pPr>
        <w:shd w:val="clear" w:color="auto"/>
        <w:snapToGrid w:val="0"/>
        <w:spacing w:line="500" w:lineRule="exact"/>
        <w:ind w:firstLine="422" w:firstLineChars="200"/>
        <w:rPr>
          <w:rFonts w:hint="eastAsia" w:hAnsi="宋体" w:cs="宋体"/>
          <w:b/>
          <w:color w:val="auto"/>
          <w:sz w:val="21"/>
          <w:szCs w:val="21"/>
          <w:highlight w:val="none"/>
        </w:rPr>
      </w:pPr>
      <w:r>
        <w:rPr>
          <w:rFonts w:hint="eastAsia" w:hAnsi="宋体" w:cs="宋体"/>
          <w:b/>
          <w:color w:val="auto"/>
          <w:sz w:val="21"/>
          <w:szCs w:val="21"/>
          <w:highlight w:val="none"/>
        </w:rPr>
        <w:t>1.投标文件为电子投标文件。</w:t>
      </w:r>
    </w:p>
    <w:p w14:paraId="2A397019">
      <w:pPr>
        <w:shd w:val="clear" w:color="auto"/>
        <w:wordWrap w:val="0"/>
        <w:topLinePunct/>
        <w:autoSpaceDE/>
        <w:autoSpaceDN/>
        <w:snapToGrid w:val="0"/>
        <w:spacing w:line="500" w:lineRule="exact"/>
        <w:ind w:firstLine="422" w:firstLineChars="200"/>
        <w:rPr>
          <w:rFonts w:hint="eastAsia" w:hAnsi="宋体" w:cs="宋体"/>
          <w:b/>
          <w:color w:val="auto"/>
          <w:sz w:val="21"/>
          <w:szCs w:val="21"/>
          <w:highlight w:val="none"/>
        </w:rPr>
      </w:pPr>
      <w:r>
        <w:rPr>
          <w:rFonts w:hint="eastAsia" w:hAnsi="宋体" w:cs="宋体"/>
          <w:b/>
          <w:color w:val="auto"/>
          <w:sz w:val="21"/>
          <w:szCs w:val="21"/>
          <w:highlight w:val="none"/>
        </w:rPr>
        <w:t>1.1电子投标文件：电子投标文件按政采云平台供应商项目采购-电子交易操作指南（</w:t>
      </w:r>
      <w:r>
        <w:rPr>
          <w:rFonts w:hint="eastAsia" w:hAnsi="宋体" w:cs="宋体"/>
          <w:color w:val="auto"/>
          <w:sz w:val="21"/>
          <w:szCs w:val="21"/>
          <w:highlight w:val="none"/>
          <w:shd w:val="clear" w:color="auto" w:fill="FFFFFF"/>
        </w:rPr>
        <w:t>https://edu.zcygov.cn/luban/e-biding?utm=a0004.2ef5001f.0001.0109.da8b35e0da8611e98d8937b7ef8a3544</w:t>
      </w:r>
      <w:r>
        <w:rPr>
          <w:rFonts w:hint="eastAsia" w:hAnsi="宋体" w:cs="宋体"/>
          <w:b/>
          <w:color w:val="auto"/>
          <w:sz w:val="21"/>
          <w:szCs w:val="21"/>
          <w:highlight w:val="none"/>
        </w:rPr>
        <w:t>）及本招标文件要求制作、加密并递交；</w:t>
      </w:r>
    </w:p>
    <w:p w14:paraId="0A4E9D02">
      <w:pPr>
        <w:shd w:val="clear" w:color="auto"/>
        <w:snapToGrid w:val="0"/>
        <w:spacing w:line="500" w:lineRule="exact"/>
        <w:ind w:firstLine="422" w:firstLineChars="200"/>
        <w:rPr>
          <w:rFonts w:hint="eastAsia" w:hAnsi="宋体" w:cs="宋体"/>
          <w:b/>
          <w:color w:val="auto"/>
          <w:sz w:val="21"/>
          <w:szCs w:val="21"/>
          <w:highlight w:val="none"/>
        </w:rPr>
      </w:pPr>
      <w:r>
        <w:rPr>
          <w:rFonts w:hint="eastAsia" w:hAnsi="宋体" w:cs="宋体"/>
          <w:b/>
          <w:color w:val="auto"/>
          <w:sz w:val="21"/>
          <w:szCs w:val="21"/>
          <w:highlight w:val="none"/>
        </w:rPr>
        <w:t>（二）投标文件的组成</w:t>
      </w:r>
    </w:p>
    <w:p w14:paraId="43D15973">
      <w:pPr>
        <w:shd w:val="clear" w:color="auto"/>
        <w:snapToGrid w:val="0"/>
        <w:spacing w:line="500" w:lineRule="exact"/>
        <w:ind w:firstLine="420" w:firstLineChars="200"/>
        <w:rPr>
          <w:rFonts w:hint="eastAsia" w:hAnsi="宋体" w:cs="宋体"/>
          <w:color w:val="auto"/>
          <w:sz w:val="21"/>
          <w:szCs w:val="21"/>
          <w:highlight w:val="none"/>
        </w:rPr>
      </w:pPr>
      <w:r>
        <w:rPr>
          <w:rFonts w:hint="eastAsia" w:hAnsi="宋体" w:cs="宋体"/>
          <w:bCs/>
          <w:color w:val="auto"/>
          <w:sz w:val="21"/>
          <w:szCs w:val="21"/>
          <w:highlight w:val="none"/>
        </w:rPr>
        <w:t>★</w:t>
      </w:r>
      <w:r>
        <w:rPr>
          <w:rFonts w:hint="eastAsia" w:hAnsi="宋体" w:cs="宋体"/>
          <w:b/>
          <w:color w:val="auto"/>
          <w:sz w:val="21"/>
          <w:szCs w:val="21"/>
          <w:highlight w:val="none"/>
        </w:rPr>
        <w:t>投标文件（电子投标文件）由资格文件、商务技术文件、报价文件三部分组成。本项目投标价格的信息只允许出现在“报价文件”中，不得出现在资格文件、商务技术文件中。</w:t>
      </w:r>
    </w:p>
    <w:p w14:paraId="69E056B4">
      <w:pPr>
        <w:shd w:val="clear" w:color="auto"/>
        <w:snapToGrid w:val="0"/>
        <w:spacing w:line="500" w:lineRule="exact"/>
        <w:ind w:firstLine="422" w:firstLineChars="200"/>
        <w:textAlignment w:val="bottom"/>
        <w:rPr>
          <w:rFonts w:hint="eastAsia" w:hAnsi="宋体" w:cs="宋体"/>
          <w:b/>
          <w:color w:val="auto"/>
          <w:sz w:val="21"/>
          <w:szCs w:val="21"/>
          <w:highlight w:val="none"/>
        </w:rPr>
      </w:pPr>
      <w:r>
        <w:rPr>
          <w:rFonts w:hint="eastAsia" w:hAnsi="宋体" w:cs="宋体"/>
          <w:b/>
          <w:color w:val="auto"/>
          <w:sz w:val="21"/>
          <w:szCs w:val="21"/>
          <w:highlight w:val="none"/>
        </w:rPr>
        <w:t>1.资格文件部分</w:t>
      </w:r>
    </w:p>
    <w:p w14:paraId="2C2F9C8E">
      <w:pPr>
        <w:shd w:val="clear" w:color="auto"/>
        <w:autoSpaceDE/>
        <w:autoSpaceDN/>
        <w:adjustRightInd/>
        <w:spacing w:line="500" w:lineRule="exact"/>
        <w:ind w:firstLine="420" w:firstLineChars="200"/>
        <w:rPr>
          <w:rFonts w:hint="eastAsia" w:hAnsi="宋体" w:cs="宋体"/>
          <w:color w:val="auto"/>
          <w:sz w:val="21"/>
          <w:szCs w:val="21"/>
          <w:highlight w:val="none"/>
        </w:rPr>
      </w:pPr>
      <w:r>
        <w:rPr>
          <w:rFonts w:hint="eastAsia" w:hAnsi="宋体" w:cs="宋体"/>
          <w:color w:val="auto"/>
          <w:sz w:val="21"/>
          <w:szCs w:val="21"/>
          <w:highlight w:val="none"/>
        </w:rPr>
        <w:t>（1）投标人（包括投标联合体各方）有效期内的营业执照副本扫描件或复印件；</w:t>
      </w:r>
    </w:p>
    <w:p w14:paraId="2C611C4B">
      <w:pPr>
        <w:widowControl/>
        <w:shd w:val="clear" w:color="auto"/>
        <w:autoSpaceDE/>
        <w:autoSpaceDN/>
        <w:adjustRightInd/>
        <w:spacing w:line="500" w:lineRule="exact"/>
        <w:ind w:firstLine="420" w:firstLineChars="200"/>
        <w:rPr>
          <w:rFonts w:hint="eastAsia" w:hAnsi="宋体" w:cs="宋体"/>
          <w:color w:val="auto"/>
          <w:sz w:val="21"/>
          <w:szCs w:val="21"/>
          <w:highlight w:val="none"/>
        </w:rPr>
      </w:pPr>
      <w:r>
        <w:rPr>
          <w:rFonts w:hint="eastAsia" w:hAnsi="宋体" w:cs="宋体"/>
          <w:color w:val="auto"/>
          <w:sz w:val="21"/>
          <w:szCs w:val="21"/>
          <w:highlight w:val="none"/>
        </w:rPr>
        <w:t>（2）投标人（包括投标联合体各方）符合参加政府采购活动应当具备的一般条件的承诺函；（格式见附件）</w:t>
      </w:r>
    </w:p>
    <w:p w14:paraId="588BBE41">
      <w:pPr>
        <w:shd w:val="clear" w:color="auto"/>
        <w:autoSpaceDE/>
        <w:autoSpaceDN/>
        <w:adjustRightInd/>
        <w:spacing w:line="500" w:lineRule="exact"/>
        <w:ind w:firstLine="420" w:firstLineChars="200"/>
        <w:jc w:val="both"/>
        <w:rPr>
          <w:rFonts w:hint="eastAsia" w:hAnsi="宋体" w:cs="宋体"/>
          <w:color w:val="auto"/>
          <w:sz w:val="21"/>
          <w:szCs w:val="21"/>
          <w:highlight w:val="none"/>
        </w:rPr>
      </w:pPr>
      <w:r>
        <w:rPr>
          <w:rFonts w:hint="eastAsia" w:hAnsi="宋体" w:cs="宋体"/>
          <w:color w:val="auto"/>
          <w:sz w:val="21"/>
          <w:szCs w:val="21"/>
          <w:highlight w:val="none"/>
        </w:rPr>
        <w:t>（3）联合协议（联合体投标时须提供）；（格式见附件）</w:t>
      </w:r>
    </w:p>
    <w:p w14:paraId="02DE7CD1">
      <w:pPr>
        <w:widowControl/>
        <w:shd w:val="clear" w:color="auto"/>
        <w:autoSpaceDE/>
        <w:autoSpaceDN/>
        <w:adjustRightInd/>
        <w:spacing w:line="500" w:lineRule="exact"/>
        <w:ind w:firstLine="420" w:firstLineChars="200"/>
        <w:jc w:val="both"/>
        <w:rPr>
          <w:rFonts w:hint="eastAsia" w:hAnsi="宋体" w:cs="宋体"/>
          <w:color w:val="auto"/>
          <w:sz w:val="21"/>
          <w:szCs w:val="21"/>
          <w:highlight w:val="none"/>
        </w:rPr>
      </w:pPr>
      <w:r>
        <w:rPr>
          <w:rFonts w:hint="eastAsia" w:hAnsi="宋体" w:cs="宋体"/>
          <w:color w:val="auto"/>
          <w:sz w:val="21"/>
          <w:szCs w:val="21"/>
          <w:highlight w:val="none"/>
        </w:rPr>
        <w:t>（4）分包意向协议（分包时须提供）；（格式见附件）</w:t>
      </w:r>
    </w:p>
    <w:p w14:paraId="544B8F73">
      <w:pPr>
        <w:widowControl/>
        <w:shd w:val="clear" w:color="auto"/>
        <w:autoSpaceDE/>
        <w:autoSpaceDN/>
        <w:adjustRightInd/>
        <w:snapToGrid w:val="0"/>
        <w:spacing w:line="460" w:lineRule="exact"/>
        <w:ind w:firstLine="420" w:firstLineChars="200"/>
        <w:jc w:val="both"/>
        <w:rPr>
          <w:rFonts w:hint="eastAsia" w:hAnsi="宋体" w:cs="宋体"/>
          <w:bCs/>
          <w:color w:val="auto"/>
          <w:sz w:val="21"/>
          <w:szCs w:val="21"/>
          <w:highlight w:val="none"/>
        </w:rPr>
      </w:pPr>
      <w:r>
        <w:rPr>
          <w:rFonts w:hint="eastAsia" w:hAnsi="宋体" w:cs="宋体"/>
          <w:bCs/>
          <w:color w:val="auto"/>
          <w:sz w:val="21"/>
          <w:szCs w:val="21"/>
          <w:highlight w:val="none"/>
        </w:rPr>
        <w:t>（</w:t>
      </w:r>
      <w:r>
        <w:rPr>
          <w:rFonts w:hint="eastAsia" w:hAnsi="宋体" w:cs="宋体"/>
          <w:color w:val="auto"/>
          <w:sz w:val="21"/>
          <w:szCs w:val="21"/>
          <w:highlight w:val="none"/>
        </w:rPr>
        <w:t>5</w:t>
      </w:r>
      <w:r>
        <w:rPr>
          <w:rFonts w:hint="eastAsia" w:hAnsi="宋体" w:cs="宋体"/>
          <w:bCs/>
          <w:color w:val="auto"/>
          <w:sz w:val="21"/>
          <w:szCs w:val="21"/>
          <w:highlight w:val="none"/>
        </w:rPr>
        <w:t>）落实政府采购政策需满足的资格要求</w:t>
      </w:r>
      <w:r>
        <w:rPr>
          <w:rFonts w:hint="eastAsia" w:hAnsi="宋体" w:cs="宋体"/>
          <w:color w:val="auto"/>
          <w:sz w:val="21"/>
          <w:szCs w:val="21"/>
          <w:highlight w:val="none"/>
        </w:rPr>
        <w:t>；（格式见附件）</w:t>
      </w:r>
    </w:p>
    <w:p w14:paraId="6F49BECA">
      <w:pPr>
        <w:widowControl/>
        <w:shd w:val="clear" w:color="auto"/>
        <w:autoSpaceDE/>
        <w:autoSpaceDN/>
        <w:adjustRightInd/>
        <w:snapToGrid w:val="0"/>
        <w:spacing w:line="460" w:lineRule="exact"/>
        <w:ind w:firstLine="422" w:firstLineChars="200"/>
        <w:jc w:val="both"/>
        <w:rPr>
          <w:rFonts w:hint="eastAsia" w:hAnsi="宋体" w:cs="宋体"/>
          <w:color w:val="auto"/>
          <w:sz w:val="21"/>
          <w:szCs w:val="21"/>
          <w:highlight w:val="none"/>
        </w:rPr>
      </w:pPr>
      <w:r>
        <w:rPr>
          <w:rFonts w:hint="eastAsia" w:hAnsi="宋体" w:cs="宋体"/>
          <w:b/>
          <w:color w:val="auto"/>
          <w:sz w:val="21"/>
          <w:szCs w:val="21"/>
          <w:highlight w:val="none"/>
        </w:rPr>
        <w:t>★注：</w:t>
      </w:r>
      <w:r>
        <w:rPr>
          <w:rFonts w:hint="eastAsia" w:hAnsi="宋体" w:cs="宋体"/>
          <w:color w:val="auto"/>
          <w:sz w:val="21"/>
          <w:szCs w:val="21"/>
          <w:highlight w:val="none"/>
        </w:rPr>
        <w:t>以上证明材料中，材料要求为“</w:t>
      </w:r>
      <w:r>
        <w:rPr>
          <w:rFonts w:hint="eastAsia" w:hAnsi="宋体" w:cs="宋体"/>
          <w:color w:val="auto"/>
          <w:sz w:val="21"/>
          <w:szCs w:val="21"/>
          <w:highlight w:val="none"/>
          <w:lang w:bidi="ar"/>
        </w:rPr>
        <w:t>包括投标联合体各方</w:t>
      </w:r>
      <w:r>
        <w:rPr>
          <w:rFonts w:hint="eastAsia" w:hAnsi="宋体" w:cs="宋体"/>
          <w:color w:val="auto"/>
          <w:sz w:val="21"/>
          <w:szCs w:val="21"/>
          <w:highlight w:val="none"/>
        </w:rPr>
        <w:t>”的，则投标联合体各方均须提供相关材料，仅提供联合体牵头人盖章材料的，则投标无效。</w:t>
      </w:r>
    </w:p>
    <w:p w14:paraId="50079222">
      <w:pPr>
        <w:shd w:val="clear" w:color="auto"/>
        <w:autoSpaceDE/>
        <w:autoSpaceDN/>
        <w:adjustRightInd/>
        <w:spacing w:line="500" w:lineRule="exact"/>
        <w:ind w:firstLine="422" w:firstLineChars="200"/>
        <w:jc w:val="both"/>
        <w:rPr>
          <w:rFonts w:hint="eastAsia" w:hAnsi="宋体" w:cs="宋体"/>
          <w:b/>
          <w:color w:val="auto"/>
          <w:sz w:val="21"/>
          <w:szCs w:val="21"/>
          <w:highlight w:val="none"/>
        </w:rPr>
      </w:pPr>
      <w:r>
        <w:rPr>
          <w:rFonts w:hint="eastAsia" w:hAnsi="宋体" w:cs="宋体"/>
          <w:b/>
          <w:color w:val="auto"/>
          <w:sz w:val="21"/>
          <w:szCs w:val="21"/>
          <w:highlight w:val="none"/>
        </w:rPr>
        <w:t>2.</w:t>
      </w:r>
      <w:r>
        <w:rPr>
          <w:rFonts w:hint="eastAsia" w:hAnsi="宋体" w:cs="宋体"/>
          <w:b/>
          <w:bCs/>
          <w:color w:val="auto"/>
          <w:sz w:val="21"/>
          <w:szCs w:val="21"/>
          <w:highlight w:val="none"/>
        </w:rPr>
        <w:t>商务技术文件</w:t>
      </w:r>
    </w:p>
    <w:p w14:paraId="0EB99C36">
      <w:pPr>
        <w:keepNext w:val="0"/>
        <w:keepLines w:val="0"/>
        <w:pageBreakBefore w:val="0"/>
        <w:widowControl w:val="0"/>
        <w:shd w:val="clear" w:color="auto"/>
        <w:kinsoku/>
        <w:wordWrap/>
        <w:overflowPunct/>
        <w:topLinePunct w:val="0"/>
        <w:autoSpaceDE/>
        <w:autoSpaceDN/>
        <w:bidi w:val="0"/>
        <w:adjustRightInd/>
        <w:spacing w:line="460" w:lineRule="exact"/>
        <w:ind w:left="0" w:firstLine="420" w:firstLineChars="200"/>
        <w:jc w:val="both"/>
        <w:rPr>
          <w:rFonts w:hint="eastAsia" w:hAnsi="宋体" w:cs="宋体"/>
          <w:color w:val="auto"/>
          <w:sz w:val="21"/>
          <w:szCs w:val="21"/>
          <w:highlight w:val="none"/>
        </w:rPr>
      </w:pPr>
      <w:r>
        <w:rPr>
          <w:rFonts w:hint="eastAsia" w:hAnsi="宋体" w:cs="宋体"/>
          <w:color w:val="auto"/>
          <w:sz w:val="21"/>
          <w:szCs w:val="21"/>
          <w:highlight w:val="none"/>
        </w:rPr>
        <w:t>（1）投标人技术商务标自评得分汇总表；（格式内容参照技术商务评分表，格式见附件）；</w:t>
      </w:r>
    </w:p>
    <w:p w14:paraId="58CF11C8">
      <w:pPr>
        <w:pStyle w:val="96"/>
        <w:keepNext w:val="0"/>
        <w:keepLines w:val="0"/>
        <w:pageBreakBefore w:val="0"/>
        <w:widowControl w:val="0"/>
        <w:shd w:val="clear" w:color="auto"/>
        <w:kinsoku/>
        <w:wordWrap/>
        <w:overflowPunct/>
        <w:topLinePunct w:val="0"/>
        <w:bidi w:val="0"/>
        <w:snapToGrid w:val="0"/>
        <w:spacing w:line="460" w:lineRule="exact"/>
        <w:ind w:left="0" w:firstLine="420" w:firstLineChars="200"/>
        <w:textAlignment w:val="bottom"/>
        <w:rPr>
          <w:rFonts w:hint="eastAsia" w:ascii="宋体" w:hAnsi="宋体" w:cs="宋体"/>
          <w:color w:val="auto"/>
          <w:highlight w:val="none"/>
        </w:rPr>
      </w:pPr>
      <w:r>
        <w:rPr>
          <w:rFonts w:hint="eastAsia" w:ascii="宋体" w:hAnsi="宋体" w:cs="宋体"/>
          <w:color w:val="auto"/>
          <w:highlight w:val="none"/>
        </w:rPr>
        <w:t>（2）投标人（或投标联合体牵头人）法定代表人授权委托书(格式见附件，如法定代表人本人参加的，则提供法定代表人身份证明及法定代表人身份证复印件)；</w:t>
      </w:r>
    </w:p>
    <w:p w14:paraId="5B9C30D5">
      <w:pPr>
        <w:pStyle w:val="96"/>
        <w:keepNext w:val="0"/>
        <w:keepLines w:val="0"/>
        <w:pageBreakBefore w:val="0"/>
        <w:widowControl w:val="0"/>
        <w:shd w:val="clear" w:color="auto"/>
        <w:kinsoku/>
        <w:wordWrap/>
        <w:overflowPunct/>
        <w:topLinePunct w:val="0"/>
        <w:bidi w:val="0"/>
        <w:snapToGrid w:val="0"/>
        <w:spacing w:line="460" w:lineRule="exact"/>
        <w:ind w:left="0" w:firstLine="420" w:firstLineChars="200"/>
        <w:textAlignment w:val="bottom"/>
        <w:rPr>
          <w:rFonts w:hint="eastAsia" w:ascii="宋体" w:hAnsi="宋体" w:cs="宋体"/>
          <w:color w:val="auto"/>
          <w:highlight w:val="none"/>
        </w:rPr>
      </w:pPr>
      <w:r>
        <w:rPr>
          <w:rFonts w:hint="eastAsia" w:ascii="宋体" w:hAnsi="宋体" w:cs="宋体"/>
          <w:color w:val="auto"/>
          <w:highlight w:val="none"/>
          <w:lang w:eastAsia="zh-CN"/>
        </w:rPr>
        <w:t>（</w:t>
      </w:r>
      <w:r>
        <w:rPr>
          <w:rFonts w:hint="eastAsia" w:ascii="宋体" w:hAnsi="宋体" w:cs="宋体"/>
          <w:color w:val="auto"/>
          <w:highlight w:val="none"/>
          <w:lang w:val="en-US" w:eastAsia="zh-CN"/>
        </w:rPr>
        <w:t>3</w:t>
      </w:r>
      <w:r>
        <w:rPr>
          <w:rFonts w:hint="eastAsia" w:ascii="宋体" w:hAnsi="宋体" w:cs="宋体"/>
          <w:color w:val="auto"/>
          <w:highlight w:val="none"/>
          <w:lang w:eastAsia="zh-CN"/>
        </w:rPr>
        <w:t>）</w:t>
      </w:r>
      <w:r>
        <w:rPr>
          <w:rFonts w:hint="eastAsia" w:ascii="宋体" w:hAnsi="宋体" w:cs="宋体"/>
          <w:color w:val="auto"/>
          <w:highlight w:val="none"/>
        </w:rPr>
        <w:t>投标人（包括投标联合体各方）情况表（格式见附件）；</w:t>
      </w:r>
    </w:p>
    <w:p w14:paraId="7A9A7F9B">
      <w:pPr>
        <w:shd w:val="clear" w:color="auto"/>
        <w:autoSpaceDE/>
        <w:autoSpaceDN/>
        <w:snapToGrid w:val="0"/>
        <w:spacing w:line="500" w:lineRule="exact"/>
        <w:ind w:firstLine="420" w:firstLineChars="200"/>
        <w:jc w:val="both"/>
        <w:rPr>
          <w:rFonts w:hint="eastAsia" w:hAnsi="宋体" w:cs="宋体"/>
          <w:color w:val="auto"/>
          <w:sz w:val="21"/>
          <w:szCs w:val="21"/>
          <w:highlight w:val="none"/>
        </w:rPr>
      </w:pPr>
      <w:r>
        <w:rPr>
          <w:rFonts w:hint="eastAsia" w:hAnsi="宋体" w:cs="宋体"/>
          <w:color w:val="auto"/>
          <w:sz w:val="21"/>
          <w:szCs w:val="21"/>
          <w:highlight w:val="none"/>
        </w:rPr>
        <w:t>（</w:t>
      </w:r>
      <w:r>
        <w:rPr>
          <w:rFonts w:hint="eastAsia" w:hAnsi="宋体" w:cs="宋体"/>
          <w:color w:val="auto"/>
          <w:sz w:val="21"/>
          <w:szCs w:val="21"/>
          <w:highlight w:val="none"/>
          <w:lang w:val="en-US" w:eastAsia="zh-CN"/>
        </w:rPr>
        <w:t>4</w:t>
      </w:r>
      <w:r>
        <w:rPr>
          <w:rFonts w:hint="eastAsia" w:hAnsi="宋体" w:cs="宋体"/>
          <w:color w:val="auto"/>
          <w:sz w:val="21"/>
          <w:szCs w:val="21"/>
          <w:highlight w:val="none"/>
        </w:rPr>
        <w:t>）投标人</w:t>
      </w:r>
      <w:r>
        <w:rPr>
          <w:rFonts w:hint="eastAsia" w:hAnsi="宋体" w:cs="宋体"/>
          <w:color w:val="auto"/>
          <w:kern w:val="2"/>
          <w:sz w:val="21"/>
          <w:szCs w:val="21"/>
          <w:highlight w:val="none"/>
          <w:lang w:bidi="ar"/>
        </w:rPr>
        <w:t>（包括投标联合体各方）</w:t>
      </w:r>
      <w:r>
        <w:rPr>
          <w:rFonts w:hint="eastAsia" w:hAnsi="宋体" w:cs="宋体"/>
          <w:color w:val="auto"/>
          <w:sz w:val="21"/>
          <w:szCs w:val="21"/>
          <w:highlight w:val="none"/>
        </w:rPr>
        <w:t>相关资质证书及获得的相关荣誉证书（扫描件或复印件加盖单位公章）；</w:t>
      </w:r>
    </w:p>
    <w:p w14:paraId="728B10FA">
      <w:pPr>
        <w:shd w:val="clear" w:color="auto"/>
        <w:autoSpaceDE/>
        <w:autoSpaceDN/>
        <w:snapToGrid w:val="0"/>
        <w:spacing w:line="500" w:lineRule="exact"/>
        <w:ind w:firstLine="420" w:firstLineChars="200"/>
        <w:jc w:val="both"/>
        <w:rPr>
          <w:rFonts w:hint="eastAsia" w:hAnsi="宋体" w:cs="宋体"/>
          <w:color w:val="auto"/>
          <w:sz w:val="21"/>
          <w:szCs w:val="21"/>
          <w:highlight w:val="none"/>
        </w:rPr>
      </w:pPr>
      <w:r>
        <w:rPr>
          <w:rFonts w:hint="eastAsia" w:hAnsi="宋体" w:cs="宋体"/>
          <w:color w:val="auto"/>
          <w:sz w:val="21"/>
          <w:szCs w:val="21"/>
          <w:highlight w:val="none"/>
        </w:rPr>
        <w:t>（</w:t>
      </w:r>
      <w:r>
        <w:rPr>
          <w:rFonts w:hint="eastAsia" w:hAnsi="宋体" w:cs="宋体"/>
          <w:color w:val="auto"/>
          <w:sz w:val="21"/>
          <w:szCs w:val="21"/>
          <w:highlight w:val="none"/>
          <w:lang w:val="en-US" w:eastAsia="zh-CN"/>
        </w:rPr>
        <w:t>5</w:t>
      </w:r>
      <w:r>
        <w:rPr>
          <w:rFonts w:hint="eastAsia" w:hAnsi="宋体" w:cs="宋体"/>
          <w:color w:val="auto"/>
          <w:sz w:val="21"/>
          <w:szCs w:val="21"/>
          <w:highlight w:val="none"/>
        </w:rPr>
        <w:t>）投标人</w:t>
      </w:r>
      <w:r>
        <w:rPr>
          <w:rFonts w:hint="eastAsia" w:hAnsi="宋体" w:cs="宋体"/>
          <w:color w:val="auto"/>
          <w:kern w:val="2"/>
          <w:sz w:val="21"/>
          <w:szCs w:val="21"/>
          <w:highlight w:val="none"/>
          <w:lang w:bidi="ar"/>
        </w:rPr>
        <w:t>（包括投标联合体各方）</w:t>
      </w:r>
      <w:r>
        <w:rPr>
          <w:rFonts w:hint="eastAsia" w:hAnsi="宋体" w:cs="宋体"/>
          <w:color w:val="auto"/>
          <w:sz w:val="21"/>
          <w:szCs w:val="21"/>
          <w:highlight w:val="none"/>
        </w:rPr>
        <w:t>202</w:t>
      </w:r>
      <w:r>
        <w:rPr>
          <w:rFonts w:hint="eastAsia" w:hAnsi="宋体" w:cs="宋体"/>
          <w:color w:val="auto"/>
          <w:sz w:val="21"/>
          <w:szCs w:val="21"/>
          <w:highlight w:val="none"/>
          <w:lang w:val="en-US" w:eastAsia="zh-CN"/>
        </w:rPr>
        <w:t>1</w:t>
      </w:r>
      <w:r>
        <w:rPr>
          <w:rFonts w:hint="eastAsia" w:hAnsi="宋体" w:cs="宋体"/>
          <w:color w:val="auto"/>
          <w:sz w:val="21"/>
          <w:szCs w:val="21"/>
          <w:highlight w:val="none"/>
        </w:rPr>
        <w:t>年1月1日以来类似案例成功的业绩（须提供对应采购合同复印件/扫描件等相关资料）（加盖公章）（格式见附件）；</w:t>
      </w:r>
    </w:p>
    <w:p w14:paraId="69C9268B">
      <w:pPr>
        <w:shd w:val="clear" w:color="auto"/>
        <w:snapToGrid w:val="0"/>
        <w:spacing w:line="500" w:lineRule="exact"/>
        <w:ind w:firstLine="420" w:firstLineChars="200"/>
        <w:rPr>
          <w:rFonts w:hint="eastAsia" w:hAnsi="宋体" w:cs="宋体"/>
          <w:color w:val="auto"/>
          <w:sz w:val="21"/>
          <w:szCs w:val="21"/>
          <w:highlight w:val="none"/>
        </w:rPr>
      </w:pPr>
      <w:r>
        <w:rPr>
          <w:rFonts w:hint="eastAsia" w:hAnsi="宋体" w:cs="宋体"/>
          <w:color w:val="auto"/>
          <w:sz w:val="21"/>
          <w:szCs w:val="21"/>
          <w:highlight w:val="none"/>
        </w:rPr>
        <w:t>（</w:t>
      </w:r>
      <w:r>
        <w:rPr>
          <w:rFonts w:hint="eastAsia" w:hAnsi="宋体" w:cs="宋体"/>
          <w:color w:val="auto"/>
          <w:sz w:val="21"/>
          <w:szCs w:val="21"/>
          <w:highlight w:val="none"/>
          <w:lang w:val="en-US" w:eastAsia="zh-CN"/>
        </w:rPr>
        <w:t>6</w:t>
      </w:r>
      <w:r>
        <w:rPr>
          <w:rFonts w:hint="eastAsia" w:hAnsi="宋体" w:cs="宋体"/>
          <w:color w:val="auto"/>
          <w:sz w:val="21"/>
          <w:szCs w:val="21"/>
          <w:highlight w:val="none"/>
        </w:rPr>
        <w:t>）商务条款偏离表（格式见附件）；</w:t>
      </w:r>
    </w:p>
    <w:p w14:paraId="1F7D4F09">
      <w:pPr>
        <w:shd w:val="clear" w:color="auto"/>
        <w:snapToGrid w:val="0"/>
        <w:spacing w:line="500" w:lineRule="exact"/>
        <w:ind w:firstLine="420" w:firstLineChars="200"/>
        <w:rPr>
          <w:rFonts w:hint="eastAsia" w:hAnsi="宋体" w:cs="宋体"/>
          <w:color w:val="auto"/>
          <w:sz w:val="21"/>
          <w:szCs w:val="21"/>
          <w:highlight w:val="none"/>
        </w:rPr>
      </w:pPr>
      <w:r>
        <w:rPr>
          <w:rFonts w:hint="eastAsia" w:hAnsi="宋体" w:cs="宋体"/>
          <w:color w:val="auto"/>
          <w:sz w:val="21"/>
          <w:szCs w:val="21"/>
          <w:highlight w:val="none"/>
        </w:rPr>
        <w:t>（</w:t>
      </w:r>
      <w:r>
        <w:rPr>
          <w:rFonts w:hint="eastAsia" w:hAnsi="宋体" w:cs="宋体"/>
          <w:color w:val="auto"/>
          <w:sz w:val="21"/>
          <w:szCs w:val="21"/>
          <w:highlight w:val="none"/>
          <w:lang w:val="en-US" w:eastAsia="zh-CN"/>
        </w:rPr>
        <w:t>7</w:t>
      </w:r>
      <w:r>
        <w:rPr>
          <w:rFonts w:hint="eastAsia" w:hAnsi="宋体" w:cs="宋体"/>
          <w:color w:val="auto"/>
          <w:sz w:val="21"/>
          <w:szCs w:val="21"/>
          <w:highlight w:val="none"/>
        </w:rPr>
        <w:t>）拟投入本项目的服务人员配置表（格式见附件）；</w:t>
      </w:r>
    </w:p>
    <w:p w14:paraId="322A23E8">
      <w:pPr>
        <w:shd w:val="clear" w:color="auto"/>
        <w:snapToGrid w:val="0"/>
        <w:spacing w:line="500" w:lineRule="exact"/>
        <w:ind w:firstLine="420" w:firstLineChars="200"/>
        <w:rPr>
          <w:rFonts w:hint="eastAsia" w:hAnsi="宋体" w:cs="宋体"/>
          <w:color w:val="auto"/>
          <w:sz w:val="21"/>
          <w:szCs w:val="21"/>
          <w:highlight w:val="none"/>
        </w:rPr>
      </w:pPr>
      <w:r>
        <w:rPr>
          <w:rFonts w:hint="eastAsia" w:hAnsi="宋体" w:cs="宋体"/>
          <w:color w:val="auto"/>
          <w:sz w:val="21"/>
          <w:szCs w:val="21"/>
          <w:highlight w:val="none"/>
        </w:rPr>
        <w:t>（</w:t>
      </w:r>
      <w:r>
        <w:rPr>
          <w:rFonts w:hint="eastAsia" w:hAnsi="宋体" w:cs="宋体"/>
          <w:color w:val="auto"/>
          <w:sz w:val="21"/>
          <w:szCs w:val="21"/>
          <w:highlight w:val="none"/>
          <w:lang w:val="en-US" w:eastAsia="zh-CN"/>
        </w:rPr>
        <w:t>8</w:t>
      </w:r>
      <w:r>
        <w:rPr>
          <w:rFonts w:hint="eastAsia" w:hAnsi="宋体" w:cs="宋体"/>
          <w:color w:val="auto"/>
          <w:sz w:val="21"/>
          <w:szCs w:val="21"/>
          <w:highlight w:val="none"/>
        </w:rPr>
        <w:t>）针对本项目的完整技术解决方案；</w:t>
      </w:r>
    </w:p>
    <w:p w14:paraId="06875FC0">
      <w:pPr>
        <w:shd w:val="clear" w:color="auto"/>
        <w:snapToGrid w:val="0"/>
        <w:spacing w:line="500" w:lineRule="exact"/>
        <w:ind w:firstLine="420" w:firstLineChars="200"/>
        <w:rPr>
          <w:rFonts w:hint="eastAsia" w:hAnsi="宋体" w:cs="宋体"/>
          <w:color w:val="auto"/>
          <w:sz w:val="21"/>
          <w:szCs w:val="21"/>
          <w:highlight w:val="none"/>
        </w:rPr>
      </w:pPr>
      <w:r>
        <w:rPr>
          <w:rFonts w:hint="eastAsia" w:hAnsi="宋体" w:cs="宋体"/>
          <w:color w:val="auto"/>
          <w:sz w:val="21"/>
          <w:szCs w:val="21"/>
          <w:highlight w:val="none"/>
        </w:rPr>
        <w:t>（</w:t>
      </w:r>
      <w:r>
        <w:rPr>
          <w:rFonts w:hint="eastAsia" w:hAnsi="宋体" w:cs="宋体"/>
          <w:color w:val="auto"/>
          <w:sz w:val="21"/>
          <w:szCs w:val="21"/>
          <w:highlight w:val="none"/>
          <w:lang w:val="en-US" w:eastAsia="zh-CN"/>
        </w:rPr>
        <w:t>9</w:t>
      </w:r>
      <w:r>
        <w:rPr>
          <w:rFonts w:hint="eastAsia" w:hAnsi="宋体" w:cs="宋体"/>
          <w:color w:val="auto"/>
          <w:sz w:val="21"/>
          <w:szCs w:val="21"/>
          <w:highlight w:val="none"/>
        </w:rPr>
        <w:t>）技术要求响应表（格式见附件）；</w:t>
      </w:r>
    </w:p>
    <w:p w14:paraId="3B5EFBB4">
      <w:pPr>
        <w:shd w:val="clear" w:color="auto"/>
        <w:snapToGrid w:val="0"/>
        <w:spacing w:line="500" w:lineRule="exact"/>
        <w:ind w:firstLine="420" w:firstLineChars="200"/>
        <w:rPr>
          <w:rFonts w:hint="eastAsia" w:hAnsi="宋体" w:cs="宋体"/>
          <w:color w:val="auto"/>
          <w:sz w:val="21"/>
          <w:szCs w:val="21"/>
          <w:highlight w:val="none"/>
        </w:rPr>
      </w:pPr>
      <w:r>
        <w:rPr>
          <w:rFonts w:hint="eastAsia" w:hAnsi="宋体" w:cs="宋体"/>
          <w:color w:val="auto"/>
          <w:sz w:val="21"/>
          <w:szCs w:val="21"/>
          <w:highlight w:val="none"/>
        </w:rPr>
        <w:t>（</w:t>
      </w:r>
      <w:r>
        <w:rPr>
          <w:rFonts w:hint="eastAsia" w:hAnsi="宋体" w:cs="宋体"/>
          <w:color w:val="auto"/>
          <w:sz w:val="21"/>
          <w:szCs w:val="21"/>
          <w:highlight w:val="none"/>
          <w:lang w:val="en-US" w:eastAsia="zh-CN"/>
        </w:rPr>
        <w:t>10</w:t>
      </w:r>
      <w:r>
        <w:rPr>
          <w:rFonts w:hint="eastAsia" w:hAnsi="宋体" w:cs="宋体"/>
          <w:color w:val="auto"/>
          <w:sz w:val="21"/>
          <w:szCs w:val="21"/>
          <w:highlight w:val="none"/>
        </w:rPr>
        <w:t>）投标人对本项目的合理化建议和改进措施；</w:t>
      </w:r>
    </w:p>
    <w:p w14:paraId="51156DDE">
      <w:pPr>
        <w:shd w:val="clear" w:color="auto"/>
        <w:autoSpaceDE/>
        <w:autoSpaceDN/>
        <w:snapToGrid w:val="0"/>
        <w:spacing w:line="500" w:lineRule="exact"/>
        <w:ind w:firstLine="420" w:firstLineChars="200"/>
        <w:jc w:val="both"/>
        <w:rPr>
          <w:rFonts w:hint="eastAsia" w:hAnsi="宋体" w:cs="宋体"/>
          <w:color w:val="auto"/>
          <w:sz w:val="21"/>
          <w:szCs w:val="21"/>
          <w:highlight w:val="none"/>
        </w:rPr>
      </w:pPr>
      <w:r>
        <w:rPr>
          <w:rFonts w:hint="eastAsia" w:hAnsi="宋体" w:cs="宋体"/>
          <w:color w:val="auto"/>
          <w:sz w:val="21"/>
          <w:szCs w:val="21"/>
          <w:highlight w:val="none"/>
        </w:rPr>
        <w:t>（1</w:t>
      </w:r>
      <w:r>
        <w:rPr>
          <w:rFonts w:hint="eastAsia" w:hAnsi="宋体" w:cs="宋体"/>
          <w:color w:val="auto"/>
          <w:sz w:val="21"/>
          <w:szCs w:val="21"/>
          <w:highlight w:val="none"/>
          <w:lang w:val="en-US" w:eastAsia="zh-CN"/>
        </w:rPr>
        <w:t>1</w:t>
      </w:r>
      <w:r>
        <w:rPr>
          <w:rFonts w:hint="eastAsia" w:hAnsi="宋体" w:cs="宋体"/>
          <w:color w:val="auto"/>
          <w:sz w:val="21"/>
          <w:szCs w:val="21"/>
          <w:highlight w:val="none"/>
        </w:rPr>
        <w:t>）投标人需要说明的其他文件和说明（格式略）。</w:t>
      </w:r>
    </w:p>
    <w:p w14:paraId="6C2660A0">
      <w:pPr>
        <w:shd w:val="clear" w:color="auto"/>
        <w:autoSpaceDE/>
        <w:autoSpaceDN/>
        <w:adjustRightInd/>
        <w:spacing w:line="500" w:lineRule="exact"/>
        <w:ind w:firstLine="420" w:firstLineChars="200"/>
        <w:jc w:val="both"/>
        <w:rPr>
          <w:rFonts w:hint="eastAsia" w:hAnsi="宋体" w:cs="宋体"/>
          <w:b/>
          <w:color w:val="auto"/>
          <w:sz w:val="21"/>
          <w:szCs w:val="21"/>
          <w:highlight w:val="none"/>
        </w:rPr>
      </w:pPr>
      <w:r>
        <w:rPr>
          <w:rFonts w:hint="eastAsia" w:hAnsi="宋体" w:cs="宋体"/>
          <w:bCs/>
          <w:color w:val="auto"/>
          <w:sz w:val="21"/>
          <w:szCs w:val="21"/>
          <w:highlight w:val="none"/>
        </w:rPr>
        <w:t>★</w:t>
      </w:r>
      <w:r>
        <w:rPr>
          <w:rFonts w:hint="eastAsia" w:hAnsi="宋体" w:cs="宋体"/>
          <w:b/>
          <w:color w:val="auto"/>
          <w:sz w:val="21"/>
          <w:szCs w:val="21"/>
          <w:highlight w:val="none"/>
        </w:rPr>
        <w:t>注：</w:t>
      </w:r>
      <w:r>
        <w:rPr>
          <w:rFonts w:hint="eastAsia" w:hAnsi="宋体" w:cs="宋体"/>
          <w:b/>
          <w:bCs/>
          <w:color w:val="auto"/>
          <w:sz w:val="21"/>
          <w:szCs w:val="21"/>
          <w:highlight w:val="none"/>
        </w:rPr>
        <w:t>商务技术标</w:t>
      </w:r>
      <w:r>
        <w:rPr>
          <w:rFonts w:hint="eastAsia" w:hAnsi="宋体" w:cs="宋体"/>
          <w:b/>
          <w:color w:val="auto"/>
          <w:sz w:val="21"/>
          <w:szCs w:val="21"/>
          <w:highlight w:val="none"/>
        </w:rPr>
        <w:t>中不得含有报价的信息，否则按投标无效处理。</w:t>
      </w:r>
    </w:p>
    <w:p w14:paraId="5C200888">
      <w:pPr>
        <w:shd w:val="clear" w:color="auto"/>
        <w:snapToGrid w:val="0"/>
        <w:spacing w:line="500" w:lineRule="exact"/>
        <w:ind w:firstLine="422" w:firstLineChars="200"/>
        <w:rPr>
          <w:rFonts w:hint="eastAsia" w:hAnsi="宋体" w:cs="宋体"/>
          <w:b/>
          <w:color w:val="auto"/>
          <w:sz w:val="21"/>
          <w:szCs w:val="21"/>
          <w:highlight w:val="none"/>
        </w:rPr>
      </w:pPr>
      <w:r>
        <w:rPr>
          <w:rFonts w:hint="eastAsia" w:hAnsi="宋体" w:cs="宋体"/>
          <w:b/>
          <w:color w:val="auto"/>
          <w:sz w:val="21"/>
          <w:szCs w:val="21"/>
          <w:highlight w:val="none"/>
        </w:rPr>
        <w:t>3.报价文件</w:t>
      </w:r>
    </w:p>
    <w:p w14:paraId="664A826D">
      <w:pPr>
        <w:shd w:val="clear" w:color="auto"/>
        <w:autoSpaceDE/>
        <w:autoSpaceDN/>
        <w:snapToGrid w:val="0"/>
        <w:spacing w:line="500" w:lineRule="exact"/>
        <w:ind w:firstLine="420" w:firstLineChars="200"/>
        <w:jc w:val="both"/>
        <w:rPr>
          <w:rFonts w:hint="eastAsia" w:hAnsi="宋体" w:cs="宋体"/>
          <w:color w:val="auto"/>
          <w:sz w:val="21"/>
          <w:szCs w:val="21"/>
          <w:highlight w:val="none"/>
        </w:rPr>
      </w:pPr>
      <w:r>
        <w:rPr>
          <w:rFonts w:hint="eastAsia" w:hAnsi="宋体" w:cs="宋体"/>
          <w:color w:val="auto"/>
          <w:sz w:val="21"/>
          <w:szCs w:val="21"/>
          <w:highlight w:val="none"/>
        </w:rPr>
        <w:t>（1）投标函（格式见附件）；</w:t>
      </w:r>
    </w:p>
    <w:p w14:paraId="38B084AC">
      <w:pPr>
        <w:shd w:val="clear" w:color="auto"/>
        <w:autoSpaceDE/>
        <w:autoSpaceDN/>
        <w:snapToGrid w:val="0"/>
        <w:spacing w:line="500" w:lineRule="exact"/>
        <w:ind w:firstLine="420" w:firstLineChars="200"/>
        <w:rPr>
          <w:rFonts w:hint="eastAsia" w:hAnsi="宋体" w:cs="宋体"/>
          <w:color w:val="auto"/>
          <w:sz w:val="21"/>
          <w:szCs w:val="21"/>
          <w:highlight w:val="none"/>
        </w:rPr>
      </w:pPr>
      <w:r>
        <w:rPr>
          <w:rFonts w:hint="eastAsia" w:hAnsi="宋体" w:cs="宋体"/>
          <w:color w:val="auto"/>
          <w:sz w:val="21"/>
          <w:szCs w:val="21"/>
          <w:highlight w:val="none"/>
        </w:rPr>
        <w:t>（2）开标（报价）一览表（格式见附件）；</w:t>
      </w:r>
    </w:p>
    <w:p w14:paraId="070A7A6D">
      <w:pPr>
        <w:shd w:val="clear" w:color="auto"/>
        <w:autoSpaceDE/>
        <w:autoSpaceDN/>
        <w:snapToGrid w:val="0"/>
        <w:spacing w:line="500" w:lineRule="exact"/>
        <w:ind w:firstLine="420" w:firstLineChars="200"/>
        <w:jc w:val="both"/>
        <w:rPr>
          <w:rFonts w:hAnsi="宋体" w:cs="宋体"/>
          <w:color w:val="auto"/>
          <w:sz w:val="21"/>
          <w:szCs w:val="21"/>
          <w:highlight w:val="none"/>
        </w:rPr>
      </w:pPr>
      <w:r>
        <w:rPr>
          <w:rFonts w:hint="eastAsia" w:hAnsi="宋体" w:cs="宋体"/>
          <w:color w:val="auto"/>
          <w:sz w:val="21"/>
          <w:szCs w:val="21"/>
          <w:highlight w:val="none"/>
        </w:rPr>
        <w:t>（3）报价明细表（格式见附件）；</w:t>
      </w:r>
    </w:p>
    <w:p w14:paraId="74E297C0">
      <w:pPr>
        <w:shd w:val="clear" w:color="auto"/>
        <w:autoSpaceDE/>
        <w:autoSpaceDN/>
        <w:spacing w:line="500" w:lineRule="exact"/>
        <w:ind w:firstLine="420" w:firstLineChars="200"/>
        <w:rPr>
          <w:rFonts w:hint="eastAsia" w:hAnsi="宋体" w:cs="宋体"/>
          <w:color w:val="auto"/>
          <w:sz w:val="21"/>
          <w:szCs w:val="21"/>
          <w:highlight w:val="none"/>
        </w:rPr>
      </w:pPr>
      <w:r>
        <w:rPr>
          <w:rFonts w:hint="eastAsia" w:hAnsi="宋体" w:cs="宋体"/>
          <w:color w:val="auto"/>
          <w:sz w:val="21"/>
          <w:szCs w:val="21"/>
          <w:highlight w:val="none"/>
        </w:rPr>
        <w:t>备注：投标人必须按后附表规定的格式完整、清晰、正确的填写，开标（报价）一览表中不得填报</w:t>
      </w:r>
      <w:r>
        <w:rPr>
          <w:rFonts w:hint="eastAsia" w:hAnsi="宋体" w:cs="宋体"/>
          <w:color w:val="auto"/>
          <w:sz w:val="21"/>
          <w:szCs w:val="21"/>
          <w:highlight w:val="none"/>
          <w:lang w:eastAsia="zh-CN"/>
        </w:rPr>
        <w:t>有选择性地</w:t>
      </w:r>
      <w:r>
        <w:rPr>
          <w:rFonts w:hint="eastAsia" w:hAnsi="宋体" w:cs="宋体"/>
          <w:color w:val="auto"/>
          <w:sz w:val="21"/>
          <w:szCs w:val="21"/>
          <w:highlight w:val="none"/>
        </w:rPr>
        <w:t>报价方案。</w:t>
      </w:r>
    </w:p>
    <w:p w14:paraId="6FAAA131">
      <w:pPr>
        <w:shd w:val="clear" w:color="auto"/>
        <w:autoSpaceDE/>
        <w:autoSpaceDN/>
        <w:adjustRightInd/>
        <w:spacing w:line="500" w:lineRule="exact"/>
        <w:ind w:firstLine="422" w:firstLineChars="200"/>
        <w:jc w:val="both"/>
        <w:rPr>
          <w:rFonts w:hint="eastAsia" w:hAnsi="宋体" w:cs="宋体"/>
          <w:b/>
          <w:color w:val="auto"/>
          <w:sz w:val="21"/>
          <w:szCs w:val="21"/>
          <w:highlight w:val="none"/>
        </w:rPr>
      </w:pPr>
      <w:r>
        <w:rPr>
          <w:rFonts w:hint="eastAsia" w:hAnsi="宋体" w:cs="宋体"/>
          <w:b/>
          <w:color w:val="auto"/>
          <w:sz w:val="21"/>
          <w:szCs w:val="21"/>
          <w:highlight w:val="none"/>
        </w:rPr>
        <w:t>（三）投标文件的语言及计量</w:t>
      </w:r>
    </w:p>
    <w:p w14:paraId="32B46D16">
      <w:pPr>
        <w:shd w:val="clear" w:color="auto"/>
        <w:autoSpaceDE/>
        <w:autoSpaceDN/>
        <w:adjustRightInd/>
        <w:spacing w:line="500" w:lineRule="exact"/>
        <w:ind w:firstLine="420" w:firstLineChars="200"/>
        <w:jc w:val="both"/>
        <w:rPr>
          <w:rFonts w:hint="eastAsia" w:hAnsi="宋体" w:cs="宋体"/>
          <w:color w:val="auto"/>
          <w:sz w:val="21"/>
          <w:szCs w:val="21"/>
          <w:highlight w:val="none"/>
        </w:rPr>
      </w:pPr>
      <w:r>
        <w:rPr>
          <w:rFonts w:hint="eastAsia" w:hAnsi="宋体" w:cs="宋体"/>
          <w:color w:val="auto"/>
          <w:sz w:val="21"/>
          <w:szCs w:val="21"/>
          <w:highlight w:val="none"/>
        </w:rPr>
        <w:t>1.投标文件以及投标人与</w:t>
      </w:r>
      <w:r>
        <w:rPr>
          <w:rFonts w:hint="eastAsia" w:hAnsi="宋体" w:cs="宋体"/>
          <w:color w:val="auto"/>
          <w:sz w:val="21"/>
          <w:szCs w:val="21"/>
          <w:highlight w:val="none"/>
          <w:lang w:eastAsia="zh-CN"/>
        </w:rPr>
        <w:t>采购人</w:t>
      </w:r>
      <w:r>
        <w:rPr>
          <w:rFonts w:hint="eastAsia" w:hAnsi="宋体" w:cs="宋体"/>
          <w:color w:val="auto"/>
          <w:sz w:val="21"/>
          <w:szCs w:val="21"/>
          <w:highlight w:val="none"/>
        </w:rPr>
        <w:t>就有关投标事宜的所有来往函电，均应以中文汉语书写。除签名、盖章、专用名称等特殊情形外，以中文汉语以外的文字表述的投标文件视同未提供。</w:t>
      </w:r>
    </w:p>
    <w:p w14:paraId="3758FFEA">
      <w:pPr>
        <w:shd w:val="clear" w:color="auto"/>
        <w:autoSpaceDE/>
        <w:autoSpaceDN/>
        <w:adjustRightInd/>
        <w:spacing w:line="500" w:lineRule="exact"/>
        <w:ind w:firstLine="420" w:firstLineChars="200"/>
        <w:jc w:val="both"/>
        <w:rPr>
          <w:rFonts w:hint="eastAsia" w:hAnsi="宋体" w:cs="宋体"/>
          <w:color w:val="auto"/>
          <w:sz w:val="21"/>
          <w:szCs w:val="21"/>
          <w:highlight w:val="none"/>
        </w:rPr>
      </w:pPr>
      <w:r>
        <w:rPr>
          <w:rFonts w:hint="eastAsia" w:hAnsi="宋体" w:cs="宋体"/>
          <w:color w:val="auto"/>
          <w:sz w:val="21"/>
          <w:szCs w:val="21"/>
          <w:highlight w:val="none"/>
        </w:rPr>
        <w:t>2.投标计量单位，招标文件已有明确规定的，使用招标文件规定的计量单位。招标文件没有规定的，应采用中华人民共和国法定计量单位（货币单位：人民币元），否则视同未响应。</w:t>
      </w:r>
    </w:p>
    <w:p w14:paraId="06385CB8">
      <w:pPr>
        <w:shd w:val="clear" w:color="auto"/>
        <w:autoSpaceDE/>
        <w:autoSpaceDN/>
        <w:adjustRightInd/>
        <w:spacing w:line="500" w:lineRule="exact"/>
        <w:ind w:firstLine="422" w:firstLineChars="200"/>
        <w:jc w:val="both"/>
        <w:rPr>
          <w:rFonts w:hint="eastAsia" w:hAnsi="宋体" w:cs="宋体"/>
          <w:b/>
          <w:color w:val="auto"/>
          <w:sz w:val="21"/>
          <w:szCs w:val="21"/>
          <w:highlight w:val="none"/>
        </w:rPr>
      </w:pPr>
      <w:r>
        <w:rPr>
          <w:rFonts w:hint="eastAsia" w:hAnsi="宋体" w:cs="宋体"/>
          <w:b/>
          <w:color w:val="auto"/>
          <w:sz w:val="21"/>
          <w:szCs w:val="21"/>
          <w:highlight w:val="none"/>
        </w:rPr>
        <w:t>（四）投标报价</w:t>
      </w:r>
    </w:p>
    <w:p w14:paraId="11F10DC5">
      <w:pPr>
        <w:shd w:val="clear" w:color="auto"/>
        <w:autoSpaceDE/>
        <w:autoSpaceDN/>
        <w:adjustRightInd/>
        <w:spacing w:line="500" w:lineRule="exact"/>
        <w:ind w:firstLine="420" w:firstLineChars="200"/>
        <w:jc w:val="both"/>
        <w:rPr>
          <w:rFonts w:hint="eastAsia" w:hAnsi="宋体" w:cs="宋体"/>
          <w:color w:val="auto"/>
          <w:sz w:val="21"/>
          <w:szCs w:val="21"/>
          <w:highlight w:val="none"/>
        </w:rPr>
      </w:pPr>
      <w:r>
        <w:rPr>
          <w:rFonts w:hint="eastAsia" w:hAnsi="宋体" w:cs="宋体"/>
          <w:color w:val="auto"/>
          <w:sz w:val="21"/>
          <w:szCs w:val="21"/>
          <w:highlight w:val="none"/>
        </w:rPr>
        <w:t>1.投标报价应按招标文件中相关附表格式填写。</w:t>
      </w:r>
    </w:p>
    <w:p w14:paraId="188DF4A7">
      <w:pPr>
        <w:shd w:val="clear" w:color="auto"/>
        <w:autoSpaceDE/>
        <w:autoSpaceDN/>
        <w:adjustRightInd/>
        <w:snapToGrid w:val="0"/>
        <w:spacing w:line="500" w:lineRule="exact"/>
        <w:ind w:firstLine="420" w:firstLineChars="200"/>
        <w:jc w:val="both"/>
        <w:rPr>
          <w:rFonts w:hint="eastAsia" w:hAnsi="宋体" w:cs="宋体"/>
          <w:bCs/>
          <w:color w:val="auto"/>
          <w:sz w:val="21"/>
          <w:szCs w:val="21"/>
          <w:highlight w:val="none"/>
        </w:rPr>
      </w:pPr>
      <w:r>
        <w:rPr>
          <w:rFonts w:hint="eastAsia" w:hAnsi="宋体" w:cs="宋体"/>
          <w:color w:val="auto"/>
          <w:sz w:val="21"/>
          <w:szCs w:val="21"/>
          <w:highlight w:val="none"/>
        </w:rPr>
        <w:t>2.本次报价是指招标文件所确定采购范围内全部工作内容的价格表现，包括（但不限于）：</w:t>
      </w:r>
      <w:r>
        <w:rPr>
          <w:rFonts w:hint="eastAsia" w:hAnsi="宋体" w:cs="宋体"/>
          <w:color w:val="auto"/>
          <w:sz w:val="21"/>
          <w:szCs w:val="21"/>
          <w:highlight w:val="none"/>
          <w:lang w:val="en-US" w:eastAsia="zh-CN"/>
        </w:rPr>
        <w:t>人工费</w:t>
      </w:r>
      <w:r>
        <w:rPr>
          <w:rFonts w:hint="eastAsia" w:hAnsi="宋体" w:cs="宋体"/>
          <w:color w:val="auto"/>
          <w:sz w:val="21"/>
          <w:szCs w:val="21"/>
          <w:highlight w:val="none"/>
        </w:rPr>
        <w:t>、专用工具、保险、税金、采购代理服务费等一切税金和费用，即投标人所投报的投标报价为投标人所能承受的整个项目的一次性最终最低报价，项目实施期间合同价不做调整。投标人须充分考虑实际服务内容和需求，针对自身实际情况，核算所需的成本及合理的利润，自行报价，结算时由中标人开具正式发票。</w:t>
      </w:r>
    </w:p>
    <w:p w14:paraId="196DFC0D">
      <w:pPr>
        <w:shd w:val="clear" w:color="auto"/>
        <w:autoSpaceDE/>
        <w:autoSpaceDN/>
        <w:adjustRightInd/>
        <w:snapToGrid w:val="0"/>
        <w:spacing w:line="500" w:lineRule="exact"/>
        <w:ind w:firstLine="420" w:firstLineChars="200"/>
        <w:jc w:val="both"/>
        <w:rPr>
          <w:rFonts w:hint="eastAsia" w:hAnsi="宋体" w:cs="宋体"/>
          <w:color w:val="auto"/>
          <w:sz w:val="21"/>
          <w:szCs w:val="21"/>
          <w:highlight w:val="none"/>
        </w:rPr>
      </w:pPr>
      <w:r>
        <w:rPr>
          <w:rFonts w:hint="eastAsia" w:hAnsi="宋体" w:cs="宋体"/>
          <w:bCs/>
          <w:color w:val="auto"/>
          <w:sz w:val="21"/>
          <w:szCs w:val="21"/>
          <w:highlight w:val="none"/>
        </w:rPr>
        <w:t>★</w:t>
      </w:r>
      <w:r>
        <w:rPr>
          <w:rFonts w:hint="eastAsia" w:hAnsi="宋体" w:cs="宋体"/>
          <w:color w:val="auto"/>
          <w:sz w:val="21"/>
          <w:szCs w:val="21"/>
          <w:highlight w:val="none"/>
        </w:rPr>
        <w:t>3.投标文件只允许有一个报价，有选择的或有条件的报价将不予接受。</w:t>
      </w:r>
    </w:p>
    <w:p w14:paraId="0DA96100">
      <w:pPr>
        <w:shd w:val="clear" w:color="auto"/>
        <w:autoSpaceDE/>
        <w:autoSpaceDN/>
        <w:adjustRightInd/>
        <w:spacing w:line="460" w:lineRule="exact"/>
        <w:ind w:firstLine="420" w:firstLineChars="200"/>
        <w:jc w:val="both"/>
        <w:rPr>
          <w:rFonts w:hint="eastAsia" w:hAnsi="宋体" w:cs="宋体"/>
          <w:color w:val="auto"/>
          <w:sz w:val="21"/>
          <w:szCs w:val="21"/>
          <w:highlight w:val="none"/>
        </w:rPr>
      </w:pPr>
      <w:r>
        <w:rPr>
          <w:rFonts w:hint="eastAsia" w:hAnsi="宋体" w:cs="宋体"/>
          <w:color w:val="auto"/>
          <w:sz w:val="21"/>
          <w:szCs w:val="21"/>
          <w:highlight w:val="none"/>
        </w:rPr>
        <w:t>4.本项目设有最高限价（即预算金额</w:t>
      </w:r>
      <w:r>
        <w:rPr>
          <w:rFonts w:hint="eastAsia" w:hAnsi="宋体" w:cs="宋体"/>
          <w:color w:val="auto"/>
          <w:sz w:val="21"/>
          <w:szCs w:val="21"/>
          <w:highlight w:val="none"/>
          <w:lang w:eastAsia="zh-CN"/>
        </w:rPr>
        <w:t>112</w:t>
      </w:r>
      <w:r>
        <w:rPr>
          <w:rFonts w:hint="eastAsia" w:hAnsi="宋体" w:cs="宋体"/>
          <w:color w:val="auto"/>
          <w:sz w:val="21"/>
          <w:szCs w:val="21"/>
          <w:highlight w:val="none"/>
        </w:rPr>
        <w:t>万元），投标报价不得高于最高限价，否则作为无效标处理。</w:t>
      </w:r>
    </w:p>
    <w:p w14:paraId="7E597742">
      <w:pPr>
        <w:shd w:val="clear" w:color="auto"/>
        <w:autoSpaceDE/>
        <w:autoSpaceDN/>
        <w:snapToGrid w:val="0"/>
        <w:spacing w:line="500" w:lineRule="exact"/>
        <w:ind w:firstLine="422" w:firstLineChars="200"/>
        <w:textAlignment w:val="baseline"/>
        <w:rPr>
          <w:rFonts w:hint="eastAsia" w:ascii="宋体" w:hAnsi="宋体" w:eastAsia="宋体" w:cs="宋体"/>
          <w:color w:val="auto"/>
          <w:sz w:val="21"/>
          <w:szCs w:val="21"/>
          <w:highlight w:val="none"/>
          <w:lang w:val="en-US" w:eastAsia="zh-CN"/>
        </w:rPr>
      </w:pPr>
      <w:r>
        <w:rPr>
          <w:rFonts w:hint="eastAsia" w:hAnsi="宋体" w:cs="宋体"/>
          <w:b/>
          <w:color w:val="auto"/>
          <w:sz w:val="21"/>
          <w:szCs w:val="21"/>
          <w:highlight w:val="none"/>
          <w:lang w:val="en-US" w:eastAsia="zh-CN"/>
        </w:rPr>
        <w:t>5.</w:t>
      </w:r>
      <w:r>
        <w:rPr>
          <w:rFonts w:hint="eastAsia" w:ascii="宋体" w:hAnsi="宋体" w:eastAsia="宋体" w:cs="宋体"/>
          <w:b/>
          <w:bCs/>
          <w:color w:val="auto"/>
          <w:sz w:val="21"/>
          <w:szCs w:val="21"/>
          <w:highlight w:val="none"/>
          <w:lang w:val="en-US" w:eastAsia="zh-CN"/>
        </w:rPr>
        <w:t>投标人不得进行影响服务质量或者诚信履约的恶意报价。</w:t>
      </w:r>
      <w:r>
        <w:rPr>
          <w:rFonts w:hint="eastAsia" w:ascii="宋体" w:hAnsi="宋体" w:eastAsia="宋体" w:cs="宋体"/>
          <w:color w:val="auto"/>
          <w:sz w:val="21"/>
          <w:szCs w:val="21"/>
          <w:highlight w:val="none"/>
          <w:lang w:val="en-US" w:eastAsia="zh-CN"/>
        </w:rPr>
        <w:t>投标人在项目评审前准备好报价核算、报价明细、报价说明等材料，以备评审专家核查</w:t>
      </w:r>
      <w:r>
        <w:rPr>
          <w:rFonts w:hint="eastAsia" w:ascii="宋体" w:hAnsi="宋体" w:eastAsia="宋体" w:cs="宋体"/>
          <w:color w:val="auto"/>
          <w:sz w:val="21"/>
          <w:szCs w:val="21"/>
          <w:highlight w:val="none"/>
          <w:u w:val="single"/>
          <w:lang w:val="en-US" w:eastAsia="zh-CN"/>
        </w:rPr>
        <w:t>。</w:t>
      </w:r>
      <w:r>
        <w:rPr>
          <w:rFonts w:hint="eastAsia" w:ascii="宋体" w:hAnsi="宋体" w:eastAsia="宋体" w:cs="宋体"/>
          <w:b/>
          <w:bCs/>
          <w:color w:val="auto"/>
          <w:sz w:val="21"/>
          <w:szCs w:val="21"/>
          <w:highlight w:val="none"/>
          <w:u w:val="single"/>
          <w:lang w:val="en-US" w:eastAsia="zh-CN"/>
        </w:rPr>
        <w:t>本项目约定，投标人报价低于项目预算50%的，应当在报价文件中详细阐述不影响服务质量或者诚信履约的具体原因</w:t>
      </w:r>
      <w:r>
        <w:rPr>
          <w:rFonts w:hint="eastAsia" w:ascii="宋体" w:hAnsi="宋体" w:eastAsia="宋体" w:cs="宋体"/>
          <w:color w:val="auto"/>
          <w:sz w:val="21"/>
          <w:szCs w:val="21"/>
          <w:highlight w:val="none"/>
          <w:lang w:val="en-US" w:eastAsia="zh-CN"/>
        </w:rPr>
        <w:t>。</w:t>
      </w:r>
    </w:p>
    <w:p w14:paraId="2E350A2F">
      <w:pPr>
        <w:shd w:val="clear" w:color="auto"/>
        <w:autoSpaceDE/>
        <w:autoSpaceDN/>
        <w:adjustRightInd/>
        <w:spacing w:line="500" w:lineRule="exact"/>
        <w:ind w:firstLine="422" w:firstLineChars="200"/>
        <w:jc w:val="both"/>
        <w:rPr>
          <w:rFonts w:hint="eastAsia" w:hAnsi="宋体" w:cs="宋体"/>
          <w:b/>
          <w:color w:val="auto"/>
          <w:sz w:val="21"/>
          <w:szCs w:val="21"/>
          <w:highlight w:val="none"/>
        </w:rPr>
      </w:pPr>
      <w:r>
        <w:rPr>
          <w:rFonts w:hint="eastAsia" w:hAnsi="宋体" w:cs="宋体"/>
          <w:b/>
          <w:color w:val="auto"/>
          <w:sz w:val="21"/>
          <w:szCs w:val="21"/>
          <w:highlight w:val="none"/>
        </w:rPr>
        <w:t>（五）投标文件的有效期</w:t>
      </w:r>
    </w:p>
    <w:p w14:paraId="7F911ACA">
      <w:pPr>
        <w:shd w:val="clear" w:color="auto"/>
        <w:autoSpaceDE/>
        <w:autoSpaceDN/>
        <w:adjustRightInd/>
        <w:spacing w:line="500" w:lineRule="exact"/>
        <w:ind w:firstLine="420" w:firstLineChars="200"/>
        <w:jc w:val="both"/>
        <w:rPr>
          <w:rFonts w:hint="eastAsia" w:hAnsi="宋体" w:cs="宋体"/>
          <w:color w:val="auto"/>
          <w:sz w:val="21"/>
          <w:szCs w:val="21"/>
          <w:highlight w:val="none"/>
        </w:rPr>
      </w:pPr>
      <w:r>
        <w:rPr>
          <w:rFonts w:hint="eastAsia" w:hAnsi="宋体" w:cs="宋体"/>
          <w:bCs/>
          <w:color w:val="auto"/>
          <w:sz w:val="21"/>
          <w:szCs w:val="21"/>
          <w:highlight w:val="none"/>
        </w:rPr>
        <w:t>★</w:t>
      </w:r>
      <w:r>
        <w:rPr>
          <w:rFonts w:hint="eastAsia" w:hAnsi="宋体" w:cs="宋体"/>
          <w:color w:val="auto"/>
          <w:sz w:val="21"/>
          <w:szCs w:val="21"/>
          <w:highlight w:val="none"/>
        </w:rPr>
        <w:t>1.自投标截止日起90天投标文件应保持有效。有效期不足的投标文件将被拒绝。</w:t>
      </w:r>
    </w:p>
    <w:p w14:paraId="001DCB0C">
      <w:pPr>
        <w:shd w:val="clear" w:color="auto"/>
        <w:autoSpaceDE/>
        <w:autoSpaceDN/>
        <w:adjustRightInd/>
        <w:spacing w:line="500" w:lineRule="exact"/>
        <w:ind w:firstLine="420" w:firstLineChars="200"/>
        <w:jc w:val="both"/>
        <w:rPr>
          <w:rFonts w:hint="eastAsia" w:hAnsi="宋体" w:cs="宋体"/>
          <w:color w:val="auto"/>
          <w:sz w:val="21"/>
          <w:szCs w:val="21"/>
          <w:highlight w:val="none"/>
        </w:rPr>
      </w:pPr>
      <w:r>
        <w:rPr>
          <w:rFonts w:hint="eastAsia" w:hAnsi="宋体" w:cs="宋体"/>
          <w:color w:val="auto"/>
          <w:sz w:val="21"/>
          <w:szCs w:val="21"/>
          <w:highlight w:val="none"/>
        </w:rPr>
        <w:t>2.在特殊情况下，</w:t>
      </w:r>
      <w:r>
        <w:rPr>
          <w:rFonts w:hint="eastAsia" w:hAnsi="宋体" w:cs="宋体"/>
          <w:color w:val="auto"/>
          <w:sz w:val="21"/>
          <w:szCs w:val="21"/>
          <w:highlight w:val="none"/>
          <w:lang w:eastAsia="zh-CN"/>
        </w:rPr>
        <w:t>采购人</w:t>
      </w:r>
      <w:r>
        <w:rPr>
          <w:rFonts w:hint="eastAsia" w:hAnsi="宋体" w:cs="宋体"/>
          <w:color w:val="auto"/>
          <w:sz w:val="21"/>
          <w:szCs w:val="21"/>
          <w:highlight w:val="none"/>
        </w:rPr>
        <w:t>可与投标人协商延长投标书的有效期，这种要求和答复均以书面形式进行。</w:t>
      </w:r>
    </w:p>
    <w:p w14:paraId="4A39BC7D">
      <w:pPr>
        <w:shd w:val="clear" w:color="auto"/>
        <w:spacing w:line="500" w:lineRule="exact"/>
        <w:ind w:firstLine="420" w:firstLineChars="200"/>
        <w:rPr>
          <w:rFonts w:hint="eastAsia" w:hAnsi="宋体" w:cs="宋体"/>
          <w:color w:val="auto"/>
          <w:highlight w:val="none"/>
        </w:rPr>
      </w:pPr>
      <w:r>
        <w:rPr>
          <w:rFonts w:hint="eastAsia" w:hAnsi="宋体" w:cs="宋体"/>
          <w:color w:val="auto"/>
          <w:sz w:val="21"/>
          <w:szCs w:val="21"/>
          <w:highlight w:val="none"/>
        </w:rPr>
        <w:t>3.投标人可拒绝接受延期要求。同意延长有效期的，不能以此为由修改投标文件。</w:t>
      </w:r>
    </w:p>
    <w:p w14:paraId="0E8698FF">
      <w:pPr>
        <w:shd w:val="clear" w:color="auto"/>
        <w:autoSpaceDE/>
        <w:autoSpaceDN/>
        <w:adjustRightInd/>
        <w:spacing w:line="500" w:lineRule="exact"/>
        <w:ind w:firstLine="420" w:firstLineChars="200"/>
        <w:jc w:val="both"/>
        <w:rPr>
          <w:rFonts w:hint="eastAsia" w:hAnsi="宋体" w:cs="宋体"/>
          <w:color w:val="auto"/>
          <w:sz w:val="21"/>
          <w:szCs w:val="21"/>
          <w:highlight w:val="none"/>
        </w:rPr>
      </w:pPr>
      <w:r>
        <w:rPr>
          <w:rFonts w:hint="eastAsia" w:hAnsi="宋体" w:cs="宋体"/>
          <w:color w:val="auto"/>
          <w:sz w:val="21"/>
          <w:szCs w:val="21"/>
          <w:highlight w:val="none"/>
        </w:rPr>
        <w:t>4.中标人的投标文件自开标之日起至合同履行完毕止均应保持有效。</w:t>
      </w:r>
    </w:p>
    <w:p w14:paraId="76F1C9FE">
      <w:pPr>
        <w:shd w:val="clear" w:color="auto"/>
        <w:autoSpaceDE/>
        <w:autoSpaceDN/>
        <w:adjustRightInd/>
        <w:spacing w:line="500" w:lineRule="exact"/>
        <w:ind w:firstLine="422" w:firstLineChars="200"/>
        <w:jc w:val="both"/>
        <w:rPr>
          <w:rFonts w:hint="eastAsia" w:hAnsi="宋体" w:cs="宋体"/>
          <w:b/>
          <w:color w:val="auto"/>
          <w:sz w:val="21"/>
          <w:szCs w:val="21"/>
          <w:highlight w:val="none"/>
        </w:rPr>
      </w:pPr>
      <w:r>
        <w:rPr>
          <w:rFonts w:hint="eastAsia" w:hAnsi="宋体" w:cs="宋体"/>
          <w:b/>
          <w:color w:val="auto"/>
          <w:sz w:val="21"/>
          <w:szCs w:val="21"/>
          <w:highlight w:val="none"/>
        </w:rPr>
        <w:t>（六）投标文件的签署和份数</w:t>
      </w:r>
    </w:p>
    <w:p w14:paraId="1EBA1F47">
      <w:pPr>
        <w:widowControl/>
        <w:shd w:val="clear" w:color="auto"/>
        <w:snapToGrid w:val="0"/>
        <w:spacing w:line="500" w:lineRule="exact"/>
        <w:ind w:firstLine="420"/>
        <w:rPr>
          <w:rFonts w:hint="eastAsia" w:hAnsi="宋体" w:cs="宋体"/>
          <w:color w:val="auto"/>
          <w:sz w:val="21"/>
          <w:highlight w:val="none"/>
        </w:rPr>
      </w:pPr>
      <w:r>
        <w:rPr>
          <w:rFonts w:hint="eastAsia" w:hAnsi="宋体" w:cs="宋体"/>
          <w:color w:val="auto"/>
          <w:sz w:val="21"/>
          <w:szCs w:val="24"/>
          <w:highlight w:val="none"/>
        </w:rPr>
        <w:t>1.</w:t>
      </w:r>
      <w:r>
        <w:rPr>
          <w:rFonts w:hint="eastAsia" w:hAnsi="宋体" w:cs="宋体"/>
          <w:color w:val="auto"/>
          <w:sz w:val="21"/>
          <w:highlight w:val="none"/>
        </w:rPr>
        <w:t>电子投标文件部分：</w:t>
      </w:r>
    </w:p>
    <w:p w14:paraId="60E30F08">
      <w:pPr>
        <w:widowControl/>
        <w:shd w:val="clear" w:color="auto"/>
        <w:snapToGrid w:val="0"/>
        <w:spacing w:line="500" w:lineRule="exact"/>
        <w:ind w:firstLine="420"/>
        <w:rPr>
          <w:rFonts w:hint="eastAsia" w:hAnsi="宋体" w:cs="宋体"/>
          <w:color w:val="auto"/>
          <w:sz w:val="21"/>
          <w:highlight w:val="none"/>
        </w:rPr>
      </w:pPr>
      <w:r>
        <w:rPr>
          <w:rFonts w:hint="eastAsia" w:hAnsi="宋体" w:cs="宋体"/>
          <w:color w:val="auto"/>
          <w:sz w:val="21"/>
          <w:highlight w:val="none"/>
        </w:rPr>
        <w:t>投标人应根据“政采云供应商项目采购-电子交易操作指南”及本招标文件规定的格式和顺序编制电子投标文件并进行关联定位。</w:t>
      </w:r>
    </w:p>
    <w:p w14:paraId="068D5758">
      <w:pPr>
        <w:widowControl/>
        <w:shd w:val="clear" w:color="auto"/>
        <w:autoSpaceDE/>
        <w:autoSpaceDN/>
        <w:adjustRightInd/>
        <w:snapToGrid w:val="0"/>
        <w:spacing w:line="500" w:lineRule="exact"/>
        <w:ind w:firstLine="420" w:firstLineChars="200"/>
        <w:rPr>
          <w:rFonts w:hint="eastAsia" w:hAnsi="宋体" w:cs="宋体"/>
          <w:color w:val="auto"/>
          <w:sz w:val="21"/>
          <w:highlight w:val="none"/>
        </w:rPr>
      </w:pPr>
      <w:r>
        <w:rPr>
          <w:rFonts w:hint="eastAsia" w:hAnsi="宋体" w:cs="宋体"/>
          <w:color w:val="auto"/>
          <w:sz w:val="21"/>
          <w:highlight w:val="none"/>
        </w:rPr>
        <w:t>2.投标文件的盖章：投标文件中所涉及的加盖公章均可采用CA电子签章，或投标单位可以线下盖章后扫描上传。</w:t>
      </w:r>
    </w:p>
    <w:p w14:paraId="35797623">
      <w:pPr>
        <w:shd w:val="clear" w:color="auto"/>
        <w:autoSpaceDE/>
        <w:autoSpaceDN/>
        <w:adjustRightInd/>
        <w:spacing w:line="500" w:lineRule="exact"/>
        <w:ind w:firstLine="420" w:firstLineChars="200"/>
        <w:jc w:val="both"/>
        <w:rPr>
          <w:rFonts w:hint="eastAsia" w:hAnsi="宋体" w:cs="宋体"/>
          <w:b/>
          <w:color w:val="auto"/>
          <w:sz w:val="21"/>
          <w:szCs w:val="21"/>
          <w:highlight w:val="none"/>
        </w:rPr>
      </w:pPr>
      <w:r>
        <w:rPr>
          <w:rFonts w:hint="eastAsia" w:hAnsi="宋体" w:cs="宋体"/>
          <w:color w:val="auto"/>
          <w:sz w:val="21"/>
          <w:highlight w:val="none"/>
        </w:rPr>
        <w:t>3.法定代表人或其授权代表签字或盖章：本招标文件所涉及的法定代表人或其授权代表签字或盖章的内容，投标单位可采用法定代表人电子签章，也可以线下签字或盖章后扫描上传。</w:t>
      </w:r>
    </w:p>
    <w:p w14:paraId="37F5F0D4">
      <w:pPr>
        <w:shd w:val="clear" w:color="auto"/>
        <w:autoSpaceDE/>
        <w:autoSpaceDN/>
        <w:adjustRightInd/>
        <w:spacing w:line="500" w:lineRule="exact"/>
        <w:ind w:firstLine="422" w:firstLineChars="200"/>
        <w:jc w:val="both"/>
        <w:rPr>
          <w:rFonts w:hint="eastAsia" w:hAnsi="宋体" w:cs="宋体"/>
          <w:b/>
          <w:color w:val="auto"/>
          <w:sz w:val="21"/>
          <w:szCs w:val="21"/>
          <w:highlight w:val="none"/>
        </w:rPr>
      </w:pPr>
      <w:r>
        <w:rPr>
          <w:rFonts w:hint="eastAsia" w:hAnsi="宋体" w:cs="宋体"/>
          <w:b/>
          <w:color w:val="auto"/>
          <w:sz w:val="21"/>
          <w:szCs w:val="21"/>
          <w:highlight w:val="none"/>
        </w:rPr>
        <w:t>（七）投标文件的包装、递交、修改和撤回</w:t>
      </w:r>
    </w:p>
    <w:p w14:paraId="0A9D9191">
      <w:pPr>
        <w:widowControl/>
        <w:shd w:val="clear" w:color="auto"/>
        <w:autoSpaceDE/>
        <w:autoSpaceDN/>
        <w:adjustRightInd/>
        <w:snapToGrid w:val="0"/>
        <w:spacing w:line="500" w:lineRule="exact"/>
        <w:ind w:firstLine="420"/>
        <w:jc w:val="both"/>
        <w:rPr>
          <w:rFonts w:hint="eastAsia" w:hAnsi="宋体" w:cs="宋体"/>
          <w:b/>
          <w:bCs/>
          <w:color w:val="auto"/>
          <w:sz w:val="21"/>
          <w:szCs w:val="21"/>
          <w:highlight w:val="none"/>
        </w:rPr>
      </w:pPr>
      <w:r>
        <w:rPr>
          <w:rFonts w:hint="eastAsia" w:hAnsi="宋体" w:cs="宋体"/>
          <w:b/>
          <w:bCs/>
          <w:color w:val="auto"/>
          <w:sz w:val="21"/>
          <w:szCs w:val="21"/>
          <w:highlight w:val="none"/>
        </w:rPr>
        <w:t>1.投标人应当在投标截止时间前在“政采云”（</w:t>
      </w:r>
      <w:r>
        <w:rPr>
          <w:rFonts w:hint="eastAsia" w:hAnsi="宋体" w:cs="宋体"/>
          <w:color w:val="auto"/>
          <w:sz w:val="21"/>
          <w:szCs w:val="21"/>
          <w:highlight w:val="none"/>
          <w:shd w:val="clear" w:color="auto" w:fill="FFFFFF"/>
        </w:rPr>
        <w:t xml:space="preserve"> 电子交易客户端</w:t>
      </w:r>
      <w:r>
        <w:rPr>
          <w:rFonts w:hint="eastAsia" w:hAnsi="宋体" w:cs="宋体"/>
          <w:b/>
          <w:bCs/>
          <w:color w:val="auto"/>
          <w:sz w:val="21"/>
          <w:szCs w:val="21"/>
          <w:highlight w:val="none"/>
        </w:rPr>
        <w:t>）上自行上传加密的电子投标文件。</w:t>
      </w:r>
    </w:p>
    <w:p w14:paraId="5F3BF567">
      <w:pPr>
        <w:shd w:val="clear" w:color="auto"/>
        <w:autoSpaceDE/>
        <w:autoSpaceDN/>
        <w:adjustRightInd/>
        <w:spacing w:line="500" w:lineRule="exact"/>
        <w:ind w:firstLine="420" w:firstLineChars="200"/>
        <w:jc w:val="both"/>
        <w:rPr>
          <w:rFonts w:hint="eastAsia" w:hAnsi="宋体" w:cs="宋体"/>
          <w:color w:val="auto"/>
          <w:sz w:val="21"/>
          <w:szCs w:val="21"/>
          <w:highlight w:val="none"/>
        </w:rPr>
      </w:pPr>
      <w:r>
        <w:rPr>
          <w:rFonts w:hint="eastAsia" w:hAnsi="宋体" w:cs="宋体"/>
          <w:bCs/>
          <w:color w:val="auto"/>
          <w:sz w:val="21"/>
          <w:szCs w:val="21"/>
          <w:highlight w:val="none"/>
        </w:rPr>
        <w:t>★</w:t>
      </w:r>
      <w:r>
        <w:rPr>
          <w:rFonts w:hint="eastAsia" w:hAnsi="宋体" w:cs="宋体"/>
          <w:color w:val="auto"/>
          <w:sz w:val="21"/>
          <w:szCs w:val="21"/>
          <w:highlight w:val="none"/>
        </w:rPr>
        <w:t>2.投标人未在“政采云”（</w:t>
      </w:r>
      <w:r>
        <w:rPr>
          <w:rFonts w:hint="eastAsia" w:hAnsi="宋体" w:cs="宋体"/>
          <w:color w:val="auto"/>
          <w:sz w:val="21"/>
          <w:szCs w:val="21"/>
          <w:highlight w:val="none"/>
          <w:shd w:val="clear" w:color="auto" w:fill="FFFFFF"/>
        </w:rPr>
        <w:t xml:space="preserve"> 电子交易客户端</w:t>
      </w:r>
      <w:r>
        <w:rPr>
          <w:rFonts w:hint="eastAsia" w:hAnsi="宋体" w:cs="宋体"/>
          <w:color w:val="auto"/>
          <w:sz w:val="21"/>
          <w:szCs w:val="21"/>
          <w:highlight w:val="none"/>
        </w:rPr>
        <w:t>）上自行上传加密的电子投标文件的，投标无效。</w:t>
      </w:r>
    </w:p>
    <w:p w14:paraId="77967AF8">
      <w:pPr>
        <w:shd w:val="clear" w:color="auto"/>
        <w:autoSpaceDE/>
        <w:autoSpaceDN/>
        <w:adjustRightInd/>
        <w:spacing w:line="500" w:lineRule="exact"/>
        <w:ind w:firstLine="422" w:firstLineChars="200"/>
        <w:jc w:val="both"/>
        <w:rPr>
          <w:rFonts w:hint="eastAsia" w:hAnsi="宋体" w:cs="宋体"/>
          <w:b/>
          <w:bCs/>
          <w:color w:val="auto"/>
          <w:sz w:val="21"/>
          <w:szCs w:val="21"/>
          <w:highlight w:val="none"/>
        </w:rPr>
      </w:pPr>
      <w:r>
        <w:rPr>
          <w:rFonts w:hint="eastAsia" w:hAnsi="宋体" w:cs="宋体"/>
          <w:b/>
          <w:bCs/>
          <w:color w:val="auto"/>
          <w:sz w:val="21"/>
          <w:szCs w:val="21"/>
          <w:highlight w:val="none"/>
        </w:rPr>
        <w:t>3.投标人应当在投标截止时间前完成电子投标文件的传输递交，并可以补充、修改或者撤回电子投标文件。补充或者修改电子投标文件的，应当先行撤回原文件，补充、修改后重新传输递交。投标截止时间前未完成传输的，视为撤回投标文件。投标、响应截止时间后送达的投标、响应文件，将被政采云平台拒收。</w:t>
      </w:r>
    </w:p>
    <w:p w14:paraId="286488F4">
      <w:pPr>
        <w:shd w:val="clear" w:color="auto"/>
        <w:autoSpaceDE/>
        <w:autoSpaceDN/>
        <w:adjustRightInd/>
        <w:spacing w:line="500" w:lineRule="exact"/>
        <w:ind w:firstLine="420" w:firstLineChars="200"/>
        <w:jc w:val="both"/>
        <w:rPr>
          <w:rFonts w:hint="eastAsia" w:hAnsi="宋体" w:cs="宋体"/>
          <w:color w:val="auto"/>
          <w:sz w:val="21"/>
          <w:szCs w:val="21"/>
          <w:highlight w:val="none"/>
        </w:rPr>
      </w:pPr>
      <w:r>
        <w:rPr>
          <w:rFonts w:hint="eastAsia" w:hAnsi="宋体" w:cs="宋体"/>
          <w:color w:val="auto"/>
          <w:sz w:val="21"/>
          <w:szCs w:val="21"/>
          <w:highlight w:val="none"/>
        </w:rPr>
        <w:t>4.截止开标时间，政采云（</w:t>
      </w:r>
      <w:r>
        <w:rPr>
          <w:rFonts w:hint="eastAsia" w:hAnsi="宋体" w:cs="宋体"/>
          <w:color w:val="auto"/>
          <w:sz w:val="21"/>
          <w:szCs w:val="21"/>
          <w:highlight w:val="none"/>
          <w:shd w:val="clear" w:color="auto" w:fill="FFFFFF"/>
        </w:rPr>
        <w:t>电子交易客户端</w:t>
      </w:r>
      <w:r>
        <w:rPr>
          <w:rFonts w:hint="eastAsia" w:hAnsi="宋体" w:cs="宋体"/>
          <w:color w:val="auto"/>
          <w:sz w:val="21"/>
          <w:szCs w:val="21"/>
          <w:highlight w:val="none"/>
        </w:rPr>
        <w:t>）自动提取所有投标文件，投标人须在解密时限内完成解密，解密时限由财政部门设置，投标人在规定的时间内都已解密完成，则系统自动结束解密，采购代理机构开启投标文件；投标人超过解密时限的，系统默认自动放弃。</w:t>
      </w:r>
    </w:p>
    <w:p w14:paraId="1C0C6A9D">
      <w:pPr>
        <w:shd w:val="clear" w:color="auto"/>
        <w:autoSpaceDE/>
        <w:autoSpaceDN/>
        <w:adjustRightInd/>
        <w:spacing w:line="500" w:lineRule="exact"/>
        <w:ind w:firstLine="422" w:firstLineChars="200"/>
        <w:jc w:val="both"/>
        <w:rPr>
          <w:rFonts w:hint="eastAsia" w:hAnsi="宋体" w:cs="宋体"/>
          <w:b/>
          <w:color w:val="auto"/>
          <w:sz w:val="21"/>
          <w:szCs w:val="21"/>
          <w:highlight w:val="none"/>
        </w:rPr>
      </w:pPr>
      <w:r>
        <w:rPr>
          <w:rFonts w:hint="eastAsia" w:hAnsi="宋体" w:cs="宋体"/>
          <w:b/>
          <w:color w:val="auto"/>
          <w:sz w:val="21"/>
          <w:szCs w:val="21"/>
          <w:highlight w:val="none"/>
        </w:rPr>
        <w:t>（八）投标无效的情形</w:t>
      </w:r>
    </w:p>
    <w:p w14:paraId="4441442F">
      <w:pPr>
        <w:shd w:val="clear" w:color="auto"/>
        <w:autoSpaceDE/>
        <w:autoSpaceDN/>
        <w:adjustRightInd/>
        <w:spacing w:line="500" w:lineRule="exact"/>
        <w:ind w:firstLine="420" w:firstLineChars="200"/>
        <w:jc w:val="both"/>
        <w:rPr>
          <w:rFonts w:hint="eastAsia" w:hAnsi="宋体" w:cs="宋体"/>
          <w:color w:val="auto"/>
          <w:sz w:val="21"/>
          <w:szCs w:val="21"/>
          <w:highlight w:val="none"/>
        </w:rPr>
      </w:pPr>
      <w:r>
        <w:rPr>
          <w:rFonts w:hint="eastAsia" w:hAnsi="宋体" w:cs="宋体"/>
          <w:color w:val="auto"/>
          <w:sz w:val="21"/>
          <w:szCs w:val="21"/>
          <w:highlight w:val="none"/>
        </w:rPr>
        <w:t>实质上没有响应招标文件要求的投标将被视为无效投标。投标人不得通过修正或</w:t>
      </w:r>
      <w:r>
        <w:rPr>
          <w:rFonts w:hint="eastAsia" w:hAnsi="宋体" w:cs="宋体"/>
          <w:color w:val="auto"/>
          <w:sz w:val="21"/>
          <w:szCs w:val="21"/>
          <w:highlight w:val="none"/>
          <w:lang w:eastAsia="zh-CN"/>
        </w:rPr>
        <w:t>撤销</w:t>
      </w:r>
      <w:r>
        <w:rPr>
          <w:rFonts w:hint="eastAsia" w:hAnsi="宋体" w:cs="宋体"/>
          <w:color w:val="auto"/>
          <w:sz w:val="21"/>
          <w:szCs w:val="21"/>
          <w:highlight w:val="none"/>
        </w:rPr>
        <w:t>不合要求的偏离或保留从而使其投标成为实质上响应的投标，但经评标委员会认定属于投标人疏忽、笔误所造成的差错，应当允许其在评标结束之前进行修改或者补正。修改或者补正投标文件必须以书面形式进行，并应在中标结果公告之前查核原件。限期内不补正或经补正后仍不符合招标文件要求的，应认定其投标无效。投标人修改、补正投标文件后，不影响评标委员会对其投标文件所作的评价和评分结果。</w:t>
      </w:r>
    </w:p>
    <w:p w14:paraId="0A8D4DD9">
      <w:pPr>
        <w:shd w:val="clear" w:color="auto"/>
        <w:autoSpaceDE/>
        <w:autoSpaceDN/>
        <w:adjustRightInd/>
        <w:spacing w:line="500" w:lineRule="exact"/>
        <w:ind w:firstLine="420" w:firstLineChars="200"/>
        <w:jc w:val="both"/>
        <w:rPr>
          <w:rFonts w:hint="eastAsia" w:hAnsi="宋体" w:cs="宋体"/>
          <w:color w:val="auto"/>
          <w:sz w:val="21"/>
          <w:szCs w:val="21"/>
          <w:highlight w:val="none"/>
        </w:rPr>
      </w:pPr>
      <w:r>
        <w:rPr>
          <w:rFonts w:hint="eastAsia" w:hAnsi="宋体" w:cs="宋体"/>
          <w:color w:val="auto"/>
          <w:sz w:val="21"/>
          <w:szCs w:val="21"/>
          <w:highlight w:val="none"/>
        </w:rPr>
        <w:t>1.在符合性审查和商务评审时，如发现下列情形之一的，投标文件将被视为无效：</w:t>
      </w:r>
    </w:p>
    <w:p w14:paraId="4EAB24CF">
      <w:pPr>
        <w:shd w:val="clear" w:color="auto"/>
        <w:autoSpaceDE/>
        <w:autoSpaceDN/>
        <w:adjustRightInd/>
        <w:spacing w:line="500" w:lineRule="exact"/>
        <w:ind w:firstLine="420" w:firstLineChars="200"/>
        <w:jc w:val="both"/>
        <w:rPr>
          <w:rFonts w:hint="eastAsia" w:hAnsi="宋体" w:cs="宋体"/>
          <w:color w:val="auto"/>
          <w:sz w:val="21"/>
          <w:szCs w:val="21"/>
          <w:highlight w:val="none"/>
        </w:rPr>
      </w:pPr>
      <w:r>
        <w:rPr>
          <w:rFonts w:hint="eastAsia" w:hAnsi="宋体" w:cs="宋体"/>
          <w:color w:val="auto"/>
          <w:sz w:val="21"/>
          <w:szCs w:val="21"/>
          <w:highlight w:val="none"/>
        </w:rPr>
        <w:t>（1）资格证明文件不全的，或者不符合招标文件标明的资格要求的；</w:t>
      </w:r>
    </w:p>
    <w:p w14:paraId="0F3E0603">
      <w:pPr>
        <w:shd w:val="clear" w:color="auto"/>
        <w:autoSpaceDE/>
        <w:autoSpaceDN/>
        <w:adjustRightInd/>
        <w:spacing w:line="500" w:lineRule="exact"/>
        <w:ind w:firstLine="420" w:firstLineChars="200"/>
        <w:jc w:val="both"/>
        <w:rPr>
          <w:rFonts w:hint="eastAsia" w:hAnsi="宋体" w:cs="宋体"/>
          <w:color w:val="auto"/>
          <w:sz w:val="21"/>
          <w:szCs w:val="21"/>
          <w:highlight w:val="none"/>
        </w:rPr>
      </w:pPr>
      <w:r>
        <w:rPr>
          <w:rFonts w:hint="eastAsia" w:hAnsi="宋体" w:cs="宋体"/>
          <w:color w:val="auto"/>
          <w:sz w:val="21"/>
          <w:szCs w:val="21"/>
          <w:highlight w:val="none"/>
        </w:rPr>
        <w:t>（2）投标文件无法定代表人或其授权代表签字，或未提供法定代表人授权委托书或者填写项目不齐全的；</w:t>
      </w:r>
    </w:p>
    <w:p w14:paraId="3716F0CB">
      <w:pPr>
        <w:shd w:val="clear" w:color="auto"/>
        <w:autoSpaceDE/>
        <w:autoSpaceDN/>
        <w:adjustRightInd/>
        <w:spacing w:line="500" w:lineRule="exact"/>
        <w:ind w:firstLine="420" w:firstLineChars="200"/>
        <w:jc w:val="both"/>
        <w:rPr>
          <w:rFonts w:hint="eastAsia" w:hAnsi="宋体" w:cs="宋体"/>
          <w:color w:val="auto"/>
          <w:sz w:val="21"/>
          <w:szCs w:val="21"/>
          <w:highlight w:val="none"/>
        </w:rPr>
      </w:pPr>
      <w:r>
        <w:rPr>
          <w:rFonts w:hint="eastAsia" w:hAnsi="宋体" w:cs="宋体"/>
          <w:color w:val="auto"/>
          <w:sz w:val="21"/>
          <w:szCs w:val="21"/>
          <w:highlight w:val="none"/>
        </w:rPr>
        <w:t>（3）投标代表人未能出具身份证明或与法定代表人授权委托人身份不符的；</w:t>
      </w:r>
    </w:p>
    <w:p w14:paraId="1624649E">
      <w:pPr>
        <w:shd w:val="clear" w:color="auto"/>
        <w:autoSpaceDE/>
        <w:autoSpaceDN/>
        <w:adjustRightInd/>
        <w:spacing w:line="500" w:lineRule="exact"/>
        <w:ind w:firstLine="420" w:firstLineChars="200"/>
        <w:jc w:val="both"/>
        <w:rPr>
          <w:rFonts w:hint="eastAsia" w:hAnsi="宋体" w:cs="宋体"/>
          <w:color w:val="auto"/>
          <w:sz w:val="21"/>
          <w:szCs w:val="21"/>
          <w:highlight w:val="none"/>
        </w:rPr>
      </w:pPr>
      <w:r>
        <w:rPr>
          <w:rFonts w:hint="eastAsia" w:hAnsi="宋体" w:cs="宋体"/>
          <w:color w:val="auto"/>
          <w:sz w:val="21"/>
          <w:szCs w:val="21"/>
          <w:highlight w:val="none"/>
        </w:rPr>
        <w:t>（4）投标文件格式不规范、项目不齐全或者内容虚假的；</w:t>
      </w:r>
    </w:p>
    <w:p w14:paraId="3B973BFB">
      <w:pPr>
        <w:shd w:val="clear" w:color="auto"/>
        <w:autoSpaceDE/>
        <w:autoSpaceDN/>
        <w:adjustRightInd/>
        <w:spacing w:line="500" w:lineRule="exact"/>
        <w:ind w:firstLine="420" w:firstLineChars="200"/>
        <w:jc w:val="both"/>
        <w:rPr>
          <w:rFonts w:hint="eastAsia" w:hAnsi="宋体" w:cs="宋体"/>
          <w:color w:val="auto"/>
          <w:sz w:val="21"/>
          <w:szCs w:val="21"/>
          <w:highlight w:val="none"/>
        </w:rPr>
      </w:pPr>
      <w:r>
        <w:rPr>
          <w:rFonts w:hint="eastAsia" w:hAnsi="宋体" w:cs="宋体"/>
          <w:color w:val="auto"/>
          <w:sz w:val="21"/>
          <w:szCs w:val="21"/>
          <w:highlight w:val="none"/>
        </w:rPr>
        <w:t>（5）投标文件的实质性内容未使用中文表述、意思表述不明确、前后矛盾或者使用计量单位不符合招标文件要求的（经评标委员会认定并允许其当场更正的笔误除外）；</w:t>
      </w:r>
    </w:p>
    <w:p w14:paraId="1354246C">
      <w:pPr>
        <w:shd w:val="clear" w:color="auto"/>
        <w:autoSpaceDE/>
        <w:autoSpaceDN/>
        <w:adjustRightInd/>
        <w:spacing w:line="500" w:lineRule="exact"/>
        <w:ind w:firstLine="420" w:firstLineChars="200"/>
        <w:jc w:val="both"/>
        <w:rPr>
          <w:rFonts w:hint="eastAsia" w:hAnsi="宋体" w:cs="宋体"/>
          <w:color w:val="auto"/>
          <w:sz w:val="21"/>
          <w:szCs w:val="21"/>
          <w:highlight w:val="none"/>
        </w:rPr>
      </w:pPr>
      <w:r>
        <w:rPr>
          <w:rFonts w:hint="eastAsia" w:hAnsi="宋体" w:cs="宋体"/>
          <w:color w:val="auto"/>
          <w:sz w:val="21"/>
          <w:szCs w:val="21"/>
          <w:highlight w:val="none"/>
        </w:rPr>
        <w:t>（6）</w:t>
      </w:r>
      <w:r>
        <w:rPr>
          <w:rFonts w:hint="eastAsia" w:hAnsi="宋体" w:cs="宋体"/>
          <w:color w:val="auto"/>
          <w:sz w:val="21"/>
          <w:highlight w:val="none"/>
        </w:rPr>
        <w:t>投标有效期、服务时间、付款方式等商务条款不能满足招标文件要求的</w:t>
      </w:r>
      <w:r>
        <w:rPr>
          <w:rFonts w:hint="eastAsia" w:hAnsi="宋体" w:cs="宋体"/>
          <w:color w:val="auto"/>
          <w:sz w:val="21"/>
          <w:szCs w:val="21"/>
          <w:highlight w:val="none"/>
        </w:rPr>
        <w:t>；</w:t>
      </w:r>
    </w:p>
    <w:p w14:paraId="40C22AA1">
      <w:pPr>
        <w:shd w:val="clear" w:color="auto"/>
        <w:autoSpaceDE/>
        <w:autoSpaceDN/>
        <w:adjustRightInd/>
        <w:spacing w:line="500" w:lineRule="exact"/>
        <w:ind w:firstLine="420" w:firstLineChars="200"/>
        <w:jc w:val="both"/>
        <w:rPr>
          <w:rFonts w:hint="eastAsia" w:hAnsi="宋体" w:cs="宋体"/>
          <w:color w:val="auto"/>
          <w:sz w:val="21"/>
          <w:szCs w:val="21"/>
          <w:highlight w:val="none"/>
        </w:rPr>
      </w:pPr>
      <w:r>
        <w:rPr>
          <w:rFonts w:hint="eastAsia" w:hAnsi="宋体" w:cs="宋体"/>
          <w:color w:val="auto"/>
          <w:sz w:val="21"/>
          <w:highlight w:val="none"/>
        </w:rPr>
        <w:t>（7）</w:t>
      </w:r>
      <w:r>
        <w:rPr>
          <w:rFonts w:hint="eastAsia" w:hAnsi="宋体" w:cs="宋体"/>
          <w:color w:val="auto"/>
          <w:sz w:val="21"/>
          <w:szCs w:val="21"/>
          <w:highlight w:val="none"/>
        </w:rPr>
        <w:t>联合体投标的没有提交共同投标协议（联合协议）的；</w:t>
      </w:r>
    </w:p>
    <w:p w14:paraId="2C641947">
      <w:pPr>
        <w:shd w:val="clear" w:color="auto"/>
        <w:autoSpaceDE/>
        <w:autoSpaceDN/>
        <w:adjustRightInd/>
        <w:spacing w:line="500" w:lineRule="exact"/>
        <w:ind w:firstLine="420" w:firstLineChars="200"/>
        <w:jc w:val="both"/>
        <w:rPr>
          <w:rFonts w:hint="eastAsia" w:hAnsi="宋体" w:cs="宋体"/>
          <w:color w:val="auto"/>
          <w:sz w:val="21"/>
          <w:szCs w:val="21"/>
          <w:highlight w:val="none"/>
        </w:rPr>
      </w:pPr>
      <w:r>
        <w:rPr>
          <w:rFonts w:hint="eastAsia" w:hAnsi="宋体" w:cs="宋体"/>
          <w:color w:val="auto"/>
          <w:sz w:val="21"/>
          <w:szCs w:val="21"/>
          <w:highlight w:val="none"/>
        </w:rPr>
        <w:t>（8）分包时没有提供分包意向协议的；</w:t>
      </w:r>
    </w:p>
    <w:p w14:paraId="02015B62">
      <w:pPr>
        <w:shd w:val="clear" w:color="auto"/>
        <w:autoSpaceDE/>
        <w:autoSpaceDN/>
        <w:adjustRightInd/>
        <w:spacing w:line="500" w:lineRule="exact"/>
        <w:ind w:firstLine="420" w:firstLineChars="200"/>
        <w:jc w:val="both"/>
        <w:rPr>
          <w:rFonts w:hint="eastAsia" w:hAnsi="宋体" w:cs="宋体"/>
          <w:color w:val="auto"/>
          <w:sz w:val="21"/>
          <w:szCs w:val="21"/>
          <w:highlight w:val="none"/>
        </w:rPr>
      </w:pPr>
      <w:r>
        <w:rPr>
          <w:rFonts w:hint="eastAsia" w:hAnsi="宋体" w:cs="宋体"/>
          <w:color w:val="auto"/>
          <w:sz w:val="21"/>
          <w:szCs w:val="21"/>
          <w:highlight w:val="none"/>
        </w:rPr>
        <w:t>（9）电子投标文件解密失败的；</w:t>
      </w:r>
    </w:p>
    <w:p w14:paraId="0E82E674">
      <w:pPr>
        <w:shd w:val="clear" w:color="auto"/>
        <w:autoSpaceDE/>
        <w:autoSpaceDN/>
        <w:adjustRightInd/>
        <w:spacing w:line="500" w:lineRule="exact"/>
        <w:ind w:firstLine="420" w:firstLineChars="200"/>
        <w:jc w:val="both"/>
        <w:rPr>
          <w:rFonts w:hint="eastAsia" w:hAnsi="宋体" w:cs="宋体"/>
          <w:color w:val="auto"/>
          <w:sz w:val="21"/>
          <w:szCs w:val="21"/>
          <w:highlight w:val="none"/>
        </w:rPr>
      </w:pPr>
      <w:r>
        <w:rPr>
          <w:rFonts w:hint="eastAsia" w:hAnsi="宋体" w:cs="宋体"/>
          <w:color w:val="auto"/>
          <w:sz w:val="21"/>
          <w:szCs w:val="21"/>
          <w:highlight w:val="none"/>
        </w:rPr>
        <w:t>（10）未实质性响应招标文件要求或者投标文件有</w:t>
      </w:r>
      <w:r>
        <w:rPr>
          <w:rFonts w:hint="eastAsia" w:hAnsi="宋体" w:cs="宋体"/>
          <w:color w:val="auto"/>
          <w:sz w:val="21"/>
          <w:szCs w:val="21"/>
          <w:highlight w:val="none"/>
          <w:lang w:eastAsia="zh-CN"/>
        </w:rPr>
        <w:t>采购人</w:t>
      </w:r>
      <w:r>
        <w:rPr>
          <w:rFonts w:hint="eastAsia" w:hAnsi="宋体" w:cs="宋体"/>
          <w:color w:val="auto"/>
          <w:sz w:val="21"/>
          <w:szCs w:val="21"/>
          <w:highlight w:val="none"/>
        </w:rPr>
        <w:t>不能接受的附加条件的。</w:t>
      </w:r>
    </w:p>
    <w:p w14:paraId="72A26EA3">
      <w:pPr>
        <w:shd w:val="clear" w:color="auto"/>
        <w:autoSpaceDE/>
        <w:autoSpaceDN/>
        <w:adjustRightInd/>
        <w:spacing w:line="500" w:lineRule="exact"/>
        <w:ind w:firstLine="420" w:firstLineChars="200"/>
        <w:jc w:val="both"/>
        <w:rPr>
          <w:rFonts w:hint="eastAsia" w:hAnsi="宋体" w:cs="宋体"/>
          <w:color w:val="auto"/>
          <w:sz w:val="21"/>
          <w:szCs w:val="21"/>
          <w:highlight w:val="none"/>
        </w:rPr>
      </w:pPr>
      <w:r>
        <w:rPr>
          <w:rFonts w:hint="eastAsia" w:hAnsi="宋体" w:cs="宋体"/>
          <w:color w:val="auto"/>
          <w:sz w:val="21"/>
          <w:szCs w:val="21"/>
          <w:highlight w:val="none"/>
        </w:rPr>
        <w:t>2.在技术评审时，如发现下列情形之一的，投标文件将被视为无效：</w:t>
      </w:r>
    </w:p>
    <w:p w14:paraId="4BB39CA7">
      <w:pPr>
        <w:shd w:val="clear" w:color="auto"/>
        <w:autoSpaceDE/>
        <w:autoSpaceDN/>
        <w:adjustRightInd/>
        <w:spacing w:line="500" w:lineRule="exact"/>
        <w:ind w:firstLine="315" w:firstLineChars="150"/>
        <w:jc w:val="both"/>
        <w:rPr>
          <w:rFonts w:hint="eastAsia" w:hAnsi="宋体" w:cs="宋体"/>
          <w:color w:val="auto"/>
          <w:sz w:val="21"/>
          <w:szCs w:val="21"/>
          <w:highlight w:val="none"/>
        </w:rPr>
      </w:pPr>
      <w:r>
        <w:rPr>
          <w:rFonts w:hint="eastAsia" w:hAnsi="宋体" w:cs="宋体"/>
          <w:color w:val="auto"/>
          <w:sz w:val="21"/>
          <w:szCs w:val="21"/>
          <w:highlight w:val="none"/>
        </w:rPr>
        <w:t>（1）不符合法律、法规和招标文件中规定的其他实质性要求的（评标委员会一致认定）的；</w:t>
      </w:r>
    </w:p>
    <w:p w14:paraId="46E9CD5B">
      <w:pPr>
        <w:shd w:val="clear" w:color="auto"/>
        <w:autoSpaceDE/>
        <w:autoSpaceDN/>
        <w:adjustRightInd/>
        <w:spacing w:line="500" w:lineRule="exact"/>
        <w:ind w:firstLine="315" w:firstLineChars="150"/>
        <w:jc w:val="both"/>
        <w:rPr>
          <w:rFonts w:hint="eastAsia" w:hAnsi="宋体" w:cs="宋体"/>
          <w:color w:val="auto"/>
          <w:sz w:val="21"/>
          <w:szCs w:val="21"/>
          <w:highlight w:val="none"/>
        </w:rPr>
      </w:pPr>
      <w:r>
        <w:rPr>
          <w:rFonts w:hint="eastAsia" w:hAnsi="宋体" w:cs="宋体"/>
          <w:color w:val="auto"/>
          <w:sz w:val="21"/>
          <w:szCs w:val="21"/>
          <w:highlight w:val="none"/>
        </w:rPr>
        <w:t>（2）明显不符合招标文件服务要求、服务质量标准，或者与招标文件中标“★”的服务要求项目发生实质性偏离的；</w:t>
      </w:r>
    </w:p>
    <w:p w14:paraId="5B0DA3EE">
      <w:pPr>
        <w:shd w:val="clear" w:color="auto"/>
        <w:autoSpaceDE/>
        <w:autoSpaceDN/>
        <w:adjustRightInd/>
        <w:spacing w:line="500" w:lineRule="exact"/>
        <w:ind w:firstLine="420" w:firstLineChars="200"/>
        <w:jc w:val="both"/>
        <w:rPr>
          <w:rFonts w:hint="eastAsia" w:hAnsi="宋体" w:cs="宋体"/>
          <w:color w:val="auto"/>
          <w:sz w:val="21"/>
          <w:szCs w:val="21"/>
          <w:highlight w:val="none"/>
        </w:rPr>
      </w:pPr>
      <w:r>
        <w:rPr>
          <w:rFonts w:hint="eastAsia" w:hAnsi="宋体" w:cs="宋体"/>
          <w:color w:val="auto"/>
          <w:sz w:val="21"/>
          <w:szCs w:val="21"/>
          <w:highlight w:val="none"/>
        </w:rPr>
        <w:t>（3）允许偏离的技术、性能指标或者辅助功能项目发生负偏离达10项（含）以上的；</w:t>
      </w:r>
    </w:p>
    <w:p w14:paraId="6F4FCF86">
      <w:pPr>
        <w:shd w:val="clear" w:color="auto"/>
        <w:autoSpaceDE/>
        <w:autoSpaceDN/>
        <w:adjustRightInd/>
        <w:spacing w:line="500" w:lineRule="exact"/>
        <w:ind w:firstLine="420" w:firstLineChars="200"/>
        <w:jc w:val="both"/>
        <w:rPr>
          <w:rFonts w:hint="eastAsia" w:hAnsi="宋体" w:cs="宋体"/>
          <w:color w:val="auto"/>
          <w:sz w:val="21"/>
          <w:szCs w:val="21"/>
          <w:highlight w:val="none"/>
        </w:rPr>
      </w:pPr>
      <w:r>
        <w:rPr>
          <w:rFonts w:hint="eastAsia" w:hAnsi="宋体" w:cs="宋体"/>
          <w:color w:val="auto"/>
          <w:sz w:val="21"/>
          <w:szCs w:val="21"/>
          <w:highlight w:val="none"/>
        </w:rPr>
        <w:t>（4）投标技术方案不明确，存在一个或一个以上备选（替代）投标方案的；</w:t>
      </w:r>
    </w:p>
    <w:p w14:paraId="7D34B7AC">
      <w:pPr>
        <w:shd w:val="clear" w:color="auto"/>
        <w:autoSpaceDE/>
        <w:autoSpaceDN/>
        <w:adjustRightInd/>
        <w:spacing w:line="500" w:lineRule="exact"/>
        <w:ind w:firstLine="420" w:firstLineChars="200"/>
        <w:jc w:val="both"/>
        <w:rPr>
          <w:rFonts w:hint="eastAsia" w:hAnsi="宋体" w:cs="宋体"/>
          <w:color w:val="auto"/>
          <w:sz w:val="21"/>
          <w:szCs w:val="21"/>
          <w:highlight w:val="none"/>
        </w:rPr>
      </w:pPr>
      <w:r>
        <w:rPr>
          <w:rFonts w:hint="eastAsia" w:hAnsi="宋体" w:cs="宋体"/>
          <w:color w:val="auto"/>
          <w:sz w:val="21"/>
          <w:szCs w:val="21"/>
          <w:highlight w:val="none"/>
        </w:rPr>
        <w:t>（5）与其他参加本次投标供应商的投标文件（技术文件）的文字表述内容相同连续20行以上或者差错相同2处以上的。</w:t>
      </w:r>
    </w:p>
    <w:p w14:paraId="7DB77ACB">
      <w:pPr>
        <w:shd w:val="clear" w:color="auto"/>
        <w:autoSpaceDE/>
        <w:autoSpaceDN/>
        <w:adjustRightInd/>
        <w:spacing w:line="500" w:lineRule="exact"/>
        <w:ind w:firstLine="420" w:firstLineChars="200"/>
        <w:jc w:val="both"/>
        <w:rPr>
          <w:rFonts w:hint="eastAsia" w:hAnsi="宋体" w:cs="宋体"/>
          <w:color w:val="auto"/>
          <w:sz w:val="21"/>
          <w:szCs w:val="21"/>
          <w:highlight w:val="none"/>
        </w:rPr>
      </w:pPr>
      <w:r>
        <w:rPr>
          <w:rFonts w:hint="eastAsia" w:hAnsi="宋体" w:cs="宋体"/>
          <w:color w:val="auto"/>
          <w:sz w:val="21"/>
          <w:szCs w:val="21"/>
          <w:highlight w:val="none"/>
        </w:rPr>
        <w:t>3.在报价评审时，如发现下列情形之一的，投标文件将被视为无效：</w:t>
      </w:r>
    </w:p>
    <w:p w14:paraId="34B7DD27">
      <w:pPr>
        <w:shd w:val="clear" w:color="auto"/>
        <w:autoSpaceDE/>
        <w:autoSpaceDN/>
        <w:adjustRightInd/>
        <w:spacing w:line="500" w:lineRule="exact"/>
        <w:ind w:firstLine="420" w:firstLineChars="200"/>
        <w:jc w:val="both"/>
        <w:rPr>
          <w:rFonts w:hint="eastAsia" w:hAnsi="宋体" w:cs="宋体"/>
          <w:color w:val="auto"/>
          <w:sz w:val="21"/>
          <w:szCs w:val="21"/>
          <w:highlight w:val="none"/>
        </w:rPr>
      </w:pPr>
      <w:r>
        <w:rPr>
          <w:rFonts w:hint="eastAsia" w:hAnsi="宋体" w:cs="宋体"/>
          <w:color w:val="auto"/>
          <w:sz w:val="21"/>
          <w:szCs w:val="21"/>
          <w:highlight w:val="none"/>
        </w:rPr>
        <w:t>（1）未采用人民币报价或者未按照招标文件标明的币种报价的；</w:t>
      </w:r>
    </w:p>
    <w:p w14:paraId="4E88341D">
      <w:pPr>
        <w:shd w:val="clear" w:color="auto"/>
        <w:autoSpaceDE/>
        <w:autoSpaceDN/>
        <w:adjustRightInd/>
        <w:spacing w:line="500" w:lineRule="exact"/>
        <w:ind w:firstLine="420" w:firstLineChars="200"/>
        <w:jc w:val="both"/>
        <w:rPr>
          <w:rFonts w:hint="eastAsia" w:hAnsi="宋体" w:cs="宋体"/>
          <w:color w:val="auto"/>
          <w:sz w:val="21"/>
          <w:szCs w:val="21"/>
          <w:highlight w:val="none"/>
        </w:rPr>
      </w:pPr>
      <w:r>
        <w:rPr>
          <w:rFonts w:hint="eastAsia" w:hAnsi="宋体" w:cs="宋体"/>
          <w:color w:val="auto"/>
          <w:sz w:val="21"/>
          <w:szCs w:val="21"/>
          <w:highlight w:val="none"/>
        </w:rPr>
        <w:t>（2）投标报价具有选择性，或者开标价格与投标文件承诺的优惠（折扣）价格不一致且未按要求进行修正的；</w:t>
      </w:r>
    </w:p>
    <w:p w14:paraId="15F35FCA">
      <w:pPr>
        <w:shd w:val="clear" w:color="auto"/>
        <w:autoSpaceDE/>
        <w:autoSpaceDN/>
        <w:adjustRightInd/>
        <w:spacing w:line="500" w:lineRule="exact"/>
        <w:ind w:firstLine="420" w:firstLineChars="200"/>
        <w:jc w:val="both"/>
        <w:rPr>
          <w:rFonts w:hint="eastAsia" w:hAnsi="宋体" w:cs="宋体"/>
          <w:color w:val="auto"/>
          <w:sz w:val="21"/>
          <w:szCs w:val="21"/>
          <w:highlight w:val="none"/>
        </w:rPr>
      </w:pPr>
      <w:r>
        <w:rPr>
          <w:rFonts w:hint="eastAsia" w:hAnsi="宋体" w:cs="宋体"/>
          <w:color w:val="auto"/>
          <w:sz w:val="21"/>
          <w:szCs w:val="21"/>
          <w:highlight w:val="none"/>
        </w:rPr>
        <w:t>（3）投标报价明细表总额与开标（报价）一览表总价不一致，且投标人拒绝按招标文件规定的方式进行错误修正的；</w:t>
      </w:r>
    </w:p>
    <w:p w14:paraId="00AD52B3">
      <w:pPr>
        <w:shd w:val="clear" w:color="auto"/>
        <w:spacing w:line="500" w:lineRule="exact"/>
        <w:ind w:firstLine="420" w:firstLineChars="200"/>
        <w:rPr>
          <w:rFonts w:hint="eastAsia" w:hAnsi="宋体" w:cs="宋体"/>
          <w:color w:val="auto"/>
          <w:sz w:val="21"/>
          <w:szCs w:val="21"/>
          <w:highlight w:val="none"/>
        </w:rPr>
      </w:pPr>
      <w:r>
        <w:rPr>
          <w:rFonts w:hint="eastAsia" w:hAnsi="宋体" w:cs="宋体"/>
          <w:color w:val="auto"/>
          <w:sz w:val="21"/>
          <w:szCs w:val="21"/>
          <w:highlight w:val="none"/>
        </w:rPr>
        <w:t>（4）投标人的投报报价超过最高限价的；</w:t>
      </w:r>
    </w:p>
    <w:p w14:paraId="4CA09878">
      <w:pPr>
        <w:shd w:val="clear" w:color="auto"/>
        <w:spacing w:line="500" w:lineRule="exact"/>
        <w:ind w:firstLine="420" w:firstLineChars="200"/>
        <w:rPr>
          <w:rFonts w:hint="eastAsia" w:hAnsi="宋体" w:cs="宋体"/>
          <w:color w:val="auto"/>
          <w:sz w:val="21"/>
          <w:szCs w:val="21"/>
          <w:highlight w:val="none"/>
        </w:rPr>
      </w:pPr>
      <w:r>
        <w:rPr>
          <w:rFonts w:hint="eastAsia" w:hAnsi="宋体" w:cs="宋体"/>
          <w:color w:val="auto"/>
          <w:sz w:val="21"/>
          <w:szCs w:val="21"/>
          <w:highlight w:val="none"/>
        </w:rPr>
        <w:t>（5）评标委员会一致认为将获得中标候选资格的投标人报价或某些分项报价明显不合理，有降低质量、不能诚信履约的可能，且该投标人未在规定期限内作出解释，或所作解释不合理，经评标委员会取得一致意见后，确定该投标无效的；</w:t>
      </w:r>
    </w:p>
    <w:p w14:paraId="09C8235E">
      <w:pPr>
        <w:shd w:val="clear" w:color="auto"/>
        <w:autoSpaceDE/>
        <w:autoSpaceDN/>
        <w:adjustRightInd/>
        <w:snapToGrid w:val="0"/>
        <w:spacing w:line="500" w:lineRule="exact"/>
        <w:ind w:firstLine="420"/>
        <w:rPr>
          <w:rFonts w:hint="eastAsia" w:hAnsi="宋体" w:cs="宋体"/>
          <w:color w:val="auto"/>
          <w:sz w:val="21"/>
          <w:szCs w:val="21"/>
          <w:highlight w:val="none"/>
        </w:rPr>
      </w:pPr>
      <w:r>
        <w:rPr>
          <w:rFonts w:hint="eastAsia" w:hAnsi="宋体" w:cs="宋体"/>
          <w:color w:val="auto"/>
          <w:sz w:val="21"/>
          <w:highlight w:val="none"/>
        </w:rPr>
        <w:t>（6）投标人在线制作投标文件时《开标（报价）一览表》中填写的金额与解密后“电子加密投标文件”中《开标（报价）一览表》填写的金额不一致的，以解密后“电子加密投标文件”中《开标（报价）一览表》填写的金额为准，投标供应商拒绝接受此调整的，按无效投标处理；</w:t>
      </w:r>
    </w:p>
    <w:p w14:paraId="04BE1AEB">
      <w:pPr>
        <w:shd w:val="clear" w:color="auto"/>
        <w:autoSpaceDE/>
        <w:autoSpaceDN/>
        <w:adjustRightInd/>
        <w:snapToGrid w:val="0"/>
        <w:spacing w:line="500" w:lineRule="exact"/>
        <w:ind w:firstLine="420"/>
        <w:rPr>
          <w:rFonts w:hint="eastAsia" w:hAnsi="宋体" w:cs="宋体"/>
          <w:color w:val="auto"/>
          <w:sz w:val="21"/>
          <w:highlight w:val="none"/>
        </w:rPr>
      </w:pPr>
      <w:r>
        <w:rPr>
          <w:rFonts w:hint="eastAsia" w:hAnsi="宋体" w:cs="宋体"/>
          <w:color w:val="auto"/>
          <w:sz w:val="21"/>
          <w:highlight w:val="none"/>
        </w:rPr>
        <w:t>4.有下列情形之一的，视为投标人串通投标，其投标无效：</w:t>
      </w:r>
    </w:p>
    <w:p w14:paraId="25D4AB1C">
      <w:pPr>
        <w:shd w:val="clear" w:color="auto"/>
        <w:autoSpaceDE/>
        <w:autoSpaceDN/>
        <w:adjustRightInd/>
        <w:snapToGrid w:val="0"/>
        <w:spacing w:line="500" w:lineRule="exact"/>
        <w:ind w:firstLine="420"/>
        <w:rPr>
          <w:rFonts w:hint="eastAsia" w:hAnsi="宋体" w:cs="宋体"/>
          <w:color w:val="auto"/>
          <w:sz w:val="21"/>
          <w:highlight w:val="none"/>
        </w:rPr>
      </w:pPr>
      <w:r>
        <w:rPr>
          <w:rFonts w:hint="eastAsia" w:hAnsi="宋体" w:cs="宋体"/>
          <w:color w:val="auto"/>
          <w:sz w:val="21"/>
          <w:highlight w:val="none"/>
        </w:rPr>
        <w:t>（1）不同投标人的投标文件由同一单位或者个人编制（同一IP地址上传投标、响应文件）；</w:t>
      </w:r>
    </w:p>
    <w:p w14:paraId="6629DF0A">
      <w:pPr>
        <w:shd w:val="clear" w:color="auto"/>
        <w:autoSpaceDE/>
        <w:autoSpaceDN/>
        <w:adjustRightInd/>
        <w:snapToGrid w:val="0"/>
        <w:spacing w:line="500" w:lineRule="exact"/>
        <w:ind w:firstLine="420"/>
        <w:rPr>
          <w:rFonts w:hint="eastAsia" w:hAnsi="宋体" w:cs="宋体"/>
          <w:color w:val="auto"/>
          <w:sz w:val="21"/>
          <w:highlight w:val="none"/>
        </w:rPr>
      </w:pPr>
      <w:r>
        <w:rPr>
          <w:rFonts w:hint="eastAsia" w:hAnsi="宋体" w:cs="宋体"/>
          <w:color w:val="auto"/>
          <w:sz w:val="21"/>
          <w:highlight w:val="none"/>
        </w:rPr>
        <w:t>（2）不同投标人委托同一单位或者个人办理投标事宜；</w:t>
      </w:r>
    </w:p>
    <w:p w14:paraId="1BE346FF">
      <w:pPr>
        <w:shd w:val="clear" w:color="auto"/>
        <w:autoSpaceDE/>
        <w:autoSpaceDN/>
        <w:adjustRightInd/>
        <w:snapToGrid w:val="0"/>
        <w:spacing w:line="500" w:lineRule="exact"/>
        <w:ind w:firstLine="420"/>
        <w:rPr>
          <w:rFonts w:hint="eastAsia" w:hAnsi="宋体" w:cs="宋体"/>
          <w:color w:val="auto"/>
          <w:sz w:val="21"/>
          <w:highlight w:val="none"/>
        </w:rPr>
      </w:pPr>
      <w:r>
        <w:rPr>
          <w:rFonts w:hint="eastAsia" w:hAnsi="宋体" w:cs="宋体"/>
          <w:color w:val="auto"/>
          <w:sz w:val="21"/>
          <w:highlight w:val="none"/>
        </w:rPr>
        <w:t>（3）不同投标人的投标文件载明的项目管理成员或者联系人员为同一人；</w:t>
      </w:r>
    </w:p>
    <w:p w14:paraId="66F14AD2">
      <w:pPr>
        <w:shd w:val="clear" w:color="auto"/>
        <w:autoSpaceDE/>
        <w:autoSpaceDN/>
        <w:adjustRightInd/>
        <w:snapToGrid w:val="0"/>
        <w:spacing w:line="500" w:lineRule="exact"/>
        <w:ind w:firstLine="420"/>
        <w:rPr>
          <w:rFonts w:hint="eastAsia" w:hAnsi="宋体" w:cs="宋体"/>
          <w:color w:val="auto"/>
          <w:sz w:val="21"/>
          <w:highlight w:val="none"/>
        </w:rPr>
      </w:pPr>
      <w:r>
        <w:rPr>
          <w:rFonts w:hint="eastAsia" w:hAnsi="宋体" w:cs="宋体"/>
          <w:color w:val="auto"/>
          <w:sz w:val="21"/>
          <w:highlight w:val="none"/>
        </w:rPr>
        <w:t>（4）不同投标人的投标文件异常一致或者投标报价呈规律性差异；</w:t>
      </w:r>
    </w:p>
    <w:p w14:paraId="1D2E6548">
      <w:pPr>
        <w:shd w:val="clear" w:color="auto"/>
        <w:autoSpaceDE/>
        <w:autoSpaceDN/>
        <w:adjustRightInd/>
        <w:snapToGrid w:val="0"/>
        <w:spacing w:line="500" w:lineRule="exact"/>
        <w:ind w:firstLine="420"/>
        <w:rPr>
          <w:rFonts w:hint="eastAsia" w:hAnsi="宋体" w:cs="宋体"/>
          <w:color w:val="auto"/>
          <w:sz w:val="21"/>
          <w:highlight w:val="none"/>
        </w:rPr>
      </w:pPr>
      <w:r>
        <w:rPr>
          <w:rFonts w:hint="eastAsia" w:hAnsi="宋体" w:cs="宋体"/>
          <w:color w:val="auto"/>
          <w:sz w:val="21"/>
          <w:highlight w:val="none"/>
        </w:rPr>
        <w:t>（5）不同投标人的投标文件相互混装；</w:t>
      </w:r>
    </w:p>
    <w:p w14:paraId="5A30B430">
      <w:pPr>
        <w:shd w:val="clear" w:color="auto"/>
        <w:autoSpaceDE/>
        <w:autoSpaceDN/>
        <w:adjustRightInd/>
        <w:snapToGrid w:val="0"/>
        <w:spacing w:line="500" w:lineRule="exact"/>
        <w:ind w:firstLine="420"/>
        <w:rPr>
          <w:rFonts w:hint="eastAsia" w:hAnsi="宋体" w:cs="宋体"/>
          <w:color w:val="auto"/>
          <w:sz w:val="21"/>
          <w:highlight w:val="none"/>
        </w:rPr>
      </w:pPr>
      <w:r>
        <w:rPr>
          <w:rFonts w:hint="eastAsia" w:hAnsi="宋体" w:cs="宋体"/>
          <w:color w:val="auto"/>
          <w:sz w:val="21"/>
          <w:highlight w:val="none"/>
        </w:rPr>
        <w:t>（6）不同投标人的投标保证金从同一单位或者个人的账户转出。</w:t>
      </w:r>
    </w:p>
    <w:p w14:paraId="6EB1FC69">
      <w:pPr>
        <w:shd w:val="clear"/>
        <w:autoSpaceDE/>
        <w:autoSpaceDN/>
        <w:snapToGrid w:val="0"/>
        <w:spacing w:line="500" w:lineRule="exact"/>
        <w:ind w:firstLine="420" w:firstLineChars="200"/>
        <w:rPr>
          <w:rFonts w:hint="eastAsia" w:ascii="宋体" w:hAnsi="宋体" w:eastAsia="宋体" w:cs="宋体"/>
          <w:color w:val="auto"/>
          <w:kern w:val="0"/>
          <w:sz w:val="21"/>
          <w:szCs w:val="21"/>
          <w:highlight w:val="none"/>
        </w:rPr>
      </w:pPr>
      <w:r>
        <w:rPr>
          <w:rFonts w:hint="eastAsia" w:hAnsi="宋体" w:cs="宋体"/>
          <w:color w:val="auto"/>
          <w:kern w:val="0"/>
          <w:sz w:val="21"/>
          <w:szCs w:val="21"/>
          <w:highlight w:val="none"/>
          <w:lang w:val="en-US" w:eastAsia="zh-CN"/>
        </w:rPr>
        <w:t>5.</w:t>
      </w:r>
      <w:r>
        <w:rPr>
          <w:rFonts w:hint="eastAsia" w:ascii="宋体" w:hAnsi="宋体" w:eastAsia="宋体" w:cs="宋体"/>
          <w:color w:val="auto"/>
          <w:kern w:val="0"/>
          <w:sz w:val="21"/>
          <w:szCs w:val="21"/>
          <w:highlight w:val="none"/>
        </w:rPr>
        <w:t>参与同一个标段(包)的供应商存在下列情形之一的，其投标(响应)文件无效：</w:t>
      </w:r>
    </w:p>
    <w:p w14:paraId="7F5F3E22">
      <w:pPr>
        <w:shd w:val="clear"/>
        <w:autoSpaceDE/>
        <w:autoSpaceDN/>
        <w:snapToGrid w:val="0"/>
        <w:spacing w:line="500" w:lineRule="exact"/>
        <w:ind w:firstLine="420" w:firstLineChars="200"/>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w:t>
      </w:r>
      <w:r>
        <w:rPr>
          <w:rFonts w:hint="eastAsia" w:hAnsi="宋体" w:cs="宋体"/>
          <w:color w:val="auto"/>
          <w:kern w:val="0"/>
          <w:sz w:val="21"/>
          <w:szCs w:val="21"/>
          <w:highlight w:val="none"/>
          <w:lang w:val="en-US" w:eastAsia="zh-CN"/>
        </w:rPr>
        <w:t>1</w:t>
      </w:r>
      <w:r>
        <w:rPr>
          <w:rFonts w:hint="eastAsia" w:ascii="宋体" w:hAnsi="宋体" w:eastAsia="宋体" w:cs="宋体"/>
          <w:color w:val="auto"/>
          <w:kern w:val="0"/>
          <w:sz w:val="21"/>
          <w:szCs w:val="21"/>
          <w:highlight w:val="none"/>
        </w:rPr>
        <w:t>)不同供应商制作电子投标(响应)文件的计算机网卡MAC地址相同的；</w:t>
      </w:r>
    </w:p>
    <w:p w14:paraId="70E96BE9">
      <w:pPr>
        <w:shd w:val="clear"/>
        <w:autoSpaceDE/>
        <w:autoSpaceDN/>
        <w:snapToGrid w:val="0"/>
        <w:spacing w:line="500" w:lineRule="exact"/>
        <w:ind w:firstLine="420" w:firstLineChars="200"/>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w:t>
      </w:r>
      <w:r>
        <w:rPr>
          <w:rFonts w:hint="eastAsia" w:hAnsi="宋体" w:cs="宋体"/>
          <w:color w:val="auto"/>
          <w:kern w:val="0"/>
          <w:sz w:val="21"/>
          <w:szCs w:val="21"/>
          <w:highlight w:val="none"/>
          <w:lang w:val="en-US" w:eastAsia="zh-CN"/>
        </w:rPr>
        <w:t>2</w:t>
      </w:r>
      <w:r>
        <w:rPr>
          <w:rFonts w:hint="eastAsia" w:ascii="宋体" w:hAnsi="宋体" w:eastAsia="宋体" w:cs="宋体"/>
          <w:color w:val="auto"/>
          <w:kern w:val="0"/>
          <w:sz w:val="21"/>
          <w:szCs w:val="21"/>
          <w:highlight w:val="none"/>
        </w:rPr>
        <w:t>)不同供应商制作电子投标(响应)文件的计算机硬盘序列号相同的；</w:t>
      </w:r>
    </w:p>
    <w:p w14:paraId="25FBD7CA">
      <w:pPr>
        <w:shd w:val="clear"/>
        <w:autoSpaceDE/>
        <w:autoSpaceDN/>
        <w:snapToGrid w:val="0"/>
        <w:spacing w:line="500" w:lineRule="exact"/>
        <w:ind w:firstLine="420" w:firstLineChars="200"/>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w:t>
      </w:r>
      <w:r>
        <w:rPr>
          <w:rFonts w:hint="eastAsia" w:hAnsi="宋体" w:cs="宋体"/>
          <w:color w:val="auto"/>
          <w:kern w:val="0"/>
          <w:sz w:val="21"/>
          <w:szCs w:val="21"/>
          <w:highlight w:val="none"/>
          <w:lang w:val="en-US" w:eastAsia="zh-CN"/>
        </w:rPr>
        <w:t>3</w:t>
      </w:r>
      <w:r>
        <w:rPr>
          <w:rFonts w:hint="eastAsia" w:ascii="宋体" w:hAnsi="宋体" w:eastAsia="宋体" w:cs="宋体"/>
          <w:color w:val="auto"/>
          <w:kern w:val="0"/>
          <w:sz w:val="21"/>
          <w:szCs w:val="21"/>
          <w:highlight w:val="none"/>
        </w:rPr>
        <w:t>)不同供应商的投标(响应)文件的内容存在两处以上细节错误一致，且无法合理解释的。</w:t>
      </w:r>
    </w:p>
    <w:p w14:paraId="2B5CE42F">
      <w:pPr>
        <w:shd w:val="clear"/>
        <w:autoSpaceDE/>
        <w:autoSpaceDN/>
        <w:snapToGrid w:val="0"/>
        <w:spacing w:line="500" w:lineRule="exact"/>
        <w:ind w:firstLine="420" w:firstLineChars="200"/>
        <w:rPr>
          <w:rFonts w:hint="eastAsia" w:ascii="宋体" w:hAnsi="宋体" w:eastAsia="宋体" w:cs="宋体"/>
          <w:color w:val="auto"/>
          <w:kern w:val="0"/>
          <w:sz w:val="21"/>
          <w:szCs w:val="21"/>
          <w:highlight w:val="none"/>
        </w:rPr>
      </w:pPr>
      <w:r>
        <w:rPr>
          <w:rFonts w:hint="eastAsia" w:hAnsi="宋体" w:cs="宋体"/>
          <w:color w:val="auto"/>
          <w:kern w:val="0"/>
          <w:sz w:val="21"/>
          <w:szCs w:val="21"/>
          <w:highlight w:val="none"/>
          <w:lang w:val="en-US" w:eastAsia="zh-CN"/>
        </w:rPr>
        <w:t>6</w:t>
      </w:r>
      <w:r>
        <w:rPr>
          <w:rFonts w:hint="eastAsia" w:ascii="宋体" w:hAnsi="宋体" w:eastAsia="宋体" w:cs="宋体"/>
          <w:color w:val="auto"/>
          <w:kern w:val="0"/>
          <w:sz w:val="21"/>
          <w:szCs w:val="21"/>
          <w:highlight w:val="none"/>
        </w:rPr>
        <w:t>.被拒绝的投标文件为无效投标文件。</w:t>
      </w:r>
    </w:p>
    <w:p w14:paraId="56B59A08">
      <w:pPr>
        <w:shd w:val="clear" w:color="auto"/>
        <w:autoSpaceDE/>
        <w:autoSpaceDN/>
        <w:adjustRightInd/>
        <w:spacing w:line="500" w:lineRule="exact"/>
        <w:ind w:firstLine="422" w:firstLineChars="200"/>
        <w:jc w:val="both"/>
        <w:rPr>
          <w:rFonts w:hint="eastAsia" w:hAnsi="宋体" w:cs="宋体"/>
          <w:b/>
          <w:color w:val="auto"/>
          <w:sz w:val="21"/>
          <w:szCs w:val="21"/>
          <w:highlight w:val="none"/>
        </w:rPr>
      </w:pPr>
      <w:r>
        <w:rPr>
          <w:rFonts w:hint="eastAsia" w:hAnsi="宋体" w:cs="宋体"/>
          <w:b/>
          <w:color w:val="auto"/>
          <w:sz w:val="21"/>
          <w:szCs w:val="21"/>
          <w:highlight w:val="none"/>
        </w:rPr>
        <w:t>四、开标</w:t>
      </w:r>
    </w:p>
    <w:p w14:paraId="496B17AB">
      <w:pPr>
        <w:shd w:val="clear" w:color="auto"/>
        <w:autoSpaceDE/>
        <w:autoSpaceDN/>
        <w:adjustRightInd/>
        <w:spacing w:line="500" w:lineRule="exact"/>
        <w:ind w:firstLine="525" w:firstLineChars="250"/>
        <w:jc w:val="both"/>
        <w:rPr>
          <w:rFonts w:hint="eastAsia" w:hAnsi="宋体" w:cs="宋体"/>
          <w:color w:val="auto"/>
          <w:sz w:val="21"/>
          <w:szCs w:val="21"/>
          <w:highlight w:val="none"/>
        </w:rPr>
      </w:pPr>
      <w:r>
        <w:rPr>
          <w:rFonts w:hint="eastAsia" w:hAnsi="宋体" w:cs="宋体"/>
          <w:color w:val="auto"/>
          <w:sz w:val="21"/>
          <w:szCs w:val="21"/>
          <w:highlight w:val="none"/>
        </w:rPr>
        <w:t>1.开标会由采购代理机构主持，宣布开标会议开始；</w:t>
      </w:r>
    </w:p>
    <w:p w14:paraId="486AC24B">
      <w:pPr>
        <w:shd w:val="clear" w:color="auto"/>
        <w:autoSpaceDE/>
        <w:autoSpaceDN/>
        <w:adjustRightInd/>
        <w:spacing w:line="500" w:lineRule="exact"/>
        <w:ind w:firstLine="525" w:firstLineChars="250"/>
        <w:jc w:val="both"/>
        <w:rPr>
          <w:rFonts w:hint="eastAsia" w:hAnsi="宋体" w:cs="宋体"/>
          <w:color w:val="auto"/>
          <w:sz w:val="21"/>
          <w:szCs w:val="21"/>
          <w:highlight w:val="none"/>
        </w:rPr>
      </w:pPr>
      <w:r>
        <w:rPr>
          <w:rFonts w:hint="eastAsia" w:hAnsi="宋体" w:cs="宋体"/>
          <w:color w:val="auto"/>
          <w:sz w:val="21"/>
          <w:szCs w:val="21"/>
          <w:highlight w:val="none"/>
        </w:rPr>
        <w:t>2.在开标后投标供应商</w:t>
      </w:r>
      <w:r>
        <w:rPr>
          <w:rFonts w:hint="eastAsia" w:hAnsi="宋体" w:cs="宋体"/>
          <w:color w:val="auto"/>
          <w:sz w:val="21"/>
          <w:szCs w:val="21"/>
          <w:highlight w:val="none"/>
          <w:lang w:eastAsia="zh-CN"/>
        </w:rPr>
        <w:t>登录</w:t>
      </w:r>
      <w:r>
        <w:rPr>
          <w:rFonts w:hint="eastAsia" w:hAnsi="宋体" w:cs="宋体"/>
          <w:color w:val="auto"/>
          <w:sz w:val="21"/>
          <w:szCs w:val="21"/>
          <w:highlight w:val="none"/>
        </w:rPr>
        <w:t>“政采云”平台，用“项目采购-开标评标”功能进行解密投标文件。</w:t>
      </w:r>
    </w:p>
    <w:p w14:paraId="76F646AD">
      <w:pPr>
        <w:shd w:val="clear" w:color="auto"/>
        <w:autoSpaceDE/>
        <w:autoSpaceDN/>
        <w:adjustRightInd/>
        <w:spacing w:line="500" w:lineRule="exact"/>
        <w:ind w:firstLine="525" w:firstLineChars="250"/>
        <w:jc w:val="both"/>
        <w:rPr>
          <w:rFonts w:hint="eastAsia" w:hAnsi="宋体" w:cs="宋体"/>
          <w:color w:val="auto"/>
          <w:sz w:val="21"/>
          <w:szCs w:val="21"/>
          <w:highlight w:val="none"/>
        </w:rPr>
      </w:pPr>
      <w:r>
        <w:rPr>
          <w:rFonts w:hint="eastAsia" w:hAnsi="宋体" w:cs="宋体"/>
          <w:color w:val="auto"/>
          <w:sz w:val="21"/>
          <w:szCs w:val="21"/>
          <w:highlight w:val="none"/>
        </w:rPr>
        <w:t>若投标供应商在规定时间内无法解密或解密失败的，视为投标文件撤回。</w:t>
      </w:r>
    </w:p>
    <w:p w14:paraId="3D45C755">
      <w:pPr>
        <w:shd w:val="clear" w:color="auto"/>
        <w:autoSpaceDE/>
        <w:autoSpaceDN/>
        <w:adjustRightInd/>
        <w:spacing w:line="500" w:lineRule="exact"/>
        <w:ind w:firstLine="525" w:firstLineChars="250"/>
        <w:jc w:val="both"/>
        <w:rPr>
          <w:rFonts w:hint="eastAsia" w:hAnsi="宋体" w:cs="宋体"/>
          <w:color w:val="auto"/>
          <w:sz w:val="21"/>
          <w:szCs w:val="21"/>
          <w:highlight w:val="none"/>
        </w:rPr>
      </w:pPr>
      <w:r>
        <w:rPr>
          <w:rFonts w:hint="eastAsia" w:hAnsi="宋体" w:cs="宋体"/>
          <w:color w:val="auto"/>
          <w:sz w:val="21"/>
          <w:szCs w:val="21"/>
          <w:highlight w:val="none"/>
        </w:rPr>
        <w:t>3.采购人或采购代理机构先对投标人的资格进行审查，如评审小组对投标文件有疑问，对投标人进行在线询标，投标人须在澄清截止时间前上传澄清函，若在澄清截止时间前未进行有效澄清的，逾期将不再接受澄清。资格审查不合格的投标人不再进入商务技术文件及报价文件的评审。</w:t>
      </w:r>
    </w:p>
    <w:p w14:paraId="2F05C10D">
      <w:pPr>
        <w:shd w:val="clear" w:color="auto"/>
        <w:autoSpaceDE/>
        <w:autoSpaceDN/>
        <w:adjustRightInd/>
        <w:spacing w:line="500" w:lineRule="exact"/>
        <w:ind w:firstLine="525" w:firstLineChars="250"/>
        <w:jc w:val="both"/>
        <w:rPr>
          <w:rFonts w:hint="eastAsia" w:hAnsi="宋体" w:cs="宋体"/>
          <w:color w:val="auto"/>
          <w:sz w:val="21"/>
          <w:szCs w:val="21"/>
          <w:highlight w:val="none"/>
        </w:rPr>
      </w:pPr>
      <w:r>
        <w:rPr>
          <w:rFonts w:hint="eastAsia" w:hAnsi="宋体" w:cs="宋体"/>
          <w:color w:val="auto"/>
          <w:sz w:val="21"/>
          <w:szCs w:val="21"/>
          <w:highlight w:val="none"/>
        </w:rPr>
        <w:t>4.评标委员会先对商务技术文件进行评审，如对投标文件有疑问，对投标人进行在线询标，投标人须在发起的澄清截止时间前上传澄清函，若在发起的澄清截止时间前未进行有效澄清的，逾期将不再接受澄清。商务技术文件不合格的投标人不再进入报价文件评审。</w:t>
      </w:r>
    </w:p>
    <w:p w14:paraId="380E4202">
      <w:pPr>
        <w:shd w:val="clear" w:color="auto"/>
        <w:autoSpaceDE/>
        <w:autoSpaceDN/>
        <w:adjustRightInd/>
        <w:spacing w:line="500" w:lineRule="exact"/>
        <w:ind w:firstLine="525" w:firstLineChars="250"/>
        <w:jc w:val="both"/>
        <w:rPr>
          <w:rFonts w:hint="eastAsia" w:hAnsi="宋体" w:cs="宋体"/>
          <w:color w:val="auto"/>
          <w:sz w:val="21"/>
          <w:szCs w:val="21"/>
          <w:highlight w:val="none"/>
        </w:rPr>
      </w:pPr>
      <w:r>
        <w:rPr>
          <w:rFonts w:hint="eastAsia" w:hAnsi="宋体" w:cs="宋体"/>
          <w:color w:val="auto"/>
          <w:sz w:val="21"/>
          <w:szCs w:val="21"/>
          <w:highlight w:val="none"/>
        </w:rPr>
        <w:t>5.资信商务技术文件评审结果在线公布后，在线开启报价文件，并由评标委员会进行报价评审。</w:t>
      </w:r>
      <w:r>
        <w:rPr>
          <w:rFonts w:hint="eastAsia" w:hAnsi="宋体" w:cs="宋体"/>
          <w:color w:val="auto"/>
          <w:sz w:val="21"/>
          <w:highlight w:val="none"/>
        </w:rPr>
        <w:t>投标供应商在线制作投标</w:t>
      </w:r>
      <w:r>
        <w:rPr>
          <w:rFonts w:hint="eastAsia" w:hAnsi="宋体" w:cs="宋体"/>
          <w:color w:val="auto"/>
          <w:sz w:val="21"/>
          <w:szCs w:val="21"/>
          <w:highlight w:val="none"/>
        </w:rPr>
        <w:t>报价</w:t>
      </w:r>
      <w:r>
        <w:rPr>
          <w:rFonts w:hint="eastAsia" w:hAnsi="宋体" w:cs="宋体"/>
          <w:color w:val="auto"/>
          <w:sz w:val="21"/>
          <w:highlight w:val="none"/>
        </w:rPr>
        <w:t>文件中填写的金额与解密后“电子加密投标</w:t>
      </w:r>
      <w:r>
        <w:rPr>
          <w:rFonts w:hint="eastAsia" w:hAnsi="宋体" w:cs="宋体"/>
          <w:color w:val="auto"/>
          <w:sz w:val="21"/>
          <w:szCs w:val="21"/>
          <w:highlight w:val="none"/>
        </w:rPr>
        <w:t>报价</w:t>
      </w:r>
      <w:r>
        <w:rPr>
          <w:rFonts w:hint="eastAsia" w:hAnsi="宋体" w:cs="宋体"/>
          <w:color w:val="auto"/>
          <w:sz w:val="21"/>
          <w:highlight w:val="none"/>
        </w:rPr>
        <w:t>文件”中填写的金额不一致时，以解密后“电子加密投标</w:t>
      </w:r>
      <w:r>
        <w:rPr>
          <w:rFonts w:hint="eastAsia" w:hAnsi="宋体" w:cs="宋体"/>
          <w:color w:val="auto"/>
          <w:sz w:val="21"/>
          <w:szCs w:val="21"/>
          <w:highlight w:val="none"/>
        </w:rPr>
        <w:t>报价</w:t>
      </w:r>
      <w:r>
        <w:rPr>
          <w:rFonts w:hint="eastAsia" w:hAnsi="宋体" w:cs="宋体"/>
          <w:color w:val="auto"/>
          <w:sz w:val="21"/>
          <w:highlight w:val="none"/>
        </w:rPr>
        <w:t>文件”中填写的金额为准，投标供应商拒绝接受此规定的，按无效标处理。</w:t>
      </w:r>
    </w:p>
    <w:p w14:paraId="7CB6DCF8">
      <w:pPr>
        <w:shd w:val="clear" w:color="auto"/>
        <w:autoSpaceDE/>
        <w:autoSpaceDN/>
        <w:adjustRightInd/>
        <w:spacing w:line="500" w:lineRule="exact"/>
        <w:ind w:firstLine="525" w:firstLineChars="250"/>
        <w:jc w:val="both"/>
        <w:rPr>
          <w:rFonts w:hint="eastAsia" w:hAnsi="宋体" w:cs="宋体"/>
          <w:color w:val="auto"/>
          <w:sz w:val="21"/>
          <w:szCs w:val="21"/>
          <w:highlight w:val="none"/>
        </w:rPr>
      </w:pPr>
      <w:r>
        <w:rPr>
          <w:rFonts w:hint="eastAsia" w:hAnsi="宋体" w:cs="宋体"/>
          <w:color w:val="auto"/>
          <w:sz w:val="21"/>
          <w:szCs w:val="21"/>
          <w:highlight w:val="none"/>
        </w:rPr>
        <w:t>6.综合评审结果在线公布各投标人得分汇总，并在线提交（宣布）中标候选人。</w:t>
      </w:r>
    </w:p>
    <w:p w14:paraId="66AA78AB">
      <w:pPr>
        <w:shd w:val="clear" w:color="auto"/>
        <w:autoSpaceDE/>
        <w:autoSpaceDN/>
        <w:adjustRightInd/>
        <w:spacing w:line="500" w:lineRule="exact"/>
        <w:ind w:firstLine="525" w:firstLineChars="250"/>
        <w:jc w:val="both"/>
        <w:rPr>
          <w:rFonts w:hint="eastAsia" w:hAnsi="宋体" w:cs="宋体"/>
          <w:color w:val="auto"/>
          <w:sz w:val="21"/>
          <w:szCs w:val="21"/>
          <w:highlight w:val="none"/>
        </w:rPr>
      </w:pPr>
      <w:r>
        <w:rPr>
          <w:rFonts w:hint="eastAsia" w:hAnsi="宋体" w:cs="宋体"/>
          <w:color w:val="auto"/>
          <w:sz w:val="21"/>
          <w:szCs w:val="21"/>
          <w:highlight w:val="none"/>
        </w:rPr>
        <w:t>7.评审结束后，代理机构宣布开标结束，并公布采购结果。</w:t>
      </w:r>
    </w:p>
    <w:p w14:paraId="7E394951">
      <w:pPr>
        <w:shd w:val="clear" w:color="auto"/>
        <w:autoSpaceDE/>
        <w:autoSpaceDN/>
        <w:adjustRightInd/>
        <w:spacing w:line="500" w:lineRule="exact"/>
        <w:ind w:firstLine="525" w:firstLineChars="250"/>
        <w:jc w:val="both"/>
        <w:rPr>
          <w:rFonts w:hint="eastAsia" w:hAnsi="宋体" w:cs="宋体"/>
          <w:color w:val="auto"/>
          <w:sz w:val="21"/>
          <w:szCs w:val="21"/>
          <w:highlight w:val="none"/>
        </w:rPr>
      </w:pPr>
      <w:r>
        <w:rPr>
          <w:rFonts w:hint="eastAsia" w:hAnsi="宋体" w:cs="宋体"/>
          <w:color w:val="auto"/>
          <w:sz w:val="21"/>
          <w:szCs w:val="21"/>
          <w:highlight w:val="none"/>
        </w:rPr>
        <w:t>注：政采云公司如对电子化开标及评审程序有调整的，按调整后的程序操作。</w:t>
      </w:r>
    </w:p>
    <w:p w14:paraId="13B97A26">
      <w:pPr>
        <w:shd w:val="clear" w:color="auto"/>
        <w:autoSpaceDE/>
        <w:autoSpaceDN/>
        <w:adjustRightInd/>
        <w:spacing w:line="500" w:lineRule="exact"/>
        <w:ind w:firstLine="422" w:firstLineChars="200"/>
        <w:jc w:val="both"/>
        <w:rPr>
          <w:rFonts w:hint="eastAsia" w:hAnsi="宋体" w:cs="宋体"/>
          <w:b/>
          <w:color w:val="auto"/>
          <w:sz w:val="21"/>
          <w:szCs w:val="21"/>
          <w:highlight w:val="none"/>
        </w:rPr>
      </w:pPr>
      <w:r>
        <w:rPr>
          <w:rFonts w:hint="eastAsia" w:hAnsi="宋体" w:cs="宋体"/>
          <w:b/>
          <w:color w:val="auto"/>
          <w:sz w:val="21"/>
          <w:szCs w:val="21"/>
          <w:highlight w:val="none"/>
        </w:rPr>
        <w:t>五、评标</w:t>
      </w:r>
    </w:p>
    <w:p w14:paraId="7CCE04D8">
      <w:pPr>
        <w:shd w:val="clear" w:color="auto"/>
        <w:autoSpaceDE/>
        <w:autoSpaceDN/>
        <w:adjustRightInd/>
        <w:spacing w:line="500" w:lineRule="exact"/>
        <w:ind w:firstLine="420" w:firstLineChars="200"/>
        <w:jc w:val="both"/>
        <w:rPr>
          <w:rFonts w:hint="eastAsia" w:hAnsi="宋体" w:cs="宋体"/>
          <w:color w:val="auto"/>
          <w:sz w:val="21"/>
          <w:szCs w:val="21"/>
          <w:highlight w:val="none"/>
        </w:rPr>
      </w:pPr>
      <w:r>
        <w:rPr>
          <w:rFonts w:hint="eastAsia" w:hAnsi="宋体" w:cs="宋体"/>
          <w:color w:val="auto"/>
          <w:sz w:val="21"/>
          <w:szCs w:val="21"/>
          <w:highlight w:val="none"/>
        </w:rPr>
        <w:t>（一）组建评标委员会</w:t>
      </w:r>
    </w:p>
    <w:p w14:paraId="515DD788">
      <w:pPr>
        <w:shd w:val="clear" w:color="auto"/>
        <w:autoSpaceDE/>
        <w:autoSpaceDN/>
        <w:adjustRightInd/>
        <w:spacing w:line="500" w:lineRule="exact"/>
        <w:ind w:firstLine="420" w:firstLineChars="200"/>
        <w:jc w:val="both"/>
        <w:rPr>
          <w:rFonts w:hint="eastAsia" w:hAnsi="宋体" w:cs="宋体"/>
          <w:color w:val="auto"/>
          <w:sz w:val="21"/>
          <w:szCs w:val="21"/>
          <w:highlight w:val="none"/>
        </w:rPr>
      </w:pPr>
      <w:r>
        <w:rPr>
          <w:rFonts w:hint="eastAsia" w:hAnsi="宋体" w:cs="宋体"/>
          <w:color w:val="auto"/>
          <w:sz w:val="21"/>
          <w:szCs w:val="21"/>
          <w:highlight w:val="none"/>
        </w:rPr>
        <w:t>招标单位和代理机构将根据本项目的特点依法组建评标委员会，评标委员会由招标单位和有关技术、经济等方面五名以上（含五名）单数的专家组成，其中技术、经济等方面的专家不少于成员总数的三分之二。专家统一在浙江省政府采购专家管理系统（政采云）的专家库中随机抽取。</w:t>
      </w:r>
    </w:p>
    <w:p w14:paraId="29555443">
      <w:pPr>
        <w:shd w:val="clear" w:color="auto"/>
        <w:autoSpaceDE/>
        <w:autoSpaceDN/>
        <w:adjustRightInd/>
        <w:spacing w:line="500" w:lineRule="exact"/>
        <w:ind w:firstLine="420" w:firstLineChars="200"/>
        <w:jc w:val="both"/>
        <w:rPr>
          <w:rFonts w:hint="eastAsia" w:hAnsi="宋体" w:cs="宋体"/>
          <w:color w:val="auto"/>
          <w:sz w:val="21"/>
          <w:szCs w:val="21"/>
          <w:highlight w:val="none"/>
        </w:rPr>
      </w:pPr>
      <w:r>
        <w:rPr>
          <w:rFonts w:hint="eastAsia" w:hAnsi="宋体" w:cs="宋体"/>
          <w:color w:val="auto"/>
          <w:sz w:val="21"/>
          <w:szCs w:val="21"/>
          <w:highlight w:val="none"/>
        </w:rPr>
        <w:t>（二）评标的方式</w:t>
      </w:r>
    </w:p>
    <w:p w14:paraId="699D33A9">
      <w:pPr>
        <w:shd w:val="clear" w:color="auto"/>
        <w:autoSpaceDE/>
        <w:autoSpaceDN/>
        <w:adjustRightInd/>
        <w:spacing w:line="500" w:lineRule="exact"/>
        <w:ind w:firstLine="420" w:firstLineChars="200"/>
        <w:jc w:val="both"/>
        <w:rPr>
          <w:rFonts w:hint="eastAsia" w:hAnsi="宋体" w:cs="宋体"/>
          <w:color w:val="auto"/>
          <w:sz w:val="21"/>
          <w:szCs w:val="21"/>
          <w:highlight w:val="none"/>
        </w:rPr>
      </w:pPr>
      <w:r>
        <w:rPr>
          <w:rFonts w:hint="eastAsia" w:hAnsi="宋体" w:cs="宋体"/>
          <w:color w:val="auto"/>
          <w:sz w:val="21"/>
          <w:szCs w:val="21"/>
          <w:highlight w:val="none"/>
        </w:rPr>
        <w:t>本项目采用不公开方式评标，评标的依据为招标文件和投标文件。</w:t>
      </w:r>
    </w:p>
    <w:p w14:paraId="04319068">
      <w:pPr>
        <w:shd w:val="clear" w:color="auto"/>
        <w:autoSpaceDE/>
        <w:autoSpaceDN/>
        <w:adjustRightInd/>
        <w:spacing w:line="500" w:lineRule="exact"/>
        <w:ind w:firstLine="420" w:firstLineChars="200"/>
        <w:jc w:val="both"/>
        <w:rPr>
          <w:rFonts w:hint="eastAsia" w:hAnsi="宋体" w:cs="宋体"/>
          <w:color w:val="auto"/>
          <w:sz w:val="21"/>
          <w:szCs w:val="21"/>
          <w:highlight w:val="none"/>
        </w:rPr>
      </w:pPr>
      <w:r>
        <w:rPr>
          <w:rFonts w:hint="eastAsia" w:hAnsi="宋体" w:cs="宋体"/>
          <w:color w:val="auto"/>
          <w:sz w:val="21"/>
          <w:szCs w:val="21"/>
          <w:highlight w:val="none"/>
        </w:rPr>
        <w:t>（三）评标程序</w:t>
      </w:r>
    </w:p>
    <w:p w14:paraId="5FA4DB81">
      <w:pPr>
        <w:shd w:val="clear" w:color="auto"/>
        <w:autoSpaceDE/>
        <w:autoSpaceDN/>
        <w:adjustRightInd/>
        <w:spacing w:line="500" w:lineRule="exact"/>
        <w:ind w:firstLine="420" w:firstLineChars="200"/>
        <w:jc w:val="both"/>
        <w:rPr>
          <w:rFonts w:hint="eastAsia" w:hAnsi="宋体" w:cs="宋体"/>
          <w:color w:val="auto"/>
          <w:sz w:val="21"/>
          <w:szCs w:val="21"/>
          <w:highlight w:val="none"/>
        </w:rPr>
      </w:pPr>
      <w:r>
        <w:rPr>
          <w:rFonts w:hint="eastAsia" w:hAnsi="宋体" w:cs="宋体"/>
          <w:color w:val="auto"/>
          <w:sz w:val="21"/>
          <w:szCs w:val="21"/>
          <w:highlight w:val="none"/>
        </w:rPr>
        <w:t>1.形式审查</w:t>
      </w:r>
    </w:p>
    <w:p w14:paraId="69297E5A">
      <w:pPr>
        <w:shd w:val="clear" w:color="auto"/>
        <w:autoSpaceDE/>
        <w:autoSpaceDN/>
        <w:adjustRightInd/>
        <w:spacing w:line="500" w:lineRule="exact"/>
        <w:ind w:firstLine="420" w:firstLineChars="200"/>
        <w:jc w:val="both"/>
        <w:rPr>
          <w:rFonts w:hint="eastAsia" w:hAnsi="宋体" w:cs="宋体"/>
          <w:color w:val="auto"/>
          <w:sz w:val="21"/>
          <w:szCs w:val="21"/>
          <w:highlight w:val="none"/>
        </w:rPr>
      </w:pPr>
      <w:r>
        <w:rPr>
          <w:rFonts w:hint="eastAsia" w:hAnsi="宋体" w:cs="宋体"/>
          <w:color w:val="auto"/>
          <w:sz w:val="21"/>
          <w:szCs w:val="21"/>
          <w:highlight w:val="none"/>
          <w:lang w:eastAsia="zh-CN"/>
        </w:rPr>
        <w:t>采购人</w:t>
      </w:r>
      <w:r>
        <w:rPr>
          <w:rFonts w:hint="eastAsia" w:hAnsi="宋体" w:cs="宋体"/>
          <w:color w:val="auto"/>
          <w:sz w:val="21"/>
          <w:szCs w:val="21"/>
          <w:highlight w:val="none"/>
        </w:rPr>
        <w:t>代表和代理机构工作人员协助评标委员会对投标人的资格和投标文件的完整性、合法性等进行审查。</w:t>
      </w:r>
    </w:p>
    <w:p w14:paraId="084B2DCB">
      <w:pPr>
        <w:shd w:val="clear" w:color="auto"/>
        <w:autoSpaceDE/>
        <w:autoSpaceDN/>
        <w:adjustRightInd/>
        <w:spacing w:line="500" w:lineRule="exact"/>
        <w:ind w:firstLine="420" w:firstLineChars="200"/>
        <w:jc w:val="both"/>
        <w:rPr>
          <w:rFonts w:hint="eastAsia" w:hAnsi="宋体" w:cs="宋体"/>
          <w:color w:val="auto"/>
          <w:sz w:val="21"/>
          <w:szCs w:val="21"/>
          <w:highlight w:val="none"/>
        </w:rPr>
      </w:pPr>
      <w:r>
        <w:rPr>
          <w:rFonts w:hint="eastAsia" w:hAnsi="宋体" w:cs="宋体"/>
          <w:color w:val="auto"/>
          <w:sz w:val="21"/>
          <w:szCs w:val="21"/>
          <w:highlight w:val="none"/>
        </w:rPr>
        <w:t>2.实质审查与比较</w:t>
      </w:r>
    </w:p>
    <w:p w14:paraId="0CAD0C8E">
      <w:pPr>
        <w:shd w:val="clear" w:color="auto"/>
        <w:autoSpaceDE/>
        <w:autoSpaceDN/>
        <w:adjustRightInd/>
        <w:spacing w:line="500" w:lineRule="exact"/>
        <w:ind w:firstLine="420" w:firstLineChars="200"/>
        <w:jc w:val="both"/>
        <w:rPr>
          <w:rFonts w:hint="eastAsia" w:hAnsi="宋体" w:cs="宋体"/>
          <w:color w:val="auto"/>
          <w:sz w:val="21"/>
          <w:szCs w:val="21"/>
          <w:highlight w:val="none"/>
        </w:rPr>
      </w:pPr>
      <w:r>
        <w:rPr>
          <w:rFonts w:hint="eastAsia" w:hAnsi="宋体" w:cs="宋体"/>
          <w:color w:val="auto"/>
          <w:sz w:val="21"/>
          <w:szCs w:val="21"/>
          <w:highlight w:val="none"/>
        </w:rPr>
        <w:t>（1）评标委员会审查投标文件的实质性内容是否符合招标文件的实质性要求。</w:t>
      </w:r>
    </w:p>
    <w:p w14:paraId="76A80BE4">
      <w:pPr>
        <w:shd w:val="clear" w:color="auto"/>
        <w:autoSpaceDE/>
        <w:autoSpaceDN/>
        <w:adjustRightInd/>
        <w:spacing w:line="500" w:lineRule="exact"/>
        <w:ind w:firstLine="420" w:firstLineChars="200"/>
        <w:jc w:val="both"/>
        <w:rPr>
          <w:rFonts w:hint="eastAsia" w:hAnsi="宋体" w:cs="宋体"/>
          <w:color w:val="auto"/>
          <w:sz w:val="21"/>
          <w:szCs w:val="21"/>
          <w:highlight w:val="none"/>
        </w:rPr>
      </w:pPr>
      <w:r>
        <w:rPr>
          <w:rFonts w:hint="eastAsia" w:hAnsi="宋体" w:cs="宋体"/>
          <w:color w:val="auto"/>
          <w:sz w:val="21"/>
          <w:szCs w:val="21"/>
          <w:highlight w:val="none"/>
        </w:rPr>
        <w:t>（2）评标委员会将根据投标人的投标文件进行审查、核对，如有疑问，将对投标人进行询标，投标人要向评标委员会澄清有关问题，并最终以书面形式进行答复。</w:t>
      </w:r>
    </w:p>
    <w:p w14:paraId="14FE4711">
      <w:pPr>
        <w:shd w:val="clear" w:color="auto"/>
        <w:autoSpaceDE/>
        <w:autoSpaceDN/>
        <w:adjustRightInd/>
        <w:spacing w:line="500" w:lineRule="exact"/>
        <w:ind w:firstLine="420" w:firstLineChars="200"/>
        <w:jc w:val="both"/>
        <w:rPr>
          <w:rFonts w:hint="eastAsia" w:hAnsi="宋体" w:cs="宋体"/>
          <w:color w:val="auto"/>
          <w:sz w:val="21"/>
          <w:szCs w:val="21"/>
          <w:highlight w:val="none"/>
        </w:rPr>
      </w:pPr>
      <w:r>
        <w:rPr>
          <w:rFonts w:hint="eastAsia" w:hAnsi="宋体" w:cs="宋体"/>
          <w:color w:val="auto"/>
          <w:sz w:val="21"/>
          <w:szCs w:val="21"/>
          <w:highlight w:val="none"/>
        </w:rPr>
        <w:t>投标人代表未到场或者拒绝澄清或者澄清的内容改变了投标文件的实质性内容的，评标委员会有权对该投标文件作出不利于投标人的评判。</w:t>
      </w:r>
    </w:p>
    <w:p w14:paraId="3E6F30D7">
      <w:pPr>
        <w:shd w:val="clear" w:color="auto"/>
        <w:autoSpaceDE/>
        <w:autoSpaceDN/>
        <w:adjustRightInd/>
        <w:spacing w:line="500" w:lineRule="exact"/>
        <w:ind w:firstLine="420" w:firstLineChars="200"/>
        <w:jc w:val="both"/>
        <w:rPr>
          <w:rFonts w:hint="eastAsia" w:hAnsi="宋体" w:cs="宋体"/>
          <w:color w:val="auto"/>
          <w:sz w:val="21"/>
          <w:szCs w:val="21"/>
          <w:highlight w:val="none"/>
        </w:rPr>
      </w:pPr>
      <w:r>
        <w:rPr>
          <w:rFonts w:hint="eastAsia" w:hAnsi="宋体" w:cs="宋体"/>
          <w:color w:val="auto"/>
          <w:sz w:val="21"/>
          <w:szCs w:val="21"/>
          <w:highlight w:val="none"/>
        </w:rPr>
        <w:t>（3）各投标人的技术商务得分为所有评委的有效评分的算术平均数，由指定专人进行计算复核。</w:t>
      </w:r>
    </w:p>
    <w:p w14:paraId="77BF47B0">
      <w:pPr>
        <w:shd w:val="clear" w:color="auto"/>
        <w:autoSpaceDE/>
        <w:autoSpaceDN/>
        <w:adjustRightInd/>
        <w:spacing w:line="500" w:lineRule="exact"/>
        <w:ind w:firstLine="420" w:firstLineChars="200"/>
        <w:jc w:val="both"/>
        <w:rPr>
          <w:rFonts w:hint="eastAsia" w:hAnsi="宋体" w:cs="宋体"/>
          <w:color w:val="auto"/>
          <w:sz w:val="21"/>
          <w:szCs w:val="21"/>
          <w:highlight w:val="none"/>
        </w:rPr>
      </w:pPr>
      <w:r>
        <w:rPr>
          <w:rFonts w:hint="eastAsia" w:hAnsi="宋体" w:cs="宋体"/>
          <w:color w:val="auto"/>
          <w:sz w:val="21"/>
          <w:szCs w:val="21"/>
          <w:highlight w:val="none"/>
        </w:rPr>
        <w:t>（4）代理机构工作人员协助评标委员会根据本项目的评分标准计算各投标人的投标报价得分。</w:t>
      </w:r>
    </w:p>
    <w:p w14:paraId="27950303">
      <w:pPr>
        <w:shd w:val="clear" w:color="auto"/>
        <w:autoSpaceDE/>
        <w:autoSpaceDN/>
        <w:adjustRightInd/>
        <w:spacing w:line="500" w:lineRule="exact"/>
        <w:ind w:firstLine="420" w:firstLineChars="200"/>
        <w:jc w:val="both"/>
        <w:rPr>
          <w:rFonts w:hint="eastAsia" w:hAnsi="宋体" w:cs="宋体"/>
          <w:color w:val="auto"/>
          <w:sz w:val="21"/>
          <w:szCs w:val="21"/>
          <w:highlight w:val="none"/>
        </w:rPr>
      </w:pPr>
      <w:r>
        <w:rPr>
          <w:rFonts w:hint="eastAsia" w:hAnsi="宋体" w:cs="宋体"/>
          <w:color w:val="auto"/>
          <w:sz w:val="21"/>
          <w:szCs w:val="21"/>
          <w:highlight w:val="none"/>
        </w:rPr>
        <w:t>（5）评标委员会完成评标后，评委对各部分得分汇总，计算出本项目最终得分、评标价等。评标委员会按评标原则推荐中标候选人同时起草评标报告。</w:t>
      </w:r>
    </w:p>
    <w:p w14:paraId="3E8C4F5D">
      <w:pPr>
        <w:shd w:val="clear" w:color="auto"/>
        <w:autoSpaceDE/>
        <w:autoSpaceDN/>
        <w:adjustRightInd/>
        <w:spacing w:line="500" w:lineRule="exact"/>
        <w:ind w:firstLine="420" w:firstLineChars="200"/>
        <w:jc w:val="both"/>
        <w:rPr>
          <w:rFonts w:hint="eastAsia" w:hAnsi="宋体" w:cs="宋体"/>
          <w:color w:val="auto"/>
          <w:sz w:val="21"/>
          <w:szCs w:val="21"/>
          <w:highlight w:val="none"/>
        </w:rPr>
      </w:pPr>
      <w:r>
        <w:rPr>
          <w:rFonts w:hint="eastAsia" w:hAnsi="宋体" w:cs="宋体"/>
          <w:color w:val="auto"/>
          <w:sz w:val="21"/>
          <w:szCs w:val="21"/>
          <w:highlight w:val="none"/>
        </w:rPr>
        <w:t>（四）澄清问题的形式</w:t>
      </w:r>
    </w:p>
    <w:p w14:paraId="7CCF0A8B">
      <w:pPr>
        <w:shd w:val="clear" w:color="auto"/>
        <w:autoSpaceDE/>
        <w:autoSpaceDN/>
        <w:adjustRightInd/>
        <w:spacing w:line="500" w:lineRule="exact"/>
        <w:ind w:firstLine="420" w:firstLineChars="200"/>
        <w:jc w:val="both"/>
        <w:rPr>
          <w:rFonts w:hint="eastAsia" w:hAnsi="宋体" w:cs="宋体"/>
          <w:color w:val="auto"/>
          <w:sz w:val="21"/>
          <w:szCs w:val="21"/>
          <w:highlight w:val="none"/>
        </w:rPr>
      </w:pPr>
      <w:r>
        <w:rPr>
          <w:rFonts w:hint="eastAsia" w:hAnsi="宋体" w:cs="宋体"/>
          <w:color w:val="auto"/>
          <w:sz w:val="21"/>
          <w:szCs w:val="21"/>
          <w:highlight w:val="none"/>
        </w:rPr>
        <w:t>对投标文件中含义不明确、同类问题表述不一致或者有明显文字和计算错误的内容，评标委员会可要求投标人作出必要的澄清、说明或者纠正。投标人的澄清、说明或者补正应当采用书面形式，由其授权代表签字或盖章确认，并不得超出投标文件的范围或者改变投标文件的实质性内容。</w:t>
      </w:r>
    </w:p>
    <w:p w14:paraId="75F9DA18">
      <w:pPr>
        <w:shd w:val="clear" w:color="auto"/>
        <w:autoSpaceDE/>
        <w:autoSpaceDN/>
        <w:adjustRightInd/>
        <w:spacing w:line="500" w:lineRule="exact"/>
        <w:ind w:firstLine="420" w:firstLineChars="200"/>
        <w:jc w:val="both"/>
        <w:rPr>
          <w:rFonts w:hint="eastAsia" w:hAnsi="宋体" w:cs="宋体"/>
          <w:color w:val="auto"/>
          <w:sz w:val="21"/>
          <w:szCs w:val="21"/>
          <w:highlight w:val="none"/>
        </w:rPr>
      </w:pPr>
      <w:r>
        <w:rPr>
          <w:rFonts w:hint="eastAsia" w:hAnsi="宋体" w:cs="宋体"/>
          <w:color w:val="auto"/>
          <w:sz w:val="21"/>
          <w:szCs w:val="21"/>
          <w:highlight w:val="none"/>
        </w:rPr>
        <w:t>（五）错误修正</w:t>
      </w:r>
    </w:p>
    <w:p w14:paraId="2F34A225">
      <w:pPr>
        <w:shd w:val="clear" w:color="auto"/>
        <w:autoSpaceDE/>
        <w:autoSpaceDN/>
        <w:adjustRightInd/>
        <w:spacing w:line="500" w:lineRule="exact"/>
        <w:ind w:firstLine="420" w:firstLineChars="200"/>
        <w:jc w:val="both"/>
        <w:rPr>
          <w:rFonts w:hint="eastAsia" w:hAnsi="宋体" w:cs="宋体"/>
          <w:color w:val="auto"/>
          <w:sz w:val="21"/>
          <w:szCs w:val="21"/>
          <w:highlight w:val="none"/>
        </w:rPr>
      </w:pPr>
      <w:r>
        <w:rPr>
          <w:rFonts w:hint="eastAsia" w:hAnsi="宋体" w:cs="宋体"/>
          <w:color w:val="auto"/>
          <w:sz w:val="21"/>
          <w:szCs w:val="21"/>
          <w:highlight w:val="none"/>
        </w:rPr>
        <w:t>投标文件如果出现计算或表达上的错误，修正错误的原则如下：</w:t>
      </w:r>
    </w:p>
    <w:p w14:paraId="5CB7ACB1">
      <w:pPr>
        <w:shd w:val="clear" w:color="auto"/>
        <w:autoSpaceDE/>
        <w:autoSpaceDN/>
        <w:adjustRightInd/>
        <w:spacing w:line="500" w:lineRule="exact"/>
        <w:ind w:firstLine="420" w:firstLineChars="200"/>
        <w:jc w:val="both"/>
        <w:rPr>
          <w:rFonts w:hint="eastAsia" w:hAnsi="宋体" w:cs="宋体"/>
          <w:color w:val="auto"/>
          <w:sz w:val="21"/>
          <w:szCs w:val="21"/>
          <w:highlight w:val="none"/>
        </w:rPr>
      </w:pPr>
      <w:r>
        <w:rPr>
          <w:rFonts w:hint="eastAsia" w:hAnsi="宋体" w:cs="宋体"/>
          <w:color w:val="auto"/>
          <w:sz w:val="21"/>
          <w:szCs w:val="21"/>
          <w:highlight w:val="none"/>
        </w:rPr>
        <w:t>1.开标（报价）一览表总价与投标报价明细表汇总数不一致的，以开标（报价）一览表为准；</w:t>
      </w:r>
    </w:p>
    <w:p w14:paraId="613F72F6">
      <w:pPr>
        <w:shd w:val="clear" w:color="auto"/>
        <w:autoSpaceDE/>
        <w:autoSpaceDN/>
        <w:adjustRightInd/>
        <w:spacing w:line="500" w:lineRule="exact"/>
        <w:ind w:firstLine="420" w:firstLineChars="200"/>
        <w:jc w:val="both"/>
        <w:rPr>
          <w:rFonts w:hint="eastAsia" w:hAnsi="宋体" w:cs="宋体"/>
          <w:color w:val="auto"/>
          <w:sz w:val="21"/>
          <w:szCs w:val="21"/>
          <w:highlight w:val="none"/>
        </w:rPr>
      </w:pPr>
      <w:r>
        <w:rPr>
          <w:rFonts w:hint="eastAsia" w:hAnsi="宋体" w:cs="宋体"/>
          <w:color w:val="auto"/>
          <w:sz w:val="21"/>
          <w:szCs w:val="21"/>
          <w:highlight w:val="none"/>
        </w:rPr>
        <w:t>2.投标文件的大写金额和小写金额不一致的，以大写金额为准；</w:t>
      </w:r>
    </w:p>
    <w:p w14:paraId="3A954C9B">
      <w:pPr>
        <w:shd w:val="clear" w:color="auto"/>
        <w:autoSpaceDE/>
        <w:autoSpaceDN/>
        <w:adjustRightInd/>
        <w:spacing w:line="500" w:lineRule="exact"/>
        <w:ind w:firstLine="420" w:firstLineChars="200"/>
        <w:jc w:val="both"/>
        <w:rPr>
          <w:rFonts w:hint="eastAsia" w:hAnsi="宋体" w:cs="宋体"/>
          <w:color w:val="auto"/>
          <w:sz w:val="21"/>
          <w:szCs w:val="21"/>
          <w:highlight w:val="none"/>
        </w:rPr>
      </w:pPr>
      <w:r>
        <w:rPr>
          <w:rFonts w:hint="eastAsia" w:hAnsi="宋体" w:cs="宋体"/>
          <w:color w:val="auto"/>
          <w:sz w:val="21"/>
          <w:szCs w:val="21"/>
          <w:highlight w:val="none"/>
        </w:rPr>
        <w:t>3.总价金额与按单价汇总金额不一致的，以单价金额计算结果为准；</w:t>
      </w:r>
    </w:p>
    <w:p w14:paraId="3FD45FD6">
      <w:pPr>
        <w:shd w:val="clear" w:color="auto"/>
        <w:autoSpaceDE/>
        <w:autoSpaceDN/>
        <w:adjustRightInd/>
        <w:spacing w:line="500" w:lineRule="exact"/>
        <w:ind w:firstLine="420" w:firstLineChars="200"/>
        <w:jc w:val="both"/>
        <w:rPr>
          <w:rFonts w:hint="eastAsia" w:hAnsi="宋体" w:cs="宋体"/>
          <w:color w:val="auto"/>
          <w:sz w:val="21"/>
          <w:szCs w:val="21"/>
          <w:highlight w:val="none"/>
        </w:rPr>
      </w:pPr>
      <w:r>
        <w:rPr>
          <w:rFonts w:hint="eastAsia" w:hAnsi="宋体" w:cs="宋体"/>
          <w:color w:val="auto"/>
          <w:sz w:val="21"/>
          <w:szCs w:val="21"/>
          <w:highlight w:val="none"/>
        </w:rPr>
        <w:t>4.对不同文字文本投标文件的解释发生异议的，以中文文本为准。</w:t>
      </w:r>
    </w:p>
    <w:p w14:paraId="5DFC4AA5">
      <w:pPr>
        <w:shd w:val="clear" w:color="auto"/>
        <w:autoSpaceDE/>
        <w:autoSpaceDN/>
        <w:adjustRightInd/>
        <w:spacing w:line="500" w:lineRule="exact"/>
        <w:ind w:firstLine="420" w:firstLineChars="200"/>
        <w:jc w:val="both"/>
        <w:rPr>
          <w:rFonts w:hint="eastAsia" w:hAnsi="宋体" w:cs="宋体"/>
          <w:color w:val="auto"/>
          <w:sz w:val="21"/>
          <w:szCs w:val="21"/>
          <w:highlight w:val="none"/>
        </w:rPr>
      </w:pPr>
      <w:r>
        <w:rPr>
          <w:rFonts w:hint="eastAsia" w:hAnsi="宋体" w:cs="宋体"/>
          <w:color w:val="auto"/>
          <w:sz w:val="21"/>
          <w:szCs w:val="21"/>
          <w:highlight w:val="none"/>
        </w:rPr>
        <w:t>按上述修正错误的原则及方法调整或修正投标文件的投标报价，投标人同意并签字确认后，调整后的投标报价对投标人具有约束作用。如果投标人不接受修正后的报价，则其投标将作为无效投标处理。</w:t>
      </w:r>
    </w:p>
    <w:p w14:paraId="3213C4F5">
      <w:pPr>
        <w:shd w:val="clear" w:color="auto"/>
        <w:autoSpaceDE/>
        <w:autoSpaceDN/>
        <w:adjustRightInd/>
        <w:spacing w:line="500" w:lineRule="exact"/>
        <w:ind w:firstLine="420" w:firstLineChars="200"/>
        <w:jc w:val="both"/>
        <w:rPr>
          <w:rFonts w:hint="eastAsia" w:hAnsi="宋体" w:cs="宋体"/>
          <w:color w:val="auto"/>
          <w:sz w:val="21"/>
          <w:szCs w:val="21"/>
          <w:highlight w:val="none"/>
        </w:rPr>
      </w:pPr>
      <w:r>
        <w:rPr>
          <w:rFonts w:hint="eastAsia" w:hAnsi="宋体" w:cs="宋体"/>
          <w:color w:val="auto"/>
          <w:sz w:val="21"/>
          <w:szCs w:val="21"/>
          <w:highlight w:val="none"/>
        </w:rPr>
        <w:t>（六）评标原则和评标办法</w:t>
      </w:r>
    </w:p>
    <w:p w14:paraId="6CBED007">
      <w:pPr>
        <w:shd w:val="clear" w:color="auto"/>
        <w:autoSpaceDE/>
        <w:autoSpaceDN/>
        <w:adjustRightInd/>
        <w:spacing w:line="500" w:lineRule="exact"/>
        <w:ind w:firstLine="420" w:firstLineChars="200"/>
        <w:jc w:val="both"/>
        <w:rPr>
          <w:rFonts w:hint="eastAsia" w:hAnsi="宋体" w:cs="宋体"/>
          <w:color w:val="auto"/>
          <w:sz w:val="21"/>
          <w:szCs w:val="21"/>
          <w:highlight w:val="none"/>
        </w:rPr>
      </w:pPr>
      <w:r>
        <w:rPr>
          <w:rFonts w:hint="eastAsia" w:hAnsi="宋体" w:cs="宋体"/>
          <w:color w:val="auto"/>
          <w:sz w:val="21"/>
          <w:szCs w:val="21"/>
          <w:highlight w:val="none"/>
        </w:rPr>
        <w:t>1.评标原则。评标委员会必须公平、公正、客观，不带任何倾向性和启发性，不得向外界透露任何与评标有关的内容，任何单位和个人不得干扰、影响评标的正常进行，评标委员会及有关工作人员不得私下与投标人接触。</w:t>
      </w:r>
    </w:p>
    <w:p w14:paraId="76E44CB4">
      <w:pPr>
        <w:shd w:val="clear" w:color="auto"/>
        <w:autoSpaceDE/>
        <w:autoSpaceDN/>
        <w:adjustRightInd/>
        <w:spacing w:line="500" w:lineRule="exact"/>
        <w:ind w:firstLine="420" w:firstLineChars="200"/>
        <w:jc w:val="both"/>
        <w:rPr>
          <w:rFonts w:hint="eastAsia" w:hAnsi="宋体" w:cs="宋体"/>
          <w:color w:val="auto"/>
          <w:sz w:val="21"/>
          <w:szCs w:val="21"/>
          <w:highlight w:val="none"/>
        </w:rPr>
      </w:pPr>
      <w:r>
        <w:rPr>
          <w:rFonts w:hint="eastAsia" w:hAnsi="宋体" w:cs="宋体"/>
          <w:color w:val="auto"/>
          <w:sz w:val="21"/>
          <w:szCs w:val="21"/>
          <w:highlight w:val="none"/>
        </w:rPr>
        <w:t>2.评标办法。具体评标内容及评分标准等详见《第四章：评标办法及评分标准》。</w:t>
      </w:r>
    </w:p>
    <w:p w14:paraId="348FFCC7">
      <w:pPr>
        <w:shd w:val="clear" w:color="auto"/>
        <w:autoSpaceDE/>
        <w:autoSpaceDN/>
        <w:adjustRightInd/>
        <w:spacing w:line="500" w:lineRule="exact"/>
        <w:ind w:firstLine="420" w:firstLineChars="200"/>
        <w:jc w:val="both"/>
        <w:rPr>
          <w:rFonts w:hint="eastAsia" w:hAnsi="宋体" w:cs="宋体"/>
          <w:color w:val="auto"/>
          <w:sz w:val="21"/>
          <w:szCs w:val="21"/>
          <w:highlight w:val="none"/>
        </w:rPr>
      </w:pPr>
      <w:r>
        <w:rPr>
          <w:rFonts w:hint="eastAsia" w:hAnsi="宋体" w:cs="宋体"/>
          <w:color w:val="auto"/>
          <w:sz w:val="21"/>
          <w:szCs w:val="21"/>
          <w:highlight w:val="none"/>
        </w:rPr>
        <w:t>（七）评标过程的监控</w:t>
      </w:r>
    </w:p>
    <w:p w14:paraId="6D4C09BA">
      <w:pPr>
        <w:shd w:val="clear" w:color="auto"/>
        <w:autoSpaceDE/>
        <w:autoSpaceDN/>
        <w:adjustRightInd/>
        <w:spacing w:line="500" w:lineRule="exact"/>
        <w:ind w:firstLine="420" w:firstLineChars="200"/>
        <w:jc w:val="both"/>
        <w:rPr>
          <w:rFonts w:hint="eastAsia" w:hAnsi="宋体" w:cs="宋体"/>
          <w:color w:val="auto"/>
          <w:sz w:val="21"/>
          <w:szCs w:val="21"/>
          <w:highlight w:val="none"/>
        </w:rPr>
      </w:pPr>
      <w:r>
        <w:rPr>
          <w:rFonts w:hint="eastAsia" w:hAnsi="宋体" w:cs="宋体"/>
          <w:color w:val="auto"/>
          <w:sz w:val="21"/>
          <w:szCs w:val="21"/>
          <w:highlight w:val="none"/>
        </w:rPr>
        <w:t>本项目评标过程实行全程录音、录像监控，投标人在评标过程中所进行的试图影响评标结果的不公正活动，可能导致其投标被拒绝。</w:t>
      </w:r>
    </w:p>
    <w:p w14:paraId="4F55D2A4">
      <w:pPr>
        <w:shd w:val="clear" w:color="auto"/>
        <w:autoSpaceDE/>
        <w:autoSpaceDN/>
        <w:adjustRightInd/>
        <w:spacing w:line="500" w:lineRule="exact"/>
        <w:ind w:firstLine="422" w:firstLineChars="200"/>
        <w:jc w:val="both"/>
        <w:rPr>
          <w:rFonts w:hint="eastAsia" w:hAnsi="宋体" w:cs="宋体"/>
          <w:b/>
          <w:bCs/>
          <w:color w:val="auto"/>
          <w:sz w:val="21"/>
          <w:szCs w:val="21"/>
          <w:highlight w:val="none"/>
        </w:rPr>
      </w:pPr>
      <w:r>
        <w:rPr>
          <w:rFonts w:hint="eastAsia" w:hAnsi="宋体" w:cs="宋体"/>
          <w:b/>
          <w:bCs/>
          <w:color w:val="auto"/>
          <w:sz w:val="21"/>
          <w:szCs w:val="21"/>
          <w:highlight w:val="none"/>
        </w:rPr>
        <w:t>（八）中止电子交易活动的情形</w:t>
      </w:r>
    </w:p>
    <w:p w14:paraId="42A65F87">
      <w:pPr>
        <w:shd w:val="clear" w:color="auto"/>
        <w:spacing w:line="500" w:lineRule="exact"/>
        <w:ind w:firstLine="420" w:firstLineChars="200"/>
        <w:jc w:val="both"/>
        <w:rPr>
          <w:rFonts w:hint="eastAsia" w:hAnsi="宋体" w:cs="宋体"/>
          <w:color w:val="auto"/>
          <w:sz w:val="21"/>
          <w:szCs w:val="21"/>
          <w:highlight w:val="none"/>
        </w:rPr>
      </w:pPr>
      <w:r>
        <w:rPr>
          <w:rFonts w:hint="eastAsia" w:hAnsi="宋体" w:cs="宋体"/>
          <w:color w:val="auto"/>
          <w:sz w:val="21"/>
          <w:szCs w:val="21"/>
          <w:highlight w:val="none"/>
        </w:rPr>
        <w:t>采购过程中出现以下情形，导致电子交易平台无法正常运行，或者无法保证电子交易的公平、公正和安全时，中止电子交易活动：</w:t>
      </w:r>
    </w:p>
    <w:p w14:paraId="02985FBF">
      <w:pPr>
        <w:shd w:val="clear" w:color="auto"/>
        <w:spacing w:line="500" w:lineRule="exact"/>
        <w:ind w:firstLine="420" w:firstLineChars="200"/>
        <w:jc w:val="both"/>
        <w:rPr>
          <w:rFonts w:hint="eastAsia" w:hAnsi="宋体" w:cs="宋体"/>
          <w:color w:val="auto"/>
          <w:sz w:val="21"/>
          <w:szCs w:val="21"/>
          <w:highlight w:val="none"/>
        </w:rPr>
      </w:pPr>
      <w:r>
        <w:rPr>
          <w:rFonts w:hint="eastAsia" w:hAnsi="宋体" w:cs="宋体"/>
          <w:color w:val="auto"/>
          <w:sz w:val="21"/>
          <w:szCs w:val="21"/>
          <w:highlight w:val="none"/>
        </w:rPr>
        <w:t>1.电子交易平台发生故障而无法登录访问的；</w:t>
      </w:r>
    </w:p>
    <w:p w14:paraId="4CB33465">
      <w:pPr>
        <w:shd w:val="clear" w:color="auto"/>
        <w:spacing w:line="500" w:lineRule="exact"/>
        <w:ind w:firstLine="420" w:firstLineChars="200"/>
        <w:jc w:val="both"/>
        <w:rPr>
          <w:rFonts w:hint="eastAsia" w:hAnsi="宋体" w:cs="宋体"/>
          <w:color w:val="auto"/>
          <w:sz w:val="21"/>
          <w:szCs w:val="21"/>
          <w:highlight w:val="none"/>
        </w:rPr>
      </w:pPr>
      <w:r>
        <w:rPr>
          <w:rFonts w:hint="eastAsia" w:hAnsi="宋体" w:cs="宋体"/>
          <w:color w:val="auto"/>
          <w:sz w:val="21"/>
          <w:szCs w:val="21"/>
          <w:highlight w:val="none"/>
        </w:rPr>
        <w:t>2.电子交易平台应用或数据库出现错误，不能进行正常操作的；</w:t>
      </w:r>
    </w:p>
    <w:p w14:paraId="06B68658">
      <w:pPr>
        <w:shd w:val="clear" w:color="auto"/>
        <w:spacing w:line="500" w:lineRule="exact"/>
        <w:ind w:firstLine="420" w:firstLineChars="200"/>
        <w:jc w:val="both"/>
        <w:rPr>
          <w:rFonts w:hint="eastAsia" w:hAnsi="宋体" w:cs="宋体"/>
          <w:color w:val="auto"/>
          <w:sz w:val="21"/>
          <w:szCs w:val="21"/>
          <w:highlight w:val="none"/>
        </w:rPr>
      </w:pPr>
      <w:r>
        <w:rPr>
          <w:rFonts w:hint="eastAsia" w:hAnsi="宋体" w:cs="宋体"/>
          <w:color w:val="auto"/>
          <w:sz w:val="21"/>
          <w:szCs w:val="21"/>
          <w:highlight w:val="none"/>
        </w:rPr>
        <w:t>3.电子交易平台发现严重安全漏洞，有潜在泄密危险的；</w:t>
      </w:r>
    </w:p>
    <w:p w14:paraId="7A89CF9B">
      <w:pPr>
        <w:shd w:val="clear" w:color="auto"/>
        <w:spacing w:line="500" w:lineRule="exact"/>
        <w:ind w:firstLine="420" w:firstLineChars="200"/>
        <w:jc w:val="both"/>
        <w:rPr>
          <w:rFonts w:hint="eastAsia" w:hAnsi="宋体" w:cs="宋体"/>
          <w:color w:val="auto"/>
          <w:sz w:val="21"/>
          <w:szCs w:val="21"/>
          <w:highlight w:val="none"/>
        </w:rPr>
      </w:pPr>
      <w:r>
        <w:rPr>
          <w:rFonts w:hint="eastAsia" w:hAnsi="宋体" w:cs="宋体"/>
          <w:color w:val="auto"/>
          <w:sz w:val="21"/>
          <w:szCs w:val="21"/>
          <w:highlight w:val="none"/>
        </w:rPr>
        <w:t>4.病毒发作导致不能进行正常操作的；</w:t>
      </w:r>
    </w:p>
    <w:p w14:paraId="29E34EFB">
      <w:pPr>
        <w:shd w:val="clear" w:color="auto"/>
        <w:spacing w:line="500" w:lineRule="exact"/>
        <w:ind w:firstLine="420" w:firstLineChars="200"/>
        <w:jc w:val="both"/>
        <w:rPr>
          <w:rFonts w:hint="eastAsia" w:hAnsi="宋体" w:cs="宋体"/>
          <w:color w:val="auto"/>
          <w:sz w:val="21"/>
          <w:szCs w:val="21"/>
          <w:highlight w:val="none"/>
        </w:rPr>
      </w:pPr>
      <w:r>
        <w:rPr>
          <w:rFonts w:hint="eastAsia" w:hAnsi="宋体" w:cs="宋体"/>
          <w:color w:val="auto"/>
          <w:sz w:val="21"/>
          <w:szCs w:val="21"/>
          <w:highlight w:val="none"/>
        </w:rPr>
        <w:t>5.其他无法保证电子交易的公平、公正和安全的情况。</w:t>
      </w:r>
    </w:p>
    <w:p w14:paraId="0FAD3962">
      <w:pPr>
        <w:shd w:val="clear" w:color="auto"/>
        <w:autoSpaceDE/>
        <w:autoSpaceDN/>
        <w:adjustRightInd/>
        <w:spacing w:line="500" w:lineRule="exact"/>
        <w:ind w:firstLine="420" w:firstLineChars="200"/>
        <w:jc w:val="both"/>
        <w:rPr>
          <w:rFonts w:hint="eastAsia" w:hAnsi="宋体" w:cs="宋体"/>
          <w:color w:val="auto"/>
          <w:sz w:val="21"/>
          <w:szCs w:val="21"/>
          <w:highlight w:val="none"/>
        </w:rPr>
      </w:pPr>
      <w:r>
        <w:rPr>
          <w:rFonts w:hint="eastAsia" w:hAnsi="宋体" w:cs="宋体"/>
          <w:color w:val="auto"/>
          <w:sz w:val="21"/>
          <w:szCs w:val="21"/>
          <w:highlight w:val="none"/>
        </w:rPr>
        <w:t>出现前款规定情形，不影响采购公平、公正性的，采购组织机构可以待上述情形消除后继续组织电子交易活动，也可以决定某些环节以纸质形式进行评审；影响或可能影响采购公平、公正性的，应当重新采购。</w:t>
      </w:r>
    </w:p>
    <w:p w14:paraId="6EA482F1">
      <w:pPr>
        <w:shd w:val="clear" w:color="auto"/>
        <w:autoSpaceDE/>
        <w:autoSpaceDN/>
        <w:adjustRightInd/>
        <w:spacing w:line="500" w:lineRule="exact"/>
        <w:ind w:firstLine="422" w:firstLineChars="200"/>
        <w:jc w:val="both"/>
        <w:rPr>
          <w:rFonts w:hint="eastAsia" w:hAnsi="宋体" w:cs="宋体"/>
          <w:b/>
          <w:color w:val="auto"/>
          <w:sz w:val="21"/>
          <w:szCs w:val="21"/>
          <w:highlight w:val="none"/>
        </w:rPr>
      </w:pPr>
      <w:r>
        <w:rPr>
          <w:rFonts w:hint="eastAsia" w:hAnsi="宋体" w:cs="宋体"/>
          <w:b/>
          <w:color w:val="auto"/>
          <w:sz w:val="21"/>
          <w:szCs w:val="21"/>
          <w:highlight w:val="none"/>
        </w:rPr>
        <w:t>六、定标</w:t>
      </w:r>
    </w:p>
    <w:p w14:paraId="63836180">
      <w:pPr>
        <w:shd w:val="clear" w:color="auto"/>
        <w:autoSpaceDE/>
        <w:autoSpaceDN/>
        <w:adjustRightInd/>
        <w:spacing w:line="500" w:lineRule="exact"/>
        <w:ind w:firstLine="420" w:firstLineChars="200"/>
        <w:jc w:val="both"/>
        <w:rPr>
          <w:rFonts w:hint="eastAsia" w:hAnsi="宋体" w:cs="宋体"/>
          <w:color w:val="auto"/>
          <w:sz w:val="21"/>
          <w:szCs w:val="21"/>
          <w:highlight w:val="none"/>
        </w:rPr>
      </w:pPr>
      <w:r>
        <w:rPr>
          <w:rFonts w:hint="eastAsia" w:hAnsi="宋体" w:cs="宋体"/>
          <w:color w:val="auto"/>
          <w:sz w:val="21"/>
          <w:szCs w:val="21"/>
          <w:highlight w:val="none"/>
        </w:rPr>
        <w:t>（一）确定中标人。本项目由</w:t>
      </w:r>
      <w:r>
        <w:rPr>
          <w:rFonts w:hint="eastAsia" w:hAnsi="宋体" w:cs="宋体"/>
          <w:color w:val="auto"/>
          <w:sz w:val="21"/>
          <w:szCs w:val="21"/>
          <w:highlight w:val="none"/>
          <w:lang w:eastAsia="zh-CN"/>
        </w:rPr>
        <w:t>采购人</w:t>
      </w:r>
      <w:r>
        <w:rPr>
          <w:rFonts w:hint="eastAsia" w:hAnsi="宋体" w:cs="宋体"/>
          <w:color w:val="auto"/>
          <w:sz w:val="21"/>
          <w:szCs w:val="21"/>
          <w:highlight w:val="none"/>
        </w:rPr>
        <w:t>（或</w:t>
      </w:r>
      <w:r>
        <w:rPr>
          <w:rFonts w:hint="eastAsia" w:hAnsi="宋体" w:cs="宋体"/>
          <w:color w:val="auto"/>
          <w:sz w:val="21"/>
          <w:szCs w:val="21"/>
          <w:highlight w:val="none"/>
          <w:lang w:eastAsia="zh-CN"/>
        </w:rPr>
        <w:t>采购人</w:t>
      </w:r>
      <w:r>
        <w:rPr>
          <w:rFonts w:hint="eastAsia" w:hAnsi="宋体" w:cs="宋体"/>
          <w:color w:val="auto"/>
          <w:sz w:val="21"/>
          <w:szCs w:val="21"/>
          <w:highlight w:val="none"/>
        </w:rPr>
        <w:t>事先授权评标委员会）确定中标人。</w:t>
      </w:r>
    </w:p>
    <w:p w14:paraId="4F02D74F">
      <w:pPr>
        <w:shd w:val="clear" w:color="auto"/>
        <w:autoSpaceDE/>
        <w:autoSpaceDN/>
        <w:adjustRightInd/>
        <w:spacing w:line="500" w:lineRule="exact"/>
        <w:ind w:firstLine="420" w:firstLineChars="200"/>
        <w:jc w:val="both"/>
        <w:rPr>
          <w:rFonts w:hint="eastAsia" w:hAnsi="宋体" w:cs="宋体"/>
          <w:color w:val="auto"/>
          <w:sz w:val="21"/>
          <w:szCs w:val="21"/>
          <w:highlight w:val="none"/>
        </w:rPr>
      </w:pPr>
      <w:r>
        <w:rPr>
          <w:rFonts w:hint="eastAsia" w:hAnsi="宋体" w:cs="宋体"/>
          <w:color w:val="auto"/>
          <w:sz w:val="21"/>
          <w:szCs w:val="21"/>
          <w:highlight w:val="none"/>
        </w:rPr>
        <w:t>1.采购代理机构在评标结束后2个工作日内将评标报告交</w:t>
      </w:r>
      <w:r>
        <w:rPr>
          <w:rFonts w:hint="eastAsia" w:hAnsi="宋体" w:cs="宋体"/>
          <w:color w:val="auto"/>
          <w:sz w:val="21"/>
          <w:szCs w:val="21"/>
          <w:highlight w:val="none"/>
          <w:lang w:eastAsia="zh-CN"/>
        </w:rPr>
        <w:t>采购人</w:t>
      </w:r>
      <w:r>
        <w:rPr>
          <w:rFonts w:hint="eastAsia" w:hAnsi="宋体" w:cs="宋体"/>
          <w:color w:val="auto"/>
          <w:sz w:val="21"/>
          <w:szCs w:val="21"/>
          <w:highlight w:val="none"/>
        </w:rPr>
        <w:t>确认。</w:t>
      </w:r>
    </w:p>
    <w:p w14:paraId="0CE850F9">
      <w:pPr>
        <w:shd w:val="clear" w:color="auto"/>
        <w:autoSpaceDE/>
        <w:autoSpaceDN/>
        <w:adjustRightInd/>
        <w:spacing w:line="500" w:lineRule="exact"/>
        <w:ind w:firstLine="420" w:firstLineChars="200"/>
        <w:jc w:val="both"/>
        <w:rPr>
          <w:rFonts w:hint="eastAsia" w:hAnsi="宋体" w:cs="宋体"/>
          <w:color w:val="auto"/>
          <w:sz w:val="21"/>
          <w:szCs w:val="21"/>
          <w:highlight w:val="none"/>
        </w:rPr>
      </w:pPr>
      <w:r>
        <w:rPr>
          <w:rFonts w:hint="eastAsia" w:hAnsi="宋体" w:cs="宋体"/>
          <w:color w:val="auto"/>
          <w:sz w:val="21"/>
          <w:szCs w:val="21"/>
          <w:highlight w:val="none"/>
        </w:rPr>
        <w:t>2.投标人对评标结果无异议的，</w:t>
      </w:r>
      <w:r>
        <w:rPr>
          <w:rFonts w:hint="eastAsia" w:hAnsi="宋体" w:cs="宋体"/>
          <w:color w:val="auto"/>
          <w:sz w:val="21"/>
          <w:szCs w:val="21"/>
          <w:highlight w:val="none"/>
          <w:lang w:eastAsia="zh-CN"/>
        </w:rPr>
        <w:t>采购人</w:t>
      </w:r>
      <w:r>
        <w:rPr>
          <w:rFonts w:hint="eastAsia" w:hAnsi="宋体" w:cs="宋体"/>
          <w:color w:val="auto"/>
          <w:sz w:val="21"/>
          <w:szCs w:val="21"/>
          <w:highlight w:val="none"/>
        </w:rPr>
        <w:t>应在收到评标报告后5个工作日内对评标结果进行确认。如有投标人对评标结果提出质疑的，</w:t>
      </w:r>
      <w:r>
        <w:rPr>
          <w:rFonts w:hint="eastAsia" w:hAnsi="宋体" w:cs="宋体"/>
          <w:color w:val="auto"/>
          <w:sz w:val="21"/>
          <w:szCs w:val="21"/>
          <w:highlight w:val="none"/>
          <w:lang w:eastAsia="zh-CN"/>
        </w:rPr>
        <w:t>采购人</w:t>
      </w:r>
      <w:r>
        <w:rPr>
          <w:rFonts w:hint="eastAsia" w:hAnsi="宋体" w:cs="宋体"/>
          <w:color w:val="auto"/>
          <w:sz w:val="21"/>
          <w:szCs w:val="21"/>
          <w:highlight w:val="none"/>
        </w:rPr>
        <w:t>可在质疑处理完毕后确定中标人。</w:t>
      </w:r>
    </w:p>
    <w:p w14:paraId="1F958ECF">
      <w:pPr>
        <w:shd w:val="clear" w:color="auto"/>
        <w:autoSpaceDE/>
        <w:autoSpaceDN/>
        <w:adjustRightInd/>
        <w:spacing w:line="500" w:lineRule="exact"/>
        <w:ind w:firstLine="420" w:firstLineChars="200"/>
        <w:jc w:val="both"/>
        <w:rPr>
          <w:rFonts w:hint="eastAsia" w:hAnsi="宋体" w:cs="宋体"/>
          <w:color w:val="auto"/>
          <w:sz w:val="21"/>
          <w:szCs w:val="21"/>
          <w:highlight w:val="none"/>
        </w:rPr>
      </w:pPr>
      <w:r>
        <w:rPr>
          <w:rFonts w:hint="eastAsia" w:hAnsi="宋体" w:cs="宋体"/>
          <w:color w:val="auto"/>
          <w:sz w:val="21"/>
          <w:szCs w:val="21"/>
          <w:highlight w:val="none"/>
        </w:rPr>
        <w:t>3.中标结果公示期：1个工作日。</w:t>
      </w:r>
    </w:p>
    <w:p w14:paraId="08A4D47B">
      <w:pPr>
        <w:shd w:val="clear" w:color="auto"/>
        <w:autoSpaceDE/>
        <w:autoSpaceDN/>
        <w:adjustRightInd/>
        <w:spacing w:line="500" w:lineRule="exact"/>
        <w:ind w:firstLine="420" w:firstLineChars="200"/>
        <w:jc w:val="both"/>
        <w:rPr>
          <w:rFonts w:hint="eastAsia" w:hAnsi="宋体" w:cs="宋体"/>
          <w:color w:val="auto"/>
          <w:sz w:val="21"/>
          <w:szCs w:val="21"/>
          <w:highlight w:val="none"/>
        </w:rPr>
      </w:pPr>
      <w:r>
        <w:rPr>
          <w:rFonts w:hint="eastAsia" w:hAnsi="宋体" w:cs="宋体"/>
          <w:color w:val="auto"/>
          <w:sz w:val="21"/>
          <w:szCs w:val="21"/>
          <w:highlight w:val="none"/>
        </w:rPr>
        <w:t>4.中标结果公示的同时采购代理机构以书面形式发出《中标通知书》。</w:t>
      </w:r>
    </w:p>
    <w:p w14:paraId="44681BAD">
      <w:pPr>
        <w:shd w:val="clear" w:color="auto"/>
        <w:autoSpaceDE/>
        <w:autoSpaceDN/>
        <w:adjustRightInd/>
        <w:spacing w:line="500" w:lineRule="exact"/>
        <w:ind w:firstLine="422" w:firstLineChars="200"/>
        <w:jc w:val="both"/>
        <w:rPr>
          <w:rFonts w:hint="eastAsia" w:hAnsi="宋体" w:cs="宋体"/>
          <w:b/>
          <w:color w:val="auto"/>
          <w:sz w:val="21"/>
          <w:szCs w:val="21"/>
          <w:highlight w:val="none"/>
        </w:rPr>
      </w:pPr>
      <w:r>
        <w:rPr>
          <w:rFonts w:hint="eastAsia" w:hAnsi="宋体" w:cs="宋体"/>
          <w:b/>
          <w:color w:val="auto"/>
          <w:sz w:val="21"/>
          <w:szCs w:val="21"/>
          <w:highlight w:val="none"/>
        </w:rPr>
        <w:t>七、合同授予</w:t>
      </w:r>
    </w:p>
    <w:p w14:paraId="1BB1D6A9">
      <w:pPr>
        <w:pStyle w:val="10"/>
        <w:shd w:val="clear" w:color="auto"/>
        <w:autoSpaceDE/>
        <w:autoSpaceDN/>
        <w:adjustRightInd w:val="0"/>
        <w:snapToGrid w:val="0"/>
        <w:spacing w:line="500" w:lineRule="exact"/>
        <w:ind w:firstLine="422" w:firstLineChars="200"/>
        <w:rPr>
          <w:rFonts w:hint="eastAsia" w:ascii="宋体" w:hAnsi="宋体" w:cs="宋体"/>
          <w:b/>
          <w:color w:val="auto"/>
          <w:sz w:val="21"/>
          <w:szCs w:val="21"/>
          <w:highlight w:val="none"/>
        </w:rPr>
      </w:pPr>
      <w:r>
        <w:rPr>
          <w:rFonts w:hint="eastAsia" w:ascii="宋体" w:hAnsi="宋体" w:cs="宋体"/>
          <w:b/>
          <w:color w:val="auto"/>
          <w:sz w:val="21"/>
          <w:szCs w:val="21"/>
          <w:highlight w:val="none"/>
        </w:rPr>
        <w:t>1.合同的签订</w:t>
      </w:r>
    </w:p>
    <w:p w14:paraId="6D5A7366">
      <w:pPr>
        <w:shd w:val="clear" w:color="auto"/>
        <w:autoSpaceDE/>
        <w:autoSpaceDN/>
        <w:snapToGrid w:val="0"/>
        <w:spacing w:line="500" w:lineRule="exact"/>
        <w:ind w:firstLine="420" w:firstLineChars="200"/>
        <w:rPr>
          <w:rFonts w:hint="eastAsia" w:hAnsi="宋体" w:cs="宋体"/>
          <w:color w:val="auto"/>
          <w:sz w:val="21"/>
          <w:szCs w:val="21"/>
          <w:highlight w:val="none"/>
        </w:rPr>
      </w:pPr>
      <w:r>
        <w:rPr>
          <w:rFonts w:hint="eastAsia" w:hAnsi="宋体" w:cs="宋体"/>
          <w:color w:val="auto"/>
          <w:sz w:val="21"/>
          <w:szCs w:val="21"/>
          <w:highlight w:val="none"/>
        </w:rPr>
        <w:t>1.1除不可抗力等特殊情况外，采购人原则上应当在中标通知书发出之日起20日内，与中标人按照采购文件确定的事项签订政府采购合同，并在签订之日起2个工作日内将政府采购合同在浙江政府采购网上公告。</w:t>
      </w:r>
    </w:p>
    <w:p w14:paraId="31B4CD01">
      <w:pPr>
        <w:pStyle w:val="98"/>
        <w:shd w:val="clear" w:color="auto"/>
        <w:autoSpaceDE/>
        <w:autoSpaceDN/>
        <w:snapToGrid w:val="0"/>
        <w:spacing w:before="0" w:line="500" w:lineRule="exact"/>
        <w:ind w:firstLine="420"/>
        <w:rPr>
          <w:rFonts w:hint="eastAsia" w:hAnsi="宋体" w:cs="宋体"/>
          <w:color w:val="auto"/>
          <w:sz w:val="21"/>
          <w:szCs w:val="21"/>
          <w:highlight w:val="none"/>
        </w:rPr>
      </w:pPr>
      <w:r>
        <w:rPr>
          <w:rFonts w:hint="eastAsia" w:hAnsi="宋体" w:cs="宋体"/>
          <w:color w:val="auto"/>
          <w:sz w:val="21"/>
          <w:szCs w:val="21"/>
          <w:highlight w:val="none"/>
        </w:rPr>
        <w:t>1</w:t>
      </w:r>
      <w:r>
        <w:rPr>
          <w:rFonts w:hint="eastAsia" w:hAnsi="宋体" w:cs="宋体"/>
          <w:color w:val="auto"/>
          <w:sz w:val="21"/>
          <w:szCs w:val="21"/>
          <w:highlight w:val="none"/>
          <w:lang w:val="zh-CN"/>
        </w:rPr>
        <w:t>.2中标人按规定的日期、时间、地点，由法定代表人或其授权代表与采购人代表签订合同。如中标人为联合体的，由联合体成员各方法定代表人或其授权代表与采购人代表签订合同。</w:t>
      </w:r>
    </w:p>
    <w:p w14:paraId="319194B8">
      <w:pPr>
        <w:pStyle w:val="98"/>
        <w:shd w:val="clear" w:color="auto"/>
        <w:autoSpaceDE/>
        <w:autoSpaceDN/>
        <w:snapToGrid w:val="0"/>
        <w:spacing w:before="0" w:line="500" w:lineRule="exact"/>
        <w:ind w:firstLine="420"/>
        <w:rPr>
          <w:rFonts w:hint="eastAsia" w:hAnsi="宋体" w:cs="宋体"/>
          <w:color w:val="auto"/>
          <w:sz w:val="21"/>
          <w:szCs w:val="21"/>
          <w:highlight w:val="none"/>
        </w:rPr>
      </w:pPr>
      <w:r>
        <w:rPr>
          <w:rFonts w:hint="eastAsia" w:hAnsi="宋体" w:cs="宋体"/>
          <w:color w:val="auto"/>
          <w:sz w:val="21"/>
          <w:szCs w:val="21"/>
          <w:highlight w:val="none"/>
        </w:rPr>
        <w:t>1.3如签订合同并生效后，供应商无故拒绝或延期，除按照合同条款处理外，列入不良行为记录一次，并给予通报。</w:t>
      </w:r>
    </w:p>
    <w:p w14:paraId="4909D2E4">
      <w:pPr>
        <w:pStyle w:val="98"/>
        <w:shd w:val="clear" w:color="auto"/>
        <w:autoSpaceDE/>
        <w:autoSpaceDN/>
        <w:snapToGrid w:val="0"/>
        <w:spacing w:before="0" w:line="500" w:lineRule="exact"/>
        <w:ind w:firstLine="420"/>
        <w:rPr>
          <w:rFonts w:hint="eastAsia" w:hAnsi="宋体" w:cs="宋体"/>
          <w:color w:val="auto"/>
          <w:sz w:val="21"/>
          <w:szCs w:val="21"/>
          <w:highlight w:val="none"/>
        </w:rPr>
      </w:pPr>
      <w:r>
        <w:rPr>
          <w:rFonts w:hint="eastAsia" w:hAnsi="宋体" w:cs="宋体"/>
          <w:color w:val="auto"/>
          <w:sz w:val="21"/>
          <w:szCs w:val="21"/>
          <w:highlight w:val="none"/>
        </w:rPr>
        <w:t>1.4中标人拒绝与采购人签订合同的，采购人可以按照评审报告推荐的中标或者成交候选人名单排序，确定下一候选人为中标人，也可以重新开展政府采购活动。</w:t>
      </w:r>
    </w:p>
    <w:p w14:paraId="32AD9BCD">
      <w:pPr>
        <w:pStyle w:val="98"/>
        <w:shd w:val="clear" w:color="auto"/>
        <w:autoSpaceDE/>
        <w:autoSpaceDN/>
        <w:snapToGrid w:val="0"/>
        <w:spacing w:before="0" w:line="500" w:lineRule="exact"/>
        <w:ind w:firstLine="420"/>
        <w:rPr>
          <w:rFonts w:hint="eastAsia" w:hAnsi="宋体" w:cs="宋体"/>
          <w:color w:val="auto"/>
          <w:sz w:val="21"/>
          <w:szCs w:val="21"/>
          <w:highlight w:val="none"/>
        </w:rPr>
      </w:pPr>
      <w:r>
        <w:rPr>
          <w:rFonts w:hint="eastAsia" w:hAnsi="宋体" w:cs="宋体"/>
          <w:color w:val="auto"/>
          <w:sz w:val="21"/>
          <w:szCs w:val="21"/>
          <w:highlight w:val="none"/>
        </w:rPr>
        <w:t>1.5采购合同由采购人与中标人根据采购文件、磋商响应文件等内容通过政府采购电子交易平台在线签订，自动备案。</w:t>
      </w:r>
    </w:p>
    <w:p w14:paraId="4B94CC52">
      <w:pPr>
        <w:pStyle w:val="98"/>
        <w:shd w:val="clear" w:color="auto"/>
        <w:autoSpaceDE/>
        <w:autoSpaceDN/>
        <w:snapToGrid w:val="0"/>
        <w:spacing w:before="0" w:line="500" w:lineRule="exact"/>
        <w:ind w:firstLine="422"/>
        <w:rPr>
          <w:rFonts w:hint="eastAsia" w:hAnsi="宋体" w:cs="宋体"/>
          <w:b/>
          <w:bCs/>
          <w:color w:val="auto"/>
          <w:sz w:val="21"/>
          <w:szCs w:val="21"/>
          <w:highlight w:val="none"/>
        </w:rPr>
      </w:pPr>
      <w:r>
        <w:rPr>
          <w:rFonts w:hint="eastAsia" w:hAnsi="宋体" w:cs="宋体"/>
          <w:b/>
          <w:bCs/>
          <w:color w:val="auto"/>
          <w:sz w:val="21"/>
          <w:szCs w:val="21"/>
          <w:highlight w:val="none"/>
        </w:rPr>
        <w:t>1.6政府采购货物和服务项目不得收取质量保证金。政府采购工程以及与工程建设有关的货物、服务，采用招标方式采购的，按国家和省有关规定执行。</w:t>
      </w:r>
    </w:p>
    <w:p w14:paraId="23CDADF3">
      <w:pPr>
        <w:pStyle w:val="10"/>
        <w:shd w:val="clear" w:color="auto"/>
        <w:autoSpaceDE/>
        <w:autoSpaceDN/>
        <w:adjustRightInd w:val="0"/>
        <w:snapToGrid w:val="0"/>
        <w:spacing w:line="500" w:lineRule="exact"/>
        <w:ind w:firstLine="422" w:firstLineChars="200"/>
        <w:jc w:val="left"/>
        <w:rPr>
          <w:rFonts w:hint="eastAsia" w:ascii="宋体" w:hAnsi="宋体" w:cs="宋体"/>
          <w:b/>
          <w:color w:val="auto"/>
          <w:sz w:val="21"/>
          <w:szCs w:val="21"/>
          <w:highlight w:val="none"/>
        </w:rPr>
      </w:pPr>
      <w:r>
        <w:rPr>
          <w:rFonts w:hint="eastAsia" w:ascii="宋体" w:hAnsi="宋体" w:cs="宋体"/>
          <w:b/>
          <w:color w:val="auto"/>
          <w:sz w:val="21"/>
          <w:szCs w:val="21"/>
          <w:highlight w:val="none"/>
        </w:rPr>
        <w:t>2.履约保证金</w:t>
      </w:r>
    </w:p>
    <w:p w14:paraId="71A48608">
      <w:pPr>
        <w:pStyle w:val="43"/>
        <w:shd w:val="clear" w:color="auto"/>
        <w:adjustRightInd w:val="0"/>
        <w:snapToGrid w:val="0"/>
        <w:spacing w:before="0" w:beforeAutospacing="0" w:after="0" w:afterAutospacing="0" w:line="500" w:lineRule="exact"/>
        <w:ind w:firstLine="422" w:firstLineChars="200"/>
        <w:rPr>
          <w:rFonts w:hint="eastAsia" w:ascii="宋体" w:cs="宋体"/>
          <w:b/>
          <w:bCs/>
          <w:color w:val="auto"/>
          <w:sz w:val="21"/>
          <w:szCs w:val="21"/>
          <w:highlight w:val="none"/>
        </w:rPr>
      </w:pPr>
      <w:r>
        <w:rPr>
          <w:rFonts w:hint="eastAsia" w:ascii="宋体" w:cs="宋体"/>
          <w:b/>
          <w:color w:val="auto"/>
          <w:sz w:val="21"/>
          <w:szCs w:val="21"/>
          <w:highlight w:val="none"/>
        </w:rPr>
        <w:t>2.1</w:t>
      </w:r>
      <w:r>
        <w:rPr>
          <w:rFonts w:hint="eastAsia" w:ascii="宋体" w:cs="宋体"/>
          <w:b/>
          <w:bCs/>
          <w:color w:val="auto"/>
          <w:sz w:val="21"/>
          <w:szCs w:val="21"/>
          <w:highlight w:val="none"/>
        </w:rPr>
        <w:t>拟签订的合同文本要求中标人提交履约保证金的，供应商应当以支票、汇票、本票或者金融机构、担保机构出具的保函等非现金形式提交。履约保证金的数额不得超过政府采购合同金额的1%。鼓励和支持供应商以履约保函形式提供履约保证金。</w:t>
      </w:r>
    </w:p>
    <w:p w14:paraId="6FE54740">
      <w:pPr>
        <w:shd w:val="clear" w:color="auto"/>
        <w:tabs>
          <w:tab w:val="left" w:pos="0"/>
        </w:tabs>
        <w:autoSpaceDE/>
        <w:autoSpaceDN/>
        <w:snapToGrid w:val="0"/>
        <w:spacing w:line="500" w:lineRule="exact"/>
        <w:ind w:firstLine="420" w:firstLineChars="200"/>
        <w:rPr>
          <w:rFonts w:hint="eastAsia" w:hAnsi="宋体" w:cs="宋体"/>
          <w:color w:val="auto"/>
          <w:sz w:val="21"/>
          <w:szCs w:val="21"/>
          <w:highlight w:val="none"/>
        </w:rPr>
      </w:pPr>
      <w:r>
        <w:rPr>
          <w:rFonts w:hint="eastAsia" w:hAnsi="宋体" w:cs="宋体"/>
          <w:color w:val="auto"/>
          <w:sz w:val="21"/>
          <w:szCs w:val="21"/>
          <w:highlight w:val="none"/>
        </w:rPr>
        <w:t>供应商可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400-903-9583。</w:t>
      </w:r>
    </w:p>
    <w:p w14:paraId="32E5D48E">
      <w:pPr>
        <w:shd w:val="clear" w:color="auto"/>
        <w:snapToGrid w:val="0"/>
        <w:spacing w:line="500" w:lineRule="exact"/>
        <w:ind w:firstLine="420" w:firstLineChars="200"/>
        <w:rPr>
          <w:rFonts w:hint="eastAsia" w:hAnsi="宋体" w:cs="宋体"/>
          <w:color w:val="auto"/>
          <w:sz w:val="21"/>
          <w:szCs w:val="21"/>
          <w:highlight w:val="none"/>
        </w:rPr>
      </w:pPr>
      <w:r>
        <w:rPr>
          <w:rFonts w:hint="eastAsia" w:hAnsi="宋体" w:cs="宋体"/>
          <w:color w:val="auto"/>
          <w:sz w:val="21"/>
          <w:szCs w:val="21"/>
          <w:highlight w:val="none"/>
        </w:rPr>
        <w:t>2.2 签订合同后，如中标人不按双方合同约定履约，则没收其全部履约保证金，履约保证金不足以赔偿损失的，按实际损失赔偿。</w:t>
      </w:r>
    </w:p>
    <w:p w14:paraId="1E90F61A">
      <w:pPr>
        <w:shd w:val="clear" w:color="auto"/>
        <w:snapToGrid w:val="0"/>
        <w:spacing w:line="500" w:lineRule="exact"/>
        <w:ind w:firstLine="420" w:firstLineChars="200"/>
        <w:rPr>
          <w:rFonts w:hint="eastAsia" w:hAnsi="宋体" w:cs="宋体"/>
          <w:color w:val="auto"/>
          <w:sz w:val="21"/>
          <w:szCs w:val="21"/>
          <w:highlight w:val="none"/>
        </w:rPr>
      </w:pPr>
      <w:r>
        <w:rPr>
          <w:rFonts w:hint="eastAsia" w:hAnsi="宋体" w:cs="宋体"/>
          <w:color w:val="auto"/>
          <w:sz w:val="21"/>
          <w:szCs w:val="21"/>
          <w:highlight w:val="none"/>
        </w:rPr>
        <w:t>2.3履约保证金（或履约保函）如无合同约定或依法认定的扣款情况，在中标人按合同约定最终验收合格后15日内予以无息退还（或撤销到期履约保函）。</w:t>
      </w:r>
    </w:p>
    <w:p w14:paraId="7D273794">
      <w:pPr>
        <w:pStyle w:val="10"/>
        <w:shd w:val="clear" w:color="auto"/>
        <w:autoSpaceDE/>
        <w:autoSpaceDN/>
        <w:snapToGrid w:val="0"/>
        <w:spacing w:line="500" w:lineRule="exact"/>
        <w:ind w:firstLine="420" w:firstLineChars="200"/>
        <w:rPr>
          <w:rFonts w:hint="eastAsia" w:ascii="宋体" w:hAnsi="宋体" w:eastAsia="宋体" w:cs="宋体"/>
          <w:b/>
          <w:color w:val="auto"/>
          <w:sz w:val="21"/>
          <w:szCs w:val="21"/>
          <w:highlight w:val="none"/>
          <w:lang w:eastAsia="zh-CN"/>
        </w:rPr>
      </w:pPr>
      <w:r>
        <w:rPr>
          <w:rFonts w:hint="eastAsia" w:hAnsi="宋体" w:cs="宋体"/>
          <w:color w:val="auto"/>
          <w:sz w:val="21"/>
          <w:szCs w:val="21"/>
          <w:highlight w:val="none"/>
          <w:lang w:val="en-US" w:eastAsia="zh-CN"/>
        </w:rPr>
        <w:t>本项目履约保证金按照前附表约定执行。</w:t>
      </w:r>
    </w:p>
    <w:p w14:paraId="02CBB3BA">
      <w:pPr>
        <w:pStyle w:val="10"/>
        <w:shd w:val="clear" w:color="auto"/>
        <w:autoSpaceDE/>
        <w:autoSpaceDN/>
        <w:snapToGrid w:val="0"/>
        <w:spacing w:line="500" w:lineRule="exact"/>
        <w:ind w:firstLine="422" w:firstLineChars="200"/>
        <w:rPr>
          <w:rFonts w:hint="eastAsia" w:ascii="宋体" w:hAnsi="宋体" w:cs="宋体"/>
          <w:b/>
          <w:color w:val="auto"/>
          <w:sz w:val="21"/>
          <w:szCs w:val="21"/>
          <w:highlight w:val="none"/>
        </w:rPr>
      </w:pPr>
      <w:r>
        <w:rPr>
          <w:rFonts w:hint="eastAsia" w:ascii="宋体" w:hAnsi="宋体" w:cs="宋体"/>
          <w:b/>
          <w:color w:val="auto"/>
          <w:sz w:val="21"/>
          <w:szCs w:val="21"/>
          <w:highlight w:val="none"/>
        </w:rPr>
        <w:t>3.预付款</w:t>
      </w:r>
    </w:p>
    <w:p w14:paraId="5DF726AF">
      <w:pPr>
        <w:shd w:val="clear" w:color="auto"/>
        <w:tabs>
          <w:tab w:val="left" w:pos="0"/>
        </w:tabs>
        <w:autoSpaceDE/>
        <w:autoSpaceDN/>
        <w:snapToGrid w:val="0"/>
        <w:spacing w:line="500" w:lineRule="exact"/>
        <w:ind w:firstLine="482"/>
        <w:rPr>
          <w:rFonts w:hint="eastAsia" w:hAnsi="宋体" w:cs="宋体"/>
          <w:color w:val="auto"/>
          <w:sz w:val="21"/>
          <w:szCs w:val="21"/>
          <w:highlight w:val="none"/>
        </w:rPr>
      </w:pPr>
      <w:r>
        <w:rPr>
          <w:rFonts w:hint="eastAsia" w:hAnsi="宋体" w:cs="宋体"/>
          <w:color w:val="auto"/>
          <w:sz w:val="21"/>
          <w:szCs w:val="21"/>
          <w:highlight w:val="none"/>
        </w:rPr>
        <w:t>采购单位应当在政府采购合同中约定预付款，对中小企业合同预付款比例原则上不低于合同金额的40％，不高于合同金额的70%；项目分年安排预算的，每年预付款比例不低于项目年度计划支付资金额的40％，不高于年度计划支付资金额的70%；采购项目实施以</w:t>
      </w:r>
      <w:r>
        <w:rPr>
          <w:rFonts w:hint="eastAsia" w:hAnsi="宋体" w:cs="宋体"/>
          <w:b/>
          <w:bCs/>
          <w:color w:val="auto"/>
          <w:sz w:val="21"/>
          <w:szCs w:val="21"/>
          <w:highlight w:val="none"/>
        </w:rPr>
        <w:t>人工投入为主</w:t>
      </w:r>
      <w:r>
        <w:rPr>
          <w:rFonts w:hint="eastAsia" w:hAnsi="宋体" w:cs="宋体"/>
          <w:color w:val="auto"/>
          <w:sz w:val="21"/>
          <w:szCs w:val="21"/>
          <w:highlight w:val="none"/>
        </w:rPr>
        <w:t>的，可适当降低预付款比例，但不得低于</w:t>
      </w:r>
      <w:r>
        <w:rPr>
          <w:rFonts w:hint="eastAsia" w:hAnsi="宋体" w:cs="宋体"/>
          <w:b/>
          <w:bCs/>
          <w:color w:val="auto"/>
          <w:sz w:val="21"/>
          <w:szCs w:val="21"/>
          <w:highlight w:val="none"/>
        </w:rPr>
        <w:t>30%。</w:t>
      </w:r>
      <w:r>
        <w:rPr>
          <w:rFonts w:hint="eastAsia" w:hAnsi="宋体" w:cs="宋体"/>
          <w:color w:val="auto"/>
          <w:sz w:val="21"/>
          <w:szCs w:val="21"/>
          <w:highlight w:val="none"/>
        </w:rPr>
        <w:t>对供应商为大型企业的项目或者以人工投入为主且实行按月定期结算支付款项的项目，预付款可低于上述比例或者不约定预付款。在签订合同时，供应商明确表示无需预付款或者主动要求降低预付款比例的，采购单位可不适用前述规定。采购单位根据项目特点、供应商诚信等因素，可以要求供应商提交银行、保险公司等金融机构出具的预付款保函或其他担保措施。政府采购预付款应在</w:t>
      </w:r>
      <w:r>
        <w:rPr>
          <w:rFonts w:hint="eastAsia" w:hAnsi="宋体" w:cs="宋体"/>
          <w:color w:val="auto"/>
          <w:sz w:val="21"/>
          <w:szCs w:val="21"/>
          <w:highlight w:val="none"/>
          <w:u w:val="single"/>
        </w:rPr>
        <w:t>合同生效以及具备实施条件后</w:t>
      </w:r>
      <w:r>
        <w:rPr>
          <w:rFonts w:hint="eastAsia" w:hAnsi="宋体" w:cs="宋体"/>
          <w:color w:val="auto"/>
          <w:sz w:val="21"/>
          <w:szCs w:val="21"/>
          <w:highlight w:val="none"/>
        </w:rPr>
        <w:t>7个工作日内支付。政府采购工程以及与工程建设有关的货物、服务，采用招标方式采购的，预付款从其相关规定。</w:t>
      </w:r>
    </w:p>
    <w:p w14:paraId="33F43572">
      <w:pPr>
        <w:shd w:val="clear" w:color="auto"/>
        <w:tabs>
          <w:tab w:val="left" w:pos="0"/>
        </w:tabs>
        <w:autoSpaceDE/>
        <w:autoSpaceDN/>
        <w:snapToGrid w:val="0"/>
        <w:spacing w:line="500" w:lineRule="exact"/>
        <w:ind w:firstLine="420" w:firstLineChars="200"/>
        <w:rPr>
          <w:rFonts w:hint="eastAsia" w:hAnsi="宋体" w:cs="宋体"/>
          <w:color w:val="auto"/>
          <w:sz w:val="21"/>
          <w:szCs w:val="21"/>
          <w:highlight w:val="none"/>
        </w:rPr>
      </w:pPr>
      <w:r>
        <w:rPr>
          <w:rFonts w:hint="eastAsia" w:hAnsi="宋体" w:cs="宋体"/>
          <w:color w:val="auto"/>
          <w:sz w:val="21"/>
          <w:szCs w:val="21"/>
          <w:highlight w:val="none"/>
        </w:rPr>
        <w:t>本项目的预付款按照付款方式执行。</w:t>
      </w:r>
    </w:p>
    <w:p w14:paraId="1BA9999E">
      <w:pPr>
        <w:pStyle w:val="10"/>
        <w:shd w:val="clear" w:color="auto"/>
        <w:autoSpaceDE/>
        <w:autoSpaceDN/>
        <w:snapToGrid w:val="0"/>
        <w:spacing w:line="500" w:lineRule="exact"/>
        <w:ind w:firstLine="422" w:firstLineChars="200"/>
        <w:rPr>
          <w:rFonts w:hint="eastAsia" w:ascii="宋体" w:hAnsi="宋体" w:cs="宋体"/>
          <w:b/>
          <w:color w:val="auto"/>
          <w:sz w:val="21"/>
          <w:szCs w:val="21"/>
          <w:highlight w:val="none"/>
        </w:rPr>
      </w:pPr>
      <w:r>
        <w:rPr>
          <w:rFonts w:hint="eastAsia" w:ascii="宋体" w:hAnsi="宋体" w:cs="宋体"/>
          <w:b/>
          <w:color w:val="auto"/>
          <w:sz w:val="21"/>
          <w:szCs w:val="21"/>
          <w:highlight w:val="none"/>
        </w:rPr>
        <w:t>4.资金支付</w:t>
      </w:r>
    </w:p>
    <w:p w14:paraId="22BB1134">
      <w:pPr>
        <w:pStyle w:val="10"/>
        <w:shd w:val="clear" w:color="auto"/>
        <w:spacing w:line="500" w:lineRule="exact"/>
        <w:ind w:firstLine="420" w:firstLineChars="200"/>
        <w:rPr>
          <w:rFonts w:hint="eastAsia" w:ascii="宋体" w:hAnsi="宋体" w:cs="宋体"/>
          <w:color w:val="auto"/>
          <w:sz w:val="21"/>
          <w:szCs w:val="21"/>
          <w:highlight w:val="none"/>
        </w:rPr>
      </w:pPr>
      <w:bookmarkStart w:id="64" w:name="_Toc97649962"/>
      <w:r>
        <w:rPr>
          <w:rFonts w:hint="eastAsia" w:ascii="宋体" w:hAnsi="宋体" w:cs="宋体"/>
          <w:bCs/>
          <w:color w:val="auto"/>
          <w:sz w:val="21"/>
          <w:szCs w:val="21"/>
          <w:highlight w:val="none"/>
        </w:rPr>
        <w:t>采购单位应当及时组织项目验收，不得以政府部门审计作为支付供应商款项的条件。采购单位对于满足合同约定支付条件的，自收到发票后7个工作日内将</w:t>
      </w:r>
      <w:r>
        <w:rPr>
          <w:rFonts w:hint="eastAsia" w:ascii="宋体" w:hAnsi="宋体" w:cs="宋体"/>
          <w:color w:val="auto"/>
          <w:sz w:val="21"/>
          <w:szCs w:val="21"/>
          <w:highlight w:val="none"/>
        </w:rPr>
        <w:t>资金支付到合同约定的供应商账户。采购单位不得以机构变动、人员更替、政策调整、单位放假、履行内部付款流程，或者在合同未作约定的情况下以等待竣工验收批复、决算审计等为由迟延付款。迟延支付中小企业款项的，供应商可要求采购单位支付逾期利息。</w:t>
      </w:r>
    </w:p>
    <w:p w14:paraId="53CCC9FD">
      <w:pPr>
        <w:shd w:val="clear" w:color="auto"/>
        <w:spacing w:line="500" w:lineRule="exact"/>
        <w:ind w:firstLine="420" w:firstLineChars="200"/>
        <w:rPr>
          <w:rFonts w:hint="eastAsia" w:hAnsi="宋体" w:cs="宋体"/>
          <w:color w:val="auto"/>
          <w:sz w:val="21"/>
          <w:szCs w:val="21"/>
          <w:highlight w:val="none"/>
        </w:rPr>
      </w:pPr>
      <w:r>
        <w:rPr>
          <w:rFonts w:hint="eastAsia" w:hAnsi="宋体" w:cs="宋体"/>
          <w:color w:val="auto"/>
          <w:sz w:val="21"/>
          <w:szCs w:val="21"/>
          <w:highlight w:val="none"/>
        </w:rPr>
        <w:t>本项的资金支付按本招标文件付款方式执行并在合同中进行约定。</w:t>
      </w:r>
    </w:p>
    <w:p w14:paraId="03628910">
      <w:pPr>
        <w:shd w:val="clear" w:color="auto"/>
        <w:spacing w:line="500" w:lineRule="exact"/>
        <w:ind w:firstLine="420"/>
        <w:rPr>
          <w:rFonts w:hint="eastAsia" w:hAnsi="宋体" w:cs="宋体"/>
          <w:b/>
          <w:bCs/>
          <w:color w:val="auto"/>
          <w:sz w:val="21"/>
          <w:szCs w:val="21"/>
          <w:highlight w:val="none"/>
          <w:lang w:bidi="ar"/>
        </w:rPr>
      </w:pPr>
      <w:r>
        <w:rPr>
          <w:rFonts w:hint="eastAsia" w:hAnsi="宋体" w:cs="宋体"/>
          <w:b/>
          <w:color w:val="auto"/>
          <w:sz w:val="21"/>
          <w:szCs w:val="21"/>
          <w:highlight w:val="none"/>
          <w:lang w:bidi="ar"/>
        </w:rPr>
        <w:t>八、项目验收</w:t>
      </w:r>
      <w:bookmarkEnd w:id="64"/>
    </w:p>
    <w:p w14:paraId="772989FB">
      <w:pPr>
        <w:shd w:val="clear" w:color="auto"/>
        <w:tabs>
          <w:tab w:val="left" w:pos="0"/>
        </w:tabs>
        <w:snapToGrid w:val="0"/>
        <w:spacing w:line="500" w:lineRule="exact"/>
        <w:ind w:firstLine="480"/>
        <w:rPr>
          <w:rFonts w:hint="eastAsia" w:hAnsi="宋体" w:cs="宋体"/>
          <w:color w:val="auto"/>
          <w:sz w:val="21"/>
          <w:szCs w:val="21"/>
          <w:highlight w:val="none"/>
        </w:rPr>
      </w:pPr>
      <w:r>
        <w:rPr>
          <w:rFonts w:hint="eastAsia" w:hAnsi="宋体" w:cs="宋体"/>
          <w:color w:val="auto"/>
          <w:sz w:val="21"/>
          <w:szCs w:val="21"/>
          <w:highlight w:val="none"/>
        </w:rPr>
        <w:t>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0BF235F3">
      <w:pPr>
        <w:shd w:val="clear" w:color="auto"/>
        <w:tabs>
          <w:tab w:val="left" w:pos="0"/>
        </w:tabs>
        <w:snapToGrid w:val="0"/>
        <w:spacing w:line="500" w:lineRule="exact"/>
        <w:ind w:firstLine="480"/>
        <w:rPr>
          <w:rFonts w:hint="eastAsia" w:hAnsi="宋体" w:cs="宋体"/>
          <w:color w:val="auto"/>
          <w:sz w:val="21"/>
          <w:szCs w:val="21"/>
          <w:highlight w:val="none"/>
        </w:rPr>
      </w:pPr>
      <w:r>
        <w:rPr>
          <w:rFonts w:hint="eastAsia" w:hAnsi="宋体" w:cs="宋体"/>
          <w:color w:val="auto"/>
          <w:sz w:val="21"/>
          <w:szCs w:val="21"/>
          <w:highlight w:val="none"/>
        </w:rPr>
        <w:t>2.采购人可以邀请参加本项目的其他供应商或者第三方机构参与验收。参与验收的供应商或者第三方机构的意见作为验收书的参考资料一并存档。</w:t>
      </w:r>
    </w:p>
    <w:p w14:paraId="1E06C866">
      <w:pPr>
        <w:shd w:val="clear" w:color="auto"/>
        <w:autoSpaceDE/>
        <w:autoSpaceDN/>
        <w:snapToGrid w:val="0"/>
        <w:spacing w:line="500" w:lineRule="exact"/>
        <w:ind w:firstLine="420" w:firstLineChars="200"/>
        <w:rPr>
          <w:rFonts w:hint="eastAsia" w:hAnsi="宋体" w:cs="宋体"/>
          <w:color w:val="auto"/>
          <w:sz w:val="21"/>
          <w:szCs w:val="21"/>
          <w:highlight w:val="none"/>
        </w:rPr>
      </w:pPr>
      <w:r>
        <w:rPr>
          <w:rFonts w:hint="eastAsia" w:hAnsi="宋体" w:cs="宋体"/>
          <w:color w:val="auto"/>
          <w:sz w:val="21"/>
          <w:szCs w:val="21"/>
          <w:highlight w:val="none"/>
        </w:rPr>
        <w:t>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24CFFCC2">
      <w:pPr>
        <w:shd w:val="clear" w:color="auto"/>
        <w:autoSpaceDE/>
        <w:autoSpaceDN/>
        <w:snapToGrid w:val="0"/>
        <w:spacing w:line="500" w:lineRule="exact"/>
        <w:ind w:firstLine="420" w:firstLineChars="200"/>
        <w:rPr>
          <w:rFonts w:hint="eastAsia" w:hAnsi="宋体" w:cs="宋体"/>
          <w:color w:val="auto"/>
          <w:sz w:val="21"/>
          <w:szCs w:val="21"/>
          <w:highlight w:val="none"/>
        </w:rPr>
      </w:pPr>
      <w:r>
        <w:rPr>
          <w:rFonts w:hint="eastAsia" w:hAnsi="宋体" w:cs="宋体"/>
          <w:color w:val="auto"/>
          <w:sz w:val="21"/>
          <w:szCs w:val="21"/>
          <w:highlight w:val="none"/>
        </w:rPr>
        <w:t>4.采购人原则上应当在履约验收之日起2个工作日内，将履约验收结果在浙江政府采购网上公告。</w:t>
      </w:r>
    </w:p>
    <w:p w14:paraId="6E8D92E8">
      <w:pPr>
        <w:shd w:val="clear" w:color="auto"/>
        <w:autoSpaceDE/>
        <w:autoSpaceDN/>
        <w:snapToGrid w:val="0"/>
        <w:spacing w:line="500" w:lineRule="exact"/>
        <w:ind w:firstLine="420" w:firstLineChars="200"/>
        <w:rPr>
          <w:rFonts w:hint="eastAsia" w:hAnsi="宋体" w:cs="宋体"/>
          <w:color w:val="auto"/>
          <w:sz w:val="21"/>
          <w:szCs w:val="21"/>
          <w:highlight w:val="none"/>
        </w:rPr>
      </w:pPr>
      <w:r>
        <w:rPr>
          <w:rFonts w:hint="eastAsia" w:hAnsi="宋体" w:cs="宋体"/>
          <w:color w:val="auto"/>
          <w:sz w:val="21"/>
          <w:szCs w:val="21"/>
          <w:highlight w:val="none"/>
        </w:rPr>
        <w:t>5.验收合格的项目，采购人将根据采购合同的约定及时向供应商支付采购资金、退还履约保证金。</w:t>
      </w:r>
    </w:p>
    <w:p w14:paraId="7F7963EC">
      <w:pPr>
        <w:shd w:val="clear" w:color="auto"/>
        <w:tabs>
          <w:tab w:val="left" w:pos="0"/>
        </w:tabs>
        <w:snapToGrid w:val="0"/>
        <w:spacing w:line="500" w:lineRule="exact"/>
        <w:ind w:firstLine="480"/>
        <w:rPr>
          <w:rFonts w:hint="eastAsia" w:hAnsi="宋体" w:cs="宋体"/>
          <w:color w:val="auto"/>
          <w:sz w:val="21"/>
          <w:szCs w:val="21"/>
          <w:highlight w:val="none"/>
        </w:rPr>
      </w:pPr>
      <w:r>
        <w:rPr>
          <w:rFonts w:hint="eastAsia" w:hAnsi="宋体" w:cs="宋体"/>
          <w:color w:val="auto"/>
          <w:sz w:val="21"/>
          <w:szCs w:val="21"/>
          <w:highlight w:val="none"/>
        </w:rPr>
        <w:t>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p w14:paraId="4216249F">
      <w:pPr>
        <w:shd w:val="clear" w:color="auto"/>
        <w:autoSpaceDE/>
        <w:autoSpaceDN/>
        <w:adjustRightInd/>
        <w:spacing w:line="500" w:lineRule="exact"/>
        <w:ind w:firstLine="422" w:firstLineChars="200"/>
        <w:jc w:val="both"/>
        <w:rPr>
          <w:rFonts w:hint="eastAsia" w:hAnsi="宋体" w:cs="宋体"/>
          <w:color w:val="auto"/>
          <w:sz w:val="21"/>
          <w:szCs w:val="21"/>
          <w:highlight w:val="none"/>
        </w:rPr>
      </w:pPr>
      <w:r>
        <w:rPr>
          <w:rFonts w:hint="eastAsia" w:hAnsi="宋体" w:cs="宋体"/>
          <w:b/>
          <w:color w:val="auto"/>
          <w:sz w:val="21"/>
          <w:szCs w:val="21"/>
          <w:highlight w:val="none"/>
        </w:rPr>
        <w:t>九、本项目招标在</w:t>
      </w:r>
      <w:r>
        <w:rPr>
          <w:rFonts w:hint="eastAsia" w:hAnsi="宋体" w:cs="宋体"/>
          <w:b/>
          <w:color w:val="auto"/>
          <w:sz w:val="21"/>
          <w:szCs w:val="21"/>
          <w:highlight w:val="none"/>
          <w:lang w:eastAsia="zh-CN"/>
        </w:rPr>
        <w:t>金华市婺城区财政局政府采购监督管理办公室</w:t>
      </w:r>
      <w:r>
        <w:rPr>
          <w:rFonts w:hint="eastAsia" w:hAnsi="宋体" w:cs="宋体"/>
          <w:b/>
          <w:color w:val="auto"/>
          <w:sz w:val="21"/>
          <w:szCs w:val="21"/>
          <w:highlight w:val="none"/>
        </w:rPr>
        <w:t>监督下进行。</w:t>
      </w:r>
    </w:p>
    <w:p w14:paraId="02EDF8E6">
      <w:pPr>
        <w:shd w:val="clear" w:color="auto"/>
        <w:autoSpaceDE/>
        <w:autoSpaceDN/>
        <w:adjustRightInd/>
        <w:spacing w:line="500" w:lineRule="exact"/>
        <w:ind w:firstLine="422" w:firstLineChars="200"/>
        <w:jc w:val="both"/>
        <w:rPr>
          <w:rFonts w:hint="eastAsia" w:hAnsi="宋体" w:cs="宋体"/>
          <w:b/>
          <w:color w:val="auto"/>
          <w:sz w:val="21"/>
          <w:szCs w:val="21"/>
          <w:highlight w:val="none"/>
        </w:rPr>
      </w:pPr>
      <w:r>
        <w:rPr>
          <w:rFonts w:hint="eastAsia" w:hAnsi="宋体" w:cs="宋体"/>
          <w:b/>
          <w:color w:val="auto"/>
          <w:sz w:val="21"/>
          <w:szCs w:val="21"/>
          <w:highlight w:val="none"/>
        </w:rPr>
        <w:t>十、电子投标特别提醒</w:t>
      </w:r>
    </w:p>
    <w:p w14:paraId="56AD5DFB">
      <w:pPr>
        <w:shd w:val="clear" w:color="auto"/>
        <w:snapToGrid w:val="0"/>
        <w:spacing w:line="500" w:lineRule="exact"/>
        <w:ind w:firstLine="420"/>
        <w:rPr>
          <w:rFonts w:hint="eastAsia" w:hAnsi="宋体" w:cs="宋体"/>
          <w:color w:val="auto"/>
          <w:sz w:val="21"/>
          <w:szCs w:val="21"/>
          <w:highlight w:val="none"/>
        </w:rPr>
      </w:pPr>
      <w:r>
        <w:rPr>
          <w:rFonts w:hint="eastAsia" w:hAnsi="宋体" w:cs="宋体"/>
          <w:color w:val="auto"/>
          <w:sz w:val="21"/>
          <w:szCs w:val="21"/>
          <w:highlight w:val="none"/>
        </w:rPr>
        <w:t>1.请所有投标人在政采云系统准时参加线上开标活动,并且要求法定代表人或授权委托人全程在线。</w:t>
      </w:r>
    </w:p>
    <w:p w14:paraId="4CBAF7DF">
      <w:pPr>
        <w:shd w:val="clear" w:color="auto"/>
        <w:snapToGrid w:val="0"/>
        <w:spacing w:line="500" w:lineRule="exact"/>
        <w:ind w:firstLine="420"/>
        <w:rPr>
          <w:rFonts w:hint="eastAsia" w:hAnsi="宋体" w:cs="宋体"/>
          <w:color w:val="auto"/>
          <w:sz w:val="21"/>
          <w:szCs w:val="21"/>
          <w:highlight w:val="none"/>
        </w:rPr>
      </w:pPr>
      <w:r>
        <w:rPr>
          <w:rFonts w:hint="eastAsia" w:hAnsi="宋体" w:cs="宋体"/>
          <w:color w:val="auto"/>
          <w:sz w:val="21"/>
          <w:szCs w:val="21"/>
          <w:highlight w:val="none"/>
        </w:rPr>
        <w:t>2.投标截止时间后，代理机构将线上开启解密，投标人需及时用CA锁在线解密，解密时间一般为半小时（解密时限由财政部门设置），逾期解密，投标人自行承担风险。</w:t>
      </w:r>
    </w:p>
    <w:p w14:paraId="21615549">
      <w:pPr>
        <w:widowControl/>
        <w:shd w:val="clear" w:color="auto"/>
        <w:snapToGrid w:val="0"/>
        <w:spacing w:line="500" w:lineRule="exact"/>
        <w:ind w:firstLine="420"/>
        <w:rPr>
          <w:rFonts w:hint="eastAsia" w:hAnsi="宋体" w:cs="宋体"/>
          <w:color w:val="auto"/>
          <w:sz w:val="21"/>
          <w:szCs w:val="21"/>
          <w:highlight w:val="none"/>
        </w:rPr>
      </w:pPr>
      <w:r>
        <w:rPr>
          <w:rFonts w:hint="eastAsia" w:hAnsi="宋体" w:cs="宋体"/>
          <w:color w:val="auto"/>
          <w:sz w:val="21"/>
          <w:szCs w:val="21"/>
          <w:highlight w:val="none"/>
        </w:rPr>
        <w:t>3.解密响应文件的CA锁必须跟制作响应文件的CA锁为同一个，否则将导致解密失败。</w:t>
      </w:r>
    </w:p>
    <w:p w14:paraId="14C2EF9D">
      <w:pPr>
        <w:widowControl/>
        <w:shd w:val="clear" w:color="auto"/>
        <w:snapToGrid w:val="0"/>
        <w:spacing w:line="500" w:lineRule="exact"/>
        <w:ind w:firstLine="420"/>
        <w:rPr>
          <w:rFonts w:hint="eastAsia" w:hAnsi="宋体" w:cs="宋体"/>
          <w:color w:val="auto"/>
          <w:sz w:val="21"/>
          <w:szCs w:val="21"/>
          <w:highlight w:val="none"/>
        </w:rPr>
      </w:pPr>
      <w:r>
        <w:rPr>
          <w:rFonts w:hint="eastAsia" w:hAnsi="宋体" w:cs="宋体"/>
          <w:color w:val="auto"/>
          <w:sz w:val="21"/>
          <w:highlight w:val="none"/>
        </w:rPr>
        <w:t>4.请务必确保投标文件制作客户端为最新版本，旧版本可能导致投标文件解密失败。</w:t>
      </w:r>
      <w:bookmarkStart w:id="65" w:name="_Toc351559944"/>
    </w:p>
    <w:p w14:paraId="20F8F2F2">
      <w:pPr>
        <w:widowControl/>
        <w:shd w:val="clear" w:color="auto"/>
        <w:snapToGrid w:val="0"/>
        <w:spacing w:line="500" w:lineRule="exact"/>
        <w:ind w:firstLine="420"/>
        <w:jc w:val="center"/>
        <w:outlineLvl w:val="0"/>
        <w:rPr>
          <w:rFonts w:hint="eastAsia" w:hAnsi="宋体" w:cs="宋体"/>
          <w:color w:val="auto"/>
          <w:sz w:val="30"/>
          <w:szCs w:val="30"/>
          <w:highlight w:val="none"/>
        </w:rPr>
      </w:pPr>
      <w:r>
        <w:rPr>
          <w:rFonts w:hint="eastAsia" w:hAnsi="宋体" w:cs="宋体"/>
          <w:b/>
          <w:bCs/>
          <w:color w:val="auto"/>
          <w:sz w:val="30"/>
          <w:szCs w:val="30"/>
          <w:highlight w:val="none"/>
        </w:rPr>
        <w:br w:type="page"/>
      </w:r>
      <w:bookmarkStart w:id="66" w:name="_Toc13934"/>
      <w:bookmarkStart w:id="67" w:name="_Toc28985"/>
      <w:bookmarkStart w:id="68" w:name="_Toc8147"/>
      <w:bookmarkStart w:id="69" w:name="_Toc22214"/>
      <w:r>
        <w:rPr>
          <w:rFonts w:hint="eastAsia" w:hAnsi="宋体" w:cs="宋体"/>
          <w:b/>
          <w:bCs/>
          <w:color w:val="auto"/>
          <w:sz w:val="30"/>
          <w:szCs w:val="30"/>
          <w:highlight w:val="none"/>
        </w:rPr>
        <w:t>第四章  评标办法及评分标准</w:t>
      </w:r>
      <w:bookmarkEnd w:id="65"/>
      <w:bookmarkEnd w:id="66"/>
      <w:bookmarkEnd w:id="67"/>
      <w:bookmarkEnd w:id="68"/>
      <w:bookmarkEnd w:id="69"/>
    </w:p>
    <w:p w14:paraId="6BF2EC47">
      <w:pPr>
        <w:shd w:val="clear" w:color="auto"/>
        <w:autoSpaceDE/>
        <w:autoSpaceDN/>
        <w:adjustRightInd/>
        <w:spacing w:line="500" w:lineRule="exact"/>
        <w:ind w:firstLine="420" w:firstLineChars="200"/>
        <w:jc w:val="both"/>
        <w:rPr>
          <w:rFonts w:hint="eastAsia" w:hAnsi="宋体" w:cs="宋体"/>
          <w:color w:val="auto"/>
          <w:sz w:val="21"/>
          <w:szCs w:val="21"/>
          <w:highlight w:val="none"/>
        </w:rPr>
      </w:pPr>
      <w:r>
        <w:rPr>
          <w:rFonts w:hint="eastAsia" w:hAnsi="宋体" w:cs="宋体"/>
          <w:color w:val="auto"/>
          <w:sz w:val="21"/>
          <w:szCs w:val="21"/>
          <w:highlight w:val="none"/>
        </w:rPr>
        <w:t>为公正、公平、科学地选择中标人，根据《中华人民共和国政府采购法》等有关法律法规的规定，并结合本项目的实际，制定本办法。</w:t>
      </w:r>
    </w:p>
    <w:p w14:paraId="7C259232">
      <w:pPr>
        <w:shd w:val="clear" w:color="auto"/>
        <w:autoSpaceDE/>
        <w:autoSpaceDN/>
        <w:adjustRightInd/>
        <w:spacing w:line="500" w:lineRule="exact"/>
        <w:ind w:firstLine="420" w:firstLineChars="200"/>
        <w:jc w:val="both"/>
        <w:rPr>
          <w:rFonts w:hint="eastAsia" w:hAnsi="宋体" w:cs="宋体"/>
          <w:color w:val="auto"/>
          <w:sz w:val="21"/>
          <w:szCs w:val="21"/>
          <w:highlight w:val="none"/>
        </w:rPr>
      </w:pPr>
      <w:r>
        <w:rPr>
          <w:rFonts w:hint="eastAsia" w:hAnsi="宋体" w:cs="宋体"/>
          <w:color w:val="auto"/>
          <w:sz w:val="21"/>
          <w:szCs w:val="21"/>
          <w:highlight w:val="none"/>
        </w:rPr>
        <w:t>本办法仅适用本项目的评标。</w:t>
      </w:r>
    </w:p>
    <w:p w14:paraId="4BF13BC0">
      <w:pPr>
        <w:shd w:val="clear" w:color="auto"/>
        <w:autoSpaceDE/>
        <w:autoSpaceDN/>
        <w:adjustRightInd/>
        <w:spacing w:line="500" w:lineRule="exact"/>
        <w:ind w:firstLine="422" w:firstLineChars="200"/>
        <w:jc w:val="both"/>
        <w:rPr>
          <w:rFonts w:hint="eastAsia" w:hAnsi="宋体" w:cs="宋体"/>
          <w:b/>
          <w:color w:val="auto"/>
          <w:sz w:val="21"/>
          <w:szCs w:val="21"/>
          <w:highlight w:val="none"/>
        </w:rPr>
      </w:pPr>
      <w:r>
        <w:rPr>
          <w:rFonts w:hint="eastAsia" w:hAnsi="宋体" w:cs="宋体"/>
          <w:b/>
          <w:color w:val="auto"/>
          <w:sz w:val="21"/>
          <w:szCs w:val="21"/>
          <w:highlight w:val="none"/>
        </w:rPr>
        <w:t>一、总则</w:t>
      </w:r>
    </w:p>
    <w:p w14:paraId="148AD848">
      <w:pPr>
        <w:shd w:val="clear" w:color="auto"/>
        <w:autoSpaceDE/>
        <w:autoSpaceDN/>
        <w:adjustRightInd/>
        <w:spacing w:line="500" w:lineRule="exact"/>
        <w:ind w:firstLine="420" w:firstLineChars="200"/>
        <w:jc w:val="both"/>
        <w:rPr>
          <w:rFonts w:hint="eastAsia" w:hAnsi="宋体" w:cs="宋体"/>
          <w:color w:val="auto"/>
          <w:sz w:val="21"/>
          <w:szCs w:val="21"/>
          <w:highlight w:val="none"/>
        </w:rPr>
      </w:pPr>
      <w:r>
        <w:rPr>
          <w:rFonts w:hint="eastAsia" w:hAnsi="宋体" w:cs="宋体"/>
          <w:color w:val="auto"/>
          <w:sz w:val="21"/>
          <w:szCs w:val="21"/>
          <w:highlight w:val="none"/>
        </w:rPr>
        <w:t>本次评标采用综合评分法，总分为100分，其中价格分</w:t>
      </w:r>
      <w:r>
        <w:rPr>
          <w:rFonts w:hint="eastAsia" w:hAnsi="宋体" w:cs="宋体"/>
          <w:color w:val="auto"/>
          <w:sz w:val="21"/>
          <w:szCs w:val="21"/>
          <w:highlight w:val="none"/>
          <w:lang w:val="en-US" w:eastAsia="zh-CN"/>
        </w:rPr>
        <w:t>15</w:t>
      </w:r>
      <w:r>
        <w:rPr>
          <w:rFonts w:hint="eastAsia" w:hAnsi="宋体" w:cs="宋体"/>
          <w:color w:val="auto"/>
          <w:sz w:val="21"/>
          <w:szCs w:val="21"/>
          <w:highlight w:val="none"/>
        </w:rPr>
        <w:t>分、技术商务分</w:t>
      </w:r>
      <w:r>
        <w:rPr>
          <w:rFonts w:hint="eastAsia" w:hAnsi="宋体" w:cs="宋体"/>
          <w:color w:val="auto"/>
          <w:sz w:val="21"/>
          <w:szCs w:val="21"/>
          <w:highlight w:val="none"/>
          <w:lang w:val="en-US" w:eastAsia="zh-CN"/>
        </w:rPr>
        <w:t>85</w:t>
      </w:r>
      <w:r>
        <w:rPr>
          <w:rFonts w:hint="eastAsia" w:hAnsi="宋体" w:cs="宋体"/>
          <w:color w:val="auto"/>
          <w:sz w:val="21"/>
          <w:szCs w:val="21"/>
          <w:highlight w:val="none"/>
        </w:rPr>
        <w:t>分等</w:t>
      </w:r>
      <w:r>
        <w:rPr>
          <w:rFonts w:hint="eastAsia" w:hAnsi="宋体" w:cs="宋体"/>
          <w:color w:val="auto"/>
          <w:sz w:val="21"/>
          <w:szCs w:val="21"/>
          <w:highlight w:val="none"/>
          <w:lang w:eastAsia="zh-CN"/>
        </w:rPr>
        <w:t>两部</w:t>
      </w:r>
      <w:r>
        <w:rPr>
          <w:rFonts w:hint="eastAsia" w:hAnsi="宋体" w:cs="宋体"/>
          <w:color w:val="auto"/>
          <w:sz w:val="21"/>
          <w:szCs w:val="21"/>
          <w:highlight w:val="none"/>
        </w:rPr>
        <w:t>分。合格投标人的评标得分为各项目汇总得分，中标候选资格按评标得分由高到低顺序排列；汇总得分相同的，按价格分得分由高到低顺序排列；汇总得分且价格分均相同的，按</w:t>
      </w: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lang w:val="en-US" w:eastAsia="zh-CN"/>
        </w:rPr>
        <w:t>投标人的评估能力自我评估</w:t>
      </w:r>
      <w:r>
        <w:rPr>
          <w:rFonts w:hint="eastAsia" w:ascii="宋体" w:hAnsi="宋体" w:eastAsia="宋体" w:cs="宋体"/>
          <w:color w:val="auto"/>
          <w:sz w:val="21"/>
          <w:szCs w:val="21"/>
          <w:highlight w:val="none"/>
        </w:rPr>
        <w:t>”得分由</w:t>
      </w:r>
      <w:r>
        <w:rPr>
          <w:rFonts w:hint="eastAsia" w:hAnsi="宋体" w:cs="宋体"/>
          <w:color w:val="auto"/>
          <w:sz w:val="21"/>
          <w:szCs w:val="21"/>
          <w:highlight w:val="none"/>
        </w:rPr>
        <w:t>高到低顺序排列决定。排名第一的投标人为中标候选人，排名第二的投标人为候补中标候选人……其他投标人中标候选资格依此类推。评分过程中采用四舍五入法，并保留小数2位。</w:t>
      </w:r>
    </w:p>
    <w:p w14:paraId="7BE76668">
      <w:pPr>
        <w:shd w:val="clear" w:color="auto"/>
        <w:autoSpaceDE/>
        <w:autoSpaceDN/>
        <w:adjustRightInd/>
        <w:spacing w:line="500" w:lineRule="exact"/>
        <w:ind w:firstLine="420" w:firstLineChars="200"/>
        <w:jc w:val="both"/>
        <w:rPr>
          <w:rFonts w:hint="eastAsia" w:hAnsi="宋体" w:cs="宋体"/>
          <w:color w:val="auto"/>
          <w:sz w:val="21"/>
          <w:szCs w:val="21"/>
          <w:highlight w:val="none"/>
        </w:rPr>
      </w:pPr>
      <w:r>
        <w:rPr>
          <w:rFonts w:hint="eastAsia" w:hAnsi="宋体" w:cs="宋体"/>
          <w:color w:val="auto"/>
          <w:sz w:val="21"/>
          <w:szCs w:val="21"/>
          <w:highlight w:val="none"/>
        </w:rPr>
        <w:t>投标人评标综合得分=价格分+技术商务分。</w:t>
      </w:r>
    </w:p>
    <w:p w14:paraId="5333B853">
      <w:pPr>
        <w:shd w:val="clear" w:color="auto"/>
        <w:autoSpaceDE/>
        <w:autoSpaceDN/>
        <w:adjustRightInd/>
        <w:spacing w:line="500" w:lineRule="exact"/>
        <w:ind w:firstLine="422" w:firstLineChars="200"/>
        <w:jc w:val="both"/>
        <w:rPr>
          <w:rFonts w:hint="eastAsia" w:hAnsi="宋体" w:cs="宋体"/>
          <w:b/>
          <w:color w:val="auto"/>
          <w:sz w:val="21"/>
          <w:szCs w:val="21"/>
          <w:highlight w:val="none"/>
        </w:rPr>
      </w:pPr>
      <w:r>
        <w:rPr>
          <w:rFonts w:hint="eastAsia" w:hAnsi="宋体" w:cs="宋体"/>
          <w:b/>
          <w:color w:val="auto"/>
          <w:sz w:val="21"/>
          <w:szCs w:val="21"/>
          <w:highlight w:val="none"/>
        </w:rPr>
        <w:t>技术商务分=（评审小组所有成员评分合计数）/（评审小组组成人员数）</w:t>
      </w:r>
    </w:p>
    <w:p w14:paraId="08B23C93">
      <w:pPr>
        <w:pStyle w:val="43"/>
        <w:shd w:val="clear" w:color="auto"/>
        <w:adjustRightInd w:val="0"/>
        <w:snapToGrid w:val="0"/>
        <w:spacing w:before="0" w:beforeAutospacing="0" w:after="0" w:afterAutospacing="0" w:line="500" w:lineRule="exact"/>
        <w:ind w:firstLine="422" w:firstLineChars="200"/>
        <w:rPr>
          <w:rFonts w:hint="eastAsia" w:ascii="宋体" w:cs="宋体"/>
          <w:b/>
          <w:bCs/>
          <w:color w:val="auto"/>
          <w:highlight w:val="none"/>
          <w:lang w:bidi="ar"/>
        </w:rPr>
      </w:pPr>
      <w:r>
        <w:rPr>
          <w:rFonts w:hint="eastAsia" w:ascii="宋体" w:cs="宋体"/>
          <w:b/>
          <w:color w:val="auto"/>
          <w:sz w:val="21"/>
          <w:szCs w:val="21"/>
          <w:highlight w:val="none"/>
        </w:rPr>
        <w:t>二、评审纪律和要求</w:t>
      </w:r>
    </w:p>
    <w:p w14:paraId="7455B373">
      <w:pPr>
        <w:shd w:val="clear" w:color="auto"/>
        <w:autoSpaceDE/>
        <w:autoSpaceDN/>
        <w:snapToGrid w:val="0"/>
        <w:spacing w:line="500" w:lineRule="exact"/>
        <w:ind w:firstLine="420" w:firstLineChars="200"/>
        <w:rPr>
          <w:rFonts w:hint="eastAsia" w:hAnsi="宋体" w:cs="宋体"/>
          <w:color w:val="auto"/>
          <w:sz w:val="21"/>
          <w:szCs w:val="21"/>
          <w:highlight w:val="none"/>
        </w:rPr>
      </w:pPr>
      <w:r>
        <w:rPr>
          <w:rFonts w:hint="eastAsia" w:hAnsi="宋体" w:cs="宋体"/>
          <w:color w:val="auto"/>
          <w:sz w:val="21"/>
          <w:szCs w:val="21"/>
          <w:highlight w:val="none"/>
        </w:rPr>
        <w:t>1.评审专家必须公平、公正评审，遵纪守法，客观、廉洁地履行职责。</w:t>
      </w:r>
    </w:p>
    <w:p w14:paraId="1B62DBB0">
      <w:pPr>
        <w:shd w:val="clear" w:color="auto"/>
        <w:autoSpaceDE/>
        <w:autoSpaceDN/>
        <w:snapToGrid w:val="0"/>
        <w:spacing w:line="500" w:lineRule="exact"/>
        <w:ind w:firstLine="420" w:firstLineChars="200"/>
        <w:rPr>
          <w:rFonts w:hint="eastAsia" w:hAnsi="宋体" w:cs="宋体"/>
          <w:color w:val="auto"/>
          <w:sz w:val="21"/>
          <w:szCs w:val="21"/>
          <w:highlight w:val="none"/>
        </w:rPr>
      </w:pPr>
      <w:r>
        <w:rPr>
          <w:rFonts w:hint="eastAsia" w:hAnsi="宋体" w:cs="宋体"/>
          <w:color w:val="auto"/>
          <w:sz w:val="21"/>
          <w:szCs w:val="21"/>
          <w:highlight w:val="none"/>
        </w:rPr>
        <w:t>2.评审专家在评审开始前，应关闭并上交随身携带的各种通信工具。</w:t>
      </w:r>
    </w:p>
    <w:p w14:paraId="39259C6A">
      <w:pPr>
        <w:shd w:val="clear" w:color="auto"/>
        <w:autoSpaceDE/>
        <w:autoSpaceDN/>
        <w:snapToGrid w:val="0"/>
        <w:spacing w:line="500" w:lineRule="exact"/>
        <w:ind w:firstLine="420" w:firstLineChars="200"/>
        <w:rPr>
          <w:rFonts w:hint="eastAsia" w:hAnsi="宋体" w:cs="宋体"/>
          <w:color w:val="auto"/>
          <w:sz w:val="21"/>
          <w:szCs w:val="21"/>
          <w:highlight w:val="none"/>
        </w:rPr>
      </w:pPr>
      <w:r>
        <w:rPr>
          <w:rFonts w:hint="eastAsia" w:hAnsi="宋体" w:cs="宋体"/>
          <w:color w:val="auto"/>
          <w:sz w:val="21"/>
          <w:szCs w:val="21"/>
          <w:highlight w:val="none"/>
        </w:rPr>
        <w:t>3.评审专家在评审过程中，未经许可不得中途离开评审现场，不得迟到早退。</w:t>
      </w:r>
    </w:p>
    <w:p w14:paraId="21818301">
      <w:pPr>
        <w:shd w:val="clear" w:color="auto"/>
        <w:autoSpaceDE/>
        <w:autoSpaceDN/>
        <w:snapToGrid w:val="0"/>
        <w:spacing w:line="500" w:lineRule="exact"/>
        <w:ind w:firstLine="420" w:firstLineChars="200"/>
        <w:rPr>
          <w:rFonts w:hint="eastAsia" w:hAnsi="宋体" w:cs="宋体"/>
          <w:color w:val="auto"/>
          <w:sz w:val="21"/>
          <w:szCs w:val="21"/>
          <w:highlight w:val="none"/>
        </w:rPr>
      </w:pPr>
      <w:r>
        <w:rPr>
          <w:rFonts w:hint="eastAsia" w:hAnsi="宋体" w:cs="宋体"/>
          <w:color w:val="auto"/>
          <w:sz w:val="21"/>
          <w:szCs w:val="21"/>
          <w:highlight w:val="none"/>
        </w:rPr>
        <w:t>4.评审专家和工作人员不得透露评审过程中的讨论情况和评审结果。</w:t>
      </w:r>
    </w:p>
    <w:p w14:paraId="270DC16D">
      <w:pPr>
        <w:shd w:val="clear" w:color="auto"/>
        <w:autoSpaceDE/>
        <w:autoSpaceDN/>
        <w:snapToGrid w:val="0"/>
        <w:spacing w:line="500" w:lineRule="exact"/>
        <w:ind w:firstLine="420" w:firstLineChars="200"/>
        <w:rPr>
          <w:rFonts w:hint="eastAsia" w:hAnsi="宋体" w:cs="宋体"/>
          <w:color w:val="auto"/>
          <w:sz w:val="21"/>
          <w:szCs w:val="21"/>
          <w:highlight w:val="none"/>
        </w:rPr>
      </w:pPr>
      <w:r>
        <w:rPr>
          <w:rFonts w:hint="eastAsia" w:hAnsi="宋体" w:cs="宋体"/>
          <w:color w:val="auto"/>
          <w:sz w:val="21"/>
          <w:szCs w:val="21"/>
          <w:highlight w:val="none"/>
        </w:rPr>
        <w:t>5.评审时，评审专家须按招标文件规定的程序、条件和标准，对投标人投标文件的合规性、完整性和有效性进行审查、比较和评估，其中对投标人的资格条件、主要技术参数、商务报价和其他评审要素等，评审专家应逐项进行审查、比较，不得漏评少评。</w:t>
      </w:r>
      <w:r>
        <w:rPr>
          <w:rFonts w:hint="eastAsia" w:hAnsi="宋体" w:cs="宋体"/>
          <w:b/>
          <w:bCs/>
          <w:color w:val="auto"/>
          <w:sz w:val="21"/>
          <w:szCs w:val="21"/>
          <w:highlight w:val="none"/>
        </w:rPr>
        <w:t>如发现与招标文件要求相偏离的，应对其偏离情形进行必要的核实，并在工作底稿中予以说明；如属于实质性偏离或符合无效投标文件的，可询问投标人，并允许投标人进行陈述申辩，但不允许其对偏离条款进行补充、修正或撤回</w:t>
      </w:r>
      <w:r>
        <w:rPr>
          <w:rFonts w:hint="eastAsia" w:hAnsi="宋体" w:cs="宋体"/>
          <w:color w:val="auto"/>
          <w:sz w:val="21"/>
          <w:szCs w:val="21"/>
          <w:highlight w:val="none"/>
        </w:rPr>
        <w:t>。</w:t>
      </w:r>
    </w:p>
    <w:p w14:paraId="7AB796C0">
      <w:pPr>
        <w:shd w:val="clear" w:color="auto"/>
        <w:autoSpaceDE/>
        <w:autoSpaceDN/>
        <w:snapToGrid w:val="0"/>
        <w:spacing w:line="500" w:lineRule="exact"/>
        <w:ind w:firstLine="420" w:firstLineChars="200"/>
        <w:rPr>
          <w:rFonts w:hint="eastAsia" w:hAnsi="宋体" w:cs="宋体"/>
          <w:color w:val="auto"/>
          <w:sz w:val="21"/>
          <w:szCs w:val="21"/>
          <w:highlight w:val="none"/>
        </w:rPr>
      </w:pPr>
      <w:r>
        <w:rPr>
          <w:rFonts w:hint="eastAsia" w:hAnsi="宋体" w:cs="宋体"/>
          <w:color w:val="auto"/>
          <w:sz w:val="21"/>
          <w:szCs w:val="21"/>
          <w:highlight w:val="none"/>
        </w:rPr>
        <w:t>6.采购人、采购代理机构不得向评审委员会的评审专家作倾向性、误导性的解释或者说明。</w:t>
      </w:r>
    </w:p>
    <w:p w14:paraId="09461B8E">
      <w:pPr>
        <w:shd w:val="clear" w:color="auto"/>
        <w:autoSpaceDE/>
        <w:autoSpaceDN/>
        <w:snapToGrid w:val="0"/>
        <w:spacing w:line="500" w:lineRule="exact"/>
        <w:ind w:firstLine="420" w:firstLineChars="200"/>
        <w:rPr>
          <w:rFonts w:hint="eastAsia" w:hAnsi="宋体" w:cs="宋体"/>
          <w:color w:val="auto"/>
          <w:sz w:val="21"/>
          <w:szCs w:val="21"/>
          <w:highlight w:val="none"/>
        </w:rPr>
      </w:pPr>
      <w:r>
        <w:rPr>
          <w:rFonts w:hint="eastAsia" w:hAnsi="宋体" w:cs="宋体"/>
          <w:color w:val="auto"/>
          <w:sz w:val="21"/>
          <w:szCs w:val="21"/>
          <w:highlight w:val="none"/>
        </w:rPr>
        <w:t>7.采购代理机构应当为评审专家提供必要的评审条件和相应的评审工作底稿，并严格按规定程序组织评审专家有步骤地进行项目评审，</w:t>
      </w:r>
      <w:r>
        <w:rPr>
          <w:rFonts w:hint="eastAsia" w:hAnsi="宋体" w:cs="宋体"/>
          <w:b/>
          <w:bCs/>
          <w:color w:val="auto"/>
          <w:sz w:val="21"/>
          <w:szCs w:val="21"/>
          <w:highlight w:val="none"/>
        </w:rPr>
        <w:t>对各评审专家的评审情况和评审意见进行合理性和合规性审查，对明显畸高、畸低的重大差异评审情况（其总评分偏离平均分30%以上），提醒相关评审专家进行复核或书面说明理由</w:t>
      </w:r>
      <w:r>
        <w:rPr>
          <w:rFonts w:hint="eastAsia" w:hAnsi="宋体" w:cs="宋体"/>
          <w:color w:val="auto"/>
          <w:sz w:val="21"/>
          <w:szCs w:val="21"/>
          <w:highlight w:val="none"/>
        </w:rPr>
        <w:t>。</w:t>
      </w:r>
    </w:p>
    <w:p w14:paraId="15802A77">
      <w:pPr>
        <w:shd w:val="clear" w:color="auto"/>
        <w:autoSpaceDE/>
        <w:autoSpaceDN/>
        <w:snapToGrid w:val="0"/>
        <w:spacing w:line="500" w:lineRule="exact"/>
        <w:ind w:firstLine="420" w:firstLineChars="200"/>
        <w:rPr>
          <w:rFonts w:hint="eastAsia" w:hAnsi="宋体" w:cs="宋体"/>
          <w:color w:val="auto"/>
          <w:sz w:val="21"/>
          <w:szCs w:val="21"/>
          <w:highlight w:val="none"/>
        </w:rPr>
      </w:pPr>
      <w:r>
        <w:rPr>
          <w:rFonts w:hint="eastAsia" w:hAnsi="宋体" w:cs="宋体"/>
          <w:color w:val="auto"/>
          <w:sz w:val="21"/>
          <w:szCs w:val="21"/>
          <w:highlight w:val="none"/>
        </w:rPr>
        <w:t>8.评审专家在评审过程中不得将自己的观点强加给其他评审专家，评审专家应自主发表见解，对评审意见承担个人责任。</w:t>
      </w:r>
    </w:p>
    <w:p w14:paraId="7D55AE80">
      <w:pPr>
        <w:shd w:val="clear" w:color="auto"/>
        <w:autoSpaceDE/>
        <w:autoSpaceDN/>
        <w:snapToGrid w:val="0"/>
        <w:spacing w:line="500" w:lineRule="exact"/>
        <w:ind w:firstLine="420" w:firstLineChars="200"/>
        <w:rPr>
          <w:rFonts w:hint="eastAsia" w:hAnsi="宋体" w:cs="宋体"/>
          <w:color w:val="auto"/>
          <w:sz w:val="21"/>
          <w:szCs w:val="21"/>
          <w:highlight w:val="none"/>
        </w:rPr>
      </w:pPr>
      <w:r>
        <w:rPr>
          <w:rFonts w:hint="eastAsia" w:hAnsi="宋体" w:cs="宋体"/>
          <w:color w:val="auto"/>
          <w:sz w:val="21"/>
          <w:szCs w:val="21"/>
          <w:highlight w:val="none"/>
        </w:rPr>
        <w:t>9.</w:t>
      </w:r>
      <w:r>
        <w:rPr>
          <w:rFonts w:hint="eastAsia" w:hAnsi="宋体" w:cs="宋体"/>
          <w:b/>
          <w:bCs/>
          <w:color w:val="auto"/>
          <w:sz w:val="21"/>
          <w:szCs w:val="21"/>
          <w:highlight w:val="none"/>
        </w:rPr>
        <w:t>评审结束后，评审委员会应向采购代理机构提交项目评审报告。评审报告是采购人确定中标人的合法依据，评审委员会应当如实、客观地反映评审情况，按招标文件的评审办法和细则的规定推荐中标候选人，说明推荐理由，并重点对中标候选人的技术、服务和价格等情况进行评价和比较。如排名第一的投标人报价为最高报价的，评审报告中须对其报价的合理性等进行分析和特别说明</w:t>
      </w:r>
      <w:r>
        <w:rPr>
          <w:rFonts w:hint="eastAsia" w:hAnsi="宋体" w:cs="宋体"/>
          <w:color w:val="auto"/>
          <w:sz w:val="21"/>
          <w:szCs w:val="21"/>
          <w:highlight w:val="none"/>
        </w:rPr>
        <w:t>。</w:t>
      </w:r>
    </w:p>
    <w:p w14:paraId="56ADD5D2">
      <w:pPr>
        <w:shd w:val="clear" w:color="auto"/>
        <w:autoSpaceDE/>
        <w:autoSpaceDN/>
        <w:snapToGrid w:val="0"/>
        <w:spacing w:line="500" w:lineRule="exact"/>
        <w:ind w:firstLine="422" w:firstLineChars="200"/>
        <w:rPr>
          <w:rFonts w:hint="eastAsia" w:hAnsi="宋体" w:cs="宋体"/>
          <w:b/>
          <w:bCs/>
          <w:color w:val="auto"/>
          <w:sz w:val="21"/>
          <w:szCs w:val="21"/>
          <w:highlight w:val="none"/>
        </w:rPr>
      </w:pPr>
      <w:r>
        <w:rPr>
          <w:rFonts w:hint="eastAsia" w:hAnsi="宋体" w:cs="宋体"/>
          <w:b/>
          <w:bCs/>
          <w:color w:val="auto"/>
          <w:sz w:val="21"/>
          <w:szCs w:val="21"/>
          <w:highlight w:val="none"/>
        </w:rPr>
        <w:t>10.评审专家应当独立、客观、公正地提出评审意见，不得带有倾向性，不得影响其他评审专家评审，并在评审报告上签字；如对评审报告有异议的，可在报告上签署不同意见，并说明理由，否则将视为同意。</w:t>
      </w:r>
    </w:p>
    <w:p w14:paraId="08125E84">
      <w:pPr>
        <w:shd w:val="clear" w:color="auto"/>
        <w:autoSpaceDE/>
        <w:autoSpaceDN/>
        <w:snapToGrid w:val="0"/>
        <w:spacing w:line="500" w:lineRule="exact"/>
        <w:ind w:firstLine="422" w:firstLineChars="200"/>
        <w:rPr>
          <w:rFonts w:hint="eastAsia" w:hAnsi="宋体" w:cs="宋体"/>
          <w:b/>
          <w:bCs/>
          <w:color w:val="auto"/>
          <w:sz w:val="21"/>
          <w:szCs w:val="21"/>
          <w:highlight w:val="none"/>
        </w:rPr>
      </w:pPr>
      <w:r>
        <w:rPr>
          <w:rFonts w:hint="eastAsia" w:hAnsi="宋体" w:cs="宋体"/>
          <w:b/>
          <w:bCs/>
          <w:color w:val="auto"/>
          <w:sz w:val="21"/>
          <w:szCs w:val="21"/>
          <w:highlight w:val="none"/>
        </w:rPr>
        <w:t>11.评审专家应当遵守评审工作纪律，不得泄露评审文件、评审情况和评审中获悉的商业秘密。</w:t>
      </w:r>
    </w:p>
    <w:p w14:paraId="3B8504C1">
      <w:pPr>
        <w:shd w:val="clear" w:color="auto"/>
        <w:autoSpaceDE/>
        <w:autoSpaceDN/>
        <w:snapToGrid w:val="0"/>
        <w:spacing w:line="500" w:lineRule="exact"/>
        <w:ind w:firstLine="422" w:firstLineChars="200"/>
        <w:rPr>
          <w:rFonts w:hint="eastAsia" w:hAnsi="宋体" w:cs="宋体"/>
          <w:b/>
          <w:bCs/>
          <w:color w:val="auto"/>
          <w:sz w:val="21"/>
          <w:szCs w:val="21"/>
          <w:highlight w:val="none"/>
        </w:rPr>
      </w:pPr>
      <w:r>
        <w:rPr>
          <w:rFonts w:hint="eastAsia" w:hAnsi="宋体" w:cs="宋体"/>
          <w:b/>
          <w:bCs/>
          <w:color w:val="auto"/>
          <w:sz w:val="21"/>
          <w:szCs w:val="21"/>
          <w:highlight w:val="none"/>
        </w:rPr>
        <w:t>评审委员会在评审过程中发现投标人有行贿、提供虚假材料或者串通等违法行为的，应当及时向财政部门报告。</w:t>
      </w:r>
    </w:p>
    <w:p w14:paraId="72A12F7B">
      <w:pPr>
        <w:shd w:val="clear" w:color="auto"/>
        <w:autoSpaceDE/>
        <w:autoSpaceDN/>
        <w:snapToGrid w:val="0"/>
        <w:spacing w:line="500" w:lineRule="exact"/>
        <w:ind w:firstLine="422" w:firstLineChars="200"/>
        <w:rPr>
          <w:rFonts w:hint="eastAsia" w:hAnsi="宋体" w:cs="宋体"/>
          <w:b/>
          <w:bCs/>
          <w:color w:val="auto"/>
          <w:sz w:val="21"/>
          <w:szCs w:val="21"/>
          <w:highlight w:val="none"/>
        </w:rPr>
      </w:pPr>
      <w:r>
        <w:rPr>
          <w:rFonts w:hint="eastAsia" w:hAnsi="宋体" w:cs="宋体"/>
          <w:b/>
          <w:bCs/>
          <w:color w:val="auto"/>
          <w:sz w:val="21"/>
          <w:szCs w:val="21"/>
          <w:highlight w:val="none"/>
        </w:rPr>
        <w:t>12.招标文件内容违反国家有关强制性规定的，评审委员会应当停止评审并向采购代理机构说明情况。</w:t>
      </w:r>
    </w:p>
    <w:p w14:paraId="5B3E70E1">
      <w:pPr>
        <w:shd w:val="clear" w:color="auto"/>
        <w:autoSpaceDE/>
        <w:autoSpaceDN/>
        <w:snapToGrid w:val="0"/>
        <w:spacing w:line="500" w:lineRule="exact"/>
        <w:ind w:firstLine="420" w:firstLineChars="200"/>
        <w:rPr>
          <w:rFonts w:hint="eastAsia" w:hAnsi="宋体" w:cs="宋体"/>
          <w:color w:val="auto"/>
          <w:sz w:val="21"/>
          <w:szCs w:val="21"/>
          <w:highlight w:val="none"/>
        </w:rPr>
      </w:pPr>
      <w:r>
        <w:rPr>
          <w:rFonts w:hint="eastAsia" w:hAnsi="宋体" w:cs="宋体"/>
          <w:color w:val="auto"/>
          <w:sz w:val="21"/>
          <w:szCs w:val="21"/>
          <w:highlight w:val="none"/>
        </w:rPr>
        <w:t>13.评审专家应当配合采购代理机构答复投标人提出的质疑。</w:t>
      </w:r>
    </w:p>
    <w:p w14:paraId="5FED4989">
      <w:pPr>
        <w:shd w:val="clear" w:color="auto"/>
        <w:autoSpaceDE/>
        <w:autoSpaceDN/>
        <w:snapToGrid w:val="0"/>
        <w:spacing w:line="500" w:lineRule="exact"/>
        <w:ind w:firstLine="420" w:firstLineChars="200"/>
        <w:rPr>
          <w:rFonts w:hint="eastAsia" w:hAnsi="宋体" w:cs="宋体"/>
          <w:color w:val="auto"/>
          <w:sz w:val="21"/>
          <w:szCs w:val="21"/>
          <w:highlight w:val="none"/>
        </w:rPr>
      </w:pPr>
      <w:r>
        <w:rPr>
          <w:rFonts w:hint="eastAsia" w:hAnsi="宋体" w:cs="宋体"/>
          <w:color w:val="auto"/>
          <w:sz w:val="21"/>
          <w:szCs w:val="21"/>
          <w:highlight w:val="none"/>
        </w:rPr>
        <w:t>14.评审专家应当配合财政部门的投诉处理工作。</w:t>
      </w:r>
    </w:p>
    <w:p w14:paraId="2B2D5A4F">
      <w:pPr>
        <w:shd w:val="clear" w:color="auto"/>
        <w:autoSpaceDE/>
        <w:autoSpaceDN/>
        <w:snapToGrid w:val="0"/>
        <w:spacing w:line="500" w:lineRule="exact"/>
        <w:ind w:firstLine="420" w:firstLineChars="200"/>
        <w:rPr>
          <w:rFonts w:hint="eastAsia" w:hAnsi="宋体" w:cs="宋体"/>
          <w:color w:val="auto"/>
          <w:sz w:val="21"/>
          <w:szCs w:val="21"/>
          <w:highlight w:val="none"/>
        </w:rPr>
      </w:pPr>
      <w:r>
        <w:rPr>
          <w:rFonts w:hint="eastAsia" w:hAnsi="宋体" w:cs="宋体"/>
          <w:color w:val="auto"/>
          <w:sz w:val="21"/>
          <w:szCs w:val="21"/>
          <w:highlight w:val="none"/>
        </w:rPr>
        <w:t>15.评审专家有如下行为之一的，责令改正，给予警告，可以并处一千元以下的罚款：</w:t>
      </w:r>
    </w:p>
    <w:p w14:paraId="65507808">
      <w:pPr>
        <w:shd w:val="clear" w:color="auto"/>
        <w:autoSpaceDE/>
        <w:autoSpaceDN/>
        <w:snapToGrid w:val="0"/>
        <w:spacing w:line="500" w:lineRule="exact"/>
        <w:ind w:firstLine="420" w:firstLineChars="200"/>
        <w:rPr>
          <w:rFonts w:hint="eastAsia" w:hAnsi="宋体" w:cs="宋体"/>
          <w:color w:val="auto"/>
          <w:sz w:val="21"/>
          <w:szCs w:val="21"/>
          <w:highlight w:val="none"/>
        </w:rPr>
      </w:pPr>
      <w:r>
        <w:rPr>
          <w:rFonts w:hint="eastAsia" w:hAnsi="宋体" w:cs="宋体"/>
          <w:color w:val="auto"/>
          <w:sz w:val="21"/>
          <w:szCs w:val="21"/>
          <w:highlight w:val="none"/>
        </w:rPr>
        <w:t>①明知应当回避而未主动回避的；</w:t>
      </w:r>
    </w:p>
    <w:p w14:paraId="3289D2A2">
      <w:pPr>
        <w:shd w:val="clear" w:color="auto"/>
        <w:autoSpaceDE/>
        <w:autoSpaceDN/>
        <w:snapToGrid w:val="0"/>
        <w:spacing w:line="500" w:lineRule="exact"/>
        <w:ind w:firstLine="420" w:firstLineChars="200"/>
        <w:rPr>
          <w:rFonts w:hint="eastAsia" w:hAnsi="宋体" w:cs="宋体"/>
          <w:color w:val="auto"/>
          <w:sz w:val="21"/>
          <w:szCs w:val="21"/>
          <w:highlight w:val="none"/>
        </w:rPr>
      </w:pPr>
      <w:r>
        <w:rPr>
          <w:rFonts w:hint="eastAsia" w:hAnsi="宋体" w:cs="宋体"/>
          <w:snapToGrid w:val="0"/>
          <w:color w:val="auto"/>
          <w:sz w:val="21"/>
          <w:szCs w:val="21"/>
          <w:highlight w:val="none"/>
        </w:rPr>
        <w:t>②在得知自己为评审专家身份后至评审结束前时段内私下接触投标人的</w:t>
      </w:r>
      <w:r>
        <w:rPr>
          <w:rFonts w:hint="eastAsia" w:hAnsi="宋体" w:cs="宋体"/>
          <w:color w:val="auto"/>
          <w:sz w:val="21"/>
          <w:szCs w:val="21"/>
          <w:highlight w:val="none"/>
        </w:rPr>
        <w:t>；</w:t>
      </w:r>
    </w:p>
    <w:p w14:paraId="2148ECE1">
      <w:pPr>
        <w:shd w:val="clear" w:color="auto"/>
        <w:autoSpaceDE/>
        <w:autoSpaceDN/>
        <w:snapToGrid w:val="0"/>
        <w:spacing w:line="500" w:lineRule="exact"/>
        <w:ind w:firstLine="420" w:firstLineChars="200"/>
        <w:rPr>
          <w:rFonts w:hint="eastAsia" w:hAnsi="宋体" w:cs="宋体"/>
          <w:color w:val="auto"/>
          <w:sz w:val="21"/>
          <w:szCs w:val="21"/>
          <w:highlight w:val="none"/>
        </w:rPr>
      </w:pPr>
      <w:r>
        <w:rPr>
          <w:rFonts w:hint="eastAsia" w:hAnsi="宋体" w:cs="宋体"/>
          <w:color w:val="auto"/>
          <w:sz w:val="21"/>
          <w:szCs w:val="21"/>
          <w:highlight w:val="none"/>
        </w:rPr>
        <w:t>③在评审过程中擅离职守，影响评审程序正常进行的；</w:t>
      </w:r>
    </w:p>
    <w:p w14:paraId="3FFD97B7">
      <w:pPr>
        <w:shd w:val="clear" w:color="auto"/>
        <w:autoSpaceDE/>
        <w:autoSpaceDN/>
        <w:snapToGrid w:val="0"/>
        <w:spacing w:line="500" w:lineRule="exact"/>
        <w:ind w:firstLine="420" w:firstLineChars="200"/>
        <w:rPr>
          <w:rFonts w:hint="eastAsia" w:hAnsi="宋体" w:cs="宋体"/>
          <w:color w:val="auto"/>
          <w:sz w:val="21"/>
          <w:szCs w:val="21"/>
          <w:highlight w:val="none"/>
        </w:rPr>
      </w:pPr>
      <w:r>
        <w:rPr>
          <w:rFonts w:hint="eastAsia" w:hAnsi="宋体" w:cs="宋体"/>
          <w:color w:val="auto"/>
          <w:sz w:val="21"/>
          <w:szCs w:val="21"/>
          <w:highlight w:val="none"/>
        </w:rPr>
        <w:t>④在评审过程有明显不合理或者不正当倾向性的；</w:t>
      </w:r>
    </w:p>
    <w:p w14:paraId="42C75C60">
      <w:pPr>
        <w:shd w:val="clear" w:color="auto"/>
        <w:autoSpaceDE/>
        <w:autoSpaceDN/>
        <w:snapToGrid w:val="0"/>
        <w:spacing w:line="500" w:lineRule="exact"/>
        <w:ind w:firstLine="420" w:firstLineChars="200"/>
        <w:rPr>
          <w:rFonts w:hint="eastAsia" w:hAnsi="宋体" w:cs="宋体"/>
          <w:color w:val="auto"/>
          <w:sz w:val="21"/>
          <w:szCs w:val="21"/>
          <w:highlight w:val="none"/>
        </w:rPr>
      </w:pPr>
      <w:r>
        <w:rPr>
          <w:rFonts w:hint="eastAsia" w:hAnsi="宋体" w:cs="宋体"/>
          <w:color w:val="auto"/>
          <w:sz w:val="21"/>
          <w:szCs w:val="21"/>
          <w:highlight w:val="none"/>
        </w:rPr>
        <w:t>⑤未按招标文件规定的评审方法和标准进行评审的；</w:t>
      </w:r>
    </w:p>
    <w:p w14:paraId="4113E764">
      <w:pPr>
        <w:shd w:val="clear" w:color="auto"/>
        <w:autoSpaceDE/>
        <w:autoSpaceDN/>
        <w:snapToGrid w:val="0"/>
        <w:spacing w:line="500" w:lineRule="exact"/>
        <w:ind w:firstLine="420" w:firstLineChars="200"/>
        <w:rPr>
          <w:rFonts w:hint="eastAsia" w:hAnsi="宋体" w:cs="宋体"/>
          <w:color w:val="auto"/>
          <w:sz w:val="21"/>
          <w:szCs w:val="21"/>
          <w:highlight w:val="none"/>
        </w:rPr>
      </w:pPr>
      <w:r>
        <w:rPr>
          <w:rFonts w:hint="eastAsia" w:hAnsi="宋体" w:cs="宋体"/>
          <w:color w:val="auto"/>
          <w:sz w:val="21"/>
          <w:szCs w:val="21"/>
          <w:highlight w:val="none"/>
        </w:rPr>
        <w:t>⑥上述①至⑤行为影响中标结果的，中标结果无效。</w:t>
      </w:r>
    </w:p>
    <w:p w14:paraId="7379114D">
      <w:pPr>
        <w:shd w:val="clear" w:color="auto"/>
        <w:autoSpaceDE/>
        <w:autoSpaceDN/>
        <w:snapToGrid w:val="0"/>
        <w:spacing w:line="500" w:lineRule="exact"/>
        <w:ind w:firstLine="420" w:firstLineChars="200"/>
        <w:rPr>
          <w:rFonts w:hint="eastAsia" w:hAnsi="宋体" w:cs="宋体"/>
          <w:color w:val="auto"/>
          <w:sz w:val="21"/>
          <w:szCs w:val="21"/>
          <w:highlight w:val="none"/>
        </w:rPr>
      </w:pPr>
      <w:r>
        <w:rPr>
          <w:rFonts w:hint="eastAsia" w:hAnsi="宋体" w:cs="宋体"/>
          <w:color w:val="auto"/>
          <w:sz w:val="21"/>
          <w:szCs w:val="21"/>
          <w:highlight w:val="none"/>
        </w:rPr>
        <w:t>16.政府采购评审专家未按照招标文件规定的评审程序、评审方法和评审标准进行独立评审或者泄露评审文件、评审情况的，由财政部门给予警告，并处2000元以上2万元以下的罚款；影响中标、成交结果的，处2万元以上5万元以下的罚款，禁止其参加政府采购评审活动。</w:t>
      </w:r>
    </w:p>
    <w:p w14:paraId="37C44A67">
      <w:pPr>
        <w:shd w:val="clear" w:color="auto"/>
        <w:autoSpaceDE/>
        <w:autoSpaceDN/>
        <w:snapToGrid w:val="0"/>
        <w:spacing w:line="500" w:lineRule="exact"/>
        <w:ind w:firstLine="420" w:firstLineChars="200"/>
        <w:rPr>
          <w:rFonts w:hint="eastAsia" w:hAnsi="宋体" w:cs="宋体"/>
          <w:color w:val="auto"/>
          <w:sz w:val="21"/>
          <w:szCs w:val="21"/>
          <w:highlight w:val="none"/>
        </w:rPr>
      </w:pPr>
      <w:r>
        <w:rPr>
          <w:rFonts w:hint="eastAsia" w:hAnsi="宋体" w:cs="宋体"/>
          <w:color w:val="auto"/>
          <w:sz w:val="21"/>
          <w:szCs w:val="21"/>
          <w:highlight w:val="none"/>
        </w:rPr>
        <w:t>政府采购评审专家与投标人存在利害关系未回避的，处2万元以上5万元以下的罚款，禁止其参加政府采购评审活动。</w:t>
      </w:r>
    </w:p>
    <w:p w14:paraId="047379AB">
      <w:pPr>
        <w:shd w:val="clear" w:color="auto"/>
        <w:autoSpaceDE/>
        <w:autoSpaceDN/>
        <w:snapToGrid w:val="0"/>
        <w:spacing w:line="500" w:lineRule="exact"/>
        <w:ind w:firstLine="420" w:firstLineChars="200"/>
        <w:rPr>
          <w:rFonts w:hint="eastAsia" w:hAnsi="宋体" w:cs="宋体"/>
          <w:color w:val="auto"/>
          <w:sz w:val="21"/>
          <w:szCs w:val="21"/>
          <w:highlight w:val="none"/>
        </w:rPr>
      </w:pPr>
      <w:r>
        <w:rPr>
          <w:rFonts w:hint="eastAsia" w:hAnsi="宋体" w:cs="宋体"/>
          <w:color w:val="auto"/>
          <w:sz w:val="21"/>
          <w:szCs w:val="21"/>
          <w:highlight w:val="none"/>
        </w:rPr>
        <w:t>政府采购评审专家收受采购人、采购代理机构、投标人贿赂或者获取其他不正当利益，构成犯罪的，依法追究刑事责任；尚不构成犯罪的，处2万元以上5万元以下的罚款，禁止其参加政府采购评审活动。</w:t>
      </w:r>
    </w:p>
    <w:p w14:paraId="4CE39711">
      <w:pPr>
        <w:shd w:val="clear" w:color="auto"/>
        <w:autoSpaceDE/>
        <w:autoSpaceDN/>
        <w:snapToGrid w:val="0"/>
        <w:spacing w:line="500" w:lineRule="exact"/>
        <w:ind w:firstLine="420" w:firstLineChars="200"/>
        <w:rPr>
          <w:rFonts w:hint="eastAsia" w:hAnsi="宋体" w:cs="宋体"/>
          <w:color w:val="auto"/>
          <w:sz w:val="21"/>
          <w:szCs w:val="21"/>
          <w:highlight w:val="none"/>
        </w:rPr>
      </w:pPr>
      <w:r>
        <w:rPr>
          <w:rFonts w:hint="eastAsia" w:hAnsi="宋体" w:cs="宋体"/>
          <w:color w:val="auto"/>
          <w:sz w:val="21"/>
          <w:szCs w:val="21"/>
          <w:highlight w:val="none"/>
        </w:rPr>
        <w:t>政府采购评审专家有上述违法行为的，其评审意见无效，不得获取评审费；有违法所得的，没收违法所得；给他人造成损失的，依法承担民事责任。</w:t>
      </w:r>
    </w:p>
    <w:p w14:paraId="33EFC848">
      <w:pPr>
        <w:pStyle w:val="43"/>
        <w:shd w:val="clear" w:color="auto"/>
        <w:adjustRightInd w:val="0"/>
        <w:snapToGrid w:val="0"/>
        <w:spacing w:before="0" w:beforeAutospacing="0" w:after="0" w:afterAutospacing="0" w:line="500" w:lineRule="exact"/>
        <w:ind w:firstLine="422" w:firstLineChars="200"/>
        <w:rPr>
          <w:rFonts w:hint="eastAsia" w:ascii="宋体" w:cs="宋体"/>
          <w:b/>
          <w:color w:val="auto"/>
          <w:sz w:val="21"/>
          <w:szCs w:val="21"/>
          <w:highlight w:val="none"/>
        </w:rPr>
      </w:pPr>
      <w:r>
        <w:rPr>
          <w:rFonts w:hint="eastAsia" w:ascii="宋体" w:cs="宋体"/>
          <w:b/>
          <w:color w:val="auto"/>
          <w:sz w:val="21"/>
          <w:szCs w:val="21"/>
          <w:highlight w:val="none"/>
        </w:rPr>
        <w:t>三、评标定标时对政府采购政策的落实要求</w:t>
      </w:r>
    </w:p>
    <w:p w14:paraId="216F063D">
      <w:pPr>
        <w:pStyle w:val="43"/>
        <w:shd w:val="clear" w:color="auto"/>
        <w:adjustRightInd w:val="0"/>
        <w:snapToGrid w:val="0"/>
        <w:spacing w:before="0" w:beforeAutospacing="0" w:after="0" w:afterAutospacing="0" w:line="500" w:lineRule="exact"/>
        <w:ind w:firstLine="420" w:firstLineChars="200"/>
        <w:rPr>
          <w:rFonts w:hint="eastAsia" w:ascii="宋体" w:cs="宋体"/>
          <w:color w:val="auto"/>
          <w:sz w:val="21"/>
          <w:szCs w:val="21"/>
          <w:highlight w:val="none"/>
          <w:lang w:bidi="ar"/>
        </w:rPr>
      </w:pPr>
      <w:r>
        <w:rPr>
          <w:rFonts w:hint="eastAsia" w:ascii="宋体" w:cs="宋体"/>
          <w:color w:val="auto"/>
          <w:sz w:val="21"/>
          <w:szCs w:val="21"/>
          <w:highlight w:val="none"/>
          <w:lang w:val="en" w:bidi="ar"/>
        </w:rPr>
        <w:t>1</w:t>
      </w:r>
      <w:r>
        <w:rPr>
          <w:rFonts w:hint="eastAsia" w:ascii="宋体" w:cs="宋体"/>
          <w:color w:val="auto"/>
          <w:sz w:val="21"/>
          <w:szCs w:val="21"/>
          <w:highlight w:val="none"/>
          <w:lang w:bidi="ar"/>
        </w:rPr>
        <w:t>.采购项目需要落实的政府采购政策</w:t>
      </w:r>
    </w:p>
    <w:p w14:paraId="117E59E4">
      <w:pPr>
        <w:pStyle w:val="43"/>
        <w:shd w:val="clear" w:color="auto"/>
        <w:adjustRightInd w:val="0"/>
        <w:snapToGrid w:val="0"/>
        <w:spacing w:before="0" w:beforeAutospacing="0" w:after="0" w:afterAutospacing="0" w:line="500" w:lineRule="exact"/>
        <w:ind w:firstLine="420" w:firstLineChars="200"/>
        <w:rPr>
          <w:rFonts w:hint="eastAsia" w:ascii="宋体" w:cs="宋体"/>
          <w:color w:val="auto"/>
          <w:sz w:val="21"/>
          <w:szCs w:val="21"/>
          <w:highlight w:val="none"/>
          <w:lang w:bidi="ar"/>
        </w:rPr>
      </w:pPr>
      <w:r>
        <w:rPr>
          <w:rFonts w:hint="eastAsia" w:ascii="宋体" w:cs="宋体"/>
          <w:color w:val="auto"/>
          <w:sz w:val="21"/>
          <w:szCs w:val="21"/>
          <w:highlight w:val="none"/>
          <w:lang w:val="en" w:bidi="ar"/>
        </w:rPr>
        <w:t>1</w:t>
      </w:r>
      <w:r>
        <w:rPr>
          <w:rFonts w:hint="eastAsia" w:ascii="宋体" w:cs="宋体"/>
          <w:color w:val="auto"/>
          <w:sz w:val="21"/>
          <w:szCs w:val="21"/>
          <w:highlight w:val="none"/>
          <w:lang w:bidi="ar"/>
        </w:rPr>
        <w:t>.1 本项目原则上采购本国生产的货物、工程和服务，不允许采购进口产品。除非采购人采购进口产品，已经在采购活动开始前向财政部门提出申请并获得财政部门审核同意，且在采购需求中明确规定可以采购进口产品，未明确视同不得采购进口产品（但如果因信息不对称等原因，仍有满足需求的国内产品要求参与采购竞争的，采购人、采购机构不会对其加以限制，仍将按照公平竞争原则实施采购）。</w:t>
      </w:r>
    </w:p>
    <w:p w14:paraId="77CD6C20">
      <w:pPr>
        <w:pStyle w:val="43"/>
        <w:shd w:val="clear" w:color="auto"/>
        <w:adjustRightInd w:val="0"/>
        <w:snapToGrid w:val="0"/>
        <w:spacing w:before="0" w:beforeAutospacing="0" w:after="0" w:afterAutospacing="0" w:line="500" w:lineRule="exact"/>
        <w:ind w:firstLine="420" w:firstLineChars="200"/>
        <w:rPr>
          <w:rFonts w:hint="eastAsia" w:ascii="宋体" w:cs="宋体"/>
          <w:color w:val="auto"/>
          <w:sz w:val="21"/>
          <w:szCs w:val="21"/>
          <w:highlight w:val="none"/>
          <w:lang w:bidi="ar"/>
        </w:rPr>
      </w:pPr>
      <w:r>
        <w:rPr>
          <w:rFonts w:hint="eastAsia" w:ascii="宋体" w:cs="宋体"/>
          <w:color w:val="auto"/>
          <w:sz w:val="21"/>
          <w:szCs w:val="21"/>
          <w:highlight w:val="none"/>
          <w:lang w:val="en" w:bidi="ar"/>
        </w:rPr>
        <w:t>1</w:t>
      </w:r>
      <w:r>
        <w:rPr>
          <w:rFonts w:hint="eastAsia" w:ascii="宋体" w:cs="宋体"/>
          <w:color w:val="auto"/>
          <w:sz w:val="21"/>
          <w:szCs w:val="21"/>
          <w:highlight w:val="none"/>
          <w:lang w:bidi="ar"/>
        </w:rPr>
        <w:t>.2 支持绿色发展</w:t>
      </w:r>
    </w:p>
    <w:p w14:paraId="515FDD10">
      <w:pPr>
        <w:pStyle w:val="43"/>
        <w:shd w:val="clear" w:color="auto"/>
        <w:adjustRightInd w:val="0"/>
        <w:snapToGrid w:val="0"/>
        <w:spacing w:before="0" w:beforeAutospacing="0" w:after="0" w:afterAutospacing="0" w:line="500" w:lineRule="exact"/>
        <w:ind w:firstLine="420" w:firstLineChars="200"/>
        <w:rPr>
          <w:rFonts w:hint="eastAsia" w:ascii="宋体" w:cs="宋体"/>
          <w:color w:val="auto"/>
          <w:sz w:val="21"/>
          <w:szCs w:val="21"/>
          <w:highlight w:val="none"/>
          <w:lang w:bidi="ar"/>
        </w:rPr>
      </w:pPr>
      <w:r>
        <w:rPr>
          <w:rFonts w:hint="eastAsia" w:ascii="宋体" w:cs="宋体"/>
          <w:color w:val="auto"/>
          <w:sz w:val="21"/>
          <w:szCs w:val="21"/>
          <w:highlight w:val="none"/>
          <w:lang w:val="en" w:bidi="ar"/>
        </w:rPr>
        <w:t>1</w:t>
      </w:r>
      <w:r>
        <w:rPr>
          <w:rFonts w:hint="eastAsia" w:ascii="宋体" w:cs="宋体"/>
          <w:color w:val="auto"/>
          <w:sz w:val="21"/>
          <w:szCs w:val="21"/>
          <w:highlight w:val="none"/>
          <w:lang w:bidi="ar"/>
        </w:rPr>
        <w:t>.2.1采购人拟采购的产品属于品目清单范围的，采购人及其委托的采购代理机构将依据国家确定的认证机构出具的、处于有效期之内的节能产品、环境标志产品认证证书，对获得证书的产品实施政府优先采购或强制采购。供应商须按采购文件要求提供相关产品认证证书。▲采购人拟采购的产品属于政府强制采购的节能产品品目清单范围的，供应商未按采购文件要求提供国家确定的认证机构出具的、处于有效期之内的节能产品认证证书的，投标无效。</w:t>
      </w:r>
    </w:p>
    <w:p w14:paraId="623EC4BA">
      <w:pPr>
        <w:pStyle w:val="43"/>
        <w:shd w:val="clear" w:color="auto"/>
        <w:adjustRightInd w:val="0"/>
        <w:snapToGrid w:val="0"/>
        <w:spacing w:before="0" w:beforeAutospacing="0" w:after="0" w:afterAutospacing="0" w:line="500" w:lineRule="exact"/>
        <w:ind w:firstLine="420" w:firstLineChars="200"/>
        <w:rPr>
          <w:rFonts w:hint="eastAsia" w:ascii="宋体" w:cs="宋体"/>
          <w:color w:val="auto"/>
          <w:sz w:val="21"/>
          <w:szCs w:val="21"/>
          <w:highlight w:val="none"/>
          <w:lang w:bidi="ar"/>
        </w:rPr>
      </w:pPr>
      <w:r>
        <w:rPr>
          <w:rFonts w:hint="eastAsia" w:ascii="宋体" w:cs="宋体"/>
          <w:color w:val="auto"/>
          <w:sz w:val="21"/>
          <w:szCs w:val="21"/>
          <w:highlight w:val="none"/>
          <w:lang w:val="en" w:bidi="ar"/>
        </w:rPr>
        <w:t>1</w:t>
      </w:r>
      <w:r>
        <w:rPr>
          <w:rFonts w:hint="eastAsia" w:ascii="宋体" w:cs="宋体"/>
          <w:color w:val="auto"/>
          <w:sz w:val="21"/>
          <w:szCs w:val="21"/>
          <w:highlight w:val="none"/>
          <w:lang w:bidi="ar"/>
        </w:rPr>
        <w:t>.2.2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p>
    <w:p w14:paraId="220A13A5">
      <w:pPr>
        <w:pStyle w:val="43"/>
        <w:shd w:val="clear" w:color="auto"/>
        <w:adjustRightInd w:val="0"/>
        <w:snapToGrid w:val="0"/>
        <w:spacing w:before="0" w:beforeAutospacing="0" w:after="0" w:afterAutospacing="0" w:line="500" w:lineRule="exact"/>
        <w:ind w:firstLine="420" w:firstLineChars="200"/>
        <w:rPr>
          <w:rFonts w:hint="eastAsia" w:ascii="宋体" w:cs="宋体"/>
          <w:color w:val="auto"/>
          <w:sz w:val="21"/>
          <w:szCs w:val="21"/>
          <w:highlight w:val="none"/>
          <w:lang w:bidi="ar"/>
        </w:rPr>
      </w:pPr>
      <w:r>
        <w:rPr>
          <w:rFonts w:hint="eastAsia" w:ascii="宋体" w:cs="宋体"/>
          <w:color w:val="auto"/>
          <w:sz w:val="21"/>
          <w:szCs w:val="21"/>
          <w:highlight w:val="none"/>
          <w:lang w:val="en" w:bidi="ar"/>
        </w:rPr>
        <w:t>1</w:t>
      </w:r>
      <w:r>
        <w:rPr>
          <w:rFonts w:hint="eastAsia" w:ascii="宋体" w:cs="宋体"/>
          <w:color w:val="auto"/>
          <w:sz w:val="21"/>
          <w:szCs w:val="21"/>
          <w:highlight w:val="none"/>
          <w:lang w:bidi="ar"/>
        </w:rPr>
        <w:t>.3支持中小企业发展</w:t>
      </w:r>
    </w:p>
    <w:p w14:paraId="0DCCCAEE">
      <w:pPr>
        <w:pStyle w:val="43"/>
        <w:shd w:val="clear" w:color="auto"/>
        <w:adjustRightInd w:val="0"/>
        <w:snapToGrid w:val="0"/>
        <w:spacing w:before="0" w:beforeAutospacing="0" w:after="0" w:afterAutospacing="0" w:line="500" w:lineRule="exact"/>
        <w:ind w:firstLine="420" w:firstLineChars="200"/>
        <w:rPr>
          <w:rFonts w:hint="eastAsia" w:ascii="宋体" w:cs="宋体"/>
          <w:color w:val="auto"/>
          <w:sz w:val="21"/>
          <w:szCs w:val="21"/>
          <w:highlight w:val="none"/>
          <w:lang w:bidi="ar"/>
        </w:rPr>
      </w:pPr>
      <w:r>
        <w:rPr>
          <w:rFonts w:hint="eastAsia" w:ascii="宋体" w:cs="宋体"/>
          <w:color w:val="auto"/>
          <w:sz w:val="21"/>
          <w:szCs w:val="21"/>
          <w:highlight w:val="none"/>
          <w:lang w:val="en" w:bidi="ar"/>
        </w:rPr>
        <w:t>1</w:t>
      </w:r>
      <w:r>
        <w:rPr>
          <w:rFonts w:hint="eastAsia" w:ascii="宋体" w:cs="宋体"/>
          <w:color w:val="auto"/>
          <w:sz w:val="21"/>
          <w:szCs w:val="21"/>
          <w:highlight w:val="none"/>
          <w:lang w:bidi="ar"/>
        </w:rPr>
        <w:t>.3.1中小企业，是指在中华人民共和国境内依法设立，依据国务院批准的中小企业划分标准确定的中型企业、小型企业和微型企业，但与大企业的负责人为同一人，或者与大企业存在直接控股、管理关系的除外。</w:t>
      </w:r>
    </w:p>
    <w:p w14:paraId="37B07A76">
      <w:pPr>
        <w:pStyle w:val="43"/>
        <w:shd w:val="clear" w:color="auto"/>
        <w:adjustRightInd w:val="0"/>
        <w:snapToGrid w:val="0"/>
        <w:spacing w:before="0" w:beforeAutospacing="0" w:after="0" w:afterAutospacing="0" w:line="500" w:lineRule="exact"/>
        <w:ind w:firstLine="420" w:firstLineChars="200"/>
        <w:rPr>
          <w:rFonts w:hint="eastAsia" w:ascii="宋体" w:cs="宋体"/>
          <w:color w:val="auto"/>
          <w:sz w:val="21"/>
          <w:szCs w:val="21"/>
          <w:highlight w:val="none"/>
          <w:lang w:bidi="ar"/>
        </w:rPr>
      </w:pPr>
      <w:r>
        <w:rPr>
          <w:rFonts w:hint="eastAsia" w:ascii="宋体" w:cs="宋体"/>
          <w:color w:val="auto"/>
          <w:sz w:val="21"/>
          <w:szCs w:val="21"/>
          <w:highlight w:val="none"/>
          <w:lang w:bidi="ar"/>
        </w:rPr>
        <w:t>符合中小企业划分标准的个体工商户，在政府采购活动中视同中小企业。</w:t>
      </w:r>
    </w:p>
    <w:p w14:paraId="3A6965B5">
      <w:pPr>
        <w:pStyle w:val="43"/>
        <w:shd w:val="clear" w:color="auto"/>
        <w:adjustRightInd w:val="0"/>
        <w:snapToGrid w:val="0"/>
        <w:spacing w:before="0" w:beforeAutospacing="0" w:after="0" w:afterAutospacing="0" w:line="500" w:lineRule="exact"/>
        <w:ind w:firstLine="420" w:firstLineChars="200"/>
        <w:rPr>
          <w:rFonts w:hint="eastAsia" w:ascii="宋体" w:cs="宋体"/>
          <w:color w:val="auto"/>
          <w:sz w:val="21"/>
          <w:szCs w:val="21"/>
          <w:highlight w:val="none"/>
          <w:lang w:bidi="ar"/>
        </w:rPr>
      </w:pPr>
      <w:r>
        <w:rPr>
          <w:rFonts w:hint="eastAsia" w:ascii="宋体" w:cs="宋体"/>
          <w:color w:val="auto"/>
          <w:sz w:val="21"/>
          <w:szCs w:val="21"/>
          <w:highlight w:val="none"/>
          <w:lang w:val="en" w:bidi="ar"/>
        </w:rPr>
        <w:t>1</w:t>
      </w:r>
      <w:r>
        <w:rPr>
          <w:rFonts w:hint="eastAsia" w:ascii="宋体" w:cs="宋体"/>
          <w:color w:val="auto"/>
          <w:sz w:val="21"/>
          <w:szCs w:val="21"/>
          <w:highlight w:val="none"/>
          <w:lang w:bidi="ar"/>
        </w:rPr>
        <w:t>.3.2在政府采购活动中，供应商提供的货物、工程或者服务符合下列情形的，享受中小企业扶持政策；</w:t>
      </w:r>
    </w:p>
    <w:p w14:paraId="52161D48">
      <w:pPr>
        <w:pStyle w:val="43"/>
        <w:shd w:val="clear" w:color="auto"/>
        <w:adjustRightInd w:val="0"/>
        <w:snapToGrid w:val="0"/>
        <w:spacing w:before="0" w:beforeAutospacing="0" w:after="0" w:afterAutospacing="0" w:line="500" w:lineRule="exact"/>
        <w:ind w:firstLine="420" w:firstLineChars="200"/>
        <w:rPr>
          <w:rFonts w:hint="eastAsia" w:ascii="宋体" w:cs="宋体"/>
          <w:color w:val="auto"/>
          <w:sz w:val="21"/>
          <w:szCs w:val="21"/>
          <w:highlight w:val="none"/>
          <w:lang w:bidi="ar"/>
        </w:rPr>
      </w:pPr>
      <w:r>
        <w:rPr>
          <w:rFonts w:hint="eastAsia" w:ascii="宋体" w:cs="宋体"/>
          <w:color w:val="auto"/>
          <w:sz w:val="21"/>
          <w:szCs w:val="21"/>
          <w:highlight w:val="none"/>
          <w:lang w:val="en" w:bidi="ar"/>
        </w:rPr>
        <w:t>1</w:t>
      </w:r>
      <w:r>
        <w:rPr>
          <w:rFonts w:hint="eastAsia" w:ascii="宋体" w:cs="宋体"/>
          <w:color w:val="auto"/>
          <w:sz w:val="21"/>
          <w:szCs w:val="21"/>
          <w:highlight w:val="none"/>
          <w:lang w:bidi="ar"/>
        </w:rPr>
        <w:t>.3.2.1在货物采购项目中，货物由中小企业制造，即货物由中小企业生产且使用该中小企业商号或者注册商标；</w:t>
      </w:r>
    </w:p>
    <w:p w14:paraId="1D7B3F16">
      <w:pPr>
        <w:pStyle w:val="43"/>
        <w:shd w:val="clear" w:color="auto"/>
        <w:adjustRightInd w:val="0"/>
        <w:snapToGrid w:val="0"/>
        <w:spacing w:before="0" w:beforeAutospacing="0" w:after="0" w:afterAutospacing="0" w:line="500" w:lineRule="exact"/>
        <w:ind w:firstLine="420" w:firstLineChars="200"/>
        <w:rPr>
          <w:rFonts w:hint="eastAsia" w:ascii="宋体" w:cs="宋体"/>
          <w:color w:val="auto"/>
          <w:sz w:val="21"/>
          <w:szCs w:val="21"/>
          <w:highlight w:val="none"/>
          <w:lang w:bidi="ar"/>
        </w:rPr>
      </w:pPr>
      <w:r>
        <w:rPr>
          <w:rFonts w:hint="eastAsia" w:ascii="宋体" w:cs="宋体"/>
          <w:color w:val="auto"/>
          <w:sz w:val="21"/>
          <w:szCs w:val="21"/>
          <w:highlight w:val="none"/>
          <w:lang w:val="en" w:bidi="ar"/>
        </w:rPr>
        <w:t>1</w:t>
      </w:r>
      <w:r>
        <w:rPr>
          <w:rFonts w:hint="eastAsia" w:ascii="宋体" w:cs="宋体"/>
          <w:color w:val="auto"/>
          <w:sz w:val="21"/>
          <w:szCs w:val="21"/>
          <w:highlight w:val="none"/>
          <w:lang w:bidi="ar"/>
        </w:rPr>
        <w:t>.3.2.2在工程采购项目中，工程由中小企业承建，即工程施工单位为中小企业；</w:t>
      </w:r>
    </w:p>
    <w:p w14:paraId="466F6CB4">
      <w:pPr>
        <w:pStyle w:val="43"/>
        <w:shd w:val="clear" w:color="auto"/>
        <w:adjustRightInd w:val="0"/>
        <w:snapToGrid w:val="0"/>
        <w:spacing w:before="0" w:beforeAutospacing="0" w:after="0" w:afterAutospacing="0" w:line="500" w:lineRule="exact"/>
        <w:ind w:firstLine="420" w:firstLineChars="200"/>
        <w:rPr>
          <w:rFonts w:hint="eastAsia" w:ascii="宋体" w:cs="宋体"/>
          <w:color w:val="auto"/>
          <w:sz w:val="21"/>
          <w:szCs w:val="21"/>
          <w:highlight w:val="none"/>
          <w:lang w:bidi="ar"/>
        </w:rPr>
      </w:pPr>
      <w:r>
        <w:rPr>
          <w:rFonts w:hint="eastAsia" w:ascii="宋体" w:cs="宋体"/>
          <w:color w:val="auto"/>
          <w:sz w:val="21"/>
          <w:szCs w:val="21"/>
          <w:highlight w:val="none"/>
          <w:lang w:val="en" w:bidi="ar"/>
        </w:rPr>
        <w:t>1</w:t>
      </w:r>
      <w:r>
        <w:rPr>
          <w:rFonts w:hint="eastAsia" w:ascii="宋体" w:cs="宋体"/>
          <w:color w:val="auto"/>
          <w:sz w:val="21"/>
          <w:szCs w:val="21"/>
          <w:highlight w:val="none"/>
          <w:lang w:bidi="ar"/>
        </w:rPr>
        <w:t>.3.2.3在服务采购项目中，服务由中小企业承接，即提供服务的人员为中小企业依照《中华人民共和国劳动合同法》订立劳动合同的从业人员。</w:t>
      </w:r>
    </w:p>
    <w:p w14:paraId="4822EC43">
      <w:pPr>
        <w:pStyle w:val="43"/>
        <w:shd w:val="clear" w:color="auto"/>
        <w:adjustRightInd w:val="0"/>
        <w:snapToGrid w:val="0"/>
        <w:spacing w:before="0" w:beforeAutospacing="0" w:after="0" w:afterAutospacing="0" w:line="500" w:lineRule="exact"/>
        <w:ind w:firstLine="420" w:firstLineChars="200"/>
        <w:rPr>
          <w:rFonts w:hint="eastAsia" w:ascii="宋体" w:cs="宋体"/>
          <w:color w:val="auto"/>
          <w:sz w:val="21"/>
          <w:szCs w:val="21"/>
          <w:highlight w:val="none"/>
          <w:lang w:bidi="ar"/>
        </w:rPr>
      </w:pPr>
      <w:r>
        <w:rPr>
          <w:rFonts w:hint="eastAsia" w:ascii="宋体" w:cs="宋体"/>
          <w:color w:val="auto"/>
          <w:sz w:val="21"/>
          <w:szCs w:val="21"/>
          <w:highlight w:val="none"/>
          <w:lang w:bidi="ar"/>
        </w:rPr>
        <w:t>在货物采购项目中，供应商提供的货物既有中小企业制造货物，也有大型企业制造货物的，不享受中小企业扶持政策。</w:t>
      </w:r>
    </w:p>
    <w:p w14:paraId="4E908069">
      <w:pPr>
        <w:pStyle w:val="43"/>
        <w:shd w:val="clear" w:color="auto"/>
        <w:adjustRightInd w:val="0"/>
        <w:snapToGrid w:val="0"/>
        <w:spacing w:before="0" w:beforeAutospacing="0" w:after="0" w:afterAutospacing="0" w:line="500" w:lineRule="exact"/>
        <w:ind w:firstLine="420" w:firstLineChars="200"/>
        <w:rPr>
          <w:rFonts w:hint="eastAsia" w:ascii="宋体" w:cs="宋体"/>
          <w:color w:val="auto"/>
          <w:sz w:val="21"/>
          <w:szCs w:val="21"/>
          <w:highlight w:val="none"/>
          <w:lang w:bidi="ar"/>
        </w:rPr>
      </w:pPr>
      <w:r>
        <w:rPr>
          <w:rFonts w:hint="eastAsia" w:ascii="宋体" w:cs="宋体"/>
          <w:color w:val="auto"/>
          <w:sz w:val="21"/>
          <w:szCs w:val="21"/>
          <w:highlight w:val="none"/>
          <w:lang w:bidi="ar"/>
        </w:rPr>
        <w:t>以联合体形式参加政府采购活动，联合体各方均为中小企业的，联合体视同中小企业。其中，联合体各方均为小微企业的，联合体视同小微企业。</w:t>
      </w:r>
    </w:p>
    <w:p w14:paraId="297F01CD">
      <w:pPr>
        <w:pStyle w:val="43"/>
        <w:shd w:val="clear" w:color="auto"/>
        <w:adjustRightInd w:val="0"/>
        <w:snapToGrid w:val="0"/>
        <w:spacing w:before="0" w:beforeAutospacing="0" w:after="0" w:afterAutospacing="0" w:line="500" w:lineRule="exact"/>
        <w:ind w:firstLine="420" w:firstLineChars="200"/>
        <w:rPr>
          <w:rFonts w:hint="eastAsia" w:ascii="宋体" w:cs="宋体"/>
          <w:color w:val="auto"/>
          <w:sz w:val="21"/>
          <w:szCs w:val="21"/>
          <w:highlight w:val="none"/>
          <w:lang w:bidi="ar"/>
        </w:rPr>
      </w:pPr>
      <w:r>
        <w:rPr>
          <w:rFonts w:hint="eastAsia" w:ascii="宋体" w:cs="宋体"/>
          <w:color w:val="auto"/>
          <w:sz w:val="21"/>
          <w:szCs w:val="21"/>
          <w:highlight w:val="none"/>
          <w:lang w:val="en" w:bidi="ar"/>
        </w:rPr>
        <w:t>1</w:t>
      </w:r>
      <w:r>
        <w:rPr>
          <w:rFonts w:hint="eastAsia" w:ascii="宋体" w:cs="宋体"/>
          <w:color w:val="auto"/>
          <w:sz w:val="21"/>
          <w:szCs w:val="21"/>
          <w:highlight w:val="none"/>
          <w:lang w:bidi="ar"/>
        </w:rPr>
        <w:t>.3.3对于未预留份额专门面向中小企业的政府采购货物或服务项目，以及预留份额政府采购货物或服务项目中的非预留部分标项，对小型和微型企业的投标报价给予扣除，用扣除后的价格参与评审。接受大中型企业与小微企业组成联合体或者允许大中型企业向一家或者多家小微企业分包的政府采购货物或服务项目，对于联合协议或者分包意向协议约定小微企业的合同份额占到合同总金额30%以上的，对联合体或者大中型企业的报价给予扣除，用扣除后的价格参加评审。组成联合体或者接受分包的小微企业与联合体内其他企业、分包企业之间存在直接控股、管理关系的，不享受价格扣除优惠政策。</w:t>
      </w:r>
    </w:p>
    <w:p w14:paraId="5866EBAC">
      <w:pPr>
        <w:pStyle w:val="43"/>
        <w:shd w:val="clear" w:color="auto"/>
        <w:adjustRightInd w:val="0"/>
        <w:snapToGrid w:val="0"/>
        <w:spacing w:before="0" w:beforeAutospacing="0" w:after="0" w:afterAutospacing="0" w:line="500" w:lineRule="exact"/>
        <w:ind w:firstLine="420" w:firstLineChars="200"/>
        <w:rPr>
          <w:rFonts w:hint="eastAsia" w:ascii="宋体" w:cs="宋体"/>
          <w:color w:val="auto"/>
          <w:sz w:val="21"/>
          <w:szCs w:val="21"/>
          <w:highlight w:val="none"/>
          <w:lang w:bidi="ar"/>
        </w:rPr>
      </w:pPr>
      <w:r>
        <w:rPr>
          <w:rFonts w:hint="eastAsia" w:ascii="宋体" w:cs="宋体"/>
          <w:color w:val="auto"/>
          <w:sz w:val="21"/>
          <w:szCs w:val="21"/>
          <w:highlight w:val="none"/>
          <w:lang w:val="en" w:bidi="ar"/>
        </w:rPr>
        <w:t>1</w:t>
      </w:r>
      <w:r>
        <w:rPr>
          <w:rFonts w:hint="eastAsia" w:ascii="宋体" w:cs="宋体"/>
          <w:color w:val="auto"/>
          <w:sz w:val="21"/>
          <w:szCs w:val="21"/>
          <w:highlight w:val="none"/>
          <w:lang w:bidi="ar"/>
        </w:rPr>
        <w:t>.3.4符合《关于促进残疾人就业政府采购政策的通知》（财库〔2017〕141号）规定的条件并提供《残疾人福利性单位声明函》的残疾人福利性单位视同小型、微型企业。</w:t>
      </w:r>
    </w:p>
    <w:p w14:paraId="63948CC5">
      <w:pPr>
        <w:pStyle w:val="43"/>
        <w:shd w:val="clear" w:color="auto"/>
        <w:adjustRightInd w:val="0"/>
        <w:snapToGrid w:val="0"/>
        <w:spacing w:before="0" w:beforeAutospacing="0" w:after="0" w:afterAutospacing="0" w:line="500" w:lineRule="exact"/>
        <w:ind w:firstLine="420" w:firstLineChars="200"/>
        <w:rPr>
          <w:rFonts w:hint="eastAsia" w:ascii="宋体" w:cs="宋体"/>
          <w:color w:val="auto"/>
          <w:sz w:val="21"/>
          <w:szCs w:val="21"/>
          <w:highlight w:val="none"/>
          <w:lang w:bidi="ar"/>
        </w:rPr>
      </w:pPr>
      <w:r>
        <w:rPr>
          <w:rFonts w:hint="eastAsia" w:ascii="宋体" w:cs="宋体"/>
          <w:color w:val="auto"/>
          <w:sz w:val="21"/>
          <w:szCs w:val="21"/>
          <w:highlight w:val="none"/>
          <w:lang w:val="en" w:bidi="ar"/>
        </w:rPr>
        <w:t>1</w:t>
      </w:r>
      <w:r>
        <w:rPr>
          <w:rFonts w:hint="eastAsia" w:ascii="宋体" w:cs="宋体"/>
          <w:color w:val="auto"/>
          <w:sz w:val="21"/>
          <w:szCs w:val="21"/>
          <w:highlight w:val="none"/>
          <w:lang w:bidi="ar"/>
        </w:rPr>
        <w:t>.3.5符合《关于政府采购支持监狱企业发展有关问题的通知》（财库[2014]68号）规定的监狱企业并提供由省级以上监狱管理局、戒毒管理局（含新疆生产建设兵团）出具的属于监狱企业证明文件的，视同为小型、微型企业。</w:t>
      </w:r>
    </w:p>
    <w:p w14:paraId="4386B9B7">
      <w:pPr>
        <w:pStyle w:val="43"/>
        <w:shd w:val="clear" w:color="auto"/>
        <w:adjustRightInd w:val="0"/>
        <w:snapToGrid w:val="0"/>
        <w:spacing w:before="0" w:beforeAutospacing="0" w:after="0" w:afterAutospacing="0" w:line="500" w:lineRule="exact"/>
        <w:ind w:firstLine="420" w:firstLineChars="200"/>
        <w:rPr>
          <w:rFonts w:hint="eastAsia" w:ascii="宋体" w:cs="宋体"/>
          <w:color w:val="auto"/>
          <w:sz w:val="21"/>
          <w:szCs w:val="21"/>
          <w:highlight w:val="none"/>
          <w:lang w:bidi="ar"/>
        </w:rPr>
      </w:pPr>
      <w:r>
        <w:rPr>
          <w:rFonts w:hint="eastAsia" w:ascii="宋体" w:cs="宋体"/>
          <w:color w:val="auto"/>
          <w:sz w:val="21"/>
          <w:szCs w:val="21"/>
          <w:highlight w:val="none"/>
          <w:lang w:val="en" w:bidi="ar"/>
        </w:rPr>
        <w:t>1</w:t>
      </w:r>
      <w:r>
        <w:rPr>
          <w:rFonts w:hint="eastAsia" w:ascii="宋体" w:cs="宋体"/>
          <w:color w:val="auto"/>
          <w:sz w:val="21"/>
          <w:szCs w:val="21"/>
          <w:highlight w:val="none"/>
          <w:lang w:bidi="ar"/>
        </w:rPr>
        <w:t>.3.6可享受中小企业扶持政策的供应商应按照采购文件格式要求提供《中小企业声明函》，供应商提供的《中小企业声明函》与实际情况不符的，供应商未按采购文件要求提供国家确定的认证机构出具的、处于有效期之内的产品认证证书的，不享受中小企业扶持政策。声明内容不实的，属于提供虚假材料谋取中标、成交的，依法承担法律责任。</w:t>
      </w:r>
    </w:p>
    <w:p w14:paraId="1CA06B74">
      <w:pPr>
        <w:pStyle w:val="43"/>
        <w:shd w:val="clear" w:color="auto"/>
        <w:adjustRightInd w:val="0"/>
        <w:snapToGrid w:val="0"/>
        <w:spacing w:before="0" w:beforeAutospacing="0" w:after="0" w:afterAutospacing="0" w:line="500" w:lineRule="exact"/>
        <w:ind w:firstLine="420" w:firstLineChars="200"/>
        <w:rPr>
          <w:rFonts w:hint="eastAsia" w:ascii="宋体" w:cs="宋体"/>
          <w:color w:val="auto"/>
          <w:sz w:val="21"/>
          <w:szCs w:val="21"/>
          <w:highlight w:val="none"/>
          <w:lang w:bidi="ar"/>
        </w:rPr>
      </w:pPr>
      <w:r>
        <w:rPr>
          <w:rFonts w:hint="eastAsia" w:ascii="宋体" w:cs="宋体"/>
          <w:color w:val="auto"/>
          <w:sz w:val="21"/>
          <w:szCs w:val="21"/>
          <w:highlight w:val="none"/>
          <w:lang w:val="en" w:bidi="ar"/>
        </w:rPr>
        <w:t>1</w:t>
      </w:r>
      <w:r>
        <w:rPr>
          <w:rFonts w:hint="eastAsia" w:ascii="宋体" w:cs="宋体"/>
          <w:color w:val="auto"/>
          <w:sz w:val="21"/>
          <w:szCs w:val="21"/>
          <w:highlight w:val="none"/>
          <w:lang w:bidi="ar"/>
        </w:rPr>
        <w:t>.3.7中小企业享受扶持政策获得政府采购合同的，小微企业不得将合同分包给大中型企业，中型企业不得将合同分包给大型企业。</w:t>
      </w:r>
    </w:p>
    <w:p w14:paraId="36AAC067">
      <w:pPr>
        <w:pStyle w:val="43"/>
        <w:shd w:val="clear" w:color="auto"/>
        <w:adjustRightInd w:val="0"/>
        <w:snapToGrid w:val="0"/>
        <w:spacing w:before="0" w:beforeAutospacing="0" w:after="0" w:afterAutospacing="0" w:line="500" w:lineRule="exact"/>
        <w:ind w:firstLine="420" w:firstLineChars="200"/>
        <w:rPr>
          <w:rFonts w:hint="eastAsia" w:ascii="宋体" w:cs="宋体"/>
          <w:color w:val="auto"/>
          <w:sz w:val="21"/>
          <w:szCs w:val="21"/>
          <w:highlight w:val="none"/>
          <w:lang w:bidi="ar"/>
        </w:rPr>
      </w:pPr>
      <w:r>
        <w:rPr>
          <w:rFonts w:hint="eastAsia" w:ascii="宋体" w:cs="宋体"/>
          <w:color w:val="auto"/>
          <w:sz w:val="21"/>
          <w:szCs w:val="21"/>
          <w:highlight w:val="none"/>
          <w:lang w:val="en" w:bidi="ar"/>
        </w:rPr>
        <w:t>1</w:t>
      </w:r>
      <w:r>
        <w:rPr>
          <w:rFonts w:hint="eastAsia" w:ascii="宋体" w:cs="宋体"/>
          <w:color w:val="auto"/>
          <w:sz w:val="21"/>
          <w:szCs w:val="21"/>
          <w:highlight w:val="none"/>
          <w:lang w:bidi="ar"/>
        </w:rPr>
        <w:t>.4支持创新发展</w:t>
      </w:r>
    </w:p>
    <w:p w14:paraId="6B0DDD38">
      <w:pPr>
        <w:pStyle w:val="43"/>
        <w:shd w:val="clear" w:color="auto"/>
        <w:adjustRightInd w:val="0"/>
        <w:snapToGrid w:val="0"/>
        <w:spacing w:before="0" w:beforeAutospacing="0" w:after="0" w:afterAutospacing="0" w:line="500" w:lineRule="exact"/>
        <w:ind w:firstLine="420" w:firstLineChars="200"/>
        <w:rPr>
          <w:rFonts w:hint="eastAsia" w:ascii="宋体" w:cs="宋体"/>
          <w:color w:val="auto"/>
          <w:sz w:val="21"/>
          <w:szCs w:val="21"/>
          <w:highlight w:val="none"/>
          <w:lang w:bidi="ar"/>
        </w:rPr>
      </w:pPr>
      <w:r>
        <w:rPr>
          <w:rFonts w:hint="eastAsia" w:ascii="宋体" w:cs="宋体"/>
          <w:color w:val="auto"/>
          <w:sz w:val="21"/>
          <w:szCs w:val="21"/>
          <w:highlight w:val="none"/>
          <w:lang w:val="en" w:bidi="ar"/>
        </w:rPr>
        <w:t>1</w:t>
      </w:r>
      <w:r>
        <w:rPr>
          <w:rFonts w:hint="eastAsia" w:ascii="宋体" w:cs="宋体"/>
          <w:color w:val="auto"/>
          <w:sz w:val="21"/>
          <w:szCs w:val="21"/>
          <w:highlight w:val="none"/>
          <w:lang w:bidi="ar"/>
        </w:rPr>
        <w:t>.4.1 采购人优先采购被认定为首台套产品和“制造精品”的自主创新产品。</w:t>
      </w:r>
    </w:p>
    <w:p w14:paraId="7579AD12">
      <w:pPr>
        <w:pStyle w:val="43"/>
        <w:shd w:val="clear" w:color="auto"/>
        <w:adjustRightInd w:val="0"/>
        <w:snapToGrid w:val="0"/>
        <w:spacing w:before="0" w:beforeAutospacing="0" w:after="0" w:afterAutospacing="0" w:line="500" w:lineRule="exact"/>
        <w:ind w:firstLine="420" w:firstLineChars="200"/>
        <w:rPr>
          <w:rFonts w:hint="eastAsia" w:ascii="宋体" w:cs="宋体"/>
          <w:color w:val="auto"/>
          <w:sz w:val="21"/>
          <w:szCs w:val="21"/>
          <w:highlight w:val="none"/>
          <w:lang w:bidi="ar"/>
        </w:rPr>
      </w:pPr>
      <w:r>
        <w:rPr>
          <w:rFonts w:hint="eastAsia" w:ascii="宋体" w:cs="宋体"/>
          <w:color w:val="auto"/>
          <w:sz w:val="21"/>
          <w:szCs w:val="21"/>
          <w:highlight w:val="none"/>
          <w:lang w:val="en" w:bidi="ar"/>
        </w:rPr>
        <w:t>1</w:t>
      </w:r>
      <w:r>
        <w:rPr>
          <w:rFonts w:hint="eastAsia" w:ascii="宋体" w:cs="宋体"/>
          <w:color w:val="auto"/>
          <w:sz w:val="21"/>
          <w:szCs w:val="21"/>
          <w:highlight w:val="none"/>
          <w:lang w:bidi="ar"/>
        </w:rPr>
        <w:t>.4.2</w:t>
      </w:r>
      <w:r>
        <w:rPr>
          <w:rFonts w:hint="eastAsia" w:ascii="宋体" w:cs="宋体"/>
          <w:b/>
          <w:bCs/>
          <w:color w:val="auto"/>
          <w:sz w:val="21"/>
          <w:szCs w:val="21"/>
          <w:highlight w:val="none"/>
          <w:lang w:bidi="ar"/>
        </w:rPr>
        <w:t>首台套产品被纳入《首台套产品推广应用指导目录》之日起3年内，以及产品核心技术高于国内领先水平，并具有明晰自主知识产权的“制造精品”产品，自认定之日起3年内视同已具备相应销售业绩，参加政府采购活动时业绩分值为满分</w:t>
      </w:r>
      <w:r>
        <w:rPr>
          <w:rFonts w:hint="eastAsia" w:ascii="宋体" w:cs="宋体"/>
          <w:color w:val="auto"/>
          <w:sz w:val="21"/>
          <w:szCs w:val="21"/>
          <w:highlight w:val="none"/>
          <w:lang w:bidi="ar"/>
        </w:rPr>
        <w:t>。</w:t>
      </w:r>
    </w:p>
    <w:p w14:paraId="733CB0DC">
      <w:pPr>
        <w:shd w:val="clear" w:color="auto"/>
        <w:autoSpaceDE/>
        <w:autoSpaceDN/>
        <w:adjustRightInd/>
        <w:spacing w:line="500" w:lineRule="exact"/>
        <w:ind w:firstLine="420" w:firstLineChars="200"/>
        <w:jc w:val="both"/>
        <w:rPr>
          <w:rFonts w:hint="eastAsia" w:hAnsi="宋体" w:cs="宋体"/>
          <w:b/>
          <w:color w:val="auto"/>
          <w:sz w:val="21"/>
          <w:szCs w:val="21"/>
          <w:highlight w:val="none"/>
        </w:rPr>
      </w:pPr>
      <w:r>
        <w:rPr>
          <w:rFonts w:hint="eastAsia" w:hAnsi="宋体" w:cs="宋体"/>
          <w:color w:val="auto"/>
          <w:sz w:val="21"/>
          <w:szCs w:val="21"/>
          <w:highlight w:val="none"/>
          <w:lang w:val="en" w:bidi="ar"/>
        </w:rPr>
        <w:t>1</w:t>
      </w:r>
      <w:r>
        <w:rPr>
          <w:rFonts w:hint="eastAsia" w:hAnsi="宋体" w:cs="宋体"/>
          <w:color w:val="auto"/>
          <w:sz w:val="21"/>
          <w:szCs w:val="21"/>
          <w:highlight w:val="none"/>
          <w:lang w:bidi="ar"/>
        </w:rPr>
        <w:t>.5中小企业信用融资：为支持和促进中小企业发展，进一步发挥政府采购政策功能， 省财政厅、浙江银监局、省金融办制定了《浙江省政府采购支持中小企业信用融资试点办法》浙财采监[2012]13号)，所称的政府采购信用融资，是指银行业金融机构(以下简称银行)以政府采购诚信考核和信用审查为基础，凭借政府采购合同，按优于一般中小企业的贷款利率直接向申请贷款的投标人发放贷款的一种融资方式。投标人</w:t>
      </w:r>
      <w:r>
        <w:rPr>
          <w:rFonts w:hint="eastAsia" w:hAnsi="宋体" w:cs="宋体"/>
          <w:color w:val="auto"/>
          <w:sz w:val="21"/>
          <w:szCs w:val="21"/>
          <w:highlight w:val="none"/>
          <w:lang w:eastAsia="zh-CN" w:bidi="ar"/>
        </w:rPr>
        <w:t>可登录</w:t>
      </w:r>
      <w:r>
        <w:rPr>
          <w:rFonts w:hint="eastAsia" w:hAnsi="宋体" w:cs="宋体"/>
          <w:color w:val="auto"/>
          <w:sz w:val="21"/>
          <w:szCs w:val="21"/>
          <w:highlight w:val="none"/>
          <w:lang w:bidi="ar"/>
        </w:rPr>
        <w:t>浙江政府采购(https://zfcg.czt.zj.gov.cn/)的中小企业信用融资栏目了解相关信息。供应商可以通过浙江政府采购网(https://zfcg.czt.zj.gov.cn/)首页的“浙江政采贷”模块进入申请，还可以通过政府采购云平台(https://www.zcygov.cn/)首页的“金融服务”模块进入申请。</w:t>
      </w:r>
    </w:p>
    <w:p w14:paraId="5FA28D0E">
      <w:pPr>
        <w:shd w:val="clear" w:color="auto"/>
        <w:autoSpaceDE/>
        <w:autoSpaceDN/>
        <w:adjustRightInd/>
        <w:spacing w:line="500" w:lineRule="exact"/>
        <w:ind w:firstLine="422" w:firstLineChars="200"/>
        <w:jc w:val="both"/>
        <w:rPr>
          <w:rFonts w:hint="eastAsia" w:hAnsi="宋体" w:cs="宋体"/>
          <w:b/>
          <w:color w:val="auto"/>
          <w:sz w:val="21"/>
          <w:szCs w:val="21"/>
          <w:highlight w:val="none"/>
        </w:rPr>
      </w:pPr>
      <w:r>
        <w:rPr>
          <w:rFonts w:hint="eastAsia" w:hAnsi="宋体" w:cs="宋体"/>
          <w:b/>
          <w:color w:val="auto"/>
          <w:sz w:val="21"/>
          <w:szCs w:val="21"/>
          <w:highlight w:val="none"/>
        </w:rPr>
        <w:t>四、评标内容及标准</w:t>
      </w:r>
    </w:p>
    <w:p w14:paraId="360C7BC0">
      <w:pPr>
        <w:shd w:val="clear" w:color="auto"/>
        <w:autoSpaceDE/>
        <w:autoSpaceDN/>
        <w:adjustRightInd/>
        <w:spacing w:line="500" w:lineRule="exact"/>
        <w:ind w:firstLine="422" w:firstLineChars="200"/>
        <w:jc w:val="both"/>
        <w:rPr>
          <w:rFonts w:hint="eastAsia" w:hAnsi="宋体" w:cs="宋体"/>
          <w:b/>
          <w:color w:val="auto"/>
          <w:sz w:val="21"/>
          <w:szCs w:val="21"/>
          <w:highlight w:val="none"/>
        </w:rPr>
      </w:pPr>
      <w:r>
        <w:rPr>
          <w:rFonts w:hint="eastAsia" w:hAnsi="宋体" w:cs="宋体"/>
          <w:b/>
          <w:color w:val="auto"/>
          <w:sz w:val="21"/>
          <w:szCs w:val="21"/>
          <w:highlight w:val="none"/>
        </w:rPr>
        <w:t>（一）价格分（</w:t>
      </w:r>
      <w:r>
        <w:rPr>
          <w:rFonts w:hint="eastAsia" w:hAnsi="宋体" w:cs="宋体"/>
          <w:b/>
          <w:color w:val="auto"/>
          <w:sz w:val="21"/>
          <w:szCs w:val="21"/>
          <w:highlight w:val="none"/>
          <w:lang w:val="en-US" w:eastAsia="zh-CN"/>
        </w:rPr>
        <w:t>15</w:t>
      </w:r>
      <w:r>
        <w:rPr>
          <w:rFonts w:hint="eastAsia" w:hAnsi="宋体" w:cs="宋体"/>
          <w:b/>
          <w:color w:val="auto"/>
          <w:sz w:val="21"/>
          <w:szCs w:val="21"/>
          <w:highlight w:val="none"/>
        </w:rPr>
        <w:t>分）</w:t>
      </w:r>
    </w:p>
    <w:p w14:paraId="65321C16">
      <w:pPr>
        <w:shd w:val="clear" w:color="auto"/>
        <w:autoSpaceDE/>
        <w:autoSpaceDN/>
        <w:adjustRightInd/>
        <w:spacing w:line="460" w:lineRule="exact"/>
        <w:ind w:firstLine="420" w:firstLineChars="200"/>
        <w:jc w:val="both"/>
        <w:rPr>
          <w:rFonts w:hint="eastAsia" w:hAnsi="宋体" w:cs="宋体"/>
          <w:color w:val="auto"/>
          <w:sz w:val="21"/>
          <w:szCs w:val="21"/>
          <w:highlight w:val="none"/>
        </w:rPr>
      </w:pPr>
      <w:r>
        <w:rPr>
          <w:rFonts w:hint="eastAsia" w:hAnsi="宋体" w:cs="宋体"/>
          <w:color w:val="auto"/>
          <w:sz w:val="21"/>
          <w:szCs w:val="21"/>
          <w:highlight w:val="none"/>
        </w:rPr>
        <w:t>1.价格分采用低价优先法计算，即：以满足招标文件要求且进行了政策性价格扣除后，以评审价格的最低价者定为评标基准价，其价格分为满分。其他投标人的价格分统一按照下列公式计算：</w:t>
      </w:r>
    </w:p>
    <w:p w14:paraId="7E2EAC31">
      <w:pPr>
        <w:shd w:val="clear" w:color="auto"/>
        <w:autoSpaceDE/>
        <w:autoSpaceDN/>
        <w:adjustRightInd/>
        <w:spacing w:line="460" w:lineRule="exact"/>
        <w:ind w:firstLine="420" w:firstLineChars="200"/>
        <w:jc w:val="both"/>
        <w:rPr>
          <w:rFonts w:hint="eastAsia" w:hAnsi="宋体" w:cs="宋体"/>
          <w:color w:val="auto"/>
          <w:sz w:val="21"/>
          <w:szCs w:val="21"/>
          <w:highlight w:val="none"/>
        </w:rPr>
      </w:pPr>
      <w:r>
        <w:rPr>
          <w:rFonts w:hint="eastAsia" w:hAnsi="宋体" w:cs="宋体"/>
          <w:color w:val="auto"/>
          <w:sz w:val="21"/>
          <w:szCs w:val="21"/>
          <w:highlight w:val="none"/>
        </w:rPr>
        <w:t>其他投标人的价格分=（评标基准价/评审价格）×</w:t>
      </w:r>
      <w:r>
        <w:rPr>
          <w:rFonts w:hint="eastAsia" w:hAnsi="宋体" w:cs="宋体"/>
          <w:color w:val="auto"/>
          <w:sz w:val="21"/>
          <w:szCs w:val="21"/>
          <w:highlight w:val="none"/>
          <w:lang w:val="en-US" w:eastAsia="zh-CN"/>
        </w:rPr>
        <w:t>15</w:t>
      </w:r>
      <w:r>
        <w:rPr>
          <w:rFonts w:hint="eastAsia" w:hAnsi="宋体" w:cs="宋体"/>
          <w:color w:val="auto"/>
          <w:sz w:val="21"/>
          <w:szCs w:val="21"/>
          <w:highlight w:val="none"/>
        </w:rPr>
        <w:t>%×100</w:t>
      </w:r>
    </w:p>
    <w:p w14:paraId="4FC52408">
      <w:pPr>
        <w:shd w:val="clear" w:color="auto"/>
        <w:autoSpaceDE/>
        <w:autoSpaceDN/>
        <w:adjustRightInd/>
        <w:spacing w:line="500" w:lineRule="exact"/>
        <w:ind w:firstLine="420" w:firstLineChars="200"/>
        <w:jc w:val="both"/>
        <w:rPr>
          <w:rFonts w:hint="eastAsia" w:hAnsi="宋体" w:cs="宋体"/>
          <w:color w:val="auto"/>
          <w:sz w:val="21"/>
          <w:szCs w:val="21"/>
          <w:highlight w:val="none"/>
        </w:rPr>
      </w:pPr>
      <w:r>
        <w:rPr>
          <w:rFonts w:hint="eastAsia" w:ascii="宋体" w:hAnsi="宋体" w:eastAsia="宋体" w:cs="宋体"/>
          <w:color w:val="auto"/>
          <w:sz w:val="21"/>
          <w:szCs w:val="21"/>
          <w:highlight w:val="none"/>
        </w:rPr>
        <w:t>价格评审过程中，评标委员会认为投标人的报价明显低于其他通过符合性审查投标人的报价</w:t>
      </w:r>
      <w:r>
        <w:rPr>
          <w:rFonts w:hint="eastAsia" w:ascii="宋体" w:hAnsi="宋体" w:eastAsia="宋体" w:cs="宋体"/>
          <w:color w:val="auto"/>
          <w:sz w:val="21"/>
          <w:szCs w:val="21"/>
          <w:highlight w:val="none"/>
          <w:lang w:val="en-US" w:eastAsia="zh-CN"/>
        </w:rPr>
        <w:t>且</w:t>
      </w:r>
      <w:r>
        <w:rPr>
          <w:rFonts w:hint="eastAsia" w:ascii="宋体" w:hAnsi="宋体" w:eastAsia="宋体" w:cs="宋体"/>
          <w:b/>
          <w:bCs/>
          <w:color w:val="auto"/>
          <w:sz w:val="21"/>
          <w:szCs w:val="21"/>
          <w:highlight w:val="none"/>
          <w:u w:val="single"/>
          <w:lang w:val="en-US" w:eastAsia="zh-CN"/>
        </w:rPr>
        <w:t>报价低于项目预算50%时</w:t>
      </w:r>
      <w:r>
        <w:rPr>
          <w:rFonts w:hint="eastAsia" w:ascii="宋体" w:hAnsi="宋体" w:eastAsia="宋体" w:cs="宋体"/>
          <w:color w:val="auto"/>
          <w:sz w:val="21"/>
          <w:szCs w:val="21"/>
          <w:highlight w:val="none"/>
        </w:rPr>
        <w:t>，有可能影响</w:t>
      </w:r>
      <w:r>
        <w:rPr>
          <w:rFonts w:hint="eastAsia" w:ascii="宋体" w:hAnsi="宋体" w:eastAsia="宋体" w:cs="宋体"/>
          <w:color w:val="auto"/>
          <w:sz w:val="21"/>
          <w:szCs w:val="21"/>
          <w:highlight w:val="none"/>
          <w:lang w:val="en-US" w:eastAsia="zh-CN"/>
        </w:rPr>
        <w:t>产品（或服务、工程）质量</w:t>
      </w:r>
      <w:r>
        <w:rPr>
          <w:rFonts w:hint="eastAsia" w:ascii="宋体" w:hAnsi="宋体" w:eastAsia="宋体" w:cs="宋体"/>
          <w:color w:val="auto"/>
          <w:sz w:val="21"/>
          <w:szCs w:val="21"/>
          <w:highlight w:val="none"/>
        </w:rPr>
        <w:t>或者不能诚信履约的，应当要求其在评标现场合理的时间内提供书面说明</w:t>
      </w:r>
      <w:r>
        <w:rPr>
          <w:rFonts w:hint="eastAsia" w:ascii="宋体" w:hAnsi="宋体" w:eastAsia="宋体" w:cs="宋体"/>
          <w:b/>
          <w:bCs/>
          <w:color w:val="auto"/>
          <w:sz w:val="21"/>
          <w:szCs w:val="21"/>
          <w:highlight w:val="none"/>
          <w:lang w:eastAsia="zh-CN"/>
        </w:rPr>
        <w:t>，</w:t>
      </w:r>
      <w:r>
        <w:rPr>
          <w:rFonts w:hint="eastAsia" w:ascii="宋体" w:hAnsi="宋体" w:eastAsia="宋体" w:cs="宋体"/>
          <w:b/>
          <w:bCs/>
          <w:color w:val="auto"/>
          <w:sz w:val="21"/>
          <w:szCs w:val="21"/>
          <w:highlight w:val="none"/>
          <w:u w:val="none"/>
          <w:lang w:val="en-US" w:eastAsia="zh-CN"/>
        </w:rPr>
        <w:t>以详细阐述不影响服务质量或者诚信履约的具体原因</w:t>
      </w:r>
      <w:r>
        <w:rPr>
          <w:rFonts w:hint="eastAsia" w:ascii="宋体" w:hAnsi="宋体" w:eastAsia="宋体" w:cs="宋体"/>
          <w:color w:val="auto"/>
          <w:sz w:val="21"/>
          <w:szCs w:val="21"/>
          <w:highlight w:val="none"/>
        </w:rPr>
        <w:t>，必要时提交相关证明材料；投标人不能证明其报价合理性的，评标委员会应当将其作为无效投标处理。在有效投标人数满足法定人数的前提下，评标委员会依次确定满足招标文件要求且投标价格最低的有效投标报价为评标基准价</w:t>
      </w:r>
      <w:r>
        <w:rPr>
          <w:rFonts w:hint="eastAsia" w:hAnsi="宋体" w:cs="宋体"/>
          <w:color w:val="auto"/>
          <w:sz w:val="21"/>
          <w:szCs w:val="21"/>
          <w:highlight w:val="none"/>
        </w:rPr>
        <w:t>。</w:t>
      </w:r>
    </w:p>
    <w:p w14:paraId="32B8AF53">
      <w:pPr>
        <w:shd w:val="clear" w:color="auto"/>
        <w:autoSpaceDE/>
        <w:autoSpaceDN/>
        <w:adjustRightInd/>
        <w:spacing w:line="460" w:lineRule="exact"/>
        <w:ind w:firstLine="422" w:firstLineChars="200"/>
        <w:jc w:val="both"/>
        <w:rPr>
          <w:rFonts w:hint="eastAsia" w:hAnsi="宋体" w:cs="宋体"/>
          <w:b/>
          <w:color w:val="auto"/>
          <w:sz w:val="21"/>
          <w:szCs w:val="21"/>
          <w:highlight w:val="none"/>
        </w:rPr>
      </w:pPr>
      <w:r>
        <w:rPr>
          <w:rFonts w:hint="eastAsia" w:hAnsi="宋体" w:cs="宋体"/>
          <w:b/>
          <w:color w:val="auto"/>
          <w:sz w:val="21"/>
          <w:szCs w:val="21"/>
          <w:highlight w:val="none"/>
        </w:rPr>
        <w:t>2.</w:t>
      </w:r>
      <w:r>
        <w:rPr>
          <w:rFonts w:hint="eastAsia" w:hAnsi="宋体" w:cs="宋体"/>
          <w:b/>
          <w:bCs/>
          <w:color w:val="auto"/>
          <w:sz w:val="21"/>
          <w:szCs w:val="21"/>
          <w:highlight w:val="none"/>
        </w:rPr>
        <w:t>投标人的投标报价超过采购人设定的上限价（即：预算金额</w:t>
      </w:r>
      <w:r>
        <w:rPr>
          <w:rFonts w:hint="eastAsia" w:hAnsi="宋体" w:cs="宋体"/>
          <w:b/>
          <w:bCs/>
          <w:color w:val="auto"/>
          <w:sz w:val="21"/>
          <w:szCs w:val="21"/>
          <w:highlight w:val="none"/>
          <w:lang w:eastAsia="zh-CN"/>
        </w:rPr>
        <w:t>112</w:t>
      </w:r>
      <w:r>
        <w:rPr>
          <w:rFonts w:hint="eastAsia" w:hAnsi="宋体" w:cs="宋体"/>
          <w:b/>
          <w:bCs/>
          <w:color w:val="auto"/>
          <w:sz w:val="21"/>
          <w:szCs w:val="21"/>
          <w:highlight w:val="none"/>
        </w:rPr>
        <w:t>万元），按投标无效处理</w:t>
      </w:r>
      <w:r>
        <w:rPr>
          <w:rFonts w:hint="eastAsia" w:hAnsi="宋体" w:cs="宋体"/>
          <w:b/>
          <w:color w:val="auto"/>
          <w:sz w:val="21"/>
          <w:szCs w:val="21"/>
          <w:highlight w:val="none"/>
        </w:rPr>
        <w:t>。</w:t>
      </w:r>
    </w:p>
    <w:p w14:paraId="44C9DA0F">
      <w:pPr>
        <w:numPr>
          <w:ilvl w:val="0"/>
          <w:numId w:val="5"/>
        </w:numPr>
        <w:shd w:val="clear" w:color="auto"/>
        <w:autoSpaceDE/>
        <w:autoSpaceDN/>
        <w:adjustRightInd/>
        <w:spacing w:line="500" w:lineRule="exact"/>
        <w:ind w:firstLine="422" w:firstLineChars="200"/>
        <w:jc w:val="both"/>
        <w:rPr>
          <w:rFonts w:hint="eastAsia" w:hAnsi="宋体" w:cs="宋体"/>
          <w:b/>
          <w:bCs/>
          <w:color w:val="auto"/>
          <w:sz w:val="21"/>
          <w:szCs w:val="21"/>
          <w:highlight w:val="none"/>
        </w:rPr>
      </w:pPr>
      <w:r>
        <w:rPr>
          <w:rFonts w:hint="eastAsia" w:hAnsi="宋体" w:cs="宋体"/>
          <w:b/>
          <w:bCs/>
          <w:color w:val="auto"/>
          <w:sz w:val="21"/>
          <w:szCs w:val="21"/>
          <w:highlight w:val="none"/>
        </w:rPr>
        <w:t>技术商务分（</w:t>
      </w:r>
      <w:r>
        <w:rPr>
          <w:rFonts w:hint="eastAsia" w:hAnsi="宋体" w:cs="宋体"/>
          <w:b/>
          <w:bCs/>
          <w:color w:val="auto"/>
          <w:sz w:val="21"/>
          <w:szCs w:val="21"/>
          <w:highlight w:val="none"/>
          <w:lang w:val="en-US" w:eastAsia="zh-CN"/>
        </w:rPr>
        <w:t>85</w:t>
      </w:r>
      <w:r>
        <w:rPr>
          <w:rFonts w:hint="eastAsia" w:hAnsi="宋体" w:cs="宋体"/>
          <w:b/>
          <w:bCs/>
          <w:color w:val="auto"/>
          <w:sz w:val="21"/>
          <w:szCs w:val="21"/>
          <w:highlight w:val="none"/>
        </w:rPr>
        <w:t>分）</w:t>
      </w:r>
    </w:p>
    <w:tbl>
      <w:tblPr>
        <w:tblStyle w:val="48"/>
        <w:tblW w:w="995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0"/>
        <w:gridCol w:w="1117"/>
        <w:gridCol w:w="7456"/>
        <w:gridCol w:w="657"/>
      </w:tblGrid>
      <w:tr w14:paraId="4397F7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2" w:hRule="atLeast"/>
        </w:trPr>
        <w:tc>
          <w:tcPr>
            <w:tcW w:w="720" w:type="dxa"/>
            <w:noWrap w:val="0"/>
            <w:vAlign w:val="center"/>
          </w:tcPr>
          <w:p w14:paraId="2981D314">
            <w:pPr>
              <w:keepNext w:val="0"/>
              <w:keepLines w:val="0"/>
              <w:pageBreakBefore w:val="0"/>
              <w:shd w:val="clear"/>
              <w:kinsoku/>
              <w:wordWrap/>
              <w:overflowPunct/>
              <w:topLinePunct w:val="0"/>
              <w:autoSpaceDE w:val="0"/>
              <w:autoSpaceDN/>
              <w:bidi w:val="0"/>
              <w:adjustRightInd w:val="0"/>
              <w:snapToGrid w:val="0"/>
              <w:spacing w:line="460" w:lineRule="exact"/>
              <w:jc w:val="center"/>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序号</w:t>
            </w:r>
          </w:p>
        </w:tc>
        <w:tc>
          <w:tcPr>
            <w:tcW w:w="1117" w:type="dxa"/>
            <w:noWrap w:val="0"/>
            <w:vAlign w:val="center"/>
          </w:tcPr>
          <w:p w14:paraId="616897BC">
            <w:pPr>
              <w:keepNext w:val="0"/>
              <w:keepLines w:val="0"/>
              <w:pageBreakBefore w:val="0"/>
              <w:shd w:val="clear"/>
              <w:kinsoku/>
              <w:wordWrap/>
              <w:overflowPunct/>
              <w:topLinePunct w:val="0"/>
              <w:autoSpaceDE w:val="0"/>
              <w:autoSpaceDN/>
              <w:bidi w:val="0"/>
              <w:adjustRightInd w:val="0"/>
              <w:snapToGrid w:val="0"/>
              <w:spacing w:line="460" w:lineRule="exact"/>
              <w:jc w:val="center"/>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评分项目</w:t>
            </w:r>
          </w:p>
        </w:tc>
        <w:tc>
          <w:tcPr>
            <w:tcW w:w="7456" w:type="dxa"/>
            <w:noWrap w:val="0"/>
            <w:vAlign w:val="center"/>
          </w:tcPr>
          <w:p w14:paraId="7B2213D1">
            <w:pPr>
              <w:keepNext w:val="0"/>
              <w:keepLines w:val="0"/>
              <w:pageBreakBefore w:val="0"/>
              <w:shd w:val="clear"/>
              <w:kinsoku/>
              <w:wordWrap/>
              <w:overflowPunct/>
              <w:topLinePunct w:val="0"/>
              <w:autoSpaceDE w:val="0"/>
              <w:autoSpaceDN/>
              <w:bidi w:val="0"/>
              <w:adjustRightInd w:val="0"/>
              <w:snapToGrid w:val="0"/>
              <w:spacing w:line="460" w:lineRule="exact"/>
              <w:jc w:val="center"/>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评分内容</w:t>
            </w:r>
          </w:p>
        </w:tc>
        <w:tc>
          <w:tcPr>
            <w:tcW w:w="657" w:type="dxa"/>
            <w:noWrap w:val="0"/>
            <w:vAlign w:val="center"/>
          </w:tcPr>
          <w:p w14:paraId="25557C46">
            <w:pPr>
              <w:keepNext w:val="0"/>
              <w:keepLines w:val="0"/>
              <w:pageBreakBefore w:val="0"/>
              <w:shd w:val="clear"/>
              <w:kinsoku/>
              <w:wordWrap/>
              <w:overflowPunct/>
              <w:topLinePunct w:val="0"/>
              <w:autoSpaceDE w:val="0"/>
              <w:autoSpaceDN/>
              <w:bidi w:val="0"/>
              <w:adjustRightInd w:val="0"/>
              <w:snapToGrid w:val="0"/>
              <w:spacing w:line="460" w:lineRule="exact"/>
              <w:jc w:val="center"/>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分值</w:t>
            </w:r>
          </w:p>
        </w:tc>
      </w:tr>
      <w:tr w14:paraId="0DEB00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00" w:hRule="atLeast"/>
        </w:trPr>
        <w:tc>
          <w:tcPr>
            <w:tcW w:w="720" w:type="dxa"/>
            <w:noWrap w:val="0"/>
            <w:vAlign w:val="center"/>
          </w:tcPr>
          <w:p w14:paraId="5336986B">
            <w:pPr>
              <w:keepNext w:val="0"/>
              <w:keepLines w:val="0"/>
              <w:pageBreakBefore w:val="0"/>
              <w:shd w:val="clear"/>
              <w:kinsoku/>
              <w:wordWrap/>
              <w:overflowPunct/>
              <w:topLinePunct w:val="0"/>
              <w:autoSpaceDE w:val="0"/>
              <w:autoSpaceDN/>
              <w:bidi w:val="0"/>
              <w:adjustRightInd w:val="0"/>
              <w:snapToGrid w:val="0"/>
              <w:spacing w:line="460" w:lineRule="exact"/>
              <w:jc w:val="center"/>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w:t>
            </w:r>
          </w:p>
        </w:tc>
        <w:tc>
          <w:tcPr>
            <w:tcW w:w="1117" w:type="dxa"/>
            <w:noWrap w:val="0"/>
            <w:vAlign w:val="center"/>
          </w:tcPr>
          <w:p w14:paraId="4D02F573">
            <w:pPr>
              <w:shd w:val="clear" w:color="auto"/>
              <w:spacing w:line="460"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shd w:val="clear" w:color="auto" w:fill="FFFFFF"/>
              </w:rPr>
              <w:t>政策分</w:t>
            </w:r>
          </w:p>
        </w:tc>
        <w:tc>
          <w:tcPr>
            <w:tcW w:w="7456" w:type="dxa"/>
            <w:noWrap w:val="0"/>
            <w:vAlign w:val="center"/>
          </w:tcPr>
          <w:p w14:paraId="25A1F484">
            <w:pPr>
              <w:shd w:val="clear" w:color="auto"/>
              <w:spacing w:line="460" w:lineRule="exac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投标人</w:t>
            </w:r>
            <w:r>
              <w:rPr>
                <w:rFonts w:hint="eastAsia" w:ascii="宋体" w:hAnsi="宋体" w:eastAsia="宋体" w:cs="宋体"/>
                <w:color w:val="auto"/>
                <w:sz w:val="21"/>
                <w:szCs w:val="21"/>
                <w:highlight w:val="none"/>
                <w:lang w:bidi="ar"/>
              </w:rPr>
              <w:t>符合《政府采购货物和服务招标投标管理办法》或其它法规规定，属“节能环保”、“采购国货”、“扶持不发达地区和少数民族地区”、“乡村振兴”等政府采购政策功能落实对象的，提供相关证明材料和政策依据，每符合一项得0.5分，最高可得2分；未提供相关证明材料的不得分。</w:t>
            </w:r>
            <w:r>
              <w:rPr>
                <w:rFonts w:hint="eastAsia" w:ascii="宋体" w:hAnsi="宋体" w:eastAsia="宋体" w:cs="宋体"/>
                <w:color w:val="auto"/>
                <w:sz w:val="21"/>
                <w:szCs w:val="21"/>
                <w:highlight w:val="none"/>
              </w:rPr>
              <w:t>（提供相关证明材料和政策依据备查）</w:t>
            </w:r>
          </w:p>
        </w:tc>
        <w:tc>
          <w:tcPr>
            <w:tcW w:w="657" w:type="dxa"/>
            <w:noWrap w:val="0"/>
            <w:vAlign w:val="center"/>
          </w:tcPr>
          <w:p w14:paraId="60F25539">
            <w:pPr>
              <w:keepNext w:val="0"/>
              <w:keepLines w:val="0"/>
              <w:pageBreakBefore w:val="0"/>
              <w:shd w:val="clear"/>
              <w:kinsoku/>
              <w:wordWrap/>
              <w:overflowPunct/>
              <w:topLinePunct w:val="0"/>
              <w:autoSpaceDE w:val="0"/>
              <w:autoSpaceDN/>
              <w:bidi w:val="0"/>
              <w:adjustRightInd w:val="0"/>
              <w:snapToGrid w:val="0"/>
              <w:spacing w:line="460" w:lineRule="exact"/>
              <w:jc w:val="center"/>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w:t>
            </w:r>
          </w:p>
        </w:tc>
      </w:tr>
      <w:tr w14:paraId="3C90D8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9" w:hRule="atLeast"/>
        </w:trPr>
        <w:tc>
          <w:tcPr>
            <w:tcW w:w="720" w:type="dxa"/>
            <w:noWrap w:val="0"/>
            <w:vAlign w:val="center"/>
          </w:tcPr>
          <w:p w14:paraId="7137F4ED">
            <w:pPr>
              <w:keepNext w:val="0"/>
              <w:keepLines w:val="0"/>
              <w:pageBreakBefore w:val="0"/>
              <w:shd w:val="clear"/>
              <w:kinsoku/>
              <w:wordWrap/>
              <w:overflowPunct/>
              <w:topLinePunct w:val="0"/>
              <w:autoSpaceDE w:val="0"/>
              <w:autoSpaceDN/>
              <w:bidi w:val="0"/>
              <w:adjustRightInd w:val="0"/>
              <w:snapToGrid w:val="0"/>
              <w:spacing w:line="460" w:lineRule="exact"/>
              <w:jc w:val="center"/>
              <w:textAlignment w:val="baseline"/>
              <w:rPr>
                <w:rFonts w:hint="eastAsia" w:ascii="宋体" w:hAnsi="宋体" w:eastAsia="宋体" w:cs="宋体"/>
                <w:color w:val="auto"/>
                <w:sz w:val="21"/>
                <w:szCs w:val="21"/>
                <w:highlight w:val="none"/>
                <w:lang w:val="en-US" w:eastAsia="zh-CN"/>
              </w:rPr>
            </w:pPr>
            <w:r>
              <w:rPr>
                <w:rFonts w:hint="eastAsia" w:hAnsi="宋体" w:cs="宋体"/>
                <w:color w:val="auto"/>
                <w:sz w:val="21"/>
                <w:szCs w:val="21"/>
                <w:highlight w:val="none"/>
                <w:lang w:val="en-US" w:eastAsia="zh-CN"/>
              </w:rPr>
              <w:t>2</w:t>
            </w:r>
          </w:p>
        </w:tc>
        <w:tc>
          <w:tcPr>
            <w:tcW w:w="1117" w:type="dxa"/>
            <w:noWrap w:val="0"/>
            <w:vAlign w:val="center"/>
          </w:tcPr>
          <w:p w14:paraId="595E3EA1">
            <w:pPr>
              <w:shd w:val="clear" w:color="auto"/>
              <w:spacing w:line="460" w:lineRule="exact"/>
              <w:jc w:val="center"/>
              <w:rPr>
                <w:rFonts w:hint="eastAsia" w:ascii="宋体" w:hAnsi="宋体" w:eastAsia="宋体" w:cs="宋体"/>
                <w:color w:val="auto"/>
                <w:sz w:val="21"/>
                <w:szCs w:val="21"/>
                <w:highlight w:val="none"/>
                <w:shd w:val="clear" w:color="auto" w:fill="FFFFFF"/>
                <w:lang w:val="en-US" w:eastAsia="zh-CN"/>
              </w:rPr>
            </w:pPr>
            <w:r>
              <w:rPr>
                <w:rFonts w:hint="eastAsia" w:hAnsi="宋体" w:cs="宋体"/>
                <w:color w:val="auto"/>
                <w:sz w:val="21"/>
                <w:szCs w:val="21"/>
                <w:highlight w:val="none"/>
                <w:shd w:val="clear" w:color="auto" w:fill="FFFFFF"/>
                <w:lang w:val="en-US" w:eastAsia="zh-CN"/>
              </w:rPr>
              <w:t>熟悉程度</w:t>
            </w:r>
          </w:p>
        </w:tc>
        <w:tc>
          <w:tcPr>
            <w:tcW w:w="7456" w:type="dxa"/>
            <w:noWrap w:val="0"/>
            <w:vAlign w:val="center"/>
          </w:tcPr>
          <w:p w14:paraId="4090D54F">
            <w:pPr>
              <w:shd w:val="clear" w:color="auto"/>
              <w:spacing w:line="460" w:lineRule="exact"/>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t>根据投标人承接</w:t>
            </w:r>
            <w:r>
              <w:rPr>
                <w:rFonts w:hint="eastAsia" w:hAnsi="宋体" w:cs="宋体"/>
                <w:color w:val="auto"/>
                <w:sz w:val="21"/>
                <w:szCs w:val="21"/>
                <w:highlight w:val="none"/>
                <w:lang w:eastAsia="zh-CN"/>
              </w:rPr>
              <w:t>评估</w:t>
            </w:r>
            <w:r>
              <w:rPr>
                <w:rFonts w:hint="eastAsia" w:ascii="宋体" w:hAnsi="宋体" w:eastAsia="宋体" w:cs="宋体"/>
                <w:color w:val="auto"/>
                <w:sz w:val="21"/>
                <w:szCs w:val="21"/>
                <w:highlight w:val="none"/>
              </w:rPr>
              <w:t>项目的</w:t>
            </w:r>
            <w:r>
              <w:rPr>
                <w:rFonts w:hint="eastAsia" w:ascii="宋体" w:hAnsi="宋体" w:eastAsia="宋体" w:cs="宋体"/>
                <w:color w:val="auto"/>
                <w:sz w:val="21"/>
                <w:szCs w:val="21"/>
                <w:highlight w:val="none"/>
                <w:lang w:val="en-US" w:eastAsia="zh-CN"/>
              </w:rPr>
              <w:t>情况</w:t>
            </w:r>
            <w:r>
              <w:rPr>
                <w:rFonts w:hint="eastAsia" w:ascii="宋体" w:hAnsi="宋体" w:eastAsia="宋体" w:cs="宋体"/>
                <w:color w:val="auto"/>
                <w:sz w:val="21"/>
                <w:szCs w:val="21"/>
                <w:highlight w:val="none"/>
              </w:rPr>
              <w:t>、熟知婺城区乡村环境，掌握了解村庄具体状况</w:t>
            </w:r>
            <w:r>
              <w:rPr>
                <w:rFonts w:hint="eastAsia" w:hAnsi="宋体" w:cs="宋体"/>
                <w:color w:val="auto"/>
                <w:sz w:val="21"/>
                <w:szCs w:val="21"/>
                <w:highlight w:val="none"/>
                <w:lang w:val="en-US" w:eastAsia="zh-CN"/>
              </w:rPr>
              <w:t>综合评分</w:t>
            </w:r>
            <w:r>
              <w:rPr>
                <w:rFonts w:hint="eastAsia" w:ascii="宋体" w:hAnsi="宋体" w:eastAsia="宋体" w:cs="宋体"/>
                <w:color w:val="auto"/>
                <w:sz w:val="21"/>
                <w:szCs w:val="21"/>
                <w:highlight w:val="none"/>
                <w:lang w:bidi="ar"/>
              </w:rPr>
              <w:t>，</w:t>
            </w:r>
            <w:r>
              <w:rPr>
                <w:rFonts w:hint="eastAsia" w:ascii="宋体" w:hAnsi="宋体" w:eastAsia="宋体" w:cs="宋体"/>
                <w:color w:val="auto"/>
                <w:sz w:val="21"/>
                <w:szCs w:val="21"/>
                <w:highlight w:val="none"/>
              </w:rPr>
              <w:t>合理完善有效的得</w:t>
            </w:r>
            <w:r>
              <w:rPr>
                <w:rFonts w:hint="eastAsia" w:ascii="宋体" w:hAnsi="宋体" w:eastAsia="宋体" w:cs="宋体"/>
                <w:color w:val="auto"/>
                <w:sz w:val="21"/>
                <w:szCs w:val="21"/>
                <w:highlight w:val="none"/>
                <w:lang w:val="en-US" w:eastAsia="zh-CN"/>
              </w:rPr>
              <w:t>5</w:t>
            </w:r>
            <w:r>
              <w:rPr>
                <w:rFonts w:hint="eastAsia" w:ascii="宋体" w:hAnsi="宋体" w:eastAsia="宋体" w:cs="宋体"/>
                <w:color w:val="auto"/>
                <w:sz w:val="21"/>
                <w:szCs w:val="21"/>
                <w:highlight w:val="none"/>
              </w:rPr>
              <w:t>分，有缺项漏项或不合理的每处扣</w:t>
            </w:r>
            <w:r>
              <w:rPr>
                <w:rFonts w:hint="eastAsia" w:ascii="宋体" w:hAnsi="宋体" w:eastAsia="宋体" w:cs="宋体"/>
                <w:color w:val="auto"/>
                <w:sz w:val="21"/>
                <w:szCs w:val="21"/>
                <w:highlight w:val="none"/>
                <w:lang w:val="en-US" w:eastAsia="zh-CN"/>
              </w:rPr>
              <w:t>1</w:t>
            </w:r>
            <w:r>
              <w:rPr>
                <w:rFonts w:hint="eastAsia" w:ascii="宋体" w:hAnsi="宋体" w:eastAsia="宋体" w:cs="宋体"/>
                <w:color w:val="auto"/>
                <w:sz w:val="21"/>
                <w:szCs w:val="21"/>
                <w:highlight w:val="none"/>
              </w:rPr>
              <w:t>分，扣完为止。</w:t>
            </w:r>
          </w:p>
        </w:tc>
        <w:tc>
          <w:tcPr>
            <w:tcW w:w="657" w:type="dxa"/>
            <w:noWrap w:val="0"/>
            <w:vAlign w:val="center"/>
          </w:tcPr>
          <w:p w14:paraId="1C348891">
            <w:pPr>
              <w:keepNext w:val="0"/>
              <w:keepLines w:val="0"/>
              <w:pageBreakBefore w:val="0"/>
              <w:shd w:val="clear"/>
              <w:kinsoku/>
              <w:wordWrap/>
              <w:overflowPunct/>
              <w:topLinePunct w:val="0"/>
              <w:autoSpaceDE w:val="0"/>
              <w:autoSpaceDN/>
              <w:bidi w:val="0"/>
              <w:adjustRightInd w:val="0"/>
              <w:snapToGrid w:val="0"/>
              <w:spacing w:line="460" w:lineRule="exact"/>
              <w:jc w:val="center"/>
              <w:textAlignment w:val="baseline"/>
              <w:rPr>
                <w:rFonts w:hint="eastAsia" w:ascii="宋体" w:hAnsi="宋体" w:eastAsia="宋体" w:cs="宋体"/>
                <w:color w:val="auto"/>
                <w:sz w:val="21"/>
                <w:szCs w:val="21"/>
                <w:highlight w:val="none"/>
                <w:lang w:val="en-US" w:eastAsia="zh-CN"/>
              </w:rPr>
            </w:pPr>
            <w:r>
              <w:rPr>
                <w:rFonts w:hint="eastAsia" w:hAnsi="宋体" w:cs="宋体"/>
                <w:color w:val="auto"/>
                <w:sz w:val="21"/>
                <w:szCs w:val="21"/>
                <w:highlight w:val="none"/>
                <w:lang w:val="en-US" w:eastAsia="zh-CN"/>
              </w:rPr>
              <w:t>5</w:t>
            </w:r>
          </w:p>
        </w:tc>
      </w:tr>
      <w:tr w14:paraId="4908C1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720" w:type="dxa"/>
            <w:noWrap w:val="0"/>
            <w:vAlign w:val="center"/>
          </w:tcPr>
          <w:p w14:paraId="4F4F301D">
            <w:pPr>
              <w:keepNext w:val="0"/>
              <w:keepLines w:val="0"/>
              <w:pageBreakBefore w:val="0"/>
              <w:shd w:val="clear"/>
              <w:kinsoku/>
              <w:wordWrap/>
              <w:overflowPunct/>
              <w:topLinePunct w:val="0"/>
              <w:autoSpaceDE w:val="0"/>
              <w:autoSpaceDN/>
              <w:bidi w:val="0"/>
              <w:adjustRightInd w:val="0"/>
              <w:snapToGrid w:val="0"/>
              <w:spacing w:line="460" w:lineRule="exact"/>
              <w:jc w:val="center"/>
              <w:textAlignment w:val="baseline"/>
              <w:rPr>
                <w:rFonts w:hint="eastAsia" w:ascii="宋体" w:hAnsi="宋体" w:eastAsia="宋体" w:cs="宋体"/>
                <w:color w:val="auto"/>
                <w:sz w:val="21"/>
                <w:szCs w:val="21"/>
                <w:highlight w:val="none"/>
                <w:lang w:eastAsia="zh-CN"/>
              </w:rPr>
            </w:pPr>
            <w:r>
              <w:rPr>
                <w:rFonts w:hint="eastAsia" w:hAnsi="宋体" w:cs="宋体"/>
                <w:color w:val="auto"/>
                <w:sz w:val="21"/>
                <w:szCs w:val="21"/>
                <w:highlight w:val="none"/>
                <w:lang w:val="en-US" w:eastAsia="zh-CN"/>
              </w:rPr>
              <w:t>3</w:t>
            </w:r>
          </w:p>
        </w:tc>
        <w:tc>
          <w:tcPr>
            <w:tcW w:w="1117" w:type="dxa"/>
            <w:noWrap w:val="0"/>
            <w:vAlign w:val="center"/>
          </w:tcPr>
          <w:p w14:paraId="432A0F8F">
            <w:pPr>
              <w:keepNext w:val="0"/>
              <w:keepLines w:val="0"/>
              <w:pageBreakBefore w:val="0"/>
              <w:shd w:val="clear"/>
              <w:kinsoku/>
              <w:wordWrap/>
              <w:overflowPunct/>
              <w:topLinePunct w:val="0"/>
              <w:autoSpaceDE w:val="0"/>
              <w:autoSpaceDN/>
              <w:bidi w:val="0"/>
              <w:adjustRightInd w:val="0"/>
              <w:snapToGrid w:val="0"/>
              <w:spacing w:line="460" w:lineRule="exact"/>
              <w:ind w:left="-50"/>
              <w:jc w:val="center"/>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投标人的情况</w:t>
            </w:r>
          </w:p>
        </w:tc>
        <w:tc>
          <w:tcPr>
            <w:tcW w:w="7456" w:type="dxa"/>
            <w:noWrap w:val="0"/>
            <w:vAlign w:val="center"/>
          </w:tcPr>
          <w:p w14:paraId="7914480B">
            <w:pPr>
              <w:keepNext w:val="0"/>
              <w:keepLines w:val="0"/>
              <w:pageBreakBefore w:val="0"/>
              <w:shd w:val="clear"/>
              <w:kinsoku/>
              <w:wordWrap/>
              <w:overflowPunct/>
              <w:topLinePunct w:val="0"/>
              <w:autoSpaceDE w:val="0"/>
              <w:autoSpaceDN/>
              <w:bidi w:val="0"/>
              <w:adjustRightInd w:val="0"/>
              <w:snapToGrid w:val="0"/>
              <w:spacing w:line="460" w:lineRule="exact"/>
              <w:ind w:left="-50"/>
              <w:textAlignment w:val="baseline"/>
              <w:rPr>
                <w:rFonts w:hint="eastAsia" w:ascii="宋体" w:hAnsi="宋体" w:eastAsia="宋体" w:cs="宋体"/>
                <w:color w:val="auto"/>
                <w:sz w:val="21"/>
                <w:szCs w:val="21"/>
                <w:highlight w:val="none"/>
              </w:rPr>
            </w:pPr>
            <w:r>
              <w:rPr>
                <w:rFonts w:hint="eastAsia" w:hAnsi="宋体" w:cs="宋体"/>
                <w:color w:val="auto"/>
                <w:sz w:val="21"/>
                <w:szCs w:val="21"/>
                <w:highlight w:val="none"/>
                <w:lang w:val="en-US" w:eastAsia="zh-CN"/>
              </w:rPr>
              <w:t>投标人具</w:t>
            </w:r>
            <w:r>
              <w:rPr>
                <w:rFonts w:hint="eastAsia" w:ascii="宋体" w:hAnsi="宋体" w:eastAsia="宋体" w:cs="宋体"/>
                <w:color w:val="auto"/>
                <w:sz w:val="21"/>
                <w:szCs w:val="21"/>
                <w:highlight w:val="none"/>
              </w:rPr>
              <w:t>有较好的</w:t>
            </w:r>
            <w:r>
              <w:rPr>
                <w:rFonts w:hint="eastAsia" w:hAnsi="宋体" w:cs="宋体"/>
                <w:color w:val="auto"/>
                <w:sz w:val="21"/>
                <w:szCs w:val="21"/>
                <w:highlight w:val="none"/>
                <w:lang w:eastAsia="zh-CN"/>
              </w:rPr>
              <w:t>评估</w:t>
            </w:r>
            <w:r>
              <w:rPr>
                <w:rFonts w:hint="eastAsia" w:ascii="宋体" w:hAnsi="宋体" w:eastAsia="宋体" w:cs="宋体"/>
                <w:color w:val="auto"/>
                <w:sz w:val="21"/>
                <w:szCs w:val="21"/>
                <w:highlight w:val="none"/>
              </w:rPr>
              <w:t>基础（水平）、能合理把握打分的标准尺度及评分能力经验、人力资源、基础条件和行业地位，以及已取得的各项荣誉情况等情况综合评分</w:t>
            </w:r>
            <w:r>
              <w:rPr>
                <w:rFonts w:hint="eastAsia" w:ascii="宋体" w:hAnsi="宋体" w:eastAsia="宋体" w:cs="宋体"/>
                <w:color w:val="auto"/>
                <w:sz w:val="21"/>
                <w:szCs w:val="21"/>
                <w:highlight w:val="none"/>
                <w:lang w:bidi="ar"/>
              </w:rPr>
              <w:t>，</w:t>
            </w:r>
            <w:r>
              <w:rPr>
                <w:rFonts w:hint="eastAsia" w:ascii="宋体" w:hAnsi="宋体" w:eastAsia="宋体" w:cs="宋体"/>
                <w:color w:val="auto"/>
                <w:sz w:val="21"/>
                <w:szCs w:val="21"/>
                <w:highlight w:val="none"/>
              </w:rPr>
              <w:t>合理完善有效的得</w:t>
            </w:r>
            <w:r>
              <w:rPr>
                <w:rFonts w:hint="eastAsia" w:ascii="宋体" w:hAnsi="宋体" w:eastAsia="宋体" w:cs="宋体"/>
                <w:color w:val="auto"/>
                <w:sz w:val="21"/>
                <w:szCs w:val="21"/>
                <w:highlight w:val="none"/>
                <w:lang w:val="en-US" w:eastAsia="zh-CN"/>
              </w:rPr>
              <w:t>5</w:t>
            </w:r>
            <w:r>
              <w:rPr>
                <w:rFonts w:hint="eastAsia" w:ascii="宋体" w:hAnsi="宋体" w:eastAsia="宋体" w:cs="宋体"/>
                <w:color w:val="auto"/>
                <w:sz w:val="21"/>
                <w:szCs w:val="21"/>
                <w:highlight w:val="none"/>
              </w:rPr>
              <w:t>分，有缺项漏项或不合理的每处扣</w:t>
            </w:r>
            <w:r>
              <w:rPr>
                <w:rFonts w:hint="eastAsia" w:ascii="宋体" w:hAnsi="宋体" w:eastAsia="宋体" w:cs="宋体"/>
                <w:color w:val="auto"/>
                <w:sz w:val="21"/>
                <w:szCs w:val="21"/>
                <w:highlight w:val="none"/>
                <w:lang w:val="en-US" w:eastAsia="zh-CN"/>
              </w:rPr>
              <w:t>1</w:t>
            </w:r>
            <w:r>
              <w:rPr>
                <w:rFonts w:hint="eastAsia" w:ascii="宋体" w:hAnsi="宋体" w:eastAsia="宋体" w:cs="宋体"/>
                <w:color w:val="auto"/>
                <w:sz w:val="21"/>
                <w:szCs w:val="21"/>
                <w:highlight w:val="none"/>
              </w:rPr>
              <w:t>分，扣完为止。</w:t>
            </w:r>
          </w:p>
        </w:tc>
        <w:tc>
          <w:tcPr>
            <w:tcW w:w="657" w:type="dxa"/>
            <w:noWrap w:val="0"/>
            <w:vAlign w:val="center"/>
          </w:tcPr>
          <w:p w14:paraId="4CE0810D">
            <w:pPr>
              <w:keepNext w:val="0"/>
              <w:keepLines w:val="0"/>
              <w:pageBreakBefore w:val="0"/>
              <w:shd w:val="clear"/>
              <w:kinsoku/>
              <w:wordWrap/>
              <w:overflowPunct/>
              <w:topLinePunct w:val="0"/>
              <w:autoSpaceDE w:val="0"/>
              <w:autoSpaceDN/>
              <w:bidi w:val="0"/>
              <w:adjustRightInd w:val="0"/>
              <w:snapToGrid w:val="0"/>
              <w:spacing w:line="460" w:lineRule="exact"/>
              <w:jc w:val="center"/>
              <w:textAlignment w:val="baseline"/>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val="en-US" w:eastAsia="zh-CN"/>
              </w:rPr>
              <w:t>5</w:t>
            </w:r>
          </w:p>
        </w:tc>
      </w:tr>
      <w:tr w14:paraId="543B4C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trPr>
        <w:tc>
          <w:tcPr>
            <w:tcW w:w="720" w:type="dxa"/>
            <w:noWrap w:val="0"/>
            <w:vAlign w:val="center"/>
          </w:tcPr>
          <w:p w14:paraId="1D72FB4D">
            <w:pPr>
              <w:keepNext w:val="0"/>
              <w:keepLines w:val="0"/>
              <w:pageBreakBefore w:val="0"/>
              <w:shd w:val="clear"/>
              <w:kinsoku/>
              <w:wordWrap/>
              <w:overflowPunct/>
              <w:topLinePunct w:val="0"/>
              <w:autoSpaceDE w:val="0"/>
              <w:autoSpaceDN/>
              <w:bidi w:val="0"/>
              <w:adjustRightInd w:val="0"/>
              <w:snapToGrid w:val="0"/>
              <w:spacing w:line="460" w:lineRule="exact"/>
              <w:jc w:val="center"/>
              <w:textAlignment w:val="baseline"/>
              <w:rPr>
                <w:rFonts w:hint="eastAsia" w:ascii="宋体" w:hAnsi="宋体" w:eastAsia="宋体" w:cs="宋体"/>
                <w:color w:val="auto"/>
                <w:sz w:val="21"/>
                <w:szCs w:val="21"/>
                <w:highlight w:val="none"/>
                <w:lang w:eastAsia="zh-CN"/>
              </w:rPr>
            </w:pPr>
            <w:r>
              <w:rPr>
                <w:rFonts w:hint="eastAsia" w:hAnsi="宋体" w:cs="宋体"/>
                <w:color w:val="auto"/>
                <w:sz w:val="21"/>
                <w:szCs w:val="21"/>
                <w:highlight w:val="none"/>
                <w:lang w:val="en-US" w:eastAsia="zh-CN"/>
              </w:rPr>
              <w:t>4</w:t>
            </w:r>
          </w:p>
        </w:tc>
        <w:tc>
          <w:tcPr>
            <w:tcW w:w="1117" w:type="dxa"/>
            <w:noWrap w:val="0"/>
            <w:vAlign w:val="center"/>
          </w:tcPr>
          <w:p w14:paraId="0DD6B8BA">
            <w:pPr>
              <w:keepNext w:val="0"/>
              <w:keepLines w:val="0"/>
              <w:pageBreakBefore w:val="0"/>
              <w:shd w:val="clear"/>
              <w:kinsoku/>
              <w:wordWrap/>
              <w:overflowPunct/>
              <w:topLinePunct w:val="0"/>
              <w:autoSpaceDE w:val="0"/>
              <w:autoSpaceDN/>
              <w:bidi w:val="0"/>
              <w:adjustRightInd w:val="0"/>
              <w:snapToGrid w:val="0"/>
              <w:spacing w:line="460" w:lineRule="exact"/>
              <w:ind w:left="-50"/>
              <w:jc w:val="center"/>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同类项目业绩</w:t>
            </w:r>
          </w:p>
        </w:tc>
        <w:tc>
          <w:tcPr>
            <w:tcW w:w="7456" w:type="dxa"/>
            <w:noWrap w:val="0"/>
            <w:vAlign w:val="center"/>
          </w:tcPr>
          <w:p w14:paraId="2A7EB0BD">
            <w:pPr>
              <w:keepNext w:val="0"/>
              <w:keepLines w:val="0"/>
              <w:pageBreakBefore w:val="0"/>
              <w:shd w:val="clear"/>
              <w:tabs>
                <w:tab w:val="left" w:pos="1700"/>
                <w:tab w:val="left" w:pos="5100"/>
              </w:tabs>
              <w:kinsoku/>
              <w:wordWrap/>
              <w:overflowPunct/>
              <w:topLinePunct w:val="0"/>
              <w:autoSpaceDE w:val="0"/>
              <w:autoSpaceDN/>
              <w:bidi w:val="0"/>
              <w:adjustRightInd w:val="0"/>
              <w:snapToGrid w:val="0"/>
              <w:spacing w:line="460" w:lineRule="exact"/>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投标人20</w:t>
            </w:r>
            <w:r>
              <w:rPr>
                <w:rFonts w:hint="eastAsia" w:ascii="宋体" w:hAnsi="宋体" w:eastAsia="宋体" w:cs="宋体"/>
                <w:color w:val="auto"/>
                <w:sz w:val="21"/>
                <w:szCs w:val="21"/>
                <w:highlight w:val="none"/>
                <w:lang w:val="en-US" w:eastAsia="zh-CN"/>
              </w:rPr>
              <w:t>22</w:t>
            </w:r>
            <w:r>
              <w:rPr>
                <w:rFonts w:hint="eastAsia" w:ascii="宋体" w:hAnsi="宋体" w:eastAsia="宋体" w:cs="宋体"/>
                <w:color w:val="auto"/>
                <w:sz w:val="21"/>
                <w:szCs w:val="21"/>
                <w:highlight w:val="none"/>
              </w:rPr>
              <w:t>年1月1日至今承担过的同类项目业绩。每个业绩合同得</w:t>
            </w:r>
            <w:r>
              <w:rPr>
                <w:rFonts w:hint="eastAsia" w:ascii="宋体" w:hAnsi="宋体" w:eastAsia="宋体" w:cs="宋体"/>
                <w:color w:val="auto"/>
                <w:sz w:val="21"/>
                <w:szCs w:val="21"/>
                <w:highlight w:val="none"/>
                <w:lang w:val="en-US" w:eastAsia="zh-CN"/>
              </w:rPr>
              <w:t>1</w:t>
            </w:r>
            <w:r>
              <w:rPr>
                <w:rFonts w:hint="eastAsia" w:ascii="宋体" w:hAnsi="宋体" w:eastAsia="宋体" w:cs="宋体"/>
                <w:color w:val="auto"/>
                <w:sz w:val="21"/>
                <w:szCs w:val="21"/>
                <w:highlight w:val="none"/>
              </w:rPr>
              <w:t>分，满分</w:t>
            </w:r>
            <w:r>
              <w:rPr>
                <w:rFonts w:hint="eastAsia" w:ascii="宋体" w:hAnsi="宋体" w:eastAsia="宋体" w:cs="宋体"/>
                <w:color w:val="auto"/>
                <w:sz w:val="21"/>
                <w:szCs w:val="21"/>
                <w:highlight w:val="none"/>
                <w:lang w:val="en-US" w:eastAsia="zh-CN"/>
              </w:rPr>
              <w:t>1</w:t>
            </w:r>
            <w:r>
              <w:rPr>
                <w:rFonts w:hint="eastAsia" w:ascii="宋体" w:hAnsi="宋体" w:eastAsia="宋体" w:cs="宋体"/>
                <w:color w:val="auto"/>
                <w:sz w:val="21"/>
                <w:szCs w:val="21"/>
                <w:highlight w:val="none"/>
              </w:rPr>
              <w:t>分。</w:t>
            </w:r>
            <w:r>
              <w:rPr>
                <w:rFonts w:hint="eastAsia" w:ascii="宋体" w:hAnsi="宋体" w:eastAsia="宋体" w:cs="宋体"/>
                <w:color w:val="auto"/>
                <w:sz w:val="21"/>
                <w:szCs w:val="21"/>
                <w:highlight w:val="none"/>
                <w:lang w:val="en-US" w:eastAsia="zh-CN"/>
              </w:rPr>
              <w:t>供应商</w:t>
            </w:r>
            <w:r>
              <w:rPr>
                <w:rFonts w:hint="eastAsia" w:ascii="宋体" w:hAnsi="宋体" w:eastAsia="宋体" w:cs="宋体"/>
                <w:color w:val="auto"/>
                <w:sz w:val="21"/>
                <w:szCs w:val="21"/>
                <w:highlight w:val="none"/>
              </w:rPr>
              <w:t>须提供合同</w:t>
            </w:r>
            <w:r>
              <w:rPr>
                <w:rFonts w:hint="eastAsia" w:ascii="宋体" w:hAnsi="宋体" w:eastAsia="宋体" w:cs="宋体"/>
                <w:color w:val="auto"/>
                <w:sz w:val="21"/>
                <w:szCs w:val="21"/>
                <w:highlight w:val="none"/>
                <w:lang w:val="en-US" w:eastAsia="zh-CN"/>
              </w:rPr>
              <w:t>扫描件</w:t>
            </w:r>
            <w:r>
              <w:rPr>
                <w:rFonts w:hint="eastAsia" w:ascii="宋体" w:hAnsi="宋体" w:eastAsia="宋体" w:cs="宋体"/>
                <w:color w:val="auto"/>
                <w:sz w:val="21"/>
                <w:szCs w:val="21"/>
                <w:highlight w:val="none"/>
                <w:lang w:bidi="ar"/>
              </w:rPr>
              <w:t>，不提供不得分</w:t>
            </w:r>
            <w:r>
              <w:rPr>
                <w:rFonts w:hint="eastAsia" w:ascii="宋体" w:hAnsi="宋体" w:eastAsia="宋体" w:cs="宋体"/>
                <w:color w:val="auto"/>
                <w:sz w:val="21"/>
                <w:szCs w:val="21"/>
                <w:highlight w:val="none"/>
              </w:rPr>
              <w:t>。</w:t>
            </w:r>
          </w:p>
        </w:tc>
        <w:tc>
          <w:tcPr>
            <w:tcW w:w="657" w:type="dxa"/>
            <w:noWrap w:val="0"/>
            <w:vAlign w:val="center"/>
          </w:tcPr>
          <w:p w14:paraId="1E238104">
            <w:pPr>
              <w:keepNext w:val="0"/>
              <w:keepLines w:val="0"/>
              <w:pageBreakBefore w:val="0"/>
              <w:shd w:val="clear"/>
              <w:kinsoku/>
              <w:wordWrap/>
              <w:overflowPunct/>
              <w:topLinePunct w:val="0"/>
              <w:autoSpaceDE w:val="0"/>
              <w:autoSpaceDN/>
              <w:bidi w:val="0"/>
              <w:adjustRightInd w:val="0"/>
              <w:snapToGrid w:val="0"/>
              <w:spacing w:line="460" w:lineRule="exact"/>
              <w:jc w:val="center"/>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1</w:t>
            </w:r>
          </w:p>
        </w:tc>
      </w:tr>
      <w:tr w14:paraId="6FD4A1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8" w:hRule="atLeast"/>
        </w:trPr>
        <w:tc>
          <w:tcPr>
            <w:tcW w:w="720" w:type="dxa"/>
            <w:noWrap w:val="0"/>
            <w:vAlign w:val="center"/>
          </w:tcPr>
          <w:p w14:paraId="3354A7DF">
            <w:pPr>
              <w:keepNext w:val="0"/>
              <w:keepLines w:val="0"/>
              <w:pageBreakBefore w:val="0"/>
              <w:shd w:val="clear"/>
              <w:kinsoku/>
              <w:wordWrap/>
              <w:overflowPunct/>
              <w:topLinePunct w:val="0"/>
              <w:autoSpaceDE w:val="0"/>
              <w:autoSpaceDN/>
              <w:bidi w:val="0"/>
              <w:adjustRightInd w:val="0"/>
              <w:snapToGrid w:val="0"/>
              <w:spacing w:line="460" w:lineRule="exact"/>
              <w:jc w:val="center"/>
              <w:textAlignment w:val="baseline"/>
              <w:rPr>
                <w:rFonts w:hint="eastAsia" w:ascii="宋体" w:hAnsi="宋体" w:eastAsia="宋体" w:cs="宋体"/>
                <w:color w:val="auto"/>
                <w:sz w:val="21"/>
                <w:szCs w:val="21"/>
                <w:highlight w:val="none"/>
                <w:lang w:eastAsia="zh-CN"/>
              </w:rPr>
            </w:pPr>
            <w:r>
              <w:rPr>
                <w:rFonts w:hint="eastAsia" w:hAnsi="宋体" w:cs="宋体"/>
                <w:color w:val="auto"/>
                <w:sz w:val="21"/>
                <w:szCs w:val="21"/>
                <w:highlight w:val="none"/>
                <w:lang w:val="en-US" w:eastAsia="zh-CN"/>
              </w:rPr>
              <w:t>5</w:t>
            </w:r>
          </w:p>
        </w:tc>
        <w:tc>
          <w:tcPr>
            <w:tcW w:w="1117" w:type="dxa"/>
            <w:noWrap w:val="0"/>
            <w:vAlign w:val="center"/>
          </w:tcPr>
          <w:p w14:paraId="2E3A9388">
            <w:pPr>
              <w:keepNext w:val="0"/>
              <w:keepLines w:val="0"/>
              <w:pageBreakBefore w:val="0"/>
              <w:shd w:val="clear"/>
              <w:kinsoku/>
              <w:wordWrap/>
              <w:overflowPunct/>
              <w:topLinePunct w:val="0"/>
              <w:autoSpaceDE w:val="0"/>
              <w:autoSpaceDN/>
              <w:bidi w:val="0"/>
              <w:adjustRightInd w:val="0"/>
              <w:snapToGrid w:val="0"/>
              <w:spacing w:line="460" w:lineRule="exact"/>
              <w:jc w:val="center"/>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《检查</w:t>
            </w:r>
            <w:r>
              <w:rPr>
                <w:rFonts w:hint="eastAsia" w:hAnsi="宋体" w:cs="宋体"/>
                <w:color w:val="auto"/>
                <w:sz w:val="21"/>
                <w:szCs w:val="21"/>
                <w:highlight w:val="none"/>
                <w:lang w:val="en-US" w:eastAsia="zh-CN"/>
              </w:rPr>
              <w:t>/评估</w:t>
            </w:r>
            <w:r>
              <w:rPr>
                <w:rFonts w:hint="eastAsia" w:ascii="宋体" w:hAnsi="宋体" w:eastAsia="宋体" w:cs="宋体"/>
                <w:color w:val="auto"/>
                <w:sz w:val="21"/>
                <w:szCs w:val="21"/>
                <w:highlight w:val="none"/>
              </w:rPr>
              <w:t>总结报告》实例评价</w:t>
            </w:r>
          </w:p>
        </w:tc>
        <w:tc>
          <w:tcPr>
            <w:tcW w:w="7456" w:type="dxa"/>
            <w:noWrap w:val="0"/>
            <w:vAlign w:val="center"/>
          </w:tcPr>
          <w:p w14:paraId="04787C43">
            <w:pPr>
              <w:pStyle w:val="2"/>
              <w:keepNext w:val="0"/>
              <w:keepLines w:val="0"/>
              <w:pageBreakBefore w:val="0"/>
              <w:shd w:val="clear"/>
              <w:kinsoku/>
              <w:wordWrap/>
              <w:overflowPunct/>
              <w:topLinePunct w:val="0"/>
              <w:autoSpaceDN/>
              <w:bidi w:val="0"/>
              <w:adjustRightInd w:val="0"/>
              <w:spacing w:line="460" w:lineRule="exact"/>
              <w:textAlignment w:val="baseline"/>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rPr>
              <w:t>投标人提供5份自身以往服务过程中所出具的《检查</w:t>
            </w:r>
            <w:r>
              <w:rPr>
                <w:rFonts w:hint="eastAsia" w:ascii="宋体" w:hAnsi="宋体" w:cs="宋体"/>
                <w:color w:val="auto"/>
                <w:sz w:val="21"/>
                <w:szCs w:val="21"/>
                <w:highlight w:val="none"/>
                <w:lang w:val="en-US" w:eastAsia="zh-CN"/>
              </w:rPr>
              <w:t>/评估</w:t>
            </w:r>
            <w:r>
              <w:rPr>
                <w:rFonts w:hint="eastAsia" w:ascii="宋体" w:hAnsi="宋体" w:eastAsia="宋体" w:cs="宋体"/>
                <w:color w:val="auto"/>
                <w:sz w:val="21"/>
                <w:szCs w:val="21"/>
                <w:highlight w:val="none"/>
              </w:rPr>
              <w:t>总结报告》实例，由评标专家从以下角度进行评价打分：</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每项2分</w:t>
            </w:r>
            <w:r>
              <w:rPr>
                <w:rFonts w:hint="eastAsia" w:ascii="宋体" w:hAnsi="宋体" w:eastAsia="宋体" w:cs="宋体"/>
                <w:color w:val="auto"/>
                <w:sz w:val="21"/>
                <w:szCs w:val="21"/>
                <w:highlight w:val="none"/>
                <w:lang w:eastAsia="zh-CN"/>
              </w:rPr>
              <w:t>）</w:t>
            </w:r>
          </w:p>
          <w:p w14:paraId="6E5B5AB1">
            <w:pPr>
              <w:pStyle w:val="2"/>
              <w:keepNext w:val="0"/>
              <w:keepLines w:val="0"/>
              <w:pageBreakBefore w:val="0"/>
              <w:numPr>
                <w:ilvl w:val="0"/>
                <w:numId w:val="0"/>
              </w:numPr>
              <w:shd w:val="clear"/>
              <w:kinsoku/>
              <w:wordWrap/>
              <w:overflowPunct/>
              <w:topLinePunct w:val="0"/>
              <w:autoSpaceDN/>
              <w:bidi w:val="0"/>
              <w:adjustRightInd w:val="0"/>
              <w:spacing w:line="460" w:lineRule="exact"/>
              <w:ind w:left="720" w:leftChars="0" w:hanging="720" w:firstLineChars="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bidi="ar-SA"/>
              </w:rPr>
              <w:t>（1）</w:t>
            </w:r>
            <w:r>
              <w:rPr>
                <w:rFonts w:hint="eastAsia" w:ascii="宋体" w:hAnsi="宋体" w:eastAsia="宋体" w:cs="宋体"/>
                <w:color w:val="auto"/>
                <w:sz w:val="21"/>
                <w:szCs w:val="21"/>
                <w:highlight w:val="none"/>
              </w:rPr>
              <w:t>在检查</w:t>
            </w:r>
            <w:r>
              <w:rPr>
                <w:rFonts w:hint="eastAsia" w:ascii="宋体" w:hAnsi="宋体" w:cs="宋体"/>
                <w:color w:val="auto"/>
                <w:sz w:val="21"/>
                <w:szCs w:val="21"/>
                <w:highlight w:val="none"/>
                <w:lang w:val="en-US" w:eastAsia="zh-CN"/>
              </w:rPr>
              <w:t>/评估</w:t>
            </w:r>
            <w:r>
              <w:rPr>
                <w:rFonts w:hint="eastAsia" w:ascii="宋体" w:hAnsi="宋体" w:eastAsia="宋体" w:cs="宋体"/>
                <w:color w:val="auto"/>
                <w:sz w:val="21"/>
                <w:szCs w:val="21"/>
                <w:highlight w:val="none"/>
              </w:rPr>
              <w:t>过程发现问题的能力。</w:t>
            </w:r>
          </w:p>
          <w:p w14:paraId="1C19101F">
            <w:pPr>
              <w:pStyle w:val="2"/>
              <w:keepNext w:val="0"/>
              <w:keepLines w:val="0"/>
              <w:pageBreakBefore w:val="0"/>
              <w:numPr>
                <w:ilvl w:val="0"/>
                <w:numId w:val="0"/>
              </w:numPr>
              <w:shd w:val="clear"/>
              <w:kinsoku/>
              <w:wordWrap/>
              <w:overflowPunct/>
              <w:topLinePunct w:val="0"/>
              <w:autoSpaceDN/>
              <w:bidi w:val="0"/>
              <w:adjustRightInd w:val="0"/>
              <w:spacing w:line="460" w:lineRule="exact"/>
              <w:ind w:left="720" w:leftChars="0" w:hanging="720" w:firstLineChars="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bidi="ar-SA"/>
              </w:rPr>
              <w:t>（2）</w:t>
            </w:r>
            <w:r>
              <w:rPr>
                <w:rFonts w:hint="eastAsia" w:ascii="宋体" w:hAnsi="宋体" w:eastAsia="宋体" w:cs="宋体"/>
                <w:color w:val="auto"/>
                <w:sz w:val="21"/>
                <w:szCs w:val="21"/>
                <w:highlight w:val="none"/>
              </w:rPr>
              <w:t>检查</w:t>
            </w:r>
            <w:r>
              <w:rPr>
                <w:rFonts w:hint="eastAsia" w:ascii="宋体" w:hAnsi="宋体" w:cs="宋体"/>
                <w:color w:val="auto"/>
                <w:sz w:val="21"/>
                <w:szCs w:val="21"/>
                <w:highlight w:val="none"/>
                <w:lang w:val="en-US" w:eastAsia="zh-CN"/>
              </w:rPr>
              <w:t>/评估</w:t>
            </w:r>
            <w:r>
              <w:rPr>
                <w:rFonts w:hint="eastAsia" w:ascii="宋体" w:hAnsi="宋体" w:eastAsia="宋体" w:cs="宋体"/>
                <w:color w:val="auto"/>
                <w:sz w:val="21"/>
                <w:szCs w:val="21"/>
                <w:highlight w:val="none"/>
              </w:rPr>
              <w:t>内容的完整性。</w:t>
            </w:r>
          </w:p>
          <w:p w14:paraId="6723C629">
            <w:pPr>
              <w:pStyle w:val="2"/>
              <w:keepNext w:val="0"/>
              <w:keepLines w:val="0"/>
              <w:pageBreakBefore w:val="0"/>
              <w:numPr>
                <w:ilvl w:val="0"/>
                <w:numId w:val="0"/>
              </w:numPr>
              <w:shd w:val="clear"/>
              <w:kinsoku/>
              <w:wordWrap/>
              <w:overflowPunct/>
              <w:topLinePunct w:val="0"/>
              <w:autoSpaceDN/>
              <w:bidi w:val="0"/>
              <w:adjustRightInd w:val="0"/>
              <w:spacing w:line="460" w:lineRule="exact"/>
              <w:ind w:left="720" w:leftChars="0" w:hanging="720" w:firstLineChars="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bidi="ar-SA"/>
              </w:rPr>
              <w:t>（3）</w:t>
            </w:r>
            <w:r>
              <w:rPr>
                <w:rFonts w:hint="eastAsia" w:ascii="宋体" w:hAnsi="宋体" w:eastAsia="宋体" w:cs="宋体"/>
                <w:color w:val="auto"/>
                <w:sz w:val="21"/>
                <w:szCs w:val="21"/>
                <w:highlight w:val="none"/>
              </w:rPr>
              <w:t>检查</w:t>
            </w:r>
            <w:r>
              <w:rPr>
                <w:rFonts w:hint="eastAsia" w:ascii="宋体" w:hAnsi="宋体" w:cs="宋体"/>
                <w:color w:val="auto"/>
                <w:sz w:val="21"/>
                <w:szCs w:val="21"/>
                <w:highlight w:val="none"/>
                <w:lang w:val="en-US" w:eastAsia="zh-CN"/>
              </w:rPr>
              <w:t>/评估</w:t>
            </w:r>
            <w:r>
              <w:rPr>
                <w:rFonts w:hint="eastAsia" w:ascii="宋体" w:hAnsi="宋体" w:eastAsia="宋体" w:cs="宋体"/>
                <w:color w:val="auto"/>
                <w:sz w:val="21"/>
                <w:szCs w:val="21"/>
                <w:highlight w:val="none"/>
              </w:rPr>
              <w:t>结果的反映是否客观、真实。</w:t>
            </w:r>
          </w:p>
          <w:p w14:paraId="5C34F724">
            <w:pPr>
              <w:pStyle w:val="2"/>
              <w:keepNext w:val="0"/>
              <w:keepLines w:val="0"/>
              <w:pageBreakBefore w:val="0"/>
              <w:widowControl w:val="0"/>
              <w:numPr>
                <w:ilvl w:val="0"/>
                <w:numId w:val="0"/>
              </w:numPr>
              <w:shd w:val="clear"/>
              <w:kinsoku/>
              <w:wordWrap/>
              <w:overflowPunct/>
              <w:topLinePunct w:val="0"/>
              <w:autoSpaceDE w:val="0"/>
              <w:autoSpaceDN/>
              <w:bidi w:val="0"/>
              <w:adjustRightInd w:val="0"/>
              <w:snapToGrid/>
              <w:spacing w:line="460" w:lineRule="exact"/>
              <w:ind w:left="0" w:leftChars="0" w:firstLine="0" w:firstLineChars="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bidi="ar-SA"/>
              </w:rPr>
              <w:t>（4）</w:t>
            </w:r>
            <w:r>
              <w:rPr>
                <w:rFonts w:hint="eastAsia" w:ascii="宋体" w:hAnsi="宋体" w:eastAsia="宋体" w:cs="宋体"/>
                <w:color w:val="auto"/>
                <w:sz w:val="21"/>
                <w:szCs w:val="21"/>
                <w:highlight w:val="none"/>
              </w:rPr>
              <w:t>检查</w:t>
            </w:r>
            <w:r>
              <w:rPr>
                <w:rFonts w:hint="eastAsia" w:ascii="宋体" w:hAnsi="宋体" w:cs="宋体"/>
                <w:color w:val="auto"/>
                <w:sz w:val="21"/>
                <w:szCs w:val="21"/>
                <w:highlight w:val="none"/>
                <w:lang w:val="en-US" w:eastAsia="zh-CN"/>
              </w:rPr>
              <w:t>/评估</w:t>
            </w:r>
            <w:r>
              <w:rPr>
                <w:rFonts w:hint="eastAsia" w:ascii="宋体" w:hAnsi="宋体" w:eastAsia="宋体" w:cs="宋体"/>
                <w:color w:val="auto"/>
                <w:sz w:val="21"/>
                <w:szCs w:val="21"/>
                <w:highlight w:val="none"/>
              </w:rPr>
              <w:t>报告的书写能力。</w:t>
            </w:r>
          </w:p>
          <w:p w14:paraId="01C0F9C8">
            <w:pPr>
              <w:pStyle w:val="2"/>
              <w:keepNext w:val="0"/>
              <w:keepLines w:val="0"/>
              <w:pageBreakBefore w:val="0"/>
              <w:widowControl w:val="0"/>
              <w:numPr>
                <w:ilvl w:val="0"/>
                <w:numId w:val="0"/>
              </w:numPr>
              <w:shd w:val="clear"/>
              <w:kinsoku/>
              <w:wordWrap/>
              <w:overflowPunct/>
              <w:topLinePunct w:val="0"/>
              <w:autoSpaceDE w:val="0"/>
              <w:autoSpaceDN/>
              <w:bidi w:val="0"/>
              <w:adjustRightInd w:val="0"/>
              <w:snapToGrid/>
              <w:spacing w:line="460" w:lineRule="exact"/>
              <w:ind w:left="0" w:leftChars="0" w:firstLine="0" w:firstLineChars="0"/>
              <w:textAlignment w:val="baseline"/>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val="en-US" w:eastAsia="zh-CN" w:bidi="ar-SA"/>
              </w:rPr>
              <w:t>（5）</w:t>
            </w:r>
            <w:r>
              <w:rPr>
                <w:rFonts w:hint="eastAsia" w:ascii="宋体" w:hAnsi="宋体" w:eastAsia="宋体" w:cs="宋体"/>
                <w:color w:val="auto"/>
                <w:sz w:val="21"/>
                <w:szCs w:val="21"/>
                <w:highlight w:val="none"/>
              </w:rPr>
              <w:t>问题整改的建议是否合理、可行</w:t>
            </w:r>
            <w:r>
              <w:rPr>
                <w:rFonts w:hint="eastAsia" w:ascii="宋体" w:hAnsi="宋体" w:cs="宋体"/>
                <w:color w:val="auto"/>
                <w:sz w:val="21"/>
                <w:szCs w:val="21"/>
                <w:highlight w:val="none"/>
                <w:lang w:eastAsia="zh-CN"/>
              </w:rPr>
              <w:t>。</w:t>
            </w:r>
          </w:p>
          <w:p w14:paraId="5B56D424">
            <w:pPr>
              <w:pStyle w:val="2"/>
              <w:keepNext w:val="0"/>
              <w:keepLines w:val="0"/>
              <w:pageBreakBefore w:val="0"/>
              <w:widowControl w:val="0"/>
              <w:numPr>
                <w:ilvl w:val="0"/>
                <w:numId w:val="0"/>
              </w:numPr>
              <w:shd w:val="clear"/>
              <w:kinsoku/>
              <w:wordWrap/>
              <w:overflowPunct/>
              <w:topLinePunct w:val="0"/>
              <w:autoSpaceDE w:val="0"/>
              <w:autoSpaceDN/>
              <w:bidi w:val="0"/>
              <w:adjustRightInd w:val="0"/>
              <w:snapToGrid/>
              <w:spacing w:line="460" w:lineRule="exact"/>
              <w:ind w:left="0" w:leftChars="0" w:firstLine="0" w:firstLineChars="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bidi="ar"/>
              </w:rPr>
              <w:t>供应商提供的材料</w:t>
            </w:r>
            <w:r>
              <w:rPr>
                <w:rFonts w:hint="eastAsia" w:ascii="宋体" w:hAnsi="宋体" w:eastAsia="宋体" w:cs="宋体"/>
                <w:color w:val="auto"/>
                <w:sz w:val="21"/>
                <w:szCs w:val="21"/>
                <w:highlight w:val="none"/>
              </w:rPr>
              <w:t>合理完善有效的得</w:t>
            </w:r>
            <w:r>
              <w:rPr>
                <w:rFonts w:hint="eastAsia" w:ascii="宋体" w:hAnsi="宋体" w:eastAsia="宋体" w:cs="宋体"/>
                <w:color w:val="auto"/>
                <w:sz w:val="21"/>
                <w:szCs w:val="21"/>
                <w:highlight w:val="none"/>
                <w:lang w:val="en-US" w:eastAsia="zh-CN"/>
              </w:rPr>
              <w:t>10</w:t>
            </w:r>
            <w:r>
              <w:rPr>
                <w:rFonts w:hint="eastAsia" w:ascii="宋体" w:hAnsi="宋体" w:eastAsia="宋体" w:cs="宋体"/>
                <w:color w:val="auto"/>
                <w:sz w:val="21"/>
                <w:szCs w:val="21"/>
                <w:highlight w:val="none"/>
              </w:rPr>
              <w:t>分，有缺项漏项或不合理的每处扣0.5分，扣完为止。</w:t>
            </w:r>
          </w:p>
        </w:tc>
        <w:tc>
          <w:tcPr>
            <w:tcW w:w="657" w:type="dxa"/>
            <w:noWrap w:val="0"/>
            <w:vAlign w:val="center"/>
          </w:tcPr>
          <w:p w14:paraId="70D71833">
            <w:pPr>
              <w:keepNext w:val="0"/>
              <w:keepLines w:val="0"/>
              <w:pageBreakBefore w:val="0"/>
              <w:shd w:val="clear"/>
              <w:kinsoku/>
              <w:wordWrap/>
              <w:overflowPunct/>
              <w:topLinePunct w:val="0"/>
              <w:autoSpaceDE w:val="0"/>
              <w:autoSpaceDN/>
              <w:bidi w:val="0"/>
              <w:adjustRightInd w:val="0"/>
              <w:snapToGrid w:val="0"/>
              <w:spacing w:line="460" w:lineRule="exact"/>
              <w:jc w:val="center"/>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10</w:t>
            </w:r>
          </w:p>
        </w:tc>
      </w:tr>
      <w:tr w14:paraId="2DC8E0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8" w:hRule="atLeast"/>
        </w:trPr>
        <w:tc>
          <w:tcPr>
            <w:tcW w:w="720" w:type="dxa"/>
            <w:noWrap w:val="0"/>
            <w:vAlign w:val="center"/>
          </w:tcPr>
          <w:p w14:paraId="64C364B4">
            <w:pPr>
              <w:keepNext w:val="0"/>
              <w:keepLines w:val="0"/>
              <w:pageBreakBefore w:val="0"/>
              <w:shd w:val="clear"/>
              <w:kinsoku/>
              <w:wordWrap/>
              <w:overflowPunct/>
              <w:topLinePunct w:val="0"/>
              <w:autoSpaceDE w:val="0"/>
              <w:autoSpaceDN/>
              <w:bidi w:val="0"/>
              <w:adjustRightInd w:val="0"/>
              <w:snapToGrid w:val="0"/>
              <w:spacing w:line="460" w:lineRule="exact"/>
              <w:jc w:val="center"/>
              <w:textAlignment w:val="baseline"/>
              <w:rPr>
                <w:rFonts w:hint="eastAsia" w:ascii="宋体" w:hAnsi="宋体" w:eastAsia="宋体" w:cs="宋体"/>
                <w:color w:val="auto"/>
                <w:sz w:val="21"/>
                <w:szCs w:val="21"/>
                <w:highlight w:val="none"/>
                <w:lang w:eastAsia="zh-CN"/>
              </w:rPr>
            </w:pPr>
            <w:r>
              <w:rPr>
                <w:rFonts w:hint="eastAsia" w:hAnsi="宋体" w:cs="宋体"/>
                <w:color w:val="auto"/>
                <w:sz w:val="21"/>
                <w:szCs w:val="21"/>
                <w:highlight w:val="none"/>
                <w:lang w:val="en-US" w:eastAsia="zh-CN"/>
              </w:rPr>
              <w:t>6</w:t>
            </w:r>
          </w:p>
        </w:tc>
        <w:tc>
          <w:tcPr>
            <w:tcW w:w="1117" w:type="dxa"/>
            <w:noWrap w:val="0"/>
            <w:vAlign w:val="center"/>
          </w:tcPr>
          <w:p w14:paraId="123FF635">
            <w:pPr>
              <w:keepNext w:val="0"/>
              <w:keepLines w:val="0"/>
              <w:pageBreakBefore w:val="0"/>
              <w:shd w:val="clear"/>
              <w:kinsoku/>
              <w:wordWrap/>
              <w:overflowPunct/>
              <w:topLinePunct w:val="0"/>
              <w:autoSpaceDE w:val="0"/>
              <w:autoSpaceDN/>
              <w:bidi w:val="0"/>
              <w:adjustRightInd w:val="0"/>
              <w:snapToGrid w:val="0"/>
              <w:spacing w:line="460" w:lineRule="exact"/>
              <w:jc w:val="center"/>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服务要求响应情况</w:t>
            </w:r>
          </w:p>
        </w:tc>
        <w:tc>
          <w:tcPr>
            <w:tcW w:w="7456" w:type="dxa"/>
            <w:noWrap w:val="0"/>
            <w:vAlign w:val="center"/>
          </w:tcPr>
          <w:p w14:paraId="40DCF75E">
            <w:pPr>
              <w:keepNext w:val="0"/>
              <w:keepLines w:val="0"/>
              <w:pageBreakBefore w:val="0"/>
              <w:shd w:val="clear" w:color="auto"/>
              <w:kinsoku/>
              <w:wordWrap/>
              <w:overflowPunct/>
              <w:topLinePunct w:val="0"/>
              <w:autoSpaceDE w:val="0"/>
              <w:autoSpaceDN/>
              <w:bidi w:val="0"/>
              <w:adjustRightInd w:val="0"/>
              <w:snapToGrid w:val="0"/>
              <w:spacing w:line="460" w:lineRule="exact"/>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根据投标人对本招标文件</w:t>
            </w:r>
            <w:r>
              <w:rPr>
                <w:rFonts w:hint="eastAsia" w:ascii="宋体" w:hAnsi="宋体" w:eastAsia="宋体" w:cs="宋体"/>
                <w:color w:val="auto"/>
                <w:sz w:val="21"/>
                <w:szCs w:val="21"/>
                <w:highlight w:val="none"/>
                <w:lang w:val="en-US" w:eastAsia="zh-CN"/>
              </w:rPr>
              <w:t>服务内容</w:t>
            </w:r>
            <w:r>
              <w:rPr>
                <w:rFonts w:hint="eastAsia" w:ascii="宋体" w:hAnsi="宋体" w:eastAsia="宋体" w:cs="宋体"/>
                <w:color w:val="auto"/>
                <w:sz w:val="21"/>
                <w:szCs w:val="21"/>
                <w:highlight w:val="none"/>
              </w:rPr>
              <w:t>的响应情况打分：全部响应或正偏离的，得满分</w:t>
            </w:r>
            <w:r>
              <w:rPr>
                <w:rFonts w:hint="eastAsia" w:ascii="宋体" w:hAnsi="宋体" w:eastAsia="宋体" w:cs="宋体"/>
                <w:color w:val="auto"/>
                <w:sz w:val="21"/>
                <w:szCs w:val="21"/>
                <w:highlight w:val="none"/>
                <w:lang w:val="en-US" w:eastAsia="zh-CN"/>
              </w:rPr>
              <w:t>10</w:t>
            </w:r>
            <w:r>
              <w:rPr>
                <w:rFonts w:hint="eastAsia" w:ascii="宋体" w:hAnsi="宋体" w:eastAsia="宋体" w:cs="宋体"/>
                <w:color w:val="auto"/>
                <w:sz w:val="21"/>
                <w:szCs w:val="21"/>
                <w:highlight w:val="none"/>
              </w:rPr>
              <w:t>分；</w:t>
            </w:r>
            <w:r>
              <w:rPr>
                <w:rFonts w:hint="eastAsia" w:ascii="宋体" w:hAnsi="宋体" w:eastAsia="宋体" w:cs="宋体"/>
                <w:color w:val="auto"/>
                <w:sz w:val="21"/>
                <w:szCs w:val="21"/>
                <w:highlight w:val="none"/>
                <w:lang w:val="en-US" w:eastAsia="zh-CN"/>
              </w:rPr>
              <w:t>有</w:t>
            </w:r>
            <w:r>
              <w:rPr>
                <w:rFonts w:hint="eastAsia" w:ascii="宋体" w:hAnsi="宋体" w:eastAsia="宋体" w:cs="宋体"/>
                <w:color w:val="auto"/>
                <w:sz w:val="21"/>
                <w:szCs w:val="21"/>
                <w:highlight w:val="none"/>
              </w:rPr>
              <w:t>条款不响应或负偏离的</w:t>
            </w:r>
            <w:r>
              <w:rPr>
                <w:rFonts w:hint="eastAsia" w:ascii="宋体" w:hAnsi="宋体" w:eastAsia="宋体" w:cs="宋体"/>
                <w:color w:val="auto"/>
                <w:sz w:val="21"/>
                <w:szCs w:val="21"/>
                <w:highlight w:val="none"/>
                <w:lang w:val="en-US" w:eastAsia="zh-CN"/>
              </w:rPr>
              <w:t>每项扣2分，扣完为止。</w:t>
            </w:r>
          </w:p>
        </w:tc>
        <w:tc>
          <w:tcPr>
            <w:tcW w:w="657" w:type="dxa"/>
            <w:noWrap w:val="0"/>
            <w:vAlign w:val="center"/>
          </w:tcPr>
          <w:p w14:paraId="709011F7">
            <w:pPr>
              <w:keepNext w:val="0"/>
              <w:keepLines w:val="0"/>
              <w:pageBreakBefore w:val="0"/>
              <w:shd w:val="clear"/>
              <w:kinsoku/>
              <w:wordWrap/>
              <w:overflowPunct/>
              <w:topLinePunct w:val="0"/>
              <w:autoSpaceDE w:val="0"/>
              <w:autoSpaceDN/>
              <w:bidi w:val="0"/>
              <w:adjustRightInd w:val="0"/>
              <w:snapToGrid w:val="0"/>
              <w:spacing w:line="460" w:lineRule="exact"/>
              <w:jc w:val="center"/>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10</w:t>
            </w:r>
          </w:p>
        </w:tc>
      </w:tr>
      <w:tr w14:paraId="75B585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81" w:hRule="atLeast"/>
        </w:trPr>
        <w:tc>
          <w:tcPr>
            <w:tcW w:w="720" w:type="dxa"/>
            <w:vMerge w:val="restart"/>
            <w:noWrap w:val="0"/>
            <w:vAlign w:val="center"/>
          </w:tcPr>
          <w:p w14:paraId="1963AF5E">
            <w:pPr>
              <w:keepNext w:val="0"/>
              <w:keepLines w:val="0"/>
              <w:pageBreakBefore w:val="0"/>
              <w:shd w:val="clear"/>
              <w:kinsoku/>
              <w:wordWrap/>
              <w:overflowPunct/>
              <w:topLinePunct w:val="0"/>
              <w:autoSpaceDE w:val="0"/>
              <w:autoSpaceDN/>
              <w:bidi w:val="0"/>
              <w:adjustRightInd w:val="0"/>
              <w:snapToGrid w:val="0"/>
              <w:spacing w:line="460" w:lineRule="exact"/>
              <w:jc w:val="center"/>
              <w:textAlignment w:val="baseline"/>
              <w:rPr>
                <w:rFonts w:hint="eastAsia" w:ascii="宋体" w:hAnsi="宋体" w:eastAsia="宋体" w:cs="宋体"/>
                <w:color w:val="auto"/>
                <w:sz w:val="21"/>
                <w:szCs w:val="21"/>
                <w:highlight w:val="none"/>
                <w:lang w:eastAsia="zh-CN"/>
              </w:rPr>
            </w:pPr>
            <w:r>
              <w:rPr>
                <w:rFonts w:hint="eastAsia" w:hAnsi="宋体" w:cs="宋体"/>
                <w:color w:val="auto"/>
                <w:sz w:val="21"/>
                <w:szCs w:val="21"/>
                <w:highlight w:val="none"/>
                <w:lang w:val="en-US" w:eastAsia="zh-CN"/>
              </w:rPr>
              <w:t>7</w:t>
            </w:r>
          </w:p>
        </w:tc>
        <w:tc>
          <w:tcPr>
            <w:tcW w:w="1117" w:type="dxa"/>
            <w:vMerge w:val="restart"/>
            <w:noWrap w:val="0"/>
            <w:vAlign w:val="center"/>
          </w:tcPr>
          <w:p w14:paraId="4C09F3FA">
            <w:pPr>
              <w:keepNext w:val="0"/>
              <w:keepLines w:val="0"/>
              <w:pageBreakBefore w:val="0"/>
              <w:shd w:val="clear"/>
              <w:kinsoku/>
              <w:wordWrap/>
              <w:overflowPunct/>
              <w:topLinePunct w:val="0"/>
              <w:autoSpaceDE w:val="0"/>
              <w:autoSpaceDN/>
              <w:bidi w:val="0"/>
              <w:adjustRightInd w:val="0"/>
              <w:snapToGrid w:val="0"/>
              <w:spacing w:line="460" w:lineRule="exact"/>
              <w:ind w:left="-50"/>
              <w:jc w:val="center"/>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投标人的</w:t>
            </w:r>
            <w:r>
              <w:rPr>
                <w:rFonts w:hint="eastAsia" w:hAnsi="宋体" w:cs="宋体"/>
                <w:color w:val="auto"/>
                <w:sz w:val="21"/>
                <w:szCs w:val="21"/>
                <w:highlight w:val="none"/>
                <w:lang w:eastAsia="zh-CN"/>
              </w:rPr>
              <w:t>评估</w:t>
            </w:r>
            <w:r>
              <w:rPr>
                <w:rFonts w:hint="eastAsia" w:ascii="宋体" w:hAnsi="宋体" w:eastAsia="宋体" w:cs="宋体"/>
                <w:color w:val="auto"/>
                <w:sz w:val="21"/>
                <w:szCs w:val="21"/>
                <w:highlight w:val="none"/>
              </w:rPr>
              <w:t>能力</w:t>
            </w:r>
          </w:p>
        </w:tc>
        <w:tc>
          <w:tcPr>
            <w:tcW w:w="7456" w:type="dxa"/>
            <w:noWrap w:val="0"/>
            <w:vAlign w:val="center"/>
          </w:tcPr>
          <w:p w14:paraId="4D20F7B7">
            <w:pPr>
              <w:keepNext w:val="0"/>
              <w:keepLines w:val="0"/>
              <w:pageBreakBefore w:val="0"/>
              <w:shd w:val="clear"/>
              <w:kinsoku/>
              <w:wordWrap/>
              <w:overflowPunct/>
              <w:topLinePunct w:val="0"/>
              <w:autoSpaceDE w:val="0"/>
              <w:autoSpaceDN/>
              <w:bidi w:val="0"/>
              <w:adjustRightInd w:val="0"/>
              <w:snapToGrid w:val="0"/>
              <w:spacing w:line="460" w:lineRule="exact"/>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投标人针对本次采购项目的理解，</w:t>
            </w:r>
            <w:r>
              <w:rPr>
                <w:rFonts w:hint="eastAsia" w:ascii="宋体" w:hAnsi="宋体" w:eastAsia="宋体" w:cs="宋体"/>
                <w:color w:val="auto"/>
                <w:sz w:val="21"/>
                <w:szCs w:val="21"/>
                <w:highlight w:val="none"/>
                <w:lang w:val="en-US" w:eastAsia="zh-CN"/>
              </w:rPr>
              <w:t>以及</w:t>
            </w:r>
            <w:r>
              <w:rPr>
                <w:rFonts w:hint="eastAsia" w:ascii="宋体" w:hAnsi="宋体" w:eastAsia="宋体" w:cs="宋体"/>
                <w:color w:val="auto"/>
                <w:sz w:val="21"/>
                <w:szCs w:val="21"/>
                <w:highlight w:val="none"/>
              </w:rPr>
              <w:t>投标单位</w:t>
            </w:r>
            <w:r>
              <w:rPr>
                <w:rFonts w:hint="eastAsia" w:ascii="宋体" w:hAnsi="宋体" w:eastAsia="宋体" w:cs="宋体"/>
                <w:color w:val="auto"/>
                <w:sz w:val="21"/>
                <w:szCs w:val="21"/>
                <w:highlight w:val="none"/>
                <w:lang w:val="en-US" w:eastAsia="zh-CN"/>
              </w:rPr>
              <w:t>结合大数据系统平台与人工</w:t>
            </w:r>
            <w:r>
              <w:rPr>
                <w:rFonts w:hint="eastAsia" w:hAnsi="宋体" w:cs="宋体"/>
                <w:color w:val="auto"/>
                <w:sz w:val="21"/>
                <w:szCs w:val="21"/>
                <w:highlight w:val="none"/>
                <w:lang w:val="en-US" w:eastAsia="zh-CN"/>
              </w:rPr>
              <w:t>评估</w:t>
            </w:r>
            <w:r>
              <w:rPr>
                <w:rFonts w:hint="eastAsia" w:ascii="宋体" w:hAnsi="宋体" w:eastAsia="宋体" w:cs="宋体"/>
                <w:color w:val="auto"/>
                <w:sz w:val="21"/>
                <w:szCs w:val="21"/>
                <w:highlight w:val="none"/>
                <w:lang w:val="en-US" w:eastAsia="zh-CN"/>
              </w:rPr>
              <w:t>方面，</w:t>
            </w:r>
            <w:r>
              <w:rPr>
                <w:rFonts w:hint="eastAsia" w:ascii="宋体" w:hAnsi="宋体" w:eastAsia="宋体" w:cs="宋体"/>
                <w:color w:val="auto"/>
                <w:sz w:val="21"/>
                <w:szCs w:val="21"/>
                <w:highlight w:val="none"/>
              </w:rPr>
              <w:t>从</w:t>
            </w:r>
            <w:r>
              <w:rPr>
                <w:rFonts w:hint="eastAsia" w:hAnsi="宋体" w:cs="宋体"/>
                <w:color w:val="auto"/>
                <w:sz w:val="21"/>
                <w:szCs w:val="21"/>
                <w:highlight w:val="none"/>
                <w:lang w:eastAsia="zh-CN"/>
              </w:rPr>
              <w:t>评估</w:t>
            </w:r>
            <w:r>
              <w:rPr>
                <w:rFonts w:hint="eastAsia" w:ascii="宋体" w:hAnsi="宋体" w:eastAsia="宋体" w:cs="宋体"/>
                <w:color w:val="auto"/>
                <w:sz w:val="21"/>
                <w:szCs w:val="21"/>
                <w:highlight w:val="none"/>
              </w:rPr>
              <w:t>、业务考评能力</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对当月</w:t>
            </w:r>
            <w:r>
              <w:rPr>
                <w:rFonts w:hint="eastAsia" w:hAnsi="宋体" w:cs="宋体"/>
                <w:color w:val="auto"/>
                <w:sz w:val="21"/>
                <w:szCs w:val="21"/>
                <w:highlight w:val="none"/>
                <w:lang w:eastAsia="zh-CN"/>
              </w:rPr>
              <w:t>评估</w:t>
            </w:r>
            <w:r>
              <w:rPr>
                <w:rFonts w:hint="eastAsia" w:ascii="宋体" w:hAnsi="宋体" w:eastAsia="宋体" w:cs="宋体"/>
                <w:color w:val="auto"/>
                <w:sz w:val="21"/>
                <w:szCs w:val="21"/>
                <w:highlight w:val="none"/>
              </w:rPr>
              <w:t>情况全面总结评估，等方面进行</w:t>
            </w:r>
            <w:r>
              <w:rPr>
                <w:rFonts w:hint="eastAsia" w:hAnsi="宋体" w:cs="宋体"/>
                <w:color w:val="auto"/>
                <w:sz w:val="21"/>
                <w:szCs w:val="21"/>
                <w:highlight w:val="none"/>
                <w:lang w:eastAsia="zh-CN"/>
              </w:rPr>
              <w:t>评估</w:t>
            </w:r>
            <w:r>
              <w:rPr>
                <w:rFonts w:hint="eastAsia" w:ascii="宋体" w:hAnsi="宋体" w:eastAsia="宋体" w:cs="宋体"/>
                <w:color w:val="auto"/>
                <w:sz w:val="21"/>
                <w:szCs w:val="21"/>
                <w:highlight w:val="none"/>
              </w:rPr>
              <w:t>能力自我评估</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合理完善有效的得</w:t>
            </w:r>
            <w:r>
              <w:rPr>
                <w:rFonts w:hint="eastAsia" w:hAnsi="宋体" w:cs="宋体"/>
                <w:color w:val="auto"/>
                <w:sz w:val="21"/>
                <w:szCs w:val="21"/>
                <w:highlight w:val="none"/>
                <w:lang w:val="en-US" w:eastAsia="zh-CN"/>
              </w:rPr>
              <w:t>6</w:t>
            </w:r>
            <w:r>
              <w:rPr>
                <w:rFonts w:hint="eastAsia" w:ascii="宋体" w:hAnsi="宋体" w:eastAsia="宋体" w:cs="宋体"/>
                <w:color w:val="auto"/>
                <w:sz w:val="21"/>
                <w:szCs w:val="21"/>
                <w:highlight w:val="none"/>
              </w:rPr>
              <w:t>分，有缺项漏项或不合理的每处扣</w:t>
            </w:r>
            <w:r>
              <w:rPr>
                <w:rFonts w:hint="eastAsia" w:ascii="宋体" w:hAnsi="宋体" w:eastAsia="宋体" w:cs="宋体"/>
                <w:color w:val="auto"/>
                <w:sz w:val="21"/>
                <w:szCs w:val="21"/>
                <w:highlight w:val="none"/>
                <w:lang w:val="en-US" w:eastAsia="zh-CN"/>
              </w:rPr>
              <w:t>1</w:t>
            </w:r>
            <w:r>
              <w:rPr>
                <w:rFonts w:hint="eastAsia" w:ascii="宋体" w:hAnsi="宋体" w:eastAsia="宋体" w:cs="宋体"/>
                <w:color w:val="auto"/>
                <w:sz w:val="21"/>
                <w:szCs w:val="21"/>
                <w:highlight w:val="none"/>
              </w:rPr>
              <w:t>分，扣完为止。</w:t>
            </w:r>
          </w:p>
        </w:tc>
        <w:tc>
          <w:tcPr>
            <w:tcW w:w="657" w:type="dxa"/>
            <w:noWrap w:val="0"/>
            <w:vAlign w:val="center"/>
          </w:tcPr>
          <w:p w14:paraId="46722814">
            <w:pPr>
              <w:keepNext w:val="0"/>
              <w:keepLines w:val="0"/>
              <w:pageBreakBefore w:val="0"/>
              <w:shd w:val="clear"/>
              <w:kinsoku/>
              <w:wordWrap/>
              <w:overflowPunct/>
              <w:topLinePunct w:val="0"/>
              <w:autoSpaceDE w:val="0"/>
              <w:autoSpaceDN/>
              <w:bidi w:val="0"/>
              <w:adjustRightInd w:val="0"/>
              <w:snapToGrid w:val="0"/>
              <w:spacing w:line="460" w:lineRule="exact"/>
              <w:jc w:val="center"/>
              <w:textAlignment w:val="baseline"/>
              <w:rPr>
                <w:rFonts w:hint="eastAsia" w:ascii="宋体" w:hAnsi="宋体" w:eastAsia="宋体" w:cs="宋体"/>
                <w:color w:val="auto"/>
                <w:sz w:val="21"/>
                <w:szCs w:val="21"/>
                <w:highlight w:val="none"/>
                <w:lang w:eastAsia="zh-CN"/>
              </w:rPr>
            </w:pPr>
            <w:r>
              <w:rPr>
                <w:rFonts w:hint="eastAsia" w:hAnsi="宋体" w:cs="宋体"/>
                <w:color w:val="auto"/>
                <w:sz w:val="21"/>
                <w:szCs w:val="21"/>
                <w:highlight w:val="none"/>
                <w:lang w:val="en-US" w:eastAsia="zh-CN"/>
              </w:rPr>
              <w:t>6</w:t>
            </w:r>
          </w:p>
        </w:tc>
      </w:tr>
      <w:tr w14:paraId="1F54F2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9" w:hRule="atLeast"/>
        </w:trPr>
        <w:tc>
          <w:tcPr>
            <w:tcW w:w="720" w:type="dxa"/>
            <w:vMerge w:val="continue"/>
            <w:noWrap w:val="0"/>
            <w:vAlign w:val="center"/>
          </w:tcPr>
          <w:p w14:paraId="0DF1894D">
            <w:pPr>
              <w:keepNext w:val="0"/>
              <w:keepLines w:val="0"/>
              <w:pageBreakBefore w:val="0"/>
              <w:shd w:val="clear"/>
              <w:kinsoku/>
              <w:wordWrap/>
              <w:overflowPunct/>
              <w:topLinePunct w:val="0"/>
              <w:autoSpaceDE w:val="0"/>
              <w:autoSpaceDN/>
              <w:bidi w:val="0"/>
              <w:adjustRightInd w:val="0"/>
              <w:snapToGrid w:val="0"/>
              <w:spacing w:line="460" w:lineRule="exact"/>
              <w:jc w:val="center"/>
              <w:textAlignment w:val="baseline"/>
              <w:rPr>
                <w:rFonts w:hint="eastAsia" w:ascii="宋体" w:hAnsi="宋体" w:eastAsia="宋体" w:cs="宋体"/>
                <w:color w:val="auto"/>
                <w:sz w:val="21"/>
                <w:szCs w:val="21"/>
                <w:highlight w:val="none"/>
              </w:rPr>
            </w:pPr>
          </w:p>
        </w:tc>
        <w:tc>
          <w:tcPr>
            <w:tcW w:w="1117" w:type="dxa"/>
            <w:vMerge w:val="continue"/>
            <w:noWrap w:val="0"/>
            <w:vAlign w:val="center"/>
          </w:tcPr>
          <w:p w14:paraId="5ABAA05B">
            <w:pPr>
              <w:keepNext w:val="0"/>
              <w:keepLines w:val="0"/>
              <w:pageBreakBefore w:val="0"/>
              <w:shd w:val="clear"/>
              <w:kinsoku/>
              <w:wordWrap/>
              <w:overflowPunct/>
              <w:topLinePunct w:val="0"/>
              <w:autoSpaceDE w:val="0"/>
              <w:autoSpaceDN/>
              <w:bidi w:val="0"/>
              <w:adjustRightInd w:val="0"/>
              <w:snapToGrid w:val="0"/>
              <w:spacing w:line="460" w:lineRule="exact"/>
              <w:ind w:left="-50"/>
              <w:jc w:val="center"/>
              <w:textAlignment w:val="baseline"/>
              <w:rPr>
                <w:rFonts w:hint="eastAsia" w:ascii="宋体" w:hAnsi="宋体" w:eastAsia="宋体" w:cs="宋体"/>
                <w:color w:val="auto"/>
                <w:sz w:val="21"/>
                <w:szCs w:val="21"/>
                <w:highlight w:val="none"/>
              </w:rPr>
            </w:pPr>
          </w:p>
        </w:tc>
        <w:tc>
          <w:tcPr>
            <w:tcW w:w="7456" w:type="dxa"/>
            <w:noWrap w:val="0"/>
            <w:vAlign w:val="center"/>
          </w:tcPr>
          <w:p w14:paraId="0795E9FE">
            <w:pPr>
              <w:keepNext w:val="0"/>
              <w:keepLines w:val="0"/>
              <w:pageBreakBefore w:val="0"/>
              <w:shd w:val="clear"/>
              <w:kinsoku/>
              <w:wordWrap/>
              <w:overflowPunct/>
              <w:topLinePunct w:val="0"/>
              <w:autoSpaceDE w:val="0"/>
              <w:autoSpaceDN/>
              <w:bidi w:val="0"/>
              <w:adjustRightInd w:val="0"/>
              <w:snapToGrid w:val="0"/>
              <w:spacing w:line="460" w:lineRule="exact"/>
              <w:textAlignment w:val="baseline"/>
              <w:rPr>
                <w:rFonts w:hint="eastAsia" w:ascii="宋体" w:hAnsi="宋体" w:eastAsia="宋体" w:cs="宋体"/>
                <w:color w:val="auto"/>
                <w:sz w:val="21"/>
                <w:szCs w:val="21"/>
                <w:highlight w:val="none"/>
                <w:lang w:eastAsia="zh-CN"/>
              </w:rPr>
            </w:pPr>
            <w:r>
              <w:rPr>
                <w:rFonts w:hint="eastAsia" w:hAnsi="宋体" w:cs="宋体"/>
                <w:color w:val="auto"/>
                <w:sz w:val="21"/>
                <w:szCs w:val="21"/>
                <w:highlight w:val="none"/>
                <w:lang w:val="en-US" w:eastAsia="zh-CN"/>
              </w:rPr>
              <w:t>评估</w:t>
            </w:r>
            <w:r>
              <w:rPr>
                <w:rFonts w:hint="eastAsia" w:ascii="宋体" w:hAnsi="宋体" w:eastAsia="宋体" w:cs="宋体"/>
                <w:color w:val="auto"/>
                <w:sz w:val="21"/>
                <w:szCs w:val="21"/>
                <w:highlight w:val="none"/>
                <w:lang w:val="en-US" w:eastAsia="zh-CN"/>
              </w:rPr>
              <w:t>过程中</w:t>
            </w:r>
            <w:r>
              <w:rPr>
                <w:rFonts w:hint="eastAsia" w:ascii="宋体" w:hAnsi="宋体" w:eastAsia="宋体" w:cs="宋体"/>
                <w:color w:val="auto"/>
                <w:sz w:val="21"/>
                <w:szCs w:val="21"/>
                <w:highlight w:val="none"/>
              </w:rPr>
              <w:t>存在问题编写、后期图片制作能力</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合理完善有效的得</w:t>
            </w:r>
            <w:r>
              <w:rPr>
                <w:rFonts w:hint="eastAsia" w:hAnsi="宋体" w:cs="宋体"/>
                <w:color w:val="auto"/>
                <w:sz w:val="21"/>
                <w:szCs w:val="21"/>
                <w:highlight w:val="none"/>
                <w:lang w:val="en-US" w:eastAsia="zh-CN"/>
              </w:rPr>
              <w:t>6</w:t>
            </w:r>
            <w:r>
              <w:rPr>
                <w:rFonts w:hint="eastAsia" w:ascii="宋体" w:hAnsi="宋体" w:eastAsia="宋体" w:cs="宋体"/>
                <w:color w:val="auto"/>
                <w:sz w:val="21"/>
                <w:szCs w:val="21"/>
                <w:highlight w:val="none"/>
              </w:rPr>
              <w:t>分，有缺项漏项或不合理的每处扣</w:t>
            </w:r>
            <w:r>
              <w:rPr>
                <w:rFonts w:hint="eastAsia" w:ascii="宋体" w:hAnsi="宋体" w:eastAsia="宋体" w:cs="宋体"/>
                <w:color w:val="auto"/>
                <w:sz w:val="21"/>
                <w:szCs w:val="21"/>
                <w:highlight w:val="none"/>
                <w:lang w:val="en-US" w:eastAsia="zh-CN"/>
              </w:rPr>
              <w:t>1</w:t>
            </w:r>
            <w:r>
              <w:rPr>
                <w:rFonts w:hint="eastAsia" w:ascii="宋体" w:hAnsi="宋体" w:eastAsia="宋体" w:cs="宋体"/>
                <w:color w:val="auto"/>
                <w:sz w:val="21"/>
                <w:szCs w:val="21"/>
                <w:highlight w:val="none"/>
              </w:rPr>
              <w:t>分，扣完为止。</w:t>
            </w:r>
          </w:p>
        </w:tc>
        <w:tc>
          <w:tcPr>
            <w:tcW w:w="657" w:type="dxa"/>
            <w:noWrap w:val="0"/>
            <w:vAlign w:val="center"/>
          </w:tcPr>
          <w:p w14:paraId="4C64ACDA">
            <w:pPr>
              <w:keepNext w:val="0"/>
              <w:keepLines w:val="0"/>
              <w:pageBreakBefore w:val="0"/>
              <w:shd w:val="clear"/>
              <w:kinsoku/>
              <w:wordWrap/>
              <w:overflowPunct/>
              <w:topLinePunct w:val="0"/>
              <w:autoSpaceDE w:val="0"/>
              <w:autoSpaceDN/>
              <w:bidi w:val="0"/>
              <w:adjustRightInd w:val="0"/>
              <w:snapToGrid w:val="0"/>
              <w:spacing w:line="460" w:lineRule="exact"/>
              <w:jc w:val="center"/>
              <w:textAlignment w:val="baseline"/>
              <w:rPr>
                <w:rFonts w:hint="eastAsia" w:ascii="宋体" w:hAnsi="宋体" w:eastAsia="宋体" w:cs="宋体"/>
                <w:color w:val="auto"/>
                <w:sz w:val="21"/>
                <w:szCs w:val="21"/>
                <w:highlight w:val="none"/>
                <w:lang w:val="en-US" w:eastAsia="zh-CN"/>
              </w:rPr>
            </w:pPr>
            <w:r>
              <w:rPr>
                <w:rFonts w:hint="eastAsia" w:hAnsi="宋体" w:cs="宋体"/>
                <w:color w:val="auto"/>
                <w:sz w:val="21"/>
                <w:szCs w:val="21"/>
                <w:highlight w:val="none"/>
                <w:lang w:val="en-US" w:eastAsia="zh-CN"/>
              </w:rPr>
              <w:t>6</w:t>
            </w:r>
          </w:p>
        </w:tc>
      </w:tr>
      <w:tr w14:paraId="0FE353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12" w:hRule="atLeast"/>
        </w:trPr>
        <w:tc>
          <w:tcPr>
            <w:tcW w:w="720" w:type="dxa"/>
            <w:vMerge w:val="continue"/>
            <w:noWrap w:val="0"/>
            <w:vAlign w:val="center"/>
          </w:tcPr>
          <w:p w14:paraId="0516EF0F">
            <w:pPr>
              <w:keepNext w:val="0"/>
              <w:keepLines w:val="0"/>
              <w:pageBreakBefore w:val="0"/>
              <w:shd w:val="clear"/>
              <w:kinsoku/>
              <w:wordWrap/>
              <w:overflowPunct/>
              <w:topLinePunct w:val="0"/>
              <w:autoSpaceDE w:val="0"/>
              <w:autoSpaceDN/>
              <w:bidi w:val="0"/>
              <w:adjustRightInd w:val="0"/>
              <w:snapToGrid w:val="0"/>
              <w:spacing w:line="460" w:lineRule="exact"/>
              <w:jc w:val="center"/>
              <w:textAlignment w:val="baseline"/>
              <w:rPr>
                <w:rFonts w:hint="eastAsia" w:ascii="宋体" w:hAnsi="宋体" w:eastAsia="宋体" w:cs="宋体"/>
                <w:color w:val="auto"/>
                <w:sz w:val="21"/>
                <w:szCs w:val="21"/>
                <w:highlight w:val="none"/>
              </w:rPr>
            </w:pPr>
          </w:p>
        </w:tc>
        <w:tc>
          <w:tcPr>
            <w:tcW w:w="1117" w:type="dxa"/>
            <w:vMerge w:val="continue"/>
            <w:noWrap w:val="0"/>
            <w:vAlign w:val="center"/>
          </w:tcPr>
          <w:p w14:paraId="327D2546">
            <w:pPr>
              <w:keepNext w:val="0"/>
              <w:keepLines w:val="0"/>
              <w:pageBreakBefore w:val="0"/>
              <w:shd w:val="clear"/>
              <w:kinsoku/>
              <w:wordWrap/>
              <w:overflowPunct/>
              <w:topLinePunct w:val="0"/>
              <w:autoSpaceDE w:val="0"/>
              <w:autoSpaceDN/>
              <w:bidi w:val="0"/>
              <w:adjustRightInd w:val="0"/>
              <w:snapToGrid w:val="0"/>
              <w:spacing w:line="460" w:lineRule="exact"/>
              <w:ind w:left="-50"/>
              <w:jc w:val="center"/>
              <w:textAlignment w:val="baseline"/>
              <w:rPr>
                <w:rFonts w:hint="eastAsia" w:ascii="宋体" w:hAnsi="宋体" w:eastAsia="宋体" w:cs="宋体"/>
                <w:color w:val="auto"/>
                <w:sz w:val="21"/>
                <w:szCs w:val="21"/>
                <w:highlight w:val="none"/>
              </w:rPr>
            </w:pPr>
          </w:p>
        </w:tc>
        <w:tc>
          <w:tcPr>
            <w:tcW w:w="7456" w:type="dxa"/>
            <w:noWrap w:val="0"/>
            <w:vAlign w:val="center"/>
          </w:tcPr>
          <w:p w14:paraId="7771E654">
            <w:pPr>
              <w:keepNext w:val="0"/>
              <w:keepLines w:val="0"/>
              <w:pageBreakBefore w:val="0"/>
              <w:shd w:val="clear"/>
              <w:kinsoku/>
              <w:wordWrap/>
              <w:overflowPunct/>
              <w:topLinePunct w:val="0"/>
              <w:autoSpaceDE w:val="0"/>
              <w:autoSpaceDN/>
              <w:bidi w:val="0"/>
              <w:adjustRightInd w:val="0"/>
              <w:snapToGrid w:val="0"/>
              <w:spacing w:line="460" w:lineRule="exact"/>
              <w:textAlignment w:val="baseline"/>
              <w:rPr>
                <w:rFonts w:hint="eastAsia" w:ascii="宋体" w:hAnsi="宋体" w:eastAsia="宋体" w:cs="宋体"/>
                <w:color w:val="auto"/>
                <w:sz w:val="21"/>
                <w:szCs w:val="21"/>
                <w:highlight w:val="none"/>
              </w:rPr>
            </w:pPr>
            <w:r>
              <w:rPr>
                <w:rFonts w:hint="eastAsia" w:hAnsi="宋体" w:cs="宋体"/>
                <w:color w:val="auto"/>
                <w:sz w:val="21"/>
                <w:szCs w:val="21"/>
                <w:highlight w:val="none"/>
                <w:lang w:eastAsia="zh-CN"/>
              </w:rPr>
              <w:t>评估</w:t>
            </w:r>
            <w:r>
              <w:rPr>
                <w:rFonts w:hint="eastAsia" w:ascii="宋体" w:hAnsi="宋体" w:eastAsia="宋体" w:cs="宋体"/>
                <w:color w:val="auto"/>
                <w:sz w:val="21"/>
                <w:szCs w:val="21"/>
                <w:highlight w:val="none"/>
              </w:rPr>
              <w:t>项目的涵盖面与</w:t>
            </w:r>
            <w:r>
              <w:rPr>
                <w:rFonts w:hint="eastAsia" w:hAnsi="宋体" w:cs="宋体"/>
                <w:color w:val="auto"/>
                <w:sz w:val="21"/>
                <w:szCs w:val="21"/>
                <w:highlight w:val="none"/>
                <w:lang w:eastAsia="zh-CN"/>
              </w:rPr>
              <w:t>评估</w:t>
            </w:r>
            <w:r>
              <w:rPr>
                <w:rFonts w:hint="eastAsia" w:ascii="宋体" w:hAnsi="宋体" w:eastAsia="宋体" w:cs="宋体"/>
                <w:color w:val="auto"/>
                <w:sz w:val="21"/>
                <w:szCs w:val="21"/>
                <w:highlight w:val="none"/>
              </w:rPr>
              <w:t>内容的真实性，公平公正反馈现场信息</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合理完善有效的得</w:t>
            </w:r>
            <w:r>
              <w:rPr>
                <w:rFonts w:hint="eastAsia" w:hAnsi="宋体" w:cs="宋体"/>
                <w:color w:val="auto"/>
                <w:sz w:val="21"/>
                <w:szCs w:val="21"/>
                <w:highlight w:val="none"/>
                <w:lang w:val="en-US" w:eastAsia="zh-CN"/>
              </w:rPr>
              <w:t>6</w:t>
            </w:r>
            <w:r>
              <w:rPr>
                <w:rFonts w:hint="eastAsia" w:ascii="宋体" w:hAnsi="宋体" w:eastAsia="宋体" w:cs="宋体"/>
                <w:color w:val="auto"/>
                <w:sz w:val="21"/>
                <w:szCs w:val="21"/>
                <w:highlight w:val="none"/>
              </w:rPr>
              <w:t>分，有缺项漏项或不合理的每处扣</w:t>
            </w:r>
            <w:r>
              <w:rPr>
                <w:rFonts w:hint="eastAsia" w:ascii="宋体" w:hAnsi="宋体" w:eastAsia="宋体" w:cs="宋体"/>
                <w:color w:val="auto"/>
                <w:sz w:val="21"/>
                <w:szCs w:val="21"/>
                <w:highlight w:val="none"/>
                <w:lang w:val="en-US" w:eastAsia="zh-CN"/>
              </w:rPr>
              <w:t>1</w:t>
            </w:r>
            <w:r>
              <w:rPr>
                <w:rFonts w:hint="eastAsia" w:ascii="宋体" w:hAnsi="宋体" w:eastAsia="宋体" w:cs="宋体"/>
                <w:color w:val="auto"/>
                <w:sz w:val="21"/>
                <w:szCs w:val="21"/>
                <w:highlight w:val="none"/>
              </w:rPr>
              <w:t>分，扣完为止。</w:t>
            </w:r>
          </w:p>
        </w:tc>
        <w:tc>
          <w:tcPr>
            <w:tcW w:w="657" w:type="dxa"/>
            <w:noWrap w:val="0"/>
            <w:vAlign w:val="center"/>
          </w:tcPr>
          <w:p w14:paraId="28444D13">
            <w:pPr>
              <w:keepNext w:val="0"/>
              <w:keepLines w:val="0"/>
              <w:pageBreakBefore w:val="0"/>
              <w:shd w:val="clear"/>
              <w:kinsoku/>
              <w:wordWrap/>
              <w:overflowPunct/>
              <w:topLinePunct w:val="0"/>
              <w:autoSpaceDE w:val="0"/>
              <w:autoSpaceDN/>
              <w:bidi w:val="0"/>
              <w:adjustRightInd w:val="0"/>
              <w:snapToGrid w:val="0"/>
              <w:spacing w:line="460" w:lineRule="exact"/>
              <w:jc w:val="center"/>
              <w:textAlignment w:val="baseline"/>
              <w:rPr>
                <w:rFonts w:hint="eastAsia" w:ascii="宋体" w:hAnsi="宋体" w:eastAsia="宋体" w:cs="宋体"/>
                <w:color w:val="auto"/>
                <w:sz w:val="21"/>
                <w:szCs w:val="21"/>
                <w:highlight w:val="none"/>
                <w:lang w:val="en-US" w:eastAsia="zh-CN"/>
              </w:rPr>
            </w:pPr>
            <w:r>
              <w:rPr>
                <w:rFonts w:hint="eastAsia" w:hAnsi="宋体" w:cs="宋体"/>
                <w:color w:val="auto"/>
                <w:sz w:val="21"/>
                <w:szCs w:val="21"/>
                <w:highlight w:val="none"/>
                <w:lang w:val="en-US" w:eastAsia="zh-CN"/>
              </w:rPr>
              <w:t>6</w:t>
            </w:r>
          </w:p>
        </w:tc>
      </w:tr>
      <w:tr w14:paraId="5CA030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7" w:hRule="atLeast"/>
        </w:trPr>
        <w:tc>
          <w:tcPr>
            <w:tcW w:w="720" w:type="dxa"/>
            <w:vMerge w:val="restart"/>
            <w:noWrap w:val="0"/>
            <w:vAlign w:val="center"/>
          </w:tcPr>
          <w:p w14:paraId="3C82A711">
            <w:pPr>
              <w:keepNext w:val="0"/>
              <w:keepLines w:val="0"/>
              <w:pageBreakBefore w:val="0"/>
              <w:shd w:val="clear"/>
              <w:kinsoku/>
              <w:wordWrap/>
              <w:overflowPunct/>
              <w:topLinePunct w:val="0"/>
              <w:autoSpaceDE w:val="0"/>
              <w:autoSpaceDN/>
              <w:bidi w:val="0"/>
              <w:adjustRightInd w:val="0"/>
              <w:snapToGrid w:val="0"/>
              <w:spacing w:line="460" w:lineRule="exact"/>
              <w:jc w:val="center"/>
              <w:textAlignment w:val="baseline"/>
              <w:rPr>
                <w:rFonts w:hint="eastAsia" w:ascii="宋体" w:hAnsi="宋体" w:eastAsia="宋体" w:cs="宋体"/>
                <w:color w:val="auto"/>
                <w:sz w:val="21"/>
                <w:szCs w:val="21"/>
                <w:highlight w:val="none"/>
                <w:lang w:eastAsia="zh-CN"/>
              </w:rPr>
            </w:pPr>
            <w:r>
              <w:rPr>
                <w:rFonts w:hint="eastAsia" w:hAnsi="宋体" w:cs="宋体"/>
                <w:color w:val="auto"/>
                <w:sz w:val="21"/>
                <w:szCs w:val="21"/>
                <w:highlight w:val="none"/>
                <w:lang w:val="en-US" w:eastAsia="zh-CN"/>
              </w:rPr>
              <w:t>8</w:t>
            </w:r>
          </w:p>
        </w:tc>
        <w:tc>
          <w:tcPr>
            <w:tcW w:w="1117" w:type="dxa"/>
            <w:vMerge w:val="restart"/>
            <w:noWrap w:val="0"/>
            <w:vAlign w:val="center"/>
          </w:tcPr>
          <w:p w14:paraId="04307D70">
            <w:pPr>
              <w:keepNext w:val="0"/>
              <w:keepLines w:val="0"/>
              <w:pageBreakBefore w:val="0"/>
              <w:shd w:val="clear"/>
              <w:kinsoku/>
              <w:wordWrap/>
              <w:overflowPunct/>
              <w:topLinePunct w:val="0"/>
              <w:autoSpaceDE w:val="0"/>
              <w:autoSpaceDN/>
              <w:bidi w:val="0"/>
              <w:adjustRightInd w:val="0"/>
              <w:snapToGrid w:val="0"/>
              <w:spacing w:line="460" w:lineRule="exact"/>
              <w:ind w:left="-50"/>
              <w:jc w:val="center"/>
              <w:textAlignment w:val="baseline"/>
              <w:rPr>
                <w:rFonts w:hint="eastAsia" w:ascii="宋体" w:hAnsi="宋体" w:eastAsia="宋体" w:cs="宋体"/>
                <w:color w:val="auto"/>
                <w:sz w:val="21"/>
                <w:szCs w:val="21"/>
                <w:highlight w:val="none"/>
              </w:rPr>
            </w:pPr>
            <w:r>
              <w:rPr>
                <w:rFonts w:hint="eastAsia" w:hAnsi="宋体" w:cs="宋体"/>
                <w:color w:val="auto"/>
                <w:sz w:val="21"/>
                <w:szCs w:val="21"/>
                <w:highlight w:val="none"/>
                <w:lang w:eastAsia="zh-CN"/>
              </w:rPr>
              <w:t>评估</w:t>
            </w:r>
            <w:r>
              <w:rPr>
                <w:rFonts w:hint="eastAsia" w:ascii="宋体" w:hAnsi="宋体" w:eastAsia="宋体" w:cs="宋体"/>
                <w:color w:val="auto"/>
                <w:sz w:val="21"/>
                <w:szCs w:val="21"/>
                <w:highlight w:val="none"/>
              </w:rPr>
              <w:t>计划书</w:t>
            </w:r>
          </w:p>
        </w:tc>
        <w:tc>
          <w:tcPr>
            <w:tcW w:w="7456" w:type="dxa"/>
            <w:noWrap w:val="0"/>
            <w:vAlign w:val="center"/>
          </w:tcPr>
          <w:p w14:paraId="7F42C2A4">
            <w:pPr>
              <w:keepNext w:val="0"/>
              <w:keepLines w:val="0"/>
              <w:pageBreakBefore w:val="0"/>
              <w:shd w:val="clear"/>
              <w:kinsoku/>
              <w:wordWrap/>
              <w:overflowPunct/>
              <w:topLinePunct w:val="0"/>
              <w:autoSpaceDE w:val="0"/>
              <w:autoSpaceDN/>
              <w:bidi w:val="0"/>
              <w:adjustRightInd w:val="0"/>
              <w:snapToGrid w:val="0"/>
              <w:spacing w:line="460" w:lineRule="exact"/>
              <w:textAlignment w:val="baseline"/>
              <w:rPr>
                <w:rFonts w:hint="eastAsia" w:ascii="宋体" w:hAnsi="宋体" w:eastAsia="宋体" w:cs="宋体"/>
                <w:color w:val="auto"/>
                <w:sz w:val="21"/>
                <w:szCs w:val="21"/>
                <w:highlight w:val="none"/>
              </w:rPr>
            </w:pPr>
            <w:r>
              <w:rPr>
                <w:rFonts w:hint="eastAsia" w:hAnsi="宋体" w:cs="宋体"/>
                <w:color w:val="auto"/>
                <w:sz w:val="21"/>
                <w:szCs w:val="21"/>
                <w:highlight w:val="none"/>
                <w:lang w:eastAsia="zh-CN"/>
              </w:rPr>
              <w:t>评估</w:t>
            </w:r>
            <w:r>
              <w:rPr>
                <w:rFonts w:hint="eastAsia" w:ascii="宋体" w:hAnsi="宋体" w:eastAsia="宋体" w:cs="宋体"/>
                <w:color w:val="auto"/>
                <w:sz w:val="21"/>
                <w:szCs w:val="21"/>
                <w:highlight w:val="none"/>
              </w:rPr>
              <w:t>人员配备</w:t>
            </w:r>
            <w:r>
              <w:rPr>
                <w:rFonts w:hint="eastAsia" w:ascii="宋体" w:hAnsi="宋体" w:eastAsia="宋体" w:cs="宋体"/>
                <w:color w:val="auto"/>
                <w:sz w:val="21"/>
                <w:szCs w:val="21"/>
                <w:highlight w:val="none"/>
                <w:lang w:val="en-US" w:eastAsia="zh-CN"/>
              </w:rPr>
              <w:t>情况</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合理完善有效的得</w:t>
            </w:r>
            <w:r>
              <w:rPr>
                <w:rFonts w:hint="eastAsia" w:hAnsi="宋体" w:cs="宋体"/>
                <w:color w:val="auto"/>
                <w:sz w:val="21"/>
                <w:szCs w:val="21"/>
                <w:highlight w:val="none"/>
                <w:lang w:val="en-US" w:eastAsia="zh-CN"/>
              </w:rPr>
              <w:t>5</w:t>
            </w:r>
            <w:r>
              <w:rPr>
                <w:rFonts w:hint="eastAsia" w:ascii="宋体" w:hAnsi="宋体" w:eastAsia="宋体" w:cs="宋体"/>
                <w:color w:val="auto"/>
                <w:sz w:val="21"/>
                <w:szCs w:val="21"/>
                <w:highlight w:val="none"/>
              </w:rPr>
              <w:t>分，有缺项漏项或不合理的每处扣</w:t>
            </w:r>
            <w:r>
              <w:rPr>
                <w:rFonts w:hint="eastAsia" w:ascii="宋体" w:hAnsi="宋体" w:eastAsia="宋体" w:cs="宋体"/>
                <w:color w:val="auto"/>
                <w:sz w:val="21"/>
                <w:szCs w:val="21"/>
                <w:highlight w:val="none"/>
                <w:lang w:val="en-US" w:eastAsia="zh-CN"/>
              </w:rPr>
              <w:t>1</w:t>
            </w:r>
            <w:r>
              <w:rPr>
                <w:rFonts w:hint="eastAsia" w:ascii="宋体" w:hAnsi="宋体" w:eastAsia="宋体" w:cs="宋体"/>
                <w:color w:val="auto"/>
                <w:sz w:val="21"/>
                <w:szCs w:val="21"/>
                <w:highlight w:val="none"/>
              </w:rPr>
              <w:t>分，扣完为止。</w:t>
            </w:r>
          </w:p>
        </w:tc>
        <w:tc>
          <w:tcPr>
            <w:tcW w:w="657" w:type="dxa"/>
            <w:noWrap w:val="0"/>
            <w:vAlign w:val="center"/>
          </w:tcPr>
          <w:p w14:paraId="5B3896B9">
            <w:pPr>
              <w:keepNext w:val="0"/>
              <w:keepLines w:val="0"/>
              <w:pageBreakBefore w:val="0"/>
              <w:shd w:val="clear"/>
              <w:kinsoku/>
              <w:wordWrap/>
              <w:overflowPunct/>
              <w:topLinePunct w:val="0"/>
              <w:autoSpaceDE w:val="0"/>
              <w:autoSpaceDN/>
              <w:bidi w:val="0"/>
              <w:adjustRightInd w:val="0"/>
              <w:snapToGrid w:val="0"/>
              <w:spacing w:line="460" w:lineRule="exact"/>
              <w:jc w:val="center"/>
              <w:textAlignment w:val="baseline"/>
              <w:rPr>
                <w:rFonts w:hint="eastAsia" w:ascii="宋体" w:hAnsi="宋体" w:eastAsia="宋体" w:cs="宋体"/>
                <w:color w:val="auto"/>
                <w:sz w:val="21"/>
                <w:szCs w:val="21"/>
                <w:highlight w:val="none"/>
              </w:rPr>
            </w:pPr>
            <w:r>
              <w:rPr>
                <w:rFonts w:hint="eastAsia" w:hAnsi="宋体" w:cs="宋体"/>
                <w:color w:val="auto"/>
                <w:sz w:val="21"/>
                <w:szCs w:val="21"/>
                <w:highlight w:val="none"/>
                <w:lang w:val="en-US" w:eastAsia="zh-CN"/>
              </w:rPr>
              <w:t>5</w:t>
            </w:r>
          </w:p>
        </w:tc>
      </w:tr>
      <w:tr w14:paraId="7EC444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3" w:hRule="atLeast"/>
        </w:trPr>
        <w:tc>
          <w:tcPr>
            <w:tcW w:w="720" w:type="dxa"/>
            <w:vMerge w:val="continue"/>
            <w:noWrap w:val="0"/>
            <w:vAlign w:val="center"/>
          </w:tcPr>
          <w:p w14:paraId="29443A29">
            <w:pPr>
              <w:keepNext w:val="0"/>
              <w:keepLines w:val="0"/>
              <w:pageBreakBefore w:val="0"/>
              <w:shd w:val="clear"/>
              <w:kinsoku/>
              <w:wordWrap/>
              <w:overflowPunct/>
              <w:topLinePunct w:val="0"/>
              <w:autoSpaceDE w:val="0"/>
              <w:autoSpaceDN/>
              <w:bidi w:val="0"/>
              <w:adjustRightInd w:val="0"/>
              <w:snapToGrid w:val="0"/>
              <w:spacing w:line="460" w:lineRule="exact"/>
              <w:jc w:val="center"/>
              <w:textAlignment w:val="baseline"/>
              <w:rPr>
                <w:rFonts w:hint="eastAsia" w:ascii="宋体" w:hAnsi="宋体" w:eastAsia="宋体" w:cs="宋体"/>
                <w:color w:val="auto"/>
                <w:sz w:val="21"/>
                <w:szCs w:val="21"/>
                <w:highlight w:val="none"/>
              </w:rPr>
            </w:pPr>
          </w:p>
        </w:tc>
        <w:tc>
          <w:tcPr>
            <w:tcW w:w="1117" w:type="dxa"/>
            <w:vMerge w:val="continue"/>
            <w:noWrap w:val="0"/>
            <w:vAlign w:val="center"/>
          </w:tcPr>
          <w:p w14:paraId="22444EEC">
            <w:pPr>
              <w:keepNext w:val="0"/>
              <w:keepLines w:val="0"/>
              <w:pageBreakBefore w:val="0"/>
              <w:shd w:val="clear"/>
              <w:kinsoku/>
              <w:wordWrap/>
              <w:overflowPunct/>
              <w:topLinePunct w:val="0"/>
              <w:autoSpaceDE w:val="0"/>
              <w:autoSpaceDN/>
              <w:bidi w:val="0"/>
              <w:adjustRightInd w:val="0"/>
              <w:snapToGrid w:val="0"/>
              <w:spacing w:line="460" w:lineRule="exact"/>
              <w:ind w:left="-50"/>
              <w:jc w:val="center"/>
              <w:textAlignment w:val="baseline"/>
              <w:rPr>
                <w:rFonts w:hint="eastAsia" w:ascii="宋体" w:hAnsi="宋体" w:eastAsia="宋体" w:cs="宋体"/>
                <w:color w:val="auto"/>
                <w:sz w:val="21"/>
                <w:szCs w:val="21"/>
                <w:highlight w:val="none"/>
              </w:rPr>
            </w:pPr>
          </w:p>
        </w:tc>
        <w:tc>
          <w:tcPr>
            <w:tcW w:w="7456" w:type="dxa"/>
            <w:noWrap w:val="0"/>
            <w:vAlign w:val="center"/>
          </w:tcPr>
          <w:p w14:paraId="329A337B">
            <w:pPr>
              <w:keepNext w:val="0"/>
              <w:keepLines w:val="0"/>
              <w:pageBreakBefore w:val="0"/>
              <w:shd w:val="clear"/>
              <w:kinsoku/>
              <w:wordWrap/>
              <w:overflowPunct/>
              <w:topLinePunct w:val="0"/>
              <w:autoSpaceDE w:val="0"/>
              <w:autoSpaceDN/>
              <w:bidi w:val="0"/>
              <w:adjustRightInd w:val="0"/>
              <w:snapToGrid w:val="0"/>
              <w:spacing w:line="460" w:lineRule="exact"/>
              <w:textAlignment w:val="baseline"/>
              <w:rPr>
                <w:rFonts w:hint="eastAsia" w:ascii="宋体" w:hAnsi="宋体" w:eastAsia="宋体" w:cs="宋体"/>
                <w:color w:val="auto"/>
                <w:sz w:val="21"/>
                <w:szCs w:val="21"/>
                <w:highlight w:val="none"/>
                <w:lang w:eastAsia="zh-CN"/>
              </w:rPr>
            </w:pPr>
            <w:r>
              <w:rPr>
                <w:rFonts w:hint="eastAsia" w:hAnsi="宋体" w:cs="宋体"/>
                <w:color w:val="auto"/>
                <w:sz w:val="21"/>
                <w:szCs w:val="21"/>
                <w:highlight w:val="none"/>
                <w:lang w:eastAsia="zh-CN"/>
              </w:rPr>
              <w:t>评估</w:t>
            </w:r>
            <w:r>
              <w:rPr>
                <w:rFonts w:hint="eastAsia" w:ascii="宋体" w:hAnsi="宋体" w:eastAsia="宋体" w:cs="宋体"/>
                <w:color w:val="auto"/>
                <w:sz w:val="21"/>
                <w:szCs w:val="21"/>
                <w:highlight w:val="none"/>
              </w:rPr>
              <w:t>期间的管理</w:t>
            </w:r>
            <w:r>
              <w:rPr>
                <w:rFonts w:hint="eastAsia" w:ascii="宋体" w:hAnsi="宋体" w:eastAsia="宋体" w:cs="宋体"/>
                <w:color w:val="auto"/>
                <w:sz w:val="21"/>
                <w:szCs w:val="21"/>
                <w:highlight w:val="none"/>
                <w:lang w:eastAsia="zh-CN"/>
              </w:rPr>
              <w:t>、</w:t>
            </w:r>
            <w:r>
              <w:rPr>
                <w:rFonts w:hint="eastAsia" w:hAnsi="宋体" w:cs="宋体"/>
                <w:color w:val="auto"/>
                <w:sz w:val="21"/>
                <w:szCs w:val="21"/>
                <w:highlight w:val="none"/>
                <w:lang w:eastAsia="zh-CN"/>
              </w:rPr>
              <w:t>评估</w:t>
            </w:r>
            <w:r>
              <w:rPr>
                <w:rFonts w:hint="eastAsia" w:ascii="宋体" w:hAnsi="宋体" w:eastAsia="宋体" w:cs="宋体"/>
                <w:color w:val="auto"/>
                <w:sz w:val="21"/>
                <w:szCs w:val="21"/>
                <w:highlight w:val="none"/>
                <w:lang w:val="en-US" w:eastAsia="zh-CN"/>
              </w:rPr>
              <w:t>服务</w:t>
            </w:r>
            <w:r>
              <w:rPr>
                <w:rFonts w:hint="eastAsia" w:ascii="宋体" w:hAnsi="宋体" w:eastAsia="宋体" w:cs="宋体"/>
                <w:color w:val="auto"/>
                <w:sz w:val="21"/>
                <w:szCs w:val="21"/>
                <w:highlight w:val="none"/>
              </w:rPr>
              <w:t>质量保证措施</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合理完善有效的得</w:t>
            </w:r>
            <w:r>
              <w:rPr>
                <w:rFonts w:hint="eastAsia" w:ascii="宋体" w:hAnsi="宋体" w:eastAsia="宋体" w:cs="宋体"/>
                <w:color w:val="auto"/>
                <w:sz w:val="21"/>
                <w:szCs w:val="21"/>
                <w:highlight w:val="none"/>
                <w:lang w:val="en-US" w:eastAsia="zh-CN"/>
              </w:rPr>
              <w:t>5</w:t>
            </w:r>
            <w:r>
              <w:rPr>
                <w:rFonts w:hint="eastAsia" w:ascii="宋体" w:hAnsi="宋体" w:eastAsia="宋体" w:cs="宋体"/>
                <w:color w:val="auto"/>
                <w:sz w:val="21"/>
                <w:szCs w:val="21"/>
                <w:highlight w:val="none"/>
              </w:rPr>
              <w:t>分，有缺项漏项或不合理的每处扣</w:t>
            </w:r>
            <w:r>
              <w:rPr>
                <w:rFonts w:hint="eastAsia" w:ascii="宋体" w:hAnsi="宋体" w:eastAsia="宋体" w:cs="宋体"/>
                <w:color w:val="auto"/>
                <w:sz w:val="21"/>
                <w:szCs w:val="21"/>
                <w:highlight w:val="none"/>
                <w:lang w:val="en-US" w:eastAsia="zh-CN"/>
              </w:rPr>
              <w:t>1</w:t>
            </w:r>
            <w:r>
              <w:rPr>
                <w:rFonts w:hint="eastAsia" w:ascii="宋体" w:hAnsi="宋体" w:eastAsia="宋体" w:cs="宋体"/>
                <w:color w:val="auto"/>
                <w:sz w:val="21"/>
                <w:szCs w:val="21"/>
                <w:highlight w:val="none"/>
              </w:rPr>
              <w:t>分，扣完为止。</w:t>
            </w:r>
          </w:p>
        </w:tc>
        <w:tc>
          <w:tcPr>
            <w:tcW w:w="657" w:type="dxa"/>
            <w:noWrap w:val="0"/>
            <w:vAlign w:val="center"/>
          </w:tcPr>
          <w:p w14:paraId="38CE1739">
            <w:pPr>
              <w:keepNext w:val="0"/>
              <w:keepLines w:val="0"/>
              <w:pageBreakBefore w:val="0"/>
              <w:shd w:val="clear"/>
              <w:kinsoku/>
              <w:wordWrap/>
              <w:overflowPunct/>
              <w:topLinePunct w:val="0"/>
              <w:autoSpaceDE w:val="0"/>
              <w:autoSpaceDN/>
              <w:bidi w:val="0"/>
              <w:adjustRightInd w:val="0"/>
              <w:snapToGrid w:val="0"/>
              <w:spacing w:line="460" w:lineRule="exact"/>
              <w:jc w:val="center"/>
              <w:textAlignment w:val="baseline"/>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5</w:t>
            </w:r>
          </w:p>
        </w:tc>
      </w:tr>
      <w:tr w14:paraId="1EE1D4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6" w:hRule="atLeast"/>
        </w:trPr>
        <w:tc>
          <w:tcPr>
            <w:tcW w:w="720" w:type="dxa"/>
            <w:vMerge w:val="continue"/>
            <w:noWrap w:val="0"/>
            <w:vAlign w:val="center"/>
          </w:tcPr>
          <w:p w14:paraId="7D5C0FAF">
            <w:pPr>
              <w:keepNext w:val="0"/>
              <w:keepLines w:val="0"/>
              <w:pageBreakBefore w:val="0"/>
              <w:shd w:val="clear"/>
              <w:kinsoku/>
              <w:wordWrap/>
              <w:overflowPunct/>
              <w:topLinePunct w:val="0"/>
              <w:autoSpaceDE w:val="0"/>
              <w:autoSpaceDN/>
              <w:bidi w:val="0"/>
              <w:adjustRightInd w:val="0"/>
              <w:snapToGrid w:val="0"/>
              <w:spacing w:line="460" w:lineRule="exact"/>
              <w:jc w:val="center"/>
              <w:textAlignment w:val="baseline"/>
              <w:rPr>
                <w:rFonts w:hint="eastAsia" w:ascii="宋体" w:hAnsi="宋体" w:eastAsia="宋体" w:cs="宋体"/>
                <w:color w:val="auto"/>
                <w:sz w:val="21"/>
                <w:szCs w:val="21"/>
                <w:highlight w:val="none"/>
              </w:rPr>
            </w:pPr>
          </w:p>
        </w:tc>
        <w:tc>
          <w:tcPr>
            <w:tcW w:w="1117" w:type="dxa"/>
            <w:vMerge w:val="continue"/>
            <w:noWrap w:val="0"/>
            <w:vAlign w:val="center"/>
          </w:tcPr>
          <w:p w14:paraId="25234A1C">
            <w:pPr>
              <w:keepNext w:val="0"/>
              <w:keepLines w:val="0"/>
              <w:pageBreakBefore w:val="0"/>
              <w:shd w:val="clear"/>
              <w:kinsoku/>
              <w:wordWrap/>
              <w:overflowPunct/>
              <w:topLinePunct w:val="0"/>
              <w:autoSpaceDE w:val="0"/>
              <w:autoSpaceDN/>
              <w:bidi w:val="0"/>
              <w:adjustRightInd w:val="0"/>
              <w:snapToGrid w:val="0"/>
              <w:spacing w:line="460" w:lineRule="exact"/>
              <w:ind w:left="-50"/>
              <w:jc w:val="center"/>
              <w:textAlignment w:val="baseline"/>
              <w:rPr>
                <w:rFonts w:hint="eastAsia" w:ascii="宋体" w:hAnsi="宋体" w:eastAsia="宋体" w:cs="宋体"/>
                <w:color w:val="auto"/>
                <w:sz w:val="21"/>
                <w:szCs w:val="21"/>
                <w:highlight w:val="none"/>
              </w:rPr>
            </w:pPr>
          </w:p>
        </w:tc>
        <w:tc>
          <w:tcPr>
            <w:tcW w:w="7456" w:type="dxa"/>
            <w:noWrap w:val="0"/>
            <w:vAlign w:val="center"/>
          </w:tcPr>
          <w:p w14:paraId="5158E91D">
            <w:pPr>
              <w:keepNext w:val="0"/>
              <w:keepLines w:val="0"/>
              <w:pageBreakBefore w:val="0"/>
              <w:shd w:val="clear"/>
              <w:kinsoku/>
              <w:wordWrap/>
              <w:overflowPunct/>
              <w:topLinePunct w:val="0"/>
              <w:autoSpaceDE w:val="0"/>
              <w:autoSpaceDN/>
              <w:bidi w:val="0"/>
              <w:adjustRightInd w:val="0"/>
              <w:snapToGrid w:val="0"/>
              <w:spacing w:line="460" w:lineRule="exact"/>
              <w:textAlignment w:val="baseline"/>
              <w:rPr>
                <w:rFonts w:hint="eastAsia" w:ascii="宋体" w:hAnsi="宋体" w:eastAsia="宋体" w:cs="宋体"/>
                <w:color w:val="auto"/>
                <w:sz w:val="21"/>
                <w:szCs w:val="21"/>
                <w:highlight w:val="none"/>
              </w:rPr>
            </w:pPr>
            <w:r>
              <w:rPr>
                <w:rFonts w:hint="eastAsia" w:hAnsi="宋体" w:cs="宋体"/>
                <w:color w:val="auto"/>
                <w:sz w:val="21"/>
                <w:szCs w:val="21"/>
                <w:highlight w:val="none"/>
                <w:lang w:eastAsia="zh-CN"/>
              </w:rPr>
              <w:t>评估</w:t>
            </w:r>
            <w:r>
              <w:rPr>
                <w:rFonts w:hint="eastAsia" w:ascii="宋体" w:hAnsi="宋体" w:eastAsia="宋体" w:cs="宋体"/>
                <w:color w:val="auto"/>
                <w:sz w:val="21"/>
                <w:szCs w:val="21"/>
                <w:highlight w:val="none"/>
              </w:rPr>
              <w:t>结束后的总结与验收</w:t>
            </w:r>
            <w:r>
              <w:rPr>
                <w:rFonts w:hint="eastAsia" w:ascii="宋体" w:hAnsi="宋体" w:eastAsia="宋体" w:cs="宋体"/>
                <w:color w:val="auto"/>
                <w:sz w:val="21"/>
                <w:szCs w:val="21"/>
                <w:highlight w:val="none"/>
                <w:lang w:val="en-US" w:eastAsia="zh-CN"/>
              </w:rPr>
              <w:t>方案</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合理完善有效的得</w:t>
            </w:r>
            <w:r>
              <w:rPr>
                <w:rFonts w:hint="eastAsia" w:ascii="宋体" w:hAnsi="宋体" w:eastAsia="宋体" w:cs="宋体"/>
                <w:color w:val="auto"/>
                <w:sz w:val="21"/>
                <w:szCs w:val="21"/>
                <w:highlight w:val="none"/>
                <w:lang w:val="en-US" w:eastAsia="zh-CN"/>
              </w:rPr>
              <w:t>5</w:t>
            </w:r>
            <w:r>
              <w:rPr>
                <w:rFonts w:hint="eastAsia" w:ascii="宋体" w:hAnsi="宋体" w:eastAsia="宋体" w:cs="宋体"/>
                <w:color w:val="auto"/>
                <w:sz w:val="21"/>
                <w:szCs w:val="21"/>
                <w:highlight w:val="none"/>
              </w:rPr>
              <w:t>分，有缺项漏项或不合理的每处扣</w:t>
            </w:r>
            <w:r>
              <w:rPr>
                <w:rFonts w:hint="eastAsia" w:ascii="宋体" w:hAnsi="宋体" w:eastAsia="宋体" w:cs="宋体"/>
                <w:color w:val="auto"/>
                <w:sz w:val="21"/>
                <w:szCs w:val="21"/>
                <w:highlight w:val="none"/>
                <w:lang w:val="en-US" w:eastAsia="zh-CN"/>
              </w:rPr>
              <w:t>1</w:t>
            </w:r>
            <w:r>
              <w:rPr>
                <w:rFonts w:hint="eastAsia" w:ascii="宋体" w:hAnsi="宋体" w:eastAsia="宋体" w:cs="宋体"/>
                <w:color w:val="auto"/>
                <w:sz w:val="21"/>
                <w:szCs w:val="21"/>
                <w:highlight w:val="none"/>
              </w:rPr>
              <w:t>分，扣完为止。</w:t>
            </w:r>
          </w:p>
        </w:tc>
        <w:tc>
          <w:tcPr>
            <w:tcW w:w="657" w:type="dxa"/>
            <w:noWrap w:val="0"/>
            <w:vAlign w:val="center"/>
          </w:tcPr>
          <w:p w14:paraId="12B27B48">
            <w:pPr>
              <w:keepNext w:val="0"/>
              <w:keepLines w:val="0"/>
              <w:pageBreakBefore w:val="0"/>
              <w:shd w:val="clear"/>
              <w:kinsoku/>
              <w:wordWrap/>
              <w:overflowPunct/>
              <w:topLinePunct w:val="0"/>
              <w:autoSpaceDE w:val="0"/>
              <w:autoSpaceDN/>
              <w:bidi w:val="0"/>
              <w:adjustRightInd w:val="0"/>
              <w:snapToGrid w:val="0"/>
              <w:spacing w:line="460" w:lineRule="exact"/>
              <w:jc w:val="center"/>
              <w:textAlignment w:val="baseline"/>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5</w:t>
            </w:r>
          </w:p>
        </w:tc>
      </w:tr>
      <w:tr w14:paraId="67AC09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4" w:hRule="atLeast"/>
        </w:trPr>
        <w:tc>
          <w:tcPr>
            <w:tcW w:w="720" w:type="dxa"/>
            <w:vMerge w:val="continue"/>
            <w:noWrap w:val="0"/>
            <w:vAlign w:val="center"/>
          </w:tcPr>
          <w:p w14:paraId="2B1E5352">
            <w:pPr>
              <w:keepNext w:val="0"/>
              <w:keepLines w:val="0"/>
              <w:pageBreakBefore w:val="0"/>
              <w:shd w:val="clear"/>
              <w:kinsoku/>
              <w:wordWrap/>
              <w:overflowPunct/>
              <w:topLinePunct w:val="0"/>
              <w:autoSpaceDE w:val="0"/>
              <w:autoSpaceDN/>
              <w:bidi w:val="0"/>
              <w:adjustRightInd w:val="0"/>
              <w:snapToGrid w:val="0"/>
              <w:spacing w:line="460" w:lineRule="exact"/>
              <w:jc w:val="center"/>
              <w:textAlignment w:val="baseline"/>
              <w:rPr>
                <w:rFonts w:hint="eastAsia" w:ascii="宋体" w:hAnsi="宋体" w:eastAsia="宋体" w:cs="宋体"/>
                <w:color w:val="auto"/>
                <w:sz w:val="21"/>
                <w:szCs w:val="21"/>
                <w:highlight w:val="none"/>
              </w:rPr>
            </w:pPr>
          </w:p>
        </w:tc>
        <w:tc>
          <w:tcPr>
            <w:tcW w:w="1117" w:type="dxa"/>
            <w:vMerge w:val="continue"/>
            <w:noWrap w:val="0"/>
            <w:vAlign w:val="center"/>
          </w:tcPr>
          <w:p w14:paraId="55E211B8">
            <w:pPr>
              <w:keepNext w:val="0"/>
              <w:keepLines w:val="0"/>
              <w:pageBreakBefore w:val="0"/>
              <w:shd w:val="clear"/>
              <w:kinsoku/>
              <w:wordWrap/>
              <w:overflowPunct/>
              <w:topLinePunct w:val="0"/>
              <w:autoSpaceDE w:val="0"/>
              <w:autoSpaceDN/>
              <w:bidi w:val="0"/>
              <w:adjustRightInd w:val="0"/>
              <w:snapToGrid w:val="0"/>
              <w:spacing w:line="460" w:lineRule="exact"/>
              <w:ind w:left="-50"/>
              <w:jc w:val="center"/>
              <w:textAlignment w:val="baseline"/>
              <w:rPr>
                <w:rFonts w:hint="eastAsia" w:ascii="宋体" w:hAnsi="宋体" w:eastAsia="宋体" w:cs="宋体"/>
                <w:color w:val="auto"/>
                <w:sz w:val="21"/>
                <w:szCs w:val="21"/>
                <w:highlight w:val="none"/>
              </w:rPr>
            </w:pPr>
          </w:p>
        </w:tc>
        <w:tc>
          <w:tcPr>
            <w:tcW w:w="7456" w:type="dxa"/>
            <w:noWrap w:val="0"/>
            <w:vAlign w:val="center"/>
          </w:tcPr>
          <w:p w14:paraId="24AC27F1">
            <w:pPr>
              <w:keepNext w:val="0"/>
              <w:keepLines w:val="0"/>
              <w:pageBreakBefore w:val="0"/>
              <w:shd w:val="clear"/>
              <w:kinsoku/>
              <w:wordWrap/>
              <w:overflowPunct/>
              <w:topLinePunct w:val="0"/>
              <w:autoSpaceDE w:val="0"/>
              <w:autoSpaceDN/>
              <w:bidi w:val="0"/>
              <w:adjustRightInd w:val="0"/>
              <w:snapToGrid w:val="0"/>
              <w:spacing w:line="460" w:lineRule="exact"/>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根据</w:t>
            </w:r>
            <w:r>
              <w:rPr>
                <w:rFonts w:hint="eastAsia" w:ascii="宋体" w:hAnsi="宋体" w:eastAsia="宋体" w:cs="宋体"/>
                <w:color w:val="auto"/>
                <w:sz w:val="21"/>
                <w:szCs w:val="21"/>
                <w:highlight w:val="none"/>
                <w:lang w:val="en-US" w:eastAsia="zh-CN"/>
              </w:rPr>
              <w:t>供应商</w:t>
            </w:r>
            <w:r>
              <w:rPr>
                <w:rFonts w:hint="eastAsia" w:ascii="宋体" w:hAnsi="宋体" w:eastAsia="宋体" w:cs="宋体"/>
                <w:color w:val="auto"/>
                <w:sz w:val="21"/>
                <w:szCs w:val="21"/>
                <w:highlight w:val="none"/>
              </w:rPr>
              <w:t>针对本项目</w:t>
            </w:r>
            <w:r>
              <w:rPr>
                <w:rFonts w:hint="eastAsia" w:hAnsi="宋体" w:cs="宋体"/>
                <w:color w:val="auto"/>
                <w:sz w:val="21"/>
                <w:szCs w:val="21"/>
                <w:highlight w:val="none"/>
                <w:lang w:val="en-US" w:eastAsia="zh-CN"/>
              </w:rPr>
              <w:t>服人员</w:t>
            </w:r>
            <w:r>
              <w:rPr>
                <w:rFonts w:hint="eastAsia" w:ascii="宋体" w:hAnsi="宋体" w:eastAsia="宋体" w:cs="宋体"/>
                <w:color w:val="auto"/>
                <w:sz w:val="21"/>
                <w:szCs w:val="21"/>
                <w:highlight w:val="none"/>
              </w:rPr>
              <w:t>培训方案，包括培训计划、培训考核等方案进行综合打分，方案完善合理且可实施性强的得5分，有不合理或者欠缺的每处扣1分，扣完为止。方案明显不合理或未提供方案不得分。</w:t>
            </w:r>
          </w:p>
        </w:tc>
        <w:tc>
          <w:tcPr>
            <w:tcW w:w="657" w:type="dxa"/>
            <w:noWrap w:val="0"/>
            <w:vAlign w:val="center"/>
          </w:tcPr>
          <w:p w14:paraId="6CD37309">
            <w:pPr>
              <w:keepNext w:val="0"/>
              <w:keepLines w:val="0"/>
              <w:pageBreakBefore w:val="0"/>
              <w:shd w:val="clear"/>
              <w:kinsoku/>
              <w:wordWrap/>
              <w:overflowPunct/>
              <w:topLinePunct w:val="0"/>
              <w:autoSpaceDE w:val="0"/>
              <w:autoSpaceDN/>
              <w:bidi w:val="0"/>
              <w:adjustRightInd w:val="0"/>
              <w:snapToGrid w:val="0"/>
              <w:spacing w:line="460" w:lineRule="exact"/>
              <w:jc w:val="center"/>
              <w:textAlignment w:val="baseline"/>
              <w:rPr>
                <w:rFonts w:hint="default" w:ascii="宋体" w:hAnsi="宋体" w:eastAsia="宋体" w:cs="宋体"/>
                <w:color w:val="auto"/>
                <w:sz w:val="21"/>
                <w:szCs w:val="21"/>
                <w:highlight w:val="none"/>
                <w:lang w:val="en-US" w:eastAsia="zh-CN"/>
              </w:rPr>
            </w:pPr>
            <w:r>
              <w:rPr>
                <w:rFonts w:hint="eastAsia" w:hAnsi="宋体" w:cs="宋体"/>
                <w:color w:val="auto"/>
                <w:sz w:val="21"/>
                <w:szCs w:val="21"/>
                <w:highlight w:val="none"/>
                <w:lang w:val="en-US" w:eastAsia="zh-CN"/>
              </w:rPr>
              <w:t>5</w:t>
            </w:r>
          </w:p>
        </w:tc>
      </w:tr>
      <w:tr w14:paraId="298499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720" w:type="dxa"/>
            <w:vMerge w:val="continue"/>
            <w:noWrap w:val="0"/>
            <w:vAlign w:val="center"/>
          </w:tcPr>
          <w:p w14:paraId="3727E098">
            <w:pPr>
              <w:keepNext w:val="0"/>
              <w:keepLines w:val="0"/>
              <w:pageBreakBefore w:val="0"/>
              <w:shd w:val="clear"/>
              <w:kinsoku/>
              <w:wordWrap/>
              <w:overflowPunct/>
              <w:topLinePunct w:val="0"/>
              <w:autoSpaceDE w:val="0"/>
              <w:autoSpaceDN/>
              <w:bidi w:val="0"/>
              <w:adjustRightInd w:val="0"/>
              <w:snapToGrid w:val="0"/>
              <w:spacing w:line="460" w:lineRule="exact"/>
              <w:jc w:val="center"/>
              <w:textAlignment w:val="baseline"/>
              <w:rPr>
                <w:rFonts w:hint="eastAsia" w:ascii="宋体" w:hAnsi="宋体" w:eastAsia="宋体" w:cs="宋体"/>
                <w:color w:val="auto"/>
                <w:sz w:val="21"/>
                <w:szCs w:val="21"/>
                <w:highlight w:val="none"/>
              </w:rPr>
            </w:pPr>
          </w:p>
        </w:tc>
        <w:tc>
          <w:tcPr>
            <w:tcW w:w="1117" w:type="dxa"/>
            <w:vMerge w:val="continue"/>
            <w:noWrap w:val="0"/>
            <w:vAlign w:val="center"/>
          </w:tcPr>
          <w:p w14:paraId="33791987">
            <w:pPr>
              <w:keepNext w:val="0"/>
              <w:keepLines w:val="0"/>
              <w:pageBreakBefore w:val="0"/>
              <w:shd w:val="clear"/>
              <w:kinsoku/>
              <w:wordWrap/>
              <w:overflowPunct/>
              <w:topLinePunct w:val="0"/>
              <w:autoSpaceDE w:val="0"/>
              <w:autoSpaceDN/>
              <w:bidi w:val="0"/>
              <w:adjustRightInd w:val="0"/>
              <w:snapToGrid w:val="0"/>
              <w:spacing w:line="460" w:lineRule="exact"/>
              <w:ind w:left="-50"/>
              <w:jc w:val="center"/>
              <w:textAlignment w:val="baseline"/>
              <w:rPr>
                <w:rFonts w:hint="eastAsia" w:ascii="宋体" w:hAnsi="宋体" w:eastAsia="宋体" w:cs="宋体"/>
                <w:color w:val="auto"/>
                <w:sz w:val="21"/>
                <w:szCs w:val="21"/>
                <w:highlight w:val="none"/>
              </w:rPr>
            </w:pPr>
          </w:p>
        </w:tc>
        <w:tc>
          <w:tcPr>
            <w:tcW w:w="7456" w:type="dxa"/>
            <w:noWrap w:val="0"/>
            <w:vAlign w:val="center"/>
          </w:tcPr>
          <w:p w14:paraId="3697E66D">
            <w:pPr>
              <w:keepNext w:val="0"/>
              <w:keepLines w:val="0"/>
              <w:pageBreakBefore w:val="0"/>
              <w:shd w:val="clear"/>
              <w:kinsoku/>
              <w:wordWrap/>
              <w:overflowPunct/>
              <w:topLinePunct w:val="0"/>
              <w:autoSpaceDE w:val="0"/>
              <w:autoSpaceDN/>
              <w:bidi w:val="0"/>
              <w:adjustRightInd w:val="0"/>
              <w:snapToGrid w:val="0"/>
              <w:spacing w:line="460" w:lineRule="exact"/>
              <w:textAlignment w:val="baseline"/>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根据供应商</w:t>
            </w:r>
            <w:r>
              <w:rPr>
                <w:rFonts w:hint="eastAsia" w:hAnsi="宋体" w:cs="宋体"/>
                <w:color w:val="auto"/>
                <w:sz w:val="21"/>
                <w:szCs w:val="21"/>
                <w:highlight w:val="none"/>
                <w:lang w:val="en-US" w:eastAsia="zh-CN"/>
              </w:rPr>
              <w:t>评估</w:t>
            </w:r>
            <w:r>
              <w:rPr>
                <w:rFonts w:hint="eastAsia" w:ascii="宋体" w:hAnsi="宋体" w:eastAsia="宋体" w:cs="宋体"/>
                <w:color w:val="auto"/>
                <w:sz w:val="21"/>
                <w:szCs w:val="21"/>
                <w:highlight w:val="none"/>
                <w:lang w:val="en-US" w:eastAsia="zh-CN"/>
              </w:rPr>
              <w:t>资料归集、数字化存档等资料整理方案综合评分</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合理完善有效的得</w:t>
            </w:r>
            <w:r>
              <w:rPr>
                <w:rFonts w:hint="eastAsia" w:ascii="宋体" w:hAnsi="宋体" w:eastAsia="宋体" w:cs="宋体"/>
                <w:color w:val="auto"/>
                <w:sz w:val="21"/>
                <w:szCs w:val="21"/>
                <w:highlight w:val="none"/>
                <w:lang w:val="en-US" w:eastAsia="zh-CN"/>
              </w:rPr>
              <w:t>5</w:t>
            </w:r>
            <w:r>
              <w:rPr>
                <w:rFonts w:hint="eastAsia" w:ascii="宋体" w:hAnsi="宋体" w:eastAsia="宋体" w:cs="宋体"/>
                <w:color w:val="auto"/>
                <w:sz w:val="21"/>
                <w:szCs w:val="21"/>
                <w:highlight w:val="none"/>
              </w:rPr>
              <w:t>分，有缺项漏项或不合理的每处扣</w:t>
            </w:r>
            <w:r>
              <w:rPr>
                <w:rFonts w:hint="eastAsia" w:ascii="宋体" w:hAnsi="宋体" w:eastAsia="宋体" w:cs="宋体"/>
                <w:color w:val="auto"/>
                <w:sz w:val="21"/>
                <w:szCs w:val="21"/>
                <w:highlight w:val="none"/>
                <w:lang w:val="en-US" w:eastAsia="zh-CN"/>
              </w:rPr>
              <w:t>1</w:t>
            </w:r>
            <w:r>
              <w:rPr>
                <w:rFonts w:hint="eastAsia" w:ascii="宋体" w:hAnsi="宋体" w:eastAsia="宋体" w:cs="宋体"/>
                <w:color w:val="auto"/>
                <w:sz w:val="21"/>
                <w:szCs w:val="21"/>
                <w:highlight w:val="none"/>
              </w:rPr>
              <w:t>分，扣完为止。</w:t>
            </w:r>
          </w:p>
        </w:tc>
        <w:tc>
          <w:tcPr>
            <w:tcW w:w="657" w:type="dxa"/>
            <w:noWrap w:val="0"/>
            <w:vAlign w:val="center"/>
          </w:tcPr>
          <w:p w14:paraId="2612C3BD">
            <w:pPr>
              <w:keepNext w:val="0"/>
              <w:keepLines w:val="0"/>
              <w:pageBreakBefore w:val="0"/>
              <w:shd w:val="clear"/>
              <w:kinsoku/>
              <w:wordWrap/>
              <w:overflowPunct/>
              <w:topLinePunct w:val="0"/>
              <w:autoSpaceDE w:val="0"/>
              <w:autoSpaceDN/>
              <w:bidi w:val="0"/>
              <w:adjustRightInd w:val="0"/>
              <w:snapToGrid w:val="0"/>
              <w:spacing w:line="460" w:lineRule="exact"/>
              <w:jc w:val="center"/>
              <w:textAlignment w:val="baseline"/>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5</w:t>
            </w:r>
          </w:p>
        </w:tc>
      </w:tr>
      <w:tr w14:paraId="525832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4" w:hRule="atLeast"/>
        </w:trPr>
        <w:tc>
          <w:tcPr>
            <w:tcW w:w="720" w:type="dxa"/>
            <w:vMerge w:val="continue"/>
            <w:noWrap w:val="0"/>
            <w:vAlign w:val="center"/>
          </w:tcPr>
          <w:p w14:paraId="517171EA">
            <w:pPr>
              <w:keepNext w:val="0"/>
              <w:keepLines w:val="0"/>
              <w:pageBreakBefore w:val="0"/>
              <w:shd w:val="clear"/>
              <w:kinsoku/>
              <w:wordWrap/>
              <w:overflowPunct/>
              <w:topLinePunct w:val="0"/>
              <w:autoSpaceDE w:val="0"/>
              <w:autoSpaceDN/>
              <w:bidi w:val="0"/>
              <w:adjustRightInd w:val="0"/>
              <w:snapToGrid w:val="0"/>
              <w:spacing w:line="460" w:lineRule="exact"/>
              <w:jc w:val="center"/>
              <w:textAlignment w:val="baseline"/>
              <w:rPr>
                <w:rFonts w:hint="eastAsia" w:ascii="宋体" w:hAnsi="宋体" w:eastAsia="宋体" w:cs="宋体"/>
                <w:color w:val="auto"/>
                <w:sz w:val="21"/>
                <w:szCs w:val="21"/>
                <w:highlight w:val="none"/>
              </w:rPr>
            </w:pPr>
          </w:p>
        </w:tc>
        <w:tc>
          <w:tcPr>
            <w:tcW w:w="1117" w:type="dxa"/>
            <w:vMerge w:val="continue"/>
            <w:noWrap w:val="0"/>
            <w:vAlign w:val="center"/>
          </w:tcPr>
          <w:p w14:paraId="0488A7AC">
            <w:pPr>
              <w:keepNext w:val="0"/>
              <w:keepLines w:val="0"/>
              <w:pageBreakBefore w:val="0"/>
              <w:shd w:val="clear"/>
              <w:kinsoku/>
              <w:wordWrap/>
              <w:overflowPunct/>
              <w:topLinePunct w:val="0"/>
              <w:autoSpaceDE w:val="0"/>
              <w:autoSpaceDN/>
              <w:bidi w:val="0"/>
              <w:adjustRightInd w:val="0"/>
              <w:snapToGrid w:val="0"/>
              <w:spacing w:line="460" w:lineRule="exact"/>
              <w:ind w:left="-50"/>
              <w:jc w:val="center"/>
              <w:textAlignment w:val="baseline"/>
              <w:rPr>
                <w:rFonts w:hint="eastAsia" w:ascii="宋体" w:hAnsi="宋体" w:eastAsia="宋体" w:cs="宋体"/>
                <w:color w:val="auto"/>
                <w:sz w:val="21"/>
                <w:szCs w:val="21"/>
                <w:highlight w:val="none"/>
              </w:rPr>
            </w:pPr>
          </w:p>
        </w:tc>
        <w:tc>
          <w:tcPr>
            <w:tcW w:w="7456" w:type="dxa"/>
            <w:noWrap w:val="0"/>
            <w:vAlign w:val="center"/>
          </w:tcPr>
          <w:p w14:paraId="6E600176">
            <w:pPr>
              <w:keepNext w:val="0"/>
              <w:keepLines w:val="0"/>
              <w:pageBreakBefore w:val="0"/>
              <w:shd w:val="clear"/>
              <w:kinsoku/>
              <w:wordWrap/>
              <w:overflowPunct/>
              <w:topLinePunct w:val="0"/>
              <w:autoSpaceDE w:val="0"/>
              <w:autoSpaceDN/>
              <w:bidi w:val="0"/>
              <w:adjustRightInd w:val="0"/>
              <w:snapToGrid w:val="0"/>
              <w:spacing w:line="460" w:lineRule="exact"/>
              <w:textAlignment w:val="baseline"/>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根据供应商</w:t>
            </w:r>
            <w:r>
              <w:rPr>
                <w:rFonts w:hint="eastAsia" w:hAnsi="宋体" w:cs="宋体"/>
                <w:color w:val="auto"/>
                <w:sz w:val="21"/>
                <w:szCs w:val="21"/>
                <w:highlight w:val="none"/>
                <w:lang w:val="en-US" w:eastAsia="zh-CN"/>
              </w:rPr>
              <w:t>服务</w:t>
            </w:r>
            <w:r>
              <w:rPr>
                <w:rFonts w:hint="eastAsia" w:ascii="宋体" w:hAnsi="宋体" w:eastAsia="宋体" w:cs="宋体"/>
                <w:color w:val="auto"/>
                <w:sz w:val="21"/>
                <w:szCs w:val="21"/>
                <w:highlight w:val="none"/>
                <w:lang w:val="en-US" w:eastAsia="zh-CN"/>
              </w:rPr>
              <w:t>过程中可能出现的突发事件分析及应急处理方案进行打分，分析到位、应急预案合理、全面且可实施性强的得</w:t>
            </w:r>
            <w:r>
              <w:rPr>
                <w:rFonts w:hint="eastAsia" w:hAnsi="宋体" w:cs="宋体"/>
                <w:color w:val="auto"/>
                <w:sz w:val="21"/>
                <w:szCs w:val="21"/>
                <w:highlight w:val="none"/>
                <w:lang w:val="en-US" w:eastAsia="zh-CN"/>
              </w:rPr>
              <w:t>5</w:t>
            </w:r>
            <w:r>
              <w:rPr>
                <w:rFonts w:hint="eastAsia" w:ascii="宋体" w:hAnsi="宋体" w:eastAsia="宋体" w:cs="宋体"/>
                <w:color w:val="auto"/>
                <w:sz w:val="21"/>
                <w:szCs w:val="21"/>
                <w:highlight w:val="none"/>
                <w:lang w:val="en-US" w:eastAsia="zh-CN"/>
              </w:rPr>
              <w:t>分，有不合理或者欠缺的每处扣1分，扣完为止。</w:t>
            </w:r>
          </w:p>
        </w:tc>
        <w:tc>
          <w:tcPr>
            <w:tcW w:w="657" w:type="dxa"/>
            <w:noWrap w:val="0"/>
            <w:vAlign w:val="center"/>
          </w:tcPr>
          <w:p w14:paraId="4E5D26F6">
            <w:pPr>
              <w:keepNext w:val="0"/>
              <w:keepLines w:val="0"/>
              <w:pageBreakBefore w:val="0"/>
              <w:shd w:val="clear"/>
              <w:kinsoku/>
              <w:wordWrap/>
              <w:overflowPunct/>
              <w:topLinePunct w:val="0"/>
              <w:autoSpaceDE w:val="0"/>
              <w:autoSpaceDN/>
              <w:bidi w:val="0"/>
              <w:adjustRightInd w:val="0"/>
              <w:snapToGrid w:val="0"/>
              <w:spacing w:line="460" w:lineRule="exact"/>
              <w:jc w:val="center"/>
              <w:textAlignment w:val="baseline"/>
              <w:rPr>
                <w:rFonts w:hint="default" w:ascii="宋体" w:hAnsi="宋体" w:eastAsia="宋体" w:cs="宋体"/>
                <w:color w:val="auto"/>
                <w:sz w:val="21"/>
                <w:szCs w:val="21"/>
                <w:highlight w:val="none"/>
                <w:lang w:val="en-US" w:eastAsia="zh-CN"/>
              </w:rPr>
            </w:pPr>
            <w:r>
              <w:rPr>
                <w:rFonts w:hint="eastAsia" w:hAnsi="宋体" w:cs="宋体"/>
                <w:color w:val="auto"/>
                <w:sz w:val="21"/>
                <w:szCs w:val="21"/>
                <w:highlight w:val="none"/>
                <w:lang w:val="en-US" w:eastAsia="zh-CN"/>
              </w:rPr>
              <w:t>5</w:t>
            </w:r>
          </w:p>
        </w:tc>
      </w:tr>
      <w:tr w14:paraId="5424F6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trPr>
        <w:tc>
          <w:tcPr>
            <w:tcW w:w="720" w:type="dxa"/>
            <w:vMerge w:val="continue"/>
            <w:noWrap w:val="0"/>
            <w:vAlign w:val="center"/>
          </w:tcPr>
          <w:p w14:paraId="378721FD">
            <w:pPr>
              <w:keepNext w:val="0"/>
              <w:keepLines w:val="0"/>
              <w:pageBreakBefore w:val="0"/>
              <w:shd w:val="clear"/>
              <w:kinsoku/>
              <w:wordWrap/>
              <w:overflowPunct/>
              <w:topLinePunct w:val="0"/>
              <w:autoSpaceDE w:val="0"/>
              <w:autoSpaceDN/>
              <w:bidi w:val="0"/>
              <w:adjustRightInd w:val="0"/>
              <w:snapToGrid w:val="0"/>
              <w:spacing w:line="460" w:lineRule="exact"/>
              <w:jc w:val="center"/>
              <w:textAlignment w:val="baseline"/>
              <w:rPr>
                <w:rFonts w:hint="eastAsia" w:ascii="宋体" w:hAnsi="宋体" w:eastAsia="宋体" w:cs="宋体"/>
                <w:color w:val="auto"/>
                <w:sz w:val="21"/>
                <w:szCs w:val="21"/>
                <w:highlight w:val="none"/>
              </w:rPr>
            </w:pPr>
          </w:p>
        </w:tc>
        <w:tc>
          <w:tcPr>
            <w:tcW w:w="1117" w:type="dxa"/>
            <w:vMerge w:val="continue"/>
            <w:noWrap w:val="0"/>
            <w:vAlign w:val="center"/>
          </w:tcPr>
          <w:p w14:paraId="3FD36069">
            <w:pPr>
              <w:keepNext w:val="0"/>
              <w:keepLines w:val="0"/>
              <w:pageBreakBefore w:val="0"/>
              <w:shd w:val="clear"/>
              <w:kinsoku/>
              <w:wordWrap/>
              <w:overflowPunct/>
              <w:topLinePunct w:val="0"/>
              <w:autoSpaceDE w:val="0"/>
              <w:autoSpaceDN/>
              <w:bidi w:val="0"/>
              <w:adjustRightInd w:val="0"/>
              <w:snapToGrid w:val="0"/>
              <w:spacing w:line="460" w:lineRule="exact"/>
              <w:ind w:left="-50"/>
              <w:jc w:val="center"/>
              <w:textAlignment w:val="baseline"/>
              <w:rPr>
                <w:rFonts w:hint="eastAsia" w:ascii="宋体" w:hAnsi="宋体" w:eastAsia="宋体" w:cs="宋体"/>
                <w:color w:val="auto"/>
                <w:sz w:val="21"/>
                <w:szCs w:val="21"/>
                <w:highlight w:val="none"/>
              </w:rPr>
            </w:pPr>
          </w:p>
        </w:tc>
        <w:tc>
          <w:tcPr>
            <w:tcW w:w="7456" w:type="dxa"/>
            <w:noWrap w:val="0"/>
            <w:vAlign w:val="center"/>
          </w:tcPr>
          <w:p w14:paraId="6FC62D83">
            <w:pPr>
              <w:keepNext w:val="0"/>
              <w:keepLines w:val="0"/>
              <w:pageBreakBefore w:val="0"/>
              <w:shd w:val="clear"/>
              <w:kinsoku/>
              <w:wordWrap/>
              <w:overflowPunct/>
              <w:topLinePunct w:val="0"/>
              <w:autoSpaceDE w:val="0"/>
              <w:autoSpaceDN/>
              <w:bidi w:val="0"/>
              <w:adjustRightInd w:val="0"/>
              <w:snapToGrid w:val="0"/>
              <w:spacing w:line="460" w:lineRule="exact"/>
              <w:textAlignment w:val="baseline"/>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根据供应商提供的合理化建议方案，包括针对</w:t>
            </w:r>
            <w:r>
              <w:rPr>
                <w:rFonts w:hint="eastAsia" w:hAnsi="宋体" w:cs="宋体"/>
                <w:color w:val="auto"/>
                <w:sz w:val="21"/>
                <w:szCs w:val="21"/>
                <w:highlight w:val="none"/>
                <w:lang w:val="en-US" w:eastAsia="zh-CN"/>
              </w:rPr>
              <w:t>服务提升加强、质量控制</w:t>
            </w:r>
            <w:r>
              <w:rPr>
                <w:rFonts w:hint="eastAsia" w:ascii="宋体" w:hAnsi="宋体" w:eastAsia="宋体" w:cs="宋体"/>
                <w:color w:val="auto"/>
                <w:sz w:val="21"/>
                <w:szCs w:val="21"/>
                <w:highlight w:val="none"/>
                <w:lang w:val="en-US" w:eastAsia="zh-CN"/>
              </w:rPr>
              <w:t>等建议进行综合打分，切合本项目实际需求，针对性、操作性、可行性强的得4分，方案存在欠缺或不足之处的，每处扣1分，扣完为止。</w:t>
            </w:r>
          </w:p>
        </w:tc>
        <w:tc>
          <w:tcPr>
            <w:tcW w:w="657" w:type="dxa"/>
            <w:noWrap w:val="0"/>
            <w:vAlign w:val="center"/>
          </w:tcPr>
          <w:p w14:paraId="37FB822C">
            <w:pPr>
              <w:keepNext w:val="0"/>
              <w:keepLines w:val="0"/>
              <w:pageBreakBefore w:val="0"/>
              <w:shd w:val="clear"/>
              <w:kinsoku/>
              <w:wordWrap/>
              <w:overflowPunct/>
              <w:topLinePunct w:val="0"/>
              <w:autoSpaceDE w:val="0"/>
              <w:autoSpaceDN/>
              <w:bidi w:val="0"/>
              <w:adjustRightInd w:val="0"/>
              <w:snapToGrid w:val="0"/>
              <w:spacing w:line="460" w:lineRule="exact"/>
              <w:jc w:val="center"/>
              <w:textAlignment w:val="baseline"/>
              <w:rPr>
                <w:rFonts w:hint="default" w:hAnsi="宋体" w:cs="宋体"/>
                <w:color w:val="auto"/>
                <w:sz w:val="21"/>
                <w:szCs w:val="21"/>
                <w:highlight w:val="none"/>
                <w:lang w:val="en-US" w:eastAsia="zh-CN"/>
              </w:rPr>
            </w:pPr>
            <w:r>
              <w:rPr>
                <w:rFonts w:hint="eastAsia" w:hAnsi="宋体" w:cs="宋体"/>
                <w:color w:val="auto"/>
                <w:sz w:val="21"/>
                <w:szCs w:val="21"/>
                <w:highlight w:val="none"/>
                <w:lang w:val="en-US" w:eastAsia="zh-CN"/>
              </w:rPr>
              <w:t>4</w:t>
            </w:r>
          </w:p>
        </w:tc>
      </w:tr>
      <w:tr w14:paraId="72D64D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2" w:hRule="atLeast"/>
        </w:trPr>
        <w:tc>
          <w:tcPr>
            <w:tcW w:w="9293" w:type="dxa"/>
            <w:gridSpan w:val="3"/>
            <w:noWrap w:val="0"/>
            <w:vAlign w:val="center"/>
          </w:tcPr>
          <w:p w14:paraId="2EA76761">
            <w:pPr>
              <w:keepNext w:val="0"/>
              <w:keepLines w:val="0"/>
              <w:pageBreakBefore w:val="0"/>
              <w:shd w:val="clear"/>
              <w:kinsoku/>
              <w:wordWrap/>
              <w:overflowPunct/>
              <w:topLinePunct w:val="0"/>
              <w:autoSpaceDE w:val="0"/>
              <w:autoSpaceDN/>
              <w:bidi w:val="0"/>
              <w:adjustRightInd w:val="0"/>
              <w:snapToGrid w:val="0"/>
              <w:spacing w:line="460" w:lineRule="exact"/>
              <w:jc w:val="center"/>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合计</w:t>
            </w:r>
          </w:p>
        </w:tc>
        <w:tc>
          <w:tcPr>
            <w:tcW w:w="657" w:type="dxa"/>
            <w:noWrap w:val="0"/>
            <w:vAlign w:val="center"/>
          </w:tcPr>
          <w:p w14:paraId="33B6BCB8">
            <w:pPr>
              <w:keepNext w:val="0"/>
              <w:keepLines w:val="0"/>
              <w:pageBreakBefore w:val="0"/>
              <w:shd w:val="clear"/>
              <w:kinsoku/>
              <w:wordWrap/>
              <w:overflowPunct/>
              <w:topLinePunct w:val="0"/>
              <w:autoSpaceDE w:val="0"/>
              <w:autoSpaceDN/>
              <w:bidi w:val="0"/>
              <w:adjustRightInd w:val="0"/>
              <w:snapToGrid w:val="0"/>
              <w:spacing w:line="460" w:lineRule="exact"/>
              <w:jc w:val="center"/>
              <w:textAlignment w:val="baseline"/>
              <w:rPr>
                <w:rFonts w:hint="eastAsia" w:ascii="宋体" w:hAnsi="宋体" w:eastAsia="宋体" w:cs="宋体"/>
                <w:color w:val="auto"/>
                <w:sz w:val="21"/>
                <w:szCs w:val="21"/>
                <w:highlight w:val="none"/>
                <w:lang w:val="en-US"/>
              </w:rPr>
            </w:pPr>
            <w:r>
              <w:rPr>
                <w:rFonts w:hint="eastAsia" w:ascii="宋体" w:hAnsi="宋体" w:eastAsia="宋体" w:cs="宋体"/>
                <w:color w:val="auto"/>
                <w:sz w:val="21"/>
                <w:szCs w:val="21"/>
                <w:highlight w:val="none"/>
                <w:lang w:val="en-US" w:eastAsia="zh-CN"/>
              </w:rPr>
              <w:t>85</w:t>
            </w:r>
          </w:p>
        </w:tc>
      </w:tr>
    </w:tbl>
    <w:p w14:paraId="75518AA1">
      <w:pPr>
        <w:shd w:val="clear" w:color="auto"/>
        <w:autoSpaceDE/>
        <w:autoSpaceDN/>
        <w:adjustRightInd/>
        <w:spacing w:line="500" w:lineRule="exact"/>
        <w:ind w:firstLine="422" w:firstLineChars="200"/>
        <w:jc w:val="both"/>
        <w:rPr>
          <w:rFonts w:hint="eastAsia" w:hAnsi="宋体" w:cs="宋体"/>
          <w:b/>
          <w:color w:val="auto"/>
          <w:sz w:val="21"/>
          <w:szCs w:val="21"/>
          <w:highlight w:val="none"/>
        </w:rPr>
      </w:pPr>
      <w:r>
        <w:rPr>
          <w:rFonts w:hint="eastAsia" w:hAnsi="宋体" w:cs="宋体"/>
          <w:b/>
          <w:color w:val="auto"/>
          <w:sz w:val="21"/>
          <w:szCs w:val="21"/>
          <w:highlight w:val="none"/>
        </w:rPr>
        <w:t>（三）技术商务分的计算</w:t>
      </w:r>
    </w:p>
    <w:p w14:paraId="14822453">
      <w:pPr>
        <w:shd w:val="clear" w:color="auto"/>
        <w:autoSpaceDE/>
        <w:autoSpaceDN/>
        <w:adjustRightInd/>
        <w:spacing w:line="500" w:lineRule="exact"/>
        <w:ind w:firstLine="420" w:firstLineChars="200"/>
        <w:jc w:val="both"/>
        <w:rPr>
          <w:rFonts w:hint="eastAsia" w:hAnsi="宋体" w:cs="宋体"/>
          <w:color w:val="auto"/>
          <w:sz w:val="21"/>
          <w:szCs w:val="21"/>
          <w:highlight w:val="none"/>
        </w:rPr>
      </w:pPr>
      <w:r>
        <w:rPr>
          <w:rFonts w:hint="eastAsia" w:hAnsi="宋体" w:cs="宋体"/>
          <w:color w:val="auto"/>
          <w:sz w:val="21"/>
          <w:szCs w:val="21"/>
          <w:highlight w:val="none"/>
        </w:rPr>
        <w:t>技术商务分按照评标委员会成员的独立评分结果汇总数后的算术平均分计算，计算公式为：</w:t>
      </w:r>
    </w:p>
    <w:p w14:paraId="71CEAF27">
      <w:pPr>
        <w:shd w:val="clear" w:color="auto"/>
        <w:autoSpaceDE/>
        <w:autoSpaceDN/>
        <w:adjustRightInd/>
        <w:spacing w:line="500" w:lineRule="exact"/>
        <w:ind w:firstLine="420" w:firstLineChars="200"/>
        <w:jc w:val="both"/>
        <w:rPr>
          <w:rFonts w:hint="eastAsia" w:hAnsi="宋体" w:cs="宋体"/>
          <w:color w:val="auto"/>
          <w:sz w:val="21"/>
          <w:szCs w:val="21"/>
          <w:highlight w:val="none"/>
        </w:rPr>
      </w:pPr>
      <w:r>
        <w:rPr>
          <w:rFonts w:hint="eastAsia" w:hAnsi="宋体" w:cs="宋体"/>
          <w:color w:val="auto"/>
          <w:sz w:val="21"/>
          <w:szCs w:val="21"/>
          <w:highlight w:val="none"/>
        </w:rPr>
        <w:t>技术商务分=（评标委员会所有成员评分合计数）/（评标委员会组成人员数）</w:t>
      </w:r>
    </w:p>
    <w:p w14:paraId="3859C4AB">
      <w:pPr>
        <w:shd w:val="clear" w:color="auto"/>
        <w:autoSpaceDE/>
        <w:autoSpaceDN/>
        <w:adjustRightInd/>
        <w:spacing w:line="500" w:lineRule="exact"/>
        <w:ind w:firstLine="422" w:firstLineChars="200"/>
        <w:jc w:val="both"/>
        <w:rPr>
          <w:rFonts w:hint="eastAsia" w:hAnsi="宋体" w:cs="宋体"/>
          <w:b/>
          <w:color w:val="auto"/>
          <w:sz w:val="21"/>
          <w:szCs w:val="21"/>
          <w:highlight w:val="none"/>
        </w:rPr>
      </w:pPr>
      <w:r>
        <w:rPr>
          <w:rFonts w:hint="eastAsia" w:hAnsi="宋体" w:cs="宋体"/>
          <w:b/>
          <w:color w:val="auto"/>
          <w:sz w:val="21"/>
          <w:szCs w:val="21"/>
          <w:highlight w:val="none"/>
        </w:rPr>
        <w:t>（四）定标原则</w:t>
      </w:r>
    </w:p>
    <w:p w14:paraId="6E0C52C0">
      <w:pPr>
        <w:shd w:val="clear" w:color="auto"/>
        <w:tabs>
          <w:tab w:val="left" w:pos="0"/>
        </w:tabs>
        <w:snapToGrid w:val="0"/>
        <w:spacing w:line="500" w:lineRule="exact"/>
        <w:ind w:firstLine="420" w:firstLineChars="200"/>
        <w:rPr>
          <w:rFonts w:hint="eastAsia" w:hAnsi="宋体" w:cs="宋体"/>
          <w:bCs/>
          <w:color w:val="auto"/>
          <w:sz w:val="21"/>
          <w:szCs w:val="21"/>
          <w:highlight w:val="none"/>
        </w:rPr>
      </w:pPr>
      <w:r>
        <w:rPr>
          <w:rFonts w:hint="eastAsia" w:hAnsi="宋体" w:cs="宋体"/>
          <w:bCs/>
          <w:color w:val="auto"/>
          <w:sz w:val="21"/>
          <w:szCs w:val="21"/>
          <w:highlight w:val="none"/>
        </w:rPr>
        <w:t>1.严格按照招标文件规定“综合评分法，得分最高者中标”的原则定标，法律法规或国家政策另有规定的从其规定。</w:t>
      </w:r>
    </w:p>
    <w:p w14:paraId="013C6254">
      <w:pPr>
        <w:shd w:val="clear" w:color="auto"/>
        <w:tabs>
          <w:tab w:val="left" w:pos="0"/>
        </w:tabs>
        <w:snapToGrid w:val="0"/>
        <w:spacing w:line="500" w:lineRule="exact"/>
        <w:ind w:firstLine="420" w:firstLineChars="200"/>
        <w:rPr>
          <w:rFonts w:hint="eastAsia" w:hAnsi="宋体" w:cs="宋体"/>
          <w:bCs/>
          <w:color w:val="auto"/>
          <w:sz w:val="21"/>
          <w:szCs w:val="21"/>
          <w:highlight w:val="none"/>
        </w:rPr>
      </w:pPr>
      <w:r>
        <w:rPr>
          <w:rFonts w:hint="eastAsia" w:hAnsi="宋体" w:cs="宋体"/>
          <w:bCs/>
          <w:color w:val="auto"/>
          <w:sz w:val="21"/>
          <w:szCs w:val="21"/>
          <w:highlight w:val="none"/>
        </w:rPr>
        <w:t>2.经预中标结果公示期满无异议，中标候选人即成为中标人。</w:t>
      </w:r>
    </w:p>
    <w:p w14:paraId="43BEDBA0">
      <w:pPr>
        <w:shd w:val="clear" w:color="auto"/>
        <w:autoSpaceDE/>
        <w:autoSpaceDN/>
        <w:adjustRightInd/>
        <w:spacing w:line="500" w:lineRule="exact"/>
        <w:ind w:firstLine="422" w:firstLineChars="200"/>
        <w:jc w:val="both"/>
        <w:rPr>
          <w:rFonts w:hint="eastAsia" w:hAnsi="宋体" w:cs="宋体"/>
          <w:b/>
          <w:color w:val="auto"/>
          <w:sz w:val="21"/>
          <w:szCs w:val="21"/>
          <w:highlight w:val="none"/>
        </w:rPr>
      </w:pPr>
      <w:r>
        <w:rPr>
          <w:rFonts w:hint="eastAsia" w:hAnsi="宋体" w:cs="宋体"/>
          <w:b/>
          <w:color w:val="auto"/>
          <w:sz w:val="21"/>
          <w:szCs w:val="21"/>
          <w:highlight w:val="none"/>
        </w:rPr>
        <w:t>（五）保密及其他注意事项</w:t>
      </w:r>
    </w:p>
    <w:p w14:paraId="473D03F5">
      <w:pPr>
        <w:shd w:val="clear" w:color="auto"/>
        <w:autoSpaceDE/>
        <w:autoSpaceDN/>
        <w:adjustRightInd/>
        <w:spacing w:line="500" w:lineRule="exact"/>
        <w:ind w:firstLine="420" w:firstLineChars="200"/>
        <w:jc w:val="both"/>
        <w:rPr>
          <w:rFonts w:hint="eastAsia" w:hAnsi="宋体" w:cs="宋体"/>
          <w:b/>
          <w:color w:val="auto"/>
          <w:sz w:val="21"/>
          <w:szCs w:val="21"/>
          <w:highlight w:val="none"/>
        </w:rPr>
      </w:pPr>
      <w:r>
        <w:rPr>
          <w:rFonts w:hint="eastAsia" w:hAnsi="宋体" w:cs="宋体"/>
          <w:bCs/>
          <w:color w:val="auto"/>
          <w:sz w:val="21"/>
          <w:szCs w:val="21"/>
          <w:highlight w:val="none"/>
        </w:rPr>
        <w:t>1.评标是招标过程中的重要环节，评标工作在评委会成员内独立进行。评标委员会将遵照评标原则，公正、公平、客观地对待所有投标人。</w:t>
      </w:r>
    </w:p>
    <w:p w14:paraId="788ABBBD">
      <w:pPr>
        <w:shd w:val="clear" w:color="auto"/>
        <w:tabs>
          <w:tab w:val="left" w:pos="0"/>
        </w:tabs>
        <w:snapToGrid w:val="0"/>
        <w:spacing w:line="500" w:lineRule="exact"/>
        <w:ind w:firstLine="420" w:firstLineChars="200"/>
        <w:rPr>
          <w:rFonts w:hint="eastAsia" w:hAnsi="宋体" w:cs="宋体"/>
          <w:bCs/>
          <w:color w:val="auto"/>
          <w:sz w:val="21"/>
          <w:szCs w:val="21"/>
          <w:highlight w:val="none"/>
        </w:rPr>
      </w:pPr>
      <w:r>
        <w:rPr>
          <w:rFonts w:hint="eastAsia" w:hAnsi="宋体" w:cs="宋体"/>
          <w:bCs/>
          <w:color w:val="auto"/>
          <w:sz w:val="21"/>
          <w:szCs w:val="21"/>
          <w:highlight w:val="none"/>
        </w:rPr>
        <w:t>2.在开标、评标期间，投标人不得向评委询问评标情况，不得进行旨在影响评标结果的活动。</w:t>
      </w:r>
    </w:p>
    <w:p w14:paraId="66A5DD50">
      <w:pPr>
        <w:shd w:val="clear" w:color="auto"/>
        <w:tabs>
          <w:tab w:val="left" w:pos="0"/>
        </w:tabs>
        <w:snapToGrid w:val="0"/>
        <w:spacing w:line="500" w:lineRule="exact"/>
        <w:ind w:firstLine="420" w:firstLineChars="200"/>
        <w:rPr>
          <w:rFonts w:hint="eastAsia" w:hAnsi="宋体" w:cs="宋体"/>
          <w:bCs/>
          <w:color w:val="auto"/>
          <w:sz w:val="21"/>
          <w:szCs w:val="21"/>
          <w:highlight w:val="none"/>
        </w:rPr>
      </w:pPr>
      <w:r>
        <w:rPr>
          <w:rFonts w:hint="eastAsia" w:hAnsi="宋体" w:cs="宋体"/>
          <w:bCs/>
          <w:color w:val="auto"/>
          <w:sz w:val="21"/>
          <w:szCs w:val="21"/>
          <w:highlight w:val="none"/>
        </w:rPr>
        <w:t>3.为保证定标的公正性，在评标过程中，评委不得与投标人私下交换意见。在招标工作结束后与评标工作有接触的任何人，不得将评标情况外泄。</w:t>
      </w:r>
    </w:p>
    <w:p w14:paraId="171DFE05">
      <w:pPr>
        <w:shd w:val="clear" w:color="auto"/>
        <w:autoSpaceDE/>
        <w:autoSpaceDN/>
        <w:adjustRightInd/>
        <w:jc w:val="center"/>
        <w:outlineLvl w:val="0"/>
        <w:rPr>
          <w:rFonts w:hint="eastAsia" w:hAnsi="宋体" w:cs="宋体"/>
          <w:color w:val="auto"/>
          <w:sz w:val="30"/>
          <w:szCs w:val="30"/>
          <w:highlight w:val="none"/>
        </w:rPr>
      </w:pPr>
      <w:bookmarkStart w:id="70" w:name="_Toc351559945"/>
      <w:r>
        <w:rPr>
          <w:rFonts w:hint="eastAsia" w:hAnsi="宋体" w:cs="宋体"/>
          <w:b/>
          <w:color w:val="auto"/>
          <w:kern w:val="2"/>
          <w:sz w:val="28"/>
          <w:szCs w:val="28"/>
          <w:highlight w:val="none"/>
        </w:rPr>
        <w:br w:type="page"/>
      </w:r>
      <w:bookmarkStart w:id="71" w:name="_Toc29332"/>
      <w:bookmarkStart w:id="72" w:name="_Toc21077"/>
      <w:bookmarkStart w:id="73" w:name="_Toc27767"/>
      <w:bookmarkStart w:id="74" w:name="_Toc24235"/>
      <w:r>
        <w:rPr>
          <w:rFonts w:hint="eastAsia" w:hAnsi="宋体" w:cs="宋体"/>
          <w:b/>
          <w:bCs/>
          <w:color w:val="auto"/>
          <w:sz w:val="30"/>
          <w:szCs w:val="30"/>
          <w:highlight w:val="none"/>
        </w:rPr>
        <w:t>第五章  合同文本</w:t>
      </w:r>
      <w:bookmarkEnd w:id="71"/>
      <w:bookmarkEnd w:id="72"/>
      <w:bookmarkEnd w:id="73"/>
      <w:bookmarkEnd w:id="74"/>
    </w:p>
    <w:p w14:paraId="1A88787E">
      <w:pPr>
        <w:keepNext/>
        <w:shd w:val="clear" w:color="auto"/>
        <w:spacing w:line="440" w:lineRule="exact"/>
        <w:jc w:val="center"/>
        <w:rPr>
          <w:rFonts w:hint="eastAsia" w:hAnsi="宋体" w:cs="宋体"/>
          <w:color w:val="auto"/>
          <w:sz w:val="32"/>
          <w:szCs w:val="32"/>
          <w:highlight w:val="none"/>
        </w:rPr>
      </w:pPr>
      <w:r>
        <w:rPr>
          <w:rFonts w:hint="eastAsia" w:hAnsi="宋体" w:cs="宋体"/>
          <w:b/>
          <w:bCs/>
          <w:color w:val="auto"/>
          <w:sz w:val="28"/>
          <w:szCs w:val="28"/>
          <w:highlight w:val="none"/>
        </w:rPr>
        <w:t>（以甲、乙双方签订的正式合同为准</w:t>
      </w:r>
      <w:r>
        <w:rPr>
          <w:rFonts w:hint="eastAsia" w:hAnsi="宋体" w:cs="宋体"/>
          <w:color w:val="auto"/>
          <w:sz w:val="28"/>
          <w:szCs w:val="28"/>
          <w:highlight w:val="none"/>
        </w:rPr>
        <w:t>）</w:t>
      </w:r>
    </w:p>
    <w:p w14:paraId="3B8FA129">
      <w:pPr>
        <w:keepNext w:val="0"/>
        <w:keepLines w:val="0"/>
        <w:pageBreakBefore w:val="0"/>
        <w:widowControl w:val="0"/>
        <w:shd w:val="clear" w:color="auto"/>
        <w:kinsoku/>
        <w:wordWrap/>
        <w:overflowPunct/>
        <w:topLinePunct w:val="0"/>
        <w:bidi w:val="0"/>
        <w:snapToGrid w:val="0"/>
        <w:spacing w:line="500" w:lineRule="exact"/>
        <w:ind w:firstLine="420" w:firstLineChars="200"/>
        <w:jc w:val="both"/>
        <w:textAlignment w:val="auto"/>
        <w:rPr>
          <w:rStyle w:val="108"/>
          <w:rFonts w:hint="eastAsia" w:ascii="宋体" w:hAnsi="宋体" w:eastAsia="宋体" w:cs="宋体"/>
          <w:color w:val="auto"/>
          <w:sz w:val="21"/>
          <w:szCs w:val="21"/>
          <w:highlight w:val="none"/>
        </w:rPr>
      </w:pPr>
      <w:r>
        <w:rPr>
          <w:rStyle w:val="108"/>
          <w:rFonts w:hint="eastAsia" w:ascii="宋体" w:hAnsi="宋体" w:eastAsia="宋体" w:cs="宋体"/>
          <w:color w:val="auto"/>
          <w:sz w:val="21"/>
          <w:szCs w:val="21"/>
          <w:highlight w:val="none"/>
        </w:rPr>
        <w:t xml:space="preserve">甲方（采购人）：                                                                                            </w:t>
      </w:r>
    </w:p>
    <w:p w14:paraId="02CE435D">
      <w:pPr>
        <w:keepNext w:val="0"/>
        <w:keepLines w:val="0"/>
        <w:pageBreakBefore w:val="0"/>
        <w:widowControl w:val="0"/>
        <w:shd w:val="clear" w:color="auto"/>
        <w:kinsoku/>
        <w:wordWrap/>
        <w:overflowPunct/>
        <w:topLinePunct w:val="0"/>
        <w:bidi w:val="0"/>
        <w:snapToGrid w:val="0"/>
        <w:spacing w:line="500" w:lineRule="exact"/>
        <w:ind w:firstLine="420" w:firstLineChars="200"/>
        <w:jc w:val="both"/>
        <w:textAlignment w:val="auto"/>
        <w:rPr>
          <w:rStyle w:val="108"/>
          <w:rFonts w:hint="eastAsia" w:ascii="宋体" w:hAnsi="宋体" w:eastAsia="宋体" w:cs="宋体"/>
          <w:color w:val="auto"/>
          <w:sz w:val="21"/>
          <w:szCs w:val="21"/>
          <w:highlight w:val="none"/>
        </w:rPr>
      </w:pPr>
      <w:r>
        <w:rPr>
          <w:rStyle w:val="108"/>
          <w:rFonts w:hint="eastAsia" w:ascii="宋体" w:hAnsi="宋体" w:eastAsia="宋体" w:cs="宋体"/>
          <w:color w:val="auto"/>
          <w:sz w:val="21"/>
          <w:szCs w:val="21"/>
          <w:highlight w:val="none"/>
        </w:rPr>
        <w:t xml:space="preserve">乙方（供应商）：                                         </w:t>
      </w:r>
    </w:p>
    <w:p w14:paraId="61ECF6C2">
      <w:pPr>
        <w:keepNext w:val="0"/>
        <w:keepLines w:val="0"/>
        <w:pageBreakBefore w:val="0"/>
        <w:widowControl w:val="0"/>
        <w:shd w:val="clear" w:color="auto"/>
        <w:kinsoku/>
        <w:wordWrap/>
        <w:overflowPunct/>
        <w:topLinePunct w:val="0"/>
        <w:bidi w:val="0"/>
        <w:snapToGrid w:val="0"/>
        <w:spacing w:line="500" w:lineRule="exact"/>
        <w:ind w:firstLine="420" w:firstLineChars="200"/>
        <w:textAlignment w:val="auto"/>
        <w:rPr>
          <w:rStyle w:val="108"/>
          <w:rFonts w:hint="eastAsia" w:ascii="宋体" w:hAnsi="宋体" w:eastAsia="宋体" w:cs="宋体"/>
          <w:color w:val="auto"/>
          <w:sz w:val="21"/>
          <w:szCs w:val="21"/>
          <w:highlight w:val="none"/>
        </w:rPr>
      </w:pPr>
      <w:r>
        <w:rPr>
          <w:rStyle w:val="108"/>
          <w:rFonts w:hint="eastAsia" w:ascii="宋体" w:hAnsi="宋体" w:eastAsia="宋体" w:cs="宋体"/>
          <w:color w:val="auto"/>
          <w:sz w:val="21"/>
          <w:szCs w:val="21"/>
          <w:highlight w:val="none"/>
        </w:rPr>
        <w:t>根据《中华人民共和国政府采购法》、《中华人民共和国民法典》等有关法律法规规定，甲乙双方按照</w:t>
      </w:r>
      <w:r>
        <w:rPr>
          <w:rStyle w:val="108"/>
          <w:rFonts w:hint="eastAsia" w:hAnsi="宋体" w:cs="宋体"/>
          <w:color w:val="auto"/>
          <w:sz w:val="21"/>
          <w:szCs w:val="21"/>
          <w:highlight w:val="none"/>
        </w:rPr>
        <w:t>2025-2026年婺城区农村人居环境长效管理第三方机构评估服务项目</w:t>
      </w:r>
      <w:r>
        <w:rPr>
          <w:rStyle w:val="108"/>
          <w:rFonts w:hint="eastAsia" w:ascii="宋体" w:hAnsi="宋体" w:eastAsia="宋体" w:cs="宋体"/>
          <w:color w:val="auto"/>
          <w:sz w:val="21"/>
          <w:szCs w:val="21"/>
          <w:highlight w:val="none"/>
        </w:rPr>
        <w:t>（项目编号：</w:t>
      </w:r>
      <w:r>
        <w:rPr>
          <w:rStyle w:val="108"/>
          <w:rFonts w:hint="eastAsia" w:hAnsi="宋体" w:cs="宋体"/>
          <w:color w:val="auto"/>
          <w:sz w:val="21"/>
          <w:szCs w:val="21"/>
          <w:highlight w:val="none"/>
          <w:u w:val="single"/>
        </w:rPr>
        <w:t>TY2025-FW038-ZFCG038-1</w:t>
      </w:r>
      <w:r>
        <w:rPr>
          <w:rStyle w:val="108"/>
          <w:rFonts w:hint="eastAsia" w:ascii="宋体" w:hAnsi="宋体" w:eastAsia="宋体" w:cs="宋体"/>
          <w:color w:val="auto"/>
          <w:sz w:val="21"/>
          <w:szCs w:val="21"/>
          <w:highlight w:val="none"/>
        </w:rPr>
        <w:t>）公开招标的采购结果，签订本合同。</w:t>
      </w:r>
    </w:p>
    <w:p w14:paraId="63D71A65">
      <w:pPr>
        <w:keepNext w:val="0"/>
        <w:keepLines w:val="0"/>
        <w:pageBreakBefore w:val="0"/>
        <w:widowControl w:val="0"/>
        <w:shd w:val="clear" w:color="auto"/>
        <w:kinsoku/>
        <w:wordWrap/>
        <w:overflowPunct/>
        <w:topLinePunct w:val="0"/>
        <w:bidi w:val="0"/>
        <w:snapToGrid w:val="0"/>
        <w:spacing w:line="500" w:lineRule="exact"/>
        <w:ind w:firstLine="422" w:firstLineChars="200"/>
        <w:textAlignment w:val="auto"/>
        <w:rPr>
          <w:rStyle w:val="108"/>
          <w:rFonts w:hint="eastAsia" w:ascii="宋体" w:hAnsi="宋体" w:eastAsia="宋体" w:cs="宋体"/>
          <w:b/>
          <w:bCs/>
          <w:color w:val="auto"/>
          <w:sz w:val="21"/>
          <w:szCs w:val="21"/>
          <w:highlight w:val="none"/>
        </w:rPr>
      </w:pPr>
      <w:r>
        <w:rPr>
          <w:rStyle w:val="108"/>
          <w:rFonts w:hint="eastAsia" w:ascii="宋体" w:hAnsi="宋体" w:eastAsia="宋体" w:cs="宋体"/>
          <w:b/>
          <w:bCs/>
          <w:color w:val="auto"/>
          <w:sz w:val="21"/>
          <w:szCs w:val="21"/>
          <w:highlight w:val="none"/>
        </w:rPr>
        <w:t>一、下列文件为本合同不可分割部分：</w:t>
      </w:r>
    </w:p>
    <w:p w14:paraId="5E1C98FA">
      <w:pPr>
        <w:keepNext w:val="0"/>
        <w:keepLines w:val="0"/>
        <w:pageBreakBefore w:val="0"/>
        <w:widowControl w:val="0"/>
        <w:shd w:val="clear" w:color="auto"/>
        <w:kinsoku/>
        <w:wordWrap/>
        <w:overflowPunct/>
        <w:topLinePunct w:val="0"/>
        <w:bidi w:val="0"/>
        <w:snapToGrid w:val="0"/>
        <w:spacing w:line="500" w:lineRule="exact"/>
        <w:ind w:firstLine="420" w:firstLineChars="200"/>
        <w:textAlignment w:val="auto"/>
        <w:rPr>
          <w:rStyle w:val="108"/>
          <w:rFonts w:hint="eastAsia" w:ascii="宋体" w:hAnsi="宋体" w:eastAsia="宋体" w:cs="宋体"/>
          <w:color w:val="auto"/>
          <w:sz w:val="21"/>
          <w:szCs w:val="21"/>
          <w:highlight w:val="none"/>
        </w:rPr>
      </w:pPr>
      <w:r>
        <w:rPr>
          <w:rStyle w:val="108"/>
          <w:rFonts w:hint="eastAsia" w:ascii="宋体" w:hAnsi="宋体" w:eastAsia="宋体" w:cs="宋体"/>
          <w:color w:val="auto"/>
          <w:sz w:val="21"/>
          <w:szCs w:val="21"/>
          <w:highlight w:val="none"/>
        </w:rPr>
        <w:t>1.中标通知书</w:t>
      </w:r>
    </w:p>
    <w:p w14:paraId="0774DAF9">
      <w:pPr>
        <w:keepNext w:val="0"/>
        <w:keepLines w:val="0"/>
        <w:pageBreakBefore w:val="0"/>
        <w:widowControl w:val="0"/>
        <w:shd w:val="clear" w:color="auto"/>
        <w:kinsoku/>
        <w:wordWrap/>
        <w:overflowPunct/>
        <w:topLinePunct w:val="0"/>
        <w:bidi w:val="0"/>
        <w:snapToGrid w:val="0"/>
        <w:spacing w:line="500" w:lineRule="exact"/>
        <w:ind w:firstLine="420" w:firstLineChars="200"/>
        <w:textAlignment w:val="auto"/>
        <w:rPr>
          <w:rStyle w:val="108"/>
          <w:rFonts w:hint="eastAsia" w:ascii="宋体" w:hAnsi="宋体" w:eastAsia="宋体" w:cs="宋体"/>
          <w:color w:val="auto"/>
          <w:sz w:val="21"/>
          <w:szCs w:val="21"/>
          <w:highlight w:val="none"/>
        </w:rPr>
      </w:pPr>
      <w:r>
        <w:rPr>
          <w:rStyle w:val="108"/>
          <w:rFonts w:hint="eastAsia" w:ascii="宋体" w:hAnsi="宋体" w:eastAsia="宋体" w:cs="宋体"/>
          <w:color w:val="auto"/>
          <w:sz w:val="21"/>
          <w:szCs w:val="21"/>
          <w:highlight w:val="none"/>
        </w:rPr>
        <w:t>2.乙方中标的投标文件</w:t>
      </w:r>
    </w:p>
    <w:p w14:paraId="175ACD95">
      <w:pPr>
        <w:keepNext w:val="0"/>
        <w:keepLines w:val="0"/>
        <w:pageBreakBefore w:val="0"/>
        <w:widowControl w:val="0"/>
        <w:shd w:val="clear" w:color="auto"/>
        <w:kinsoku/>
        <w:wordWrap/>
        <w:overflowPunct/>
        <w:topLinePunct w:val="0"/>
        <w:bidi w:val="0"/>
        <w:snapToGrid w:val="0"/>
        <w:spacing w:line="500" w:lineRule="exact"/>
        <w:ind w:firstLine="420" w:firstLineChars="200"/>
        <w:textAlignment w:val="auto"/>
        <w:rPr>
          <w:rStyle w:val="108"/>
          <w:rFonts w:hint="eastAsia" w:ascii="宋体" w:hAnsi="宋体" w:eastAsia="宋体" w:cs="宋体"/>
          <w:color w:val="auto"/>
          <w:sz w:val="21"/>
          <w:szCs w:val="21"/>
          <w:highlight w:val="none"/>
        </w:rPr>
      </w:pPr>
      <w:r>
        <w:rPr>
          <w:rStyle w:val="108"/>
          <w:rFonts w:hint="eastAsia" w:ascii="宋体" w:hAnsi="宋体" w:eastAsia="宋体" w:cs="宋体"/>
          <w:color w:val="auto"/>
          <w:sz w:val="21"/>
          <w:szCs w:val="21"/>
          <w:highlight w:val="none"/>
        </w:rPr>
        <w:t>3.招标文件</w:t>
      </w:r>
    </w:p>
    <w:p w14:paraId="38EBD594">
      <w:pPr>
        <w:keepNext w:val="0"/>
        <w:keepLines w:val="0"/>
        <w:pageBreakBefore w:val="0"/>
        <w:widowControl w:val="0"/>
        <w:shd w:val="clear" w:color="auto"/>
        <w:kinsoku/>
        <w:wordWrap/>
        <w:overflowPunct/>
        <w:topLinePunct w:val="0"/>
        <w:bidi w:val="0"/>
        <w:snapToGrid w:val="0"/>
        <w:spacing w:line="500" w:lineRule="exact"/>
        <w:ind w:firstLine="420" w:firstLineChars="200"/>
        <w:textAlignment w:val="auto"/>
        <w:rPr>
          <w:rStyle w:val="108"/>
          <w:rFonts w:hint="eastAsia" w:ascii="宋体" w:hAnsi="宋体" w:eastAsia="宋体" w:cs="宋体"/>
          <w:color w:val="auto"/>
          <w:sz w:val="21"/>
          <w:szCs w:val="21"/>
          <w:highlight w:val="none"/>
        </w:rPr>
      </w:pPr>
      <w:r>
        <w:rPr>
          <w:rStyle w:val="108"/>
          <w:rFonts w:hint="eastAsia" w:ascii="宋体" w:hAnsi="宋体" w:eastAsia="宋体" w:cs="宋体"/>
          <w:color w:val="auto"/>
          <w:sz w:val="21"/>
          <w:szCs w:val="21"/>
          <w:highlight w:val="none"/>
        </w:rPr>
        <w:t>4.乙方在招投标过程中所作的其它承诺、声明、书面澄清等。</w:t>
      </w:r>
    </w:p>
    <w:p w14:paraId="447985F6">
      <w:pPr>
        <w:keepNext w:val="0"/>
        <w:keepLines w:val="0"/>
        <w:pageBreakBefore w:val="0"/>
        <w:widowControl w:val="0"/>
        <w:shd w:val="clear" w:color="auto"/>
        <w:kinsoku/>
        <w:wordWrap/>
        <w:overflowPunct/>
        <w:topLinePunct w:val="0"/>
        <w:bidi w:val="0"/>
        <w:spacing w:line="500" w:lineRule="exact"/>
        <w:ind w:firstLine="422" w:firstLineChars="200"/>
        <w:jc w:val="both"/>
        <w:textAlignment w:val="auto"/>
        <w:rPr>
          <w:rFonts w:hint="eastAsia" w:ascii="宋体" w:hAnsi="宋体" w:eastAsia="宋体" w:cs="宋体"/>
          <w:b/>
          <w:color w:val="auto"/>
          <w:sz w:val="21"/>
          <w:szCs w:val="21"/>
          <w:highlight w:val="none"/>
        </w:rPr>
      </w:pPr>
      <w:r>
        <w:rPr>
          <w:rFonts w:hint="eastAsia" w:ascii="宋体" w:hAnsi="宋体" w:eastAsia="宋体" w:cs="宋体"/>
          <w:b/>
          <w:bCs/>
          <w:color w:val="auto"/>
          <w:sz w:val="21"/>
          <w:szCs w:val="21"/>
          <w:highlight w:val="none"/>
        </w:rPr>
        <w:t>二、</w:t>
      </w:r>
      <w:r>
        <w:rPr>
          <w:rFonts w:hint="eastAsia" w:ascii="宋体" w:hAnsi="宋体" w:eastAsia="宋体" w:cs="宋体"/>
          <w:b/>
          <w:color w:val="auto"/>
          <w:sz w:val="21"/>
          <w:szCs w:val="21"/>
          <w:highlight w:val="none"/>
        </w:rPr>
        <w:t>合同金额</w:t>
      </w:r>
    </w:p>
    <w:p w14:paraId="32FFEFD1">
      <w:pPr>
        <w:keepNext w:val="0"/>
        <w:keepLines w:val="0"/>
        <w:pageBreakBefore w:val="0"/>
        <w:widowControl w:val="0"/>
        <w:shd w:val="clear" w:color="auto"/>
        <w:kinsoku/>
        <w:wordWrap/>
        <w:overflowPunct/>
        <w:topLinePunct w:val="0"/>
        <w:bidi w:val="0"/>
        <w:snapToGrid w:val="0"/>
        <w:spacing w:line="500" w:lineRule="exact"/>
        <w:ind w:firstLine="420" w:firstLineChars="200"/>
        <w:textAlignment w:val="auto"/>
        <w:rPr>
          <w:rStyle w:val="108"/>
          <w:rFonts w:hint="eastAsia" w:ascii="宋体" w:hAnsi="宋体" w:eastAsia="宋体" w:cs="宋体"/>
          <w:color w:val="auto"/>
          <w:sz w:val="21"/>
          <w:szCs w:val="21"/>
          <w:highlight w:val="none"/>
          <w:u w:val="single"/>
        </w:rPr>
      </w:pPr>
      <w:r>
        <w:rPr>
          <w:rStyle w:val="108"/>
          <w:rFonts w:hint="eastAsia" w:ascii="宋体" w:hAnsi="宋体" w:eastAsia="宋体" w:cs="宋体"/>
          <w:color w:val="auto"/>
          <w:sz w:val="21"/>
          <w:szCs w:val="21"/>
          <w:highlight w:val="none"/>
        </w:rPr>
        <w:t>人民币（大写）</w:t>
      </w:r>
      <w:r>
        <w:rPr>
          <w:rStyle w:val="108"/>
          <w:rFonts w:hint="eastAsia" w:ascii="宋体" w:hAnsi="宋体" w:eastAsia="宋体" w:cs="宋体"/>
          <w:color w:val="auto"/>
          <w:sz w:val="21"/>
          <w:szCs w:val="21"/>
          <w:highlight w:val="none"/>
          <w:u w:val="single"/>
        </w:rPr>
        <w:t xml:space="preserve">            </w:t>
      </w:r>
    </w:p>
    <w:p w14:paraId="359B7EB6">
      <w:pPr>
        <w:keepNext w:val="0"/>
        <w:keepLines w:val="0"/>
        <w:pageBreakBefore w:val="0"/>
        <w:widowControl w:val="0"/>
        <w:shd w:val="clear" w:color="auto"/>
        <w:kinsoku/>
        <w:wordWrap/>
        <w:overflowPunct/>
        <w:topLinePunct w:val="0"/>
        <w:bidi w:val="0"/>
        <w:snapToGrid w:val="0"/>
        <w:spacing w:line="500" w:lineRule="exact"/>
        <w:ind w:firstLine="422" w:firstLineChars="200"/>
        <w:textAlignment w:val="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三、服务内容及要求</w:t>
      </w:r>
    </w:p>
    <w:p w14:paraId="543A983B">
      <w:pPr>
        <w:keepNext w:val="0"/>
        <w:keepLines w:val="0"/>
        <w:pageBreakBefore w:val="0"/>
        <w:widowControl w:val="0"/>
        <w:shd w:val="clear" w:color="auto"/>
        <w:kinsoku/>
        <w:wordWrap/>
        <w:overflowPunct/>
        <w:topLinePunct w:val="0"/>
        <w:bidi w:val="0"/>
        <w:spacing w:line="500" w:lineRule="exact"/>
        <w:ind w:firstLine="422" w:firstLineChars="200"/>
        <w:jc w:val="both"/>
        <w:textAlignment w:val="auto"/>
        <w:rPr>
          <w:rFonts w:hint="eastAsia" w:ascii="宋体" w:hAnsi="宋体" w:eastAsia="宋体" w:cs="宋体"/>
          <w:color w:val="auto"/>
          <w:sz w:val="21"/>
          <w:szCs w:val="21"/>
          <w:highlight w:val="none"/>
          <w:u w:val="single"/>
        </w:rPr>
      </w:pPr>
      <w:r>
        <w:rPr>
          <w:rFonts w:hint="eastAsia" w:ascii="宋体" w:hAnsi="宋体" w:eastAsia="宋体" w:cs="宋体"/>
          <w:b/>
          <w:bCs/>
          <w:color w:val="auto"/>
          <w:sz w:val="21"/>
          <w:szCs w:val="21"/>
          <w:highlight w:val="none"/>
        </w:rPr>
        <w:t>四、</w:t>
      </w:r>
      <w:r>
        <w:rPr>
          <w:rFonts w:hint="eastAsia" w:ascii="宋体" w:hAnsi="宋体" w:eastAsia="宋体" w:cs="宋体"/>
          <w:b/>
          <w:color w:val="auto"/>
          <w:sz w:val="21"/>
          <w:szCs w:val="21"/>
          <w:highlight w:val="none"/>
        </w:rPr>
        <w:t>服务期限：</w:t>
      </w:r>
    </w:p>
    <w:p w14:paraId="0E57FD39">
      <w:pPr>
        <w:keepNext w:val="0"/>
        <w:keepLines w:val="0"/>
        <w:pageBreakBefore w:val="0"/>
        <w:widowControl w:val="0"/>
        <w:shd w:val="clear" w:color="auto"/>
        <w:kinsoku/>
        <w:wordWrap/>
        <w:overflowPunct/>
        <w:topLinePunct w:val="0"/>
        <w:bidi w:val="0"/>
        <w:spacing w:line="500" w:lineRule="exact"/>
        <w:ind w:firstLine="422" w:firstLineChars="200"/>
        <w:jc w:val="both"/>
        <w:textAlignment w:val="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五、转包或分包</w:t>
      </w:r>
    </w:p>
    <w:p w14:paraId="6C64CB0B">
      <w:pPr>
        <w:shd w:val="clear" w:color="auto"/>
        <w:autoSpaceDE/>
        <w:autoSpaceDN/>
        <w:adjustRightInd/>
        <w:spacing w:line="500" w:lineRule="exact"/>
        <w:ind w:firstLine="420" w:firstLineChars="200"/>
        <w:jc w:val="both"/>
        <w:textAlignment w:val="auto"/>
        <w:rPr>
          <w:rFonts w:hint="eastAsia" w:hAnsi="宋体" w:cs="宋体"/>
          <w:color w:val="auto"/>
          <w:sz w:val="21"/>
          <w:szCs w:val="21"/>
          <w:highlight w:val="none"/>
        </w:rPr>
      </w:pPr>
      <w:r>
        <w:rPr>
          <w:rFonts w:hint="eastAsia" w:hAnsi="宋体" w:cs="宋体"/>
          <w:color w:val="auto"/>
          <w:sz w:val="21"/>
          <w:szCs w:val="21"/>
          <w:highlight w:val="none"/>
        </w:rPr>
        <w:t>1.本合同范围的</w:t>
      </w:r>
      <w:r>
        <w:rPr>
          <w:rFonts w:hint="eastAsia" w:hAnsi="宋体" w:cs="宋体"/>
          <w:color w:val="auto"/>
          <w:sz w:val="21"/>
          <w:szCs w:val="21"/>
          <w:highlight w:val="none"/>
          <w:lang w:val="en-US" w:eastAsia="zh-CN"/>
        </w:rPr>
        <w:t>服务</w:t>
      </w:r>
      <w:r>
        <w:rPr>
          <w:rFonts w:hint="eastAsia" w:hAnsi="宋体" w:cs="宋体"/>
          <w:color w:val="auto"/>
          <w:sz w:val="21"/>
          <w:szCs w:val="21"/>
          <w:highlight w:val="none"/>
        </w:rPr>
        <w:t>，应由乙方直接完成，不得转他人提供；</w:t>
      </w:r>
    </w:p>
    <w:p w14:paraId="57793EED">
      <w:pPr>
        <w:shd w:val="clear" w:color="auto"/>
        <w:autoSpaceDE/>
        <w:autoSpaceDN/>
        <w:adjustRightInd/>
        <w:spacing w:line="500" w:lineRule="exact"/>
        <w:ind w:firstLine="420" w:firstLineChars="200"/>
        <w:jc w:val="both"/>
        <w:textAlignment w:val="auto"/>
        <w:rPr>
          <w:rFonts w:hint="eastAsia" w:hAnsi="宋体" w:cs="宋体"/>
          <w:color w:val="auto"/>
          <w:sz w:val="21"/>
          <w:szCs w:val="21"/>
          <w:highlight w:val="none"/>
        </w:rPr>
      </w:pPr>
      <w:r>
        <w:rPr>
          <w:rFonts w:hint="eastAsia" w:hAnsi="宋体" w:cs="宋体"/>
          <w:color w:val="auto"/>
          <w:sz w:val="21"/>
          <w:szCs w:val="21"/>
          <w:highlight w:val="none"/>
        </w:rPr>
        <w:t>2.项目分包（分包时适用）</w:t>
      </w:r>
    </w:p>
    <w:p w14:paraId="40E2FE73">
      <w:pPr>
        <w:shd w:val="clear" w:color="auto"/>
        <w:autoSpaceDE/>
        <w:autoSpaceDN/>
        <w:adjustRightInd/>
        <w:spacing w:line="500" w:lineRule="exact"/>
        <w:ind w:firstLine="420" w:firstLineChars="200"/>
        <w:jc w:val="both"/>
        <w:textAlignment w:val="auto"/>
        <w:rPr>
          <w:rFonts w:hint="eastAsia" w:hAnsi="宋体" w:cs="宋体"/>
          <w:color w:val="auto"/>
          <w:sz w:val="21"/>
          <w:szCs w:val="21"/>
          <w:highlight w:val="none"/>
        </w:rPr>
      </w:pPr>
      <w:r>
        <w:rPr>
          <w:rFonts w:hint="eastAsia" w:hAnsi="宋体" w:cs="宋体"/>
          <w:color w:val="auto"/>
          <w:sz w:val="21"/>
          <w:szCs w:val="21"/>
          <w:highlight w:val="none"/>
        </w:rPr>
        <w:t>（1）甲方同意乙方将           工作分包给（接受分包单位名称）          实施；乙方应严格落实其与（接受分包单位名称）          签订的《分包合同》，不折不扣地按《分包合同》和投标承诺的《分包意向协议》落实本项目专门面向中小企业采购的预留份额，否则，视同违约；</w:t>
      </w:r>
    </w:p>
    <w:p w14:paraId="5F05B1A8">
      <w:pPr>
        <w:shd w:val="clear" w:color="auto"/>
        <w:autoSpaceDE/>
        <w:autoSpaceDN/>
        <w:adjustRightInd/>
        <w:spacing w:line="500" w:lineRule="exact"/>
        <w:ind w:firstLine="420" w:firstLineChars="200"/>
        <w:jc w:val="both"/>
        <w:textAlignment w:val="auto"/>
        <w:rPr>
          <w:rFonts w:hint="eastAsia" w:hAnsi="宋体" w:cs="宋体"/>
          <w:color w:val="auto"/>
          <w:sz w:val="21"/>
          <w:szCs w:val="21"/>
          <w:highlight w:val="none"/>
        </w:rPr>
      </w:pPr>
      <w:r>
        <w:rPr>
          <w:rFonts w:hint="eastAsia" w:hAnsi="宋体" w:cs="宋体"/>
          <w:color w:val="auto"/>
          <w:sz w:val="21"/>
          <w:szCs w:val="21"/>
          <w:highlight w:val="none"/>
        </w:rPr>
        <w:t>（2）乙方就本采购项目和分包项目向甲方负责，接受分包的供应商就其分包项目承担责任；</w:t>
      </w:r>
    </w:p>
    <w:p w14:paraId="5431673F">
      <w:pPr>
        <w:shd w:val="clear" w:color="auto"/>
        <w:spacing w:line="500" w:lineRule="exact"/>
        <w:ind w:firstLine="420" w:firstLineChars="200"/>
        <w:jc w:val="both"/>
        <w:textAlignment w:val="baseline"/>
        <w:rPr>
          <w:rFonts w:hint="eastAsia" w:hAnsi="宋体"/>
          <w:color w:val="auto"/>
          <w:sz w:val="21"/>
          <w:szCs w:val="21"/>
          <w:highlight w:val="none"/>
        </w:rPr>
      </w:pPr>
      <w:r>
        <w:rPr>
          <w:rFonts w:hint="eastAsia" w:hAnsi="宋体" w:cs="宋体"/>
          <w:color w:val="auto"/>
          <w:sz w:val="21"/>
          <w:szCs w:val="21"/>
          <w:highlight w:val="none"/>
        </w:rPr>
        <w:t>（3）投标时承诺的《分包意向协议》及中标后签订的《分包合同》为本合同不可分割部分。</w:t>
      </w:r>
    </w:p>
    <w:p w14:paraId="05AB71EC">
      <w:pPr>
        <w:keepNext w:val="0"/>
        <w:keepLines w:val="0"/>
        <w:pageBreakBefore w:val="0"/>
        <w:widowControl w:val="0"/>
        <w:shd w:val="clear" w:color="auto"/>
        <w:kinsoku/>
        <w:wordWrap/>
        <w:overflowPunct/>
        <w:topLinePunct w:val="0"/>
        <w:bidi w:val="0"/>
        <w:spacing w:line="500" w:lineRule="exact"/>
        <w:ind w:firstLine="422" w:firstLineChars="200"/>
        <w:jc w:val="both"/>
        <w:textAlignment w:val="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六、合同履行方式及履行地点</w:t>
      </w:r>
    </w:p>
    <w:p w14:paraId="7E5BCE65">
      <w:pPr>
        <w:keepNext w:val="0"/>
        <w:keepLines w:val="0"/>
        <w:pageBreakBefore w:val="0"/>
        <w:widowControl w:val="0"/>
        <w:shd w:val="clear" w:color="auto"/>
        <w:kinsoku/>
        <w:wordWrap/>
        <w:overflowPunct/>
        <w:topLinePunct w:val="0"/>
        <w:bidi w:val="0"/>
        <w:spacing w:line="500" w:lineRule="exact"/>
        <w:ind w:firstLine="420" w:firstLineChars="200"/>
        <w:jc w:val="both"/>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1.履行方式：</w:t>
      </w:r>
      <w:r>
        <w:rPr>
          <w:rFonts w:hint="eastAsia" w:ascii="宋体" w:hAnsi="宋体" w:eastAsia="宋体" w:cs="宋体"/>
          <w:color w:val="auto"/>
          <w:sz w:val="21"/>
          <w:szCs w:val="21"/>
          <w:highlight w:val="none"/>
          <w:u w:val="single"/>
        </w:rPr>
        <w:t>由乙方完成项目所属所有服务</w:t>
      </w:r>
      <w:r>
        <w:rPr>
          <w:rFonts w:hint="eastAsia" w:ascii="宋体" w:hAnsi="宋体" w:eastAsia="宋体" w:cs="宋体"/>
          <w:color w:val="auto"/>
          <w:sz w:val="21"/>
          <w:szCs w:val="21"/>
          <w:highlight w:val="none"/>
        </w:rPr>
        <w:t>。</w:t>
      </w:r>
    </w:p>
    <w:p w14:paraId="62C51EC2">
      <w:pPr>
        <w:keepNext w:val="0"/>
        <w:keepLines w:val="0"/>
        <w:pageBreakBefore w:val="0"/>
        <w:widowControl w:val="0"/>
        <w:shd w:val="clear" w:color="auto"/>
        <w:kinsoku/>
        <w:wordWrap/>
        <w:overflowPunct/>
        <w:topLinePunct w:val="0"/>
        <w:bidi w:val="0"/>
        <w:spacing w:line="500" w:lineRule="exact"/>
        <w:ind w:firstLine="420" w:firstLineChars="200"/>
        <w:jc w:val="both"/>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2.履行地点：</w:t>
      </w:r>
      <w:r>
        <w:rPr>
          <w:rFonts w:hint="eastAsia" w:ascii="宋体" w:hAnsi="宋体" w:eastAsia="宋体" w:cs="宋体"/>
          <w:color w:val="auto"/>
          <w:sz w:val="21"/>
          <w:szCs w:val="21"/>
          <w:highlight w:val="none"/>
          <w:u w:val="single"/>
        </w:rPr>
        <w:t xml:space="preserve">金华市 </w:t>
      </w:r>
      <w:r>
        <w:rPr>
          <w:rFonts w:hint="eastAsia" w:ascii="宋体" w:hAnsi="宋体" w:eastAsia="宋体" w:cs="宋体"/>
          <w:color w:val="auto"/>
          <w:sz w:val="21"/>
          <w:szCs w:val="21"/>
          <w:highlight w:val="none"/>
        </w:rPr>
        <w:t>。</w:t>
      </w:r>
    </w:p>
    <w:p w14:paraId="1B89EA18">
      <w:pPr>
        <w:keepNext w:val="0"/>
        <w:keepLines w:val="0"/>
        <w:pageBreakBefore w:val="0"/>
        <w:widowControl w:val="0"/>
        <w:shd w:val="clear" w:color="auto"/>
        <w:kinsoku/>
        <w:wordWrap/>
        <w:overflowPunct/>
        <w:topLinePunct w:val="0"/>
        <w:bidi w:val="0"/>
        <w:spacing w:line="500" w:lineRule="exact"/>
        <w:ind w:firstLine="422" w:firstLineChars="200"/>
        <w:jc w:val="both"/>
        <w:textAlignment w:val="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七、项目结算依据及付款方式</w:t>
      </w:r>
    </w:p>
    <w:p w14:paraId="51BCA1D8">
      <w:pPr>
        <w:shd w:val="clear" w:color="auto"/>
        <w:spacing w:line="5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w:t>
      </w:r>
      <w:r>
        <w:rPr>
          <w:rFonts w:hint="default" w:hAnsi="宋体" w:cs="宋体"/>
          <w:color w:val="auto"/>
          <w:sz w:val="21"/>
          <w:szCs w:val="21"/>
          <w:highlight w:val="none"/>
        </w:rPr>
        <w:t>320元</w:t>
      </w:r>
      <w:r>
        <w:rPr>
          <w:rFonts w:hint="eastAsia" w:hAnsi="宋体" w:cs="宋体"/>
          <w:color w:val="auto"/>
          <w:sz w:val="21"/>
          <w:szCs w:val="21"/>
          <w:highlight w:val="none"/>
          <w:lang w:eastAsia="zh-CN"/>
        </w:rPr>
        <w:t>/行政村次</w:t>
      </w:r>
      <w:r>
        <w:rPr>
          <w:rFonts w:hint="default" w:hAnsi="宋体" w:cs="宋体"/>
          <w:color w:val="auto"/>
          <w:sz w:val="21"/>
          <w:szCs w:val="21"/>
          <w:highlight w:val="none"/>
        </w:rPr>
        <w:t>，平台维护费4.5万元/年。</w:t>
      </w:r>
      <w:r>
        <w:rPr>
          <w:rFonts w:hint="eastAsia" w:ascii="宋体" w:hAnsi="Times New Roman" w:eastAsia="宋体" w:cs="Times New Roman"/>
          <w:color w:val="auto"/>
          <w:sz w:val="21"/>
          <w:szCs w:val="21"/>
          <w:highlight w:val="none"/>
          <w:lang w:val="en-US" w:eastAsia="zh-CN"/>
        </w:rPr>
        <w:t>合同签订生效以及具备实施条件后</w:t>
      </w:r>
      <w:r>
        <w:rPr>
          <w:rFonts w:hint="eastAsia" w:cs="Times New Roman"/>
          <w:color w:val="auto"/>
          <w:sz w:val="21"/>
          <w:szCs w:val="21"/>
          <w:highlight w:val="none"/>
          <w:lang w:val="en-US" w:eastAsia="zh-CN"/>
        </w:rPr>
        <w:t>1个月</w:t>
      </w:r>
      <w:r>
        <w:rPr>
          <w:rFonts w:hint="eastAsia" w:ascii="宋体" w:hAnsi="Times New Roman" w:eastAsia="宋体" w:cs="Times New Roman"/>
          <w:color w:val="auto"/>
          <w:sz w:val="21"/>
          <w:szCs w:val="21"/>
          <w:highlight w:val="none"/>
          <w:lang w:val="en-US" w:eastAsia="zh-CN"/>
        </w:rPr>
        <w:t>内，采购人向供应商支付合同金额的30%预付款，202</w:t>
      </w:r>
      <w:r>
        <w:rPr>
          <w:rFonts w:hint="default" w:cs="Times New Roman"/>
          <w:color w:val="auto"/>
          <w:sz w:val="21"/>
          <w:szCs w:val="21"/>
          <w:highlight w:val="none"/>
          <w:lang w:eastAsia="zh-CN"/>
        </w:rPr>
        <w:t>5</w:t>
      </w:r>
      <w:r>
        <w:rPr>
          <w:rFonts w:hint="eastAsia" w:ascii="宋体" w:hAnsi="Times New Roman" w:eastAsia="宋体" w:cs="Times New Roman"/>
          <w:color w:val="auto"/>
          <w:sz w:val="21"/>
          <w:szCs w:val="21"/>
          <w:highlight w:val="none"/>
          <w:lang w:val="en-US" w:eastAsia="zh-CN"/>
        </w:rPr>
        <w:t>年1</w:t>
      </w:r>
      <w:r>
        <w:rPr>
          <w:rFonts w:hint="default" w:cs="Times New Roman"/>
          <w:color w:val="auto"/>
          <w:sz w:val="21"/>
          <w:szCs w:val="21"/>
          <w:highlight w:val="none"/>
          <w:lang w:eastAsia="zh-CN"/>
        </w:rPr>
        <w:t>1</w:t>
      </w:r>
      <w:r>
        <w:rPr>
          <w:rFonts w:hint="eastAsia" w:ascii="宋体" w:hAnsi="Times New Roman" w:eastAsia="宋体" w:cs="Times New Roman"/>
          <w:color w:val="auto"/>
          <w:sz w:val="21"/>
          <w:szCs w:val="21"/>
          <w:highlight w:val="none"/>
        </w:rPr>
        <w:t>月份支付</w:t>
      </w:r>
      <w:r>
        <w:rPr>
          <w:rFonts w:hint="default" w:cs="Times New Roman"/>
          <w:color w:val="auto"/>
          <w:sz w:val="21"/>
          <w:szCs w:val="21"/>
          <w:highlight w:val="none"/>
        </w:rPr>
        <w:t>合同金额的20%</w:t>
      </w:r>
      <w:r>
        <w:rPr>
          <w:rFonts w:hint="eastAsia" w:ascii="宋体" w:hAnsi="Times New Roman" w:eastAsia="宋体" w:cs="Times New Roman"/>
          <w:color w:val="auto"/>
          <w:sz w:val="21"/>
          <w:szCs w:val="21"/>
          <w:highlight w:val="none"/>
        </w:rPr>
        <w:t>，</w:t>
      </w:r>
      <w:r>
        <w:rPr>
          <w:rFonts w:hint="default" w:cs="Times New Roman"/>
          <w:color w:val="auto"/>
          <w:sz w:val="21"/>
          <w:szCs w:val="21"/>
          <w:highlight w:val="none"/>
        </w:rPr>
        <w:t>2026年7月份支付合同金额的20%，</w:t>
      </w:r>
      <w:r>
        <w:rPr>
          <w:rFonts w:hint="eastAsia" w:cs="Times New Roman"/>
          <w:color w:val="auto"/>
          <w:sz w:val="21"/>
          <w:szCs w:val="21"/>
          <w:highlight w:val="none"/>
          <w:lang w:eastAsia="zh-CN"/>
        </w:rPr>
        <w:t>评估</w:t>
      </w:r>
      <w:r>
        <w:rPr>
          <w:rFonts w:hint="eastAsia" w:ascii="宋体" w:hAnsi="Times New Roman" w:eastAsia="宋体" w:cs="Times New Roman"/>
          <w:color w:val="auto"/>
          <w:sz w:val="21"/>
          <w:szCs w:val="21"/>
          <w:highlight w:val="none"/>
        </w:rPr>
        <w:t>服务全部完成后提供</w:t>
      </w:r>
      <w:r>
        <w:rPr>
          <w:rFonts w:hint="eastAsia" w:cs="Times New Roman"/>
          <w:color w:val="auto"/>
          <w:sz w:val="21"/>
          <w:szCs w:val="21"/>
          <w:highlight w:val="none"/>
          <w:lang w:eastAsia="zh-CN"/>
        </w:rPr>
        <w:t>评估</w:t>
      </w:r>
      <w:r>
        <w:rPr>
          <w:rFonts w:hint="eastAsia" w:ascii="宋体" w:hAnsi="Times New Roman" w:eastAsia="宋体" w:cs="Times New Roman"/>
          <w:color w:val="auto"/>
          <w:sz w:val="21"/>
          <w:szCs w:val="21"/>
          <w:highlight w:val="none"/>
        </w:rPr>
        <w:t>完成情况书面报告，经甲方考核确认后支付</w:t>
      </w:r>
      <w:r>
        <w:rPr>
          <w:rFonts w:hint="eastAsia" w:ascii="宋体" w:hAnsi="Times New Roman" w:eastAsia="宋体" w:cs="Times New Roman"/>
          <w:color w:val="auto"/>
          <w:sz w:val="21"/>
          <w:szCs w:val="21"/>
          <w:highlight w:val="none"/>
          <w:lang w:val="en-US" w:eastAsia="zh-CN"/>
        </w:rPr>
        <w:t>剩余</w:t>
      </w:r>
      <w:r>
        <w:rPr>
          <w:rFonts w:hint="eastAsia" w:cs="Times New Roman"/>
          <w:color w:val="auto"/>
          <w:sz w:val="21"/>
          <w:szCs w:val="21"/>
          <w:highlight w:val="none"/>
          <w:lang w:eastAsia="zh-CN"/>
        </w:rPr>
        <w:t>评估</w:t>
      </w:r>
      <w:r>
        <w:rPr>
          <w:rFonts w:hint="eastAsia" w:ascii="宋体" w:hAnsi="Times New Roman" w:eastAsia="宋体" w:cs="Times New Roman"/>
          <w:color w:val="auto"/>
          <w:sz w:val="21"/>
          <w:szCs w:val="21"/>
          <w:highlight w:val="none"/>
        </w:rPr>
        <w:t>费用</w:t>
      </w:r>
      <w:r>
        <w:rPr>
          <w:rFonts w:hint="default" w:cs="Times New Roman"/>
          <w:color w:val="auto"/>
          <w:sz w:val="21"/>
          <w:szCs w:val="21"/>
          <w:highlight w:val="none"/>
        </w:rPr>
        <w:t>（30%）</w:t>
      </w:r>
      <w:r>
        <w:rPr>
          <w:rFonts w:hint="eastAsia" w:ascii="宋体" w:hAnsi="Times New Roman" w:eastAsia="宋体" w:cs="Times New Roman"/>
          <w:color w:val="auto"/>
          <w:sz w:val="21"/>
          <w:szCs w:val="21"/>
          <w:highlight w:val="none"/>
        </w:rPr>
        <w:t>。</w:t>
      </w:r>
      <w:r>
        <w:rPr>
          <w:rFonts w:hint="eastAsia" w:hAnsi="宋体" w:cs="宋体"/>
          <w:color w:val="auto"/>
          <w:sz w:val="21"/>
          <w:szCs w:val="21"/>
          <w:highlight w:val="none"/>
        </w:rPr>
        <w:t>本项的资金支付按本招标文件付款方式执行并在合同中进行约定。</w:t>
      </w:r>
      <w:r>
        <w:rPr>
          <w:rFonts w:hint="default" w:hAnsi="宋体" w:cs="宋体"/>
          <w:color w:val="auto"/>
          <w:sz w:val="21"/>
          <w:szCs w:val="21"/>
          <w:highlight w:val="none"/>
        </w:rPr>
        <w:t>如遇财政年初预算支付问题则相应付款延迟。</w:t>
      </w:r>
    </w:p>
    <w:p w14:paraId="78EDBBDF">
      <w:pPr>
        <w:keepNext w:val="0"/>
        <w:keepLines w:val="0"/>
        <w:pageBreakBefore w:val="0"/>
        <w:widowControl w:val="0"/>
        <w:shd w:val="clear" w:color="auto"/>
        <w:kinsoku/>
        <w:wordWrap/>
        <w:overflowPunct/>
        <w:topLinePunct w:val="0"/>
        <w:bidi w:val="0"/>
        <w:adjustRightInd/>
        <w:spacing w:line="500" w:lineRule="exact"/>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2.乙方在结算合同价款时需提供正式的税务发票。</w:t>
      </w:r>
      <w:r>
        <w:rPr>
          <w:rFonts w:hint="eastAsia" w:ascii="宋体" w:hAnsi="宋体" w:eastAsia="宋体" w:cs="宋体"/>
          <w:color w:val="auto"/>
          <w:sz w:val="21"/>
          <w:szCs w:val="21"/>
          <w:highlight w:val="none"/>
        </w:rPr>
        <w:tab/>
      </w:r>
    </w:p>
    <w:p w14:paraId="33DF9670">
      <w:pPr>
        <w:keepNext w:val="0"/>
        <w:keepLines w:val="0"/>
        <w:pageBreakBefore w:val="0"/>
        <w:widowControl w:val="0"/>
        <w:shd w:val="clear" w:color="auto"/>
        <w:kinsoku/>
        <w:wordWrap/>
        <w:overflowPunct/>
        <w:topLinePunct w:val="0"/>
        <w:bidi w:val="0"/>
        <w:spacing w:line="500" w:lineRule="exact"/>
        <w:ind w:firstLine="422" w:firstLineChars="200"/>
        <w:jc w:val="both"/>
        <w:textAlignment w:val="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八、税费</w:t>
      </w:r>
    </w:p>
    <w:p w14:paraId="6837E9C5">
      <w:pPr>
        <w:keepNext w:val="0"/>
        <w:keepLines w:val="0"/>
        <w:pageBreakBefore w:val="0"/>
        <w:widowControl w:val="0"/>
        <w:shd w:val="clear" w:color="auto"/>
        <w:kinsoku/>
        <w:wordWrap/>
        <w:overflowPunct/>
        <w:topLinePunct w:val="0"/>
        <w:bidi w:val="0"/>
        <w:spacing w:line="500" w:lineRule="exact"/>
        <w:ind w:firstLine="420" w:firstLineChars="200"/>
        <w:jc w:val="both"/>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本合同执行中相关的一切税费均由乙方负担。</w:t>
      </w:r>
    </w:p>
    <w:p w14:paraId="785B43FA">
      <w:pPr>
        <w:keepNext w:val="0"/>
        <w:keepLines w:val="0"/>
        <w:pageBreakBefore w:val="0"/>
        <w:widowControl w:val="0"/>
        <w:shd w:val="clear" w:color="auto"/>
        <w:kinsoku/>
        <w:wordWrap/>
        <w:overflowPunct/>
        <w:topLinePunct w:val="0"/>
        <w:bidi w:val="0"/>
        <w:spacing w:line="500" w:lineRule="exact"/>
        <w:ind w:firstLine="422" w:firstLineChars="200"/>
        <w:jc w:val="both"/>
        <w:textAlignment w:val="auto"/>
        <w:rPr>
          <w:rFonts w:hint="eastAsia" w:ascii="宋体" w:hAnsi="宋体" w:eastAsia="宋体" w:cs="宋体"/>
          <w:color w:val="auto"/>
          <w:sz w:val="21"/>
          <w:szCs w:val="21"/>
          <w:highlight w:val="none"/>
        </w:rPr>
      </w:pPr>
      <w:r>
        <w:rPr>
          <w:rFonts w:hint="eastAsia" w:ascii="宋体" w:hAnsi="宋体" w:eastAsia="宋体" w:cs="宋体"/>
          <w:b/>
          <w:color w:val="auto"/>
          <w:sz w:val="21"/>
          <w:szCs w:val="21"/>
          <w:highlight w:val="none"/>
        </w:rPr>
        <w:t>九、质量保证及后续服务</w:t>
      </w:r>
    </w:p>
    <w:p w14:paraId="103D2E21">
      <w:pPr>
        <w:keepNext w:val="0"/>
        <w:keepLines w:val="0"/>
        <w:pageBreakBefore w:val="0"/>
        <w:widowControl w:val="0"/>
        <w:shd w:val="clear" w:color="auto"/>
        <w:kinsoku/>
        <w:wordWrap/>
        <w:overflowPunct/>
        <w:topLinePunct w:val="0"/>
        <w:bidi w:val="0"/>
        <w:spacing w:line="500" w:lineRule="exact"/>
        <w:ind w:firstLine="420" w:firstLineChars="200"/>
        <w:jc w:val="both"/>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1.乙方应按</w:t>
      </w:r>
      <w:r>
        <w:rPr>
          <w:rFonts w:hint="eastAsia" w:ascii="宋体" w:hAnsi="宋体" w:eastAsia="宋体" w:cs="宋体"/>
          <w:bCs/>
          <w:color w:val="auto"/>
          <w:sz w:val="21"/>
          <w:szCs w:val="21"/>
          <w:highlight w:val="none"/>
        </w:rPr>
        <w:t>招标文</w:t>
      </w:r>
      <w:r>
        <w:rPr>
          <w:rFonts w:hint="eastAsia" w:ascii="宋体" w:hAnsi="宋体" w:eastAsia="宋体" w:cs="宋体"/>
          <w:color w:val="auto"/>
          <w:sz w:val="21"/>
          <w:szCs w:val="21"/>
          <w:highlight w:val="none"/>
        </w:rPr>
        <w:t>件规定向甲方提供服务。</w:t>
      </w:r>
    </w:p>
    <w:p w14:paraId="7319A0D3">
      <w:pPr>
        <w:keepNext w:val="0"/>
        <w:keepLines w:val="0"/>
        <w:pageBreakBefore w:val="0"/>
        <w:widowControl w:val="0"/>
        <w:shd w:val="clear" w:color="auto"/>
        <w:kinsoku/>
        <w:wordWrap/>
        <w:overflowPunct/>
        <w:topLinePunct w:val="0"/>
        <w:bidi w:val="0"/>
        <w:spacing w:line="500" w:lineRule="exact"/>
        <w:ind w:firstLine="420" w:firstLineChars="200"/>
        <w:jc w:val="both"/>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2.在履约保证期内，乙方应对出现的质量及安全问题负责处理解决并承担一切费用。</w:t>
      </w:r>
    </w:p>
    <w:p w14:paraId="4FA20C8B">
      <w:pPr>
        <w:keepNext w:val="0"/>
        <w:keepLines w:val="0"/>
        <w:pageBreakBefore w:val="0"/>
        <w:widowControl w:val="0"/>
        <w:shd w:val="clear" w:color="auto"/>
        <w:kinsoku/>
        <w:wordWrap/>
        <w:overflowPunct/>
        <w:topLinePunct w:val="0"/>
        <w:bidi w:val="0"/>
        <w:spacing w:line="500" w:lineRule="exact"/>
        <w:ind w:firstLine="422" w:firstLineChars="200"/>
        <w:jc w:val="both"/>
        <w:textAlignment w:val="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十、违约责任</w:t>
      </w:r>
    </w:p>
    <w:p w14:paraId="37933108">
      <w:pPr>
        <w:pStyle w:val="46"/>
        <w:keepNext w:val="0"/>
        <w:keepLines w:val="0"/>
        <w:pageBreakBefore w:val="0"/>
        <w:widowControl w:val="0"/>
        <w:shd w:val="clear" w:color="auto"/>
        <w:kinsoku/>
        <w:wordWrap/>
        <w:overflowPunct/>
        <w:topLinePunct w:val="0"/>
        <w:bidi w:val="0"/>
        <w:adjustRightInd w:val="0"/>
        <w:spacing w:after="0" w:line="500" w:lineRule="exact"/>
        <w:ind w:left="0" w:leftChars="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乙方未能如期提供服务的，每日向甲方支付合同款项的百分之一作为违约金。乙方有合理原因可书面向甲方说明理由，经双方商议达成一致并形成书面文件（会议纪要或确认书）后，乙方必须在甲方书面确定的时间内按要求提交成果，否则仍要承担逾期责任。逾期达10天的，则视为乙方无法提供服务，甲方有权解除合同。</w:t>
      </w:r>
    </w:p>
    <w:p w14:paraId="57EF98C1">
      <w:pPr>
        <w:pStyle w:val="46"/>
        <w:keepNext w:val="0"/>
        <w:keepLines w:val="0"/>
        <w:pageBreakBefore w:val="0"/>
        <w:widowControl w:val="0"/>
        <w:shd w:val="clear" w:color="auto"/>
        <w:kinsoku/>
        <w:wordWrap/>
        <w:overflowPunct/>
        <w:topLinePunct w:val="0"/>
        <w:bidi w:val="0"/>
        <w:adjustRightInd w:val="0"/>
        <w:spacing w:after="0" w:line="500" w:lineRule="exact"/>
        <w:ind w:left="0" w:leftChars="0" w:firstLineChars="200"/>
        <w:textAlignment w:val="auto"/>
        <w:rPr>
          <w:rFonts w:hint="eastAsia" w:ascii="宋体" w:hAnsi="宋体" w:eastAsia="宋体" w:cs="宋体"/>
          <w:color w:val="auto"/>
          <w:sz w:val="21"/>
          <w:szCs w:val="21"/>
          <w:highlight w:val="none"/>
        </w:rPr>
      </w:pPr>
      <w:r>
        <w:rPr>
          <w:rFonts w:hint="default" w:ascii="宋体" w:hAnsi="宋体" w:cs="宋体"/>
          <w:color w:val="auto"/>
          <w:sz w:val="21"/>
          <w:szCs w:val="21"/>
          <w:highlight w:val="none"/>
        </w:rPr>
        <w:t>2</w:t>
      </w:r>
      <w:r>
        <w:rPr>
          <w:rFonts w:hint="eastAsia" w:ascii="宋体" w:hAnsi="宋体" w:eastAsia="宋体" w:cs="宋体"/>
          <w:color w:val="auto"/>
          <w:sz w:val="21"/>
          <w:szCs w:val="21"/>
          <w:highlight w:val="none"/>
        </w:rPr>
        <w:t>.若乙方未按照合同规定的要求提供服务，乙方应按甲方要求无条件提供服务至符合合同要求，期间所发生的全部费用由乙方承担且不延长合同约定的时间；更换后仍不符合合同要求的，甲方有权解除合同。</w:t>
      </w:r>
    </w:p>
    <w:p w14:paraId="1661341E">
      <w:pPr>
        <w:pStyle w:val="46"/>
        <w:keepNext w:val="0"/>
        <w:keepLines w:val="0"/>
        <w:pageBreakBefore w:val="0"/>
        <w:widowControl w:val="0"/>
        <w:shd w:val="clear" w:color="auto"/>
        <w:kinsoku/>
        <w:wordWrap/>
        <w:overflowPunct/>
        <w:topLinePunct w:val="0"/>
        <w:bidi w:val="0"/>
        <w:adjustRightInd w:val="0"/>
        <w:spacing w:after="0" w:line="500" w:lineRule="exact"/>
        <w:ind w:left="0" w:leftChars="0" w:firstLineChars="200"/>
        <w:textAlignment w:val="auto"/>
        <w:rPr>
          <w:rFonts w:hint="eastAsia" w:ascii="宋体" w:hAnsi="宋体" w:eastAsia="宋体" w:cs="宋体"/>
          <w:color w:val="auto"/>
          <w:sz w:val="21"/>
          <w:szCs w:val="21"/>
          <w:highlight w:val="none"/>
        </w:rPr>
      </w:pPr>
      <w:r>
        <w:rPr>
          <w:rFonts w:hint="default" w:ascii="宋体" w:hAnsi="宋体" w:cs="宋体"/>
          <w:color w:val="auto"/>
          <w:sz w:val="21"/>
          <w:szCs w:val="21"/>
          <w:highlight w:val="none"/>
        </w:rPr>
        <w:t>3</w:t>
      </w:r>
      <w:r>
        <w:rPr>
          <w:rFonts w:hint="eastAsia" w:ascii="宋体" w:hAnsi="宋体" w:eastAsia="宋体" w:cs="宋体"/>
          <w:color w:val="auto"/>
          <w:sz w:val="21"/>
          <w:szCs w:val="21"/>
          <w:highlight w:val="none"/>
        </w:rPr>
        <w:t>.因乙方违约行为导致甲方解除合同的，甲方有权没收履约保证金，要求乙方支付合同款项百分之三十的违约金，并补偿甲方由此造成的损失。甲方的损失包括直接经济损失及可预见的间接经济损失。如甲方为此支出的诉讼费、保全费、律师费用、差旅费用、执行费等费用及其他可预见的间接经济损失。</w:t>
      </w:r>
    </w:p>
    <w:p w14:paraId="0191B03D">
      <w:pPr>
        <w:pStyle w:val="46"/>
        <w:keepNext w:val="0"/>
        <w:keepLines w:val="0"/>
        <w:pageBreakBefore w:val="0"/>
        <w:widowControl w:val="0"/>
        <w:shd w:val="clear" w:color="auto"/>
        <w:kinsoku/>
        <w:wordWrap/>
        <w:overflowPunct/>
        <w:topLinePunct w:val="0"/>
        <w:bidi w:val="0"/>
        <w:adjustRightInd w:val="0"/>
        <w:spacing w:after="0" w:line="500" w:lineRule="exact"/>
        <w:ind w:left="0" w:leftChars="0" w:firstLine="420" w:firstLineChars="200"/>
        <w:textAlignment w:val="auto"/>
        <w:rPr>
          <w:rFonts w:hint="eastAsia" w:ascii="宋体" w:hAnsi="宋体" w:eastAsia="宋体" w:cs="宋体"/>
          <w:b/>
          <w:color w:val="auto"/>
          <w:kern w:val="0"/>
          <w:sz w:val="21"/>
          <w:szCs w:val="21"/>
          <w:highlight w:val="none"/>
          <w:lang w:val="en-US" w:eastAsia="zh-CN" w:bidi="ar-SA"/>
        </w:rPr>
      </w:pPr>
      <w:r>
        <w:rPr>
          <w:rFonts w:hint="default" w:ascii="宋体" w:hAnsi="宋体" w:cs="宋体"/>
          <w:b w:val="0"/>
          <w:bCs/>
          <w:color w:val="auto"/>
          <w:kern w:val="0"/>
          <w:sz w:val="21"/>
          <w:szCs w:val="21"/>
          <w:highlight w:val="none"/>
          <w:lang w:eastAsia="zh-CN" w:bidi="ar-SA"/>
        </w:rPr>
        <w:t>4</w:t>
      </w:r>
      <w:r>
        <w:rPr>
          <w:rFonts w:hint="eastAsia" w:ascii="宋体" w:hAnsi="宋体" w:eastAsia="宋体" w:cs="宋体"/>
          <w:b w:val="0"/>
          <w:bCs/>
          <w:color w:val="auto"/>
          <w:kern w:val="0"/>
          <w:sz w:val="21"/>
          <w:szCs w:val="21"/>
          <w:highlight w:val="none"/>
          <w:lang w:val="en-US" w:eastAsia="zh-CN" w:bidi="ar-SA"/>
        </w:rPr>
        <w:t>.以上各项交付的违约金并不影响违约方履行采购合同的各项义务。</w:t>
      </w:r>
    </w:p>
    <w:p w14:paraId="2CCB3719">
      <w:pPr>
        <w:pStyle w:val="46"/>
        <w:keepNext w:val="0"/>
        <w:keepLines w:val="0"/>
        <w:pageBreakBefore w:val="0"/>
        <w:widowControl w:val="0"/>
        <w:shd w:val="clear" w:color="auto"/>
        <w:kinsoku/>
        <w:wordWrap/>
        <w:overflowPunct/>
        <w:topLinePunct w:val="0"/>
        <w:bidi w:val="0"/>
        <w:adjustRightInd w:val="0"/>
        <w:spacing w:after="0" w:line="500" w:lineRule="exact"/>
        <w:ind w:left="0" w:leftChars="0" w:firstLine="422" w:firstLineChars="200"/>
        <w:textAlignment w:val="auto"/>
        <w:rPr>
          <w:rFonts w:hint="eastAsia" w:ascii="宋体" w:hAnsi="宋体" w:eastAsia="宋体" w:cs="宋体"/>
          <w:b/>
          <w:color w:val="auto"/>
          <w:kern w:val="0"/>
          <w:sz w:val="21"/>
          <w:szCs w:val="21"/>
          <w:highlight w:val="none"/>
          <w:lang w:val="en-US" w:eastAsia="zh-CN" w:bidi="ar-SA"/>
        </w:rPr>
      </w:pPr>
      <w:r>
        <w:rPr>
          <w:rFonts w:hint="eastAsia" w:ascii="宋体" w:hAnsi="宋体" w:eastAsia="宋体" w:cs="宋体"/>
          <w:b/>
          <w:color w:val="auto"/>
          <w:kern w:val="0"/>
          <w:sz w:val="21"/>
          <w:szCs w:val="21"/>
          <w:highlight w:val="none"/>
          <w:lang w:val="en-US" w:eastAsia="zh-CN" w:bidi="ar-SA"/>
        </w:rPr>
        <w:t>十一、不可抗力事件处理</w:t>
      </w:r>
    </w:p>
    <w:p w14:paraId="4721B3D6">
      <w:pPr>
        <w:keepNext w:val="0"/>
        <w:keepLines w:val="0"/>
        <w:pageBreakBefore w:val="0"/>
        <w:widowControl w:val="0"/>
        <w:shd w:val="clear" w:color="auto"/>
        <w:kinsoku/>
        <w:wordWrap/>
        <w:overflowPunct/>
        <w:topLinePunct w:val="0"/>
        <w:bidi w:val="0"/>
        <w:snapToGrid w:val="0"/>
        <w:spacing w:line="500" w:lineRule="exact"/>
        <w:ind w:firstLine="420" w:firstLineChars="200"/>
        <w:textAlignment w:val="auto"/>
        <w:rPr>
          <w:rStyle w:val="108"/>
          <w:rFonts w:hint="eastAsia" w:ascii="宋体" w:hAnsi="宋体" w:eastAsia="宋体" w:cs="宋体"/>
          <w:color w:val="auto"/>
          <w:sz w:val="21"/>
          <w:szCs w:val="21"/>
          <w:highlight w:val="none"/>
        </w:rPr>
      </w:pPr>
      <w:r>
        <w:rPr>
          <w:rStyle w:val="108"/>
          <w:rFonts w:hint="eastAsia" w:ascii="宋体" w:hAnsi="宋体" w:eastAsia="宋体" w:cs="宋体"/>
          <w:color w:val="auto"/>
          <w:sz w:val="21"/>
          <w:szCs w:val="21"/>
          <w:highlight w:val="none"/>
        </w:rPr>
        <w:t>1.在合同有效期内，任何一方因不可抗力事件导致不能履行合同，则合同履行期可延长，其延长期与不可抗力影响期相同。</w:t>
      </w:r>
    </w:p>
    <w:p w14:paraId="5860D67E">
      <w:pPr>
        <w:keepNext w:val="0"/>
        <w:keepLines w:val="0"/>
        <w:pageBreakBefore w:val="0"/>
        <w:widowControl w:val="0"/>
        <w:shd w:val="clear" w:color="auto"/>
        <w:kinsoku/>
        <w:wordWrap/>
        <w:overflowPunct/>
        <w:topLinePunct w:val="0"/>
        <w:bidi w:val="0"/>
        <w:snapToGrid w:val="0"/>
        <w:spacing w:line="500" w:lineRule="exact"/>
        <w:ind w:firstLine="420" w:firstLineChars="200"/>
        <w:textAlignment w:val="auto"/>
        <w:rPr>
          <w:rStyle w:val="108"/>
          <w:rFonts w:hint="eastAsia" w:ascii="宋体" w:hAnsi="宋体" w:eastAsia="宋体" w:cs="宋体"/>
          <w:color w:val="auto"/>
          <w:sz w:val="21"/>
          <w:szCs w:val="21"/>
          <w:highlight w:val="none"/>
        </w:rPr>
      </w:pPr>
      <w:r>
        <w:rPr>
          <w:rStyle w:val="108"/>
          <w:rFonts w:hint="eastAsia" w:ascii="宋体" w:hAnsi="宋体" w:eastAsia="宋体" w:cs="宋体"/>
          <w:color w:val="auto"/>
          <w:sz w:val="21"/>
          <w:szCs w:val="21"/>
          <w:highlight w:val="none"/>
        </w:rPr>
        <w:t>2.不可抗力事件发生后，应立即通知对方，并寄送有关权威机构出具的证明。</w:t>
      </w:r>
    </w:p>
    <w:p w14:paraId="288423F1">
      <w:pPr>
        <w:keepNext w:val="0"/>
        <w:keepLines w:val="0"/>
        <w:pageBreakBefore w:val="0"/>
        <w:widowControl w:val="0"/>
        <w:shd w:val="clear" w:color="auto"/>
        <w:kinsoku/>
        <w:wordWrap/>
        <w:overflowPunct/>
        <w:topLinePunct w:val="0"/>
        <w:bidi w:val="0"/>
        <w:snapToGrid w:val="0"/>
        <w:spacing w:line="500" w:lineRule="exact"/>
        <w:ind w:firstLine="420" w:firstLineChars="200"/>
        <w:textAlignment w:val="auto"/>
        <w:rPr>
          <w:rStyle w:val="108"/>
          <w:rFonts w:hint="eastAsia" w:ascii="宋体" w:hAnsi="宋体" w:eastAsia="宋体" w:cs="宋体"/>
          <w:color w:val="auto"/>
          <w:sz w:val="21"/>
          <w:szCs w:val="21"/>
          <w:highlight w:val="none"/>
        </w:rPr>
      </w:pPr>
      <w:r>
        <w:rPr>
          <w:rStyle w:val="108"/>
          <w:rFonts w:hint="eastAsia" w:ascii="宋体" w:hAnsi="宋体" w:eastAsia="宋体" w:cs="宋体"/>
          <w:color w:val="auto"/>
          <w:sz w:val="21"/>
          <w:szCs w:val="21"/>
          <w:highlight w:val="none"/>
        </w:rPr>
        <w:t>3.不可抗力事件延续120天以上，双方应通过友好协商，确定是否继续履行合同。</w:t>
      </w:r>
    </w:p>
    <w:p w14:paraId="4726AEE4">
      <w:pPr>
        <w:pStyle w:val="46"/>
        <w:keepNext w:val="0"/>
        <w:keepLines w:val="0"/>
        <w:pageBreakBefore w:val="0"/>
        <w:widowControl w:val="0"/>
        <w:shd w:val="clear" w:color="auto"/>
        <w:kinsoku/>
        <w:wordWrap/>
        <w:overflowPunct/>
        <w:topLinePunct w:val="0"/>
        <w:bidi w:val="0"/>
        <w:adjustRightInd w:val="0"/>
        <w:spacing w:after="0" w:line="500" w:lineRule="exact"/>
        <w:ind w:left="0" w:leftChars="0" w:firstLine="422" w:firstLineChars="200"/>
        <w:textAlignment w:val="auto"/>
        <w:rPr>
          <w:rFonts w:hint="eastAsia" w:ascii="宋体" w:hAnsi="宋体" w:eastAsia="宋体" w:cs="宋体"/>
          <w:b/>
          <w:color w:val="auto"/>
          <w:kern w:val="0"/>
          <w:sz w:val="21"/>
          <w:szCs w:val="21"/>
          <w:highlight w:val="none"/>
          <w:lang w:val="en-US" w:eastAsia="zh-CN" w:bidi="ar-SA"/>
        </w:rPr>
      </w:pPr>
      <w:r>
        <w:rPr>
          <w:rFonts w:hint="eastAsia" w:ascii="宋体" w:hAnsi="宋体" w:eastAsia="宋体" w:cs="宋体"/>
          <w:b/>
          <w:color w:val="auto"/>
          <w:kern w:val="0"/>
          <w:sz w:val="21"/>
          <w:szCs w:val="21"/>
          <w:highlight w:val="none"/>
          <w:lang w:val="en-US" w:eastAsia="zh-CN" w:bidi="ar-SA"/>
        </w:rPr>
        <w:t>十二、争议解决</w:t>
      </w:r>
    </w:p>
    <w:p w14:paraId="7DD190DE">
      <w:pPr>
        <w:keepNext w:val="0"/>
        <w:keepLines w:val="0"/>
        <w:pageBreakBefore w:val="0"/>
        <w:widowControl w:val="0"/>
        <w:shd w:val="clear" w:color="auto"/>
        <w:kinsoku/>
        <w:wordWrap/>
        <w:overflowPunct/>
        <w:topLinePunct w:val="0"/>
        <w:bidi w:val="0"/>
        <w:snapToGrid w:val="0"/>
        <w:spacing w:line="500" w:lineRule="exact"/>
        <w:ind w:firstLine="420" w:firstLineChars="200"/>
        <w:textAlignment w:val="auto"/>
        <w:rPr>
          <w:rStyle w:val="108"/>
          <w:rFonts w:hint="eastAsia" w:ascii="宋体" w:hAnsi="宋体" w:eastAsia="宋体" w:cs="宋体"/>
          <w:color w:val="auto"/>
          <w:sz w:val="21"/>
          <w:szCs w:val="21"/>
          <w:highlight w:val="none"/>
        </w:rPr>
      </w:pPr>
      <w:r>
        <w:rPr>
          <w:rStyle w:val="108"/>
          <w:rFonts w:hint="eastAsia" w:ascii="宋体" w:hAnsi="宋体" w:eastAsia="宋体" w:cs="宋体"/>
          <w:color w:val="auto"/>
          <w:sz w:val="21"/>
          <w:szCs w:val="21"/>
          <w:highlight w:val="none"/>
        </w:rPr>
        <w:t>双方在执行合同中所发生的一切争议，应通过协商解决。如协商不成，可向甲方所在地人民法院提起诉讼。</w:t>
      </w:r>
    </w:p>
    <w:p w14:paraId="3B51EAE8">
      <w:pPr>
        <w:keepNext w:val="0"/>
        <w:keepLines w:val="0"/>
        <w:pageBreakBefore w:val="0"/>
        <w:widowControl w:val="0"/>
        <w:shd w:val="clear" w:color="auto"/>
        <w:kinsoku/>
        <w:wordWrap/>
        <w:overflowPunct/>
        <w:topLinePunct w:val="0"/>
        <w:bidi w:val="0"/>
        <w:spacing w:line="500" w:lineRule="exact"/>
        <w:ind w:firstLine="422" w:firstLineChars="200"/>
        <w:jc w:val="both"/>
        <w:textAlignment w:val="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十三、合同生效及其它</w:t>
      </w:r>
    </w:p>
    <w:p w14:paraId="54A9BEA0">
      <w:pPr>
        <w:keepNext w:val="0"/>
        <w:keepLines w:val="0"/>
        <w:pageBreakBefore w:val="0"/>
        <w:widowControl w:val="0"/>
        <w:shd w:val="clear" w:color="auto"/>
        <w:kinsoku/>
        <w:wordWrap/>
        <w:overflowPunct/>
        <w:topLinePunct w:val="0"/>
        <w:autoSpaceDE/>
        <w:autoSpaceDN/>
        <w:bidi w:val="0"/>
        <w:adjustRightInd/>
        <w:spacing w:line="500" w:lineRule="exact"/>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1.若项目合同实施期间，出现机构改革或相关政策调整或上级部门要求等甲方不可预见的情形导致项目合同无法继续履行的，甲方有权提前终止合同且不承担任何责任。</w:t>
      </w:r>
    </w:p>
    <w:p w14:paraId="0E92A27D">
      <w:pPr>
        <w:keepNext w:val="0"/>
        <w:keepLines w:val="0"/>
        <w:pageBreakBefore w:val="0"/>
        <w:widowControl w:val="0"/>
        <w:shd w:val="clear" w:color="auto"/>
        <w:kinsoku/>
        <w:wordWrap/>
        <w:overflowPunct/>
        <w:topLinePunct w:val="0"/>
        <w:bidi w:val="0"/>
        <w:snapToGrid w:val="0"/>
        <w:spacing w:line="500" w:lineRule="exact"/>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2.合同经双方法定代表人或授权委托代理人签字并加盖单位公章后生效。</w:t>
      </w:r>
    </w:p>
    <w:p w14:paraId="6F4CB106">
      <w:pPr>
        <w:keepNext w:val="0"/>
        <w:keepLines w:val="0"/>
        <w:pageBreakBefore w:val="0"/>
        <w:widowControl w:val="0"/>
        <w:shd w:val="clear" w:color="auto"/>
        <w:kinsoku/>
        <w:wordWrap/>
        <w:overflowPunct/>
        <w:topLinePunct w:val="0"/>
        <w:bidi w:val="0"/>
        <w:snapToGrid w:val="0"/>
        <w:spacing w:line="500" w:lineRule="exact"/>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3.合同执行中涉及采购资金和采购内容修改或补充的，签书面补充协议后，方可作为主合同不可分割的一部分。</w:t>
      </w:r>
    </w:p>
    <w:p w14:paraId="7D188773">
      <w:pPr>
        <w:keepNext w:val="0"/>
        <w:keepLines w:val="0"/>
        <w:pageBreakBefore w:val="0"/>
        <w:widowControl w:val="0"/>
        <w:shd w:val="clear" w:color="auto"/>
        <w:kinsoku/>
        <w:wordWrap/>
        <w:overflowPunct/>
        <w:topLinePunct w:val="0"/>
        <w:bidi w:val="0"/>
        <w:snapToGrid w:val="0"/>
        <w:spacing w:line="500" w:lineRule="exact"/>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4.本合同未尽事宜，遵照《中华人民共和国民法典》有关条文执行。</w:t>
      </w:r>
    </w:p>
    <w:p w14:paraId="46D62DA0">
      <w:pPr>
        <w:keepNext w:val="0"/>
        <w:keepLines w:val="0"/>
        <w:pageBreakBefore w:val="0"/>
        <w:widowControl w:val="0"/>
        <w:shd w:val="clear" w:color="auto"/>
        <w:kinsoku/>
        <w:wordWrap/>
        <w:overflowPunct/>
        <w:topLinePunct w:val="0"/>
        <w:bidi w:val="0"/>
        <w:snapToGrid w:val="0"/>
        <w:spacing w:line="500" w:lineRule="exact"/>
        <w:ind w:firstLine="420" w:firstLineChars="200"/>
        <w:textAlignment w:val="auto"/>
        <w:rPr>
          <w:rFonts w:hint="eastAsia" w:hAnsi="宋体" w:cs="宋体"/>
          <w:color w:val="auto"/>
          <w:sz w:val="21"/>
          <w:szCs w:val="21"/>
          <w:highlight w:val="none"/>
        </w:rPr>
      </w:pPr>
      <w:r>
        <w:rPr>
          <w:rFonts w:hint="eastAsia" w:ascii="宋体" w:hAnsi="宋体" w:eastAsia="宋体" w:cs="宋体"/>
          <w:color w:val="auto"/>
          <w:sz w:val="21"/>
          <w:szCs w:val="21"/>
          <w:highlight w:val="none"/>
        </w:rPr>
        <w:t>5.本合同正本一式陆份，具有同等法律效力，甲、乙双方各执两份，采购代理机构两份。</w:t>
      </w:r>
    </w:p>
    <w:tbl>
      <w:tblPr>
        <w:tblStyle w:val="48"/>
        <w:tblW w:w="995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775"/>
        <w:gridCol w:w="3727"/>
        <w:gridCol w:w="2456"/>
      </w:tblGrid>
      <w:tr w14:paraId="7E5145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665" w:hRule="atLeast"/>
        </w:trPr>
        <w:tc>
          <w:tcPr>
            <w:tcW w:w="3775" w:type="dxa"/>
            <w:tcBorders>
              <w:top w:val="single" w:color="auto" w:sz="4" w:space="0"/>
              <w:left w:val="single" w:color="auto" w:sz="4" w:space="0"/>
              <w:right w:val="single" w:color="auto" w:sz="4" w:space="0"/>
            </w:tcBorders>
            <w:noWrap w:val="0"/>
            <w:vAlign w:val="top"/>
          </w:tcPr>
          <w:p w14:paraId="62920BF2">
            <w:pPr>
              <w:shd w:val="clear" w:color="auto"/>
              <w:spacing w:line="460" w:lineRule="exact"/>
              <w:rPr>
                <w:rFonts w:hint="eastAsia" w:hAnsi="宋体" w:eastAsia="宋体" w:cs="Times New Roman"/>
                <w:bCs/>
                <w:color w:val="auto"/>
                <w:sz w:val="21"/>
                <w:szCs w:val="21"/>
                <w:highlight w:val="none"/>
              </w:rPr>
            </w:pPr>
            <w:r>
              <w:rPr>
                <w:rFonts w:hint="eastAsia" w:hAnsi="宋体" w:eastAsia="宋体" w:cs="Times New Roman"/>
                <w:bCs/>
                <w:color w:val="auto"/>
                <w:sz w:val="21"/>
                <w:szCs w:val="21"/>
                <w:highlight w:val="none"/>
              </w:rPr>
              <w:t>甲方</w:t>
            </w:r>
            <w:r>
              <w:rPr>
                <w:rFonts w:hAnsi="宋体" w:eastAsia="宋体" w:cs="Times New Roman"/>
                <w:bCs/>
                <w:color w:val="auto"/>
                <w:sz w:val="21"/>
                <w:szCs w:val="21"/>
                <w:highlight w:val="none"/>
              </w:rPr>
              <w:t>单位名称（章）：</w:t>
            </w:r>
          </w:p>
          <w:p w14:paraId="221A29E0">
            <w:pPr>
              <w:shd w:val="clear" w:color="auto"/>
              <w:spacing w:line="460" w:lineRule="exact"/>
              <w:rPr>
                <w:rFonts w:hint="eastAsia" w:hAnsi="宋体" w:eastAsia="宋体" w:cs="Times New Roman"/>
                <w:bCs/>
                <w:color w:val="auto"/>
                <w:sz w:val="21"/>
                <w:szCs w:val="21"/>
                <w:highlight w:val="none"/>
              </w:rPr>
            </w:pPr>
            <w:r>
              <w:rPr>
                <w:rFonts w:hAnsi="宋体" w:eastAsia="宋体" w:cs="Times New Roman"/>
                <w:bCs/>
                <w:color w:val="auto"/>
                <w:sz w:val="21"/>
                <w:szCs w:val="21"/>
                <w:highlight w:val="none"/>
              </w:rPr>
              <w:t>单位地址：</w:t>
            </w:r>
          </w:p>
          <w:p w14:paraId="06BD9F73">
            <w:pPr>
              <w:shd w:val="clear" w:color="auto"/>
              <w:spacing w:line="460" w:lineRule="exact"/>
              <w:rPr>
                <w:rFonts w:hAnsi="宋体" w:eastAsia="宋体" w:cs="Times New Roman"/>
                <w:bCs/>
                <w:color w:val="auto"/>
                <w:sz w:val="21"/>
                <w:szCs w:val="21"/>
                <w:highlight w:val="none"/>
              </w:rPr>
            </w:pPr>
            <w:r>
              <w:rPr>
                <w:rFonts w:hAnsi="宋体" w:eastAsia="宋体" w:cs="Times New Roman"/>
                <w:bCs/>
                <w:color w:val="auto"/>
                <w:sz w:val="21"/>
                <w:szCs w:val="21"/>
                <w:highlight w:val="none"/>
              </w:rPr>
              <w:t>法定代表人</w:t>
            </w:r>
            <w:r>
              <w:rPr>
                <w:rFonts w:hint="eastAsia" w:hAnsi="宋体" w:eastAsia="宋体" w:cs="Times New Roman"/>
                <w:bCs/>
                <w:color w:val="auto"/>
                <w:sz w:val="21"/>
                <w:szCs w:val="21"/>
                <w:highlight w:val="none"/>
                <w:lang w:val="en-US" w:eastAsia="zh-CN"/>
              </w:rPr>
              <w:t>或</w:t>
            </w:r>
            <w:r>
              <w:rPr>
                <w:rFonts w:hAnsi="宋体" w:eastAsia="宋体" w:cs="Times New Roman"/>
                <w:bCs/>
                <w:color w:val="auto"/>
                <w:sz w:val="21"/>
                <w:szCs w:val="21"/>
                <w:highlight w:val="none"/>
              </w:rPr>
              <w:t>委托代理人</w:t>
            </w:r>
            <w:r>
              <w:rPr>
                <w:rFonts w:hint="eastAsia" w:hAnsi="宋体" w:eastAsia="宋体" w:cs="Times New Roman"/>
                <w:bCs/>
                <w:color w:val="auto"/>
                <w:sz w:val="21"/>
                <w:szCs w:val="21"/>
                <w:highlight w:val="none"/>
                <w:lang w:eastAsia="zh-CN"/>
              </w:rPr>
              <w:t>（</w:t>
            </w:r>
            <w:r>
              <w:rPr>
                <w:rFonts w:hint="eastAsia" w:hAnsi="宋体" w:eastAsia="宋体" w:cs="Times New Roman"/>
                <w:bCs/>
                <w:color w:val="auto"/>
                <w:sz w:val="21"/>
                <w:szCs w:val="21"/>
                <w:highlight w:val="none"/>
                <w:lang w:val="en-US" w:eastAsia="zh-CN"/>
              </w:rPr>
              <w:t>签字</w:t>
            </w:r>
            <w:r>
              <w:rPr>
                <w:rFonts w:hint="eastAsia" w:hAnsi="宋体" w:eastAsia="宋体" w:cs="Times New Roman"/>
                <w:bCs/>
                <w:color w:val="auto"/>
                <w:sz w:val="21"/>
                <w:szCs w:val="21"/>
                <w:highlight w:val="none"/>
                <w:lang w:eastAsia="zh-CN"/>
              </w:rPr>
              <w:t>）</w:t>
            </w:r>
            <w:r>
              <w:rPr>
                <w:rFonts w:hAnsi="宋体" w:eastAsia="宋体" w:cs="Times New Roman"/>
                <w:bCs/>
                <w:color w:val="auto"/>
                <w:sz w:val="21"/>
                <w:szCs w:val="21"/>
                <w:highlight w:val="none"/>
              </w:rPr>
              <w:t>：</w:t>
            </w:r>
          </w:p>
          <w:p w14:paraId="5B84EE81">
            <w:pPr>
              <w:shd w:val="clear" w:color="auto"/>
              <w:spacing w:line="460" w:lineRule="exact"/>
              <w:rPr>
                <w:rFonts w:hAnsi="宋体" w:eastAsia="宋体" w:cs="Times New Roman"/>
                <w:bCs/>
                <w:color w:val="auto"/>
                <w:sz w:val="21"/>
                <w:szCs w:val="21"/>
                <w:highlight w:val="none"/>
              </w:rPr>
            </w:pPr>
            <w:r>
              <w:rPr>
                <w:rFonts w:hAnsi="宋体" w:eastAsia="宋体" w:cs="Times New Roman"/>
                <w:bCs/>
                <w:color w:val="auto"/>
                <w:sz w:val="21"/>
                <w:szCs w:val="21"/>
                <w:highlight w:val="none"/>
              </w:rPr>
              <w:t>电 话：</w:t>
            </w:r>
          </w:p>
          <w:p w14:paraId="1B6F2901">
            <w:pPr>
              <w:shd w:val="clear" w:color="auto"/>
              <w:spacing w:line="460" w:lineRule="exact"/>
              <w:rPr>
                <w:rFonts w:hAnsi="宋体" w:eastAsia="宋体" w:cs="Times New Roman"/>
                <w:bCs/>
                <w:color w:val="auto"/>
                <w:sz w:val="21"/>
                <w:szCs w:val="21"/>
                <w:highlight w:val="none"/>
              </w:rPr>
            </w:pPr>
            <w:r>
              <w:rPr>
                <w:rFonts w:hAnsi="宋体" w:eastAsia="宋体" w:cs="Times New Roman"/>
                <w:bCs/>
                <w:color w:val="auto"/>
                <w:sz w:val="21"/>
                <w:szCs w:val="21"/>
                <w:highlight w:val="none"/>
              </w:rPr>
              <w:t>开户银行：</w:t>
            </w:r>
          </w:p>
          <w:p w14:paraId="0A9794E2">
            <w:pPr>
              <w:shd w:val="clear" w:color="auto"/>
              <w:spacing w:line="460" w:lineRule="exact"/>
              <w:rPr>
                <w:rFonts w:hAnsi="宋体" w:eastAsia="宋体" w:cs="Times New Roman"/>
                <w:bCs/>
                <w:color w:val="auto"/>
                <w:sz w:val="21"/>
                <w:szCs w:val="21"/>
                <w:highlight w:val="none"/>
              </w:rPr>
            </w:pPr>
            <w:r>
              <w:rPr>
                <w:rFonts w:hint="eastAsia" w:hAnsi="宋体" w:eastAsia="宋体" w:cs="Times New Roman"/>
                <w:bCs/>
                <w:color w:val="auto"/>
                <w:sz w:val="21"/>
                <w:szCs w:val="21"/>
                <w:highlight w:val="none"/>
              </w:rPr>
              <w:t>账</w:t>
            </w:r>
            <w:r>
              <w:rPr>
                <w:rFonts w:hAnsi="宋体" w:eastAsia="宋体" w:cs="Times New Roman"/>
                <w:bCs/>
                <w:color w:val="auto"/>
                <w:sz w:val="21"/>
                <w:szCs w:val="21"/>
                <w:highlight w:val="none"/>
              </w:rPr>
              <w:t xml:space="preserve"> 号：</w:t>
            </w:r>
          </w:p>
          <w:p w14:paraId="1E6057BE">
            <w:pPr>
              <w:shd w:val="clear" w:color="auto"/>
              <w:spacing w:line="460" w:lineRule="exact"/>
              <w:rPr>
                <w:rFonts w:hAnsi="宋体" w:eastAsia="宋体" w:cs="Times New Roman"/>
                <w:bCs/>
                <w:color w:val="auto"/>
                <w:sz w:val="21"/>
                <w:szCs w:val="21"/>
                <w:highlight w:val="none"/>
              </w:rPr>
            </w:pPr>
            <w:r>
              <w:rPr>
                <w:rFonts w:hAnsi="宋体" w:eastAsia="宋体" w:cs="Times New Roman"/>
                <w:bCs/>
                <w:color w:val="auto"/>
                <w:sz w:val="21"/>
                <w:szCs w:val="21"/>
                <w:highlight w:val="none"/>
              </w:rPr>
              <w:t>邮政编码：</w:t>
            </w:r>
          </w:p>
          <w:p w14:paraId="74663281">
            <w:pPr>
              <w:shd w:val="clear" w:color="auto"/>
              <w:spacing w:line="460" w:lineRule="exact"/>
              <w:jc w:val="right"/>
              <w:rPr>
                <w:rFonts w:hAnsi="宋体" w:eastAsia="宋体" w:cs="Times New Roman"/>
                <w:bCs/>
                <w:color w:val="auto"/>
                <w:sz w:val="21"/>
                <w:szCs w:val="21"/>
                <w:highlight w:val="none"/>
              </w:rPr>
            </w:pPr>
            <w:r>
              <w:rPr>
                <w:rFonts w:hAnsi="宋体" w:eastAsia="宋体" w:cs="Times New Roman"/>
                <w:bCs/>
                <w:color w:val="auto"/>
                <w:sz w:val="21"/>
                <w:szCs w:val="21"/>
                <w:highlight w:val="none"/>
              </w:rPr>
              <w:t>年  月  日</w:t>
            </w:r>
          </w:p>
        </w:tc>
        <w:tc>
          <w:tcPr>
            <w:tcW w:w="3727" w:type="dxa"/>
            <w:tcBorders>
              <w:top w:val="single" w:color="auto" w:sz="4" w:space="0"/>
              <w:left w:val="single" w:color="auto" w:sz="4" w:space="0"/>
              <w:right w:val="single" w:color="auto" w:sz="4" w:space="0"/>
            </w:tcBorders>
            <w:noWrap w:val="0"/>
            <w:vAlign w:val="top"/>
          </w:tcPr>
          <w:p w14:paraId="263A850A">
            <w:pPr>
              <w:shd w:val="clear" w:color="auto"/>
              <w:spacing w:line="460" w:lineRule="exact"/>
              <w:rPr>
                <w:rFonts w:hint="eastAsia" w:hAnsi="宋体" w:eastAsia="宋体" w:cs="Times New Roman"/>
                <w:bCs/>
                <w:color w:val="auto"/>
                <w:sz w:val="21"/>
                <w:szCs w:val="21"/>
                <w:highlight w:val="none"/>
              </w:rPr>
            </w:pPr>
            <w:r>
              <w:rPr>
                <w:rFonts w:hint="eastAsia" w:hAnsi="宋体" w:eastAsia="宋体" w:cs="Times New Roman"/>
                <w:bCs/>
                <w:color w:val="auto"/>
                <w:sz w:val="21"/>
                <w:szCs w:val="21"/>
                <w:highlight w:val="none"/>
              </w:rPr>
              <w:t>乙方</w:t>
            </w:r>
            <w:r>
              <w:rPr>
                <w:rFonts w:hAnsi="宋体" w:eastAsia="宋体" w:cs="Times New Roman"/>
                <w:bCs/>
                <w:color w:val="auto"/>
                <w:sz w:val="21"/>
                <w:szCs w:val="21"/>
                <w:highlight w:val="none"/>
              </w:rPr>
              <w:t>单位名称（章）：</w:t>
            </w:r>
          </w:p>
          <w:p w14:paraId="14167408">
            <w:pPr>
              <w:shd w:val="clear" w:color="auto"/>
              <w:spacing w:line="460" w:lineRule="exact"/>
              <w:rPr>
                <w:rFonts w:hint="eastAsia" w:hAnsi="宋体" w:eastAsia="宋体" w:cs="Times New Roman"/>
                <w:bCs/>
                <w:color w:val="auto"/>
                <w:sz w:val="21"/>
                <w:szCs w:val="21"/>
                <w:highlight w:val="none"/>
              </w:rPr>
            </w:pPr>
            <w:r>
              <w:rPr>
                <w:rFonts w:hAnsi="宋体" w:eastAsia="宋体" w:cs="Times New Roman"/>
                <w:bCs/>
                <w:color w:val="auto"/>
                <w:sz w:val="21"/>
                <w:szCs w:val="21"/>
                <w:highlight w:val="none"/>
              </w:rPr>
              <w:t>单位地址：</w:t>
            </w:r>
          </w:p>
          <w:p w14:paraId="5E935D9D">
            <w:pPr>
              <w:shd w:val="clear" w:color="auto"/>
              <w:spacing w:line="460" w:lineRule="exact"/>
              <w:rPr>
                <w:rFonts w:hAnsi="宋体" w:eastAsia="宋体" w:cs="Times New Roman"/>
                <w:bCs/>
                <w:color w:val="auto"/>
                <w:sz w:val="21"/>
                <w:szCs w:val="21"/>
                <w:highlight w:val="none"/>
              </w:rPr>
            </w:pPr>
            <w:r>
              <w:rPr>
                <w:rFonts w:hAnsi="宋体" w:eastAsia="宋体" w:cs="Times New Roman"/>
                <w:bCs/>
                <w:color w:val="auto"/>
                <w:sz w:val="21"/>
                <w:szCs w:val="21"/>
                <w:highlight w:val="none"/>
              </w:rPr>
              <w:t>法定代表人</w:t>
            </w:r>
            <w:r>
              <w:rPr>
                <w:rFonts w:hint="eastAsia" w:hAnsi="宋体" w:eastAsia="宋体" w:cs="Times New Roman"/>
                <w:bCs/>
                <w:color w:val="auto"/>
                <w:sz w:val="21"/>
                <w:szCs w:val="21"/>
                <w:highlight w:val="none"/>
                <w:lang w:val="en-US" w:eastAsia="zh-CN"/>
              </w:rPr>
              <w:t>或</w:t>
            </w:r>
            <w:r>
              <w:rPr>
                <w:rFonts w:hAnsi="宋体" w:eastAsia="宋体" w:cs="Times New Roman"/>
                <w:bCs/>
                <w:color w:val="auto"/>
                <w:sz w:val="21"/>
                <w:szCs w:val="21"/>
                <w:highlight w:val="none"/>
              </w:rPr>
              <w:t>委托代理人</w:t>
            </w:r>
            <w:r>
              <w:rPr>
                <w:rFonts w:hint="eastAsia" w:hAnsi="宋体" w:eastAsia="宋体" w:cs="Times New Roman"/>
                <w:bCs/>
                <w:color w:val="auto"/>
                <w:sz w:val="21"/>
                <w:szCs w:val="21"/>
                <w:highlight w:val="none"/>
                <w:lang w:eastAsia="zh-CN"/>
              </w:rPr>
              <w:t>（</w:t>
            </w:r>
            <w:r>
              <w:rPr>
                <w:rFonts w:hint="eastAsia" w:hAnsi="宋体" w:eastAsia="宋体" w:cs="Times New Roman"/>
                <w:bCs/>
                <w:color w:val="auto"/>
                <w:sz w:val="21"/>
                <w:szCs w:val="21"/>
                <w:highlight w:val="none"/>
                <w:lang w:val="en-US" w:eastAsia="zh-CN"/>
              </w:rPr>
              <w:t>签字</w:t>
            </w:r>
            <w:r>
              <w:rPr>
                <w:rFonts w:hint="eastAsia" w:hAnsi="宋体" w:eastAsia="宋体" w:cs="Times New Roman"/>
                <w:bCs/>
                <w:color w:val="auto"/>
                <w:sz w:val="21"/>
                <w:szCs w:val="21"/>
                <w:highlight w:val="none"/>
                <w:lang w:eastAsia="zh-CN"/>
              </w:rPr>
              <w:t>）</w:t>
            </w:r>
            <w:r>
              <w:rPr>
                <w:rFonts w:hAnsi="宋体" w:eastAsia="宋体" w:cs="Times New Roman"/>
                <w:bCs/>
                <w:color w:val="auto"/>
                <w:sz w:val="21"/>
                <w:szCs w:val="21"/>
                <w:highlight w:val="none"/>
              </w:rPr>
              <w:t>：</w:t>
            </w:r>
          </w:p>
          <w:p w14:paraId="5FDDEB6E">
            <w:pPr>
              <w:shd w:val="clear" w:color="auto"/>
              <w:spacing w:line="460" w:lineRule="exact"/>
              <w:rPr>
                <w:rFonts w:hAnsi="宋体" w:eastAsia="宋体" w:cs="Times New Roman"/>
                <w:bCs/>
                <w:color w:val="auto"/>
                <w:sz w:val="21"/>
                <w:szCs w:val="21"/>
                <w:highlight w:val="none"/>
              </w:rPr>
            </w:pPr>
            <w:r>
              <w:rPr>
                <w:rFonts w:hAnsi="宋体" w:eastAsia="宋体" w:cs="Times New Roman"/>
                <w:bCs/>
                <w:color w:val="auto"/>
                <w:sz w:val="21"/>
                <w:szCs w:val="21"/>
                <w:highlight w:val="none"/>
              </w:rPr>
              <w:t>电 话：</w:t>
            </w:r>
          </w:p>
          <w:p w14:paraId="331AD639">
            <w:pPr>
              <w:shd w:val="clear" w:color="auto"/>
              <w:spacing w:line="460" w:lineRule="exact"/>
              <w:rPr>
                <w:rFonts w:hAnsi="宋体" w:eastAsia="宋体" w:cs="Times New Roman"/>
                <w:bCs/>
                <w:color w:val="auto"/>
                <w:sz w:val="21"/>
                <w:szCs w:val="21"/>
                <w:highlight w:val="none"/>
              </w:rPr>
            </w:pPr>
            <w:r>
              <w:rPr>
                <w:rFonts w:hAnsi="宋体" w:eastAsia="宋体" w:cs="Times New Roman"/>
                <w:bCs/>
                <w:color w:val="auto"/>
                <w:sz w:val="21"/>
                <w:szCs w:val="21"/>
                <w:highlight w:val="none"/>
              </w:rPr>
              <w:t>开户银行：</w:t>
            </w:r>
          </w:p>
          <w:p w14:paraId="0E8E8A45">
            <w:pPr>
              <w:shd w:val="clear" w:color="auto"/>
              <w:spacing w:line="460" w:lineRule="exact"/>
              <w:rPr>
                <w:rFonts w:hAnsi="宋体" w:eastAsia="宋体" w:cs="Times New Roman"/>
                <w:bCs/>
                <w:color w:val="auto"/>
                <w:sz w:val="21"/>
                <w:szCs w:val="21"/>
                <w:highlight w:val="none"/>
              </w:rPr>
            </w:pPr>
            <w:r>
              <w:rPr>
                <w:rFonts w:hint="eastAsia" w:hAnsi="宋体" w:eastAsia="宋体" w:cs="Times New Roman"/>
                <w:bCs/>
                <w:color w:val="auto"/>
                <w:sz w:val="21"/>
                <w:szCs w:val="21"/>
                <w:highlight w:val="none"/>
              </w:rPr>
              <w:t>账</w:t>
            </w:r>
            <w:r>
              <w:rPr>
                <w:rFonts w:hAnsi="宋体" w:eastAsia="宋体" w:cs="Times New Roman"/>
                <w:bCs/>
                <w:color w:val="auto"/>
                <w:sz w:val="21"/>
                <w:szCs w:val="21"/>
                <w:highlight w:val="none"/>
              </w:rPr>
              <w:t xml:space="preserve"> 号：</w:t>
            </w:r>
          </w:p>
          <w:p w14:paraId="5B20F5D1">
            <w:pPr>
              <w:shd w:val="clear" w:color="auto"/>
              <w:spacing w:line="460" w:lineRule="exact"/>
              <w:rPr>
                <w:rFonts w:hAnsi="宋体" w:eastAsia="宋体" w:cs="Times New Roman"/>
                <w:bCs/>
                <w:color w:val="auto"/>
                <w:sz w:val="21"/>
                <w:szCs w:val="21"/>
                <w:highlight w:val="none"/>
              </w:rPr>
            </w:pPr>
            <w:r>
              <w:rPr>
                <w:rFonts w:hAnsi="宋体" w:eastAsia="宋体" w:cs="Times New Roman"/>
                <w:bCs/>
                <w:color w:val="auto"/>
                <w:sz w:val="21"/>
                <w:szCs w:val="21"/>
                <w:highlight w:val="none"/>
              </w:rPr>
              <w:t>邮政编码：</w:t>
            </w:r>
          </w:p>
          <w:p w14:paraId="486926C5">
            <w:pPr>
              <w:shd w:val="clear" w:color="auto"/>
              <w:spacing w:line="460" w:lineRule="exact"/>
              <w:jc w:val="right"/>
              <w:rPr>
                <w:rFonts w:hAnsi="宋体" w:eastAsia="宋体" w:cs="Times New Roman"/>
                <w:bCs/>
                <w:color w:val="auto"/>
                <w:sz w:val="21"/>
                <w:szCs w:val="21"/>
                <w:highlight w:val="none"/>
              </w:rPr>
            </w:pPr>
            <w:r>
              <w:rPr>
                <w:rFonts w:hAnsi="宋体" w:eastAsia="宋体" w:cs="Times New Roman"/>
                <w:bCs/>
                <w:color w:val="auto"/>
                <w:sz w:val="21"/>
                <w:szCs w:val="21"/>
                <w:highlight w:val="none"/>
              </w:rPr>
              <w:t>年  月  日</w:t>
            </w:r>
          </w:p>
        </w:tc>
        <w:tc>
          <w:tcPr>
            <w:tcW w:w="2456" w:type="dxa"/>
            <w:tcBorders>
              <w:top w:val="single" w:color="auto" w:sz="4" w:space="0"/>
              <w:left w:val="single" w:color="auto" w:sz="4" w:space="0"/>
              <w:bottom w:val="single" w:color="auto" w:sz="4" w:space="0"/>
              <w:right w:val="single" w:color="auto" w:sz="4" w:space="0"/>
            </w:tcBorders>
            <w:noWrap w:val="0"/>
            <w:vAlign w:val="top"/>
          </w:tcPr>
          <w:p w14:paraId="26D64038">
            <w:pPr>
              <w:shd w:val="clear" w:color="auto"/>
              <w:spacing w:line="460" w:lineRule="exact"/>
              <w:rPr>
                <w:rFonts w:hAnsi="宋体" w:eastAsia="宋体" w:cs="Times New Roman"/>
                <w:bCs/>
                <w:color w:val="auto"/>
                <w:sz w:val="21"/>
                <w:szCs w:val="21"/>
                <w:highlight w:val="none"/>
              </w:rPr>
            </w:pPr>
            <w:r>
              <w:rPr>
                <w:rFonts w:hint="eastAsia" w:hAnsi="宋体" w:eastAsia="宋体" w:cs="Times New Roman"/>
                <w:bCs/>
                <w:color w:val="auto"/>
                <w:sz w:val="21"/>
                <w:szCs w:val="21"/>
                <w:highlight w:val="none"/>
              </w:rPr>
              <w:t>采购代理机构</w:t>
            </w:r>
            <w:r>
              <w:rPr>
                <w:rFonts w:hAnsi="宋体" w:eastAsia="宋体" w:cs="Times New Roman"/>
                <w:bCs/>
                <w:color w:val="auto"/>
                <w:sz w:val="21"/>
                <w:szCs w:val="21"/>
                <w:highlight w:val="none"/>
              </w:rPr>
              <w:t>意见：</w:t>
            </w:r>
          </w:p>
          <w:p w14:paraId="25EB8BB1">
            <w:pPr>
              <w:shd w:val="clear" w:color="auto"/>
              <w:spacing w:line="460" w:lineRule="exact"/>
              <w:rPr>
                <w:rFonts w:hAnsi="宋体" w:eastAsia="宋体" w:cs="Times New Roman"/>
                <w:bCs/>
                <w:color w:val="auto"/>
                <w:sz w:val="21"/>
                <w:szCs w:val="21"/>
                <w:highlight w:val="none"/>
              </w:rPr>
            </w:pPr>
          </w:p>
          <w:p w14:paraId="24922FCC">
            <w:pPr>
              <w:shd w:val="clear" w:color="auto"/>
              <w:spacing w:line="460" w:lineRule="exact"/>
              <w:rPr>
                <w:rFonts w:hint="eastAsia" w:hAnsi="宋体" w:eastAsia="宋体" w:cs="Times New Roman"/>
                <w:bCs/>
                <w:color w:val="auto"/>
                <w:sz w:val="21"/>
                <w:szCs w:val="21"/>
                <w:highlight w:val="none"/>
              </w:rPr>
            </w:pPr>
          </w:p>
          <w:p w14:paraId="46417CFD">
            <w:pPr>
              <w:shd w:val="clear" w:color="auto"/>
              <w:spacing w:line="460" w:lineRule="exact"/>
              <w:rPr>
                <w:rFonts w:hint="eastAsia" w:hAnsi="宋体" w:eastAsia="宋体" w:cs="Times New Roman"/>
                <w:bCs/>
                <w:color w:val="auto"/>
                <w:sz w:val="21"/>
                <w:szCs w:val="21"/>
                <w:highlight w:val="none"/>
              </w:rPr>
            </w:pPr>
          </w:p>
          <w:p w14:paraId="3C34F4AB">
            <w:pPr>
              <w:shd w:val="clear" w:color="auto"/>
              <w:spacing w:line="460" w:lineRule="exact"/>
              <w:jc w:val="both"/>
              <w:rPr>
                <w:rFonts w:hAnsi="宋体" w:eastAsia="宋体" w:cs="Times New Roman"/>
                <w:bCs/>
                <w:color w:val="auto"/>
                <w:sz w:val="21"/>
                <w:szCs w:val="21"/>
                <w:highlight w:val="none"/>
              </w:rPr>
            </w:pPr>
          </w:p>
          <w:p w14:paraId="33C8EB6F">
            <w:pPr>
              <w:shd w:val="clear" w:color="auto"/>
              <w:spacing w:line="460" w:lineRule="exact"/>
              <w:jc w:val="right"/>
              <w:rPr>
                <w:rFonts w:hAnsi="宋体" w:eastAsia="宋体" w:cs="Times New Roman"/>
                <w:bCs/>
                <w:color w:val="auto"/>
                <w:sz w:val="21"/>
                <w:szCs w:val="21"/>
                <w:highlight w:val="none"/>
              </w:rPr>
            </w:pPr>
          </w:p>
          <w:p w14:paraId="58D7680C">
            <w:pPr>
              <w:shd w:val="clear" w:color="auto"/>
              <w:spacing w:line="460" w:lineRule="exact"/>
              <w:jc w:val="both"/>
              <w:rPr>
                <w:rFonts w:hAnsi="宋体" w:eastAsia="宋体" w:cs="Times New Roman"/>
                <w:bCs/>
                <w:color w:val="auto"/>
                <w:sz w:val="21"/>
                <w:szCs w:val="21"/>
                <w:highlight w:val="none"/>
              </w:rPr>
            </w:pPr>
          </w:p>
          <w:p w14:paraId="76AB94AE">
            <w:pPr>
              <w:shd w:val="clear" w:color="auto"/>
              <w:spacing w:line="460" w:lineRule="exact"/>
              <w:jc w:val="right"/>
              <w:rPr>
                <w:rFonts w:hAnsi="宋体" w:eastAsia="宋体" w:cs="Times New Roman"/>
                <w:bCs/>
                <w:color w:val="auto"/>
                <w:sz w:val="21"/>
                <w:szCs w:val="21"/>
                <w:highlight w:val="none"/>
              </w:rPr>
            </w:pPr>
            <w:r>
              <w:rPr>
                <w:rFonts w:hAnsi="宋体" w:eastAsia="宋体" w:cs="Times New Roman"/>
                <w:bCs/>
                <w:color w:val="auto"/>
                <w:sz w:val="21"/>
                <w:szCs w:val="21"/>
                <w:highlight w:val="none"/>
              </w:rPr>
              <w:t>年  月  日</w:t>
            </w:r>
          </w:p>
        </w:tc>
      </w:tr>
    </w:tbl>
    <w:p w14:paraId="4DDBF4C4">
      <w:pPr>
        <w:pStyle w:val="26"/>
        <w:shd w:val="clear" w:color="auto"/>
        <w:snapToGrid w:val="0"/>
        <w:spacing w:line="500" w:lineRule="exact"/>
        <w:rPr>
          <w:rFonts w:hint="eastAsia" w:ascii="宋体" w:hAnsi="宋体" w:cs="宋体"/>
          <w:color w:val="auto"/>
          <w:sz w:val="21"/>
          <w:highlight w:val="none"/>
        </w:rPr>
      </w:pPr>
      <w:r>
        <w:rPr>
          <w:rFonts w:hint="eastAsia" w:ascii="宋体" w:hAnsi="宋体" w:cs="宋体"/>
          <w:b/>
          <w:color w:val="auto"/>
          <w:sz w:val="21"/>
          <w:highlight w:val="none"/>
        </w:rPr>
        <w:t>注：此合同样本仅作参考，</w:t>
      </w:r>
      <w:r>
        <w:rPr>
          <w:rFonts w:hint="eastAsia" w:ascii="宋体" w:hAnsi="宋体" w:cs="宋体"/>
          <w:b/>
          <w:color w:val="auto"/>
          <w:sz w:val="21"/>
          <w:highlight w:val="none"/>
          <w:lang w:eastAsia="zh-CN"/>
        </w:rPr>
        <w:t>采购人</w:t>
      </w:r>
      <w:r>
        <w:rPr>
          <w:rFonts w:hint="eastAsia" w:ascii="宋体" w:hAnsi="宋体" w:cs="宋体"/>
          <w:b/>
          <w:color w:val="auto"/>
          <w:sz w:val="21"/>
          <w:highlight w:val="none"/>
        </w:rPr>
        <w:t>、中标人可根据采购项目的实际情况进行修改。</w:t>
      </w:r>
    </w:p>
    <w:bookmarkEnd w:id="70"/>
    <w:p w14:paraId="029D503C">
      <w:pPr>
        <w:shd w:val="clear" w:color="auto"/>
        <w:rPr>
          <w:rFonts w:hint="eastAsia" w:hAnsi="宋体" w:cs="宋体"/>
          <w:color w:val="auto"/>
          <w:highlight w:val="none"/>
        </w:rPr>
      </w:pPr>
      <w:bookmarkStart w:id="75" w:name="_Toc351559946"/>
    </w:p>
    <w:p w14:paraId="58DEDB21">
      <w:pPr>
        <w:pStyle w:val="4"/>
        <w:shd w:val="clear" w:color="auto"/>
        <w:spacing w:line="360" w:lineRule="auto"/>
        <w:jc w:val="center"/>
        <w:rPr>
          <w:rFonts w:hint="eastAsia" w:ascii="宋体" w:hAnsi="宋体" w:cs="宋体"/>
          <w:color w:val="auto"/>
          <w:sz w:val="30"/>
          <w:szCs w:val="30"/>
          <w:highlight w:val="none"/>
        </w:rPr>
        <w:sectPr>
          <w:footerReference r:id="rId9" w:type="first"/>
          <w:footerReference r:id="rId8" w:type="default"/>
          <w:pgSz w:w="11906" w:h="16838"/>
          <w:pgMar w:top="1440" w:right="1080" w:bottom="1440" w:left="1080" w:header="850" w:footer="964" w:gutter="0"/>
          <w:pgNumType w:start="1"/>
          <w:cols w:space="720" w:num="1"/>
          <w:docGrid w:type="lines" w:linePitch="634" w:charSpace="0"/>
        </w:sectPr>
      </w:pPr>
    </w:p>
    <w:p w14:paraId="6C65102C">
      <w:pPr>
        <w:pStyle w:val="4"/>
        <w:shd w:val="clear" w:color="auto"/>
        <w:spacing w:line="360" w:lineRule="auto"/>
        <w:jc w:val="center"/>
        <w:rPr>
          <w:rFonts w:hint="eastAsia" w:ascii="宋体" w:hAnsi="宋体" w:cs="宋体"/>
          <w:color w:val="auto"/>
          <w:sz w:val="30"/>
          <w:szCs w:val="30"/>
          <w:highlight w:val="none"/>
        </w:rPr>
      </w:pPr>
      <w:bookmarkStart w:id="76" w:name="_Toc20048"/>
      <w:bookmarkStart w:id="77" w:name="_Toc20356"/>
      <w:bookmarkStart w:id="78" w:name="_Toc22209"/>
      <w:bookmarkStart w:id="79" w:name="_Toc2335"/>
      <w:r>
        <w:rPr>
          <w:rFonts w:hint="eastAsia" w:ascii="宋体" w:hAnsi="宋体" w:cs="宋体"/>
          <w:color w:val="auto"/>
          <w:sz w:val="30"/>
          <w:szCs w:val="30"/>
          <w:highlight w:val="none"/>
        </w:rPr>
        <w:t>第六章　投标文件格式</w:t>
      </w:r>
      <w:bookmarkEnd w:id="76"/>
      <w:bookmarkEnd w:id="77"/>
      <w:bookmarkEnd w:id="78"/>
      <w:bookmarkEnd w:id="79"/>
    </w:p>
    <w:p w14:paraId="6DF26080">
      <w:pPr>
        <w:shd w:val="clear" w:color="auto"/>
        <w:snapToGrid w:val="0"/>
        <w:spacing w:before="317" w:beforeLines="50" w:after="50"/>
        <w:rPr>
          <w:rFonts w:hint="eastAsia" w:hAnsi="宋体" w:cs="宋体"/>
          <w:color w:val="auto"/>
          <w:sz w:val="24"/>
          <w:szCs w:val="24"/>
          <w:highlight w:val="none"/>
        </w:rPr>
      </w:pPr>
    </w:p>
    <w:p w14:paraId="11BC5547">
      <w:pPr>
        <w:shd w:val="clear" w:color="auto"/>
        <w:snapToGrid w:val="0"/>
        <w:spacing w:before="317" w:beforeLines="50" w:after="50"/>
        <w:jc w:val="center"/>
        <w:rPr>
          <w:rFonts w:hint="eastAsia" w:hAnsi="宋体" w:cs="宋体"/>
          <w:color w:val="auto"/>
          <w:sz w:val="24"/>
          <w:szCs w:val="24"/>
          <w:highlight w:val="none"/>
        </w:rPr>
      </w:pPr>
    </w:p>
    <w:p w14:paraId="5FB0EE47">
      <w:pPr>
        <w:shd w:val="clear" w:color="auto"/>
        <w:snapToGrid w:val="0"/>
        <w:spacing w:before="317" w:beforeLines="50" w:after="50"/>
        <w:jc w:val="center"/>
        <w:rPr>
          <w:rFonts w:hint="eastAsia" w:hAnsi="宋体" w:cs="宋体"/>
          <w:b/>
          <w:color w:val="auto"/>
          <w:sz w:val="24"/>
          <w:szCs w:val="24"/>
          <w:highlight w:val="none"/>
        </w:rPr>
      </w:pPr>
      <w:r>
        <w:rPr>
          <w:rFonts w:hint="eastAsia" w:hAnsi="宋体" w:cs="宋体"/>
          <w:b/>
          <w:color w:val="auto"/>
          <w:sz w:val="24"/>
          <w:szCs w:val="24"/>
          <w:highlight w:val="none"/>
        </w:rPr>
        <w:t>投标文件</w:t>
      </w:r>
    </w:p>
    <w:p w14:paraId="05CA12CE">
      <w:pPr>
        <w:shd w:val="clear" w:color="auto"/>
        <w:snapToGrid w:val="0"/>
        <w:spacing w:before="317" w:beforeLines="50" w:after="50"/>
        <w:rPr>
          <w:rFonts w:hint="eastAsia" w:hAnsi="宋体" w:cs="宋体"/>
          <w:color w:val="auto"/>
          <w:sz w:val="24"/>
          <w:szCs w:val="24"/>
          <w:highlight w:val="none"/>
        </w:rPr>
      </w:pPr>
    </w:p>
    <w:p w14:paraId="52C14160">
      <w:pPr>
        <w:shd w:val="clear" w:color="auto"/>
        <w:snapToGrid w:val="0"/>
        <w:spacing w:line="460" w:lineRule="exact"/>
        <w:ind w:firstLine="480" w:firstLineChars="200"/>
        <w:rPr>
          <w:rFonts w:hint="eastAsia" w:hAnsi="宋体" w:cs="宋体"/>
          <w:color w:val="auto"/>
          <w:sz w:val="24"/>
          <w:szCs w:val="24"/>
          <w:highlight w:val="none"/>
        </w:rPr>
      </w:pPr>
      <w:r>
        <w:rPr>
          <w:rFonts w:hint="eastAsia" w:hAnsi="宋体" w:cs="宋体"/>
          <w:color w:val="auto"/>
          <w:sz w:val="24"/>
          <w:szCs w:val="24"/>
          <w:highlight w:val="none"/>
        </w:rPr>
        <w:t>项目名称：</w:t>
      </w:r>
      <w:r>
        <w:rPr>
          <w:rFonts w:hint="eastAsia" w:hAnsi="宋体" w:cs="宋体"/>
          <w:color w:val="auto"/>
          <w:sz w:val="24"/>
          <w:szCs w:val="24"/>
          <w:highlight w:val="none"/>
          <w:lang w:eastAsia="zh-CN"/>
        </w:rPr>
        <w:t>2025-2026年婺城区农村人居环境长效管理第三方机构评估服务项目</w:t>
      </w:r>
      <w:r>
        <w:rPr>
          <w:rFonts w:hint="eastAsia" w:hAnsi="宋体" w:cs="宋体"/>
          <w:color w:val="auto"/>
          <w:sz w:val="24"/>
          <w:szCs w:val="24"/>
          <w:highlight w:val="none"/>
        </w:rPr>
        <w:t xml:space="preserve"> </w:t>
      </w:r>
    </w:p>
    <w:p w14:paraId="040DF72C">
      <w:pPr>
        <w:shd w:val="clear" w:color="auto"/>
        <w:snapToGrid w:val="0"/>
        <w:spacing w:line="460" w:lineRule="exact"/>
        <w:ind w:firstLine="480" w:firstLineChars="200"/>
        <w:rPr>
          <w:rFonts w:hint="eastAsia" w:hAnsi="宋体" w:cs="宋体"/>
          <w:color w:val="auto"/>
          <w:sz w:val="24"/>
          <w:szCs w:val="24"/>
          <w:highlight w:val="none"/>
        </w:rPr>
      </w:pPr>
      <w:r>
        <w:rPr>
          <w:rFonts w:hint="eastAsia" w:hAnsi="宋体" w:cs="宋体"/>
          <w:color w:val="auto"/>
          <w:sz w:val="24"/>
          <w:szCs w:val="24"/>
          <w:highlight w:val="none"/>
        </w:rPr>
        <w:t>项目编号：</w:t>
      </w:r>
    </w:p>
    <w:p w14:paraId="2AF21A16">
      <w:pPr>
        <w:shd w:val="clear" w:color="auto"/>
        <w:snapToGrid w:val="0"/>
        <w:spacing w:line="460" w:lineRule="exact"/>
        <w:ind w:firstLine="480" w:firstLineChars="200"/>
        <w:rPr>
          <w:rFonts w:hint="eastAsia" w:hAnsi="宋体" w:cs="宋体"/>
          <w:color w:val="auto"/>
          <w:sz w:val="24"/>
          <w:szCs w:val="24"/>
          <w:highlight w:val="none"/>
        </w:rPr>
      </w:pPr>
      <w:r>
        <w:rPr>
          <w:rFonts w:hint="eastAsia" w:hAnsi="宋体" w:cs="宋体"/>
          <w:color w:val="auto"/>
          <w:sz w:val="24"/>
          <w:szCs w:val="24"/>
          <w:highlight w:val="none"/>
        </w:rPr>
        <w:t>投标文件名称：资格文件、商务技术文件、报价文件</w:t>
      </w:r>
    </w:p>
    <w:p w14:paraId="79039EFE">
      <w:pPr>
        <w:shd w:val="clear" w:color="auto"/>
        <w:snapToGrid w:val="0"/>
        <w:spacing w:line="460" w:lineRule="exact"/>
        <w:ind w:firstLine="480" w:firstLineChars="200"/>
        <w:rPr>
          <w:rFonts w:hint="eastAsia" w:hAnsi="宋体" w:cs="宋体"/>
          <w:color w:val="auto"/>
          <w:sz w:val="24"/>
          <w:szCs w:val="24"/>
          <w:highlight w:val="none"/>
        </w:rPr>
      </w:pPr>
      <w:r>
        <w:rPr>
          <w:rFonts w:hint="eastAsia" w:hAnsi="宋体" w:cs="宋体"/>
          <w:color w:val="auto"/>
          <w:sz w:val="24"/>
          <w:szCs w:val="24"/>
          <w:highlight w:val="none"/>
        </w:rPr>
        <w:t>投标人名称：</w:t>
      </w:r>
    </w:p>
    <w:p w14:paraId="0A83A82A">
      <w:pPr>
        <w:shd w:val="clear" w:color="auto"/>
        <w:snapToGrid w:val="0"/>
        <w:spacing w:line="460" w:lineRule="exact"/>
        <w:ind w:firstLine="480" w:firstLineChars="200"/>
        <w:rPr>
          <w:rFonts w:hint="eastAsia" w:hAnsi="宋体" w:cs="宋体"/>
          <w:color w:val="auto"/>
          <w:sz w:val="24"/>
          <w:szCs w:val="24"/>
          <w:highlight w:val="none"/>
        </w:rPr>
      </w:pPr>
      <w:r>
        <w:rPr>
          <w:rFonts w:hint="eastAsia" w:hAnsi="宋体" w:cs="宋体"/>
          <w:color w:val="auto"/>
          <w:sz w:val="24"/>
          <w:szCs w:val="24"/>
          <w:highlight w:val="none"/>
        </w:rPr>
        <w:t>投标人地址：</w:t>
      </w:r>
    </w:p>
    <w:p w14:paraId="16996721">
      <w:pPr>
        <w:shd w:val="clear" w:color="auto"/>
        <w:snapToGrid w:val="0"/>
        <w:spacing w:before="317" w:beforeLines="50" w:after="50"/>
        <w:ind w:firstLine="645"/>
        <w:jc w:val="right"/>
        <w:rPr>
          <w:rFonts w:hint="eastAsia" w:hAnsi="宋体" w:cs="宋体"/>
          <w:color w:val="auto"/>
          <w:sz w:val="24"/>
          <w:szCs w:val="24"/>
          <w:highlight w:val="none"/>
        </w:rPr>
      </w:pPr>
      <w:r>
        <w:rPr>
          <w:rFonts w:hint="eastAsia" w:hAnsi="宋体" w:cs="宋体"/>
          <w:color w:val="auto"/>
          <w:sz w:val="24"/>
          <w:szCs w:val="24"/>
          <w:highlight w:val="none"/>
        </w:rPr>
        <w:t>年 月 日</w:t>
      </w:r>
    </w:p>
    <w:p w14:paraId="6ED85701">
      <w:pPr>
        <w:widowControl/>
        <w:shd w:val="clear" w:color="auto"/>
        <w:snapToGrid w:val="0"/>
        <w:spacing w:before="120" w:after="50"/>
        <w:rPr>
          <w:rFonts w:hint="eastAsia" w:hAnsi="宋体" w:cs="宋体"/>
          <w:b/>
          <w:color w:val="auto"/>
          <w:sz w:val="24"/>
          <w:highlight w:val="none"/>
        </w:rPr>
        <w:sectPr>
          <w:footerReference r:id="rId10" w:type="default"/>
          <w:pgSz w:w="11906" w:h="16838"/>
          <w:pgMar w:top="1440" w:right="1080" w:bottom="1440" w:left="1080" w:header="567" w:footer="964" w:gutter="0"/>
          <w:cols w:space="720" w:num="1"/>
          <w:docGrid w:type="lines" w:linePitch="634" w:charSpace="0"/>
        </w:sectPr>
      </w:pPr>
    </w:p>
    <w:p w14:paraId="2E49F4C2">
      <w:pPr>
        <w:widowControl/>
        <w:shd w:val="clear" w:color="auto"/>
        <w:snapToGrid w:val="0"/>
        <w:spacing w:before="120" w:after="50"/>
        <w:ind w:firstLine="482" w:firstLineChars="200"/>
        <w:rPr>
          <w:rFonts w:hint="eastAsia" w:hAnsi="宋体" w:cs="宋体"/>
          <w:b/>
          <w:color w:val="auto"/>
          <w:sz w:val="21"/>
          <w:highlight w:val="none"/>
        </w:rPr>
      </w:pPr>
      <w:r>
        <w:rPr>
          <w:rFonts w:hint="eastAsia" w:hAnsi="宋体" w:cs="宋体"/>
          <w:b/>
          <w:color w:val="auto"/>
          <w:sz w:val="24"/>
          <w:highlight w:val="none"/>
        </w:rPr>
        <w:t>（一）资格文件</w:t>
      </w:r>
    </w:p>
    <w:p w14:paraId="73F3212E">
      <w:pPr>
        <w:shd w:val="clear" w:color="auto"/>
        <w:autoSpaceDE/>
        <w:autoSpaceDN/>
        <w:adjustRightInd/>
        <w:spacing w:line="460" w:lineRule="exact"/>
        <w:ind w:firstLine="482" w:firstLineChars="200"/>
        <w:jc w:val="both"/>
        <w:rPr>
          <w:rFonts w:hint="eastAsia" w:hAnsi="宋体" w:cs="宋体"/>
          <w:color w:val="auto"/>
          <w:sz w:val="21"/>
          <w:szCs w:val="21"/>
          <w:highlight w:val="none"/>
        </w:rPr>
      </w:pPr>
      <w:r>
        <w:rPr>
          <w:rFonts w:hint="eastAsia" w:hAnsi="宋体" w:cs="宋体"/>
          <w:b/>
          <w:color w:val="auto"/>
          <w:sz w:val="24"/>
          <w:highlight w:val="none"/>
        </w:rPr>
        <w:t xml:space="preserve"> 资格文件目录</w:t>
      </w:r>
    </w:p>
    <w:p w14:paraId="1B4868DF">
      <w:pPr>
        <w:keepNext w:val="0"/>
        <w:keepLines w:val="0"/>
        <w:pageBreakBefore w:val="0"/>
        <w:shd w:val="clear" w:color="auto"/>
        <w:kinsoku/>
        <w:wordWrap/>
        <w:overflowPunct/>
        <w:topLinePunct w:val="0"/>
        <w:autoSpaceDE/>
        <w:autoSpaceDN/>
        <w:bidi w:val="0"/>
        <w:adjustRightInd/>
        <w:spacing w:line="500" w:lineRule="exact"/>
        <w:ind w:firstLine="420" w:firstLineChars="200"/>
        <w:textAlignment w:val="auto"/>
        <w:rPr>
          <w:rFonts w:hint="eastAsia" w:hAnsi="宋体" w:cs="宋体"/>
          <w:color w:val="auto"/>
          <w:sz w:val="21"/>
          <w:szCs w:val="21"/>
          <w:highlight w:val="none"/>
        </w:rPr>
      </w:pPr>
      <w:r>
        <w:rPr>
          <w:rFonts w:hint="eastAsia" w:hAnsi="宋体" w:cs="宋体"/>
          <w:color w:val="auto"/>
          <w:sz w:val="21"/>
          <w:szCs w:val="21"/>
          <w:highlight w:val="none"/>
        </w:rPr>
        <w:t>（1）投标人（包括投标联合体各方）有效期内的营业执照副本扫描件或复印件；</w:t>
      </w:r>
    </w:p>
    <w:p w14:paraId="0C514FA8">
      <w:pPr>
        <w:keepNext w:val="0"/>
        <w:keepLines w:val="0"/>
        <w:pageBreakBefore w:val="0"/>
        <w:widowControl/>
        <w:shd w:val="clear" w:color="auto"/>
        <w:kinsoku/>
        <w:wordWrap/>
        <w:overflowPunct/>
        <w:topLinePunct w:val="0"/>
        <w:autoSpaceDE/>
        <w:autoSpaceDN/>
        <w:bidi w:val="0"/>
        <w:adjustRightInd/>
        <w:spacing w:line="500" w:lineRule="exact"/>
        <w:ind w:firstLine="420" w:firstLineChars="200"/>
        <w:textAlignment w:val="auto"/>
        <w:rPr>
          <w:rFonts w:hint="eastAsia" w:hAnsi="宋体" w:cs="宋体"/>
          <w:color w:val="auto"/>
          <w:sz w:val="21"/>
          <w:szCs w:val="21"/>
          <w:highlight w:val="none"/>
        </w:rPr>
      </w:pPr>
      <w:r>
        <w:rPr>
          <w:rFonts w:hint="eastAsia" w:hAnsi="宋体" w:cs="宋体"/>
          <w:color w:val="auto"/>
          <w:sz w:val="21"/>
          <w:szCs w:val="21"/>
          <w:highlight w:val="none"/>
        </w:rPr>
        <w:t>（2）投标人（包括投标联合体各方）符合参加政府采购活动应当具备的一般条件的承诺函；（格式见附件）</w:t>
      </w:r>
    </w:p>
    <w:p w14:paraId="09B29B07">
      <w:pPr>
        <w:keepNext w:val="0"/>
        <w:keepLines w:val="0"/>
        <w:pageBreakBefore w:val="0"/>
        <w:shd w:val="clear" w:color="auto"/>
        <w:kinsoku/>
        <w:wordWrap/>
        <w:overflowPunct/>
        <w:topLinePunct w:val="0"/>
        <w:autoSpaceDE/>
        <w:autoSpaceDN/>
        <w:bidi w:val="0"/>
        <w:adjustRightInd/>
        <w:spacing w:line="500" w:lineRule="exact"/>
        <w:ind w:firstLine="420" w:firstLineChars="200"/>
        <w:jc w:val="both"/>
        <w:textAlignment w:val="auto"/>
        <w:rPr>
          <w:rFonts w:hint="eastAsia" w:hAnsi="宋体" w:cs="宋体"/>
          <w:color w:val="auto"/>
          <w:sz w:val="21"/>
          <w:szCs w:val="21"/>
          <w:highlight w:val="none"/>
        </w:rPr>
      </w:pPr>
      <w:r>
        <w:rPr>
          <w:rFonts w:hint="eastAsia" w:hAnsi="宋体" w:cs="宋体"/>
          <w:color w:val="auto"/>
          <w:sz w:val="21"/>
          <w:szCs w:val="21"/>
          <w:highlight w:val="none"/>
        </w:rPr>
        <w:t>（3）联合协议（联合体投标时须提供）；（格式见附件）</w:t>
      </w:r>
    </w:p>
    <w:p w14:paraId="231365BA">
      <w:pPr>
        <w:keepNext w:val="0"/>
        <w:keepLines w:val="0"/>
        <w:pageBreakBefore w:val="0"/>
        <w:widowControl/>
        <w:shd w:val="clear" w:color="auto"/>
        <w:kinsoku/>
        <w:wordWrap/>
        <w:overflowPunct/>
        <w:topLinePunct w:val="0"/>
        <w:autoSpaceDE/>
        <w:autoSpaceDN/>
        <w:bidi w:val="0"/>
        <w:adjustRightInd/>
        <w:spacing w:line="500" w:lineRule="exact"/>
        <w:ind w:firstLine="420" w:firstLineChars="200"/>
        <w:jc w:val="both"/>
        <w:textAlignment w:val="auto"/>
        <w:rPr>
          <w:rFonts w:hint="eastAsia" w:hAnsi="宋体" w:cs="宋体"/>
          <w:color w:val="auto"/>
          <w:sz w:val="21"/>
          <w:szCs w:val="21"/>
          <w:highlight w:val="none"/>
        </w:rPr>
      </w:pPr>
      <w:r>
        <w:rPr>
          <w:rFonts w:hint="eastAsia" w:hAnsi="宋体" w:cs="宋体"/>
          <w:color w:val="auto"/>
          <w:sz w:val="21"/>
          <w:szCs w:val="21"/>
          <w:highlight w:val="none"/>
        </w:rPr>
        <w:t>（4）分包意向协议（分包时须提供）；（格式见附件）</w:t>
      </w:r>
    </w:p>
    <w:p w14:paraId="472C9DCA">
      <w:pPr>
        <w:keepNext w:val="0"/>
        <w:keepLines w:val="0"/>
        <w:pageBreakBefore w:val="0"/>
        <w:widowControl/>
        <w:shd w:val="clear" w:color="auto"/>
        <w:kinsoku/>
        <w:wordWrap/>
        <w:overflowPunct/>
        <w:topLinePunct w:val="0"/>
        <w:autoSpaceDE/>
        <w:autoSpaceDN/>
        <w:bidi w:val="0"/>
        <w:adjustRightInd/>
        <w:snapToGrid w:val="0"/>
        <w:spacing w:line="500" w:lineRule="exact"/>
        <w:ind w:firstLine="420" w:firstLineChars="200"/>
        <w:jc w:val="both"/>
        <w:textAlignment w:val="auto"/>
        <w:rPr>
          <w:rFonts w:hint="eastAsia" w:hAnsi="宋体" w:cs="宋体"/>
          <w:bCs/>
          <w:color w:val="auto"/>
          <w:sz w:val="21"/>
          <w:szCs w:val="21"/>
          <w:highlight w:val="none"/>
        </w:rPr>
      </w:pPr>
      <w:r>
        <w:rPr>
          <w:rFonts w:hint="eastAsia" w:hAnsi="宋体" w:cs="宋体"/>
          <w:bCs/>
          <w:color w:val="auto"/>
          <w:sz w:val="21"/>
          <w:szCs w:val="21"/>
          <w:highlight w:val="none"/>
        </w:rPr>
        <w:t>（</w:t>
      </w:r>
      <w:r>
        <w:rPr>
          <w:rFonts w:hint="eastAsia" w:hAnsi="宋体" w:cs="宋体"/>
          <w:color w:val="auto"/>
          <w:sz w:val="21"/>
          <w:szCs w:val="21"/>
          <w:highlight w:val="none"/>
        </w:rPr>
        <w:t>5</w:t>
      </w:r>
      <w:r>
        <w:rPr>
          <w:rFonts w:hint="eastAsia" w:hAnsi="宋体" w:cs="宋体"/>
          <w:bCs/>
          <w:color w:val="auto"/>
          <w:sz w:val="21"/>
          <w:szCs w:val="21"/>
          <w:highlight w:val="none"/>
        </w:rPr>
        <w:t>）落实政府采购政策需满足的资格要求</w:t>
      </w:r>
      <w:r>
        <w:rPr>
          <w:rFonts w:hint="eastAsia" w:hAnsi="宋体" w:cs="宋体"/>
          <w:color w:val="auto"/>
          <w:sz w:val="21"/>
          <w:szCs w:val="21"/>
          <w:highlight w:val="none"/>
        </w:rPr>
        <w:t>；（格式见附件）</w:t>
      </w:r>
    </w:p>
    <w:p w14:paraId="7A297EA3">
      <w:pPr>
        <w:keepNext w:val="0"/>
        <w:keepLines w:val="0"/>
        <w:pageBreakBefore w:val="0"/>
        <w:widowControl/>
        <w:shd w:val="clear" w:color="auto"/>
        <w:kinsoku/>
        <w:wordWrap/>
        <w:overflowPunct/>
        <w:topLinePunct w:val="0"/>
        <w:autoSpaceDE/>
        <w:autoSpaceDN/>
        <w:bidi w:val="0"/>
        <w:adjustRightInd/>
        <w:snapToGrid w:val="0"/>
        <w:spacing w:line="500" w:lineRule="exact"/>
        <w:ind w:firstLine="422" w:firstLineChars="200"/>
        <w:jc w:val="both"/>
        <w:textAlignment w:val="auto"/>
        <w:rPr>
          <w:rFonts w:hint="eastAsia" w:hAnsi="宋体" w:cs="宋体"/>
          <w:color w:val="auto"/>
          <w:sz w:val="21"/>
          <w:szCs w:val="21"/>
          <w:highlight w:val="none"/>
        </w:rPr>
      </w:pPr>
      <w:r>
        <w:rPr>
          <w:rFonts w:hint="eastAsia" w:hAnsi="宋体" w:cs="宋体"/>
          <w:b/>
          <w:color w:val="auto"/>
          <w:sz w:val="21"/>
          <w:szCs w:val="21"/>
          <w:highlight w:val="none"/>
        </w:rPr>
        <w:t>★注：</w:t>
      </w:r>
      <w:r>
        <w:rPr>
          <w:rFonts w:hint="eastAsia" w:hAnsi="宋体" w:cs="宋体"/>
          <w:color w:val="auto"/>
          <w:sz w:val="21"/>
          <w:szCs w:val="21"/>
          <w:highlight w:val="none"/>
        </w:rPr>
        <w:t>以上证明材料中，材料要求为“</w:t>
      </w:r>
      <w:r>
        <w:rPr>
          <w:rFonts w:hint="eastAsia" w:hAnsi="宋体" w:cs="宋体"/>
          <w:color w:val="auto"/>
          <w:sz w:val="21"/>
          <w:szCs w:val="21"/>
          <w:highlight w:val="none"/>
          <w:lang w:bidi="ar"/>
        </w:rPr>
        <w:t>包括投标联合体各方</w:t>
      </w:r>
      <w:r>
        <w:rPr>
          <w:rFonts w:hint="eastAsia" w:hAnsi="宋体" w:cs="宋体"/>
          <w:color w:val="auto"/>
          <w:sz w:val="21"/>
          <w:szCs w:val="21"/>
          <w:highlight w:val="none"/>
        </w:rPr>
        <w:t>”的，则投标联合体各方均须提供相关材料，仅提供联合体牵头人盖章材料的，则投标无效。</w:t>
      </w:r>
    </w:p>
    <w:p w14:paraId="2E6295CF">
      <w:pPr>
        <w:widowControl/>
        <w:shd w:val="clear" w:color="auto"/>
        <w:autoSpaceDE/>
        <w:autoSpaceDN/>
        <w:adjustRightInd/>
        <w:snapToGrid w:val="0"/>
        <w:spacing w:line="460" w:lineRule="exact"/>
        <w:ind w:firstLine="420" w:firstLineChars="200"/>
        <w:jc w:val="both"/>
        <w:rPr>
          <w:rFonts w:hint="eastAsia" w:hAnsi="宋体" w:cs="宋体"/>
          <w:color w:val="auto"/>
          <w:sz w:val="21"/>
          <w:szCs w:val="21"/>
          <w:highlight w:val="none"/>
        </w:rPr>
      </w:pPr>
    </w:p>
    <w:p w14:paraId="13068418">
      <w:pPr>
        <w:widowControl/>
        <w:shd w:val="clear" w:color="auto"/>
        <w:autoSpaceDE/>
        <w:autoSpaceDN/>
        <w:adjustRightInd/>
        <w:spacing w:line="500" w:lineRule="exact"/>
        <w:ind w:firstLine="420" w:firstLineChars="200"/>
        <w:rPr>
          <w:rFonts w:hint="eastAsia" w:hAnsi="宋体" w:cs="宋体"/>
          <w:color w:val="auto"/>
          <w:sz w:val="21"/>
          <w:szCs w:val="21"/>
          <w:highlight w:val="none"/>
        </w:rPr>
      </w:pPr>
    </w:p>
    <w:p w14:paraId="5852FD96">
      <w:pPr>
        <w:shd w:val="clear" w:color="auto"/>
        <w:snapToGrid w:val="0"/>
        <w:spacing w:line="500" w:lineRule="exact"/>
        <w:ind w:firstLine="420" w:firstLineChars="200"/>
        <w:rPr>
          <w:rFonts w:hint="eastAsia" w:hAnsi="宋体" w:cs="宋体"/>
          <w:color w:val="auto"/>
          <w:sz w:val="21"/>
          <w:szCs w:val="21"/>
          <w:highlight w:val="none"/>
          <w:lang w:bidi="ar"/>
        </w:rPr>
      </w:pPr>
    </w:p>
    <w:p w14:paraId="20F06678">
      <w:pPr>
        <w:shd w:val="clear" w:color="auto"/>
        <w:autoSpaceDE/>
        <w:autoSpaceDN/>
        <w:adjustRightInd/>
        <w:snapToGrid w:val="0"/>
        <w:spacing w:line="500" w:lineRule="exact"/>
        <w:ind w:firstLine="420" w:firstLineChars="200"/>
        <w:rPr>
          <w:rFonts w:hint="eastAsia" w:hAnsi="宋体" w:cs="宋体"/>
          <w:color w:val="auto"/>
          <w:sz w:val="21"/>
          <w:szCs w:val="21"/>
          <w:highlight w:val="none"/>
        </w:rPr>
      </w:pPr>
    </w:p>
    <w:p w14:paraId="14C659E0">
      <w:pPr>
        <w:keepNext/>
        <w:keepLines/>
        <w:shd w:val="clear" w:color="auto"/>
        <w:spacing w:line="500" w:lineRule="exact"/>
        <w:ind w:firstLine="480" w:firstLineChars="200"/>
        <w:rPr>
          <w:rFonts w:hint="eastAsia" w:hAnsi="宋体" w:cs="宋体"/>
          <w:color w:val="auto"/>
          <w:sz w:val="24"/>
          <w:szCs w:val="24"/>
          <w:highlight w:val="none"/>
        </w:rPr>
      </w:pPr>
      <w:r>
        <w:rPr>
          <w:rFonts w:hint="eastAsia" w:hAnsi="宋体" w:cs="宋体"/>
          <w:color w:val="auto"/>
          <w:sz w:val="24"/>
          <w:szCs w:val="24"/>
          <w:highlight w:val="none"/>
        </w:rPr>
        <w:br w:type="page"/>
      </w:r>
      <w:r>
        <w:rPr>
          <w:rFonts w:hint="eastAsia" w:hAnsi="宋体" w:cs="宋体"/>
          <w:color w:val="auto"/>
          <w:sz w:val="24"/>
          <w:szCs w:val="24"/>
          <w:highlight w:val="none"/>
        </w:rPr>
        <w:t xml:space="preserve">  </w:t>
      </w:r>
      <w:r>
        <w:rPr>
          <w:rFonts w:hint="eastAsia" w:hAnsi="宋体" w:cs="宋体"/>
          <w:b/>
          <w:bCs/>
          <w:color w:val="auto"/>
          <w:sz w:val="24"/>
          <w:szCs w:val="24"/>
          <w:highlight w:val="none"/>
        </w:rPr>
        <w:t>1.投标人（包括投标联合体各方）有效期内的营业执照副本扫描件或复印件；</w:t>
      </w:r>
    </w:p>
    <w:p w14:paraId="0F42E8BA">
      <w:pPr>
        <w:shd w:val="clear" w:color="auto"/>
        <w:spacing w:line="500" w:lineRule="exact"/>
        <w:ind w:firstLine="482" w:firstLineChars="200"/>
        <w:jc w:val="center"/>
        <w:rPr>
          <w:rFonts w:hint="eastAsia" w:hAnsi="宋体" w:cs="宋体"/>
          <w:b/>
          <w:color w:val="auto"/>
          <w:sz w:val="24"/>
          <w:szCs w:val="24"/>
          <w:highlight w:val="none"/>
        </w:rPr>
      </w:pPr>
    </w:p>
    <w:p w14:paraId="2B380340">
      <w:pPr>
        <w:shd w:val="clear" w:color="auto"/>
        <w:snapToGrid w:val="0"/>
        <w:spacing w:line="360" w:lineRule="auto"/>
        <w:ind w:right="480"/>
        <w:jc w:val="center"/>
        <w:rPr>
          <w:rFonts w:hint="eastAsia" w:hAnsi="宋体" w:cs="宋体"/>
          <w:b/>
          <w:color w:val="auto"/>
          <w:sz w:val="21"/>
          <w:szCs w:val="21"/>
          <w:highlight w:val="none"/>
        </w:rPr>
      </w:pPr>
      <w:r>
        <w:rPr>
          <w:rFonts w:hint="eastAsia" w:hAnsi="宋体" w:cs="宋体"/>
          <w:b/>
          <w:color w:val="auto"/>
          <w:sz w:val="21"/>
          <w:szCs w:val="21"/>
          <w:highlight w:val="none"/>
          <w:lang w:val="en-US" w:eastAsia="zh-CN"/>
        </w:rPr>
        <w:t>2</w:t>
      </w:r>
      <w:r>
        <w:rPr>
          <w:rFonts w:hint="eastAsia" w:hAnsi="宋体" w:cs="宋体"/>
          <w:b/>
          <w:color w:val="auto"/>
          <w:sz w:val="21"/>
          <w:szCs w:val="21"/>
          <w:highlight w:val="none"/>
        </w:rPr>
        <w:t>.符合参加政府采购活动应当具备的一般条件的承诺函</w:t>
      </w:r>
    </w:p>
    <w:p w14:paraId="550E769B">
      <w:pPr>
        <w:shd w:val="clear" w:color="auto"/>
        <w:snapToGrid w:val="0"/>
        <w:spacing w:line="500" w:lineRule="exact"/>
        <w:rPr>
          <w:rFonts w:hint="eastAsia" w:hAnsi="宋体" w:cs="宋体"/>
          <w:color w:val="auto"/>
          <w:sz w:val="24"/>
          <w:szCs w:val="24"/>
          <w:highlight w:val="none"/>
        </w:rPr>
      </w:pPr>
      <w:r>
        <w:rPr>
          <w:rFonts w:hint="eastAsia" w:hAnsi="宋体" w:cs="宋体"/>
          <w:color w:val="auto"/>
          <w:sz w:val="24"/>
          <w:szCs w:val="24"/>
          <w:highlight w:val="none"/>
        </w:rPr>
        <w:t>致：</w:t>
      </w:r>
      <w:r>
        <w:rPr>
          <w:rFonts w:hint="eastAsia" w:hAnsi="宋体" w:cs="宋体"/>
          <w:color w:val="auto"/>
          <w:sz w:val="24"/>
          <w:szCs w:val="24"/>
          <w:highlight w:val="none"/>
          <w:lang w:eastAsia="zh-CN"/>
        </w:rPr>
        <w:t>金华市婺城区乡村建设指导中心</w:t>
      </w:r>
      <w:r>
        <w:rPr>
          <w:rFonts w:hint="eastAsia" w:hAnsi="宋体" w:cs="宋体"/>
          <w:color w:val="auto"/>
          <w:sz w:val="24"/>
          <w:szCs w:val="24"/>
          <w:highlight w:val="none"/>
        </w:rPr>
        <w:t>、金华市天盈招标代理有限公司：：</w:t>
      </w:r>
    </w:p>
    <w:p w14:paraId="795B600B">
      <w:pPr>
        <w:shd w:val="clear" w:color="auto"/>
        <w:snapToGrid w:val="0"/>
        <w:spacing w:line="500" w:lineRule="exact"/>
        <w:ind w:firstLine="480" w:firstLineChars="200"/>
        <w:rPr>
          <w:rFonts w:hint="eastAsia" w:hAnsi="宋体" w:cs="宋体"/>
          <w:color w:val="auto"/>
          <w:sz w:val="24"/>
          <w:szCs w:val="24"/>
          <w:highlight w:val="none"/>
        </w:rPr>
      </w:pPr>
      <w:r>
        <w:rPr>
          <w:rFonts w:hint="eastAsia" w:hAnsi="宋体" w:cs="宋体"/>
          <w:color w:val="auto"/>
          <w:sz w:val="24"/>
          <w:szCs w:val="24"/>
          <w:highlight w:val="none"/>
        </w:rPr>
        <w:t>我方参与</w:t>
      </w:r>
      <w:r>
        <w:rPr>
          <w:rFonts w:hint="eastAsia" w:hAnsi="宋体" w:cs="宋体"/>
          <w:color w:val="auto"/>
          <w:sz w:val="24"/>
          <w:szCs w:val="24"/>
          <w:highlight w:val="none"/>
          <w:u w:val="single"/>
          <w:lang w:eastAsia="zh-CN"/>
        </w:rPr>
        <w:t>2025-2026年婺城区农村人居环境长效管理第三方机构评估服务项目</w:t>
      </w:r>
      <w:r>
        <w:rPr>
          <w:rFonts w:hint="eastAsia" w:hAnsi="宋体" w:cs="宋体"/>
          <w:color w:val="auto"/>
          <w:sz w:val="24"/>
          <w:szCs w:val="24"/>
          <w:highlight w:val="none"/>
        </w:rPr>
        <w:t>【项目编号：</w:t>
      </w:r>
      <w:r>
        <w:rPr>
          <w:rFonts w:hint="eastAsia" w:hAnsi="宋体" w:cs="宋体"/>
          <w:color w:val="auto"/>
          <w:sz w:val="24"/>
          <w:szCs w:val="24"/>
          <w:highlight w:val="none"/>
          <w:lang w:eastAsia="zh-CN"/>
        </w:rPr>
        <w:t>TY2025-FW038-ZFCG038-1</w:t>
      </w:r>
      <w:r>
        <w:rPr>
          <w:rFonts w:hint="eastAsia" w:hAnsi="宋体" w:cs="宋体"/>
          <w:color w:val="auto"/>
          <w:sz w:val="24"/>
          <w:szCs w:val="24"/>
          <w:highlight w:val="none"/>
        </w:rPr>
        <w:t>】政府采购活动，郑重承诺：</w:t>
      </w:r>
    </w:p>
    <w:p w14:paraId="3C48F6C9">
      <w:pPr>
        <w:shd w:val="clear" w:color="auto"/>
        <w:snapToGrid w:val="0"/>
        <w:spacing w:line="500" w:lineRule="exact"/>
        <w:ind w:firstLine="480" w:firstLineChars="200"/>
        <w:rPr>
          <w:rFonts w:hint="eastAsia" w:hAnsi="宋体" w:cs="宋体"/>
          <w:color w:val="auto"/>
          <w:sz w:val="24"/>
          <w:szCs w:val="24"/>
          <w:highlight w:val="none"/>
        </w:rPr>
      </w:pPr>
      <w:r>
        <w:rPr>
          <w:rFonts w:hint="eastAsia" w:hAnsi="宋体" w:cs="宋体"/>
          <w:color w:val="auto"/>
          <w:sz w:val="24"/>
          <w:szCs w:val="24"/>
          <w:highlight w:val="none"/>
        </w:rPr>
        <w:t>（一）具备《中华人民共和国政府采购法》第二十二条第一款规定的条件：</w:t>
      </w:r>
    </w:p>
    <w:p w14:paraId="49F1AEDC">
      <w:pPr>
        <w:shd w:val="clear" w:color="auto"/>
        <w:snapToGrid w:val="0"/>
        <w:spacing w:line="500" w:lineRule="exact"/>
        <w:ind w:firstLine="480" w:firstLineChars="200"/>
        <w:rPr>
          <w:rFonts w:hint="eastAsia" w:hAnsi="宋体" w:cs="宋体"/>
          <w:color w:val="auto"/>
          <w:sz w:val="24"/>
          <w:szCs w:val="24"/>
          <w:highlight w:val="none"/>
        </w:rPr>
      </w:pPr>
      <w:r>
        <w:rPr>
          <w:rFonts w:hint="eastAsia" w:hAnsi="宋体" w:cs="宋体"/>
          <w:color w:val="auto"/>
          <w:sz w:val="24"/>
          <w:szCs w:val="24"/>
          <w:highlight w:val="none"/>
        </w:rPr>
        <w:t>1.具有独立承担民事责任的能力；</w:t>
      </w:r>
    </w:p>
    <w:p w14:paraId="6A70DFEB">
      <w:pPr>
        <w:shd w:val="clear" w:color="auto"/>
        <w:snapToGrid w:val="0"/>
        <w:spacing w:line="500" w:lineRule="exact"/>
        <w:ind w:firstLine="480" w:firstLineChars="200"/>
        <w:rPr>
          <w:rFonts w:hint="eastAsia" w:hAnsi="宋体" w:cs="宋体"/>
          <w:color w:val="auto"/>
          <w:sz w:val="24"/>
          <w:szCs w:val="24"/>
          <w:highlight w:val="none"/>
        </w:rPr>
      </w:pPr>
      <w:r>
        <w:rPr>
          <w:rFonts w:hint="eastAsia" w:hAnsi="宋体" w:cs="宋体"/>
          <w:color w:val="auto"/>
          <w:sz w:val="24"/>
          <w:szCs w:val="24"/>
          <w:highlight w:val="none"/>
        </w:rPr>
        <w:t xml:space="preserve">2.具有良好的商业信誉和健全的财务会计制度； </w:t>
      </w:r>
    </w:p>
    <w:p w14:paraId="2C7A2BE2">
      <w:pPr>
        <w:shd w:val="clear" w:color="auto"/>
        <w:snapToGrid w:val="0"/>
        <w:spacing w:line="500" w:lineRule="exact"/>
        <w:ind w:firstLine="480" w:firstLineChars="200"/>
        <w:rPr>
          <w:rFonts w:hint="eastAsia" w:hAnsi="宋体" w:cs="宋体"/>
          <w:color w:val="auto"/>
          <w:sz w:val="24"/>
          <w:szCs w:val="24"/>
          <w:highlight w:val="none"/>
        </w:rPr>
      </w:pPr>
      <w:r>
        <w:rPr>
          <w:rFonts w:hint="eastAsia" w:hAnsi="宋体" w:cs="宋体"/>
          <w:color w:val="auto"/>
          <w:sz w:val="24"/>
          <w:szCs w:val="24"/>
          <w:highlight w:val="none"/>
        </w:rPr>
        <w:t>3.具有履行合同所必需的设备和专业技术能力；</w:t>
      </w:r>
    </w:p>
    <w:p w14:paraId="53E73902">
      <w:pPr>
        <w:shd w:val="clear" w:color="auto"/>
        <w:snapToGrid w:val="0"/>
        <w:spacing w:line="500" w:lineRule="exact"/>
        <w:ind w:firstLine="480" w:firstLineChars="200"/>
        <w:rPr>
          <w:rFonts w:hint="eastAsia" w:hAnsi="宋体" w:cs="宋体"/>
          <w:color w:val="auto"/>
          <w:sz w:val="24"/>
          <w:szCs w:val="24"/>
          <w:highlight w:val="none"/>
        </w:rPr>
      </w:pPr>
      <w:r>
        <w:rPr>
          <w:rFonts w:hint="eastAsia" w:hAnsi="宋体" w:cs="宋体"/>
          <w:color w:val="auto"/>
          <w:sz w:val="24"/>
          <w:szCs w:val="24"/>
          <w:highlight w:val="none"/>
        </w:rPr>
        <w:t>4.有依法缴纳税收和社会保障资金的良好记录；</w:t>
      </w:r>
    </w:p>
    <w:p w14:paraId="71BDADF1">
      <w:pPr>
        <w:shd w:val="clear" w:color="auto"/>
        <w:snapToGrid w:val="0"/>
        <w:spacing w:line="500" w:lineRule="exact"/>
        <w:ind w:firstLine="480" w:firstLineChars="200"/>
        <w:rPr>
          <w:rFonts w:hint="eastAsia" w:hAnsi="宋体" w:cs="宋体"/>
          <w:color w:val="auto"/>
          <w:sz w:val="24"/>
          <w:szCs w:val="24"/>
          <w:highlight w:val="none"/>
        </w:rPr>
      </w:pPr>
      <w:r>
        <w:rPr>
          <w:rFonts w:hint="eastAsia" w:hAnsi="宋体" w:cs="宋体"/>
          <w:color w:val="auto"/>
          <w:sz w:val="24"/>
          <w:szCs w:val="24"/>
          <w:highlight w:val="none"/>
        </w:rPr>
        <w:t>5.参加政府采购活动前三年内，在经营活动中没有重大违法记录；</w:t>
      </w:r>
    </w:p>
    <w:p w14:paraId="6BE6E22C">
      <w:pPr>
        <w:shd w:val="clear" w:color="auto"/>
        <w:snapToGrid w:val="0"/>
        <w:spacing w:line="500" w:lineRule="exact"/>
        <w:ind w:firstLine="480" w:firstLineChars="200"/>
        <w:rPr>
          <w:rFonts w:hint="eastAsia" w:hAnsi="宋体" w:cs="宋体"/>
          <w:color w:val="auto"/>
          <w:sz w:val="24"/>
          <w:szCs w:val="24"/>
          <w:highlight w:val="none"/>
        </w:rPr>
      </w:pPr>
      <w:r>
        <w:rPr>
          <w:rFonts w:hint="eastAsia" w:hAnsi="宋体" w:cs="宋体"/>
          <w:color w:val="auto"/>
          <w:sz w:val="24"/>
          <w:szCs w:val="24"/>
          <w:highlight w:val="none"/>
        </w:rPr>
        <w:t>6.具有法律、行政法规规定的其他条件。</w:t>
      </w:r>
    </w:p>
    <w:p w14:paraId="236A5043">
      <w:pPr>
        <w:shd w:val="clear" w:color="auto"/>
        <w:snapToGrid w:val="0"/>
        <w:spacing w:line="500" w:lineRule="exact"/>
        <w:ind w:firstLine="480" w:firstLineChars="200"/>
        <w:rPr>
          <w:rFonts w:hint="eastAsia" w:hAnsi="宋体" w:cs="宋体"/>
          <w:color w:val="auto"/>
          <w:sz w:val="24"/>
          <w:szCs w:val="24"/>
          <w:highlight w:val="none"/>
        </w:rPr>
      </w:pPr>
      <w:r>
        <w:rPr>
          <w:rFonts w:hint="eastAsia" w:hAnsi="宋体" w:cs="宋体"/>
          <w:color w:val="auto"/>
          <w:sz w:val="24"/>
          <w:szCs w:val="24"/>
          <w:highlight w:val="none"/>
        </w:rPr>
        <w:t>（二）未被信用中国（www.creditchina.gov.cn)、中国政府采购网（www.ccgp.gov.cn）列入失信被执行人、重大税收违法案件当事人名单、政府采购严重违法失信行为记录名单。</w:t>
      </w:r>
    </w:p>
    <w:p w14:paraId="4A797202">
      <w:pPr>
        <w:shd w:val="clear" w:color="auto"/>
        <w:snapToGrid w:val="0"/>
        <w:spacing w:line="500" w:lineRule="exact"/>
        <w:ind w:firstLine="480" w:firstLineChars="200"/>
        <w:rPr>
          <w:rFonts w:hint="eastAsia" w:hAnsi="宋体" w:cs="宋体"/>
          <w:color w:val="auto"/>
          <w:sz w:val="24"/>
          <w:szCs w:val="24"/>
          <w:highlight w:val="none"/>
        </w:rPr>
      </w:pPr>
      <w:r>
        <w:rPr>
          <w:rFonts w:hint="eastAsia" w:hAnsi="宋体" w:cs="宋体"/>
          <w:color w:val="auto"/>
          <w:sz w:val="24"/>
          <w:szCs w:val="24"/>
          <w:highlight w:val="none"/>
        </w:rPr>
        <w:t>（三）不存在以下情况：</w:t>
      </w:r>
    </w:p>
    <w:p w14:paraId="35D0FBAF">
      <w:pPr>
        <w:shd w:val="clear" w:color="auto"/>
        <w:snapToGrid w:val="0"/>
        <w:spacing w:line="500" w:lineRule="exact"/>
        <w:ind w:firstLine="480" w:firstLineChars="200"/>
        <w:rPr>
          <w:rFonts w:hint="eastAsia" w:hAnsi="宋体" w:cs="宋体"/>
          <w:color w:val="auto"/>
          <w:sz w:val="24"/>
          <w:szCs w:val="24"/>
          <w:highlight w:val="none"/>
        </w:rPr>
      </w:pPr>
      <w:r>
        <w:rPr>
          <w:rFonts w:hint="eastAsia" w:hAnsi="宋体" w:cs="宋体"/>
          <w:color w:val="auto"/>
          <w:sz w:val="24"/>
          <w:szCs w:val="24"/>
          <w:highlight w:val="none"/>
        </w:rPr>
        <w:t>1.单位负责人为同一人或者存在直接控股、管理关系的不同供应商参加同一合同项下的政府采购活动的；</w:t>
      </w:r>
    </w:p>
    <w:p w14:paraId="0868A8A0">
      <w:pPr>
        <w:shd w:val="clear" w:color="auto"/>
        <w:snapToGrid w:val="0"/>
        <w:spacing w:line="500" w:lineRule="exact"/>
        <w:ind w:firstLine="480" w:firstLineChars="200"/>
        <w:rPr>
          <w:rFonts w:hint="eastAsia" w:hAnsi="宋体" w:cs="宋体"/>
          <w:color w:val="auto"/>
          <w:sz w:val="24"/>
          <w:szCs w:val="24"/>
          <w:highlight w:val="none"/>
        </w:rPr>
      </w:pPr>
      <w:r>
        <w:rPr>
          <w:rFonts w:hint="eastAsia" w:hAnsi="宋体" w:cs="宋体"/>
          <w:color w:val="auto"/>
          <w:sz w:val="24"/>
          <w:szCs w:val="24"/>
          <w:highlight w:val="none"/>
        </w:rPr>
        <w:t>2.为采购项目提供整体设计、规范编制或者项目管理、监理、检测等服务后再参加该采购项目的其他采购活动的。</w:t>
      </w:r>
    </w:p>
    <w:p w14:paraId="61D3FA55">
      <w:pPr>
        <w:shd w:val="clear" w:color="auto"/>
        <w:snapToGrid w:val="0"/>
        <w:spacing w:line="500" w:lineRule="exact"/>
        <w:ind w:firstLine="480" w:firstLineChars="200"/>
        <w:rPr>
          <w:rFonts w:hint="eastAsia" w:hAnsi="宋体" w:cs="宋体"/>
          <w:color w:val="auto"/>
          <w:sz w:val="24"/>
          <w:szCs w:val="24"/>
          <w:highlight w:val="none"/>
        </w:rPr>
      </w:pPr>
      <w:r>
        <w:rPr>
          <w:rFonts w:hint="eastAsia" w:hAnsi="宋体" w:cs="宋体"/>
          <w:color w:val="auto"/>
          <w:sz w:val="24"/>
          <w:szCs w:val="24"/>
          <w:highlight w:val="none"/>
        </w:rPr>
        <w:t>投标人（或联合体投标人的牵头单位）全称（盖章）</w:t>
      </w:r>
      <w:r>
        <w:rPr>
          <w:rFonts w:hint="eastAsia" w:hAnsi="宋体" w:cs="宋体"/>
          <w:color w:val="auto"/>
          <w:sz w:val="24"/>
          <w:szCs w:val="24"/>
          <w:highlight w:val="none"/>
          <w:lang w:val="zh-CN"/>
        </w:rPr>
        <w:t>：</w:t>
      </w:r>
    </w:p>
    <w:p w14:paraId="18D87B9B">
      <w:pPr>
        <w:shd w:val="clear" w:color="auto"/>
        <w:snapToGrid w:val="0"/>
        <w:spacing w:line="500" w:lineRule="exact"/>
        <w:ind w:firstLine="480" w:firstLineChars="200"/>
        <w:jc w:val="right"/>
        <w:rPr>
          <w:rFonts w:hint="eastAsia" w:hAnsi="宋体" w:cs="宋体"/>
          <w:color w:val="auto"/>
          <w:sz w:val="24"/>
          <w:szCs w:val="24"/>
          <w:highlight w:val="none"/>
        </w:rPr>
      </w:pPr>
      <w:r>
        <w:rPr>
          <w:rFonts w:hint="eastAsia" w:hAnsi="宋体" w:cs="宋体"/>
          <w:color w:val="auto"/>
          <w:sz w:val="24"/>
          <w:szCs w:val="24"/>
          <w:highlight w:val="none"/>
          <w:lang w:val="zh-CN"/>
        </w:rPr>
        <w:t xml:space="preserve">      日期</w:t>
      </w:r>
      <w:r>
        <w:rPr>
          <w:rFonts w:hint="eastAsia" w:hAnsi="宋体" w:cs="宋体"/>
          <w:color w:val="auto"/>
          <w:sz w:val="24"/>
          <w:szCs w:val="24"/>
          <w:highlight w:val="none"/>
        </w:rPr>
        <w:t xml:space="preserve">：  年   </w:t>
      </w:r>
      <w:r>
        <w:rPr>
          <w:rFonts w:hint="eastAsia" w:hAnsi="宋体" w:cs="宋体"/>
          <w:color w:val="auto"/>
          <w:sz w:val="24"/>
          <w:szCs w:val="24"/>
          <w:highlight w:val="none"/>
          <w:lang w:val="zh-CN"/>
        </w:rPr>
        <w:t>月</w:t>
      </w:r>
      <w:r>
        <w:rPr>
          <w:rFonts w:hint="eastAsia" w:hAnsi="宋体" w:cs="宋体"/>
          <w:color w:val="auto"/>
          <w:sz w:val="24"/>
          <w:szCs w:val="24"/>
          <w:highlight w:val="none"/>
        </w:rPr>
        <w:t xml:space="preserve">   </w:t>
      </w:r>
      <w:r>
        <w:rPr>
          <w:rFonts w:hint="eastAsia" w:hAnsi="宋体" w:cs="宋体"/>
          <w:color w:val="auto"/>
          <w:sz w:val="24"/>
          <w:szCs w:val="24"/>
          <w:highlight w:val="none"/>
          <w:lang w:val="zh-CN"/>
        </w:rPr>
        <w:t>日</w:t>
      </w:r>
    </w:p>
    <w:p w14:paraId="09C738BC">
      <w:pPr>
        <w:shd w:val="clear" w:color="auto"/>
        <w:rPr>
          <w:rFonts w:hint="eastAsia" w:hAnsi="宋体" w:cs="宋体"/>
          <w:color w:val="auto"/>
          <w:sz w:val="21"/>
          <w:szCs w:val="21"/>
          <w:highlight w:val="none"/>
        </w:rPr>
      </w:pPr>
    </w:p>
    <w:p w14:paraId="0CFD353F">
      <w:pPr>
        <w:shd w:val="clear" w:color="auto"/>
        <w:spacing w:line="500" w:lineRule="exact"/>
        <w:rPr>
          <w:rFonts w:hint="eastAsia" w:hAnsi="宋体" w:cs="宋体"/>
          <w:b/>
          <w:color w:val="auto"/>
          <w:sz w:val="21"/>
          <w:szCs w:val="21"/>
          <w:highlight w:val="none"/>
        </w:rPr>
      </w:pPr>
    </w:p>
    <w:p w14:paraId="655FB14F">
      <w:pPr>
        <w:shd w:val="clear" w:color="auto"/>
        <w:snapToGrid w:val="0"/>
        <w:spacing w:line="360" w:lineRule="auto"/>
        <w:ind w:right="480"/>
        <w:jc w:val="center"/>
        <w:rPr>
          <w:rFonts w:hint="eastAsia" w:hAnsi="宋体" w:cs="宋体"/>
          <w:b/>
          <w:color w:val="auto"/>
          <w:sz w:val="21"/>
          <w:szCs w:val="21"/>
          <w:highlight w:val="none"/>
        </w:rPr>
      </w:pPr>
    </w:p>
    <w:p w14:paraId="0DE5EAB8">
      <w:pPr>
        <w:shd w:val="clear" w:color="auto"/>
        <w:spacing w:line="500" w:lineRule="exact"/>
        <w:jc w:val="center"/>
        <w:rPr>
          <w:rFonts w:hint="eastAsia" w:hAnsi="宋体" w:cs="宋体"/>
          <w:b/>
          <w:color w:val="auto"/>
          <w:sz w:val="24"/>
          <w:szCs w:val="24"/>
          <w:highlight w:val="none"/>
          <w:lang w:val="zh-TW" w:eastAsia="zh-TW"/>
        </w:rPr>
      </w:pPr>
      <w:r>
        <w:rPr>
          <w:rFonts w:hint="eastAsia" w:hAnsi="宋体" w:cs="宋体"/>
          <w:b/>
          <w:color w:val="auto"/>
          <w:sz w:val="21"/>
          <w:szCs w:val="21"/>
          <w:highlight w:val="none"/>
        </w:rPr>
        <w:br w:type="page"/>
      </w:r>
      <w:r>
        <w:rPr>
          <w:rFonts w:hint="eastAsia" w:hAnsi="宋体" w:cs="宋体"/>
          <w:b/>
          <w:color w:val="auto"/>
          <w:sz w:val="21"/>
          <w:szCs w:val="21"/>
          <w:highlight w:val="none"/>
          <w:lang w:val="en-US" w:eastAsia="zh-CN"/>
        </w:rPr>
        <w:t>3</w:t>
      </w:r>
      <w:r>
        <w:rPr>
          <w:rFonts w:hint="eastAsia" w:hAnsi="宋体" w:cs="宋体"/>
          <w:b/>
          <w:color w:val="auto"/>
          <w:sz w:val="21"/>
          <w:szCs w:val="21"/>
          <w:highlight w:val="none"/>
        </w:rPr>
        <w:t>.</w:t>
      </w:r>
      <w:r>
        <w:rPr>
          <w:rFonts w:hint="eastAsia" w:hAnsi="宋体" w:cs="宋体"/>
          <w:b/>
          <w:color w:val="auto"/>
          <w:sz w:val="24"/>
          <w:szCs w:val="24"/>
          <w:highlight w:val="none"/>
          <w:lang w:val="zh-TW" w:eastAsia="zh-TW"/>
        </w:rPr>
        <w:t>联合协议</w:t>
      </w:r>
    </w:p>
    <w:p w14:paraId="083B2477">
      <w:pPr>
        <w:pStyle w:val="124"/>
        <w:shd w:val="clear" w:color="auto"/>
        <w:snapToGrid w:val="0"/>
        <w:spacing w:before="0" w:beforeAutospacing="0" w:after="0" w:afterAutospacing="0" w:line="500" w:lineRule="exact"/>
        <w:ind w:firstLine="480" w:firstLineChars="200"/>
        <w:jc w:val="center"/>
        <w:rPr>
          <w:rFonts w:hint="eastAsia" w:ascii="宋体"/>
          <w:b/>
          <w:bCs/>
          <w:color w:val="auto"/>
          <w:sz w:val="21"/>
          <w:szCs w:val="21"/>
          <w:highlight w:val="none"/>
        </w:rPr>
      </w:pPr>
      <w:r>
        <w:rPr>
          <w:rFonts w:hint="eastAsia" w:ascii="宋体"/>
          <w:color w:val="auto"/>
          <w:highlight w:val="none"/>
        </w:rPr>
        <w:t>（投标人以联合体形式参与投标的适用）</w:t>
      </w:r>
    </w:p>
    <w:p w14:paraId="63382046">
      <w:pPr>
        <w:shd w:val="clear" w:color="auto"/>
        <w:snapToGrid w:val="0"/>
        <w:spacing w:line="500" w:lineRule="exact"/>
        <w:ind w:firstLine="420"/>
        <w:rPr>
          <w:rFonts w:hint="eastAsia" w:hAnsi="宋体" w:cs="宋体"/>
          <w:color w:val="auto"/>
          <w:kern w:val="1"/>
          <w:sz w:val="21"/>
          <w:szCs w:val="21"/>
          <w:highlight w:val="none"/>
        </w:rPr>
      </w:pPr>
      <w:r>
        <w:rPr>
          <w:rFonts w:hint="eastAsia" w:hAnsi="宋体" w:cs="宋体"/>
          <w:color w:val="auto"/>
          <w:kern w:val="1"/>
          <w:sz w:val="21"/>
          <w:szCs w:val="21"/>
          <w:highlight w:val="none"/>
        </w:rPr>
        <w:t>牵头方公司名称：</w:t>
      </w:r>
    </w:p>
    <w:p w14:paraId="0BFF81B7">
      <w:pPr>
        <w:shd w:val="clear" w:color="auto"/>
        <w:snapToGrid w:val="0"/>
        <w:spacing w:line="500" w:lineRule="exact"/>
        <w:ind w:firstLine="420"/>
        <w:rPr>
          <w:rFonts w:hint="eastAsia" w:hAnsi="宋体" w:cs="宋体"/>
          <w:color w:val="auto"/>
          <w:kern w:val="1"/>
          <w:sz w:val="21"/>
          <w:szCs w:val="21"/>
          <w:highlight w:val="none"/>
        </w:rPr>
      </w:pPr>
      <w:r>
        <w:rPr>
          <w:rFonts w:hint="eastAsia" w:hAnsi="宋体" w:cs="宋体"/>
          <w:color w:val="auto"/>
          <w:kern w:val="1"/>
          <w:sz w:val="21"/>
          <w:szCs w:val="21"/>
          <w:highlight w:val="none"/>
        </w:rPr>
        <w:t>法定代表人：</w:t>
      </w:r>
    </w:p>
    <w:p w14:paraId="5BF46961">
      <w:pPr>
        <w:shd w:val="clear" w:color="auto"/>
        <w:snapToGrid w:val="0"/>
        <w:spacing w:line="500" w:lineRule="exact"/>
        <w:ind w:firstLine="420"/>
        <w:rPr>
          <w:rFonts w:hint="eastAsia" w:hAnsi="宋体" w:cs="宋体"/>
          <w:color w:val="auto"/>
          <w:kern w:val="1"/>
          <w:sz w:val="21"/>
          <w:szCs w:val="21"/>
          <w:highlight w:val="none"/>
        </w:rPr>
      </w:pPr>
      <w:r>
        <w:rPr>
          <w:rFonts w:hint="eastAsia" w:hAnsi="宋体" w:cs="宋体"/>
          <w:color w:val="auto"/>
          <w:kern w:val="1"/>
          <w:sz w:val="21"/>
          <w:szCs w:val="21"/>
          <w:highlight w:val="none"/>
        </w:rPr>
        <w:t>住所地：</w:t>
      </w:r>
    </w:p>
    <w:p w14:paraId="551B4A46">
      <w:pPr>
        <w:shd w:val="clear" w:color="auto"/>
        <w:snapToGrid w:val="0"/>
        <w:spacing w:line="500" w:lineRule="exact"/>
        <w:ind w:firstLine="420"/>
        <w:rPr>
          <w:rFonts w:hint="eastAsia" w:hAnsi="宋体" w:cs="宋体"/>
          <w:color w:val="auto"/>
          <w:kern w:val="1"/>
          <w:sz w:val="21"/>
          <w:szCs w:val="21"/>
          <w:highlight w:val="none"/>
        </w:rPr>
      </w:pPr>
      <w:r>
        <w:rPr>
          <w:rFonts w:hint="eastAsia" w:hAnsi="宋体" w:cs="宋体"/>
          <w:color w:val="auto"/>
          <w:kern w:val="1"/>
          <w:sz w:val="21"/>
          <w:szCs w:val="21"/>
          <w:highlight w:val="none"/>
        </w:rPr>
        <w:t>成员方公司名称：</w:t>
      </w:r>
    </w:p>
    <w:p w14:paraId="64542DF5">
      <w:pPr>
        <w:shd w:val="clear" w:color="auto"/>
        <w:snapToGrid w:val="0"/>
        <w:spacing w:line="500" w:lineRule="exact"/>
        <w:ind w:firstLine="420"/>
        <w:rPr>
          <w:rFonts w:hint="eastAsia" w:hAnsi="宋体" w:cs="宋体"/>
          <w:color w:val="auto"/>
          <w:kern w:val="1"/>
          <w:sz w:val="21"/>
          <w:szCs w:val="21"/>
          <w:highlight w:val="none"/>
        </w:rPr>
      </w:pPr>
      <w:r>
        <w:rPr>
          <w:rFonts w:hint="eastAsia" w:hAnsi="宋体" w:cs="宋体"/>
          <w:color w:val="auto"/>
          <w:kern w:val="1"/>
          <w:sz w:val="21"/>
          <w:szCs w:val="21"/>
          <w:highlight w:val="none"/>
        </w:rPr>
        <w:t>法定代表人：</w:t>
      </w:r>
    </w:p>
    <w:p w14:paraId="6FC33050">
      <w:pPr>
        <w:shd w:val="clear" w:color="auto"/>
        <w:snapToGrid w:val="0"/>
        <w:spacing w:line="500" w:lineRule="exact"/>
        <w:ind w:firstLine="420"/>
        <w:rPr>
          <w:rFonts w:hint="eastAsia" w:hAnsi="宋体" w:cs="宋体"/>
          <w:color w:val="auto"/>
          <w:kern w:val="1"/>
          <w:sz w:val="21"/>
          <w:szCs w:val="21"/>
          <w:highlight w:val="none"/>
        </w:rPr>
      </w:pPr>
      <w:r>
        <w:rPr>
          <w:rFonts w:hint="eastAsia" w:hAnsi="宋体" w:cs="宋体"/>
          <w:color w:val="auto"/>
          <w:kern w:val="1"/>
          <w:sz w:val="21"/>
          <w:szCs w:val="21"/>
          <w:highlight w:val="none"/>
        </w:rPr>
        <w:t>住所地：</w:t>
      </w:r>
    </w:p>
    <w:p w14:paraId="46138933">
      <w:pPr>
        <w:shd w:val="clear" w:color="auto"/>
        <w:snapToGrid w:val="0"/>
        <w:spacing w:line="500" w:lineRule="exact"/>
        <w:ind w:firstLine="420"/>
        <w:rPr>
          <w:rFonts w:hint="eastAsia" w:hAnsi="宋体" w:cs="宋体"/>
          <w:color w:val="auto"/>
          <w:kern w:val="1"/>
          <w:sz w:val="21"/>
          <w:szCs w:val="21"/>
          <w:highlight w:val="none"/>
        </w:rPr>
      </w:pPr>
      <w:r>
        <w:rPr>
          <w:rFonts w:hint="eastAsia" w:hAnsi="宋体" w:cs="宋体"/>
          <w:color w:val="auto"/>
          <w:kern w:val="1"/>
          <w:sz w:val="21"/>
          <w:szCs w:val="21"/>
          <w:highlight w:val="none"/>
        </w:rPr>
        <w:t>鉴于上述各成员公司经过友好协商，自愿组成</w:t>
      </w:r>
      <w:r>
        <w:rPr>
          <w:rFonts w:hint="eastAsia" w:hAnsi="宋体" w:cs="宋体"/>
          <w:color w:val="auto"/>
          <w:kern w:val="1"/>
          <w:sz w:val="21"/>
          <w:szCs w:val="21"/>
          <w:highlight w:val="none"/>
          <w:u w:val="single"/>
        </w:rPr>
        <w:t xml:space="preserve">        </w:t>
      </w:r>
      <w:r>
        <w:rPr>
          <w:rFonts w:hint="eastAsia" w:hAnsi="宋体" w:cs="宋体"/>
          <w:color w:val="auto"/>
          <w:kern w:val="1"/>
          <w:sz w:val="21"/>
          <w:szCs w:val="21"/>
          <w:highlight w:val="none"/>
        </w:rPr>
        <w:t>(联合体名称)联合体，共同参加</w:t>
      </w:r>
      <w:r>
        <w:rPr>
          <w:rFonts w:hint="eastAsia" w:hAnsi="宋体" w:cs="宋体"/>
          <w:color w:val="auto"/>
          <w:kern w:val="1"/>
          <w:sz w:val="21"/>
          <w:szCs w:val="21"/>
          <w:highlight w:val="none"/>
          <w:u w:val="single"/>
        </w:rPr>
        <w:t xml:space="preserve">          </w:t>
      </w:r>
      <w:r>
        <w:rPr>
          <w:rFonts w:hint="eastAsia" w:hAnsi="宋体" w:cs="宋体"/>
          <w:color w:val="auto"/>
          <w:kern w:val="1"/>
          <w:sz w:val="21"/>
          <w:szCs w:val="21"/>
          <w:highlight w:val="none"/>
        </w:rPr>
        <w:t>(项目名称)及（采购编号）      的投标活动。现就联合体申请及投标事宜订立如下协议：</w:t>
      </w:r>
    </w:p>
    <w:p w14:paraId="3AB1CD0D">
      <w:pPr>
        <w:shd w:val="clear" w:color="auto"/>
        <w:snapToGrid w:val="0"/>
        <w:spacing w:line="500" w:lineRule="exact"/>
        <w:ind w:firstLine="420"/>
        <w:rPr>
          <w:rFonts w:hint="eastAsia" w:hAnsi="宋体" w:cs="宋体"/>
          <w:color w:val="auto"/>
          <w:kern w:val="1"/>
          <w:sz w:val="21"/>
          <w:szCs w:val="21"/>
          <w:highlight w:val="none"/>
        </w:rPr>
      </w:pPr>
      <w:r>
        <w:rPr>
          <w:rFonts w:hint="eastAsia" w:hAnsi="宋体" w:cs="宋体"/>
          <w:color w:val="auto"/>
          <w:kern w:val="1"/>
          <w:sz w:val="21"/>
          <w:szCs w:val="21"/>
          <w:highlight w:val="none"/>
        </w:rPr>
        <w:t>1.由</w:t>
      </w:r>
      <w:r>
        <w:rPr>
          <w:rFonts w:hint="eastAsia" w:hAnsi="宋体" w:cs="宋体"/>
          <w:color w:val="auto"/>
          <w:kern w:val="1"/>
          <w:sz w:val="21"/>
          <w:szCs w:val="21"/>
          <w:highlight w:val="none"/>
          <w:u w:val="single"/>
        </w:rPr>
        <w:t xml:space="preserve">     </w:t>
      </w:r>
      <w:r>
        <w:rPr>
          <w:rFonts w:hint="eastAsia" w:hAnsi="宋体" w:cs="宋体"/>
          <w:color w:val="auto"/>
          <w:kern w:val="1"/>
          <w:sz w:val="21"/>
          <w:szCs w:val="21"/>
          <w:highlight w:val="none"/>
        </w:rPr>
        <w:t>作为牵头公司负责联合体在本项目的投标活动。联合体各方及其法定代表人授权委托其授权代表参加本项目的招投标活动。</w:t>
      </w:r>
    </w:p>
    <w:p w14:paraId="5B5B5247">
      <w:pPr>
        <w:shd w:val="clear" w:color="auto"/>
        <w:snapToGrid w:val="0"/>
        <w:spacing w:line="500" w:lineRule="exact"/>
        <w:ind w:firstLine="420"/>
        <w:rPr>
          <w:rFonts w:hint="eastAsia" w:hAnsi="宋体" w:cs="宋体"/>
          <w:color w:val="auto"/>
          <w:kern w:val="1"/>
          <w:sz w:val="21"/>
          <w:szCs w:val="21"/>
          <w:highlight w:val="none"/>
        </w:rPr>
      </w:pPr>
      <w:r>
        <w:rPr>
          <w:rFonts w:hint="eastAsia" w:hAnsi="宋体" w:cs="宋体"/>
          <w:color w:val="auto"/>
          <w:kern w:val="1"/>
          <w:sz w:val="21"/>
          <w:szCs w:val="21"/>
          <w:highlight w:val="none"/>
        </w:rPr>
        <w:t>2.牵头公司代表联合体全体成员负责联合体在项目中的一切投标活动，包括但不限于提交组织编制投标文件、提交投标文件、提交澄清文件以及处理与项目投标相关的一切必要的事宜。投标人与</w:t>
      </w:r>
      <w:r>
        <w:rPr>
          <w:rFonts w:hint="eastAsia" w:hAnsi="宋体" w:cs="宋体"/>
          <w:color w:val="auto"/>
          <w:kern w:val="1"/>
          <w:sz w:val="21"/>
          <w:szCs w:val="21"/>
          <w:highlight w:val="none"/>
          <w:lang w:eastAsia="zh-CN"/>
        </w:rPr>
        <w:t>采购人</w:t>
      </w:r>
      <w:r>
        <w:rPr>
          <w:rFonts w:hint="eastAsia" w:hAnsi="宋体" w:cs="宋体"/>
          <w:color w:val="auto"/>
          <w:kern w:val="1"/>
          <w:sz w:val="21"/>
          <w:szCs w:val="21"/>
          <w:highlight w:val="none"/>
        </w:rPr>
        <w:t>之间的来往函件将通过牵头公司收寄。</w:t>
      </w:r>
    </w:p>
    <w:p w14:paraId="65F26F50">
      <w:pPr>
        <w:shd w:val="clear" w:color="auto"/>
        <w:snapToGrid w:val="0"/>
        <w:spacing w:line="500" w:lineRule="exact"/>
        <w:ind w:firstLine="420"/>
        <w:rPr>
          <w:rFonts w:hint="eastAsia" w:hAnsi="宋体" w:cs="宋体"/>
          <w:color w:val="auto"/>
          <w:kern w:val="1"/>
          <w:sz w:val="21"/>
          <w:szCs w:val="21"/>
          <w:highlight w:val="none"/>
        </w:rPr>
      </w:pPr>
      <w:r>
        <w:rPr>
          <w:rFonts w:hint="eastAsia" w:hAnsi="宋体" w:cs="宋体"/>
          <w:color w:val="auto"/>
          <w:kern w:val="1"/>
          <w:sz w:val="21"/>
          <w:szCs w:val="21"/>
          <w:highlight w:val="none"/>
        </w:rPr>
        <w:t>3.牵头公司做出的关于</w:t>
      </w:r>
      <w:r>
        <w:rPr>
          <w:rFonts w:hint="eastAsia" w:hAnsi="宋体" w:cs="宋体"/>
          <w:color w:val="auto"/>
          <w:kern w:val="1"/>
          <w:sz w:val="21"/>
          <w:szCs w:val="21"/>
          <w:highlight w:val="none"/>
          <w:u w:val="single"/>
        </w:rPr>
        <w:t xml:space="preserve">           </w:t>
      </w:r>
      <w:r>
        <w:rPr>
          <w:rFonts w:hint="eastAsia" w:hAnsi="宋体" w:cs="宋体"/>
          <w:color w:val="auto"/>
          <w:kern w:val="1"/>
          <w:sz w:val="21"/>
          <w:szCs w:val="21"/>
          <w:highlight w:val="none"/>
        </w:rPr>
        <w:t>(项目名称)相关的行为对联合体全体成员均具有法律效力。联合体成员各方对牵头公司在投标活动中及中标后履约的一切行为承担连带责任。</w:t>
      </w:r>
    </w:p>
    <w:p w14:paraId="74032652">
      <w:pPr>
        <w:shd w:val="clear" w:color="auto"/>
        <w:snapToGrid w:val="0"/>
        <w:spacing w:line="500" w:lineRule="exact"/>
        <w:ind w:firstLine="420"/>
        <w:rPr>
          <w:rFonts w:hint="eastAsia" w:hAnsi="宋体" w:cs="宋体"/>
          <w:color w:val="auto"/>
          <w:kern w:val="1"/>
          <w:sz w:val="21"/>
          <w:szCs w:val="21"/>
          <w:highlight w:val="none"/>
        </w:rPr>
      </w:pPr>
      <w:r>
        <w:rPr>
          <w:rFonts w:hint="eastAsia" w:hAnsi="宋体" w:cs="宋体"/>
          <w:color w:val="auto"/>
          <w:kern w:val="1"/>
          <w:sz w:val="21"/>
          <w:szCs w:val="21"/>
          <w:highlight w:val="none"/>
        </w:rPr>
        <w:t>4.联合体各方均同意授权联合体牵头方员工</w:t>
      </w:r>
      <w:r>
        <w:rPr>
          <w:rFonts w:hint="eastAsia" w:hAnsi="宋体" w:cs="宋体"/>
          <w:color w:val="auto"/>
          <w:kern w:val="1"/>
          <w:sz w:val="21"/>
          <w:szCs w:val="21"/>
          <w:highlight w:val="none"/>
          <w:u w:val="single"/>
        </w:rPr>
        <w:t xml:space="preserve">        </w:t>
      </w:r>
      <w:r>
        <w:rPr>
          <w:rFonts w:hint="eastAsia" w:hAnsi="宋体" w:cs="宋体"/>
          <w:color w:val="auto"/>
          <w:kern w:val="1"/>
          <w:sz w:val="21"/>
          <w:szCs w:val="21"/>
          <w:highlight w:val="none"/>
        </w:rPr>
        <w:t>（姓名、职务）作为联合体参与本项目投标活动的授权代表。</w:t>
      </w:r>
    </w:p>
    <w:p w14:paraId="37F2F19D">
      <w:pPr>
        <w:shd w:val="clear" w:color="auto"/>
        <w:snapToGrid w:val="0"/>
        <w:spacing w:line="500" w:lineRule="exact"/>
        <w:ind w:firstLine="420"/>
        <w:rPr>
          <w:rFonts w:hint="eastAsia" w:hAnsi="宋体" w:cs="宋体"/>
          <w:color w:val="auto"/>
          <w:kern w:val="1"/>
          <w:sz w:val="21"/>
          <w:szCs w:val="21"/>
          <w:highlight w:val="none"/>
        </w:rPr>
      </w:pPr>
      <w:r>
        <w:rPr>
          <w:rFonts w:hint="eastAsia" w:hAnsi="宋体" w:cs="宋体"/>
          <w:color w:val="auto"/>
          <w:kern w:val="1"/>
          <w:sz w:val="21"/>
          <w:szCs w:val="21"/>
          <w:highlight w:val="none"/>
        </w:rPr>
        <w:t>5.联合体成员各方在本项目中的工作职责、权利与义务如下：(需列述)</w:t>
      </w:r>
    </w:p>
    <w:p w14:paraId="25D04BA3">
      <w:pPr>
        <w:shd w:val="clear" w:color="auto"/>
        <w:snapToGrid w:val="0"/>
        <w:spacing w:line="500" w:lineRule="exact"/>
        <w:ind w:firstLine="422" w:firstLineChars="200"/>
        <w:rPr>
          <w:rFonts w:hint="eastAsia" w:hAnsi="宋体" w:cs="宋体"/>
          <w:b/>
          <w:color w:val="auto"/>
          <w:sz w:val="21"/>
          <w:szCs w:val="21"/>
          <w:highlight w:val="none"/>
        </w:rPr>
      </w:pPr>
      <w:r>
        <w:rPr>
          <w:rFonts w:hint="eastAsia" w:hAnsi="宋体" w:cs="宋体"/>
          <w:b/>
          <w:color w:val="auto"/>
          <w:sz w:val="21"/>
          <w:szCs w:val="21"/>
          <w:highlight w:val="none"/>
        </w:rPr>
        <w:t>5.1</w:t>
      </w:r>
      <w:r>
        <w:rPr>
          <w:rFonts w:hint="eastAsia" w:hAnsi="宋体" w:cs="宋体"/>
          <w:b/>
          <w:color w:val="auto"/>
          <w:sz w:val="21"/>
          <w:szCs w:val="21"/>
          <w:highlight w:val="none"/>
          <w:u w:val="single"/>
        </w:rPr>
        <w:t xml:space="preserve">        </w:t>
      </w:r>
      <w:r>
        <w:rPr>
          <w:rFonts w:hint="eastAsia" w:hAnsi="宋体" w:cs="宋体"/>
          <w:color w:val="auto"/>
          <w:kern w:val="1"/>
          <w:sz w:val="21"/>
          <w:szCs w:val="21"/>
          <w:highlight w:val="none"/>
        </w:rPr>
        <w:t>(如属小型或微型企业，请将《中小企业声明函》附后）</w:t>
      </w:r>
      <w:r>
        <w:rPr>
          <w:rFonts w:hint="eastAsia" w:hAnsi="宋体" w:cs="宋体"/>
          <w:b/>
          <w:color w:val="auto"/>
          <w:sz w:val="21"/>
          <w:szCs w:val="21"/>
          <w:highlight w:val="none"/>
        </w:rPr>
        <w:t>作为联合体牵头方，负责</w:t>
      </w:r>
      <w:r>
        <w:rPr>
          <w:rFonts w:hint="eastAsia" w:hAnsi="宋体" w:cs="宋体"/>
          <w:b/>
          <w:color w:val="auto"/>
          <w:sz w:val="21"/>
          <w:szCs w:val="21"/>
          <w:highlight w:val="none"/>
          <w:u w:val="single"/>
        </w:rPr>
        <w:t xml:space="preserve">      </w:t>
      </w:r>
      <w:r>
        <w:rPr>
          <w:rFonts w:hint="eastAsia" w:hAnsi="宋体" w:cs="宋体"/>
          <w:b/>
          <w:color w:val="auto"/>
          <w:sz w:val="21"/>
          <w:szCs w:val="21"/>
          <w:highlight w:val="none"/>
        </w:rPr>
        <w:t>。</w:t>
      </w:r>
    </w:p>
    <w:p w14:paraId="40C63554">
      <w:pPr>
        <w:shd w:val="clear" w:color="auto"/>
        <w:snapToGrid w:val="0"/>
        <w:spacing w:line="500" w:lineRule="exact"/>
        <w:ind w:firstLine="422" w:firstLineChars="200"/>
        <w:rPr>
          <w:rFonts w:hint="eastAsia" w:hAnsi="宋体" w:cs="宋体"/>
          <w:b/>
          <w:color w:val="auto"/>
          <w:sz w:val="21"/>
          <w:szCs w:val="21"/>
          <w:highlight w:val="none"/>
        </w:rPr>
      </w:pPr>
      <w:r>
        <w:rPr>
          <w:rFonts w:hint="eastAsia" w:hAnsi="宋体" w:cs="宋体"/>
          <w:b/>
          <w:color w:val="auto"/>
          <w:sz w:val="21"/>
          <w:szCs w:val="21"/>
          <w:highlight w:val="none"/>
        </w:rPr>
        <w:t>5.2</w:t>
      </w:r>
      <w:r>
        <w:rPr>
          <w:rFonts w:hint="eastAsia" w:hAnsi="宋体" w:cs="宋体"/>
          <w:b/>
          <w:color w:val="auto"/>
          <w:sz w:val="21"/>
          <w:szCs w:val="21"/>
          <w:highlight w:val="none"/>
          <w:u w:val="single"/>
        </w:rPr>
        <w:t xml:space="preserve">        </w:t>
      </w:r>
      <w:r>
        <w:rPr>
          <w:rFonts w:hint="eastAsia" w:hAnsi="宋体" w:cs="宋体"/>
          <w:color w:val="auto"/>
          <w:kern w:val="1"/>
          <w:sz w:val="21"/>
          <w:szCs w:val="21"/>
          <w:highlight w:val="none"/>
        </w:rPr>
        <w:t>(如属小型或微型企业，请将《中小企业声明函》附后）</w:t>
      </w:r>
      <w:r>
        <w:rPr>
          <w:rFonts w:hint="eastAsia" w:hAnsi="宋体" w:cs="宋体"/>
          <w:b/>
          <w:color w:val="auto"/>
          <w:sz w:val="21"/>
          <w:szCs w:val="21"/>
          <w:highlight w:val="none"/>
        </w:rPr>
        <w:t>作为联合体成员方，负责</w:t>
      </w:r>
      <w:r>
        <w:rPr>
          <w:rFonts w:hint="eastAsia" w:hAnsi="宋体" w:cs="宋体"/>
          <w:color w:val="auto"/>
          <w:kern w:val="1"/>
          <w:sz w:val="21"/>
          <w:szCs w:val="21"/>
          <w:highlight w:val="none"/>
          <w:u w:val="single"/>
        </w:rPr>
        <w:t xml:space="preserve">   </w:t>
      </w:r>
      <w:r>
        <w:rPr>
          <w:rFonts w:hint="eastAsia" w:hAnsi="宋体" w:cs="宋体"/>
          <w:b/>
          <w:color w:val="auto"/>
          <w:sz w:val="21"/>
          <w:szCs w:val="21"/>
          <w:highlight w:val="none"/>
        </w:rPr>
        <w:t>。</w:t>
      </w:r>
    </w:p>
    <w:p w14:paraId="734A2DAE">
      <w:pPr>
        <w:shd w:val="clear" w:color="auto"/>
        <w:snapToGrid w:val="0"/>
        <w:spacing w:line="500" w:lineRule="exact"/>
        <w:ind w:firstLine="420"/>
        <w:rPr>
          <w:rFonts w:hint="eastAsia" w:hAnsi="宋体" w:cs="宋体"/>
          <w:color w:val="auto"/>
          <w:kern w:val="1"/>
          <w:sz w:val="21"/>
          <w:szCs w:val="21"/>
          <w:highlight w:val="none"/>
        </w:rPr>
      </w:pPr>
      <w:r>
        <w:rPr>
          <w:rFonts w:hint="eastAsia" w:hAnsi="宋体" w:cs="宋体"/>
          <w:color w:val="auto"/>
          <w:kern w:val="1"/>
          <w:sz w:val="21"/>
          <w:szCs w:val="21"/>
          <w:highlight w:val="none"/>
        </w:rPr>
        <w:t>6.本协议经所有联合体成员盖章和法定代表人或授权代表签字后生效。若本联合体未获得本项目中标资格，本协议有效期与本投标文件有效期一致；若本联合体获得本项目中标资格，则本协议有效期自动延长至</w:t>
      </w:r>
      <w:r>
        <w:rPr>
          <w:rFonts w:hint="eastAsia" w:hAnsi="宋体" w:cs="宋体"/>
          <w:color w:val="auto"/>
          <w:kern w:val="1"/>
          <w:sz w:val="21"/>
          <w:szCs w:val="21"/>
          <w:highlight w:val="none"/>
          <w:lang w:eastAsia="zh-CN"/>
        </w:rPr>
        <w:t>采购人</w:t>
      </w:r>
      <w:r>
        <w:rPr>
          <w:rFonts w:hint="eastAsia" w:hAnsi="宋体" w:cs="宋体"/>
          <w:color w:val="auto"/>
          <w:kern w:val="1"/>
          <w:sz w:val="21"/>
          <w:szCs w:val="21"/>
          <w:highlight w:val="none"/>
        </w:rPr>
        <w:t>与中标人双方履行采购合同结束之日。</w:t>
      </w:r>
    </w:p>
    <w:p w14:paraId="2DE7BE51">
      <w:pPr>
        <w:shd w:val="clear" w:color="auto"/>
        <w:snapToGrid w:val="0"/>
        <w:spacing w:line="500" w:lineRule="exact"/>
        <w:ind w:firstLine="420"/>
        <w:rPr>
          <w:rFonts w:hint="eastAsia" w:hAnsi="宋体" w:cs="宋体"/>
          <w:color w:val="auto"/>
          <w:kern w:val="1"/>
          <w:sz w:val="21"/>
          <w:szCs w:val="21"/>
          <w:highlight w:val="none"/>
        </w:rPr>
      </w:pPr>
      <w:r>
        <w:rPr>
          <w:rFonts w:hint="eastAsia" w:hAnsi="宋体" w:cs="宋体"/>
          <w:color w:val="auto"/>
          <w:kern w:val="1"/>
          <w:sz w:val="21"/>
          <w:szCs w:val="21"/>
          <w:highlight w:val="none"/>
        </w:rPr>
        <w:t>7.本协议书一式</w:t>
      </w:r>
      <w:r>
        <w:rPr>
          <w:rFonts w:hint="eastAsia" w:hAnsi="宋体" w:cs="宋体"/>
          <w:color w:val="auto"/>
          <w:kern w:val="1"/>
          <w:sz w:val="21"/>
          <w:szCs w:val="21"/>
          <w:highlight w:val="none"/>
          <w:u w:val="single"/>
        </w:rPr>
        <w:t xml:space="preserve">  </w:t>
      </w:r>
      <w:r>
        <w:rPr>
          <w:rFonts w:hint="eastAsia" w:hAnsi="宋体" w:cs="宋体"/>
          <w:color w:val="auto"/>
          <w:kern w:val="1"/>
          <w:sz w:val="21"/>
          <w:szCs w:val="21"/>
          <w:highlight w:val="none"/>
        </w:rPr>
        <w:t>份，联合体各方和</w:t>
      </w:r>
      <w:r>
        <w:rPr>
          <w:rFonts w:hint="eastAsia" w:hAnsi="宋体" w:cs="宋体"/>
          <w:color w:val="auto"/>
          <w:kern w:val="1"/>
          <w:sz w:val="21"/>
          <w:szCs w:val="21"/>
          <w:highlight w:val="none"/>
          <w:lang w:eastAsia="zh-CN"/>
        </w:rPr>
        <w:t>采购人</w:t>
      </w:r>
      <w:r>
        <w:rPr>
          <w:rFonts w:hint="eastAsia" w:hAnsi="宋体" w:cs="宋体"/>
          <w:color w:val="auto"/>
          <w:kern w:val="1"/>
          <w:sz w:val="21"/>
          <w:szCs w:val="21"/>
          <w:highlight w:val="none"/>
        </w:rPr>
        <w:t>各执</w:t>
      </w:r>
      <w:r>
        <w:rPr>
          <w:rFonts w:hint="eastAsia" w:hAnsi="宋体" w:cs="宋体"/>
          <w:color w:val="auto"/>
          <w:kern w:val="1"/>
          <w:sz w:val="21"/>
          <w:szCs w:val="21"/>
          <w:highlight w:val="none"/>
          <w:u w:val="single"/>
        </w:rPr>
        <w:t xml:space="preserve">  </w:t>
      </w:r>
      <w:r>
        <w:rPr>
          <w:rFonts w:hint="eastAsia" w:hAnsi="宋体" w:cs="宋体"/>
          <w:color w:val="auto"/>
          <w:kern w:val="1"/>
          <w:sz w:val="21"/>
          <w:szCs w:val="21"/>
          <w:highlight w:val="none"/>
        </w:rPr>
        <w:t>份。</w:t>
      </w:r>
    </w:p>
    <w:p w14:paraId="2C14D6E3">
      <w:pPr>
        <w:shd w:val="clear" w:color="auto"/>
        <w:snapToGrid w:val="0"/>
        <w:spacing w:line="500" w:lineRule="exact"/>
        <w:ind w:firstLine="420"/>
        <w:rPr>
          <w:rFonts w:hint="eastAsia" w:hAnsi="宋体" w:cs="宋体"/>
          <w:color w:val="auto"/>
          <w:kern w:val="1"/>
          <w:sz w:val="21"/>
          <w:szCs w:val="21"/>
          <w:highlight w:val="none"/>
        </w:rPr>
      </w:pPr>
      <w:r>
        <w:rPr>
          <w:rFonts w:hint="eastAsia" w:hAnsi="宋体" w:cs="宋体"/>
          <w:color w:val="auto"/>
          <w:kern w:val="1"/>
          <w:sz w:val="21"/>
          <w:szCs w:val="21"/>
          <w:highlight w:val="none"/>
        </w:rPr>
        <w:t>8.本联合体提供的投标文件以联合体各方盖章或联合体牵头方的盖章有效，签名以联合体各方的授权代表或联合体牵头方的授权代表有效。</w:t>
      </w:r>
    </w:p>
    <w:p w14:paraId="160C9948">
      <w:pPr>
        <w:shd w:val="clear" w:color="auto"/>
        <w:snapToGrid w:val="0"/>
        <w:spacing w:line="500" w:lineRule="exact"/>
        <w:ind w:firstLine="420"/>
        <w:rPr>
          <w:rFonts w:hint="eastAsia" w:hAnsi="宋体" w:cs="宋体"/>
          <w:color w:val="auto"/>
          <w:kern w:val="1"/>
          <w:sz w:val="21"/>
          <w:szCs w:val="21"/>
          <w:highlight w:val="none"/>
        </w:rPr>
      </w:pPr>
      <w:r>
        <w:rPr>
          <w:rFonts w:hint="eastAsia" w:hAnsi="宋体" w:cs="宋体"/>
          <w:color w:val="auto"/>
          <w:kern w:val="1"/>
          <w:sz w:val="21"/>
          <w:szCs w:val="21"/>
          <w:highlight w:val="none"/>
        </w:rPr>
        <w:t>牵头公司名称(盖单位公章):</w:t>
      </w:r>
    </w:p>
    <w:p w14:paraId="6CB172AF">
      <w:pPr>
        <w:shd w:val="clear" w:color="auto"/>
        <w:snapToGrid w:val="0"/>
        <w:spacing w:line="500" w:lineRule="exact"/>
        <w:ind w:firstLine="420"/>
        <w:rPr>
          <w:rFonts w:hint="eastAsia" w:hAnsi="宋体" w:cs="宋体"/>
          <w:color w:val="auto"/>
          <w:kern w:val="1"/>
          <w:sz w:val="21"/>
          <w:szCs w:val="21"/>
          <w:highlight w:val="none"/>
        </w:rPr>
      </w:pPr>
      <w:r>
        <w:rPr>
          <w:rFonts w:hint="eastAsia" w:hAnsi="宋体" w:cs="宋体"/>
          <w:color w:val="auto"/>
          <w:kern w:val="1"/>
          <w:sz w:val="21"/>
          <w:szCs w:val="21"/>
          <w:highlight w:val="none"/>
        </w:rPr>
        <w:t>法定代表人(签字或盖章):</w:t>
      </w:r>
    </w:p>
    <w:p w14:paraId="71AC1181">
      <w:pPr>
        <w:shd w:val="clear" w:color="auto"/>
        <w:snapToGrid w:val="0"/>
        <w:spacing w:line="500" w:lineRule="exact"/>
        <w:ind w:firstLine="420"/>
        <w:rPr>
          <w:rFonts w:hint="eastAsia" w:hAnsi="宋体" w:cs="宋体"/>
          <w:color w:val="auto"/>
          <w:kern w:val="1"/>
          <w:sz w:val="21"/>
          <w:szCs w:val="21"/>
          <w:highlight w:val="none"/>
        </w:rPr>
      </w:pPr>
      <w:r>
        <w:rPr>
          <w:rFonts w:hint="eastAsia" w:hAnsi="宋体" w:cs="宋体"/>
          <w:color w:val="auto"/>
          <w:kern w:val="1"/>
          <w:sz w:val="21"/>
          <w:szCs w:val="21"/>
          <w:highlight w:val="none"/>
        </w:rPr>
        <w:t>授权代表（签字或盖章）：</w:t>
      </w:r>
    </w:p>
    <w:p w14:paraId="6CB2E3B3">
      <w:pPr>
        <w:shd w:val="clear" w:color="auto"/>
        <w:snapToGrid w:val="0"/>
        <w:spacing w:line="500" w:lineRule="exact"/>
        <w:ind w:firstLine="420"/>
        <w:rPr>
          <w:rFonts w:hint="eastAsia" w:hAnsi="宋体" w:cs="宋体"/>
          <w:color w:val="auto"/>
          <w:kern w:val="1"/>
          <w:sz w:val="21"/>
          <w:szCs w:val="21"/>
          <w:highlight w:val="none"/>
        </w:rPr>
      </w:pPr>
      <w:r>
        <w:rPr>
          <w:rFonts w:hint="eastAsia" w:hAnsi="宋体" w:cs="宋体"/>
          <w:color w:val="auto"/>
          <w:kern w:val="1"/>
          <w:sz w:val="21"/>
          <w:szCs w:val="21"/>
          <w:highlight w:val="none"/>
        </w:rPr>
        <w:t>日期：</w:t>
      </w:r>
    </w:p>
    <w:p w14:paraId="4C540216">
      <w:pPr>
        <w:shd w:val="clear" w:color="auto"/>
        <w:snapToGrid w:val="0"/>
        <w:spacing w:line="500" w:lineRule="exact"/>
        <w:ind w:firstLine="420"/>
        <w:rPr>
          <w:rFonts w:hint="eastAsia" w:hAnsi="宋体" w:cs="宋体"/>
          <w:color w:val="auto"/>
          <w:kern w:val="1"/>
          <w:sz w:val="21"/>
          <w:szCs w:val="21"/>
          <w:highlight w:val="none"/>
        </w:rPr>
      </w:pPr>
      <w:r>
        <w:rPr>
          <w:rFonts w:hint="eastAsia" w:hAnsi="宋体" w:cs="宋体"/>
          <w:color w:val="auto"/>
          <w:kern w:val="1"/>
          <w:sz w:val="21"/>
          <w:szCs w:val="21"/>
          <w:highlight w:val="none"/>
        </w:rPr>
        <w:t>成员公司名称(盖单位公章):</w:t>
      </w:r>
    </w:p>
    <w:p w14:paraId="72A32F39">
      <w:pPr>
        <w:shd w:val="clear" w:color="auto"/>
        <w:snapToGrid w:val="0"/>
        <w:spacing w:line="500" w:lineRule="exact"/>
        <w:ind w:firstLine="420"/>
        <w:rPr>
          <w:rFonts w:hint="eastAsia" w:hAnsi="宋体" w:cs="宋体"/>
          <w:color w:val="auto"/>
          <w:kern w:val="1"/>
          <w:sz w:val="21"/>
          <w:szCs w:val="21"/>
          <w:highlight w:val="none"/>
        </w:rPr>
      </w:pPr>
      <w:r>
        <w:rPr>
          <w:rFonts w:hint="eastAsia" w:hAnsi="宋体" w:cs="宋体"/>
          <w:color w:val="auto"/>
          <w:kern w:val="1"/>
          <w:sz w:val="21"/>
          <w:szCs w:val="21"/>
          <w:highlight w:val="none"/>
        </w:rPr>
        <w:t>法定代表人 (签字或盖章):</w:t>
      </w:r>
    </w:p>
    <w:p w14:paraId="135F7678">
      <w:pPr>
        <w:shd w:val="clear" w:color="auto"/>
        <w:snapToGrid w:val="0"/>
        <w:spacing w:line="500" w:lineRule="exact"/>
        <w:ind w:firstLine="420"/>
        <w:rPr>
          <w:rFonts w:hint="eastAsia" w:hAnsi="宋体" w:cs="宋体"/>
          <w:color w:val="auto"/>
          <w:kern w:val="1"/>
          <w:sz w:val="21"/>
          <w:szCs w:val="21"/>
          <w:highlight w:val="none"/>
        </w:rPr>
      </w:pPr>
      <w:r>
        <w:rPr>
          <w:rFonts w:hint="eastAsia" w:hAnsi="宋体" w:cs="宋体"/>
          <w:color w:val="auto"/>
          <w:kern w:val="1"/>
          <w:sz w:val="21"/>
          <w:szCs w:val="21"/>
          <w:highlight w:val="none"/>
        </w:rPr>
        <w:t>授权代表（签字或盖章）：</w:t>
      </w:r>
    </w:p>
    <w:p w14:paraId="1FF8E1A6">
      <w:pPr>
        <w:shd w:val="clear" w:color="auto"/>
        <w:snapToGrid w:val="0"/>
        <w:spacing w:line="360" w:lineRule="auto"/>
        <w:ind w:right="480" w:firstLine="420" w:firstLineChars="200"/>
        <w:jc w:val="both"/>
        <w:rPr>
          <w:rFonts w:hint="eastAsia" w:hAnsi="宋体" w:cs="宋体"/>
          <w:color w:val="auto"/>
          <w:kern w:val="1"/>
          <w:sz w:val="21"/>
          <w:szCs w:val="21"/>
          <w:highlight w:val="none"/>
        </w:rPr>
      </w:pPr>
      <w:r>
        <w:rPr>
          <w:rFonts w:hint="eastAsia" w:hAnsi="宋体" w:cs="宋体"/>
          <w:color w:val="auto"/>
          <w:kern w:val="1"/>
          <w:sz w:val="21"/>
          <w:szCs w:val="21"/>
          <w:highlight w:val="none"/>
        </w:rPr>
        <w:t>日期：</w:t>
      </w:r>
    </w:p>
    <w:p w14:paraId="27FA4B51">
      <w:pPr>
        <w:shd w:val="clear" w:color="auto"/>
        <w:snapToGrid w:val="0"/>
        <w:spacing w:line="360" w:lineRule="auto"/>
        <w:ind w:right="480"/>
        <w:jc w:val="center"/>
        <w:rPr>
          <w:rFonts w:hint="eastAsia" w:hAnsi="宋体" w:cs="宋体"/>
          <w:color w:val="auto"/>
          <w:kern w:val="1"/>
          <w:sz w:val="21"/>
          <w:szCs w:val="21"/>
          <w:highlight w:val="none"/>
        </w:rPr>
      </w:pPr>
    </w:p>
    <w:p w14:paraId="0CBEB72C">
      <w:pPr>
        <w:shd w:val="clear" w:color="auto"/>
        <w:snapToGrid w:val="0"/>
        <w:spacing w:line="360" w:lineRule="auto"/>
        <w:ind w:right="480"/>
        <w:jc w:val="center"/>
        <w:rPr>
          <w:rFonts w:hint="eastAsia" w:hAnsi="宋体" w:cs="宋体"/>
          <w:color w:val="auto"/>
          <w:kern w:val="1"/>
          <w:sz w:val="21"/>
          <w:szCs w:val="21"/>
          <w:highlight w:val="none"/>
        </w:rPr>
      </w:pPr>
    </w:p>
    <w:p w14:paraId="41273041">
      <w:pPr>
        <w:shd w:val="clear" w:color="auto"/>
        <w:ind w:firstLine="630" w:firstLineChars="300"/>
        <w:jc w:val="center"/>
        <w:rPr>
          <w:rFonts w:hint="eastAsia" w:hAnsi="宋体" w:cs="宋体"/>
          <w:color w:val="auto"/>
          <w:kern w:val="1"/>
          <w:sz w:val="21"/>
          <w:szCs w:val="21"/>
          <w:highlight w:val="none"/>
        </w:rPr>
      </w:pPr>
    </w:p>
    <w:p w14:paraId="6806E9B0">
      <w:pPr>
        <w:shd w:val="clear" w:color="auto"/>
        <w:ind w:firstLine="630" w:firstLineChars="300"/>
        <w:jc w:val="center"/>
        <w:rPr>
          <w:rFonts w:hint="eastAsia" w:hAnsi="宋体" w:cs="宋体"/>
          <w:color w:val="auto"/>
          <w:kern w:val="1"/>
          <w:sz w:val="21"/>
          <w:szCs w:val="21"/>
          <w:highlight w:val="none"/>
        </w:rPr>
      </w:pPr>
    </w:p>
    <w:p w14:paraId="6128A94D">
      <w:pPr>
        <w:shd w:val="clear" w:color="auto"/>
        <w:ind w:firstLine="630" w:firstLineChars="300"/>
        <w:jc w:val="center"/>
        <w:rPr>
          <w:rFonts w:hint="eastAsia" w:hAnsi="宋体" w:cs="宋体"/>
          <w:color w:val="auto"/>
          <w:kern w:val="1"/>
          <w:sz w:val="21"/>
          <w:szCs w:val="21"/>
          <w:highlight w:val="none"/>
        </w:rPr>
      </w:pPr>
    </w:p>
    <w:p w14:paraId="256A3D9F">
      <w:pPr>
        <w:shd w:val="clear" w:color="auto"/>
        <w:ind w:firstLine="630" w:firstLineChars="300"/>
        <w:jc w:val="center"/>
        <w:rPr>
          <w:rFonts w:hint="eastAsia" w:hAnsi="宋体" w:cs="宋体"/>
          <w:color w:val="auto"/>
          <w:kern w:val="1"/>
          <w:sz w:val="21"/>
          <w:szCs w:val="21"/>
          <w:highlight w:val="none"/>
        </w:rPr>
      </w:pPr>
    </w:p>
    <w:p w14:paraId="63E56F8B">
      <w:pPr>
        <w:shd w:val="clear" w:color="auto"/>
        <w:ind w:firstLine="630" w:firstLineChars="300"/>
        <w:jc w:val="center"/>
        <w:rPr>
          <w:rFonts w:hint="eastAsia" w:hAnsi="宋体" w:cs="宋体"/>
          <w:color w:val="auto"/>
          <w:kern w:val="1"/>
          <w:sz w:val="21"/>
          <w:szCs w:val="21"/>
          <w:highlight w:val="none"/>
        </w:rPr>
      </w:pPr>
    </w:p>
    <w:p w14:paraId="649387EF">
      <w:pPr>
        <w:shd w:val="clear" w:color="auto"/>
        <w:ind w:firstLine="630" w:firstLineChars="300"/>
        <w:jc w:val="center"/>
        <w:rPr>
          <w:rFonts w:hint="eastAsia" w:hAnsi="宋体" w:cs="宋体"/>
          <w:color w:val="auto"/>
          <w:kern w:val="1"/>
          <w:sz w:val="21"/>
          <w:szCs w:val="21"/>
          <w:highlight w:val="none"/>
        </w:rPr>
      </w:pPr>
    </w:p>
    <w:p w14:paraId="4D28DDF1">
      <w:pPr>
        <w:pStyle w:val="62"/>
        <w:shd w:val="clear" w:color="auto"/>
        <w:ind w:left="680"/>
        <w:rPr>
          <w:rFonts w:hint="eastAsia" w:ascii="宋体" w:hAnsi="宋体" w:cs="宋体"/>
          <w:color w:val="auto"/>
          <w:kern w:val="1"/>
          <w:highlight w:val="none"/>
        </w:rPr>
      </w:pPr>
    </w:p>
    <w:p w14:paraId="2F557B82">
      <w:pPr>
        <w:shd w:val="clear" w:color="auto"/>
        <w:rPr>
          <w:rFonts w:hint="eastAsia" w:hAnsi="宋体" w:cs="宋体"/>
          <w:color w:val="auto"/>
          <w:kern w:val="1"/>
          <w:sz w:val="21"/>
          <w:szCs w:val="21"/>
          <w:highlight w:val="none"/>
        </w:rPr>
      </w:pPr>
    </w:p>
    <w:p w14:paraId="21C8BBEB">
      <w:pPr>
        <w:pStyle w:val="62"/>
        <w:shd w:val="clear" w:color="auto"/>
        <w:ind w:left="680"/>
        <w:rPr>
          <w:rFonts w:hint="eastAsia" w:ascii="宋体" w:hAnsi="宋体" w:cs="宋体"/>
          <w:color w:val="auto"/>
          <w:kern w:val="1"/>
          <w:highlight w:val="none"/>
        </w:rPr>
      </w:pPr>
    </w:p>
    <w:p w14:paraId="0A4016EE">
      <w:pPr>
        <w:shd w:val="clear" w:color="auto"/>
        <w:rPr>
          <w:rFonts w:hint="eastAsia" w:hAnsi="宋体" w:cs="宋体"/>
          <w:color w:val="auto"/>
          <w:kern w:val="1"/>
          <w:sz w:val="21"/>
          <w:szCs w:val="21"/>
          <w:highlight w:val="none"/>
        </w:rPr>
      </w:pPr>
    </w:p>
    <w:p w14:paraId="08F79144">
      <w:pPr>
        <w:pStyle w:val="62"/>
        <w:shd w:val="clear" w:color="auto"/>
        <w:ind w:left="680"/>
        <w:rPr>
          <w:rFonts w:hint="eastAsia" w:ascii="宋体" w:hAnsi="宋体" w:cs="宋体"/>
          <w:color w:val="auto"/>
          <w:kern w:val="1"/>
          <w:highlight w:val="none"/>
        </w:rPr>
      </w:pPr>
    </w:p>
    <w:p w14:paraId="5E0E012D">
      <w:pPr>
        <w:shd w:val="clear" w:color="auto"/>
        <w:rPr>
          <w:rFonts w:hint="eastAsia"/>
          <w:color w:val="auto"/>
          <w:highlight w:val="none"/>
        </w:rPr>
      </w:pPr>
    </w:p>
    <w:p w14:paraId="7BFB8F7E">
      <w:pPr>
        <w:shd w:val="clear" w:color="auto"/>
        <w:jc w:val="center"/>
        <w:rPr>
          <w:rFonts w:hint="eastAsia" w:hAnsi="宋体" w:cs="宋体"/>
          <w:color w:val="auto"/>
          <w:kern w:val="1"/>
          <w:sz w:val="21"/>
          <w:szCs w:val="21"/>
          <w:highlight w:val="none"/>
        </w:rPr>
      </w:pPr>
    </w:p>
    <w:p w14:paraId="3156CDE8">
      <w:pPr>
        <w:shd w:val="clear" w:color="auto"/>
        <w:jc w:val="center"/>
        <w:rPr>
          <w:rFonts w:hint="eastAsia" w:hAnsi="宋体" w:cs="宋体"/>
          <w:b/>
          <w:color w:val="auto"/>
          <w:sz w:val="24"/>
          <w:szCs w:val="22"/>
          <w:highlight w:val="none"/>
        </w:rPr>
      </w:pPr>
      <w:r>
        <w:rPr>
          <w:rFonts w:hint="eastAsia" w:hAnsi="宋体" w:cs="宋体"/>
          <w:color w:val="auto"/>
          <w:kern w:val="1"/>
          <w:sz w:val="21"/>
          <w:szCs w:val="21"/>
          <w:highlight w:val="none"/>
          <w:lang w:val="en-US" w:eastAsia="zh-CN"/>
        </w:rPr>
        <w:t>4</w:t>
      </w:r>
      <w:r>
        <w:rPr>
          <w:rFonts w:hint="eastAsia" w:hAnsi="宋体" w:cs="宋体"/>
          <w:color w:val="auto"/>
          <w:kern w:val="1"/>
          <w:sz w:val="21"/>
          <w:szCs w:val="21"/>
          <w:highlight w:val="none"/>
        </w:rPr>
        <w:t>.</w:t>
      </w:r>
      <w:r>
        <w:rPr>
          <w:rFonts w:hint="eastAsia" w:hAnsi="宋体" w:cs="宋体"/>
          <w:b/>
          <w:color w:val="auto"/>
          <w:sz w:val="24"/>
          <w:szCs w:val="22"/>
          <w:highlight w:val="none"/>
        </w:rPr>
        <w:t>分包意向协议</w:t>
      </w:r>
    </w:p>
    <w:p w14:paraId="74FEEC88">
      <w:pPr>
        <w:shd w:val="clear" w:color="auto"/>
        <w:spacing w:line="500" w:lineRule="exact"/>
        <w:jc w:val="center"/>
        <w:rPr>
          <w:rFonts w:hint="eastAsia" w:hAnsi="宋体" w:cs="宋体"/>
          <w:b/>
          <w:color w:val="auto"/>
          <w:sz w:val="24"/>
          <w:szCs w:val="22"/>
          <w:highlight w:val="none"/>
        </w:rPr>
      </w:pPr>
      <w:r>
        <w:rPr>
          <w:rFonts w:hint="eastAsia" w:hAnsi="宋体" w:cs="宋体"/>
          <w:color w:val="auto"/>
          <w:sz w:val="21"/>
          <w:szCs w:val="21"/>
          <w:highlight w:val="none"/>
        </w:rPr>
        <w:t>（分包适用）</w:t>
      </w:r>
    </w:p>
    <w:p w14:paraId="52339001">
      <w:pPr>
        <w:shd w:val="clear" w:color="auto"/>
        <w:snapToGrid w:val="0"/>
        <w:spacing w:line="500" w:lineRule="exact"/>
        <w:ind w:firstLine="420" w:firstLineChars="200"/>
        <w:rPr>
          <w:rFonts w:hint="eastAsia" w:hAnsi="宋体" w:cs="宋体"/>
          <w:color w:val="auto"/>
          <w:sz w:val="21"/>
          <w:szCs w:val="21"/>
          <w:highlight w:val="none"/>
          <w:u w:val="single"/>
        </w:rPr>
      </w:pPr>
      <w:r>
        <w:rPr>
          <w:rFonts w:hint="eastAsia" w:hAnsi="宋体" w:cs="宋体"/>
          <w:color w:val="auto"/>
          <w:sz w:val="21"/>
          <w:szCs w:val="21"/>
          <w:highlight w:val="none"/>
          <w:u w:val="single"/>
        </w:rPr>
        <w:t>立约方：</w:t>
      </w:r>
    </w:p>
    <w:p w14:paraId="2ABE9C02">
      <w:pPr>
        <w:shd w:val="clear" w:color="auto"/>
        <w:snapToGrid w:val="0"/>
        <w:spacing w:line="500" w:lineRule="exact"/>
        <w:ind w:firstLine="420" w:firstLineChars="200"/>
        <w:rPr>
          <w:rFonts w:hint="eastAsia" w:hAnsi="宋体" w:cs="宋体"/>
          <w:color w:val="auto"/>
          <w:sz w:val="21"/>
          <w:szCs w:val="21"/>
          <w:highlight w:val="none"/>
          <w:u w:val="single"/>
        </w:rPr>
      </w:pPr>
      <w:r>
        <w:rPr>
          <w:rFonts w:hint="eastAsia" w:hAnsi="宋体" w:cs="宋体"/>
          <w:color w:val="auto"/>
          <w:sz w:val="21"/>
          <w:szCs w:val="21"/>
          <w:highlight w:val="none"/>
          <w:u w:val="single"/>
        </w:rPr>
        <w:t>（投标人名称）</w:t>
      </w:r>
    </w:p>
    <w:p w14:paraId="64458406">
      <w:pPr>
        <w:shd w:val="clear" w:color="auto"/>
        <w:snapToGrid w:val="0"/>
        <w:spacing w:line="500" w:lineRule="exact"/>
        <w:ind w:firstLine="420" w:firstLineChars="200"/>
        <w:rPr>
          <w:rFonts w:hint="eastAsia" w:hAnsi="宋体" w:cs="宋体"/>
          <w:color w:val="auto"/>
          <w:sz w:val="21"/>
          <w:szCs w:val="21"/>
          <w:highlight w:val="none"/>
          <w:u w:val="single"/>
        </w:rPr>
      </w:pPr>
      <w:r>
        <w:rPr>
          <w:rFonts w:hint="eastAsia" w:hAnsi="宋体" w:cs="宋体"/>
          <w:color w:val="auto"/>
          <w:sz w:val="21"/>
          <w:szCs w:val="21"/>
          <w:highlight w:val="none"/>
          <w:u w:val="single"/>
        </w:rPr>
        <w:t>（所有接受分包供应商名称）</w:t>
      </w:r>
    </w:p>
    <w:p w14:paraId="19144C4D">
      <w:pPr>
        <w:shd w:val="clear" w:color="auto"/>
        <w:snapToGrid w:val="0"/>
        <w:spacing w:line="500" w:lineRule="exact"/>
        <w:ind w:firstLine="420" w:firstLineChars="200"/>
        <w:rPr>
          <w:rFonts w:hint="eastAsia" w:hAnsi="宋体" w:cs="宋体"/>
          <w:color w:val="auto"/>
          <w:sz w:val="21"/>
          <w:szCs w:val="21"/>
          <w:highlight w:val="none"/>
          <w:u w:val="single"/>
        </w:rPr>
      </w:pPr>
    </w:p>
    <w:p w14:paraId="072862BA">
      <w:pPr>
        <w:shd w:val="clear" w:color="auto"/>
        <w:snapToGrid w:val="0"/>
        <w:spacing w:line="500" w:lineRule="exact"/>
        <w:ind w:firstLine="420" w:firstLineChars="200"/>
        <w:rPr>
          <w:rFonts w:hint="eastAsia" w:hAnsi="宋体" w:cs="宋体"/>
          <w:color w:val="auto"/>
          <w:sz w:val="21"/>
          <w:szCs w:val="21"/>
          <w:highlight w:val="none"/>
          <w:u w:val="single"/>
        </w:rPr>
      </w:pPr>
      <w:r>
        <w:rPr>
          <w:rFonts w:hint="eastAsia" w:hAnsi="宋体" w:cs="宋体"/>
          <w:color w:val="auto"/>
          <w:sz w:val="21"/>
          <w:szCs w:val="21"/>
          <w:highlight w:val="none"/>
          <w:u w:val="single"/>
        </w:rPr>
        <w:t>（投标人名称）就</w:t>
      </w:r>
      <w:r>
        <w:rPr>
          <w:rFonts w:hint="eastAsia" w:hAnsi="宋体" w:cs="宋体"/>
          <w:color w:val="auto"/>
          <w:sz w:val="21"/>
          <w:szCs w:val="21"/>
          <w:highlight w:val="none"/>
        </w:rPr>
        <w:t>（项目名称）（项目编号）的投标事宜，与</w:t>
      </w:r>
      <w:r>
        <w:rPr>
          <w:rFonts w:hint="eastAsia" w:hAnsi="宋体" w:cs="宋体"/>
          <w:color w:val="auto"/>
          <w:sz w:val="21"/>
          <w:szCs w:val="21"/>
          <w:highlight w:val="none"/>
          <w:u w:val="single"/>
        </w:rPr>
        <w:t>（所有接受分包供应商名称）通过友好协商</w:t>
      </w:r>
      <w:r>
        <w:rPr>
          <w:rFonts w:hint="eastAsia" w:hAnsi="宋体" w:cs="宋体"/>
          <w:color w:val="auto"/>
          <w:sz w:val="21"/>
          <w:szCs w:val="21"/>
          <w:highlight w:val="none"/>
        </w:rPr>
        <w:t>达成以下协议：</w:t>
      </w:r>
    </w:p>
    <w:p w14:paraId="279D8E02">
      <w:pPr>
        <w:shd w:val="clear" w:color="auto"/>
        <w:snapToGrid w:val="0"/>
        <w:spacing w:line="500" w:lineRule="exact"/>
        <w:ind w:firstLine="420" w:firstLineChars="200"/>
        <w:rPr>
          <w:rFonts w:hint="eastAsia" w:hAnsi="宋体" w:cs="宋体"/>
          <w:color w:val="auto"/>
          <w:sz w:val="21"/>
          <w:szCs w:val="21"/>
          <w:highlight w:val="none"/>
          <w:u w:val="single"/>
        </w:rPr>
      </w:pPr>
      <w:r>
        <w:rPr>
          <w:rFonts w:hint="eastAsia" w:hAnsi="宋体" w:cs="宋体"/>
          <w:color w:val="auto"/>
          <w:sz w:val="21"/>
          <w:szCs w:val="21"/>
          <w:highlight w:val="none"/>
          <w:lang w:val="zh-CN"/>
        </w:rPr>
        <w:t>一、在本次投标有效期内，</w:t>
      </w:r>
      <w:r>
        <w:rPr>
          <w:rFonts w:hint="eastAsia" w:hAnsi="宋体" w:cs="宋体"/>
          <w:color w:val="auto"/>
          <w:sz w:val="21"/>
          <w:szCs w:val="21"/>
          <w:highlight w:val="none"/>
          <w:u w:val="single"/>
        </w:rPr>
        <w:t>（所有接受分包供应商名称）同意（投标人名称）代理上述投标事宜。若中标，各方按照本协议中约定的分工事项，完成各方对应的工作。</w:t>
      </w:r>
    </w:p>
    <w:p w14:paraId="6457501F">
      <w:pPr>
        <w:shd w:val="clear" w:color="auto"/>
        <w:snapToGrid w:val="0"/>
        <w:spacing w:line="500" w:lineRule="exact"/>
        <w:ind w:firstLine="420" w:firstLineChars="200"/>
        <w:rPr>
          <w:rFonts w:hint="eastAsia" w:hAnsi="宋体" w:cs="宋体"/>
          <w:color w:val="auto"/>
          <w:sz w:val="21"/>
          <w:szCs w:val="21"/>
          <w:highlight w:val="none"/>
          <w:lang w:val="zh-CN"/>
        </w:rPr>
      </w:pPr>
      <w:r>
        <w:rPr>
          <w:rFonts w:hint="eastAsia" w:hAnsi="宋体" w:cs="宋体"/>
          <w:color w:val="auto"/>
          <w:sz w:val="21"/>
          <w:szCs w:val="21"/>
          <w:highlight w:val="none"/>
          <w:lang w:val="zh-CN"/>
        </w:rPr>
        <w:t>二、各方分工</w:t>
      </w:r>
    </w:p>
    <w:p w14:paraId="071DB6B6">
      <w:pPr>
        <w:shd w:val="clear" w:color="auto"/>
        <w:snapToGrid w:val="0"/>
        <w:spacing w:line="500" w:lineRule="exact"/>
        <w:ind w:firstLine="420" w:firstLineChars="200"/>
        <w:rPr>
          <w:rFonts w:hint="eastAsia" w:hAnsi="宋体" w:cs="宋体"/>
          <w:color w:val="auto"/>
          <w:sz w:val="21"/>
          <w:szCs w:val="21"/>
          <w:highlight w:val="none"/>
          <w:u w:val="single"/>
        </w:rPr>
      </w:pPr>
      <w:r>
        <w:rPr>
          <w:rFonts w:hint="eastAsia" w:hAnsi="宋体" w:cs="宋体"/>
          <w:color w:val="auto"/>
          <w:sz w:val="21"/>
          <w:szCs w:val="21"/>
          <w:highlight w:val="none"/>
          <w:u w:val="single"/>
        </w:rPr>
        <w:t>1.参加本项目政府采购活动工作由（投标人名称）负责。</w:t>
      </w:r>
    </w:p>
    <w:p w14:paraId="31D8439A">
      <w:pPr>
        <w:shd w:val="clear" w:color="auto"/>
        <w:snapToGrid w:val="0"/>
        <w:spacing w:line="500" w:lineRule="exact"/>
        <w:ind w:firstLine="420" w:firstLineChars="200"/>
        <w:rPr>
          <w:rFonts w:hint="eastAsia" w:hAnsi="宋体" w:cs="宋体"/>
          <w:color w:val="auto"/>
          <w:sz w:val="21"/>
          <w:szCs w:val="21"/>
          <w:highlight w:val="none"/>
          <w:u w:val="single"/>
        </w:rPr>
      </w:pPr>
      <w:r>
        <w:rPr>
          <w:rFonts w:hint="eastAsia" w:hAnsi="宋体" w:cs="宋体"/>
          <w:color w:val="auto"/>
          <w:sz w:val="21"/>
          <w:szCs w:val="21"/>
          <w:highlight w:val="none"/>
          <w:u w:val="single"/>
        </w:rPr>
        <w:t>2.本项目由（投标人名称）授权人员负责与采购人联系。</w:t>
      </w:r>
    </w:p>
    <w:p w14:paraId="54B2D5E6">
      <w:pPr>
        <w:shd w:val="clear" w:color="auto"/>
        <w:snapToGrid w:val="0"/>
        <w:spacing w:line="500" w:lineRule="exact"/>
        <w:ind w:firstLine="420" w:firstLineChars="200"/>
        <w:rPr>
          <w:rFonts w:hint="eastAsia" w:hAnsi="宋体" w:cs="宋体"/>
          <w:color w:val="auto"/>
          <w:sz w:val="21"/>
          <w:szCs w:val="21"/>
          <w:highlight w:val="none"/>
          <w:u w:val="single"/>
        </w:rPr>
      </w:pPr>
      <w:r>
        <w:rPr>
          <w:rFonts w:hint="eastAsia" w:hAnsi="宋体" w:cs="宋体"/>
          <w:color w:val="auto"/>
          <w:sz w:val="21"/>
          <w:szCs w:val="21"/>
          <w:highlight w:val="none"/>
          <w:u w:val="single"/>
        </w:rPr>
        <w:t>3.（投标人名称）为分包方，拟承担的工作和职责：</w:t>
      </w:r>
      <w:r>
        <w:rPr>
          <w:rFonts w:hint="eastAsia" w:hAnsi="宋体" w:cs="宋体"/>
          <w:color w:val="auto"/>
          <w:sz w:val="21"/>
          <w:szCs w:val="21"/>
          <w:highlight w:val="none"/>
        </w:rPr>
        <w:t xml:space="preserve">                   </w:t>
      </w:r>
      <w:r>
        <w:rPr>
          <w:rFonts w:hint="eastAsia" w:hAnsi="宋体" w:cs="宋体"/>
          <w:color w:val="auto"/>
          <w:sz w:val="21"/>
          <w:szCs w:val="21"/>
          <w:highlight w:val="none"/>
          <w:u w:val="single"/>
        </w:rPr>
        <w:t xml:space="preserve"> 。</w:t>
      </w:r>
    </w:p>
    <w:p w14:paraId="2C76F819">
      <w:pPr>
        <w:shd w:val="clear" w:color="auto"/>
        <w:snapToGrid w:val="0"/>
        <w:spacing w:line="500" w:lineRule="exact"/>
        <w:ind w:firstLine="420" w:firstLineChars="200"/>
        <w:rPr>
          <w:rFonts w:hint="eastAsia" w:hAnsi="宋体" w:cs="宋体"/>
          <w:color w:val="auto"/>
          <w:sz w:val="21"/>
          <w:szCs w:val="21"/>
          <w:highlight w:val="none"/>
          <w:u w:val="single"/>
        </w:rPr>
      </w:pPr>
      <w:r>
        <w:rPr>
          <w:rFonts w:hint="eastAsia" w:hAnsi="宋体" w:cs="宋体"/>
          <w:color w:val="auto"/>
          <w:sz w:val="21"/>
          <w:szCs w:val="21"/>
          <w:highlight w:val="none"/>
          <w:u w:val="single"/>
        </w:rPr>
        <w:t>4.（接受分包供应商1名称）为接受分包方，系</w:t>
      </w:r>
      <w:r>
        <w:rPr>
          <w:rFonts w:hint="eastAsia" w:hAnsi="宋体" w:cs="宋体"/>
          <w:b/>
          <w:color w:val="auto"/>
          <w:kern w:val="1"/>
          <w:sz w:val="21"/>
          <w:szCs w:val="21"/>
          <w:highlight w:val="none"/>
        </w:rPr>
        <w:t>小型/微型企业（</w:t>
      </w:r>
      <w:r>
        <w:rPr>
          <w:rFonts w:hint="eastAsia" w:hAnsi="宋体" w:cs="宋体"/>
          <w:color w:val="auto"/>
          <w:kern w:val="1"/>
          <w:sz w:val="21"/>
          <w:szCs w:val="21"/>
          <w:highlight w:val="none"/>
        </w:rPr>
        <w:t>请将小微企业的《中小企业声明函》附后），</w:t>
      </w:r>
      <w:r>
        <w:rPr>
          <w:rFonts w:hint="eastAsia" w:hAnsi="宋体" w:cs="宋体"/>
          <w:color w:val="auto"/>
          <w:sz w:val="21"/>
          <w:szCs w:val="21"/>
          <w:highlight w:val="none"/>
          <w:u w:val="single"/>
        </w:rPr>
        <w:t>拟承担的工作和职责：                    ；</w:t>
      </w:r>
    </w:p>
    <w:p w14:paraId="753BEABA">
      <w:pPr>
        <w:shd w:val="clear" w:color="auto"/>
        <w:snapToGrid w:val="0"/>
        <w:spacing w:line="500" w:lineRule="exact"/>
        <w:ind w:firstLine="630" w:firstLineChars="300"/>
        <w:rPr>
          <w:rFonts w:hint="eastAsia" w:hAnsi="宋体" w:cs="宋体"/>
          <w:color w:val="auto"/>
          <w:sz w:val="21"/>
          <w:szCs w:val="21"/>
          <w:highlight w:val="none"/>
          <w:u w:val="single"/>
        </w:rPr>
      </w:pPr>
      <w:r>
        <w:rPr>
          <w:rFonts w:hint="eastAsia" w:hAnsi="宋体" w:cs="宋体"/>
          <w:color w:val="auto"/>
          <w:sz w:val="21"/>
          <w:szCs w:val="21"/>
          <w:highlight w:val="none"/>
          <w:u w:val="single"/>
        </w:rPr>
        <w:t>（接受分包供应商2名称）为接受分包方，系</w:t>
      </w:r>
      <w:r>
        <w:rPr>
          <w:rFonts w:hint="eastAsia" w:hAnsi="宋体" w:cs="宋体"/>
          <w:b/>
          <w:color w:val="auto"/>
          <w:kern w:val="1"/>
          <w:sz w:val="21"/>
          <w:szCs w:val="21"/>
          <w:highlight w:val="none"/>
        </w:rPr>
        <w:t>小型/微型企业（</w:t>
      </w:r>
      <w:r>
        <w:rPr>
          <w:rFonts w:hint="eastAsia" w:hAnsi="宋体" w:cs="宋体"/>
          <w:color w:val="auto"/>
          <w:kern w:val="1"/>
          <w:sz w:val="21"/>
          <w:szCs w:val="21"/>
          <w:highlight w:val="none"/>
        </w:rPr>
        <w:t>请将小微企业的《中小企业声明函》附后</w:t>
      </w:r>
      <w:r>
        <w:rPr>
          <w:rFonts w:hint="eastAsia" w:hAnsi="宋体" w:cs="宋体"/>
          <w:b/>
          <w:color w:val="auto"/>
          <w:kern w:val="1"/>
          <w:sz w:val="21"/>
          <w:szCs w:val="21"/>
          <w:highlight w:val="none"/>
        </w:rPr>
        <w:t>）</w:t>
      </w:r>
      <w:r>
        <w:rPr>
          <w:rFonts w:hint="eastAsia" w:hAnsi="宋体" w:cs="宋体"/>
          <w:color w:val="auto"/>
          <w:kern w:val="1"/>
          <w:sz w:val="21"/>
          <w:szCs w:val="21"/>
          <w:highlight w:val="none"/>
        </w:rPr>
        <w:t>，</w:t>
      </w:r>
      <w:r>
        <w:rPr>
          <w:rFonts w:hint="eastAsia" w:hAnsi="宋体" w:cs="宋体"/>
          <w:color w:val="auto"/>
          <w:sz w:val="21"/>
          <w:szCs w:val="21"/>
          <w:highlight w:val="none"/>
          <w:u w:val="single"/>
        </w:rPr>
        <w:t>拟承担的工作和职责：                    ；</w:t>
      </w:r>
    </w:p>
    <w:p w14:paraId="502D0121">
      <w:pPr>
        <w:shd w:val="clear" w:color="auto"/>
        <w:snapToGrid w:val="0"/>
        <w:spacing w:line="500" w:lineRule="exact"/>
        <w:ind w:firstLine="420" w:firstLineChars="200"/>
        <w:rPr>
          <w:rFonts w:hint="eastAsia" w:hAnsi="宋体" w:cs="宋体"/>
          <w:color w:val="auto"/>
          <w:sz w:val="21"/>
          <w:szCs w:val="21"/>
          <w:highlight w:val="none"/>
          <w:u w:val="single"/>
        </w:rPr>
      </w:pPr>
      <w:r>
        <w:rPr>
          <w:rFonts w:hint="eastAsia" w:hAnsi="宋体" w:cs="宋体"/>
          <w:color w:val="auto"/>
          <w:sz w:val="21"/>
          <w:szCs w:val="21"/>
          <w:highlight w:val="none"/>
          <w:u w:val="single"/>
        </w:rPr>
        <w:t>┅┅</w:t>
      </w:r>
    </w:p>
    <w:p w14:paraId="00A31F84">
      <w:pPr>
        <w:shd w:val="clear" w:color="auto"/>
        <w:snapToGrid w:val="0"/>
        <w:spacing w:line="500" w:lineRule="exact"/>
        <w:ind w:firstLine="420" w:firstLineChars="200"/>
        <w:rPr>
          <w:rFonts w:hint="eastAsia" w:hAnsi="宋体" w:cs="宋体"/>
          <w:color w:val="auto"/>
          <w:sz w:val="21"/>
          <w:szCs w:val="21"/>
          <w:highlight w:val="none"/>
          <w:u w:val="single"/>
        </w:rPr>
      </w:pPr>
      <w:r>
        <w:rPr>
          <w:rFonts w:hint="eastAsia" w:hAnsi="宋体" w:cs="宋体"/>
          <w:color w:val="auto"/>
          <w:sz w:val="21"/>
          <w:szCs w:val="21"/>
          <w:highlight w:val="none"/>
          <w:u w:val="single"/>
        </w:rPr>
        <w:t>以上分包给</w:t>
      </w:r>
      <w:r>
        <w:rPr>
          <w:rFonts w:hint="eastAsia" w:hAnsi="宋体" w:cs="宋体"/>
          <w:color w:val="auto"/>
          <w:sz w:val="21"/>
          <w:szCs w:val="21"/>
          <w:highlight w:val="none"/>
          <w:lang w:bidi="ar"/>
        </w:rPr>
        <w:t>小微企业的</w:t>
      </w:r>
      <w:r>
        <w:rPr>
          <w:rFonts w:hint="eastAsia" w:hAnsi="宋体" w:cs="宋体"/>
          <w:color w:val="auto"/>
          <w:sz w:val="21"/>
          <w:szCs w:val="21"/>
          <w:highlight w:val="none"/>
        </w:rPr>
        <w:t>分包</w:t>
      </w:r>
      <w:r>
        <w:rPr>
          <w:rFonts w:hint="eastAsia" w:hAnsi="宋体" w:cs="宋体"/>
          <w:color w:val="auto"/>
          <w:sz w:val="21"/>
          <w:szCs w:val="21"/>
          <w:highlight w:val="none"/>
          <w:lang w:bidi="ar"/>
        </w:rPr>
        <w:t>协议</w:t>
      </w:r>
      <w:r>
        <w:rPr>
          <w:rFonts w:hint="eastAsia" w:hAnsi="宋体" w:cs="宋体"/>
          <w:color w:val="auto"/>
          <w:sz w:val="21"/>
          <w:szCs w:val="21"/>
          <w:highlight w:val="none"/>
        </w:rPr>
        <w:t>合同份额占本项目投标总金额（合同总金额）的</w:t>
      </w:r>
      <w:r>
        <w:rPr>
          <w:rFonts w:hint="eastAsia" w:hAnsi="宋体" w:cs="宋体"/>
          <w:color w:val="auto"/>
          <w:sz w:val="21"/>
          <w:szCs w:val="21"/>
          <w:highlight w:val="none"/>
          <w:u w:val="single"/>
        </w:rPr>
        <w:t xml:space="preserve">    </w:t>
      </w:r>
      <w:r>
        <w:rPr>
          <w:rFonts w:hint="eastAsia" w:hAnsi="宋体" w:cs="宋体"/>
          <w:color w:val="auto"/>
          <w:sz w:val="21"/>
          <w:szCs w:val="21"/>
          <w:highlight w:val="none"/>
        </w:rPr>
        <w:t>%（大写：百分之</w:t>
      </w:r>
      <w:r>
        <w:rPr>
          <w:rFonts w:hint="eastAsia" w:hAnsi="宋体" w:cs="宋体"/>
          <w:color w:val="auto"/>
          <w:sz w:val="21"/>
          <w:szCs w:val="21"/>
          <w:highlight w:val="none"/>
          <w:u w:val="single"/>
        </w:rPr>
        <w:t xml:space="preserve">     </w:t>
      </w:r>
      <w:r>
        <w:rPr>
          <w:rFonts w:hint="eastAsia" w:hAnsi="宋体" w:cs="宋体"/>
          <w:color w:val="auto"/>
          <w:sz w:val="21"/>
          <w:szCs w:val="21"/>
          <w:highlight w:val="none"/>
        </w:rPr>
        <w:t>）</w:t>
      </w:r>
      <w:r>
        <w:rPr>
          <w:rFonts w:hint="eastAsia" w:hAnsi="宋体" w:cs="宋体"/>
          <w:color w:val="auto"/>
          <w:sz w:val="21"/>
          <w:szCs w:val="21"/>
          <w:highlight w:val="none"/>
          <w:lang w:bidi="ar"/>
        </w:rPr>
        <w:t>。</w:t>
      </w:r>
    </w:p>
    <w:p w14:paraId="6ECAC467">
      <w:pPr>
        <w:widowControl/>
        <w:shd w:val="clear" w:color="auto"/>
        <w:ind w:firstLine="420" w:firstLineChars="200"/>
        <w:rPr>
          <w:rFonts w:hint="eastAsia" w:hAnsi="宋体" w:cs="宋体"/>
          <w:color w:val="auto"/>
          <w:sz w:val="21"/>
          <w:szCs w:val="21"/>
          <w:highlight w:val="none"/>
          <w:u w:val="single"/>
        </w:rPr>
      </w:pPr>
      <w:r>
        <w:rPr>
          <w:rFonts w:hint="eastAsia" w:hAnsi="宋体" w:cs="宋体"/>
          <w:color w:val="auto"/>
          <w:sz w:val="21"/>
          <w:szCs w:val="21"/>
          <w:highlight w:val="none"/>
        </w:rPr>
        <w:t>5.如中标，由</w:t>
      </w:r>
      <w:r>
        <w:rPr>
          <w:rFonts w:hint="eastAsia" w:hAnsi="宋体" w:cs="宋体"/>
          <w:color w:val="auto"/>
          <w:sz w:val="21"/>
          <w:szCs w:val="21"/>
          <w:highlight w:val="none"/>
          <w:u w:val="single"/>
        </w:rPr>
        <w:t>（投标人名称）与本项目采购人签订《</w:t>
      </w:r>
      <w:r>
        <w:rPr>
          <w:rFonts w:hint="eastAsia" w:hAnsi="宋体" w:cs="宋体"/>
          <w:color w:val="auto"/>
          <w:sz w:val="21"/>
          <w:szCs w:val="21"/>
          <w:highlight w:val="none"/>
        </w:rPr>
        <w:t>政府采购合同》，同时，由</w:t>
      </w:r>
      <w:r>
        <w:rPr>
          <w:rFonts w:hint="eastAsia" w:hAnsi="宋体" w:cs="宋体"/>
          <w:color w:val="auto"/>
          <w:sz w:val="21"/>
          <w:szCs w:val="21"/>
          <w:highlight w:val="none"/>
          <w:u w:val="single"/>
        </w:rPr>
        <w:t>（投标人名称）与各接受分包供应商签订《分包合同》</w:t>
      </w:r>
      <w:r>
        <w:rPr>
          <w:rFonts w:hint="eastAsia" w:hAnsi="宋体" w:cs="宋体"/>
          <w:color w:val="auto"/>
          <w:sz w:val="21"/>
          <w:szCs w:val="21"/>
          <w:highlight w:val="none"/>
        </w:rPr>
        <w:t>。</w:t>
      </w:r>
      <w:r>
        <w:rPr>
          <w:rFonts w:hint="eastAsia" w:hAnsi="宋体" w:cs="宋体"/>
          <w:color w:val="auto"/>
          <w:sz w:val="21"/>
          <w:szCs w:val="21"/>
          <w:highlight w:val="none"/>
          <w:u w:val="single"/>
        </w:rPr>
        <w:t>（投标人名称）</w:t>
      </w:r>
      <w:r>
        <w:rPr>
          <w:rFonts w:hint="eastAsia" w:hAnsi="宋体" w:cs="宋体"/>
          <w:color w:val="auto"/>
          <w:sz w:val="21"/>
          <w:szCs w:val="21"/>
          <w:highlight w:val="none"/>
        </w:rPr>
        <w:t>就采购项目和分包项目向采购人负责，接受分包供应商就分包项目承担责任。</w:t>
      </w:r>
    </w:p>
    <w:p w14:paraId="642F06CE">
      <w:pPr>
        <w:shd w:val="clear" w:color="auto"/>
        <w:autoSpaceDE/>
        <w:autoSpaceDN/>
        <w:adjustRightInd/>
        <w:snapToGrid w:val="0"/>
        <w:spacing w:line="500" w:lineRule="exact"/>
        <w:ind w:firstLine="420" w:firstLineChars="200"/>
        <w:jc w:val="both"/>
        <w:rPr>
          <w:rFonts w:hint="eastAsia" w:hAnsi="宋体" w:cs="宋体"/>
          <w:color w:val="auto"/>
          <w:sz w:val="21"/>
          <w:szCs w:val="21"/>
          <w:highlight w:val="none"/>
        </w:rPr>
      </w:pPr>
      <w:r>
        <w:rPr>
          <w:rFonts w:hint="eastAsia" w:hAnsi="宋体" w:cs="宋体"/>
          <w:color w:val="auto"/>
          <w:sz w:val="21"/>
          <w:szCs w:val="21"/>
          <w:highlight w:val="none"/>
        </w:rPr>
        <w:t>三、本协议在自签署之日起生效，投标有效期内有效；如获中标资格，本协议有效期延续到《政府采购合同》履行完毕之日。</w:t>
      </w:r>
    </w:p>
    <w:p w14:paraId="6A1D506A">
      <w:pPr>
        <w:shd w:val="clear" w:color="auto"/>
        <w:autoSpaceDE/>
        <w:autoSpaceDN/>
        <w:adjustRightInd/>
        <w:snapToGrid w:val="0"/>
        <w:spacing w:line="500" w:lineRule="exact"/>
        <w:ind w:firstLine="420" w:firstLineChars="200"/>
        <w:jc w:val="both"/>
        <w:rPr>
          <w:rFonts w:hint="eastAsia" w:hAnsi="宋体" w:cs="宋体"/>
          <w:color w:val="auto"/>
          <w:sz w:val="21"/>
          <w:szCs w:val="21"/>
          <w:highlight w:val="none"/>
        </w:rPr>
      </w:pPr>
      <w:r>
        <w:rPr>
          <w:rFonts w:hint="eastAsia" w:hAnsi="宋体" w:cs="宋体"/>
          <w:color w:val="auto"/>
          <w:sz w:val="21"/>
          <w:szCs w:val="21"/>
          <w:highlight w:val="none"/>
        </w:rPr>
        <w:t>四、本协议书一式</w:t>
      </w:r>
      <w:r>
        <w:rPr>
          <w:rFonts w:hint="eastAsia" w:hAnsi="宋体" w:cs="宋体"/>
          <w:color w:val="auto"/>
          <w:sz w:val="21"/>
          <w:szCs w:val="21"/>
          <w:highlight w:val="none"/>
          <w:u w:val="single"/>
        </w:rPr>
        <w:t xml:space="preserve">   </w:t>
      </w:r>
      <w:r>
        <w:rPr>
          <w:rFonts w:hint="eastAsia" w:hAnsi="宋体" w:cs="宋体"/>
          <w:color w:val="auto"/>
          <w:sz w:val="21"/>
          <w:szCs w:val="21"/>
          <w:highlight w:val="none"/>
        </w:rPr>
        <w:t>份，分包意向协议成员</w:t>
      </w:r>
      <w:r>
        <w:rPr>
          <w:rFonts w:hint="eastAsia" w:hAnsi="宋体" w:cs="宋体"/>
          <w:color w:val="auto"/>
          <w:kern w:val="1"/>
          <w:sz w:val="21"/>
          <w:szCs w:val="21"/>
          <w:highlight w:val="none"/>
        </w:rPr>
        <w:t>和</w:t>
      </w:r>
      <w:r>
        <w:rPr>
          <w:rFonts w:hint="eastAsia" w:hAnsi="宋体" w:cs="宋体"/>
          <w:color w:val="auto"/>
          <w:kern w:val="1"/>
          <w:sz w:val="21"/>
          <w:szCs w:val="21"/>
          <w:highlight w:val="none"/>
          <w:lang w:eastAsia="zh-CN"/>
        </w:rPr>
        <w:t>采购人</w:t>
      </w:r>
      <w:r>
        <w:rPr>
          <w:rFonts w:hint="eastAsia" w:hAnsi="宋体" w:cs="宋体"/>
          <w:color w:val="auto"/>
          <w:sz w:val="21"/>
          <w:szCs w:val="21"/>
          <w:highlight w:val="none"/>
        </w:rPr>
        <w:t>各执</w:t>
      </w:r>
      <w:r>
        <w:rPr>
          <w:rFonts w:hint="eastAsia" w:hAnsi="宋体" w:cs="宋体"/>
          <w:color w:val="auto"/>
          <w:sz w:val="21"/>
          <w:szCs w:val="21"/>
          <w:highlight w:val="none"/>
          <w:u w:val="single"/>
        </w:rPr>
        <w:t xml:space="preserve">   </w:t>
      </w:r>
      <w:r>
        <w:rPr>
          <w:rFonts w:hint="eastAsia" w:hAnsi="宋体" w:cs="宋体"/>
          <w:color w:val="auto"/>
          <w:sz w:val="21"/>
          <w:szCs w:val="21"/>
          <w:highlight w:val="none"/>
        </w:rPr>
        <w:t>份。</w:t>
      </w:r>
    </w:p>
    <w:p w14:paraId="152F4078">
      <w:pPr>
        <w:shd w:val="clear" w:color="auto"/>
        <w:snapToGrid w:val="0"/>
        <w:spacing w:line="360" w:lineRule="auto"/>
        <w:ind w:firstLine="576"/>
        <w:rPr>
          <w:rFonts w:hint="eastAsia" w:hAnsi="宋体" w:cs="宋体"/>
          <w:b/>
          <w:color w:val="auto"/>
          <w:sz w:val="21"/>
          <w:szCs w:val="21"/>
          <w:highlight w:val="none"/>
          <w:lang w:val="zh-CN"/>
        </w:rPr>
      </w:pPr>
    </w:p>
    <w:p w14:paraId="2E1ABF21">
      <w:pPr>
        <w:shd w:val="clear" w:color="auto"/>
        <w:snapToGrid w:val="0"/>
        <w:spacing w:line="500" w:lineRule="exact"/>
        <w:ind w:firstLine="420"/>
        <w:rPr>
          <w:rFonts w:hint="eastAsia" w:hAnsi="宋体" w:cs="宋体"/>
          <w:color w:val="auto"/>
          <w:kern w:val="1"/>
          <w:sz w:val="21"/>
          <w:szCs w:val="21"/>
          <w:highlight w:val="none"/>
        </w:rPr>
      </w:pPr>
      <w:r>
        <w:rPr>
          <w:rFonts w:hint="eastAsia" w:hAnsi="宋体" w:cs="宋体"/>
          <w:color w:val="auto"/>
          <w:kern w:val="1"/>
          <w:sz w:val="21"/>
          <w:szCs w:val="21"/>
          <w:highlight w:val="none"/>
        </w:rPr>
        <w:t>投标人全称(盖单位公章):</w:t>
      </w:r>
    </w:p>
    <w:p w14:paraId="11059338">
      <w:pPr>
        <w:shd w:val="clear" w:color="auto"/>
        <w:snapToGrid w:val="0"/>
        <w:spacing w:line="500" w:lineRule="exact"/>
        <w:ind w:firstLine="412" w:firstLineChars="200"/>
        <w:rPr>
          <w:rFonts w:hint="eastAsia" w:hAnsi="宋体" w:cs="宋体"/>
          <w:color w:val="auto"/>
          <w:sz w:val="21"/>
          <w:szCs w:val="21"/>
          <w:highlight w:val="none"/>
        </w:rPr>
      </w:pPr>
      <w:r>
        <w:rPr>
          <w:rFonts w:hint="eastAsia" w:hAnsi="宋体" w:cs="宋体"/>
          <w:color w:val="auto"/>
          <w:spacing w:val="-2"/>
          <w:sz w:val="21"/>
          <w:szCs w:val="21"/>
          <w:highlight w:val="none"/>
        </w:rPr>
        <w:t>法定代表人（签字或盖章）：</w:t>
      </w:r>
    </w:p>
    <w:p w14:paraId="1A89CF53">
      <w:pPr>
        <w:shd w:val="clear" w:color="auto"/>
        <w:snapToGrid w:val="0"/>
        <w:spacing w:line="500" w:lineRule="exact"/>
        <w:ind w:firstLine="420"/>
        <w:rPr>
          <w:rFonts w:hint="eastAsia" w:hAnsi="宋体" w:cs="宋体"/>
          <w:color w:val="auto"/>
          <w:kern w:val="1"/>
          <w:sz w:val="21"/>
          <w:szCs w:val="21"/>
          <w:highlight w:val="none"/>
        </w:rPr>
      </w:pPr>
      <w:r>
        <w:rPr>
          <w:rFonts w:hint="eastAsia" w:hAnsi="宋体" w:cs="宋体"/>
          <w:color w:val="auto"/>
          <w:kern w:val="1"/>
          <w:sz w:val="21"/>
          <w:szCs w:val="21"/>
          <w:highlight w:val="none"/>
        </w:rPr>
        <w:t>日期：</w:t>
      </w:r>
    </w:p>
    <w:p w14:paraId="7AEAE192">
      <w:pPr>
        <w:shd w:val="clear" w:color="auto"/>
        <w:snapToGrid w:val="0"/>
        <w:spacing w:line="500" w:lineRule="exact"/>
        <w:ind w:firstLine="420"/>
        <w:rPr>
          <w:rFonts w:hint="eastAsia" w:hAnsi="宋体" w:cs="宋体"/>
          <w:color w:val="auto"/>
          <w:kern w:val="1"/>
          <w:sz w:val="21"/>
          <w:szCs w:val="21"/>
          <w:highlight w:val="none"/>
        </w:rPr>
      </w:pPr>
      <w:r>
        <w:rPr>
          <w:rFonts w:hint="eastAsia" w:hAnsi="宋体" w:cs="宋体"/>
          <w:color w:val="auto"/>
          <w:kern w:val="1"/>
          <w:sz w:val="21"/>
          <w:szCs w:val="21"/>
          <w:highlight w:val="none"/>
        </w:rPr>
        <w:t>接受分包供应商1名称(盖单位公章):</w:t>
      </w:r>
    </w:p>
    <w:p w14:paraId="2C5F6110">
      <w:pPr>
        <w:shd w:val="clear" w:color="auto"/>
        <w:snapToGrid w:val="0"/>
        <w:spacing w:line="500" w:lineRule="exact"/>
        <w:ind w:firstLine="420"/>
        <w:rPr>
          <w:rFonts w:hint="eastAsia" w:hAnsi="宋体" w:cs="宋体"/>
          <w:color w:val="auto"/>
          <w:kern w:val="1"/>
          <w:sz w:val="21"/>
          <w:szCs w:val="21"/>
          <w:highlight w:val="none"/>
        </w:rPr>
      </w:pPr>
      <w:r>
        <w:rPr>
          <w:rFonts w:hint="eastAsia" w:hAnsi="宋体" w:cs="宋体"/>
          <w:color w:val="auto"/>
          <w:kern w:val="1"/>
          <w:sz w:val="21"/>
          <w:szCs w:val="21"/>
          <w:highlight w:val="none"/>
        </w:rPr>
        <w:t>法定代表人 (签字或盖章):</w:t>
      </w:r>
    </w:p>
    <w:p w14:paraId="66B8C806">
      <w:pPr>
        <w:shd w:val="clear" w:color="auto"/>
        <w:snapToGrid w:val="0"/>
        <w:spacing w:line="500" w:lineRule="exact"/>
        <w:ind w:firstLine="420"/>
        <w:rPr>
          <w:rFonts w:hint="eastAsia" w:hAnsi="宋体" w:cs="宋体"/>
          <w:color w:val="auto"/>
          <w:kern w:val="1"/>
          <w:sz w:val="21"/>
          <w:szCs w:val="21"/>
          <w:highlight w:val="none"/>
        </w:rPr>
      </w:pPr>
      <w:r>
        <w:rPr>
          <w:rFonts w:hint="eastAsia" w:hAnsi="宋体" w:cs="宋体"/>
          <w:color w:val="auto"/>
          <w:kern w:val="1"/>
          <w:sz w:val="21"/>
          <w:szCs w:val="21"/>
          <w:highlight w:val="none"/>
        </w:rPr>
        <w:t>日期：</w:t>
      </w:r>
    </w:p>
    <w:p w14:paraId="6F4DC353">
      <w:pPr>
        <w:shd w:val="clear" w:color="auto"/>
        <w:snapToGrid w:val="0"/>
        <w:spacing w:line="500" w:lineRule="exact"/>
        <w:ind w:firstLine="420"/>
        <w:rPr>
          <w:rFonts w:hint="eastAsia" w:hAnsi="宋体" w:cs="宋体"/>
          <w:color w:val="auto"/>
          <w:kern w:val="1"/>
          <w:sz w:val="21"/>
          <w:szCs w:val="21"/>
          <w:highlight w:val="none"/>
        </w:rPr>
      </w:pPr>
      <w:r>
        <w:rPr>
          <w:rFonts w:hint="eastAsia" w:hAnsi="宋体" w:cs="宋体"/>
          <w:color w:val="auto"/>
          <w:kern w:val="1"/>
          <w:sz w:val="21"/>
          <w:szCs w:val="21"/>
          <w:highlight w:val="none"/>
        </w:rPr>
        <w:t>接受分包供应商2名称(盖单位公章):</w:t>
      </w:r>
    </w:p>
    <w:p w14:paraId="471121A8">
      <w:pPr>
        <w:shd w:val="clear" w:color="auto"/>
        <w:snapToGrid w:val="0"/>
        <w:spacing w:line="500" w:lineRule="exact"/>
        <w:ind w:firstLine="420"/>
        <w:rPr>
          <w:rFonts w:hint="eastAsia" w:hAnsi="宋体" w:cs="宋体"/>
          <w:color w:val="auto"/>
          <w:kern w:val="1"/>
          <w:sz w:val="21"/>
          <w:szCs w:val="21"/>
          <w:highlight w:val="none"/>
        </w:rPr>
      </w:pPr>
      <w:r>
        <w:rPr>
          <w:rFonts w:hint="eastAsia" w:hAnsi="宋体" w:cs="宋体"/>
          <w:color w:val="auto"/>
          <w:kern w:val="1"/>
          <w:sz w:val="21"/>
          <w:szCs w:val="21"/>
          <w:highlight w:val="none"/>
        </w:rPr>
        <w:t>法定代表人 (签字或盖章):</w:t>
      </w:r>
    </w:p>
    <w:p w14:paraId="00834616">
      <w:pPr>
        <w:shd w:val="clear" w:color="auto"/>
        <w:snapToGrid w:val="0"/>
        <w:ind w:firstLine="420"/>
        <w:rPr>
          <w:rFonts w:hint="eastAsia" w:hAnsi="宋体" w:cs="宋体"/>
          <w:color w:val="auto"/>
          <w:szCs w:val="21"/>
          <w:highlight w:val="none"/>
        </w:rPr>
      </w:pPr>
      <w:r>
        <w:rPr>
          <w:rFonts w:hint="eastAsia" w:hAnsi="宋体" w:cs="宋体"/>
          <w:color w:val="auto"/>
          <w:kern w:val="1"/>
          <w:sz w:val="21"/>
          <w:szCs w:val="21"/>
          <w:highlight w:val="none"/>
        </w:rPr>
        <w:t>日期：</w:t>
      </w:r>
    </w:p>
    <w:p w14:paraId="30D4C348">
      <w:pPr>
        <w:shd w:val="clear" w:color="auto"/>
        <w:snapToGrid w:val="0"/>
        <w:spacing w:line="360" w:lineRule="auto"/>
        <w:ind w:right="480"/>
        <w:jc w:val="center"/>
        <w:rPr>
          <w:rFonts w:hint="eastAsia" w:hAnsi="宋体" w:cs="宋体"/>
          <w:color w:val="auto"/>
          <w:kern w:val="1"/>
          <w:sz w:val="21"/>
          <w:szCs w:val="21"/>
          <w:highlight w:val="none"/>
        </w:rPr>
      </w:pPr>
    </w:p>
    <w:p w14:paraId="0C25C60D">
      <w:pPr>
        <w:shd w:val="clear" w:color="auto"/>
        <w:snapToGrid w:val="0"/>
        <w:spacing w:line="360" w:lineRule="auto"/>
        <w:ind w:right="480"/>
        <w:jc w:val="center"/>
        <w:rPr>
          <w:rFonts w:hint="eastAsia" w:hAnsi="宋体" w:cs="宋体"/>
          <w:color w:val="auto"/>
          <w:kern w:val="1"/>
          <w:sz w:val="21"/>
          <w:szCs w:val="21"/>
          <w:highlight w:val="none"/>
        </w:rPr>
      </w:pPr>
    </w:p>
    <w:p w14:paraId="58E1380B">
      <w:pPr>
        <w:shd w:val="clear" w:color="auto"/>
        <w:snapToGrid w:val="0"/>
        <w:spacing w:line="360" w:lineRule="auto"/>
        <w:ind w:right="480"/>
        <w:jc w:val="center"/>
        <w:rPr>
          <w:rFonts w:hint="eastAsia" w:hAnsi="宋体" w:cs="宋体"/>
          <w:color w:val="auto"/>
          <w:kern w:val="1"/>
          <w:sz w:val="21"/>
          <w:szCs w:val="21"/>
          <w:highlight w:val="none"/>
        </w:rPr>
      </w:pPr>
    </w:p>
    <w:p w14:paraId="0A26DC22">
      <w:pPr>
        <w:shd w:val="clear" w:color="auto"/>
        <w:snapToGrid w:val="0"/>
        <w:spacing w:line="360" w:lineRule="auto"/>
        <w:ind w:right="480"/>
        <w:jc w:val="center"/>
        <w:rPr>
          <w:rFonts w:hint="eastAsia" w:hAnsi="宋体" w:cs="宋体"/>
          <w:color w:val="auto"/>
          <w:kern w:val="1"/>
          <w:sz w:val="21"/>
          <w:szCs w:val="21"/>
          <w:highlight w:val="none"/>
        </w:rPr>
      </w:pPr>
    </w:p>
    <w:p w14:paraId="26FCD5B1">
      <w:pPr>
        <w:shd w:val="clear" w:color="auto"/>
        <w:snapToGrid w:val="0"/>
        <w:spacing w:line="360" w:lineRule="auto"/>
        <w:ind w:right="480"/>
        <w:jc w:val="center"/>
        <w:rPr>
          <w:rFonts w:hint="eastAsia" w:hAnsi="宋体" w:cs="宋体"/>
          <w:color w:val="auto"/>
          <w:kern w:val="1"/>
          <w:sz w:val="21"/>
          <w:szCs w:val="21"/>
          <w:highlight w:val="none"/>
        </w:rPr>
      </w:pPr>
    </w:p>
    <w:p w14:paraId="5E9E4AF3">
      <w:pPr>
        <w:shd w:val="clear" w:color="auto"/>
        <w:snapToGrid w:val="0"/>
        <w:spacing w:line="360" w:lineRule="auto"/>
        <w:ind w:right="480"/>
        <w:jc w:val="center"/>
        <w:rPr>
          <w:rFonts w:hint="eastAsia" w:hAnsi="宋体" w:cs="宋体"/>
          <w:b/>
          <w:color w:val="auto"/>
          <w:sz w:val="21"/>
          <w:szCs w:val="21"/>
          <w:highlight w:val="none"/>
        </w:rPr>
      </w:pPr>
    </w:p>
    <w:p w14:paraId="197722A0">
      <w:pPr>
        <w:shd w:val="clear" w:color="auto"/>
        <w:snapToGrid w:val="0"/>
        <w:spacing w:line="360" w:lineRule="auto"/>
        <w:ind w:right="480"/>
        <w:jc w:val="center"/>
        <w:rPr>
          <w:rFonts w:hint="eastAsia" w:hAnsi="宋体" w:cs="宋体"/>
          <w:b/>
          <w:color w:val="auto"/>
          <w:sz w:val="21"/>
          <w:szCs w:val="21"/>
          <w:highlight w:val="none"/>
        </w:rPr>
      </w:pPr>
    </w:p>
    <w:p w14:paraId="1D4554E3">
      <w:pPr>
        <w:shd w:val="clear" w:color="auto"/>
        <w:snapToGrid w:val="0"/>
        <w:spacing w:line="360" w:lineRule="auto"/>
        <w:ind w:right="480"/>
        <w:jc w:val="center"/>
        <w:rPr>
          <w:rFonts w:hint="eastAsia" w:hAnsi="宋体" w:cs="宋体"/>
          <w:b/>
          <w:color w:val="auto"/>
          <w:sz w:val="21"/>
          <w:szCs w:val="21"/>
          <w:highlight w:val="none"/>
        </w:rPr>
      </w:pPr>
    </w:p>
    <w:p w14:paraId="3F43E4E3">
      <w:pPr>
        <w:shd w:val="clear" w:color="auto"/>
        <w:snapToGrid w:val="0"/>
        <w:spacing w:line="360" w:lineRule="auto"/>
        <w:ind w:right="480"/>
        <w:jc w:val="center"/>
        <w:rPr>
          <w:rFonts w:hint="eastAsia" w:hAnsi="宋体" w:cs="宋体"/>
          <w:b/>
          <w:color w:val="auto"/>
          <w:sz w:val="21"/>
          <w:szCs w:val="21"/>
          <w:highlight w:val="none"/>
        </w:rPr>
      </w:pPr>
    </w:p>
    <w:p w14:paraId="60E59811">
      <w:pPr>
        <w:shd w:val="clear" w:color="auto"/>
        <w:snapToGrid w:val="0"/>
        <w:spacing w:line="360" w:lineRule="auto"/>
        <w:ind w:right="480"/>
        <w:jc w:val="center"/>
        <w:rPr>
          <w:rFonts w:hint="eastAsia" w:hAnsi="宋体" w:cs="宋体"/>
          <w:b/>
          <w:color w:val="auto"/>
          <w:sz w:val="21"/>
          <w:szCs w:val="21"/>
          <w:highlight w:val="none"/>
        </w:rPr>
      </w:pPr>
    </w:p>
    <w:p w14:paraId="13E68595">
      <w:pPr>
        <w:shd w:val="clear" w:color="auto"/>
        <w:snapToGrid w:val="0"/>
        <w:spacing w:line="360" w:lineRule="auto"/>
        <w:ind w:right="480"/>
        <w:jc w:val="center"/>
        <w:rPr>
          <w:rFonts w:hint="eastAsia" w:hAnsi="宋体" w:cs="宋体"/>
          <w:b/>
          <w:color w:val="auto"/>
          <w:sz w:val="21"/>
          <w:szCs w:val="21"/>
          <w:highlight w:val="none"/>
        </w:rPr>
      </w:pPr>
    </w:p>
    <w:p w14:paraId="0B52F950">
      <w:pPr>
        <w:shd w:val="clear" w:color="auto"/>
        <w:snapToGrid w:val="0"/>
        <w:spacing w:line="360" w:lineRule="auto"/>
        <w:ind w:right="480"/>
        <w:jc w:val="center"/>
        <w:rPr>
          <w:rFonts w:hint="eastAsia" w:hAnsi="宋体" w:cs="宋体"/>
          <w:b/>
          <w:color w:val="auto"/>
          <w:sz w:val="21"/>
          <w:szCs w:val="21"/>
          <w:highlight w:val="none"/>
        </w:rPr>
      </w:pPr>
    </w:p>
    <w:p w14:paraId="52657DB0">
      <w:pPr>
        <w:shd w:val="clear" w:color="auto"/>
        <w:snapToGrid w:val="0"/>
        <w:spacing w:line="360" w:lineRule="auto"/>
        <w:ind w:right="480"/>
        <w:jc w:val="center"/>
        <w:rPr>
          <w:rFonts w:hint="eastAsia" w:hAnsi="宋体" w:cs="宋体"/>
          <w:b/>
          <w:color w:val="auto"/>
          <w:sz w:val="21"/>
          <w:szCs w:val="21"/>
          <w:highlight w:val="none"/>
        </w:rPr>
      </w:pPr>
    </w:p>
    <w:p w14:paraId="2BC7EAD4">
      <w:pPr>
        <w:shd w:val="clear" w:color="auto"/>
        <w:snapToGrid w:val="0"/>
        <w:spacing w:line="360" w:lineRule="auto"/>
        <w:ind w:right="480"/>
        <w:jc w:val="center"/>
        <w:rPr>
          <w:rFonts w:hint="eastAsia" w:hAnsi="宋体" w:cs="宋体"/>
          <w:b/>
          <w:color w:val="auto"/>
          <w:sz w:val="21"/>
          <w:szCs w:val="21"/>
          <w:highlight w:val="none"/>
        </w:rPr>
      </w:pPr>
    </w:p>
    <w:p w14:paraId="3D78F5F8">
      <w:pPr>
        <w:shd w:val="clear" w:color="auto"/>
        <w:snapToGrid w:val="0"/>
        <w:spacing w:line="360" w:lineRule="auto"/>
        <w:ind w:right="480"/>
        <w:jc w:val="center"/>
        <w:rPr>
          <w:rFonts w:hint="eastAsia" w:hAnsi="宋体" w:cs="宋体"/>
          <w:b/>
          <w:color w:val="auto"/>
          <w:sz w:val="21"/>
          <w:szCs w:val="21"/>
          <w:highlight w:val="none"/>
        </w:rPr>
      </w:pPr>
    </w:p>
    <w:p w14:paraId="7D92810C">
      <w:pPr>
        <w:shd w:val="clear" w:color="auto"/>
        <w:snapToGrid w:val="0"/>
        <w:spacing w:line="360" w:lineRule="auto"/>
        <w:ind w:right="480"/>
        <w:jc w:val="center"/>
        <w:rPr>
          <w:rFonts w:hint="eastAsia" w:hAnsi="宋体" w:cs="宋体"/>
          <w:b/>
          <w:color w:val="auto"/>
          <w:sz w:val="21"/>
          <w:szCs w:val="21"/>
          <w:highlight w:val="none"/>
        </w:rPr>
      </w:pPr>
    </w:p>
    <w:p w14:paraId="7C0BEBDF">
      <w:pPr>
        <w:shd w:val="clear" w:color="auto"/>
        <w:snapToGrid w:val="0"/>
        <w:spacing w:line="360" w:lineRule="auto"/>
        <w:ind w:right="480"/>
        <w:jc w:val="center"/>
        <w:rPr>
          <w:rFonts w:hint="eastAsia" w:hAnsi="宋体" w:cs="宋体"/>
          <w:b/>
          <w:color w:val="auto"/>
          <w:sz w:val="21"/>
          <w:szCs w:val="21"/>
          <w:highlight w:val="none"/>
        </w:rPr>
      </w:pPr>
    </w:p>
    <w:p w14:paraId="2A933991">
      <w:pPr>
        <w:pStyle w:val="62"/>
        <w:shd w:val="clear" w:color="auto"/>
        <w:ind w:left="680"/>
        <w:rPr>
          <w:rFonts w:hint="eastAsia" w:ascii="宋体" w:hAnsi="宋体" w:cs="宋体"/>
          <w:color w:val="auto"/>
          <w:highlight w:val="none"/>
        </w:rPr>
      </w:pPr>
    </w:p>
    <w:p w14:paraId="34A7FEB0">
      <w:pPr>
        <w:shd w:val="clear" w:color="auto"/>
        <w:rPr>
          <w:rFonts w:hint="eastAsia" w:hAnsi="宋体" w:cs="宋体"/>
          <w:color w:val="auto"/>
          <w:highlight w:val="none"/>
        </w:rPr>
      </w:pPr>
    </w:p>
    <w:p w14:paraId="7469DC8E">
      <w:pPr>
        <w:shd w:val="clear" w:color="auto"/>
        <w:snapToGrid w:val="0"/>
        <w:spacing w:line="360" w:lineRule="auto"/>
        <w:ind w:right="480"/>
        <w:jc w:val="center"/>
        <w:rPr>
          <w:rFonts w:hint="eastAsia" w:hAnsi="宋体" w:cs="宋体"/>
          <w:b/>
          <w:color w:val="auto"/>
          <w:sz w:val="21"/>
          <w:szCs w:val="21"/>
          <w:highlight w:val="none"/>
        </w:rPr>
      </w:pPr>
    </w:p>
    <w:p w14:paraId="612E1E02">
      <w:pPr>
        <w:shd w:val="clear" w:color="auto"/>
        <w:snapToGrid w:val="0"/>
        <w:spacing w:line="360" w:lineRule="auto"/>
        <w:ind w:right="480"/>
        <w:jc w:val="center"/>
        <w:rPr>
          <w:rFonts w:hint="eastAsia" w:hAnsi="宋体" w:cs="宋体"/>
          <w:b/>
          <w:color w:val="auto"/>
          <w:sz w:val="21"/>
          <w:szCs w:val="21"/>
          <w:highlight w:val="none"/>
        </w:rPr>
      </w:pPr>
      <w:r>
        <w:rPr>
          <w:rFonts w:hint="eastAsia" w:hAnsi="宋体" w:cs="宋体"/>
          <w:b/>
          <w:color w:val="auto"/>
          <w:sz w:val="21"/>
          <w:szCs w:val="21"/>
          <w:highlight w:val="none"/>
          <w:lang w:val="en-US" w:eastAsia="zh-CN"/>
        </w:rPr>
        <w:t>5</w:t>
      </w:r>
      <w:r>
        <w:rPr>
          <w:rFonts w:hint="eastAsia" w:hAnsi="宋体" w:cs="宋体"/>
          <w:b/>
          <w:color w:val="auto"/>
          <w:sz w:val="21"/>
          <w:szCs w:val="21"/>
          <w:highlight w:val="none"/>
        </w:rPr>
        <w:t>.落实政府采购政策需满足的资格要求</w:t>
      </w:r>
    </w:p>
    <w:p w14:paraId="3E7F1A68">
      <w:pPr>
        <w:shd w:val="clear" w:color="auto"/>
        <w:spacing w:line="500" w:lineRule="exact"/>
        <w:rPr>
          <w:rFonts w:hint="eastAsia" w:hAnsi="宋体" w:cs="宋体"/>
          <w:b/>
          <w:color w:val="auto"/>
          <w:sz w:val="21"/>
          <w:szCs w:val="21"/>
          <w:highlight w:val="none"/>
        </w:rPr>
      </w:pPr>
      <w:r>
        <w:rPr>
          <w:rFonts w:hint="eastAsia" w:hAnsi="宋体" w:cs="宋体"/>
          <w:b/>
          <w:bCs/>
          <w:color w:val="auto"/>
          <w:sz w:val="21"/>
          <w:szCs w:val="21"/>
          <w:highlight w:val="none"/>
        </w:rPr>
        <w:t>本项目专门面向中小企业（包括符合中小企业划分标准的个体工商户）采购，具体要求请详见《政府采购促进中小企业发展管理办法》（财库〔2020〕46号）、《国务院关于印发扎实稳住经济一揽子政策措施的通知》及《浙江省财政厅关于进一步发挥政府采购政策功能全力推动经济稳进提质的通知》等相关规定。此外，监狱企业、残疾人福利性单位在本项目采购活动中视同中小企业</w:t>
      </w:r>
      <w:r>
        <w:rPr>
          <w:rFonts w:hint="eastAsia" w:hAnsi="宋体" w:cs="宋体"/>
          <w:color w:val="auto"/>
          <w:sz w:val="21"/>
          <w:szCs w:val="21"/>
          <w:highlight w:val="none"/>
        </w:rPr>
        <w:t>。</w:t>
      </w:r>
    </w:p>
    <w:p w14:paraId="5851CA1A">
      <w:pPr>
        <w:shd w:val="clear" w:color="auto"/>
        <w:jc w:val="center"/>
        <w:rPr>
          <w:rFonts w:hint="eastAsia" w:hAnsi="宋体" w:cs="宋体"/>
          <w:color w:val="auto"/>
          <w:sz w:val="21"/>
          <w:szCs w:val="21"/>
          <w:highlight w:val="none"/>
        </w:rPr>
      </w:pPr>
      <w:r>
        <w:rPr>
          <w:rFonts w:hint="eastAsia" w:hAnsi="宋体" w:cs="宋体"/>
          <w:color w:val="auto"/>
          <w:sz w:val="21"/>
          <w:szCs w:val="21"/>
          <w:highlight w:val="none"/>
        </w:rPr>
        <w:t>（1）中小企业声明函（工程、服务）</w:t>
      </w:r>
    </w:p>
    <w:p w14:paraId="0101F7C8">
      <w:pPr>
        <w:pStyle w:val="46"/>
        <w:shd w:val="clear" w:color="auto"/>
        <w:spacing w:after="0" w:line="500" w:lineRule="exact"/>
        <w:ind w:left="0" w:leftChars="0"/>
        <w:rPr>
          <w:rFonts w:hint="eastAsia" w:ascii="宋体" w:hAnsi="宋体" w:cs="宋体"/>
          <w:color w:val="auto"/>
          <w:sz w:val="21"/>
          <w:szCs w:val="21"/>
          <w:highlight w:val="none"/>
        </w:rPr>
      </w:pPr>
      <w:r>
        <w:rPr>
          <w:rFonts w:hint="eastAsia" w:ascii="宋体" w:hAnsi="宋体" w:cs="宋体"/>
          <w:color w:val="auto"/>
          <w:sz w:val="21"/>
          <w:szCs w:val="21"/>
          <w:highlight w:val="none"/>
        </w:rPr>
        <w:t>本公司郑重声明，根据《政府采购促进中小企业发展管理办法》（财库﹝2020﹞46 号）的规定，本公司参加</w:t>
      </w:r>
      <w:r>
        <w:rPr>
          <w:rFonts w:hint="eastAsia" w:ascii="宋体" w:hAnsi="宋体" w:cs="宋体"/>
          <w:color w:val="auto"/>
          <w:sz w:val="21"/>
          <w:szCs w:val="21"/>
          <w:highlight w:val="none"/>
          <w:u w:val="single"/>
          <w:lang w:eastAsia="zh-CN"/>
        </w:rPr>
        <w:t>金华市婺城区乡村建设指导中心</w:t>
      </w:r>
      <w:r>
        <w:rPr>
          <w:rFonts w:hint="eastAsia" w:ascii="宋体" w:hAnsi="宋体" w:cs="宋体"/>
          <w:color w:val="auto"/>
          <w:sz w:val="21"/>
          <w:szCs w:val="21"/>
          <w:highlight w:val="none"/>
          <w:u w:val="single"/>
        </w:rPr>
        <w:t xml:space="preserve"> </w:t>
      </w:r>
      <w:r>
        <w:rPr>
          <w:rFonts w:hint="eastAsia" w:ascii="宋体" w:hAnsi="宋体" w:cs="宋体"/>
          <w:color w:val="auto"/>
          <w:sz w:val="21"/>
          <w:szCs w:val="21"/>
          <w:highlight w:val="none"/>
        </w:rPr>
        <w:t>的</w:t>
      </w:r>
      <w:r>
        <w:rPr>
          <w:rFonts w:hint="eastAsia" w:ascii="宋体" w:hAnsi="宋体" w:cs="宋体"/>
          <w:color w:val="auto"/>
          <w:sz w:val="21"/>
          <w:szCs w:val="21"/>
          <w:highlight w:val="none"/>
          <w:u w:val="single"/>
          <w:lang w:eastAsia="zh-CN"/>
        </w:rPr>
        <w:t>2025-2026年婺城区农村人居环境长效管理第三方机构评估服务项目</w:t>
      </w:r>
      <w:r>
        <w:rPr>
          <w:rFonts w:hint="eastAsia" w:ascii="宋体" w:hAnsi="宋体" w:cs="宋体"/>
          <w:color w:val="auto"/>
          <w:sz w:val="21"/>
          <w:szCs w:val="21"/>
          <w:highlight w:val="none"/>
          <w:u w:val="single"/>
        </w:rPr>
        <w:t xml:space="preserve"> </w:t>
      </w:r>
      <w:r>
        <w:rPr>
          <w:rFonts w:hint="eastAsia" w:ascii="宋体" w:hAnsi="宋体" w:cs="宋体"/>
          <w:color w:val="auto"/>
          <w:sz w:val="21"/>
          <w:szCs w:val="21"/>
          <w:highlight w:val="none"/>
        </w:rPr>
        <w:t xml:space="preserve">采购活动，工程的施工单位全部为符合政策要求的中小企业（或者：服务全部由符合政策要求的中小企业承接）。相关企业（含联合体中的中小企业、签订分包意向协议的中小企业）的具体情况如下： </w:t>
      </w:r>
    </w:p>
    <w:p w14:paraId="3521F4FB">
      <w:pPr>
        <w:pStyle w:val="46"/>
        <w:shd w:val="clear" w:color="auto"/>
        <w:spacing w:after="0" w:line="500" w:lineRule="exact"/>
        <w:ind w:left="0" w:leftChars="0"/>
        <w:rPr>
          <w:rFonts w:hint="eastAsia" w:ascii="宋体" w:hAnsi="宋体" w:cs="宋体"/>
          <w:color w:val="auto"/>
          <w:sz w:val="21"/>
          <w:szCs w:val="21"/>
          <w:highlight w:val="none"/>
        </w:rPr>
      </w:pPr>
      <w:r>
        <w:rPr>
          <w:rFonts w:hint="eastAsia" w:ascii="宋体" w:hAnsi="宋体" w:cs="宋体"/>
          <w:color w:val="auto"/>
          <w:sz w:val="21"/>
          <w:szCs w:val="21"/>
          <w:highlight w:val="none"/>
        </w:rPr>
        <w:t>1.</w:t>
      </w:r>
      <w:r>
        <w:rPr>
          <w:rFonts w:hint="eastAsia" w:ascii="宋体" w:hAnsi="宋体" w:cs="宋体"/>
          <w:color w:val="auto"/>
          <w:sz w:val="21"/>
          <w:szCs w:val="21"/>
          <w:highlight w:val="none"/>
          <w:u w:val="single"/>
          <w:lang w:eastAsia="zh-CN"/>
        </w:rPr>
        <w:t>2025-2026年婺城区农村人居环境长效管理第三方机构评估服务项目</w:t>
      </w:r>
      <w:r>
        <w:rPr>
          <w:rFonts w:hint="eastAsia" w:ascii="宋体" w:hAnsi="宋体" w:cs="宋体"/>
          <w:color w:val="auto"/>
          <w:sz w:val="21"/>
          <w:szCs w:val="21"/>
          <w:highlight w:val="none"/>
          <w:u w:val="single"/>
        </w:rPr>
        <w:t xml:space="preserve"> </w:t>
      </w:r>
      <w:r>
        <w:rPr>
          <w:rFonts w:hint="eastAsia" w:ascii="宋体" w:hAnsi="宋体" w:cs="宋体"/>
          <w:color w:val="auto"/>
          <w:sz w:val="21"/>
          <w:szCs w:val="21"/>
          <w:highlight w:val="none"/>
        </w:rPr>
        <w:t>，属于</w:t>
      </w:r>
      <w:r>
        <w:rPr>
          <w:rFonts w:hint="eastAsia" w:ascii="宋体" w:hAnsi="宋体" w:cs="宋体"/>
          <w:color w:val="auto"/>
          <w:sz w:val="21"/>
          <w:szCs w:val="21"/>
          <w:highlight w:val="none"/>
          <w:u w:val="single"/>
          <w:lang w:eastAsia="zh-CN"/>
        </w:rPr>
        <w:t>其他未列明行业</w:t>
      </w:r>
      <w:r>
        <w:rPr>
          <w:rFonts w:hint="eastAsia" w:ascii="宋体" w:hAnsi="宋体" w:cs="宋体"/>
          <w:color w:val="auto"/>
          <w:sz w:val="21"/>
          <w:szCs w:val="21"/>
          <w:highlight w:val="none"/>
          <w:u w:val="single"/>
        </w:rPr>
        <w:t xml:space="preserve"> </w:t>
      </w:r>
      <w:r>
        <w:rPr>
          <w:rFonts w:hint="eastAsia" w:ascii="宋体" w:hAnsi="宋体" w:cs="宋体"/>
          <w:color w:val="auto"/>
          <w:sz w:val="21"/>
          <w:szCs w:val="21"/>
          <w:highlight w:val="none"/>
        </w:rPr>
        <w:t>； 承建（承接）企业为</w:t>
      </w:r>
      <w:r>
        <w:rPr>
          <w:rFonts w:hint="eastAsia" w:ascii="宋体" w:hAnsi="宋体" w:cs="宋体"/>
          <w:color w:val="auto"/>
          <w:sz w:val="21"/>
          <w:szCs w:val="21"/>
          <w:highlight w:val="none"/>
          <w:u w:val="single"/>
        </w:rPr>
        <w:t xml:space="preserve">（企业名称）      </w:t>
      </w:r>
      <w:r>
        <w:rPr>
          <w:rFonts w:hint="eastAsia" w:ascii="宋体" w:hAnsi="宋体" w:cs="宋体"/>
          <w:color w:val="auto"/>
          <w:sz w:val="21"/>
          <w:szCs w:val="21"/>
          <w:highlight w:val="none"/>
        </w:rPr>
        <w:t>，从业人员</w:t>
      </w:r>
      <w:r>
        <w:rPr>
          <w:rFonts w:hint="eastAsia" w:ascii="宋体" w:hAnsi="宋体" w:cs="宋体"/>
          <w:color w:val="auto"/>
          <w:sz w:val="21"/>
          <w:szCs w:val="21"/>
          <w:highlight w:val="none"/>
          <w:u w:val="single"/>
        </w:rPr>
        <w:t xml:space="preserve">    </w:t>
      </w:r>
      <w:r>
        <w:rPr>
          <w:rFonts w:hint="eastAsia" w:ascii="宋体" w:hAnsi="宋体" w:cs="宋体"/>
          <w:color w:val="auto"/>
          <w:sz w:val="21"/>
          <w:szCs w:val="21"/>
          <w:highlight w:val="none"/>
        </w:rPr>
        <w:t>人，营业收入为</w:t>
      </w:r>
      <w:r>
        <w:rPr>
          <w:rFonts w:hint="eastAsia" w:ascii="宋体" w:hAnsi="宋体" w:cs="宋体"/>
          <w:color w:val="auto"/>
          <w:sz w:val="21"/>
          <w:szCs w:val="21"/>
          <w:highlight w:val="none"/>
          <w:u w:val="single"/>
        </w:rPr>
        <w:t xml:space="preserve">   </w:t>
      </w:r>
      <w:r>
        <w:rPr>
          <w:rFonts w:hint="eastAsia" w:ascii="宋体" w:hAnsi="宋体" w:cs="宋体"/>
          <w:color w:val="auto"/>
          <w:sz w:val="21"/>
          <w:szCs w:val="21"/>
          <w:highlight w:val="none"/>
        </w:rPr>
        <w:t>万元，资产总额为</w:t>
      </w:r>
      <w:r>
        <w:rPr>
          <w:rFonts w:hint="eastAsia" w:ascii="宋体" w:hAnsi="宋体" w:cs="宋体"/>
          <w:color w:val="auto"/>
          <w:sz w:val="21"/>
          <w:szCs w:val="21"/>
          <w:highlight w:val="none"/>
          <w:u w:val="single"/>
        </w:rPr>
        <w:t xml:space="preserve">    </w:t>
      </w:r>
      <w:r>
        <w:rPr>
          <w:rFonts w:hint="eastAsia" w:ascii="宋体" w:hAnsi="宋体" w:cs="宋体"/>
          <w:color w:val="auto"/>
          <w:sz w:val="21"/>
          <w:szCs w:val="21"/>
          <w:highlight w:val="none"/>
        </w:rPr>
        <w:t>万元①，属于</w:t>
      </w:r>
      <w:r>
        <w:rPr>
          <w:rFonts w:hint="eastAsia" w:ascii="宋体" w:hAnsi="宋体" w:cs="宋体"/>
          <w:color w:val="auto"/>
          <w:sz w:val="21"/>
          <w:szCs w:val="21"/>
          <w:highlight w:val="none"/>
          <w:u w:val="single"/>
        </w:rPr>
        <w:t xml:space="preserve">（中型企业、小型企业、微型企业）             </w:t>
      </w:r>
      <w:r>
        <w:rPr>
          <w:rFonts w:hint="eastAsia" w:ascii="宋体" w:hAnsi="宋体" w:cs="宋体"/>
          <w:color w:val="auto"/>
          <w:sz w:val="21"/>
          <w:szCs w:val="21"/>
          <w:highlight w:val="none"/>
        </w:rPr>
        <w:t xml:space="preserve">； </w:t>
      </w:r>
    </w:p>
    <w:p w14:paraId="15F71995">
      <w:pPr>
        <w:pStyle w:val="46"/>
        <w:shd w:val="clear" w:color="auto"/>
        <w:spacing w:after="0" w:line="500" w:lineRule="exact"/>
        <w:ind w:left="0" w:leftChars="0"/>
        <w:rPr>
          <w:rFonts w:hint="eastAsia" w:ascii="宋体" w:hAnsi="宋体" w:cs="宋体"/>
          <w:color w:val="auto"/>
          <w:sz w:val="21"/>
          <w:szCs w:val="21"/>
          <w:highlight w:val="none"/>
        </w:rPr>
      </w:pPr>
    </w:p>
    <w:p w14:paraId="610D5DB4">
      <w:pPr>
        <w:pStyle w:val="46"/>
        <w:shd w:val="clear" w:color="auto"/>
        <w:spacing w:after="0" w:line="500" w:lineRule="exact"/>
        <w:ind w:left="0" w:leftChars="0"/>
        <w:rPr>
          <w:rFonts w:hint="eastAsia" w:ascii="宋体" w:hAnsi="宋体" w:cs="宋体"/>
          <w:color w:val="auto"/>
          <w:sz w:val="21"/>
          <w:szCs w:val="21"/>
          <w:highlight w:val="none"/>
        </w:rPr>
      </w:pPr>
      <w:r>
        <w:rPr>
          <w:rFonts w:hint="eastAsia" w:ascii="宋体" w:hAnsi="宋体" w:cs="宋体"/>
          <w:color w:val="auto"/>
          <w:sz w:val="21"/>
          <w:szCs w:val="21"/>
          <w:highlight w:val="none"/>
        </w:rPr>
        <w:t xml:space="preserve">…… </w:t>
      </w:r>
    </w:p>
    <w:p w14:paraId="355F8088">
      <w:pPr>
        <w:pStyle w:val="46"/>
        <w:shd w:val="clear" w:color="auto"/>
        <w:spacing w:after="0" w:line="500" w:lineRule="exact"/>
        <w:ind w:left="0" w:leftChars="0"/>
        <w:rPr>
          <w:rFonts w:hint="eastAsia" w:ascii="宋体" w:hAnsi="宋体" w:cs="宋体"/>
          <w:color w:val="auto"/>
          <w:sz w:val="21"/>
          <w:szCs w:val="21"/>
          <w:highlight w:val="none"/>
        </w:rPr>
      </w:pPr>
      <w:r>
        <w:rPr>
          <w:rFonts w:hint="eastAsia" w:ascii="宋体" w:hAnsi="宋体" w:cs="宋体"/>
          <w:color w:val="auto"/>
          <w:sz w:val="21"/>
          <w:szCs w:val="21"/>
          <w:highlight w:val="none"/>
        </w:rPr>
        <w:t xml:space="preserve">以上企业，不属于大企业的分支机构，不存在控股股东为大企业的情形，也不存在与大企业的负责人为同一人的情形。 </w:t>
      </w:r>
    </w:p>
    <w:p w14:paraId="09076F2D">
      <w:pPr>
        <w:pStyle w:val="46"/>
        <w:shd w:val="clear" w:color="auto"/>
        <w:spacing w:after="0" w:line="500" w:lineRule="exact"/>
        <w:ind w:left="0" w:leftChars="0"/>
        <w:rPr>
          <w:rFonts w:hint="eastAsia" w:ascii="宋体" w:hAnsi="宋体" w:cs="宋体"/>
          <w:color w:val="auto"/>
          <w:sz w:val="21"/>
          <w:szCs w:val="21"/>
          <w:highlight w:val="none"/>
        </w:rPr>
      </w:pPr>
      <w:r>
        <w:rPr>
          <w:rFonts w:hint="eastAsia" w:ascii="宋体" w:hAnsi="宋体" w:cs="宋体"/>
          <w:color w:val="auto"/>
          <w:sz w:val="21"/>
          <w:szCs w:val="21"/>
          <w:highlight w:val="none"/>
        </w:rPr>
        <w:t xml:space="preserve">本企业对上述声明内容的真实性负责。如有虚假，将依法承担相应责任。 </w:t>
      </w:r>
    </w:p>
    <w:p w14:paraId="55D2F35A">
      <w:pPr>
        <w:pStyle w:val="46"/>
        <w:shd w:val="clear" w:color="auto"/>
        <w:spacing w:line="500" w:lineRule="exact"/>
        <w:ind w:left="0" w:leftChars="0"/>
        <w:rPr>
          <w:rFonts w:hint="eastAsia" w:ascii="宋体" w:hAnsi="宋体" w:cs="宋体"/>
          <w:color w:val="auto"/>
          <w:sz w:val="21"/>
          <w:szCs w:val="21"/>
          <w:highlight w:val="none"/>
        </w:rPr>
      </w:pPr>
    </w:p>
    <w:p w14:paraId="56AADCCB">
      <w:pPr>
        <w:pStyle w:val="46"/>
        <w:shd w:val="clear" w:color="auto"/>
        <w:spacing w:line="500" w:lineRule="exact"/>
        <w:ind w:left="0" w:leftChars="0"/>
        <w:rPr>
          <w:rFonts w:hint="eastAsia" w:ascii="宋体" w:hAnsi="宋体" w:cs="宋体"/>
          <w:color w:val="auto"/>
          <w:sz w:val="21"/>
          <w:szCs w:val="21"/>
          <w:highlight w:val="none"/>
        </w:rPr>
      </w:pPr>
      <w:r>
        <w:rPr>
          <w:rFonts w:hint="eastAsia" w:ascii="宋体" w:hAnsi="宋体" w:cs="宋体"/>
          <w:color w:val="auto"/>
          <w:sz w:val="21"/>
          <w:szCs w:val="21"/>
          <w:highlight w:val="none"/>
        </w:rPr>
        <w:t xml:space="preserve">企业名称（盖章）： </w:t>
      </w:r>
    </w:p>
    <w:p w14:paraId="38B5AFB4">
      <w:pPr>
        <w:pStyle w:val="46"/>
        <w:shd w:val="clear" w:color="auto"/>
        <w:spacing w:line="500" w:lineRule="exact"/>
        <w:ind w:left="0" w:leftChars="0"/>
        <w:rPr>
          <w:rFonts w:hint="eastAsia" w:ascii="宋体" w:hAnsi="宋体" w:cs="宋体"/>
          <w:color w:val="auto"/>
          <w:sz w:val="21"/>
          <w:szCs w:val="21"/>
          <w:highlight w:val="none"/>
        </w:rPr>
      </w:pPr>
      <w:r>
        <w:rPr>
          <w:rFonts w:hint="eastAsia" w:ascii="宋体" w:hAnsi="宋体" w:cs="宋体"/>
          <w:color w:val="auto"/>
          <w:sz w:val="21"/>
          <w:szCs w:val="21"/>
          <w:highlight w:val="none"/>
        </w:rPr>
        <w:t xml:space="preserve">日 期： </w:t>
      </w:r>
    </w:p>
    <w:p w14:paraId="64BC3061">
      <w:pPr>
        <w:pStyle w:val="46"/>
        <w:shd w:val="clear" w:color="auto"/>
        <w:spacing w:line="500" w:lineRule="exact"/>
        <w:ind w:left="0" w:leftChars="0" w:firstLine="0"/>
        <w:rPr>
          <w:rFonts w:hint="eastAsia" w:ascii="宋体" w:hAnsi="宋体" w:cs="宋体"/>
          <w:color w:val="auto"/>
          <w:kern w:val="0"/>
          <w:sz w:val="21"/>
          <w:szCs w:val="21"/>
          <w:highlight w:val="none"/>
        </w:rPr>
      </w:pPr>
      <w:r>
        <w:rPr>
          <w:rFonts w:hint="eastAsia" w:ascii="宋体" w:hAnsi="宋体" w:cs="宋体"/>
          <w:b/>
          <w:color w:val="auto"/>
          <w:sz w:val="21"/>
          <w:szCs w:val="21"/>
          <w:highlight w:val="none"/>
        </w:rPr>
        <w:t>填报说明：</w:t>
      </w:r>
      <w:r>
        <w:rPr>
          <w:rFonts w:hint="eastAsia" w:ascii="宋体" w:hAnsi="宋体" w:cs="宋体"/>
          <w:color w:val="auto"/>
          <w:kern w:val="0"/>
          <w:sz w:val="21"/>
          <w:szCs w:val="21"/>
          <w:highlight w:val="none"/>
        </w:rPr>
        <w:t>①本声明函中“从业人员”、“营业收入”、“资产总额”填报上一年度数据，无上一年度数据的新成立企业可不填报。</w:t>
      </w:r>
    </w:p>
    <w:p w14:paraId="00D3E151">
      <w:pPr>
        <w:shd w:val="clear" w:color="auto"/>
        <w:autoSpaceDE/>
        <w:autoSpaceDN/>
        <w:adjustRightInd/>
        <w:spacing w:line="440" w:lineRule="exact"/>
        <w:ind w:firstLine="420" w:firstLineChars="200"/>
        <w:jc w:val="both"/>
        <w:rPr>
          <w:rFonts w:hint="eastAsia" w:hAnsi="宋体" w:cs="宋体"/>
          <w:color w:val="auto"/>
          <w:kern w:val="2"/>
          <w:sz w:val="21"/>
          <w:szCs w:val="21"/>
          <w:highlight w:val="none"/>
        </w:rPr>
      </w:pPr>
      <w:r>
        <w:rPr>
          <w:rFonts w:hint="eastAsia" w:hAnsi="宋体" w:cs="宋体"/>
          <w:color w:val="auto"/>
          <w:sz w:val="21"/>
          <w:szCs w:val="21"/>
          <w:highlight w:val="none"/>
        </w:rPr>
        <w:t>②本项目采购标的对应的中小企业划分标准所属行业为</w:t>
      </w:r>
      <w:r>
        <w:rPr>
          <w:rFonts w:hint="eastAsia" w:hAnsi="宋体" w:cs="宋体"/>
          <w:color w:val="auto"/>
          <w:sz w:val="21"/>
          <w:szCs w:val="21"/>
          <w:highlight w:val="none"/>
          <w:lang w:bidi="ar"/>
        </w:rPr>
        <w:t>《中小企业划型标准规定》（工信部联企业〔2011〕300号）中的“</w:t>
      </w:r>
      <w:r>
        <w:rPr>
          <w:rFonts w:hint="eastAsia" w:hAnsi="宋体" w:cs="宋体"/>
          <w:color w:val="auto"/>
          <w:kern w:val="2"/>
          <w:sz w:val="21"/>
          <w:szCs w:val="21"/>
          <w:highlight w:val="none"/>
          <w:lang w:eastAsia="zh-CN"/>
        </w:rPr>
        <w:t>其他未列明行业</w:t>
      </w:r>
      <w:r>
        <w:rPr>
          <w:rFonts w:hint="eastAsia" w:hAnsi="宋体" w:cs="宋体"/>
          <w:color w:val="auto"/>
          <w:sz w:val="21"/>
          <w:szCs w:val="21"/>
          <w:highlight w:val="none"/>
          <w:lang w:bidi="ar"/>
        </w:rPr>
        <w:t>”</w:t>
      </w:r>
      <w:r>
        <w:rPr>
          <w:rFonts w:hint="eastAsia" w:hAnsi="宋体" w:cs="宋体"/>
          <w:color w:val="auto"/>
          <w:sz w:val="21"/>
          <w:szCs w:val="21"/>
          <w:highlight w:val="none"/>
        </w:rPr>
        <w:t>，划型标准为：从业人员300人以下的为中小微型企业。其中，从业人员100人及以上的为中型企业；从业人员10人及以上的为小型企业；从业人员10人以下的为微型企业。</w:t>
      </w:r>
    </w:p>
    <w:p w14:paraId="6988A950">
      <w:pPr>
        <w:pStyle w:val="46"/>
        <w:shd w:val="clear" w:color="auto"/>
        <w:spacing w:after="0" w:line="500" w:lineRule="exact"/>
        <w:ind w:left="0" w:leftChars="0" w:firstLineChars="200"/>
        <w:rPr>
          <w:rFonts w:hint="eastAsia" w:ascii="宋体" w:hAnsi="宋体" w:cs="宋体"/>
          <w:color w:val="auto"/>
          <w:sz w:val="21"/>
          <w:szCs w:val="21"/>
          <w:highlight w:val="none"/>
        </w:rPr>
      </w:pPr>
      <w:r>
        <w:rPr>
          <w:rFonts w:hint="eastAsia" w:ascii="宋体" w:hAnsi="宋体" w:cs="宋体"/>
          <w:color w:val="auto"/>
          <w:kern w:val="0"/>
          <w:sz w:val="21"/>
          <w:szCs w:val="21"/>
          <w:highlight w:val="none"/>
        </w:rPr>
        <w:t>③投标人应当按照《政府采购促进中小企业发展管理办法》规定和《中小企业划型标准规定》（工信部联企业〔2011〕300号），如实填写并提交《中小企业声明函》，对其声明内容的真实性负责，声明函内容不实的，属于提供虚假材料谋取中标、成交，将依照《中华人民共和国政府采购法》等国家有关规定追究相应责任。</w:t>
      </w:r>
    </w:p>
    <w:p w14:paraId="4234DDFA">
      <w:pPr>
        <w:shd w:val="clear" w:color="auto"/>
        <w:spacing w:line="500" w:lineRule="exact"/>
        <w:jc w:val="center"/>
        <w:rPr>
          <w:rFonts w:hint="eastAsia" w:hAnsi="宋体" w:cs="宋体"/>
          <w:color w:val="auto"/>
          <w:sz w:val="21"/>
          <w:szCs w:val="21"/>
          <w:highlight w:val="none"/>
        </w:rPr>
      </w:pPr>
    </w:p>
    <w:p w14:paraId="3BBE0A5D">
      <w:pPr>
        <w:shd w:val="clear" w:color="auto"/>
        <w:spacing w:line="500" w:lineRule="exact"/>
        <w:jc w:val="center"/>
        <w:rPr>
          <w:rFonts w:hint="eastAsia" w:hAnsi="宋体" w:cs="宋体"/>
          <w:color w:val="auto"/>
          <w:sz w:val="21"/>
          <w:szCs w:val="21"/>
          <w:highlight w:val="none"/>
        </w:rPr>
      </w:pPr>
      <w:r>
        <w:rPr>
          <w:rFonts w:hint="eastAsia" w:hAnsi="宋体" w:cs="宋体"/>
          <w:color w:val="auto"/>
          <w:sz w:val="21"/>
          <w:szCs w:val="21"/>
          <w:highlight w:val="none"/>
        </w:rPr>
        <w:t>（2）残疾人福利性单位声明函</w:t>
      </w:r>
    </w:p>
    <w:p w14:paraId="05F6CDB3">
      <w:pPr>
        <w:pStyle w:val="75"/>
        <w:shd w:val="clear" w:color="auto"/>
        <w:spacing w:line="500" w:lineRule="exact"/>
        <w:ind w:firstLine="420" w:firstLineChars="200"/>
        <w:rPr>
          <w:rFonts w:ascii="宋体" w:hAnsi="宋体" w:eastAsia="宋体" w:cs="宋体"/>
          <w:color w:val="auto"/>
          <w:szCs w:val="21"/>
          <w:highlight w:val="none"/>
        </w:rPr>
      </w:pPr>
      <w:r>
        <w:rPr>
          <w:rFonts w:ascii="宋体" w:hAnsi="宋体" w:eastAsia="宋体" w:cs="宋体"/>
          <w:color w:val="auto"/>
          <w:szCs w:val="21"/>
          <w:highlight w:val="none"/>
        </w:rPr>
        <w:t>本单位郑重声明，根据《财政部 民政部 中国残疾人联合会关于促进残疾人就业政府采购政策的通知》（财库〔2017〕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5F50EFCE">
      <w:pPr>
        <w:pStyle w:val="75"/>
        <w:shd w:val="clear" w:color="auto"/>
        <w:spacing w:line="500" w:lineRule="exact"/>
        <w:ind w:firstLine="600"/>
        <w:rPr>
          <w:rFonts w:ascii="宋体" w:hAnsi="宋体" w:eastAsia="宋体" w:cs="宋体"/>
          <w:color w:val="auto"/>
          <w:szCs w:val="21"/>
          <w:highlight w:val="none"/>
        </w:rPr>
      </w:pPr>
      <w:r>
        <w:rPr>
          <w:rFonts w:ascii="宋体" w:hAnsi="宋体" w:eastAsia="宋体" w:cs="宋体"/>
          <w:color w:val="auto"/>
          <w:szCs w:val="21"/>
          <w:highlight w:val="none"/>
        </w:rPr>
        <w:t>本单位对上述声明的真实性负责。如有虚假，将依法承担相应责任。</w:t>
      </w:r>
    </w:p>
    <w:p w14:paraId="05595930">
      <w:pPr>
        <w:pStyle w:val="75"/>
        <w:shd w:val="clear" w:color="auto"/>
        <w:spacing w:line="500" w:lineRule="exact"/>
        <w:rPr>
          <w:rFonts w:ascii="宋体" w:hAnsi="宋体" w:eastAsia="宋体" w:cs="宋体"/>
          <w:color w:val="auto"/>
          <w:spacing w:val="6"/>
          <w:szCs w:val="21"/>
          <w:highlight w:val="none"/>
        </w:rPr>
      </w:pPr>
    </w:p>
    <w:p w14:paraId="12C88C4A">
      <w:pPr>
        <w:pStyle w:val="75"/>
        <w:shd w:val="clear" w:color="auto"/>
        <w:spacing w:line="500" w:lineRule="exact"/>
        <w:ind w:firstLine="600"/>
        <w:jc w:val="center"/>
        <w:rPr>
          <w:rFonts w:ascii="宋体" w:hAnsi="宋体" w:eastAsia="宋体" w:cs="宋体"/>
          <w:color w:val="auto"/>
          <w:szCs w:val="21"/>
          <w:highlight w:val="none"/>
        </w:rPr>
      </w:pPr>
      <w:r>
        <w:rPr>
          <w:rFonts w:ascii="宋体" w:hAnsi="宋体" w:eastAsia="宋体" w:cs="宋体"/>
          <w:color w:val="auto"/>
          <w:spacing w:val="6"/>
          <w:szCs w:val="21"/>
          <w:highlight w:val="none"/>
        </w:rPr>
        <w:t xml:space="preserve">               </w:t>
      </w:r>
      <w:r>
        <w:rPr>
          <w:rFonts w:ascii="宋体" w:hAnsi="宋体" w:eastAsia="宋体" w:cs="宋体"/>
          <w:color w:val="auto"/>
          <w:szCs w:val="21"/>
          <w:highlight w:val="none"/>
        </w:rPr>
        <w:t>单位名称（盖章）：</w:t>
      </w:r>
    </w:p>
    <w:p w14:paraId="46FD58DE">
      <w:pPr>
        <w:pStyle w:val="75"/>
        <w:shd w:val="clear" w:color="auto"/>
        <w:spacing w:line="500" w:lineRule="exact"/>
        <w:ind w:firstLine="600"/>
        <w:jc w:val="center"/>
        <w:rPr>
          <w:rFonts w:ascii="宋体" w:hAnsi="宋体" w:eastAsia="宋体" w:cs="宋体"/>
          <w:color w:val="auto"/>
          <w:szCs w:val="21"/>
          <w:highlight w:val="none"/>
        </w:rPr>
      </w:pPr>
      <w:r>
        <w:rPr>
          <w:rFonts w:ascii="宋体" w:hAnsi="宋体" w:eastAsia="宋体" w:cs="宋体"/>
          <w:color w:val="auto"/>
          <w:szCs w:val="21"/>
          <w:highlight w:val="none"/>
        </w:rPr>
        <w:t xml:space="preserve">       日  期：</w:t>
      </w:r>
    </w:p>
    <w:p w14:paraId="72F76904">
      <w:pPr>
        <w:pStyle w:val="75"/>
        <w:shd w:val="clear" w:color="auto"/>
        <w:spacing w:line="500" w:lineRule="exact"/>
        <w:ind w:firstLine="600"/>
        <w:jc w:val="center"/>
        <w:rPr>
          <w:rFonts w:ascii="宋体" w:hAnsi="宋体" w:eastAsia="宋体" w:cs="宋体"/>
          <w:color w:val="auto"/>
          <w:szCs w:val="21"/>
          <w:highlight w:val="none"/>
        </w:rPr>
      </w:pPr>
    </w:p>
    <w:p w14:paraId="3C9181C2">
      <w:pPr>
        <w:pStyle w:val="75"/>
        <w:shd w:val="clear" w:color="auto"/>
        <w:spacing w:line="500" w:lineRule="exact"/>
        <w:ind w:firstLine="600"/>
        <w:jc w:val="center"/>
        <w:rPr>
          <w:rFonts w:ascii="宋体" w:hAnsi="宋体" w:eastAsia="宋体" w:cs="宋体"/>
          <w:color w:val="auto"/>
          <w:szCs w:val="21"/>
          <w:highlight w:val="none"/>
        </w:rPr>
      </w:pPr>
    </w:p>
    <w:p w14:paraId="73033BF4">
      <w:pPr>
        <w:pStyle w:val="75"/>
        <w:shd w:val="clear" w:color="auto"/>
        <w:spacing w:line="500" w:lineRule="exact"/>
        <w:ind w:firstLine="600"/>
        <w:jc w:val="center"/>
        <w:rPr>
          <w:rFonts w:ascii="宋体" w:hAnsi="宋体" w:eastAsia="宋体" w:cs="宋体"/>
          <w:color w:val="auto"/>
          <w:szCs w:val="21"/>
          <w:highlight w:val="none"/>
        </w:rPr>
      </w:pPr>
    </w:p>
    <w:p w14:paraId="6B6D2547">
      <w:pPr>
        <w:pStyle w:val="75"/>
        <w:shd w:val="clear" w:color="auto"/>
        <w:spacing w:line="500" w:lineRule="exact"/>
        <w:ind w:firstLine="600"/>
        <w:jc w:val="center"/>
        <w:rPr>
          <w:rFonts w:ascii="宋体" w:hAnsi="宋体" w:eastAsia="宋体" w:cs="宋体"/>
          <w:color w:val="auto"/>
          <w:szCs w:val="21"/>
          <w:highlight w:val="none"/>
        </w:rPr>
      </w:pPr>
    </w:p>
    <w:p w14:paraId="27ACADA1">
      <w:pPr>
        <w:pStyle w:val="75"/>
        <w:shd w:val="clear" w:color="auto"/>
        <w:spacing w:line="500" w:lineRule="exact"/>
        <w:ind w:firstLine="600"/>
        <w:jc w:val="center"/>
        <w:rPr>
          <w:rFonts w:ascii="宋体" w:hAnsi="宋体" w:eastAsia="宋体" w:cs="宋体"/>
          <w:color w:val="auto"/>
          <w:szCs w:val="21"/>
          <w:highlight w:val="none"/>
        </w:rPr>
      </w:pPr>
    </w:p>
    <w:p w14:paraId="10017EE9">
      <w:pPr>
        <w:shd w:val="clear" w:color="auto"/>
        <w:spacing w:line="500" w:lineRule="exact"/>
        <w:jc w:val="center"/>
        <w:rPr>
          <w:rFonts w:hint="eastAsia" w:hAnsi="宋体" w:cs="宋体"/>
          <w:color w:val="auto"/>
          <w:sz w:val="21"/>
          <w:szCs w:val="21"/>
          <w:highlight w:val="none"/>
        </w:rPr>
      </w:pPr>
      <w:r>
        <w:rPr>
          <w:rFonts w:hint="eastAsia" w:hAnsi="宋体" w:cs="宋体"/>
          <w:color w:val="auto"/>
          <w:sz w:val="21"/>
          <w:szCs w:val="21"/>
          <w:highlight w:val="none"/>
        </w:rPr>
        <w:t>（3）监狱企业证明文件</w:t>
      </w:r>
    </w:p>
    <w:p w14:paraId="115F6A2A">
      <w:pPr>
        <w:pStyle w:val="75"/>
        <w:shd w:val="clear" w:color="auto"/>
        <w:spacing w:line="500" w:lineRule="exact"/>
        <w:ind w:firstLine="420" w:firstLineChars="200"/>
        <w:rPr>
          <w:rFonts w:ascii="宋体" w:hAnsi="宋体" w:eastAsia="宋体" w:cs="宋体"/>
          <w:color w:val="auto"/>
          <w:szCs w:val="21"/>
          <w:highlight w:val="none"/>
        </w:rPr>
      </w:pPr>
      <w:r>
        <w:rPr>
          <w:rFonts w:ascii="宋体" w:hAnsi="宋体" w:eastAsia="宋体" w:cs="宋体"/>
          <w:color w:val="auto"/>
          <w:szCs w:val="21"/>
          <w:highlight w:val="none"/>
        </w:rPr>
        <w:t>监狱企业参加政府采购活动时，应当提供由省级以上监狱管理局、戒毒管理局（含新疆生产建设兵团）出具的属于监狱企业的证明文件。</w:t>
      </w:r>
    </w:p>
    <w:p w14:paraId="791859A3">
      <w:pPr>
        <w:pStyle w:val="46"/>
        <w:shd w:val="clear" w:color="auto"/>
        <w:ind w:left="0" w:leftChars="0" w:firstLine="0"/>
        <w:rPr>
          <w:rFonts w:hint="eastAsia"/>
          <w:color w:val="auto"/>
          <w:highlight w:val="none"/>
        </w:rPr>
      </w:pPr>
    </w:p>
    <w:p w14:paraId="3139DBB7">
      <w:pPr>
        <w:pStyle w:val="47"/>
        <w:shd w:val="clear" w:color="auto"/>
        <w:rPr>
          <w:rFonts w:hint="eastAsia"/>
          <w:color w:val="auto"/>
          <w:highlight w:val="none"/>
        </w:rPr>
      </w:pPr>
    </w:p>
    <w:p w14:paraId="03F797D2">
      <w:pPr>
        <w:shd w:val="clear"/>
        <w:rPr>
          <w:rFonts w:hint="eastAsia"/>
          <w:color w:val="auto"/>
          <w:highlight w:val="none"/>
        </w:rPr>
      </w:pPr>
    </w:p>
    <w:p w14:paraId="72EC8B91">
      <w:pPr>
        <w:pStyle w:val="4"/>
        <w:shd w:val="clear"/>
        <w:rPr>
          <w:rFonts w:hint="eastAsia"/>
          <w:highlight w:val="none"/>
        </w:rPr>
      </w:pPr>
    </w:p>
    <w:p w14:paraId="5B5B1C5A">
      <w:pPr>
        <w:shd w:val="clear" w:color="auto"/>
        <w:snapToGrid w:val="0"/>
        <w:spacing w:before="317" w:beforeLines="50" w:after="50"/>
        <w:rPr>
          <w:rFonts w:hint="eastAsia" w:hAnsi="宋体" w:cs="宋体"/>
          <w:b/>
          <w:bCs/>
          <w:color w:val="auto"/>
          <w:sz w:val="24"/>
          <w:highlight w:val="none"/>
        </w:rPr>
      </w:pPr>
      <w:r>
        <w:rPr>
          <w:rFonts w:hint="eastAsia" w:hAnsi="宋体" w:cs="宋体"/>
          <w:color w:val="auto"/>
          <w:sz w:val="24"/>
          <w:highlight w:val="none"/>
        </w:rPr>
        <w:t xml:space="preserve"> </w:t>
      </w:r>
      <w:r>
        <w:rPr>
          <w:rFonts w:hint="eastAsia" w:hAnsi="宋体" w:cs="宋体"/>
          <w:b/>
          <w:bCs/>
          <w:color w:val="auto"/>
          <w:sz w:val="24"/>
          <w:highlight w:val="none"/>
        </w:rPr>
        <w:t>（二）商务技术文件</w:t>
      </w:r>
    </w:p>
    <w:p w14:paraId="3FFB256F">
      <w:pPr>
        <w:keepNext w:val="0"/>
        <w:keepLines w:val="0"/>
        <w:pageBreakBefore w:val="0"/>
        <w:widowControl w:val="0"/>
        <w:shd w:val="clear" w:color="auto"/>
        <w:kinsoku/>
        <w:wordWrap/>
        <w:overflowPunct/>
        <w:topLinePunct w:val="0"/>
        <w:autoSpaceDE/>
        <w:autoSpaceDN/>
        <w:bidi w:val="0"/>
        <w:adjustRightInd/>
        <w:spacing w:line="500" w:lineRule="exact"/>
        <w:ind w:left="0" w:firstLine="420" w:firstLineChars="200"/>
        <w:jc w:val="both"/>
        <w:rPr>
          <w:rFonts w:hint="eastAsia" w:hAnsi="宋体" w:cs="宋体"/>
          <w:color w:val="auto"/>
          <w:sz w:val="21"/>
          <w:szCs w:val="21"/>
          <w:highlight w:val="none"/>
        </w:rPr>
      </w:pPr>
      <w:r>
        <w:rPr>
          <w:rFonts w:hint="eastAsia" w:hAnsi="宋体" w:cs="宋体"/>
          <w:color w:val="auto"/>
          <w:sz w:val="21"/>
          <w:szCs w:val="21"/>
          <w:highlight w:val="none"/>
        </w:rPr>
        <w:t>（1）投标人技术商务标自评得分汇总表；（格式内容参照技术商务评分表，格式见附件）；</w:t>
      </w:r>
    </w:p>
    <w:p w14:paraId="16EB0F39">
      <w:pPr>
        <w:pStyle w:val="96"/>
        <w:keepNext w:val="0"/>
        <w:keepLines w:val="0"/>
        <w:pageBreakBefore w:val="0"/>
        <w:widowControl w:val="0"/>
        <w:shd w:val="clear" w:color="auto"/>
        <w:kinsoku/>
        <w:wordWrap/>
        <w:overflowPunct/>
        <w:topLinePunct w:val="0"/>
        <w:bidi w:val="0"/>
        <w:snapToGrid w:val="0"/>
        <w:spacing w:line="500" w:lineRule="exact"/>
        <w:ind w:left="0" w:firstLine="420" w:firstLineChars="200"/>
        <w:textAlignment w:val="bottom"/>
        <w:rPr>
          <w:rFonts w:hint="eastAsia" w:ascii="宋体" w:hAnsi="宋体" w:cs="宋体"/>
          <w:color w:val="auto"/>
          <w:highlight w:val="none"/>
        </w:rPr>
      </w:pPr>
      <w:r>
        <w:rPr>
          <w:rFonts w:hint="eastAsia" w:ascii="宋体" w:hAnsi="宋体" w:cs="宋体"/>
          <w:color w:val="auto"/>
          <w:highlight w:val="none"/>
        </w:rPr>
        <w:t>（2）投标人（或投标联合体牵头人）法定代表人授权委托书(格式见附件，如法定代表人本人参加的，则提供法定代表人身份证明及法定代表人身份证复印件)；</w:t>
      </w:r>
    </w:p>
    <w:p w14:paraId="62D3EE05">
      <w:pPr>
        <w:pStyle w:val="96"/>
        <w:keepNext w:val="0"/>
        <w:keepLines w:val="0"/>
        <w:pageBreakBefore w:val="0"/>
        <w:widowControl w:val="0"/>
        <w:shd w:val="clear" w:color="auto"/>
        <w:kinsoku/>
        <w:wordWrap/>
        <w:overflowPunct/>
        <w:topLinePunct w:val="0"/>
        <w:bidi w:val="0"/>
        <w:snapToGrid w:val="0"/>
        <w:spacing w:line="500" w:lineRule="exact"/>
        <w:ind w:left="0" w:firstLine="420" w:firstLineChars="200"/>
        <w:textAlignment w:val="bottom"/>
        <w:rPr>
          <w:rFonts w:hint="eastAsia" w:ascii="宋体" w:hAnsi="宋体" w:cs="宋体"/>
          <w:color w:val="auto"/>
          <w:highlight w:val="none"/>
        </w:rPr>
      </w:pPr>
      <w:r>
        <w:rPr>
          <w:rFonts w:hint="eastAsia" w:ascii="宋体" w:hAnsi="宋体" w:cs="宋体"/>
          <w:color w:val="auto"/>
          <w:highlight w:val="none"/>
          <w:lang w:eastAsia="zh-CN"/>
        </w:rPr>
        <w:t>（</w:t>
      </w:r>
      <w:r>
        <w:rPr>
          <w:rFonts w:hint="eastAsia" w:ascii="宋体" w:hAnsi="宋体" w:cs="宋体"/>
          <w:color w:val="auto"/>
          <w:highlight w:val="none"/>
          <w:lang w:val="en-US" w:eastAsia="zh-CN"/>
        </w:rPr>
        <w:t>3</w:t>
      </w:r>
      <w:r>
        <w:rPr>
          <w:rFonts w:hint="eastAsia" w:ascii="宋体" w:hAnsi="宋体" w:cs="宋体"/>
          <w:color w:val="auto"/>
          <w:highlight w:val="none"/>
          <w:lang w:eastAsia="zh-CN"/>
        </w:rPr>
        <w:t>）</w:t>
      </w:r>
      <w:r>
        <w:rPr>
          <w:rFonts w:hint="eastAsia" w:ascii="宋体" w:hAnsi="宋体" w:cs="宋体"/>
          <w:color w:val="auto"/>
          <w:highlight w:val="none"/>
        </w:rPr>
        <w:t>投标人（包括投标联合体各方）情况表（格式见附件）；</w:t>
      </w:r>
    </w:p>
    <w:p w14:paraId="0B472452">
      <w:pPr>
        <w:keepNext w:val="0"/>
        <w:keepLines w:val="0"/>
        <w:pageBreakBefore w:val="0"/>
        <w:widowControl w:val="0"/>
        <w:shd w:val="clear" w:color="auto"/>
        <w:kinsoku/>
        <w:wordWrap/>
        <w:overflowPunct/>
        <w:topLinePunct w:val="0"/>
        <w:autoSpaceDE/>
        <w:autoSpaceDN/>
        <w:bidi w:val="0"/>
        <w:snapToGrid w:val="0"/>
        <w:spacing w:line="500" w:lineRule="exact"/>
        <w:ind w:firstLine="420" w:firstLineChars="200"/>
        <w:jc w:val="both"/>
        <w:rPr>
          <w:rFonts w:hint="eastAsia" w:hAnsi="宋体" w:cs="宋体"/>
          <w:color w:val="auto"/>
          <w:sz w:val="21"/>
          <w:szCs w:val="21"/>
          <w:highlight w:val="none"/>
        </w:rPr>
      </w:pPr>
      <w:r>
        <w:rPr>
          <w:rFonts w:hint="eastAsia" w:hAnsi="宋体" w:cs="宋体"/>
          <w:color w:val="auto"/>
          <w:sz w:val="21"/>
          <w:szCs w:val="21"/>
          <w:highlight w:val="none"/>
        </w:rPr>
        <w:t>（</w:t>
      </w:r>
      <w:r>
        <w:rPr>
          <w:rFonts w:hint="eastAsia" w:hAnsi="宋体" w:cs="宋体"/>
          <w:color w:val="auto"/>
          <w:sz w:val="21"/>
          <w:szCs w:val="21"/>
          <w:highlight w:val="none"/>
          <w:lang w:val="en-US" w:eastAsia="zh-CN"/>
        </w:rPr>
        <w:t>4</w:t>
      </w:r>
      <w:r>
        <w:rPr>
          <w:rFonts w:hint="eastAsia" w:hAnsi="宋体" w:cs="宋体"/>
          <w:color w:val="auto"/>
          <w:sz w:val="21"/>
          <w:szCs w:val="21"/>
          <w:highlight w:val="none"/>
        </w:rPr>
        <w:t>）投标人</w:t>
      </w:r>
      <w:r>
        <w:rPr>
          <w:rFonts w:hint="eastAsia" w:hAnsi="宋体" w:cs="宋体"/>
          <w:color w:val="auto"/>
          <w:kern w:val="2"/>
          <w:sz w:val="21"/>
          <w:szCs w:val="21"/>
          <w:highlight w:val="none"/>
          <w:lang w:bidi="ar"/>
        </w:rPr>
        <w:t>（包括投标联合体各方）</w:t>
      </w:r>
      <w:r>
        <w:rPr>
          <w:rFonts w:hint="eastAsia" w:hAnsi="宋体" w:cs="宋体"/>
          <w:color w:val="auto"/>
          <w:sz w:val="21"/>
          <w:szCs w:val="21"/>
          <w:highlight w:val="none"/>
        </w:rPr>
        <w:t>相关资质证书及获得的相关荣誉证书（扫描件或复印件加盖单位公章）；</w:t>
      </w:r>
    </w:p>
    <w:p w14:paraId="5D7D98EC">
      <w:pPr>
        <w:keepNext w:val="0"/>
        <w:keepLines w:val="0"/>
        <w:pageBreakBefore w:val="0"/>
        <w:widowControl w:val="0"/>
        <w:shd w:val="clear" w:color="auto"/>
        <w:kinsoku/>
        <w:wordWrap/>
        <w:overflowPunct/>
        <w:topLinePunct w:val="0"/>
        <w:autoSpaceDE/>
        <w:autoSpaceDN/>
        <w:bidi w:val="0"/>
        <w:snapToGrid w:val="0"/>
        <w:spacing w:line="500" w:lineRule="exact"/>
        <w:ind w:firstLine="420" w:firstLineChars="200"/>
        <w:jc w:val="both"/>
        <w:rPr>
          <w:rFonts w:hint="eastAsia" w:hAnsi="宋体" w:cs="宋体"/>
          <w:color w:val="auto"/>
          <w:sz w:val="21"/>
          <w:szCs w:val="21"/>
          <w:highlight w:val="none"/>
        </w:rPr>
      </w:pPr>
      <w:r>
        <w:rPr>
          <w:rFonts w:hint="eastAsia" w:hAnsi="宋体" w:cs="宋体"/>
          <w:color w:val="auto"/>
          <w:sz w:val="21"/>
          <w:szCs w:val="21"/>
          <w:highlight w:val="none"/>
        </w:rPr>
        <w:t>（</w:t>
      </w:r>
      <w:r>
        <w:rPr>
          <w:rFonts w:hint="eastAsia" w:hAnsi="宋体" w:cs="宋体"/>
          <w:color w:val="auto"/>
          <w:sz w:val="21"/>
          <w:szCs w:val="21"/>
          <w:highlight w:val="none"/>
          <w:lang w:val="en-US" w:eastAsia="zh-CN"/>
        </w:rPr>
        <w:t>5</w:t>
      </w:r>
      <w:r>
        <w:rPr>
          <w:rFonts w:hint="eastAsia" w:hAnsi="宋体" w:cs="宋体"/>
          <w:color w:val="auto"/>
          <w:sz w:val="21"/>
          <w:szCs w:val="21"/>
          <w:highlight w:val="none"/>
        </w:rPr>
        <w:t>）投标人</w:t>
      </w:r>
      <w:r>
        <w:rPr>
          <w:rFonts w:hint="eastAsia" w:hAnsi="宋体" w:cs="宋体"/>
          <w:color w:val="auto"/>
          <w:kern w:val="2"/>
          <w:sz w:val="21"/>
          <w:szCs w:val="21"/>
          <w:highlight w:val="none"/>
          <w:lang w:bidi="ar"/>
        </w:rPr>
        <w:t>（包括投标联合体各方）</w:t>
      </w:r>
      <w:r>
        <w:rPr>
          <w:rFonts w:hint="eastAsia" w:hAnsi="宋体" w:cs="宋体"/>
          <w:color w:val="auto"/>
          <w:sz w:val="21"/>
          <w:szCs w:val="21"/>
          <w:highlight w:val="none"/>
        </w:rPr>
        <w:t>类似案例成功的业绩（须提供对应采购合同复印件/扫描件等相关资料）（加盖公章）（格式见附件）；</w:t>
      </w:r>
    </w:p>
    <w:p w14:paraId="2F3A27F8">
      <w:pPr>
        <w:keepNext w:val="0"/>
        <w:keepLines w:val="0"/>
        <w:pageBreakBefore w:val="0"/>
        <w:widowControl w:val="0"/>
        <w:shd w:val="clear" w:color="auto"/>
        <w:kinsoku/>
        <w:wordWrap/>
        <w:overflowPunct/>
        <w:topLinePunct w:val="0"/>
        <w:bidi w:val="0"/>
        <w:snapToGrid w:val="0"/>
        <w:spacing w:line="500" w:lineRule="exact"/>
        <w:ind w:firstLine="420" w:firstLineChars="200"/>
        <w:rPr>
          <w:rFonts w:hint="eastAsia" w:hAnsi="宋体" w:cs="宋体"/>
          <w:color w:val="auto"/>
          <w:sz w:val="21"/>
          <w:szCs w:val="21"/>
          <w:highlight w:val="none"/>
        </w:rPr>
      </w:pPr>
      <w:r>
        <w:rPr>
          <w:rFonts w:hint="eastAsia" w:hAnsi="宋体" w:cs="宋体"/>
          <w:color w:val="auto"/>
          <w:sz w:val="21"/>
          <w:szCs w:val="21"/>
          <w:highlight w:val="none"/>
        </w:rPr>
        <w:t>（</w:t>
      </w:r>
      <w:r>
        <w:rPr>
          <w:rFonts w:hint="eastAsia" w:hAnsi="宋体" w:cs="宋体"/>
          <w:color w:val="auto"/>
          <w:sz w:val="21"/>
          <w:szCs w:val="21"/>
          <w:highlight w:val="none"/>
          <w:lang w:val="en-US" w:eastAsia="zh-CN"/>
        </w:rPr>
        <w:t>6</w:t>
      </w:r>
      <w:r>
        <w:rPr>
          <w:rFonts w:hint="eastAsia" w:hAnsi="宋体" w:cs="宋体"/>
          <w:color w:val="auto"/>
          <w:sz w:val="21"/>
          <w:szCs w:val="21"/>
          <w:highlight w:val="none"/>
        </w:rPr>
        <w:t>）商务条款偏离表（格式见附件）；</w:t>
      </w:r>
    </w:p>
    <w:p w14:paraId="49883E83">
      <w:pPr>
        <w:keepNext w:val="0"/>
        <w:keepLines w:val="0"/>
        <w:pageBreakBefore w:val="0"/>
        <w:widowControl w:val="0"/>
        <w:shd w:val="clear" w:color="auto"/>
        <w:kinsoku/>
        <w:wordWrap/>
        <w:overflowPunct/>
        <w:topLinePunct w:val="0"/>
        <w:bidi w:val="0"/>
        <w:snapToGrid w:val="0"/>
        <w:spacing w:line="500" w:lineRule="exact"/>
        <w:ind w:firstLine="420" w:firstLineChars="200"/>
        <w:rPr>
          <w:rFonts w:hint="eastAsia" w:hAnsi="宋体" w:cs="宋体"/>
          <w:color w:val="auto"/>
          <w:sz w:val="21"/>
          <w:szCs w:val="21"/>
          <w:highlight w:val="none"/>
        </w:rPr>
      </w:pPr>
      <w:r>
        <w:rPr>
          <w:rFonts w:hint="eastAsia" w:hAnsi="宋体" w:cs="宋体"/>
          <w:color w:val="auto"/>
          <w:sz w:val="21"/>
          <w:szCs w:val="21"/>
          <w:highlight w:val="none"/>
        </w:rPr>
        <w:t>（</w:t>
      </w:r>
      <w:r>
        <w:rPr>
          <w:rFonts w:hint="eastAsia" w:hAnsi="宋体" w:cs="宋体"/>
          <w:color w:val="auto"/>
          <w:sz w:val="21"/>
          <w:szCs w:val="21"/>
          <w:highlight w:val="none"/>
          <w:lang w:val="en-US" w:eastAsia="zh-CN"/>
        </w:rPr>
        <w:t>7</w:t>
      </w:r>
      <w:r>
        <w:rPr>
          <w:rFonts w:hint="eastAsia" w:hAnsi="宋体" w:cs="宋体"/>
          <w:color w:val="auto"/>
          <w:sz w:val="21"/>
          <w:szCs w:val="21"/>
          <w:highlight w:val="none"/>
        </w:rPr>
        <w:t>）拟投入本项目的服务人员配置表（格式见附件）；</w:t>
      </w:r>
    </w:p>
    <w:p w14:paraId="2B42E5D3">
      <w:pPr>
        <w:keepNext w:val="0"/>
        <w:keepLines w:val="0"/>
        <w:pageBreakBefore w:val="0"/>
        <w:widowControl w:val="0"/>
        <w:shd w:val="clear" w:color="auto"/>
        <w:kinsoku/>
        <w:wordWrap/>
        <w:overflowPunct/>
        <w:topLinePunct w:val="0"/>
        <w:bidi w:val="0"/>
        <w:snapToGrid w:val="0"/>
        <w:spacing w:line="500" w:lineRule="exact"/>
        <w:ind w:firstLine="420" w:firstLineChars="200"/>
        <w:rPr>
          <w:rFonts w:hint="eastAsia" w:hAnsi="宋体" w:cs="宋体"/>
          <w:color w:val="auto"/>
          <w:sz w:val="21"/>
          <w:szCs w:val="21"/>
          <w:highlight w:val="none"/>
        </w:rPr>
      </w:pPr>
      <w:r>
        <w:rPr>
          <w:rFonts w:hint="eastAsia" w:hAnsi="宋体" w:cs="宋体"/>
          <w:color w:val="auto"/>
          <w:sz w:val="21"/>
          <w:szCs w:val="21"/>
          <w:highlight w:val="none"/>
        </w:rPr>
        <w:t>（</w:t>
      </w:r>
      <w:r>
        <w:rPr>
          <w:rFonts w:hint="eastAsia" w:hAnsi="宋体" w:cs="宋体"/>
          <w:color w:val="auto"/>
          <w:sz w:val="21"/>
          <w:szCs w:val="21"/>
          <w:highlight w:val="none"/>
          <w:lang w:val="en-US" w:eastAsia="zh-CN"/>
        </w:rPr>
        <w:t>8</w:t>
      </w:r>
      <w:r>
        <w:rPr>
          <w:rFonts w:hint="eastAsia" w:hAnsi="宋体" w:cs="宋体"/>
          <w:color w:val="auto"/>
          <w:sz w:val="21"/>
          <w:szCs w:val="21"/>
          <w:highlight w:val="none"/>
        </w:rPr>
        <w:t>）针对本项目的完整技术解决方案；</w:t>
      </w:r>
    </w:p>
    <w:p w14:paraId="71A0ACF9">
      <w:pPr>
        <w:keepNext w:val="0"/>
        <w:keepLines w:val="0"/>
        <w:pageBreakBefore w:val="0"/>
        <w:widowControl w:val="0"/>
        <w:shd w:val="clear" w:color="auto"/>
        <w:kinsoku/>
        <w:wordWrap/>
        <w:overflowPunct/>
        <w:topLinePunct w:val="0"/>
        <w:bidi w:val="0"/>
        <w:snapToGrid w:val="0"/>
        <w:spacing w:line="500" w:lineRule="exact"/>
        <w:ind w:firstLine="420" w:firstLineChars="200"/>
        <w:rPr>
          <w:rFonts w:hint="eastAsia" w:hAnsi="宋体" w:cs="宋体"/>
          <w:color w:val="auto"/>
          <w:sz w:val="21"/>
          <w:szCs w:val="21"/>
          <w:highlight w:val="none"/>
        </w:rPr>
      </w:pPr>
      <w:r>
        <w:rPr>
          <w:rFonts w:hint="eastAsia" w:hAnsi="宋体" w:cs="宋体"/>
          <w:color w:val="auto"/>
          <w:sz w:val="21"/>
          <w:szCs w:val="21"/>
          <w:highlight w:val="none"/>
        </w:rPr>
        <w:t>（</w:t>
      </w:r>
      <w:r>
        <w:rPr>
          <w:rFonts w:hint="eastAsia" w:hAnsi="宋体" w:cs="宋体"/>
          <w:color w:val="auto"/>
          <w:sz w:val="21"/>
          <w:szCs w:val="21"/>
          <w:highlight w:val="none"/>
          <w:lang w:val="en-US" w:eastAsia="zh-CN"/>
        </w:rPr>
        <w:t>9</w:t>
      </w:r>
      <w:r>
        <w:rPr>
          <w:rFonts w:hint="eastAsia" w:hAnsi="宋体" w:cs="宋体"/>
          <w:color w:val="auto"/>
          <w:sz w:val="21"/>
          <w:szCs w:val="21"/>
          <w:highlight w:val="none"/>
        </w:rPr>
        <w:t>）技术要求响应表（格式见附件）；</w:t>
      </w:r>
    </w:p>
    <w:p w14:paraId="5DC18448">
      <w:pPr>
        <w:keepNext w:val="0"/>
        <w:keepLines w:val="0"/>
        <w:pageBreakBefore w:val="0"/>
        <w:widowControl w:val="0"/>
        <w:shd w:val="clear" w:color="auto"/>
        <w:kinsoku/>
        <w:wordWrap/>
        <w:overflowPunct/>
        <w:topLinePunct w:val="0"/>
        <w:bidi w:val="0"/>
        <w:snapToGrid w:val="0"/>
        <w:spacing w:line="500" w:lineRule="exact"/>
        <w:ind w:firstLine="420" w:firstLineChars="200"/>
        <w:rPr>
          <w:rFonts w:hint="eastAsia" w:hAnsi="宋体" w:cs="宋体"/>
          <w:color w:val="auto"/>
          <w:sz w:val="21"/>
          <w:szCs w:val="21"/>
          <w:highlight w:val="none"/>
        </w:rPr>
      </w:pPr>
      <w:r>
        <w:rPr>
          <w:rFonts w:hint="eastAsia" w:hAnsi="宋体" w:cs="宋体"/>
          <w:color w:val="auto"/>
          <w:sz w:val="21"/>
          <w:szCs w:val="21"/>
          <w:highlight w:val="none"/>
        </w:rPr>
        <w:t>（</w:t>
      </w:r>
      <w:r>
        <w:rPr>
          <w:rFonts w:hint="eastAsia" w:hAnsi="宋体" w:cs="宋体"/>
          <w:color w:val="auto"/>
          <w:sz w:val="21"/>
          <w:szCs w:val="21"/>
          <w:highlight w:val="none"/>
          <w:lang w:val="en-US" w:eastAsia="zh-CN"/>
        </w:rPr>
        <w:t>10</w:t>
      </w:r>
      <w:r>
        <w:rPr>
          <w:rFonts w:hint="eastAsia" w:hAnsi="宋体" w:cs="宋体"/>
          <w:color w:val="auto"/>
          <w:sz w:val="21"/>
          <w:szCs w:val="21"/>
          <w:highlight w:val="none"/>
        </w:rPr>
        <w:t>）投标人对本项目的合理化建议和改进措施；</w:t>
      </w:r>
    </w:p>
    <w:p w14:paraId="08A2BA09">
      <w:pPr>
        <w:keepNext w:val="0"/>
        <w:keepLines w:val="0"/>
        <w:pageBreakBefore w:val="0"/>
        <w:widowControl w:val="0"/>
        <w:shd w:val="clear" w:color="auto"/>
        <w:kinsoku/>
        <w:wordWrap/>
        <w:overflowPunct/>
        <w:topLinePunct w:val="0"/>
        <w:autoSpaceDE/>
        <w:autoSpaceDN/>
        <w:bidi w:val="0"/>
        <w:snapToGrid w:val="0"/>
        <w:spacing w:line="500" w:lineRule="exact"/>
        <w:ind w:firstLine="420" w:firstLineChars="200"/>
        <w:jc w:val="both"/>
        <w:rPr>
          <w:rFonts w:hint="eastAsia" w:hAnsi="宋体" w:cs="宋体"/>
          <w:color w:val="auto"/>
          <w:sz w:val="21"/>
          <w:szCs w:val="21"/>
          <w:highlight w:val="none"/>
        </w:rPr>
      </w:pPr>
      <w:r>
        <w:rPr>
          <w:rFonts w:hint="eastAsia" w:hAnsi="宋体" w:cs="宋体"/>
          <w:color w:val="auto"/>
          <w:sz w:val="21"/>
          <w:szCs w:val="21"/>
          <w:highlight w:val="none"/>
        </w:rPr>
        <w:t>（1</w:t>
      </w:r>
      <w:r>
        <w:rPr>
          <w:rFonts w:hint="eastAsia" w:hAnsi="宋体" w:cs="宋体"/>
          <w:color w:val="auto"/>
          <w:sz w:val="21"/>
          <w:szCs w:val="21"/>
          <w:highlight w:val="none"/>
          <w:lang w:val="en-US" w:eastAsia="zh-CN"/>
        </w:rPr>
        <w:t>1</w:t>
      </w:r>
      <w:r>
        <w:rPr>
          <w:rFonts w:hint="eastAsia" w:hAnsi="宋体" w:cs="宋体"/>
          <w:color w:val="auto"/>
          <w:sz w:val="21"/>
          <w:szCs w:val="21"/>
          <w:highlight w:val="none"/>
        </w:rPr>
        <w:t>）投标人需要说明的其他文件和说明（格式略）。</w:t>
      </w:r>
    </w:p>
    <w:p w14:paraId="62153B5C">
      <w:pPr>
        <w:keepNext w:val="0"/>
        <w:keepLines w:val="0"/>
        <w:pageBreakBefore w:val="0"/>
        <w:widowControl w:val="0"/>
        <w:shd w:val="clear" w:color="auto"/>
        <w:kinsoku/>
        <w:wordWrap/>
        <w:overflowPunct/>
        <w:topLinePunct w:val="0"/>
        <w:autoSpaceDE/>
        <w:autoSpaceDN/>
        <w:bidi w:val="0"/>
        <w:adjustRightInd/>
        <w:spacing w:line="500" w:lineRule="exact"/>
        <w:ind w:firstLine="420" w:firstLineChars="200"/>
        <w:jc w:val="both"/>
        <w:rPr>
          <w:rFonts w:hint="eastAsia" w:hAnsi="宋体" w:cs="宋体"/>
          <w:b/>
          <w:color w:val="auto"/>
          <w:sz w:val="21"/>
          <w:szCs w:val="21"/>
          <w:highlight w:val="none"/>
        </w:rPr>
      </w:pPr>
      <w:r>
        <w:rPr>
          <w:rFonts w:hint="eastAsia" w:hAnsi="宋体" w:cs="宋体"/>
          <w:bCs/>
          <w:color w:val="auto"/>
          <w:sz w:val="21"/>
          <w:szCs w:val="21"/>
          <w:highlight w:val="none"/>
        </w:rPr>
        <w:t>★</w:t>
      </w:r>
      <w:r>
        <w:rPr>
          <w:rFonts w:hint="eastAsia" w:hAnsi="宋体" w:cs="宋体"/>
          <w:b/>
          <w:color w:val="auto"/>
          <w:sz w:val="21"/>
          <w:szCs w:val="21"/>
          <w:highlight w:val="none"/>
        </w:rPr>
        <w:t>注：</w:t>
      </w:r>
      <w:r>
        <w:rPr>
          <w:rFonts w:hint="eastAsia" w:hAnsi="宋体" w:cs="宋体"/>
          <w:b/>
          <w:bCs/>
          <w:color w:val="auto"/>
          <w:sz w:val="21"/>
          <w:szCs w:val="21"/>
          <w:highlight w:val="none"/>
        </w:rPr>
        <w:t>商务技术标</w:t>
      </w:r>
      <w:r>
        <w:rPr>
          <w:rFonts w:hint="eastAsia" w:hAnsi="宋体" w:cs="宋体"/>
          <w:b/>
          <w:color w:val="auto"/>
          <w:sz w:val="21"/>
          <w:szCs w:val="21"/>
          <w:highlight w:val="none"/>
        </w:rPr>
        <w:t>中不得含有报价的信息，否则按投标无效处理。</w:t>
      </w:r>
    </w:p>
    <w:p w14:paraId="68349A26">
      <w:pPr>
        <w:shd w:val="clear" w:color="auto"/>
        <w:autoSpaceDE/>
        <w:autoSpaceDN/>
        <w:snapToGrid w:val="0"/>
        <w:spacing w:line="500" w:lineRule="exact"/>
        <w:ind w:firstLine="420" w:firstLineChars="200"/>
        <w:jc w:val="both"/>
        <w:rPr>
          <w:rFonts w:hint="eastAsia" w:hAnsi="宋体" w:cs="宋体"/>
          <w:color w:val="auto"/>
          <w:sz w:val="21"/>
          <w:szCs w:val="21"/>
          <w:highlight w:val="none"/>
        </w:rPr>
      </w:pPr>
    </w:p>
    <w:p w14:paraId="71A1D19C">
      <w:pPr>
        <w:shd w:val="clear" w:color="auto"/>
        <w:autoSpaceDE/>
        <w:autoSpaceDN/>
        <w:adjustRightInd/>
        <w:spacing w:line="500" w:lineRule="exact"/>
        <w:ind w:firstLine="420" w:firstLineChars="200"/>
        <w:jc w:val="both"/>
        <w:rPr>
          <w:rFonts w:hint="eastAsia" w:hAnsi="宋体" w:cs="宋体"/>
          <w:color w:val="auto"/>
          <w:sz w:val="21"/>
          <w:szCs w:val="21"/>
          <w:highlight w:val="none"/>
        </w:rPr>
      </w:pPr>
    </w:p>
    <w:p w14:paraId="14A5DAE0">
      <w:pPr>
        <w:shd w:val="clear" w:color="auto"/>
        <w:autoSpaceDE/>
        <w:autoSpaceDN/>
        <w:adjustRightInd/>
        <w:spacing w:line="500" w:lineRule="exact"/>
        <w:ind w:firstLine="420" w:firstLineChars="200"/>
        <w:jc w:val="both"/>
        <w:rPr>
          <w:rFonts w:hint="eastAsia" w:hAnsi="宋体" w:cs="宋体"/>
          <w:color w:val="auto"/>
          <w:sz w:val="21"/>
          <w:szCs w:val="21"/>
          <w:highlight w:val="none"/>
        </w:rPr>
      </w:pPr>
    </w:p>
    <w:p w14:paraId="6F2555A3">
      <w:pPr>
        <w:shd w:val="clear" w:color="auto"/>
        <w:autoSpaceDE/>
        <w:autoSpaceDN/>
        <w:adjustRightInd/>
        <w:spacing w:line="500" w:lineRule="exact"/>
        <w:ind w:firstLine="420" w:firstLineChars="200"/>
        <w:jc w:val="both"/>
        <w:rPr>
          <w:rFonts w:hint="eastAsia" w:hAnsi="宋体" w:cs="宋体"/>
          <w:color w:val="auto"/>
          <w:sz w:val="21"/>
          <w:szCs w:val="21"/>
          <w:highlight w:val="none"/>
        </w:rPr>
      </w:pPr>
    </w:p>
    <w:p w14:paraId="6B37847A">
      <w:pPr>
        <w:shd w:val="clear" w:color="auto"/>
        <w:autoSpaceDE/>
        <w:autoSpaceDN/>
        <w:adjustRightInd/>
        <w:spacing w:line="500" w:lineRule="exact"/>
        <w:ind w:firstLine="420" w:firstLineChars="200"/>
        <w:jc w:val="both"/>
        <w:rPr>
          <w:rFonts w:hint="eastAsia" w:hAnsi="宋体" w:cs="宋体"/>
          <w:color w:val="auto"/>
          <w:sz w:val="21"/>
          <w:szCs w:val="21"/>
          <w:highlight w:val="none"/>
        </w:rPr>
      </w:pPr>
    </w:p>
    <w:p w14:paraId="0AD17EF9">
      <w:pPr>
        <w:shd w:val="clear" w:color="auto"/>
        <w:autoSpaceDE/>
        <w:autoSpaceDN/>
        <w:adjustRightInd/>
        <w:spacing w:line="500" w:lineRule="exact"/>
        <w:ind w:firstLine="420" w:firstLineChars="200"/>
        <w:jc w:val="both"/>
        <w:rPr>
          <w:rFonts w:hint="eastAsia" w:hAnsi="宋体" w:cs="宋体"/>
          <w:color w:val="auto"/>
          <w:sz w:val="21"/>
          <w:szCs w:val="21"/>
          <w:highlight w:val="none"/>
        </w:rPr>
      </w:pPr>
    </w:p>
    <w:p w14:paraId="7E6F105D">
      <w:pPr>
        <w:pStyle w:val="4"/>
        <w:shd w:val="clear" w:color="auto"/>
        <w:rPr>
          <w:rFonts w:hint="eastAsia" w:hAnsi="宋体" w:cs="宋体"/>
          <w:color w:val="auto"/>
          <w:sz w:val="21"/>
          <w:szCs w:val="21"/>
          <w:highlight w:val="none"/>
        </w:rPr>
      </w:pPr>
    </w:p>
    <w:p w14:paraId="00907523">
      <w:pPr>
        <w:shd w:val="clear" w:color="auto"/>
        <w:rPr>
          <w:rFonts w:hint="eastAsia" w:hAnsi="宋体" w:cs="宋体"/>
          <w:color w:val="auto"/>
          <w:sz w:val="21"/>
          <w:szCs w:val="21"/>
          <w:highlight w:val="none"/>
        </w:rPr>
      </w:pPr>
    </w:p>
    <w:p w14:paraId="094417A0">
      <w:pPr>
        <w:pStyle w:val="3"/>
        <w:shd w:val="clear" w:color="auto"/>
        <w:ind w:firstLine="210"/>
        <w:rPr>
          <w:rFonts w:hint="eastAsia" w:ascii="宋体" w:hAnsi="宋体" w:cs="宋体"/>
          <w:color w:val="auto"/>
          <w:sz w:val="21"/>
          <w:szCs w:val="21"/>
          <w:highlight w:val="none"/>
        </w:rPr>
      </w:pPr>
    </w:p>
    <w:p w14:paraId="16CFB95D">
      <w:pPr>
        <w:shd w:val="clear" w:color="auto"/>
        <w:snapToGrid w:val="0"/>
        <w:spacing w:before="50" w:after="50"/>
        <w:rPr>
          <w:rFonts w:hint="eastAsia" w:hAnsi="宋体" w:cs="宋体"/>
          <w:b/>
          <w:color w:val="auto"/>
          <w:sz w:val="24"/>
          <w:highlight w:val="none"/>
        </w:rPr>
      </w:pPr>
      <w:r>
        <w:rPr>
          <w:rFonts w:hint="eastAsia" w:hAnsi="宋体" w:cs="宋体"/>
          <w:b/>
          <w:color w:val="auto"/>
          <w:sz w:val="24"/>
          <w:highlight w:val="none"/>
        </w:rPr>
        <w:t>1.投标人技术商务标自评得分汇总表（格式参照技术商务评分表，需标注对应页码）</w:t>
      </w:r>
    </w:p>
    <w:tbl>
      <w:tblPr>
        <w:tblStyle w:val="48"/>
        <w:tblW w:w="995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65"/>
        <w:gridCol w:w="1620"/>
        <w:gridCol w:w="2391"/>
        <w:gridCol w:w="835"/>
        <w:gridCol w:w="1212"/>
        <w:gridCol w:w="2435"/>
      </w:tblGrid>
      <w:tr w14:paraId="196A1B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0" w:hRule="atLeast"/>
          <w:jc w:val="center"/>
        </w:trPr>
        <w:tc>
          <w:tcPr>
            <w:tcW w:w="1465" w:type="dxa"/>
            <w:noWrap w:val="0"/>
            <w:vAlign w:val="center"/>
          </w:tcPr>
          <w:p w14:paraId="73DCDDBE">
            <w:pPr>
              <w:widowControl/>
              <w:shd w:val="clear" w:color="auto"/>
              <w:autoSpaceDE/>
              <w:autoSpaceDN/>
              <w:adjustRightInd/>
              <w:snapToGrid w:val="0"/>
              <w:spacing w:line="460" w:lineRule="exact"/>
              <w:jc w:val="center"/>
              <w:rPr>
                <w:rFonts w:hint="eastAsia" w:hAnsi="宋体" w:eastAsia="宋体" w:cs="宋体"/>
                <w:color w:val="auto"/>
                <w:sz w:val="21"/>
                <w:szCs w:val="21"/>
                <w:highlight w:val="none"/>
              </w:rPr>
            </w:pPr>
            <w:r>
              <w:rPr>
                <w:rFonts w:hint="eastAsia" w:hAnsi="宋体" w:eastAsia="宋体" w:cs="宋体"/>
                <w:color w:val="auto"/>
                <w:sz w:val="21"/>
                <w:szCs w:val="21"/>
                <w:highlight w:val="none"/>
              </w:rPr>
              <w:t>序号</w:t>
            </w:r>
          </w:p>
        </w:tc>
        <w:tc>
          <w:tcPr>
            <w:tcW w:w="1620" w:type="dxa"/>
            <w:noWrap w:val="0"/>
            <w:vAlign w:val="center"/>
          </w:tcPr>
          <w:p w14:paraId="76B0C6AE">
            <w:pPr>
              <w:widowControl/>
              <w:shd w:val="clear" w:color="auto"/>
              <w:autoSpaceDE/>
              <w:autoSpaceDN/>
              <w:adjustRightInd/>
              <w:snapToGrid w:val="0"/>
              <w:spacing w:line="460" w:lineRule="exact"/>
              <w:jc w:val="center"/>
              <w:rPr>
                <w:rFonts w:hint="eastAsia" w:hAnsi="宋体" w:eastAsia="宋体" w:cs="宋体"/>
                <w:color w:val="auto"/>
                <w:sz w:val="21"/>
                <w:szCs w:val="21"/>
                <w:highlight w:val="none"/>
              </w:rPr>
            </w:pPr>
            <w:r>
              <w:rPr>
                <w:rFonts w:hint="eastAsia" w:hAnsi="宋体" w:eastAsia="宋体" w:cs="宋体"/>
                <w:color w:val="auto"/>
                <w:sz w:val="21"/>
                <w:szCs w:val="21"/>
                <w:highlight w:val="none"/>
              </w:rPr>
              <w:t>评分项目</w:t>
            </w:r>
          </w:p>
        </w:tc>
        <w:tc>
          <w:tcPr>
            <w:tcW w:w="2391" w:type="dxa"/>
            <w:noWrap w:val="0"/>
            <w:vAlign w:val="center"/>
          </w:tcPr>
          <w:p w14:paraId="637F58B9">
            <w:pPr>
              <w:widowControl/>
              <w:shd w:val="clear" w:color="auto"/>
              <w:autoSpaceDE/>
              <w:autoSpaceDN/>
              <w:adjustRightInd/>
              <w:snapToGrid w:val="0"/>
              <w:spacing w:line="460" w:lineRule="exact"/>
              <w:jc w:val="center"/>
              <w:rPr>
                <w:rFonts w:hint="eastAsia" w:hAnsi="宋体" w:eastAsia="宋体" w:cs="宋体"/>
                <w:color w:val="auto"/>
                <w:sz w:val="21"/>
                <w:szCs w:val="21"/>
                <w:highlight w:val="none"/>
              </w:rPr>
            </w:pPr>
            <w:r>
              <w:rPr>
                <w:rFonts w:hint="eastAsia" w:hAnsi="宋体" w:eastAsia="宋体" w:cs="宋体"/>
                <w:color w:val="auto"/>
                <w:sz w:val="21"/>
                <w:szCs w:val="21"/>
                <w:highlight w:val="none"/>
              </w:rPr>
              <w:t>评标要点及说明</w:t>
            </w:r>
          </w:p>
        </w:tc>
        <w:tc>
          <w:tcPr>
            <w:tcW w:w="835" w:type="dxa"/>
            <w:noWrap w:val="0"/>
            <w:vAlign w:val="center"/>
          </w:tcPr>
          <w:p w14:paraId="038C86B5">
            <w:pPr>
              <w:widowControl/>
              <w:shd w:val="clear" w:color="auto"/>
              <w:autoSpaceDE/>
              <w:autoSpaceDN/>
              <w:adjustRightInd/>
              <w:snapToGrid w:val="0"/>
              <w:spacing w:line="460" w:lineRule="exact"/>
              <w:jc w:val="center"/>
              <w:rPr>
                <w:rFonts w:hint="eastAsia" w:hAnsi="宋体" w:eastAsia="宋体" w:cs="宋体"/>
                <w:color w:val="auto"/>
                <w:sz w:val="21"/>
                <w:szCs w:val="21"/>
                <w:highlight w:val="none"/>
              </w:rPr>
            </w:pPr>
            <w:r>
              <w:rPr>
                <w:rFonts w:hint="eastAsia" w:hAnsi="宋体" w:eastAsia="宋体" w:cs="宋体"/>
                <w:color w:val="auto"/>
                <w:sz w:val="21"/>
                <w:szCs w:val="21"/>
                <w:highlight w:val="none"/>
              </w:rPr>
              <w:t>分值</w:t>
            </w:r>
          </w:p>
        </w:tc>
        <w:tc>
          <w:tcPr>
            <w:tcW w:w="1212" w:type="dxa"/>
            <w:noWrap w:val="0"/>
            <w:vAlign w:val="center"/>
          </w:tcPr>
          <w:p w14:paraId="3D6B7F4D">
            <w:pPr>
              <w:widowControl/>
              <w:shd w:val="clear" w:color="auto"/>
              <w:autoSpaceDE/>
              <w:autoSpaceDN/>
              <w:adjustRightInd/>
              <w:snapToGrid w:val="0"/>
              <w:spacing w:line="460" w:lineRule="exact"/>
              <w:jc w:val="center"/>
              <w:rPr>
                <w:rFonts w:hint="eastAsia" w:hAnsi="宋体" w:eastAsia="宋体" w:cs="宋体"/>
                <w:color w:val="auto"/>
                <w:sz w:val="21"/>
                <w:szCs w:val="21"/>
                <w:highlight w:val="none"/>
              </w:rPr>
            </w:pPr>
            <w:r>
              <w:rPr>
                <w:rFonts w:hint="eastAsia" w:hAnsi="宋体" w:eastAsia="宋体" w:cs="宋体"/>
                <w:color w:val="auto"/>
                <w:sz w:val="21"/>
                <w:szCs w:val="21"/>
                <w:highlight w:val="none"/>
              </w:rPr>
              <w:t>自评分</w:t>
            </w:r>
          </w:p>
        </w:tc>
        <w:tc>
          <w:tcPr>
            <w:tcW w:w="2435" w:type="dxa"/>
            <w:noWrap w:val="0"/>
            <w:vAlign w:val="center"/>
          </w:tcPr>
          <w:p w14:paraId="3E783C66">
            <w:pPr>
              <w:widowControl/>
              <w:shd w:val="clear" w:color="auto"/>
              <w:autoSpaceDE/>
              <w:autoSpaceDN/>
              <w:adjustRightInd/>
              <w:snapToGrid w:val="0"/>
              <w:spacing w:line="460" w:lineRule="exact"/>
              <w:jc w:val="center"/>
              <w:rPr>
                <w:rFonts w:hint="eastAsia" w:hAnsi="宋体" w:eastAsia="宋体" w:cs="宋体"/>
                <w:color w:val="auto"/>
                <w:sz w:val="21"/>
                <w:szCs w:val="21"/>
                <w:highlight w:val="none"/>
              </w:rPr>
            </w:pPr>
            <w:r>
              <w:rPr>
                <w:rFonts w:hint="eastAsia" w:hAnsi="宋体" w:eastAsia="宋体" w:cs="宋体"/>
                <w:color w:val="auto"/>
                <w:sz w:val="21"/>
                <w:szCs w:val="21"/>
                <w:highlight w:val="none"/>
              </w:rPr>
              <w:t>投标文件响应页码</w:t>
            </w:r>
          </w:p>
        </w:tc>
      </w:tr>
      <w:tr w14:paraId="0DD209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0" w:hRule="atLeast"/>
          <w:jc w:val="center"/>
        </w:trPr>
        <w:tc>
          <w:tcPr>
            <w:tcW w:w="1465" w:type="dxa"/>
            <w:noWrap w:val="0"/>
            <w:vAlign w:val="center"/>
          </w:tcPr>
          <w:p w14:paraId="41E15234">
            <w:pPr>
              <w:widowControl/>
              <w:shd w:val="clear" w:color="auto"/>
              <w:autoSpaceDE/>
              <w:autoSpaceDN/>
              <w:adjustRightInd/>
              <w:snapToGrid w:val="0"/>
              <w:spacing w:line="460" w:lineRule="exact"/>
              <w:jc w:val="center"/>
              <w:rPr>
                <w:rFonts w:hint="eastAsia" w:hAnsi="宋体" w:eastAsia="宋体" w:cs="宋体"/>
                <w:color w:val="auto"/>
                <w:sz w:val="21"/>
                <w:szCs w:val="21"/>
                <w:highlight w:val="none"/>
              </w:rPr>
            </w:pPr>
          </w:p>
        </w:tc>
        <w:tc>
          <w:tcPr>
            <w:tcW w:w="1620" w:type="dxa"/>
            <w:noWrap w:val="0"/>
            <w:vAlign w:val="center"/>
          </w:tcPr>
          <w:p w14:paraId="3546FD34">
            <w:pPr>
              <w:widowControl/>
              <w:shd w:val="clear" w:color="auto"/>
              <w:autoSpaceDE/>
              <w:autoSpaceDN/>
              <w:adjustRightInd/>
              <w:snapToGrid w:val="0"/>
              <w:spacing w:line="460" w:lineRule="exact"/>
              <w:jc w:val="center"/>
              <w:rPr>
                <w:rFonts w:hint="eastAsia" w:hAnsi="宋体" w:eastAsia="宋体" w:cs="宋体"/>
                <w:color w:val="auto"/>
                <w:sz w:val="21"/>
                <w:szCs w:val="21"/>
                <w:highlight w:val="none"/>
              </w:rPr>
            </w:pPr>
          </w:p>
        </w:tc>
        <w:tc>
          <w:tcPr>
            <w:tcW w:w="2391" w:type="dxa"/>
            <w:noWrap w:val="0"/>
            <w:vAlign w:val="center"/>
          </w:tcPr>
          <w:p w14:paraId="3065A55D">
            <w:pPr>
              <w:widowControl/>
              <w:shd w:val="clear" w:color="auto"/>
              <w:autoSpaceDE/>
              <w:autoSpaceDN/>
              <w:adjustRightInd/>
              <w:snapToGrid w:val="0"/>
              <w:spacing w:line="460" w:lineRule="exact"/>
              <w:jc w:val="center"/>
              <w:rPr>
                <w:rFonts w:hint="eastAsia" w:hAnsi="宋体" w:eastAsia="宋体" w:cs="宋体"/>
                <w:color w:val="auto"/>
                <w:sz w:val="21"/>
                <w:szCs w:val="21"/>
                <w:highlight w:val="none"/>
              </w:rPr>
            </w:pPr>
          </w:p>
        </w:tc>
        <w:tc>
          <w:tcPr>
            <w:tcW w:w="835" w:type="dxa"/>
            <w:noWrap w:val="0"/>
            <w:vAlign w:val="center"/>
          </w:tcPr>
          <w:p w14:paraId="6754FBC8">
            <w:pPr>
              <w:widowControl/>
              <w:shd w:val="clear" w:color="auto"/>
              <w:autoSpaceDE/>
              <w:autoSpaceDN/>
              <w:adjustRightInd/>
              <w:snapToGrid w:val="0"/>
              <w:spacing w:line="460" w:lineRule="exact"/>
              <w:jc w:val="center"/>
              <w:rPr>
                <w:rFonts w:hint="eastAsia" w:hAnsi="宋体" w:eastAsia="宋体" w:cs="宋体"/>
                <w:color w:val="auto"/>
                <w:sz w:val="21"/>
                <w:szCs w:val="21"/>
                <w:highlight w:val="none"/>
              </w:rPr>
            </w:pPr>
          </w:p>
        </w:tc>
        <w:tc>
          <w:tcPr>
            <w:tcW w:w="1212" w:type="dxa"/>
            <w:noWrap w:val="0"/>
            <w:vAlign w:val="center"/>
          </w:tcPr>
          <w:p w14:paraId="4FF03BFF">
            <w:pPr>
              <w:widowControl/>
              <w:shd w:val="clear" w:color="auto"/>
              <w:autoSpaceDE/>
              <w:autoSpaceDN/>
              <w:adjustRightInd/>
              <w:snapToGrid w:val="0"/>
              <w:spacing w:line="460" w:lineRule="exact"/>
              <w:jc w:val="center"/>
              <w:rPr>
                <w:rFonts w:hint="eastAsia" w:hAnsi="宋体" w:eastAsia="宋体" w:cs="宋体"/>
                <w:color w:val="auto"/>
                <w:sz w:val="21"/>
                <w:szCs w:val="21"/>
                <w:highlight w:val="none"/>
              </w:rPr>
            </w:pPr>
          </w:p>
        </w:tc>
        <w:tc>
          <w:tcPr>
            <w:tcW w:w="2435" w:type="dxa"/>
            <w:noWrap w:val="0"/>
            <w:vAlign w:val="center"/>
          </w:tcPr>
          <w:p w14:paraId="0264F9F5">
            <w:pPr>
              <w:widowControl/>
              <w:shd w:val="clear" w:color="auto"/>
              <w:autoSpaceDE/>
              <w:autoSpaceDN/>
              <w:adjustRightInd/>
              <w:snapToGrid w:val="0"/>
              <w:spacing w:line="460" w:lineRule="exact"/>
              <w:jc w:val="center"/>
              <w:rPr>
                <w:rFonts w:hint="eastAsia" w:hAnsi="宋体" w:eastAsia="宋体" w:cs="宋体"/>
                <w:color w:val="auto"/>
                <w:sz w:val="21"/>
                <w:szCs w:val="21"/>
                <w:highlight w:val="none"/>
              </w:rPr>
            </w:pPr>
          </w:p>
        </w:tc>
      </w:tr>
    </w:tbl>
    <w:p w14:paraId="2E13A044">
      <w:pPr>
        <w:shd w:val="clear" w:color="auto"/>
        <w:snapToGrid w:val="0"/>
        <w:spacing w:before="50" w:after="50"/>
        <w:rPr>
          <w:rFonts w:hint="eastAsia" w:hAnsi="宋体" w:cs="宋体"/>
          <w:color w:val="auto"/>
          <w:sz w:val="24"/>
          <w:highlight w:val="none"/>
        </w:rPr>
      </w:pPr>
    </w:p>
    <w:p w14:paraId="6EDFE22F">
      <w:pPr>
        <w:shd w:val="clear" w:color="auto"/>
        <w:spacing w:line="500" w:lineRule="exact"/>
        <w:ind w:firstLine="422" w:firstLineChars="200"/>
        <w:jc w:val="center"/>
        <w:rPr>
          <w:rFonts w:hint="eastAsia" w:hAnsi="宋体" w:cs="宋体"/>
          <w:b/>
          <w:color w:val="auto"/>
          <w:sz w:val="24"/>
          <w:szCs w:val="24"/>
          <w:highlight w:val="none"/>
        </w:rPr>
      </w:pPr>
      <w:r>
        <w:rPr>
          <w:rFonts w:hint="eastAsia" w:hAnsi="宋体" w:cs="宋体"/>
          <w:b/>
          <w:color w:val="auto"/>
          <w:sz w:val="21"/>
          <w:szCs w:val="21"/>
          <w:highlight w:val="none"/>
        </w:rPr>
        <w:t>2.</w:t>
      </w:r>
      <w:r>
        <w:rPr>
          <w:rFonts w:hint="eastAsia" w:hAnsi="宋体" w:cs="宋体"/>
          <w:color w:val="auto"/>
          <w:sz w:val="24"/>
          <w:szCs w:val="24"/>
          <w:highlight w:val="none"/>
        </w:rPr>
        <w:t>投标人（或投标联合体牵头人）法定代表人授权委托书(格式见附件，如法定代表人本人参加的，则提供法定代表人身份证明及法定代表人身份证复印件)</w:t>
      </w:r>
    </w:p>
    <w:p w14:paraId="1E65D85C">
      <w:pPr>
        <w:shd w:val="clear" w:color="auto"/>
        <w:spacing w:line="500" w:lineRule="exact"/>
        <w:ind w:firstLine="482" w:firstLineChars="200"/>
        <w:jc w:val="center"/>
        <w:rPr>
          <w:rFonts w:hint="eastAsia" w:hAnsi="宋体" w:cs="宋体"/>
          <w:b/>
          <w:color w:val="auto"/>
          <w:sz w:val="24"/>
          <w:szCs w:val="24"/>
          <w:highlight w:val="none"/>
        </w:rPr>
      </w:pPr>
      <w:r>
        <w:rPr>
          <w:rFonts w:hint="eastAsia" w:hAnsi="宋体" w:cs="宋体"/>
          <w:b/>
          <w:color w:val="auto"/>
          <w:sz w:val="24"/>
          <w:szCs w:val="24"/>
          <w:highlight w:val="none"/>
        </w:rPr>
        <w:t>2.1法定代表人授权委托书</w:t>
      </w:r>
    </w:p>
    <w:p w14:paraId="674C50E7">
      <w:pPr>
        <w:shd w:val="clear" w:color="auto"/>
        <w:spacing w:line="500" w:lineRule="exact"/>
        <w:ind w:firstLine="480" w:firstLineChars="200"/>
        <w:jc w:val="both"/>
        <w:rPr>
          <w:rFonts w:hint="eastAsia" w:hAnsi="宋体" w:cs="宋体"/>
          <w:color w:val="auto"/>
          <w:sz w:val="24"/>
          <w:szCs w:val="24"/>
          <w:highlight w:val="none"/>
        </w:rPr>
      </w:pPr>
    </w:p>
    <w:p w14:paraId="7DEAFA7D">
      <w:pPr>
        <w:shd w:val="clear" w:color="auto"/>
        <w:spacing w:line="500" w:lineRule="exact"/>
        <w:jc w:val="both"/>
        <w:rPr>
          <w:rFonts w:hint="eastAsia" w:hAnsi="宋体" w:cs="宋体"/>
          <w:color w:val="auto"/>
          <w:sz w:val="24"/>
          <w:szCs w:val="24"/>
          <w:highlight w:val="none"/>
        </w:rPr>
      </w:pPr>
      <w:r>
        <w:rPr>
          <w:rFonts w:hint="eastAsia" w:hAnsi="宋体" w:cs="宋体"/>
          <w:color w:val="auto"/>
          <w:sz w:val="24"/>
          <w:szCs w:val="24"/>
          <w:highlight w:val="none"/>
        </w:rPr>
        <w:t>致：</w:t>
      </w:r>
      <w:r>
        <w:rPr>
          <w:rFonts w:hint="eastAsia" w:hAnsi="宋体" w:cs="宋体"/>
          <w:color w:val="auto"/>
          <w:sz w:val="24"/>
          <w:szCs w:val="24"/>
          <w:highlight w:val="none"/>
          <w:u w:val="single"/>
          <w:lang w:eastAsia="zh-CN"/>
        </w:rPr>
        <w:t>金华市婺城区乡村建设指导中心</w:t>
      </w:r>
      <w:r>
        <w:rPr>
          <w:rFonts w:hint="eastAsia" w:hAnsi="宋体" w:cs="宋体"/>
          <w:color w:val="auto"/>
          <w:sz w:val="24"/>
          <w:szCs w:val="24"/>
          <w:highlight w:val="none"/>
          <w:u w:val="single"/>
        </w:rPr>
        <w:t>、金华市天盈招标代理有限公司</w:t>
      </w:r>
      <w:r>
        <w:rPr>
          <w:rFonts w:hint="eastAsia" w:hAnsi="宋体" w:cs="宋体"/>
          <w:color w:val="auto"/>
          <w:sz w:val="24"/>
          <w:szCs w:val="24"/>
          <w:highlight w:val="none"/>
        </w:rPr>
        <w:t>：</w:t>
      </w:r>
    </w:p>
    <w:p w14:paraId="18661AA7">
      <w:pPr>
        <w:shd w:val="clear" w:color="auto"/>
        <w:spacing w:line="500" w:lineRule="exact"/>
        <w:ind w:firstLine="480" w:firstLineChars="200"/>
        <w:jc w:val="both"/>
        <w:rPr>
          <w:rFonts w:hint="eastAsia" w:hAnsi="宋体" w:cs="宋体"/>
          <w:color w:val="auto"/>
          <w:sz w:val="24"/>
          <w:szCs w:val="24"/>
          <w:highlight w:val="none"/>
        </w:rPr>
      </w:pPr>
      <w:r>
        <w:rPr>
          <w:rFonts w:hint="eastAsia" w:hAnsi="宋体" w:cs="宋体"/>
          <w:color w:val="auto"/>
          <w:sz w:val="24"/>
          <w:szCs w:val="24"/>
          <w:highlight w:val="none"/>
        </w:rPr>
        <w:t>我</w:t>
      </w:r>
      <w:r>
        <w:rPr>
          <w:rFonts w:hint="eastAsia" w:hAnsi="宋体" w:cs="宋体"/>
          <w:color w:val="auto"/>
          <w:sz w:val="24"/>
          <w:szCs w:val="24"/>
          <w:highlight w:val="none"/>
          <w:u w:val="single"/>
        </w:rPr>
        <w:t xml:space="preserve">               </w:t>
      </w:r>
      <w:r>
        <w:rPr>
          <w:rFonts w:hint="eastAsia" w:hAnsi="宋体" w:cs="宋体"/>
          <w:color w:val="auto"/>
          <w:sz w:val="24"/>
          <w:szCs w:val="24"/>
          <w:highlight w:val="none"/>
        </w:rPr>
        <w:t>（姓名）系</w:t>
      </w:r>
      <w:r>
        <w:rPr>
          <w:rFonts w:hint="eastAsia" w:hAnsi="宋体" w:cs="宋体"/>
          <w:color w:val="auto"/>
          <w:sz w:val="24"/>
          <w:szCs w:val="24"/>
          <w:highlight w:val="none"/>
          <w:u w:val="single"/>
        </w:rPr>
        <w:t xml:space="preserve">               </w:t>
      </w:r>
      <w:r>
        <w:rPr>
          <w:rFonts w:hint="eastAsia" w:hAnsi="宋体" w:cs="宋体"/>
          <w:color w:val="auto"/>
          <w:sz w:val="24"/>
          <w:szCs w:val="24"/>
          <w:highlight w:val="none"/>
        </w:rPr>
        <w:t>（投标人名称）的法定代表人，现授权委托本单位在职职工</w:t>
      </w:r>
      <w:r>
        <w:rPr>
          <w:rFonts w:hint="eastAsia" w:hAnsi="宋体" w:cs="宋体"/>
          <w:color w:val="auto"/>
          <w:sz w:val="24"/>
          <w:szCs w:val="24"/>
          <w:highlight w:val="none"/>
          <w:u w:val="single"/>
        </w:rPr>
        <w:t xml:space="preserve">              </w:t>
      </w:r>
      <w:r>
        <w:rPr>
          <w:rFonts w:hint="eastAsia" w:hAnsi="宋体" w:cs="宋体"/>
          <w:color w:val="auto"/>
          <w:sz w:val="24"/>
          <w:szCs w:val="24"/>
          <w:highlight w:val="none"/>
        </w:rPr>
        <w:t>（姓名）以我方的名义参加</w:t>
      </w:r>
      <w:r>
        <w:rPr>
          <w:rFonts w:hint="eastAsia" w:hAnsi="宋体" w:cs="宋体"/>
          <w:color w:val="auto"/>
          <w:sz w:val="24"/>
          <w:szCs w:val="24"/>
          <w:highlight w:val="none"/>
          <w:u w:val="single"/>
          <w:lang w:eastAsia="zh-CN"/>
        </w:rPr>
        <w:t>2025-2026年婺城区农村人居环境长效管理第三方机构评估服务项目</w:t>
      </w:r>
      <w:r>
        <w:rPr>
          <w:rFonts w:hint="eastAsia" w:hAnsi="宋体" w:cs="宋体"/>
          <w:color w:val="auto"/>
          <w:sz w:val="24"/>
          <w:szCs w:val="24"/>
          <w:highlight w:val="none"/>
        </w:rPr>
        <w:t>的投标活动，并代表我方全权办理针对上述项目的投标、开标、评标、签约等具体事务和签署相关文件。</w:t>
      </w:r>
    </w:p>
    <w:p w14:paraId="0DF1D2F4">
      <w:pPr>
        <w:shd w:val="clear" w:color="auto"/>
        <w:spacing w:line="500" w:lineRule="exact"/>
        <w:ind w:firstLine="480" w:firstLineChars="200"/>
        <w:jc w:val="both"/>
        <w:rPr>
          <w:rFonts w:hint="eastAsia" w:hAnsi="宋体" w:cs="宋体"/>
          <w:color w:val="auto"/>
          <w:sz w:val="24"/>
          <w:szCs w:val="24"/>
          <w:highlight w:val="none"/>
        </w:rPr>
      </w:pPr>
      <w:r>
        <w:rPr>
          <w:rFonts w:hint="eastAsia" w:hAnsi="宋体" w:cs="宋体"/>
          <w:color w:val="auto"/>
          <w:sz w:val="24"/>
          <w:szCs w:val="24"/>
          <w:highlight w:val="none"/>
        </w:rPr>
        <w:t>我方对被授权人的签名事项负全部责任。</w:t>
      </w:r>
    </w:p>
    <w:p w14:paraId="6125F861">
      <w:pPr>
        <w:shd w:val="clear" w:color="auto"/>
        <w:spacing w:line="500" w:lineRule="exact"/>
        <w:ind w:firstLine="480" w:firstLineChars="200"/>
        <w:jc w:val="both"/>
        <w:rPr>
          <w:rFonts w:hint="eastAsia" w:hAnsi="宋体" w:cs="宋体"/>
          <w:color w:val="auto"/>
          <w:sz w:val="24"/>
          <w:szCs w:val="24"/>
          <w:highlight w:val="none"/>
        </w:rPr>
      </w:pPr>
      <w:r>
        <w:rPr>
          <w:rFonts w:hint="eastAsia" w:hAnsi="宋体" w:cs="宋体"/>
          <w:color w:val="auto"/>
          <w:sz w:val="24"/>
          <w:szCs w:val="24"/>
          <w:highlight w:val="none"/>
          <w:u w:val="single"/>
        </w:rPr>
        <w:t>在撤销授权的书面通知以前，本授权书一直有效。</w:t>
      </w:r>
      <w:r>
        <w:rPr>
          <w:rFonts w:hint="eastAsia" w:hAnsi="宋体" w:cs="宋体"/>
          <w:color w:val="auto"/>
          <w:sz w:val="24"/>
          <w:szCs w:val="24"/>
          <w:highlight w:val="none"/>
        </w:rPr>
        <w:t>被授权人在授权书有效期内签署的所有文件不因授权的撤销而失效。</w:t>
      </w:r>
    </w:p>
    <w:p w14:paraId="4C4B682B">
      <w:pPr>
        <w:shd w:val="clear" w:color="auto"/>
        <w:spacing w:line="500" w:lineRule="exact"/>
        <w:ind w:firstLine="480" w:firstLineChars="200"/>
        <w:jc w:val="both"/>
        <w:rPr>
          <w:rFonts w:hint="eastAsia" w:hAnsi="宋体" w:cs="宋体"/>
          <w:color w:val="auto"/>
          <w:sz w:val="24"/>
          <w:szCs w:val="24"/>
          <w:highlight w:val="none"/>
        </w:rPr>
      </w:pPr>
      <w:r>
        <w:rPr>
          <w:rFonts w:hint="eastAsia" w:hAnsi="宋体" w:cs="宋体"/>
          <w:color w:val="auto"/>
          <w:sz w:val="24"/>
          <w:szCs w:val="24"/>
          <w:highlight w:val="none"/>
        </w:rPr>
        <w:t>被授权人无转委托权，特此委托。</w:t>
      </w:r>
    </w:p>
    <w:p w14:paraId="131DBB73">
      <w:pPr>
        <w:shd w:val="clear" w:color="auto"/>
        <w:spacing w:line="500" w:lineRule="exact"/>
        <w:ind w:firstLine="480" w:firstLineChars="200"/>
        <w:jc w:val="both"/>
        <w:rPr>
          <w:rFonts w:hint="eastAsia" w:hAnsi="宋体" w:cs="宋体"/>
          <w:color w:val="auto"/>
          <w:sz w:val="24"/>
          <w:szCs w:val="24"/>
          <w:highlight w:val="none"/>
        </w:rPr>
      </w:pPr>
    </w:p>
    <w:p w14:paraId="09E8FC87">
      <w:pPr>
        <w:shd w:val="clear" w:color="auto"/>
        <w:spacing w:line="500" w:lineRule="exact"/>
        <w:ind w:firstLine="480" w:firstLineChars="200"/>
        <w:jc w:val="both"/>
        <w:rPr>
          <w:rFonts w:hint="eastAsia" w:hAnsi="宋体" w:cs="宋体"/>
          <w:color w:val="auto"/>
          <w:sz w:val="24"/>
          <w:szCs w:val="24"/>
          <w:highlight w:val="none"/>
        </w:rPr>
      </w:pPr>
      <w:r>
        <w:rPr>
          <w:rFonts w:hint="eastAsia" w:hAnsi="宋体" w:cs="宋体"/>
          <w:color w:val="auto"/>
          <w:sz w:val="24"/>
          <w:szCs w:val="24"/>
          <w:highlight w:val="none"/>
        </w:rPr>
        <w:t xml:space="preserve">被授权人（签字或盖章）：                法定代表人（签字或盖章）：          </w:t>
      </w:r>
    </w:p>
    <w:p w14:paraId="348E8AFE">
      <w:pPr>
        <w:shd w:val="clear" w:color="auto"/>
        <w:spacing w:line="500" w:lineRule="exact"/>
        <w:ind w:firstLine="480" w:firstLineChars="200"/>
        <w:jc w:val="both"/>
        <w:rPr>
          <w:rFonts w:hint="eastAsia" w:hAnsi="宋体" w:cs="宋体"/>
          <w:color w:val="auto"/>
          <w:sz w:val="24"/>
          <w:szCs w:val="24"/>
          <w:highlight w:val="none"/>
        </w:rPr>
      </w:pPr>
      <w:r>
        <w:rPr>
          <w:rFonts w:hint="eastAsia" w:hAnsi="宋体" w:cs="宋体"/>
          <w:color w:val="auto"/>
          <w:sz w:val="24"/>
          <w:szCs w:val="24"/>
          <w:highlight w:val="none"/>
        </w:rPr>
        <w:t xml:space="preserve">职务：                                   职务：           </w:t>
      </w:r>
    </w:p>
    <w:p w14:paraId="630F57BF">
      <w:pPr>
        <w:shd w:val="clear" w:color="auto"/>
        <w:spacing w:line="500" w:lineRule="exact"/>
        <w:ind w:firstLine="480" w:firstLineChars="200"/>
        <w:jc w:val="both"/>
        <w:rPr>
          <w:rFonts w:hint="eastAsia" w:hAnsi="宋体" w:cs="宋体"/>
          <w:color w:val="auto"/>
          <w:sz w:val="24"/>
          <w:szCs w:val="24"/>
          <w:highlight w:val="none"/>
        </w:rPr>
      </w:pPr>
      <w:r>
        <w:rPr>
          <w:rFonts w:hint="eastAsia" w:hAnsi="宋体" w:cs="宋体"/>
          <w:color w:val="auto"/>
          <w:sz w:val="24"/>
          <w:szCs w:val="24"/>
          <w:highlight w:val="none"/>
        </w:rPr>
        <w:t xml:space="preserve">被授权人身份证号码：                              </w:t>
      </w:r>
    </w:p>
    <w:p w14:paraId="089FB201">
      <w:pPr>
        <w:shd w:val="clear" w:color="auto"/>
        <w:spacing w:line="500" w:lineRule="exact"/>
        <w:ind w:firstLine="480" w:firstLineChars="200"/>
        <w:jc w:val="both"/>
        <w:rPr>
          <w:rFonts w:hint="eastAsia" w:hAnsi="宋体" w:cs="宋体"/>
          <w:color w:val="auto"/>
          <w:sz w:val="24"/>
          <w:szCs w:val="24"/>
          <w:highlight w:val="none"/>
        </w:rPr>
      </w:pPr>
      <w:r>
        <w:rPr>
          <w:rFonts w:hint="eastAsia" w:hAnsi="宋体" w:cs="宋体"/>
          <w:color w:val="auto"/>
          <w:sz w:val="24"/>
          <w:szCs w:val="24"/>
          <w:highlight w:val="none"/>
        </w:rPr>
        <w:t xml:space="preserve">                                     投标人（或联合体投标人的牵头单位）公章：</w:t>
      </w:r>
    </w:p>
    <w:p w14:paraId="551F8586">
      <w:pPr>
        <w:shd w:val="clear" w:color="auto"/>
        <w:spacing w:line="500" w:lineRule="exact"/>
        <w:ind w:firstLine="480" w:firstLineChars="200"/>
        <w:jc w:val="both"/>
        <w:rPr>
          <w:rFonts w:hint="eastAsia" w:hAnsi="宋体" w:cs="宋体"/>
          <w:color w:val="auto"/>
          <w:sz w:val="24"/>
          <w:szCs w:val="24"/>
          <w:highlight w:val="none"/>
        </w:rPr>
      </w:pPr>
      <w:r>
        <w:rPr>
          <w:rFonts w:hint="eastAsia" w:hAnsi="宋体" w:cs="宋体"/>
          <w:color w:val="auto"/>
          <w:sz w:val="24"/>
          <w:szCs w:val="24"/>
          <w:highlight w:val="none"/>
        </w:rPr>
        <w:t xml:space="preserve">                                        年    月    日</w:t>
      </w:r>
    </w:p>
    <w:p w14:paraId="3F2348BD">
      <w:pPr>
        <w:shd w:val="clear" w:color="auto"/>
        <w:spacing w:line="500" w:lineRule="exact"/>
        <w:ind w:firstLine="480" w:firstLineChars="200"/>
        <w:jc w:val="both"/>
        <w:rPr>
          <w:rFonts w:hint="eastAsia" w:hAnsi="宋体" w:cs="宋体"/>
          <w:color w:val="auto"/>
          <w:sz w:val="24"/>
          <w:szCs w:val="24"/>
          <w:highlight w:val="none"/>
          <w:u w:val="single"/>
        </w:rPr>
      </w:pPr>
    </w:p>
    <w:p w14:paraId="6C0E7151">
      <w:pPr>
        <w:shd w:val="clear" w:color="auto"/>
        <w:spacing w:line="500" w:lineRule="exact"/>
        <w:ind w:firstLine="480" w:firstLineChars="200"/>
        <w:jc w:val="both"/>
        <w:rPr>
          <w:rFonts w:hint="eastAsia" w:hAnsi="宋体" w:cs="宋体"/>
          <w:color w:val="auto"/>
          <w:sz w:val="24"/>
          <w:szCs w:val="24"/>
          <w:highlight w:val="none"/>
        </w:rPr>
      </w:pPr>
      <w:r>
        <w:rPr>
          <w:rFonts w:hint="eastAsia" w:hAnsi="宋体" w:cs="宋体"/>
          <w:color w:val="auto"/>
          <w:sz w:val="24"/>
          <w:szCs w:val="24"/>
          <w:highlight w:val="none"/>
        </w:rPr>
        <w:t>法定代表人身份证（正反面）复印件粘贴处</w:t>
      </w:r>
    </w:p>
    <w:p w14:paraId="6AA0D4B4">
      <w:pPr>
        <w:shd w:val="clear" w:color="auto"/>
        <w:spacing w:line="500" w:lineRule="exact"/>
        <w:ind w:firstLine="480" w:firstLineChars="200"/>
        <w:jc w:val="both"/>
        <w:rPr>
          <w:rFonts w:hint="eastAsia" w:hAnsi="宋体" w:cs="宋体"/>
          <w:color w:val="auto"/>
          <w:sz w:val="24"/>
          <w:szCs w:val="24"/>
          <w:highlight w:val="none"/>
        </w:rPr>
      </w:pPr>
    </w:p>
    <w:p w14:paraId="0DE9ED09">
      <w:pPr>
        <w:shd w:val="clear" w:color="auto"/>
        <w:spacing w:line="500" w:lineRule="exact"/>
        <w:ind w:firstLine="480" w:firstLineChars="200"/>
        <w:jc w:val="both"/>
        <w:rPr>
          <w:rFonts w:hint="eastAsia" w:hAnsi="宋体" w:cs="宋体"/>
          <w:color w:val="auto"/>
          <w:sz w:val="24"/>
          <w:szCs w:val="24"/>
          <w:highlight w:val="none"/>
        </w:rPr>
      </w:pPr>
      <w:r>
        <w:rPr>
          <w:rFonts w:hint="eastAsia" w:hAnsi="宋体" w:cs="宋体"/>
          <w:color w:val="auto"/>
          <w:sz w:val="24"/>
          <w:szCs w:val="24"/>
          <w:highlight w:val="none"/>
        </w:rPr>
        <w:t>授权代表身份证（正反面）复印件粘贴处</w:t>
      </w:r>
    </w:p>
    <w:p w14:paraId="2B8BD284">
      <w:pPr>
        <w:shd w:val="clear" w:color="auto"/>
        <w:spacing w:line="500" w:lineRule="exact"/>
        <w:ind w:firstLine="480" w:firstLineChars="200"/>
        <w:jc w:val="both"/>
        <w:rPr>
          <w:rFonts w:hint="eastAsia" w:hAnsi="宋体" w:cs="宋体"/>
          <w:color w:val="auto"/>
          <w:sz w:val="24"/>
          <w:szCs w:val="24"/>
          <w:highlight w:val="none"/>
          <w:u w:val="single"/>
        </w:rPr>
      </w:pPr>
    </w:p>
    <w:p w14:paraId="270653D7">
      <w:pPr>
        <w:widowControl/>
        <w:shd w:val="clear" w:color="auto"/>
        <w:autoSpaceDE/>
        <w:autoSpaceDN/>
        <w:adjustRightInd/>
        <w:spacing w:line="500" w:lineRule="exact"/>
        <w:jc w:val="center"/>
        <w:rPr>
          <w:rFonts w:hint="eastAsia" w:hAnsi="宋体" w:cs="宋体"/>
          <w:b/>
          <w:bCs/>
          <w:color w:val="auto"/>
          <w:sz w:val="24"/>
          <w:szCs w:val="24"/>
          <w:highlight w:val="none"/>
        </w:rPr>
      </w:pPr>
    </w:p>
    <w:p w14:paraId="6ED0E664">
      <w:pPr>
        <w:widowControl/>
        <w:shd w:val="clear" w:color="auto"/>
        <w:autoSpaceDE/>
        <w:autoSpaceDN/>
        <w:adjustRightInd/>
        <w:spacing w:line="500" w:lineRule="exact"/>
        <w:ind w:firstLine="482" w:firstLineChars="200"/>
        <w:jc w:val="center"/>
        <w:rPr>
          <w:rFonts w:hint="eastAsia" w:hAnsi="宋体" w:cs="宋体"/>
          <w:b/>
          <w:color w:val="auto"/>
          <w:sz w:val="24"/>
          <w:szCs w:val="24"/>
          <w:highlight w:val="none"/>
        </w:rPr>
      </w:pPr>
      <w:r>
        <w:rPr>
          <w:rFonts w:hint="eastAsia" w:hAnsi="宋体" w:cs="宋体"/>
          <w:b/>
          <w:color w:val="auto"/>
          <w:sz w:val="24"/>
          <w:szCs w:val="24"/>
          <w:highlight w:val="none"/>
        </w:rPr>
        <w:t>2.2法定代表人身份证明（法定代表人本人参加时提供）</w:t>
      </w:r>
    </w:p>
    <w:p w14:paraId="0103B08F">
      <w:pPr>
        <w:pStyle w:val="46"/>
        <w:shd w:val="clear" w:color="auto"/>
        <w:spacing w:after="0" w:line="500" w:lineRule="exact"/>
        <w:ind w:left="0" w:leftChars="0" w:firstLine="480" w:firstLineChars="200"/>
        <w:rPr>
          <w:rFonts w:hint="eastAsia" w:ascii="宋体" w:hAnsi="宋体" w:cs="宋体"/>
          <w:color w:val="auto"/>
          <w:sz w:val="24"/>
          <w:szCs w:val="24"/>
          <w:highlight w:val="none"/>
        </w:rPr>
      </w:pPr>
    </w:p>
    <w:p w14:paraId="49CF5B14">
      <w:pPr>
        <w:widowControl/>
        <w:shd w:val="clear" w:color="auto"/>
        <w:autoSpaceDE/>
        <w:autoSpaceDN/>
        <w:adjustRightInd/>
        <w:spacing w:line="500" w:lineRule="exact"/>
        <w:rPr>
          <w:rFonts w:hint="eastAsia" w:hAnsi="宋体" w:cs="宋体"/>
          <w:color w:val="auto"/>
          <w:sz w:val="24"/>
          <w:szCs w:val="24"/>
          <w:highlight w:val="none"/>
        </w:rPr>
      </w:pPr>
      <w:r>
        <w:rPr>
          <w:rFonts w:hint="eastAsia" w:hAnsi="宋体" w:cs="宋体"/>
          <w:color w:val="auto"/>
          <w:sz w:val="24"/>
          <w:szCs w:val="24"/>
          <w:highlight w:val="none"/>
        </w:rPr>
        <w:t>致：</w:t>
      </w:r>
      <w:r>
        <w:rPr>
          <w:rFonts w:hint="eastAsia" w:hAnsi="宋体" w:cs="宋体"/>
          <w:color w:val="auto"/>
          <w:sz w:val="24"/>
          <w:szCs w:val="24"/>
          <w:highlight w:val="none"/>
          <w:u w:val="single"/>
          <w:lang w:eastAsia="zh-CN"/>
        </w:rPr>
        <w:t>金华市婺城区乡村建设指导中心</w:t>
      </w:r>
      <w:r>
        <w:rPr>
          <w:rFonts w:hint="eastAsia" w:hAnsi="宋体" w:cs="宋体"/>
          <w:color w:val="auto"/>
          <w:sz w:val="24"/>
          <w:szCs w:val="24"/>
          <w:highlight w:val="none"/>
          <w:u w:val="single"/>
        </w:rPr>
        <w:t>、金华市天盈招标代理有限公司</w:t>
      </w:r>
      <w:r>
        <w:rPr>
          <w:rFonts w:hint="eastAsia" w:hAnsi="宋体" w:cs="宋体"/>
          <w:color w:val="auto"/>
          <w:sz w:val="24"/>
          <w:szCs w:val="24"/>
          <w:highlight w:val="none"/>
        </w:rPr>
        <w:t>：</w:t>
      </w:r>
    </w:p>
    <w:p w14:paraId="5A1045D7">
      <w:pPr>
        <w:widowControl/>
        <w:shd w:val="clear" w:color="auto"/>
        <w:autoSpaceDE/>
        <w:autoSpaceDN/>
        <w:adjustRightInd/>
        <w:spacing w:line="500" w:lineRule="exact"/>
        <w:ind w:firstLine="480" w:firstLineChars="200"/>
        <w:rPr>
          <w:rFonts w:hint="eastAsia" w:hAnsi="宋体" w:cs="宋体"/>
          <w:color w:val="auto"/>
          <w:sz w:val="24"/>
          <w:szCs w:val="24"/>
          <w:highlight w:val="none"/>
        </w:rPr>
      </w:pPr>
    </w:p>
    <w:p w14:paraId="0CD65E2E">
      <w:pPr>
        <w:widowControl/>
        <w:shd w:val="clear" w:color="auto"/>
        <w:autoSpaceDE/>
        <w:autoSpaceDN/>
        <w:adjustRightInd/>
        <w:spacing w:line="500" w:lineRule="exact"/>
        <w:ind w:firstLine="480" w:firstLineChars="200"/>
        <w:rPr>
          <w:rFonts w:hint="eastAsia" w:hAnsi="宋体" w:cs="宋体"/>
          <w:color w:val="auto"/>
          <w:sz w:val="24"/>
          <w:szCs w:val="24"/>
          <w:highlight w:val="none"/>
        </w:rPr>
      </w:pPr>
      <w:r>
        <w:rPr>
          <w:rFonts w:hint="eastAsia" w:hAnsi="宋体" w:cs="宋体"/>
          <w:color w:val="auto"/>
          <w:sz w:val="24"/>
          <w:szCs w:val="24"/>
          <w:highlight w:val="none"/>
        </w:rPr>
        <w:t>姓名：</w:t>
      </w:r>
      <w:r>
        <w:rPr>
          <w:rFonts w:hint="eastAsia" w:hAnsi="宋体" w:cs="宋体"/>
          <w:color w:val="auto"/>
          <w:sz w:val="24"/>
          <w:szCs w:val="24"/>
          <w:highlight w:val="none"/>
          <w:u w:val="single"/>
        </w:rPr>
        <w:t>　    　</w:t>
      </w:r>
      <w:r>
        <w:rPr>
          <w:rFonts w:hint="eastAsia" w:hAnsi="宋体" w:cs="宋体"/>
          <w:color w:val="auto"/>
          <w:sz w:val="24"/>
          <w:szCs w:val="24"/>
          <w:highlight w:val="none"/>
        </w:rPr>
        <w:t xml:space="preserve">   性别：</w:t>
      </w:r>
      <w:r>
        <w:rPr>
          <w:rFonts w:hint="eastAsia" w:hAnsi="宋体" w:cs="宋体"/>
          <w:color w:val="auto"/>
          <w:sz w:val="24"/>
          <w:szCs w:val="24"/>
          <w:highlight w:val="none"/>
          <w:u w:val="single"/>
        </w:rPr>
        <w:t>　   　</w:t>
      </w:r>
      <w:r>
        <w:rPr>
          <w:rFonts w:hint="eastAsia" w:hAnsi="宋体" w:cs="宋体"/>
          <w:color w:val="auto"/>
          <w:sz w:val="24"/>
          <w:szCs w:val="24"/>
          <w:highlight w:val="none"/>
        </w:rPr>
        <w:t xml:space="preserve">  年龄：</w:t>
      </w:r>
      <w:r>
        <w:rPr>
          <w:rFonts w:hint="eastAsia" w:hAnsi="宋体" w:cs="宋体"/>
          <w:color w:val="auto"/>
          <w:sz w:val="24"/>
          <w:szCs w:val="24"/>
          <w:highlight w:val="none"/>
          <w:u w:val="single"/>
        </w:rPr>
        <w:t xml:space="preserve">     </w:t>
      </w:r>
      <w:r>
        <w:rPr>
          <w:rFonts w:hint="eastAsia" w:hAnsi="宋体" w:cs="宋体"/>
          <w:color w:val="auto"/>
          <w:sz w:val="24"/>
          <w:szCs w:val="24"/>
          <w:highlight w:val="none"/>
        </w:rPr>
        <w:t xml:space="preserve"> 职务：</w:t>
      </w:r>
      <w:r>
        <w:rPr>
          <w:rFonts w:hint="eastAsia" w:hAnsi="宋体" w:cs="宋体"/>
          <w:color w:val="auto"/>
          <w:sz w:val="24"/>
          <w:szCs w:val="24"/>
          <w:highlight w:val="none"/>
          <w:u w:val="single"/>
        </w:rPr>
        <w:t xml:space="preserve">       </w:t>
      </w:r>
      <w:r>
        <w:rPr>
          <w:rFonts w:hint="eastAsia" w:hAnsi="宋体" w:cs="宋体"/>
          <w:color w:val="auto"/>
          <w:sz w:val="24"/>
          <w:szCs w:val="24"/>
          <w:highlight w:val="none"/>
        </w:rPr>
        <w:t xml:space="preserve">  身份证号码系</w:t>
      </w:r>
      <w:r>
        <w:rPr>
          <w:rFonts w:hint="eastAsia" w:hAnsi="宋体" w:cs="宋体"/>
          <w:color w:val="auto"/>
          <w:sz w:val="24"/>
          <w:szCs w:val="24"/>
          <w:highlight w:val="none"/>
          <w:u w:val="single"/>
        </w:rPr>
        <w:t>　            　</w:t>
      </w:r>
      <w:r>
        <w:rPr>
          <w:rFonts w:hint="eastAsia" w:hAnsi="宋体" w:cs="宋体"/>
          <w:color w:val="auto"/>
          <w:sz w:val="24"/>
          <w:szCs w:val="24"/>
          <w:highlight w:val="none"/>
        </w:rPr>
        <w:t>（供应商单位（或联合体投标人的牵头单位）全称）</w:t>
      </w:r>
      <w:r>
        <w:rPr>
          <w:rFonts w:hint="eastAsia" w:hAnsi="宋体" w:cs="宋体"/>
          <w:color w:val="auto"/>
          <w:sz w:val="24"/>
          <w:szCs w:val="24"/>
          <w:highlight w:val="none"/>
          <w:u w:val="single"/>
        </w:rPr>
        <w:t xml:space="preserve">          </w:t>
      </w:r>
      <w:r>
        <w:rPr>
          <w:rFonts w:hint="eastAsia" w:hAnsi="宋体" w:cs="宋体"/>
          <w:color w:val="auto"/>
          <w:sz w:val="24"/>
          <w:szCs w:val="24"/>
          <w:highlight w:val="none"/>
        </w:rPr>
        <w:t>的法定代表人。</w:t>
      </w:r>
    </w:p>
    <w:p w14:paraId="5AE99EF5">
      <w:pPr>
        <w:widowControl/>
        <w:shd w:val="clear" w:color="auto"/>
        <w:autoSpaceDE/>
        <w:autoSpaceDN/>
        <w:adjustRightInd/>
        <w:spacing w:line="500" w:lineRule="exact"/>
        <w:ind w:firstLine="480" w:firstLineChars="200"/>
        <w:rPr>
          <w:rFonts w:hint="eastAsia" w:hAnsi="宋体" w:cs="宋体"/>
          <w:color w:val="auto"/>
          <w:sz w:val="24"/>
          <w:szCs w:val="24"/>
          <w:highlight w:val="none"/>
        </w:rPr>
      </w:pPr>
      <w:r>
        <w:rPr>
          <w:rFonts w:hint="eastAsia" w:hAnsi="宋体" w:cs="宋体"/>
          <w:color w:val="auto"/>
          <w:sz w:val="24"/>
          <w:szCs w:val="24"/>
          <w:highlight w:val="none"/>
        </w:rPr>
        <w:t>特此证明。</w:t>
      </w:r>
    </w:p>
    <w:p w14:paraId="5FFCFFBD">
      <w:pPr>
        <w:widowControl/>
        <w:shd w:val="clear" w:color="auto"/>
        <w:autoSpaceDE/>
        <w:autoSpaceDN/>
        <w:adjustRightInd/>
        <w:spacing w:line="500" w:lineRule="exact"/>
        <w:ind w:firstLine="480" w:firstLineChars="200"/>
        <w:rPr>
          <w:rFonts w:hint="eastAsia" w:hAnsi="宋体" w:cs="宋体"/>
          <w:color w:val="auto"/>
          <w:sz w:val="24"/>
          <w:szCs w:val="24"/>
          <w:highlight w:val="none"/>
        </w:rPr>
      </w:pPr>
      <w:r>
        <w:rPr>
          <w:rFonts w:hint="eastAsia" w:hAnsi="宋体" w:cs="宋体"/>
          <w:color w:val="auto"/>
          <w:sz w:val="24"/>
          <w:szCs w:val="24"/>
          <w:highlight w:val="none"/>
        </w:rPr>
        <w:t>法定代表人身份证（正反面）复印件粘贴处</w:t>
      </w:r>
    </w:p>
    <w:p w14:paraId="7F8C9854">
      <w:pPr>
        <w:widowControl/>
        <w:shd w:val="clear" w:color="auto"/>
        <w:autoSpaceDE/>
        <w:autoSpaceDN/>
        <w:adjustRightInd/>
        <w:spacing w:line="500" w:lineRule="exact"/>
        <w:ind w:firstLine="480" w:firstLineChars="200"/>
        <w:rPr>
          <w:rFonts w:hint="eastAsia" w:hAnsi="宋体" w:cs="宋体"/>
          <w:color w:val="auto"/>
          <w:sz w:val="24"/>
          <w:szCs w:val="24"/>
          <w:highlight w:val="none"/>
        </w:rPr>
      </w:pPr>
    </w:p>
    <w:p w14:paraId="71C06F25">
      <w:pPr>
        <w:widowControl/>
        <w:shd w:val="clear" w:color="auto"/>
        <w:autoSpaceDE/>
        <w:autoSpaceDN/>
        <w:adjustRightInd/>
        <w:spacing w:line="500" w:lineRule="exact"/>
        <w:ind w:firstLine="480" w:firstLineChars="200"/>
        <w:rPr>
          <w:rFonts w:hint="eastAsia" w:hAnsi="宋体" w:cs="宋体"/>
          <w:color w:val="auto"/>
          <w:sz w:val="24"/>
          <w:szCs w:val="24"/>
          <w:highlight w:val="none"/>
        </w:rPr>
      </w:pPr>
    </w:p>
    <w:p w14:paraId="4CB9C51C">
      <w:pPr>
        <w:widowControl/>
        <w:shd w:val="clear" w:color="auto"/>
        <w:autoSpaceDE/>
        <w:autoSpaceDN/>
        <w:adjustRightInd/>
        <w:spacing w:line="500" w:lineRule="exact"/>
        <w:ind w:firstLine="480" w:firstLineChars="200"/>
        <w:rPr>
          <w:rFonts w:hint="eastAsia" w:hAnsi="宋体" w:cs="宋体"/>
          <w:color w:val="auto"/>
          <w:sz w:val="24"/>
          <w:szCs w:val="24"/>
          <w:highlight w:val="none"/>
        </w:rPr>
      </w:pPr>
    </w:p>
    <w:p w14:paraId="582E0609">
      <w:pPr>
        <w:widowControl/>
        <w:shd w:val="clear" w:color="auto"/>
        <w:autoSpaceDE/>
        <w:autoSpaceDN/>
        <w:adjustRightInd/>
        <w:spacing w:line="500" w:lineRule="exact"/>
        <w:ind w:firstLine="480" w:firstLineChars="200"/>
        <w:rPr>
          <w:rFonts w:hint="eastAsia" w:hAnsi="宋体" w:cs="宋体"/>
          <w:color w:val="auto"/>
          <w:sz w:val="24"/>
          <w:szCs w:val="24"/>
          <w:highlight w:val="none"/>
        </w:rPr>
      </w:pPr>
    </w:p>
    <w:p w14:paraId="18113D4E">
      <w:pPr>
        <w:widowControl/>
        <w:shd w:val="clear" w:color="auto"/>
        <w:autoSpaceDE/>
        <w:autoSpaceDN/>
        <w:adjustRightInd/>
        <w:spacing w:line="500" w:lineRule="exact"/>
        <w:ind w:firstLine="480" w:firstLineChars="200"/>
        <w:rPr>
          <w:rFonts w:hint="eastAsia" w:hAnsi="宋体" w:cs="宋体"/>
          <w:color w:val="auto"/>
          <w:sz w:val="24"/>
          <w:szCs w:val="24"/>
          <w:highlight w:val="none"/>
        </w:rPr>
      </w:pPr>
    </w:p>
    <w:p w14:paraId="1EC5E909">
      <w:pPr>
        <w:widowControl/>
        <w:shd w:val="clear" w:color="auto"/>
        <w:autoSpaceDE/>
        <w:autoSpaceDN/>
        <w:adjustRightInd/>
        <w:spacing w:line="500" w:lineRule="exact"/>
        <w:ind w:firstLine="480" w:firstLineChars="200"/>
        <w:jc w:val="right"/>
        <w:rPr>
          <w:rFonts w:hint="eastAsia" w:hAnsi="宋体" w:cs="宋体"/>
          <w:color w:val="auto"/>
          <w:sz w:val="24"/>
          <w:szCs w:val="24"/>
          <w:highlight w:val="none"/>
        </w:rPr>
      </w:pPr>
      <w:r>
        <w:rPr>
          <w:rFonts w:hint="eastAsia" w:hAnsi="宋体" w:cs="宋体"/>
          <w:color w:val="auto"/>
          <w:sz w:val="24"/>
          <w:szCs w:val="24"/>
          <w:highlight w:val="none"/>
        </w:rPr>
        <w:t>投标人（或联合体投标人的牵头单位）全称（公章）：</w:t>
      </w:r>
    </w:p>
    <w:p w14:paraId="58DDD090">
      <w:pPr>
        <w:widowControl/>
        <w:shd w:val="clear" w:color="auto"/>
        <w:autoSpaceDE/>
        <w:autoSpaceDN/>
        <w:adjustRightInd/>
        <w:spacing w:line="500" w:lineRule="exact"/>
        <w:ind w:firstLine="480" w:firstLineChars="200"/>
        <w:jc w:val="right"/>
        <w:rPr>
          <w:rFonts w:hint="eastAsia" w:hAnsi="宋体" w:cs="宋体"/>
          <w:color w:val="auto"/>
          <w:sz w:val="24"/>
          <w:szCs w:val="24"/>
          <w:highlight w:val="none"/>
        </w:rPr>
      </w:pPr>
      <w:r>
        <w:rPr>
          <w:rFonts w:hint="eastAsia" w:hAnsi="宋体" w:cs="宋体"/>
          <w:color w:val="auto"/>
          <w:sz w:val="24"/>
          <w:szCs w:val="24"/>
          <w:highlight w:val="none"/>
        </w:rPr>
        <w:t>日期：  年    月   日</w:t>
      </w:r>
    </w:p>
    <w:p w14:paraId="27D8B23D">
      <w:pPr>
        <w:shd w:val="clear" w:color="auto"/>
        <w:snapToGrid w:val="0"/>
        <w:spacing w:before="50" w:after="50"/>
        <w:jc w:val="center"/>
        <w:rPr>
          <w:rFonts w:hint="eastAsia" w:hAnsi="宋体" w:cs="宋体"/>
          <w:b/>
          <w:color w:val="auto"/>
          <w:sz w:val="21"/>
          <w:szCs w:val="21"/>
          <w:highlight w:val="none"/>
        </w:rPr>
      </w:pPr>
    </w:p>
    <w:p w14:paraId="14F7F724">
      <w:pPr>
        <w:shd w:val="clear"/>
        <w:rPr>
          <w:rFonts w:hint="eastAsia" w:hAnsi="宋体" w:cs="宋体"/>
          <w:b/>
          <w:color w:val="auto"/>
          <w:sz w:val="21"/>
          <w:szCs w:val="21"/>
          <w:highlight w:val="none"/>
        </w:rPr>
      </w:pPr>
      <w:r>
        <w:rPr>
          <w:rFonts w:hint="eastAsia" w:hAnsi="宋体" w:cs="宋体"/>
          <w:b/>
          <w:color w:val="auto"/>
          <w:sz w:val="21"/>
          <w:szCs w:val="21"/>
          <w:highlight w:val="none"/>
        </w:rPr>
        <w:br w:type="page"/>
      </w:r>
    </w:p>
    <w:p w14:paraId="01FBA908">
      <w:pPr>
        <w:shd w:val="clear" w:color="auto"/>
        <w:snapToGrid w:val="0"/>
        <w:spacing w:before="50" w:after="50"/>
        <w:jc w:val="center"/>
        <w:rPr>
          <w:rFonts w:hint="eastAsia" w:hAnsi="宋体" w:cs="宋体"/>
          <w:b/>
          <w:color w:val="auto"/>
          <w:sz w:val="21"/>
          <w:szCs w:val="21"/>
          <w:highlight w:val="none"/>
        </w:rPr>
      </w:pPr>
      <w:r>
        <w:rPr>
          <w:rFonts w:hint="eastAsia" w:hAnsi="宋体" w:cs="宋体"/>
          <w:b/>
          <w:color w:val="auto"/>
          <w:sz w:val="21"/>
          <w:szCs w:val="21"/>
          <w:highlight w:val="none"/>
          <w:lang w:val="en-US" w:eastAsia="zh-CN"/>
        </w:rPr>
        <w:t>3.</w:t>
      </w:r>
      <w:r>
        <w:rPr>
          <w:rFonts w:hint="eastAsia" w:hAnsi="宋体" w:cs="宋体"/>
          <w:b/>
          <w:color w:val="auto"/>
          <w:sz w:val="21"/>
          <w:szCs w:val="21"/>
          <w:highlight w:val="none"/>
        </w:rPr>
        <w:t>投标人（包括投标联合体各方）情况表</w:t>
      </w:r>
    </w:p>
    <w:tbl>
      <w:tblPr>
        <w:tblStyle w:val="48"/>
        <w:tblW w:w="9954" w:type="dxa"/>
        <w:jc w:val="center"/>
        <w:tblLayout w:type="fixed"/>
        <w:tblCellMar>
          <w:top w:w="0" w:type="dxa"/>
          <w:left w:w="108" w:type="dxa"/>
          <w:bottom w:w="0" w:type="dxa"/>
          <w:right w:w="108" w:type="dxa"/>
        </w:tblCellMar>
      </w:tblPr>
      <w:tblGrid>
        <w:gridCol w:w="2085"/>
        <w:gridCol w:w="3626"/>
        <w:gridCol w:w="926"/>
        <w:gridCol w:w="679"/>
        <w:gridCol w:w="2638"/>
      </w:tblGrid>
      <w:tr w14:paraId="3F5A4036">
        <w:tblPrEx>
          <w:tblCellMar>
            <w:top w:w="0" w:type="dxa"/>
            <w:left w:w="108" w:type="dxa"/>
            <w:bottom w:w="0" w:type="dxa"/>
            <w:right w:w="108" w:type="dxa"/>
          </w:tblCellMar>
        </w:tblPrEx>
        <w:trPr>
          <w:trHeight w:val="732" w:hRule="atLeast"/>
          <w:jc w:val="center"/>
        </w:trPr>
        <w:tc>
          <w:tcPr>
            <w:tcW w:w="2085" w:type="dxa"/>
            <w:tcBorders>
              <w:top w:val="single" w:color="auto" w:sz="4" w:space="0"/>
              <w:left w:val="single" w:color="auto" w:sz="4" w:space="0"/>
              <w:bottom w:val="single" w:color="auto" w:sz="4" w:space="0"/>
              <w:right w:val="single" w:color="auto" w:sz="4" w:space="0"/>
            </w:tcBorders>
            <w:noWrap w:val="0"/>
            <w:vAlign w:val="center"/>
          </w:tcPr>
          <w:p w14:paraId="779678A6">
            <w:pPr>
              <w:shd w:val="clear" w:color="auto"/>
              <w:spacing w:line="460" w:lineRule="exact"/>
              <w:jc w:val="center"/>
              <w:rPr>
                <w:rFonts w:hint="eastAsia" w:hAnsi="宋体" w:eastAsia="宋体" w:cs="宋体"/>
                <w:color w:val="auto"/>
                <w:sz w:val="21"/>
                <w:szCs w:val="21"/>
                <w:highlight w:val="none"/>
              </w:rPr>
            </w:pPr>
            <w:r>
              <w:rPr>
                <w:rFonts w:hint="eastAsia" w:hAnsi="宋体" w:eastAsia="宋体" w:cs="宋体"/>
                <w:color w:val="auto"/>
                <w:sz w:val="21"/>
                <w:szCs w:val="21"/>
                <w:highlight w:val="none"/>
              </w:rPr>
              <w:t>单位名称</w:t>
            </w:r>
          </w:p>
        </w:tc>
        <w:tc>
          <w:tcPr>
            <w:tcW w:w="3626" w:type="dxa"/>
            <w:tcBorders>
              <w:top w:val="single" w:color="auto" w:sz="4" w:space="0"/>
              <w:left w:val="nil"/>
              <w:bottom w:val="single" w:color="auto" w:sz="4" w:space="0"/>
              <w:right w:val="single" w:color="auto" w:sz="4" w:space="0"/>
            </w:tcBorders>
            <w:noWrap w:val="0"/>
            <w:vAlign w:val="center"/>
          </w:tcPr>
          <w:p w14:paraId="5B1D04A8">
            <w:pPr>
              <w:keepNext/>
              <w:shd w:val="clear" w:color="auto"/>
              <w:spacing w:line="460" w:lineRule="exact"/>
              <w:outlineLvl w:val="0"/>
              <w:rPr>
                <w:rFonts w:hint="eastAsia" w:hAnsi="宋体" w:eastAsia="宋体" w:cs="宋体"/>
                <w:color w:val="auto"/>
                <w:sz w:val="21"/>
                <w:szCs w:val="21"/>
                <w:highlight w:val="none"/>
              </w:rPr>
            </w:pPr>
          </w:p>
        </w:tc>
        <w:tc>
          <w:tcPr>
            <w:tcW w:w="1605" w:type="dxa"/>
            <w:gridSpan w:val="2"/>
            <w:tcBorders>
              <w:top w:val="single" w:color="auto" w:sz="4" w:space="0"/>
              <w:left w:val="nil"/>
              <w:bottom w:val="single" w:color="auto" w:sz="4" w:space="0"/>
              <w:right w:val="single" w:color="auto" w:sz="4" w:space="0"/>
            </w:tcBorders>
            <w:noWrap w:val="0"/>
            <w:vAlign w:val="center"/>
          </w:tcPr>
          <w:p w14:paraId="2763A21B">
            <w:pPr>
              <w:shd w:val="clear" w:color="auto"/>
              <w:spacing w:line="460" w:lineRule="exact"/>
              <w:jc w:val="center"/>
              <w:rPr>
                <w:rFonts w:hint="eastAsia" w:hAnsi="宋体" w:eastAsia="宋体" w:cs="宋体"/>
                <w:color w:val="auto"/>
                <w:sz w:val="21"/>
                <w:szCs w:val="21"/>
                <w:highlight w:val="none"/>
              </w:rPr>
            </w:pPr>
            <w:r>
              <w:rPr>
                <w:rFonts w:hint="eastAsia" w:hAnsi="宋体" w:eastAsia="宋体" w:cs="宋体"/>
                <w:color w:val="auto"/>
                <w:sz w:val="21"/>
                <w:szCs w:val="21"/>
                <w:highlight w:val="none"/>
              </w:rPr>
              <w:t>注册资金</w:t>
            </w:r>
          </w:p>
        </w:tc>
        <w:tc>
          <w:tcPr>
            <w:tcW w:w="2638" w:type="dxa"/>
            <w:tcBorders>
              <w:top w:val="single" w:color="auto" w:sz="4" w:space="0"/>
              <w:left w:val="nil"/>
              <w:bottom w:val="single" w:color="auto" w:sz="4" w:space="0"/>
              <w:right w:val="single" w:color="auto" w:sz="4" w:space="0"/>
            </w:tcBorders>
            <w:noWrap w:val="0"/>
            <w:vAlign w:val="center"/>
          </w:tcPr>
          <w:p w14:paraId="3B1D460D">
            <w:pPr>
              <w:keepNext/>
              <w:shd w:val="clear" w:color="auto"/>
              <w:spacing w:line="460" w:lineRule="exact"/>
              <w:outlineLvl w:val="0"/>
              <w:rPr>
                <w:rFonts w:hint="eastAsia" w:hAnsi="宋体" w:eastAsia="宋体" w:cs="宋体"/>
                <w:color w:val="auto"/>
                <w:sz w:val="21"/>
                <w:szCs w:val="21"/>
                <w:highlight w:val="none"/>
              </w:rPr>
            </w:pPr>
          </w:p>
        </w:tc>
      </w:tr>
      <w:tr w14:paraId="364B770E">
        <w:tblPrEx>
          <w:tblCellMar>
            <w:top w:w="0" w:type="dxa"/>
            <w:left w:w="108" w:type="dxa"/>
            <w:bottom w:w="0" w:type="dxa"/>
            <w:right w:w="108" w:type="dxa"/>
          </w:tblCellMar>
        </w:tblPrEx>
        <w:trPr>
          <w:trHeight w:val="708" w:hRule="atLeast"/>
          <w:jc w:val="center"/>
        </w:trPr>
        <w:tc>
          <w:tcPr>
            <w:tcW w:w="2085" w:type="dxa"/>
            <w:tcBorders>
              <w:top w:val="single" w:color="auto" w:sz="4" w:space="0"/>
              <w:left w:val="single" w:color="auto" w:sz="4" w:space="0"/>
              <w:bottom w:val="single" w:color="auto" w:sz="4" w:space="0"/>
              <w:right w:val="single" w:color="auto" w:sz="4" w:space="0"/>
            </w:tcBorders>
            <w:noWrap w:val="0"/>
            <w:vAlign w:val="center"/>
          </w:tcPr>
          <w:p w14:paraId="06762BF0">
            <w:pPr>
              <w:shd w:val="clear" w:color="auto"/>
              <w:spacing w:line="460" w:lineRule="exact"/>
              <w:jc w:val="center"/>
              <w:rPr>
                <w:rFonts w:hint="eastAsia" w:hAnsi="宋体" w:eastAsia="宋体" w:cs="宋体"/>
                <w:color w:val="auto"/>
                <w:sz w:val="21"/>
                <w:szCs w:val="21"/>
                <w:highlight w:val="none"/>
              </w:rPr>
            </w:pPr>
            <w:r>
              <w:rPr>
                <w:rFonts w:hint="eastAsia" w:hAnsi="宋体" w:eastAsia="宋体" w:cs="宋体"/>
                <w:color w:val="auto"/>
                <w:sz w:val="21"/>
                <w:szCs w:val="21"/>
                <w:highlight w:val="none"/>
              </w:rPr>
              <w:t>单位详细地址</w:t>
            </w:r>
          </w:p>
        </w:tc>
        <w:tc>
          <w:tcPr>
            <w:tcW w:w="7869" w:type="dxa"/>
            <w:gridSpan w:val="4"/>
            <w:tcBorders>
              <w:top w:val="single" w:color="auto" w:sz="4" w:space="0"/>
              <w:left w:val="nil"/>
              <w:bottom w:val="single" w:color="auto" w:sz="4" w:space="0"/>
              <w:right w:val="single" w:color="auto" w:sz="4" w:space="0"/>
            </w:tcBorders>
            <w:noWrap w:val="0"/>
            <w:vAlign w:val="center"/>
          </w:tcPr>
          <w:p w14:paraId="6A11B95A">
            <w:pPr>
              <w:keepNext/>
              <w:shd w:val="clear" w:color="auto"/>
              <w:spacing w:line="460" w:lineRule="exact"/>
              <w:outlineLvl w:val="0"/>
              <w:rPr>
                <w:rFonts w:hint="eastAsia" w:hAnsi="宋体" w:eastAsia="宋体" w:cs="宋体"/>
                <w:color w:val="auto"/>
                <w:sz w:val="21"/>
                <w:szCs w:val="21"/>
                <w:highlight w:val="none"/>
              </w:rPr>
            </w:pPr>
          </w:p>
        </w:tc>
      </w:tr>
      <w:tr w14:paraId="22976951">
        <w:tblPrEx>
          <w:tblCellMar>
            <w:top w:w="0" w:type="dxa"/>
            <w:left w:w="108" w:type="dxa"/>
            <w:bottom w:w="0" w:type="dxa"/>
            <w:right w:w="108" w:type="dxa"/>
          </w:tblCellMar>
        </w:tblPrEx>
        <w:trPr>
          <w:cantSplit/>
          <w:trHeight w:val="649" w:hRule="atLeast"/>
          <w:jc w:val="center"/>
        </w:trPr>
        <w:tc>
          <w:tcPr>
            <w:tcW w:w="2085" w:type="dxa"/>
            <w:tcBorders>
              <w:top w:val="single" w:color="auto" w:sz="4" w:space="0"/>
              <w:left w:val="single" w:color="auto" w:sz="4" w:space="0"/>
              <w:bottom w:val="single" w:color="auto" w:sz="4" w:space="0"/>
              <w:right w:val="single" w:color="auto" w:sz="4" w:space="0"/>
            </w:tcBorders>
            <w:noWrap w:val="0"/>
            <w:vAlign w:val="center"/>
          </w:tcPr>
          <w:p w14:paraId="71AD7B4D">
            <w:pPr>
              <w:shd w:val="clear" w:color="auto"/>
              <w:spacing w:line="460" w:lineRule="exact"/>
              <w:jc w:val="center"/>
              <w:rPr>
                <w:rFonts w:hint="default" w:hAnsi="宋体" w:eastAsia="宋体" w:cs="宋体"/>
                <w:color w:val="auto"/>
                <w:sz w:val="21"/>
                <w:szCs w:val="21"/>
                <w:highlight w:val="none"/>
                <w:lang w:val="en-US" w:eastAsia="zh-CN"/>
              </w:rPr>
            </w:pPr>
            <w:r>
              <w:rPr>
                <w:rFonts w:hint="eastAsia" w:hAnsi="宋体" w:eastAsia="宋体" w:cs="宋体"/>
                <w:color w:val="auto"/>
                <w:sz w:val="21"/>
                <w:szCs w:val="21"/>
                <w:highlight w:val="none"/>
                <w:lang w:val="en-US" w:eastAsia="zh-CN"/>
              </w:rPr>
              <w:t>社会统一信用代码</w:t>
            </w:r>
          </w:p>
        </w:tc>
        <w:tc>
          <w:tcPr>
            <w:tcW w:w="7869" w:type="dxa"/>
            <w:gridSpan w:val="4"/>
            <w:tcBorders>
              <w:top w:val="single" w:color="auto" w:sz="4" w:space="0"/>
              <w:left w:val="nil"/>
              <w:bottom w:val="single" w:color="auto" w:sz="4" w:space="0"/>
              <w:right w:val="single" w:color="auto" w:sz="4" w:space="0"/>
            </w:tcBorders>
            <w:noWrap w:val="0"/>
            <w:vAlign w:val="center"/>
          </w:tcPr>
          <w:p w14:paraId="087448D5">
            <w:pPr>
              <w:keepNext/>
              <w:shd w:val="clear" w:color="auto"/>
              <w:spacing w:line="460" w:lineRule="exact"/>
              <w:outlineLvl w:val="0"/>
              <w:rPr>
                <w:rFonts w:hint="eastAsia" w:hAnsi="宋体" w:eastAsia="宋体" w:cs="宋体"/>
                <w:color w:val="auto"/>
                <w:sz w:val="21"/>
                <w:szCs w:val="21"/>
                <w:highlight w:val="none"/>
              </w:rPr>
            </w:pPr>
          </w:p>
        </w:tc>
      </w:tr>
      <w:tr w14:paraId="1DB286D2">
        <w:tblPrEx>
          <w:tblCellMar>
            <w:top w:w="0" w:type="dxa"/>
            <w:left w:w="108" w:type="dxa"/>
            <w:bottom w:w="0" w:type="dxa"/>
            <w:right w:w="108" w:type="dxa"/>
          </w:tblCellMar>
        </w:tblPrEx>
        <w:trPr>
          <w:cantSplit/>
          <w:trHeight w:val="670" w:hRule="atLeast"/>
          <w:jc w:val="center"/>
        </w:trPr>
        <w:tc>
          <w:tcPr>
            <w:tcW w:w="2085" w:type="dxa"/>
            <w:tcBorders>
              <w:top w:val="single" w:color="auto" w:sz="4" w:space="0"/>
              <w:left w:val="single" w:color="auto" w:sz="4" w:space="0"/>
              <w:bottom w:val="single" w:color="auto" w:sz="4" w:space="0"/>
              <w:right w:val="single" w:color="auto" w:sz="4" w:space="0"/>
            </w:tcBorders>
            <w:noWrap w:val="0"/>
            <w:vAlign w:val="center"/>
          </w:tcPr>
          <w:p w14:paraId="0081429E">
            <w:pPr>
              <w:shd w:val="clear" w:color="auto"/>
              <w:spacing w:line="460" w:lineRule="exact"/>
              <w:jc w:val="center"/>
              <w:rPr>
                <w:rFonts w:hint="eastAsia" w:hAnsi="宋体" w:eastAsia="宋体" w:cs="宋体"/>
                <w:color w:val="auto"/>
                <w:sz w:val="21"/>
                <w:szCs w:val="21"/>
                <w:highlight w:val="none"/>
              </w:rPr>
            </w:pPr>
            <w:r>
              <w:rPr>
                <w:rFonts w:hint="eastAsia" w:hAnsi="宋体" w:eastAsia="宋体" w:cs="宋体"/>
                <w:color w:val="auto"/>
                <w:sz w:val="21"/>
                <w:szCs w:val="21"/>
                <w:highlight w:val="none"/>
              </w:rPr>
              <w:t>单位成立时间</w:t>
            </w:r>
          </w:p>
        </w:tc>
        <w:tc>
          <w:tcPr>
            <w:tcW w:w="4552" w:type="dxa"/>
            <w:gridSpan w:val="2"/>
            <w:tcBorders>
              <w:top w:val="single" w:color="auto" w:sz="4" w:space="0"/>
              <w:left w:val="nil"/>
              <w:bottom w:val="single" w:color="auto" w:sz="4" w:space="0"/>
              <w:right w:val="single" w:color="auto" w:sz="4" w:space="0"/>
            </w:tcBorders>
            <w:noWrap w:val="0"/>
            <w:vAlign w:val="center"/>
          </w:tcPr>
          <w:p w14:paraId="576AEA15">
            <w:pPr>
              <w:keepNext/>
              <w:shd w:val="clear" w:color="auto"/>
              <w:spacing w:line="460" w:lineRule="exact"/>
              <w:outlineLvl w:val="0"/>
              <w:rPr>
                <w:rFonts w:hint="eastAsia" w:hAnsi="宋体" w:eastAsia="宋体" w:cs="宋体"/>
                <w:color w:val="auto"/>
                <w:sz w:val="21"/>
                <w:szCs w:val="21"/>
                <w:highlight w:val="none"/>
              </w:rPr>
            </w:pPr>
          </w:p>
        </w:tc>
        <w:tc>
          <w:tcPr>
            <w:tcW w:w="3317" w:type="dxa"/>
            <w:gridSpan w:val="2"/>
            <w:tcBorders>
              <w:top w:val="single" w:color="auto" w:sz="4" w:space="0"/>
              <w:left w:val="nil"/>
              <w:bottom w:val="single" w:color="auto" w:sz="4" w:space="0"/>
              <w:right w:val="single" w:color="auto" w:sz="4" w:space="0"/>
            </w:tcBorders>
            <w:noWrap w:val="0"/>
            <w:vAlign w:val="center"/>
          </w:tcPr>
          <w:p w14:paraId="34F88C95">
            <w:pPr>
              <w:shd w:val="clear" w:color="auto"/>
              <w:spacing w:line="460" w:lineRule="exact"/>
              <w:rPr>
                <w:rFonts w:hint="eastAsia" w:hAnsi="宋体" w:eastAsia="宋体" w:cs="宋体"/>
                <w:color w:val="auto"/>
                <w:sz w:val="21"/>
                <w:szCs w:val="21"/>
                <w:highlight w:val="none"/>
              </w:rPr>
            </w:pPr>
            <w:r>
              <w:rPr>
                <w:rFonts w:hint="eastAsia" w:hAnsi="宋体" w:eastAsia="宋体" w:cs="宋体"/>
                <w:color w:val="auto"/>
                <w:sz w:val="21"/>
                <w:szCs w:val="21"/>
                <w:highlight w:val="none"/>
              </w:rPr>
              <w:t>固定资产净值：（万元）</w:t>
            </w:r>
          </w:p>
        </w:tc>
      </w:tr>
      <w:tr w14:paraId="18CE9FF0">
        <w:tblPrEx>
          <w:tblCellMar>
            <w:top w:w="0" w:type="dxa"/>
            <w:left w:w="108" w:type="dxa"/>
            <w:bottom w:w="0" w:type="dxa"/>
            <w:right w:w="108" w:type="dxa"/>
          </w:tblCellMar>
        </w:tblPrEx>
        <w:trPr>
          <w:cantSplit/>
          <w:trHeight w:val="805" w:hRule="atLeast"/>
          <w:jc w:val="center"/>
        </w:trPr>
        <w:tc>
          <w:tcPr>
            <w:tcW w:w="2085" w:type="dxa"/>
            <w:tcBorders>
              <w:top w:val="single" w:color="auto" w:sz="4" w:space="0"/>
              <w:left w:val="single" w:color="auto" w:sz="4" w:space="0"/>
              <w:bottom w:val="single" w:color="auto" w:sz="4" w:space="0"/>
              <w:right w:val="single" w:color="auto" w:sz="4" w:space="0"/>
            </w:tcBorders>
            <w:noWrap w:val="0"/>
            <w:vAlign w:val="center"/>
          </w:tcPr>
          <w:p w14:paraId="38B05A82">
            <w:pPr>
              <w:shd w:val="clear" w:color="auto"/>
              <w:spacing w:line="460" w:lineRule="exact"/>
              <w:jc w:val="center"/>
              <w:rPr>
                <w:rFonts w:hint="eastAsia" w:hAnsi="宋体" w:eastAsia="宋体" w:cs="宋体"/>
                <w:color w:val="auto"/>
                <w:sz w:val="21"/>
                <w:szCs w:val="21"/>
                <w:highlight w:val="none"/>
              </w:rPr>
            </w:pPr>
            <w:r>
              <w:rPr>
                <w:rFonts w:hint="eastAsia" w:hAnsi="宋体" w:eastAsia="宋体" w:cs="宋体"/>
                <w:color w:val="auto"/>
                <w:sz w:val="21"/>
                <w:szCs w:val="21"/>
                <w:highlight w:val="none"/>
              </w:rPr>
              <w:t>获得相关资质证书情况</w:t>
            </w:r>
          </w:p>
        </w:tc>
        <w:tc>
          <w:tcPr>
            <w:tcW w:w="7869" w:type="dxa"/>
            <w:gridSpan w:val="4"/>
            <w:tcBorders>
              <w:top w:val="single" w:color="auto" w:sz="4" w:space="0"/>
              <w:left w:val="nil"/>
              <w:bottom w:val="single" w:color="auto" w:sz="4" w:space="0"/>
              <w:right w:val="single" w:color="auto" w:sz="4" w:space="0"/>
            </w:tcBorders>
            <w:noWrap w:val="0"/>
            <w:vAlign w:val="center"/>
          </w:tcPr>
          <w:p w14:paraId="52DEB928">
            <w:pPr>
              <w:keepNext/>
              <w:shd w:val="clear" w:color="auto"/>
              <w:spacing w:line="460" w:lineRule="exact"/>
              <w:outlineLvl w:val="0"/>
              <w:rPr>
                <w:rFonts w:hint="eastAsia" w:hAnsi="宋体" w:eastAsia="宋体" w:cs="宋体"/>
                <w:color w:val="auto"/>
                <w:sz w:val="21"/>
                <w:szCs w:val="21"/>
                <w:highlight w:val="none"/>
              </w:rPr>
            </w:pPr>
          </w:p>
        </w:tc>
      </w:tr>
      <w:tr w14:paraId="384F3917">
        <w:tblPrEx>
          <w:tblCellMar>
            <w:top w:w="0" w:type="dxa"/>
            <w:left w:w="108" w:type="dxa"/>
            <w:bottom w:w="0" w:type="dxa"/>
            <w:right w:w="108" w:type="dxa"/>
          </w:tblCellMar>
        </w:tblPrEx>
        <w:trPr>
          <w:cantSplit/>
          <w:trHeight w:val="638" w:hRule="atLeast"/>
          <w:jc w:val="center"/>
        </w:trPr>
        <w:tc>
          <w:tcPr>
            <w:tcW w:w="2085" w:type="dxa"/>
            <w:tcBorders>
              <w:top w:val="single" w:color="auto" w:sz="4" w:space="0"/>
              <w:left w:val="single" w:color="auto" w:sz="4" w:space="0"/>
              <w:bottom w:val="single" w:color="auto" w:sz="4" w:space="0"/>
              <w:right w:val="single" w:color="auto" w:sz="4" w:space="0"/>
            </w:tcBorders>
            <w:noWrap w:val="0"/>
            <w:vAlign w:val="center"/>
          </w:tcPr>
          <w:p w14:paraId="0B1873D8">
            <w:pPr>
              <w:shd w:val="clear" w:color="auto"/>
              <w:spacing w:line="460" w:lineRule="exact"/>
              <w:jc w:val="center"/>
              <w:rPr>
                <w:rFonts w:hint="eastAsia" w:hAnsi="宋体" w:eastAsia="宋体" w:cs="宋体"/>
                <w:color w:val="auto"/>
                <w:sz w:val="21"/>
                <w:szCs w:val="21"/>
                <w:highlight w:val="none"/>
              </w:rPr>
            </w:pPr>
            <w:r>
              <w:rPr>
                <w:rFonts w:hint="eastAsia" w:hAnsi="宋体" w:eastAsia="宋体" w:cs="宋体"/>
                <w:color w:val="auto"/>
                <w:sz w:val="21"/>
                <w:szCs w:val="21"/>
                <w:highlight w:val="none"/>
              </w:rPr>
              <w:t>法定代表人</w:t>
            </w:r>
          </w:p>
        </w:tc>
        <w:tc>
          <w:tcPr>
            <w:tcW w:w="7869" w:type="dxa"/>
            <w:gridSpan w:val="4"/>
            <w:tcBorders>
              <w:top w:val="single" w:color="auto" w:sz="4" w:space="0"/>
              <w:left w:val="nil"/>
              <w:bottom w:val="single" w:color="auto" w:sz="4" w:space="0"/>
              <w:right w:val="single" w:color="auto" w:sz="4" w:space="0"/>
            </w:tcBorders>
            <w:noWrap w:val="0"/>
            <w:vAlign w:val="center"/>
          </w:tcPr>
          <w:p w14:paraId="4ADD4C38">
            <w:pPr>
              <w:shd w:val="clear" w:color="auto"/>
              <w:spacing w:line="460" w:lineRule="exact"/>
              <w:rPr>
                <w:rFonts w:hint="eastAsia" w:hAnsi="宋体" w:eastAsia="宋体" w:cs="宋体"/>
                <w:color w:val="auto"/>
                <w:sz w:val="21"/>
                <w:szCs w:val="21"/>
                <w:highlight w:val="none"/>
              </w:rPr>
            </w:pPr>
            <w:r>
              <w:rPr>
                <w:rFonts w:hint="eastAsia" w:hAnsi="宋体" w:eastAsia="宋体" w:cs="宋体"/>
                <w:color w:val="auto"/>
                <w:sz w:val="21"/>
                <w:szCs w:val="21"/>
                <w:highlight w:val="none"/>
              </w:rPr>
              <w:t>姓名：职务：职称：</w:t>
            </w:r>
          </w:p>
        </w:tc>
      </w:tr>
      <w:tr w14:paraId="76D5FBE5">
        <w:tblPrEx>
          <w:tblCellMar>
            <w:top w:w="0" w:type="dxa"/>
            <w:left w:w="108" w:type="dxa"/>
            <w:bottom w:w="0" w:type="dxa"/>
            <w:right w:w="108" w:type="dxa"/>
          </w:tblCellMar>
        </w:tblPrEx>
        <w:trPr>
          <w:cantSplit/>
          <w:trHeight w:val="554" w:hRule="atLeast"/>
          <w:jc w:val="center"/>
        </w:trPr>
        <w:tc>
          <w:tcPr>
            <w:tcW w:w="2085" w:type="dxa"/>
            <w:tcBorders>
              <w:top w:val="single" w:color="auto" w:sz="4" w:space="0"/>
              <w:left w:val="single" w:color="auto" w:sz="4" w:space="0"/>
              <w:bottom w:val="single" w:color="auto" w:sz="4" w:space="0"/>
              <w:right w:val="single" w:color="auto" w:sz="4" w:space="0"/>
            </w:tcBorders>
            <w:noWrap w:val="0"/>
            <w:vAlign w:val="center"/>
          </w:tcPr>
          <w:p w14:paraId="03914411">
            <w:pPr>
              <w:shd w:val="clear" w:color="auto"/>
              <w:spacing w:line="460" w:lineRule="exact"/>
              <w:jc w:val="center"/>
              <w:rPr>
                <w:rFonts w:hint="eastAsia" w:hAnsi="宋体" w:eastAsia="宋体" w:cs="宋体"/>
                <w:color w:val="auto"/>
                <w:sz w:val="21"/>
                <w:szCs w:val="21"/>
                <w:highlight w:val="none"/>
              </w:rPr>
            </w:pPr>
            <w:r>
              <w:rPr>
                <w:rFonts w:hint="eastAsia" w:hAnsi="宋体" w:eastAsia="宋体" w:cs="宋体"/>
                <w:color w:val="auto"/>
                <w:sz w:val="21"/>
                <w:szCs w:val="21"/>
                <w:highlight w:val="none"/>
              </w:rPr>
              <w:t>公司总经理</w:t>
            </w:r>
          </w:p>
        </w:tc>
        <w:tc>
          <w:tcPr>
            <w:tcW w:w="7869" w:type="dxa"/>
            <w:gridSpan w:val="4"/>
            <w:tcBorders>
              <w:top w:val="single" w:color="auto" w:sz="4" w:space="0"/>
              <w:left w:val="nil"/>
              <w:bottom w:val="single" w:color="auto" w:sz="4" w:space="0"/>
              <w:right w:val="single" w:color="auto" w:sz="4" w:space="0"/>
            </w:tcBorders>
            <w:noWrap w:val="0"/>
            <w:vAlign w:val="center"/>
          </w:tcPr>
          <w:p w14:paraId="2B74934C">
            <w:pPr>
              <w:shd w:val="clear" w:color="auto"/>
              <w:spacing w:line="460" w:lineRule="exact"/>
              <w:rPr>
                <w:rFonts w:hint="eastAsia" w:hAnsi="宋体" w:eastAsia="宋体" w:cs="宋体"/>
                <w:color w:val="auto"/>
                <w:sz w:val="21"/>
                <w:szCs w:val="21"/>
                <w:highlight w:val="none"/>
              </w:rPr>
            </w:pPr>
            <w:r>
              <w:rPr>
                <w:rFonts w:hint="eastAsia" w:hAnsi="宋体" w:eastAsia="宋体" w:cs="宋体"/>
                <w:color w:val="auto"/>
                <w:sz w:val="21"/>
                <w:szCs w:val="21"/>
                <w:highlight w:val="none"/>
              </w:rPr>
              <w:t>姓名：职务：职称：</w:t>
            </w:r>
          </w:p>
        </w:tc>
      </w:tr>
      <w:tr w14:paraId="02B2505F">
        <w:tblPrEx>
          <w:tblCellMar>
            <w:top w:w="0" w:type="dxa"/>
            <w:left w:w="108" w:type="dxa"/>
            <w:bottom w:w="0" w:type="dxa"/>
            <w:right w:w="108" w:type="dxa"/>
          </w:tblCellMar>
        </w:tblPrEx>
        <w:trPr>
          <w:cantSplit/>
          <w:trHeight w:val="454" w:hRule="atLeast"/>
          <w:jc w:val="center"/>
        </w:trPr>
        <w:tc>
          <w:tcPr>
            <w:tcW w:w="2085" w:type="dxa"/>
            <w:tcBorders>
              <w:top w:val="single" w:color="auto" w:sz="4" w:space="0"/>
              <w:left w:val="single" w:color="auto" w:sz="4" w:space="0"/>
              <w:bottom w:val="single" w:color="auto" w:sz="4" w:space="0"/>
              <w:right w:val="single" w:color="auto" w:sz="4" w:space="0"/>
            </w:tcBorders>
            <w:noWrap w:val="0"/>
            <w:vAlign w:val="center"/>
          </w:tcPr>
          <w:p w14:paraId="1EF37EDE">
            <w:pPr>
              <w:shd w:val="clear" w:color="auto"/>
              <w:spacing w:line="460" w:lineRule="exact"/>
              <w:jc w:val="center"/>
              <w:rPr>
                <w:rFonts w:hint="eastAsia" w:hAnsi="宋体" w:eastAsia="宋体" w:cs="宋体"/>
                <w:color w:val="auto"/>
                <w:sz w:val="21"/>
                <w:szCs w:val="21"/>
                <w:highlight w:val="none"/>
              </w:rPr>
            </w:pPr>
            <w:r>
              <w:rPr>
                <w:rFonts w:hint="eastAsia" w:hAnsi="宋体" w:eastAsia="宋体" w:cs="宋体"/>
                <w:color w:val="auto"/>
                <w:sz w:val="21"/>
                <w:szCs w:val="21"/>
                <w:highlight w:val="none"/>
              </w:rPr>
              <w:t>职工人数</w:t>
            </w:r>
          </w:p>
        </w:tc>
        <w:tc>
          <w:tcPr>
            <w:tcW w:w="7869" w:type="dxa"/>
            <w:gridSpan w:val="4"/>
            <w:tcBorders>
              <w:top w:val="single" w:color="auto" w:sz="4" w:space="0"/>
              <w:left w:val="nil"/>
              <w:bottom w:val="single" w:color="auto" w:sz="4" w:space="0"/>
              <w:right w:val="single" w:color="auto" w:sz="4" w:space="0"/>
            </w:tcBorders>
            <w:noWrap w:val="0"/>
            <w:vAlign w:val="center"/>
          </w:tcPr>
          <w:p w14:paraId="49C02B86">
            <w:pPr>
              <w:shd w:val="clear" w:color="auto"/>
              <w:spacing w:line="460" w:lineRule="exact"/>
              <w:rPr>
                <w:rFonts w:hint="eastAsia" w:hAnsi="宋体" w:eastAsia="宋体" w:cs="宋体"/>
                <w:color w:val="auto"/>
                <w:sz w:val="21"/>
                <w:szCs w:val="21"/>
                <w:highlight w:val="none"/>
              </w:rPr>
            </w:pPr>
          </w:p>
        </w:tc>
      </w:tr>
      <w:tr w14:paraId="63AB496D">
        <w:tblPrEx>
          <w:tblCellMar>
            <w:top w:w="0" w:type="dxa"/>
            <w:left w:w="108" w:type="dxa"/>
            <w:bottom w:w="0" w:type="dxa"/>
            <w:right w:w="108" w:type="dxa"/>
          </w:tblCellMar>
        </w:tblPrEx>
        <w:trPr>
          <w:cantSplit/>
          <w:trHeight w:val="1095" w:hRule="atLeast"/>
          <w:jc w:val="center"/>
        </w:trPr>
        <w:tc>
          <w:tcPr>
            <w:tcW w:w="2085" w:type="dxa"/>
            <w:tcBorders>
              <w:top w:val="single" w:color="auto" w:sz="4" w:space="0"/>
              <w:left w:val="single" w:color="auto" w:sz="4" w:space="0"/>
              <w:bottom w:val="single" w:color="auto" w:sz="4" w:space="0"/>
              <w:right w:val="single" w:color="auto" w:sz="4" w:space="0"/>
            </w:tcBorders>
            <w:noWrap w:val="0"/>
            <w:vAlign w:val="center"/>
          </w:tcPr>
          <w:p w14:paraId="20E6D0DE">
            <w:pPr>
              <w:shd w:val="clear" w:color="auto"/>
              <w:spacing w:line="460" w:lineRule="exact"/>
              <w:jc w:val="center"/>
              <w:rPr>
                <w:rFonts w:hint="eastAsia" w:hAnsi="宋体" w:eastAsia="宋体" w:cs="宋体"/>
                <w:color w:val="auto"/>
                <w:sz w:val="21"/>
                <w:szCs w:val="21"/>
                <w:highlight w:val="none"/>
              </w:rPr>
            </w:pPr>
            <w:r>
              <w:rPr>
                <w:rFonts w:hint="eastAsia" w:hAnsi="宋体" w:eastAsia="宋体" w:cs="宋体"/>
                <w:color w:val="auto"/>
                <w:sz w:val="21"/>
                <w:szCs w:val="21"/>
                <w:highlight w:val="none"/>
              </w:rPr>
              <w:t>投标人在企业注册地以外设立分支机构的情况</w:t>
            </w:r>
          </w:p>
        </w:tc>
        <w:tc>
          <w:tcPr>
            <w:tcW w:w="7869" w:type="dxa"/>
            <w:gridSpan w:val="4"/>
            <w:tcBorders>
              <w:top w:val="single" w:color="auto" w:sz="4" w:space="0"/>
              <w:left w:val="nil"/>
              <w:bottom w:val="single" w:color="auto" w:sz="4" w:space="0"/>
              <w:right w:val="single" w:color="auto" w:sz="4" w:space="0"/>
            </w:tcBorders>
            <w:noWrap w:val="0"/>
            <w:vAlign w:val="center"/>
          </w:tcPr>
          <w:p w14:paraId="74109AA2">
            <w:pPr>
              <w:shd w:val="clear" w:color="auto"/>
              <w:spacing w:line="460" w:lineRule="exact"/>
              <w:rPr>
                <w:rFonts w:hint="eastAsia" w:hAnsi="宋体" w:eastAsia="宋体" w:cs="宋体"/>
                <w:color w:val="auto"/>
                <w:sz w:val="21"/>
                <w:szCs w:val="21"/>
                <w:highlight w:val="none"/>
              </w:rPr>
            </w:pPr>
          </w:p>
        </w:tc>
      </w:tr>
      <w:tr w14:paraId="572442CB">
        <w:tblPrEx>
          <w:tblCellMar>
            <w:top w:w="0" w:type="dxa"/>
            <w:left w:w="108" w:type="dxa"/>
            <w:bottom w:w="0" w:type="dxa"/>
            <w:right w:w="108" w:type="dxa"/>
          </w:tblCellMar>
        </w:tblPrEx>
        <w:trPr>
          <w:cantSplit/>
          <w:jc w:val="center"/>
        </w:trPr>
        <w:tc>
          <w:tcPr>
            <w:tcW w:w="2085" w:type="dxa"/>
            <w:tcBorders>
              <w:top w:val="single" w:color="auto" w:sz="4" w:space="0"/>
              <w:left w:val="single" w:color="auto" w:sz="4" w:space="0"/>
              <w:bottom w:val="single" w:color="auto" w:sz="4" w:space="0"/>
              <w:right w:val="single" w:color="auto" w:sz="4" w:space="0"/>
            </w:tcBorders>
            <w:noWrap w:val="0"/>
            <w:vAlign w:val="center"/>
          </w:tcPr>
          <w:p w14:paraId="598BD1D5">
            <w:pPr>
              <w:shd w:val="clear" w:color="auto"/>
              <w:spacing w:line="460" w:lineRule="exact"/>
              <w:jc w:val="center"/>
              <w:rPr>
                <w:rFonts w:hint="eastAsia" w:hAnsi="宋体" w:eastAsia="宋体" w:cs="宋体"/>
                <w:color w:val="auto"/>
                <w:sz w:val="21"/>
                <w:szCs w:val="21"/>
                <w:highlight w:val="none"/>
              </w:rPr>
            </w:pPr>
            <w:r>
              <w:rPr>
                <w:rFonts w:hint="eastAsia" w:hAnsi="宋体" w:eastAsia="宋体" w:cs="宋体"/>
                <w:color w:val="auto"/>
                <w:sz w:val="21"/>
                <w:szCs w:val="21"/>
                <w:highlight w:val="none"/>
              </w:rPr>
              <w:t>联系方式</w:t>
            </w:r>
          </w:p>
        </w:tc>
        <w:tc>
          <w:tcPr>
            <w:tcW w:w="7869" w:type="dxa"/>
            <w:gridSpan w:val="4"/>
            <w:tcBorders>
              <w:top w:val="single" w:color="auto" w:sz="4" w:space="0"/>
              <w:left w:val="nil"/>
              <w:bottom w:val="single" w:color="auto" w:sz="4" w:space="0"/>
              <w:right w:val="single" w:color="auto" w:sz="4" w:space="0"/>
            </w:tcBorders>
            <w:noWrap w:val="0"/>
            <w:vAlign w:val="center"/>
          </w:tcPr>
          <w:p w14:paraId="55D8505D">
            <w:pPr>
              <w:shd w:val="clear" w:color="auto"/>
              <w:spacing w:line="460" w:lineRule="exact"/>
              <w:rPr>
                <w:rFonts w:hint="eastAsia" w:hAnsi="宋体" w:eastAsia="宋体" w:cs="宋体"/>
                <w:color w:val="auto"/>
                <w:sz w:val="21"/>
                <w:szCs w:val="21"/>
                <w:highlight w:val="none"/>
              </w:rPr>
            </w:pPr>
            <w:r>
              <w:rPr>
                <w:rFonts w:hint="eastAsia" w:hAnsi="宋体" w:eastAsia="宋体" w:cs="宋体"/>
                <w:color w:val="auto"/>
                <w:sz w:val="21"/>
                <w:szCs w:val="21"/>
                <w:highlight w:val="none"/>
              </w:rPr>
              <w:t>地址：邮编：电话：</w:t>
            </w:r>
          </w:p>
          <w:p w14:paraId="3116E77C">
            <w:pPr>
              <w:shd w:val="clear" w:color="auto"/>
              <w:spacing w:line="460" w:lineRule="exact"/>
              <w:rPr>
                <w:rFonts w:hint="eastAsia" w:hAnsi="宋体" w:eastAsia="宋体" w:cs="宋体"/>
                <w:color w:val="auto"/>
                <w:sz w:val="21"/>
                <w:szCs w:val="21"/>
                <w:highlight w:val="none"/>
              </w:rPr>
            </w:pPr>
            <w:r>
              <w:rPr>
                <w:rFonts w:hint="eastAsia" w:hAnsi="宋体" w:eastAsia="宋体" w:cs="宋体"/>
                <w:color w:val="auto"/>
                <w:sz w:val="21"/>
                <w:szCs w:val="21"/>
                <w:highlight w:val="none"/>
              </w:rPr>
              <w:t>传真：</w:t>
            </w:r>
          </w:p>
        </w:tc>
      </w:tr>
      <w:tr w14:paraId="7C630C8E">
        <w:tblPrEx>
          <w:tblCellMar>
            <w:top w:w="0" w:type="dxa"/>
            <w:left w:w="108" w:type="dxa"/>
            <w:bottom w:w="0" w:type="dxa"/>
            <w:right w:w="108" w:type="dxa"/>
          </w:tblCellMar>
        </w:tblPrEx>
        <w:trPr>
          <w:cantSplit/>
          <w:jc w:val="center"/>
        </w:trPr>
        <w:tc>
          <w:tcPr>
            <w:tcW w:w="2085" w:type="dxa"/>
            <w:tcBorders>
              <w:top w:val="single" w:color="auto" w:sz="4" w:space="0"/>
              <w:left w:val="single" w:color="auto" w:sz="4" w:space="0"/>
              <w:bottom w:val="single" w:color="auto" w:sz="4" w:space="0"/>
              <w:right w:val="single" w:color="auto" w:sz="4" w:space="0"/>
            </w:tcBorders>
            <w:noWrap w:val="0"/>
            <w:vAlign w:val="center"/>
          </w:tcPr>
          <w:p w14:paraId="59D8FB69">
            <w:pPr>
              <w:shd w:val="clear" w:color="auto"/>
              <w:spacing w:line="460" w:lineRule="exact"/>
              <w:jc w:val="center"/>
              <w:rPr>
                <w:rFonts w:hint="eastAsia" w:hAnsi="宋体" w:eastAsia="宋体" w:cs="宋体"/>
                <w:color w:val="auto"/>
                <w:sz w:val="21"/>
                <w:szCs w:val="21"/>
                <w:highlight w:val="none"/>
              </w:rPr>
            </w:pPr>
            <w:r>
              <w:rPr>
                <w:rFonts w:hint="eastAsia" w:hAnsi="宋体" w:eastAsia="宋体" w:cs="宋体"/>
                <w:color w:val="auto"/>
                <w:sz w:val="21"/>
                <w:szCs w:val="21"/>
                <w:highlight w:val="none"/>
              </w:rPr>
              <w:t>开户银行</w:t>
            </w:r>
          </w:p>
        </w:tc>
        <w:tc>
          <w:tcPr>
            <w:tcW w:w="7869" w:type="dxa"/>
            <w:gridSpan w:val="4"/>
            <w:tcBorders>
              <w:top w:val="single" w:color="auto" w:sz="4" w:space="0"/>
              <w:left w:val="nil"/>
              <w:bottom w:val="single" w:color="auto" w:sz="4" w:space="0"/>
              <w:right w:val="single" w:color="auto" w:sz="4" w:space="0"/>
            </w:tcBorders>
            <w:noWrap w:val="0"/>
            <w:vAlign w:val="center"/>
          </w:tcPr>
          <w:p w14:paraId="16B0B1DF">
            <w:pPr>
              <w:shd w:val="clear" w:color="auto"/>
              <w:spacing w:line="460" w:lineRule="exact"/>
              <w:rPr>
                <w:rFonts w:hint="eastAsia" w:hAnsi="宋体" w:eastAsia="宋体" w:cs="宋体"/>
                <w:color w:val="auto"/>
                <w:sz w:val="21"/>
                <w:szCs w:val="21"/>
                <w:highlight w:val="none"/>
              </w:rPr>
            </w:pPr>
            <w:r>
              <w:rPr>
                <w:rFonts w:hint="eastAsia" w:hAnsi="宋体" w:eastAsia="宋体" w:cs="宋体"/>
                <w:color w:val="auto"/>
                <w:sz w:val="21"/>
                <w:szCs w:val="21"/>
                <w:highlight w:val="none"/>
              </w:rPr>
              <w:t>名称：</w:t>
            </w:r>
          </w:p>
          <w:p w14:paraId="3E76FF61">
            <w:pPr>
              <w:shd w:val="clear" w:color="auto"/>
              <w:spacing w:line="460" w:lineRule="exact"/>
              <w:rPr>
                <w:rFonts w:hint="eastAsia" w:hAnsi="宋体" w:eastAsia="宋体" w:cs="宋体"/>
                <w:color w:val="auto"/>
                <w:sz w:val="21"/>
                <w:szCs w:val="21"/>
                <w:highlight w:val="none"/>
              </w:rPr>
            </w:pPr>
            <w:r>
              <w:rPr>
                <w:rFonts w:hint="eastAsia" w:hAnsi="宋体" w:eastAsia="宋体" w:cs="宋体"/>
                <w:color w:val="auto"/>
                <w:sz w:val="21"/>
                <w:szCs w:val="21"/>
                <w:highlight w:val="none"/>
              </w:rPr>
              <w:t>账号：</w:t>
            </w:r>
          </w:p>
        </w:tc>
      </w:tr>
    </w:tbl>
    <w:p w14:paraId="2C9070B1">
      <w:pPr>
        <w:pStyle w:val="27"/>
        <w:shd w:val="clear" w:color="auto"/>
        <w:rPr>
          <w:rFonts w:hint="eastAsia" w:ascii="宋体" w:hAnsi="宋体" w:cs="宋体"/>
          <w:color w:val="auto"/>
          <w:highlight w:val="none"/>
        </w:rPr>
      </w:pPr>
      <w:r>
        <w:rPr>
          <w:rFonts w:hint="eastAsia" w:ascii="宋体" w:hAnsi="宋体" w:cs="宋体"/>
          <w:color w:val="auto"/>
          <w:highlight w:val="none"/>
        </w:rPr>
        <w:t>投标人（或联合体投标人的牵头单位）全称（盖章）：</w:t>
      </w:r>
    </w:p>
    <w:p w14:paraId="0EC1F1C2">
      <w:pPr>
        <w:pStyle w:val="27"/>
        <w:shd w:val="clear" w:color="auto"/>
        <w:rPr>
          <w:rFonts w:hint="eastAsia" w:ascii="宋体" w:hAnsi="宋体" w:cs="宋体"/>
          <w:color w:val="auto"/>
          <w:highlight w:val="none"/>
        </w:rPr>
      </w:pPr>
      <w:r>
        <w:rPr>
          <w:rFonts w:hint="eastAsia" w:ascii="宋体" w:hAnsi="宋体" w:cs="宋体"/>
          <w:color w:val="auto"/>
          <w:highlight w:val="none"/>
        </w:rPr>
        <w:t>法定代表人或授权代表（签字或盖章）：</w:t>
      </w:r>
    </w:p>
    <w:p w14:paraId="6741B8C9">
      <w:pPr>
        <w:pStyle w:val="27"/>
        <w:shd w:val="clear" w:color="auto"/>
        <w:rPr>
          <w:rFonts w:hint="eastAsia" w:ascii="宋体" w:hAnsi="宋体" w:cs="宋体"/>
          <w:color w:val="auto"/>
          <w:highlight w:val="none"/>
        </w:rPr>
      </w:pPr>
      <w:r>
        <w:rPr>
          <w:rFonts w:hint="eastAsia" w:ascii="宋体" w:hAnsi="宋体" w:cs="宋体"/>
          <w:color w:val="auto"/>
          <w:highlight w:val="none"/>
        </w:rPr>
        <w:t>日期：  年   月  日</w:t>
      </w:r>
    </w:p>
    <w:p w14:paraId="307181D0">
      <w:pPr>
        <w:shd w:val="clear" w:color="auto"/>
        <w:snapToGrid w:val="0"/>
        <w:spacing w:before="50" w:after="50"/>
        <w:jc w:val="center"/>
        <w:rPr>
          <w:rFonts w:hint="eastAsia" w:hAnsi="宋体" w:cs="宋体"/>
          <w:color w:val="auto"/>
          <w:sz w:val="21"/>
          <w:szCs w:val="21"/>
          <w:highlight w:val="none"/>
        </w:rPr>
        <w:sectPr>
          <w:footerReference r:id="rId11" w:type="default"/>
          <w:pgSz w:w="11906" w:h="16838"/>
          <w:pgMar w:top="1440" w:right="1080" w:bottom="1440" w:left="1080" w:header="850" w:footer="850" w:gutter="0"/>
          <w:cols w:space="720" w:num="1"/>
          <w:docGrid w:type="lines" w:linePitch="634" w:charSpace="0"/>
        </w:sectPr>
      </w:pPr>
    </w:p>
    <w:p w14:paraId="5B62F26F">
      <w:pPr>
        <w:shd w:val="clear" w:color="auto"/>
        <w:snapToGrid w:val="0"/>
        <w:spacing w:line="440" w:lineRule="exact"/>
        <w:ind w:firstLine="600" w:firstLineChars="200"/>
        <w:jc w:val="center"/>
        <w:rPr>
          <w:rFonts w:hint="eastAsia" w:hAnsi="宋体" w:cs="宋体"/>
          <w:b/>
          <w:bCs/>
          <w:color w:val="auto"/>
          <w:sz w:val="24"/>
          <w:szCs w:val="24"/>
          <w:highlight w:val="none"/>
          <w:lang w:bidi="ar"/>
        </w:rPr>
      </w:pPr>
      <w:r>
        <w:rPr>
          <w:rFonts w:hint="eastAsia" w:hAnsi="宋体" w:cs="宋体"/>
          <w:color w:val="auto"/>
          <w:sz w:val="30"/>
          <w:szCs w:val="30"/>
          <w:highlight w:val="none"/>
        </w:rPr>
        <w:t xml:space="preserve"> </w:t>
      </w:r>
      <w:r>
        <w:rPr>
          <w:rFonts w:hint="eastAsia" w:hAnsi="宋体" w:cs="宋体"/>
          <w:b/>
          <w:bCs/>
          <w:color w:val="auto"/>
          <w:sz w:val="24"/>
          <w:szCs w:val="24"/>
          <w:highlight w:val="none"/>
          <w:lang w:val="en-US" w:eastAsia="zh-CN" w:bidi="ar"/>
        </w:rPr>
        <w:t>4.</w:t>
      </w:r>
      <w:r>
        <w:rPr>
          <w:rFonts w:hint="eastAsia" w:hAnsi="宋体" w:cs="宋体"/>
          <w:b/>
          <w:bCs/>
          <w:color w:val="auto"/>
          <w:sz w:val="24"/>
          <w:szCs w:val="24"/>
          <w:highlight w:val="none"/>
          <w:lang w:bidi="ar"/>
        </w:rPr>
        <w:t>商务条款偏离表</w:t>
      </w:r>
    </w:p>
    <w:tbl>
      <w:tblPr>
        <w:tblStyle w:val="48"/>
        <w:tblW w:w="995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73"/>
        <w:gridCol w:w="3072"/>
        <w:gridCol w:w="3556"/>
        <w:gridCol w:w="1957"/>
      </w:tblGrid>
      <w:tr w14:paraId="675F61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trPr>
        <w:tc>
          <w:tcPr>
            <w:tcW w:w="1373" w:type="dxa"/>
            <w:noWrap w:val="0"/>
            <w:vAlign w:val="center"/>
          </w:tcPr>
          <w:p w14:paraId="3C13C304">
            <w:pPr>
              <w:shd w:val="clear" w:color="auto"/>
              <w:spacing w:line="300" w:lineRule="auto"/>
              <w:jc w:val="center"/>
              <w:rPr>
                <w:rFonts w:hint="eastAsia" w:hAnsi="宋体" w:eastAsia="宋体" w:cs="宋体"/>
                <w:color w:val="auto"/>
                <w:sz w:val="21"/>
                <w:szCs w:val="21"/>
                <w:highlight w:val="none"/>
              </w:rPr>
            </w:pPr>
            <w:r>
              <w:rPr>
                <w:rFonts w:hint="eastAsia" w:hAnsi="宋体" w:eastAsia="宋体" w:cs="宋体"/>
                <w:color w:val="auto"/>
                <w:sz w:val="21"/>
                <w:szCs w:val="21"/>
                <w:highlight w:val="none"/>
              </w:rPr>
              <w:t>序号</w:t>
            </w:r>
          </w:p>
        </w:tc>
        <w:tc>
          <w:tcPr>
            <w:tcW w:w="3072" w:type="dxa"/>
            <w:noWrap w:val="0"/>
            <w:vAlign w:val="center"/>
          </w:tcPr>
          <w:p w14:paraId="024AF057">
            <w:pPr>
              <w:shd w:val="clear" w:color="auto"/>
              <w:spacing w:line="300" w:lineRule="auto"/>
              <w:jc w:val="center"/>
              <w:rPr>
                <w:rFonts w:hint="eastAsia" w:hAnsi="宋体" w:eastAsia="宋体" w:cs="宋体"/>
                <w:color w:val="auto"/>
                <w:sz w:val="21"/>
                <w:szCs w:val="21"/>
                <w:highlight w:val="none"/>
              </w:rPr>
            </w:pPr>
            <w:r>
              <w:rPr>
                <w:rFonts w:hint="eastAsia" w:hAnsi="宋体" w:eastAsia="宋体" w:cs="宋体"/>
                <w:color w:val="auto"/>
                <w:sz w:val="21"/>
                <w:szCs w:val="21"/>
                <w:highlight w:val="none"/>
              </w:rPr>
              <w:t>招标采购文件的要求</w:t>
            </w:r>
          </w:p>
        </w:tc>
        <w:tc>
          <w:tcPr>
            <w:tcW w:w="3556" w:type="dxa"/>
            <w:noWrap w:val="0"/>
            <w:vAlign w:val="center"/>
          </w:tcPr>
          <w:p w14:paraId="5285B271">
            <w:pPr>
              <w:shd w:val="clear" w:color="auto"/>
              <w:spacing w:line="300" w:lineRule="auto"/>
              <w:jc w:val="center"/>
              <w:rPr>
                <w:rFonts w:hint="eastAsia" w:hAnsi="宋体" w:eastAsia="宋体" w:cs="宋体"/>
                <w:color w:val="auto"/>
                <w:sz w:val="21"/>
                <w:szCs w:val="21"/>
                <w:highlight w:val="none"/>
              </w:rPr>
            </w:pPr>
            <w:r>
              <w:rPr>
                <w:rFonts w:hint="eastAsia" w:hAnsi="宋体" w:eastAsia="宋体" w:cs="宋体"/>
                <w:color w:val="auto"/>
                <w:sz w:val="21"/>
                <w:szCs w:val="21"/>
                <w:highlight w:val="none"/>
              </w:rPr>
              <w:t>投标文件的服务承诺或说明</w:t>
            </w:r>
          </w:p>
        </w:tc>
        <w:tc>
          <w:tcPr>
            <w:tcW w:w="1957" w:type="dxa"/>
            <w:noWrap w:val="0"/>
            <w:vAlign w:val="center"/>
          </w:tcPr>
          <w:p w14:paraId="574150D3">
            <w:pPr>
              <w:shd w:val="clear" w:color="auto"/>
              <w:spacing w:line="300" w:lineRule="auto"/>
              <w:jc w:val="center"/>
              <w:rPr>
                <w:rFonts w:hint="eastAsia" w:hAnsi="宋体" w:eastAsia="宋体" w:cs="宋体"/>
                <w:color w:val="auto"/>
                <w:sz w:val="21"/>
                <w:szCs w:val="21"/>
                <w:highlight w:val="none"/>
              </w:rPr>
            </w:pPr>
            <w:r>
              <w:rPr>
                <w:rFonts w:hint="eastAsia" w:hAnsi="宋体" w:eastAsia="宋体" w:cs="宋体"/>
                <w:color w:val="auto"/>
                <w:sz w:val="21"/>
                <w:szCs w:val="21"/>
                <w:highlight w:val="none"/>
              </w:rPr>
              <w:t>是否响应</w:t>
            </w:r>
          </w:p>
        </w:tc>
      </w:tr>
      <w:tr w14:paraId="210A79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trPr>
        <w:tc>
          <w:tcPr>
            <w:tcW w:w="1373" w:type="dxa"/>
            <w:noWrap w:val="0"/>
            <w:vAlign w:val="center"/>
          </w:tcPr>
          <w:p w14:paraId="0B06AF6C">
            <w:pPr>
              <w:shd w:val="clear" w:color="auto"/>
              <w:spacing w:line="300" w:lineRule="auto"/>
              <w:jc w:val="center"/>
              <w:rPr>
                <w:rFonts w:hint="eastAsia" w:hAnsi="宋体" w:eastAsia="宋体" w:cs="宋体"/>
                <w:color w:val="auto"/>
                <w:sz w:val="21"/>
                <w:szCs w:val="21"/>
                <w:highlight w:val="none"/>
              </w:rPr>
            </w:pPr>
          </w:p>
        </w:tc>
        <w:tc>
          <w:tcPr>
            <w:tcW w:w="3072" w:type="dxa"/>
            <w:noWrap w:val="0"/>
            <w:vAlign w:val="center"/>
          </w:tcPr>
          <w:p w14:paraId="0F1990AA">
            <w:pPr>
              <w:shd w:val="clear" w:color="auto"/>
              <w:spacing w:line="300" w:lineRule="auto"/>
              <w:jc w:val="center"/>
              <w:rPr>
                <w:rFonts w:hint="eastAsia" w:hAnsi="宋体" w:eastAsia="宋体" w:cs="宋体"/>
                <w:color w:val="auto"/>
                <w:sz w:val="21"/>
                <w:szCs w:val="21"/>
                <w:highlight w:val="none"/>
              </w:rPr>
            </w:pPr>
          </w:p>
        </w:tc>
        <w:tc>
          <w:tcPr>
            <w:tcW w:w="3556" w:type="dxa"/>
            <w:noWrap w:val="0"/>
            <w:vAlign w:val="center"/>
          </w:tcPr>
          <w:p w14:paraId="45723BA6">
            <w:pPr>
              <w:shd w:val="clear" w:color="auto"/>
              <w:spacing w:line="300" w:lineRule="auto"/>
              <w:jc w:val="center"/>
              <w:rPr>
                <w:rFonts w:hint="eastAsia" w:hAnsi="宋体" w:eastAsia="宋体" w:cs="宋体"/>
                <w:color w:val="auto"/>
                <w:sz w:val="21"/>
                <w:szCs w:val="21"/>
                <w:highlight w:val="none"/>
              </w:rPr>
            </w:pPr>
          </w:p>
        </w:tc>
        <w:tc>
          <w:tcPr>
            <w:tcW w:w="1957" w:type="dxa"/>
            <w:noWrap w:val="0"/>
            <w:vAlign w:val="center"/>
          </w:tcPr>
          <w:p w14:paraId="234CF487">
            <w:pPr>
              <w:shd w:val="clear" w:color="auto"/>
              <w:spacing w:line="300" w:lineRule="auto"/>
              <w:jc w:val="center"/>
              <w:rPr>
                <w:rFonts w:hint="eastAsia" w:hAnsi="宋体" w:eastAsia="宋体" w:cs="宋体"/>
                <w:color w:val="auto"/>
                <w:sz w:val="21"/>
                <w:szCs w:val="21"/>
                <w:highlight w:val="none"/>
              </w:rPr>
            </w:pPr>
          </w:p>
        </w:tc>
      </w:tr>
      <w:tr w14:paraId="225F77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trPr>
        <w:tc>
          <w:tcPr>
            <w:tcW w:w="1373" w:type="dxa"/>
            <w:noWrap w:val="0"/>
            <w:vAlign w:val="center"/>
          </w:tcPr>
          <w:p w14:paraId="4D2583DE">
            <w:pPr>
              <w:shd w:val="clear" w:color="auto"/>
              <w:spacing w:line="300" w:lineRule="auto"/>
              <w:jc w:val="center"/>
              <w:rPr>
                <w:rFonts w:hint="eastAsia" w:hAnsi="宋体" w:eastAsia="宋体" w:cs="宋体"/>
                <w:color w:val="auto"/>
                <w:sz w:val="21"/>
                <w:szCs w:val="21"/>
                <w:highlight w:val="none"/>
              </w:rPr>
            </w:pPr>
          </w:p>
        </w:tc>
        <w:tc>
          <w:tcPr>
            <w:tcW w:w="3072" w:type="dxa"/>
            <w:noWrap w:val="0"/>
            <w:vAlign w:val="center"/>
          </w:tcPr>
          <w:p w14:paraId="33BD1775">
            <w:pPr>
              <w:shd w:val="clear" w:color="auto"/>
              <w:spacing w:line="300" w:lineRule="auto"/>
              <w:jc w:val="center"/>
              <w:rPr>
                <w:rFonts w:hint="eastAsia" w:hAnsi="宋体" w:eastAsia="宋体" w:cs="宋体"/>
                <w:color w:val="auto"/>
                <w:sz w:val="21"/>
                <w:szCs w:val="21"/>
                <w:highlight w:val="none"/>
              </w:rPr>
            </w:pPr>
          </w:p>
        </w:tc>
        <w:tc>
          <w:tcPr>
            <w:tcW w:w="3556" w:type="dxa"/>
            <w:noWrap w:val="0"/>
            <w:vAlign w:val="center"/>
          </w:tcPr>
          <w:p w14:paraId="59788E86">
            <w:pPr>
              <w:shd w:val="clear" w:color="auto"/>
              <w:spacing w:line="300" w:lineRule="auto"/>
              <w:jc w:val="center"/>
              <w:rPr>
                <w:rFonts w:hint="eastAsia" w:hAnsi="宋体" w:eastAsia="宋体" w:cs="宋体"/>
                <w:color w:val="auto"/>
                <w:sz w:val="21"/>
                <w:szCs w:val="21"/>
                <w:highlight w:val="none"/>
              </w:rPr>
            </w:pPr>
          </w:p>
        </w:tc>
        <w:tc>
          <w:tcPr>
            <w:tcW w:w="1957" w:type="dxa"/>
            <w:noWrap w:val="0"/>
            <w:vAlign w:val="center"/>
          </w:tcPr>
          <w:p w14:paraId="7D159854">
            <w:pPr>
              <w:shd w:val="clear" w:color="auto"/>
              <w:spacing w:line="300" w:lineRule="auto"/>
              <w:jc w:val="center"/>
              <w:rPr>
                <w:rFonts w:hint="eastAsia" w:hAnsi="宋体" w:eastAsia="宋体" w:cs="宋体"/>
                <w:color w:val="auto"/>
                <w:sz w:val="21"/>
                <w:szCs w:val="21"/>
                <w:highlight w:val="none"/>
              </w:rPr>
            </w:pPr>
          </w:p>
        </w:tc>
      </w:tr>
      <w:tr w14:paraId="37B526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trPr>
        <w:tc>
          <w:tcPr>
            <w:tcW w:w="1373" w:type="dxa"/>
            <w:noWrap w:val="0"/>
            <w:vAlign w:val="center"/>
          </w:tcPr>
          <w:p w14:paraId="3011E11C">
            <w:pPr>
              <w:shd w:val="clear" w:color="auto"/>
              <w:spacing w:line="300" w:lineRule="auto"/>
              <w:jc w:val="center"/>
              <w:rPr>
                <w:rFonts w:hint="eastAsia" w:hAnsi="宋体" w:eastAsia="宋体" w:cs="宋体"/>
                <w:color w:val="auto"/>
                <w:sz w:val="21"/>
                <w:szCs w:val="21"/>
                <w:highlight w:val="none"/>
              </w:rPr>
            </w:pPr>
          </w:p>
        </w:tc>
        <w:tc>
          <w:tcPr>
            <w:tcW w:w="3072" w:type="dxa"/>
            <w:noWrap w:val="0"/>
            <w:vAlign w:val="center"/>
          </w:tcPr>
          <w:p w14:paraId="6B8FCCD5">
            <w:pPr>
              <w:shd w:val="clear" w:color="auto"/>
              <w:spacing w:line="300" w:lineRule="auto"/>
              <w:jc w:val="center"/>
              <w:rPr>
                <w:rFonts w:hint="eastAsia" w:hAnsi="宋体" w:eastAsia="宋体" w:cs="宋体"/>
                <w:color w:val="auto"/>
                <w:sz w:val="21"/>
                <w:szCs w:val="21"/>
                <w:highlight w:val="none"/>
              </w:rPr>
            </w:pPr>
          </w:p>
        </w:tc>
        <w:tc>
          <w:tcPr>
            <w:tcW w:w="3556" w:type="dxa"/>
            <w:noWrap w:val="0"/>
            <w:vAlign w:val="center"/>
          </w:tcPr>
          <w:p w14:paraId="711505FF">
            <w:pPr>
              <w:shd w:val="clear" w:color="auto"/>
              <w:spacing w:line="300" w:lineRule="auto"/>
              <w:jc w:val="center"/>
              <w:rPr>
                <w:rFonts w:hint="eastAsia" w:hAnsi="宋体" w:eastAsia="宋体" w:cs="宋体"/>
                <w:color w:val="auto"/>
                <w:sz w:val="21"/>
                <w:szCs w:val="21"/>
                <w:highlight w:val="none"/>
              </w:rPr>
            </w:pPr>
          </w:p>
        </w:tc>
        <w:tc>
          <w:tcPr>
            <w:tcW w:w="1957" w:type="dxa"/>
            <w:noWrap w:val="0"/>
            <w:vAlign w:val="center"/>
          </w:tcPr>
          <w:p w14:paraId="24370FE5">
            <w:pPr>
              <w:shd w:val="clear" w:color="auto"/>
              <w:spacing w:line="300" w:lineRule="auto"/>
              <w:jc w:val="center"/>
              <w:rPr>
                <w:rFonts w:hint="eastAsia" w:hAnsi="宋体" w:eastAsia="宋体" w:cs="宋体"/>
                <w:color w:val="auto"/>
                <w:sz w:val="21"/>
                <w:szCs w:val="21"/>
                <w:highlight w:val="none"/>
              </w:rPr>
            </w:pPr>
          </w:p>
        </w:tc>
      </w:tr>
      <w:tr w14:paraId="2B6753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373" w:type="dxa"/>
            <w:noWrap w:val="0"/>
            <w:vAlign w:val="center"/>
          </w:tcPr>
          <w:p w14:paraId="07278088">
            <w:pPr>
              <w:shd w:val="clear" w:color="auto"/>
              <w:spacing w:line="300" w:lineRule="auto"/>
              <w:jc w:val="center"/>
              <w:rPr>
                <w:rFonts w:hint="eastAsia" w:hAnsi="宋体" w:eastAsia="宋体" w:cs="宋体"/>
                <w:color w:val="auto"/>
                <w:sz w:val="21"/>
                <w:szCs w:val="21"/>
                <w:highlight w:val="none"/>
              </w:rPr>
            </w:pPr>
          </w:p>
        </w:tc>
        <w:tc>
          <w:tcPr>
            <w:tcW w:w="3072" w:type="dxa"/>
            <w:noWrap w:val="0"/>
            <w:vAlign w:val="center"/>
          </w:tcPr>
          <w:p w14:paraId="6555C750">
            <w:pPr>
              <w:shd w:val="clear" w:color="auto"/>
              <w:spacing w:line="300" w:lineRule="auto"/>
              <w:jc w:val="center"/>
              <w:rPr>
                <w:rFonts w:hint="eastAsia" w:hAnsi="宋体" w:eastAsia="宋体" w:cs="宋体"/>
                <w:color w:val="auto"/>
                <w:sz w:val="21"/>
                <w:szCs w:val="21"/>
                <w:highlight w:val="none"/>
              </w:rPr>
            </w:pPr>
          </w:p>
        </w:tc>
        <w:tc>
          <w:tcPr>
            <w:tcW w:w="3556" w:type="dxa"/>
            <w:noWrap w:val="0"/>
            <w:vAlign w:val="center"/>
          </w:tcPr>
          <w:p w14:paraId="43E76DEF">
            <w:pPr>
              <w:shd w:val="clear" w:color="auto"/>
              <w:spacing w:line="300" w:lineRule="auto"/>
              <w:jc w:val="center"/>
              <w:rPr>
                <w:rFonts w:hint="eastAsia" w:hAnsi="宋体" w:eastAsia="宋体" w:cs="宋体"/>
                <w:color w:val="auto"/>
                <w:sz w:val="21"/>
                <w:szCs w:val="21"/>
                <w:highlight w:val="none"/>
              </w:rPr>
            </w:pPr>
          </w:p>
        </w:tc>
        <w:tc>
          <w:tcPr>
            <w:tcW w:w="1957" w:type="dxa"/>
            <w:noWrap w:val="0"/>
            <w:vAlign w:val="center"/>
          </w:tcPr>
          <w:p w14:paraId="2C432DDE">
            <w:pPr>
              <w:shd w:val="clear" w:color="auto"/>
              <w:spacing w:line="300" w:lineRule="auto"/>
              <w:jc w:val="center"/>
              <w:rPr>
                <w:rFonts w:hint="eastAsia" w:hAnsi="宋体" w:eastAsia="宋体" w:cs="宋体"/>
                <w:color w:val="auto"/>
                <w:sz w:val="21"/>
                <w:szCs w:val="21"/>
                <w:highlight w:val="none"/>
              </w:rPr>
            </w:pPr>
          </w:p>
        </w:tc>
      </w:tr>
      <w:tr w14:paraId="3420E8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trPr>
        <w:tc>
          <w:tcPr>
            <w:tcW w:w="1373" w:type="dxa"/>
            <w:noWrap w:val="0"/>
            <w:vAlign w:val="center"/>
          </w:tcPr>
          <w:p w14:paraId="65417BF5">
            <w:pPr>
              <w:shd w:val="clear" w:color="auto"/>
              <w:spacing w:line="300" w:lineRule="auto"/>
              <w:jc w:val="center"/>
              <w:rPr>
                <w:rFonts w:hint="eastAsia" w:hAnsi="宋体" w:eastAsia="宋体" w:cs="宋体"/>
                <w:color w:val="auto"/>
                <w:sz w:val="21"/>
                <w:szCs w:val="21"/>
                <w:highlight w:val="none"/>
              </w:rPr>
            </w:pPr>
          </w:p>
        </w:tc>
        <w:tc>
          <w:tcPr>
            <w:tcW w:w="3072" w:type="dxa"/>
            <w:noWrap w:val="0"/>
            <w:vAlign w:val="center"/>
          </w:tcPr>
          <w:p w14:paraId="7FF3E65F">
            <w:pPr>
              <w:shd w:val="clear" w:color="auto"/>
              <w:spacing w:line="300" w:lineRule="auto"/>
              <w:jc w:val="center"/>
              <w:rPr>
                <w:rFonts w:hint="eastAsia" w:hAnsi="宋体" w:eastAsia="宋体" w:cs="宋体"/>
                <w:color w:val="auto"/>
                <w:sz w:val="21"/>
                <w:szCs w:val="21"/>
                <w:highlight w:val="none"/>
              </w:rPr>
            </w:pPr>
          </w:p>
        </w:tc>
        <w:tc>
          <w:tcPr>
            <w:tcW w:w="3556" w:type="dxa"/>
            <w:noWrap w:val="0"/>
            <w:vAlign w:val="center"/>
          </w:tcPr>
          <w:p w14:paraId="2BCD2C80">
            <w:pPr>
              <w:shd w:val="clear" w:color="auto"/>
              <w:spacing w:line="300" w:lineRule="auto"/>
              <w:jc w:val="center"/>
              <w:rPr>
                <w:rFonts w:hint="eastAsia" w:hAnsi="宋体" w:eastAsia="宋体" w:cs="宋体"/>
                <w:color w:val="auto"/>
                <w:sz w:val="21"/>
                <w:szCs w:val="21"/>
                <w:highlight w:val="none"/>
              </w:rPr>
            </w:pPr>
          </w:p>
        </w:tc>
        <w:tc>
          <w:tcPr>
            <w:tcW w:w="1957" w:type="dxa"/>
            <w:noWrap w:val="0"/>
            <w:vAlign w:val="center"/>
          </w:tcPr>
          <w:p w14:paraId="45510551">
            <w:pPr>
              <w:shd w:val="clear" w:color="auto"/>
              <w:spacing w:line="300" w:lineRule="auto"/>
              <w:jc w:val="center"/>
              <w:rPr>
                <w:rFonts w:hint="eastAsia" w:hAnsi="宋体" w:eastAsia="宋体" w:cs="宋体"/>
                <w:color w:val="auto"/>
                <w:sz w:val="21"/>
                <w:szCs w:val="21"/>
                <w:highlight w:val="none"/>
              </w:rPr>
            </w:pPr>
          </w:p>
        </w:tc>
      </w:tr>
      <w:tr w14:paraId="30EADF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trPr>
        <w:tc>
          <w:tcPr>
            <w:tcW w:w="1373" w:type="dxa"/>
            <w:noWrap w:val="0"/>
            <w:vAlign w:val="center"/>
          </w:tcPr>
          <w:p w14:paraId="15974380">
            <w:pPr>
              <w:shd w:val="clear" w:color="auto"/>
              <w:spacing w:line="300" w:lineRule="auto"/>
              <w:jc w:val="center"/>
              <w:rPr>
                <w:rFonts w:hint="eastAsia" w:hAnsi="宋体" w:eastAsia="宋体" w:cs="宋体"/>
                <w:color w:val="auto"/>
                <w:sz w:val="21"/>
                <w:szCs w:val="21"/>
                <w:highlight w:val="none"/>
              </w:rPr>
            </w:pPr>
          </w:p>
        </w:tc>
        <w:tc>
          <w:tcPr>
            <w:tcW w:w="3072" w:type="dxa"/>
            <w:noWrap w:val="0"/>
            <w:vAlign w:val="center"/>
          </w:tcPr>
          <w:p w14:paraId="21E27080">
            <w:pPr>
              <w:shd w:val="clear" w:color="auto"/>
              <w:spacing w:line="300" w:lineRule="auto"/>
              <w:jc w:val="center"/>
              <w:rPr>
                <w:rFonts w:hint="eastAsia" w:hAnsi="宋体" w:eastAsia="宋体" w:cs="宋体"/>
                <w:color w:val="auto"/>
                <w:sz w:val="21"/>
                <w:szCs w:val="21"/>
                <w:highlight w:val="none"/>
              </w:rPr>
            </w:pPr>
          </w:p>
        </w:tc>
        <w:tc>
          <w:tcPr>
            <w:tcW w:w="3556" w:type="dxa"/>
            <w:noWrap w:val="0"/>
            <w:vAlign w:val="center"/>
          </w:tcPr>
          <w:p w14:paraId="4674619F">
            <w:pPr>
              <w:shd w:val="clear" w:color="auto"/>
              <w:spacing w:line="300" w:lineRule="auto"/>
              <w:jc w:val="center"/>
              <w:rPr>
                <w:rFonts w:hint="eastAsia" w:hAnsi="宋体" w:eastAsia="宋体" w:cs="宋体"/>
                <w:color w:val="auto"/>
                <w:sz w:val="21"/>
                <w:szCs w:val="21"/>
                <w:highlight w:val="none"/>
              </w:rPr>
            </w:pPr>
          </w:p>
        </w:tc>
        <w:tc>
          <w:tcPr>
            <w:tcW w:w="1957" w:type="dxa"/>
            <w:noWrap w:val="0"/>
            <w:vAlign w:val="center"/>
          </w:tcPr>
          <w:p w14:paraId="415841C9">
            <w:pPr>
              <w:shd w:val="clear" w:color="auto"/>
              <w:spacing w:line="300" w:lineRule="auto"/>
              <w:jc w:val="center"/>
              <w:rPr>
                <w:rFonts w:hint="eastAsia" w:hAnsi="宋体" w:eastAsia="宋体" w:cs="宋体"/>
                <w:color w:val="auto"/>
                <w:sz w:val="21"/>
                <w:szCs w:val="21"/>
                <w:highlight w:val="none"/>
              </w:rPr>
            </w:pPr>
          </w:p>
        </w:tc>
      </w:tr>
      <w:tr w14:paraId="461F3A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trPr>
        <w:tc>
          <w:tcPr>
            <w:tcW w:w="1373" w:type="dxa"/>
            <w:noWrap w:val="0"/>
            <w:vAlign w:val="center"/>
          </w:tcPr>
          <w:p w14:paraId="61566432">
            <w:pPr>
              <w:shd w:val="clear" w:color="auto"/>
              <w:spacing w:line="300" w:lineRule="auto"/>
              <w:jc w:val="center"/>
              <w:rPr>
                <w:rFonts w:hint="eastAsia" w:hAnsi="宋体" w:eastAsia="宋体" w:cs="宋体"/>
                <w:color w:val="auto"/>
                <w:sz w:val="21"/>
                <w:szCs w:val="21"/>
                <w:highlight w:val="none"/>
              </w:rPr>
            </w:pPr>
          </w:p>
        </w:tc>
        <w:tc>
          <w:tcPr>
            <w:tcW w:w="3072" w:type="dxa"/>
            <w:noWrap w:val="0"/>
            <w:vAlign w:val="center"/>
          </w:tcPr>
          <w:p w14:paraId="308A47D8">
            <w:pPr>
              <w:shd w:val="clear" w:color="auto"/>
              <w:spacing w:line="300" w:lineRule="auto"/>
              <w:jc w:val="center"/>
              <w:rPr>
                <w:rFonts w:hint="eastAsia" w:hAnsi="宋体" w:eastAsia="宋体" w:cs="宋体"/>
                <w:color w:val="auto"/>
                <w:sz w:val="21"/>
                <w:szCs w:val="21"/>
                <w:highlight w:val="none"/>
              </w:rPr>
            </w:pPr>
          </w:p>
        </w:tc>
        <w:tc>
          <w:tcPr>
            <w:tcW w:w="3556" w:type="dxa"/>
            <w:noWrap w:val="0"/>
            <w:vAlign w:val="center"/>
          </w:tcPr>
          <w:p w14:paraId="592ECDF3">
            <w:pPr>
              <w:shd w:val="clear" w:color="auto"/>
              <w:spacing w:line="300" w:lineRule="auto"/>
              <w:jc w:val="center"/>
              <w:rPr>
                <w:rFonts w:hint="eastAsia" w:hAnsi="宋体" w:eastAsia="宋体" w:cs="宋体"/>
                <w:color w:val="auto"/>
                <w:sz w:val="21"/>
                <w:szCs w:val="21"/>
                <w:highlight w:val="none"/>
              </w:rPr>
            </w:pPr>
          </w:p>
        </w:tc>
        <w:tc>
          <w:tcPr>
            <w:tcW w:w="1957" w:type="dxa"/>
            <w:noWrap w:val="0"/>
            <w:vAlign w:val="center"/>
          </w:tcPr>
          <w:p w14:paraId="379CF05F">
            <w:pPr>
              <w:shd w:val="clear" w:color="auto"/>
              <w:spacing w:line="300" w:lineRule="auto"/>
              <w:jc w:val="center"/>
              <w:rPr>
                <w:rFonts w:hint="eastAsia" w:hAnsi="宋体" w:eastAsia="宋体" w:cs="宋体"/>
                <w:color w:val="auto"/>
                <w:sz w:val="21"/>
                <w:szCs w:val="21"/>
                <w:highlight w:val="none"/>
              </w:rPr>
            </w:pPr>
          </w:p>
        </w:tc>
      </w:tr>
      <w:tr w14:paraId="677855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trPr>
        <w:tc>
          <w:tcPr>
            <w:tcW w:w="1373" w:type="dxa"/>
            <w:noWrap w:val="0"/>
            <w:vAlign w:val="center"/>
          </w:tcPr>
          <w:p w14:paraId="57F62814">
            <w:pPr>
              <w:shd w:val="clear" w:color="auto"/>
              <w:spacing w:line="300" w:lineRule="auto"/>
              <w:jc w:val="center"/>
              <w:rPr>
                <w:rFonts w:hint="eastAsia" w:hAnsi="宋体" w:eastAsia="宋体" w:cs="宋体"/>
                <w:color w:val="auto"/>
                <w:sz w:val="21"/>
                <w:szCs w:val="21"/>
                <w:highlight w:val="none"/>
              </w:rPr>
            </w:pPr>
          </w:p>
        </w:tc>
        <w:tc>
          <w:tcPr>
            <w:tcW w:w="3072" w:type="dxa"/>
            <w:noWrap w:val="0"/>
            <w:vAlign w:val="center"/>
          </w:tcPr>
          <w:p w14:paraId="30A02790">
            <w:pPr>
              <w:shd w:val="clear" w:color="auto"/>
              <w:spacing w:line="300" w:lineRule="auto"/>
              <w:jc w:val="center"/>
              <w:rPr>
                <w:rFonts w:hint="eastAsia" w:hAnsi="宋体" w:eastAsia="宋体" w:cs="宋体"/>
                <w:color w:val="auto"/>
                <w:sz w:val="21"/>
                <w:szCs w:val="21"/>
                <w:highlight w:val="none"/>
              </w:rPr>
            </w:pPr>
          </w:p>
        </w:tc>
        <w:tc>
          <w:tcPr>
            <w:tcW w:w="3556" w:type="dxa"/>
            <w:noWrap w:val="0"/>
            <w:vAlign w:val="center"/>
          </w:tcPr>
          <w:p w14:paraId="1215A437">
            <w:pPr>
              <w:shd w:val="clear" w:color="auto"/>
              <w:spacing w:line="300" w:lineRule="auto"/>
              <w:jc w:val="center"/>
              <w:rPr>
                <w:rFonts w:hint="eastAsia" w:hAnsi="宋体" w:eastAsia="宋体" w:cs="宋体"/>
                <w:color w:val="auto"/>
                <w:sz w:val="21"/>
                <w:szCs w:val="21"/>
                <w:highlight w:val="none"/>
              </w:rPr>
            </w:pPr>
          </w:p>
        </w:tc>
        <w:tc>
          <w:tcPr>
            <w:tcW w:w="1957" w:type="dxa"/>
            <w:noWrap w:val="0"/>
            <w:vAlign w:val="center"/>
          </w:tcPr>
          <w:p w14:paraId="4B52917B">
            <w:pPr>
              <w:shd w:val="clear" w:color="auto"/>
              <w:spacing w:line="300" w:lineRule="auto"/>
              <w:jc w:val="center"/>
              <w:rPr>
                <w:rFonts w:hint="eastAsia" w:hAnsi="宋体" w:eastAsia="宋体" w:cs="宋体"/>
                <w:color w:val="auto"/>
                <w:sz w:val="21"/>
                <w:szCs w:val="21"/>
                <w:highlight w:val="none"/>
              </w:rPr>
            </w:pPr>
          </w:p>
        </w:tc>
      </w:tr>
      <w:tr w14:paraId="1CC305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trPr>
        <w:tc>
          <w:tcPr>
            <w:tcW w:w="1373" w:type="dxa"/>
            <w:noWrap w:val="0"/>
            <w:vAlign w:val="center"/>
          </w:tcPr>
          <w:p w14:paraId="1A0C836B">
            <w:pPr>
              <w:shd w:val="clear" w:color="auto"/>
              <w:spacing w:line="300" w:lineRule="auto"/>
              <w:jc w:val="center"/>
              <w:rPr>
                <w:rFonts w:hint="eastAsia" w:hAnsi="宋体" w:eastAsia="宋体" w:cs="宋体"/>
                <w:color w:val="auto"/>
                <w:sz w:val="21"/>
                <w:szCs w:val="21"/>
                <w:highlight w:val="none"/>
              </w:rPr>
            </w:pPr>
          </w:p>
        </w:tc>
        <w:tc>
          <w:tcPr>
            <w:tcW w:w="3072" w:type="dxa"/>
            <w:noWrap w:val="0"/>
            <w:vAlign w:val="center"/>
          </w:tcPr>
          <w:p w14:paraId="56355B39">
            <w:pPr>
              <w:shd w:val="clear" w:color="auto"/>
              <w:spacing w:line="300" w:lineRule="auto"/>
              <w:jc w:val="center"/>
              <w:rPr>
                <w:rFonts w:hint="eastAsia" w:hAnsi="宋体" w:eastAsia="宋体" w:cs="宋体"/>
                <w:color w:val="auto"/>
                <w:sz w:val="21"/>
                <w:szCs w:val="21"/>
                <w:highlight w:val="none"/>
              </w:rPr>
            </w:pPr>
          </w:p>
        </w:tc>
        <w:tc>
          <w:tcPr>
            <w:tcW w:w="3556" w:type="dxa"/>
            <w:noWrap w:val="0"/>
            <w:vAlign w:val="center"/>
          </w:tcPr>
          <w:p w14:paraId="56A00843">
            <w:pPr>
              <w:shd w:val="clear" w:color="auto"/>
              <w:spacing w:line="300" w:lineRule="auto"/>
              <w:jc w:val="center"/>
              <w:rPr>
                <w:rFonts w:hint="eastAsia" w:hAnsi="宋体" w:eastAsia="宋体" w:cs="宋体"/>
                <w:color w:val="auto"/>
                <w:sz w:val="21"/>
                <w:szCs w:val="21"/>
                <w:highlight w:val="none"/>
              </w:rPr>
            </w:pPr>
          </w:p>
        </w:tc>
        <w:tc>
          <w:tcPr>
            <w:tcW w:w="1957" w:type="dxa"/>
            <w:noWrap w:val="0"/>
            <w:vAlign w:val="center"/>
          </w:tcPr>
          <w:p w14:paraId="4A880CE4">
            <w:pPr>
              <w:shd w:val="clear" w:color="auto"/>
              <w:spacing w:line="300" w:lineRule="auto"/>
              <w:jc w:val="center"/>
              <w:rPr>
                <w:rFonts w:hint="eastAsia" w:hAnsi="宋体" w:eastAsia="宋体" w:cs="宋体"/>
                <w:color w:val="auto"/>
                <w:sz w:val="21"/>
                <w:szCs w:val="21"/>
                <w:highlight w:val="none"/>
              </w:rPr>
            </w:pPr>
          </w:p>
        </w:tc>
      </w:tr>
      <w:tr w14:paraId="3C2065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trPr>
        <w:tc>
          <w:tcPr>
            <w:tcW w:w="1373" w:type="dxa"/>
            <w:noWrap w:val="0"/>
            <w:vAlign w:val="center"/>
          </w:tcPr>
          <w:p w14:paraId="5849535C">
            <w:pPr>
              <w:shd w:val="clear" w:color="auto"/>
              <w:spacing w:line="300" w:lineRule="auto"/>
              <w:jc w:val="center"/>
              <w:rPr>
                <w:rFonts w:hint="eastAsia" w:hAnsi="宋体" w:eastAsia="宋体" w:cs="宋体"/>
                <w:color w:val="auto"/>
                <w:sz w:val="21"/>
                <w:szCs w:val="21"/>
                <w:highlight w:val="none"/>
              </w:rPr>
            </w:pPr>
          </w:p>
        </w:tc>
        <w:tc>
          <w:tcPr>
            <w:tcW w:w="3072" w:type="dxa"/>
            <w:noWrap w:val="0"/>
            <w:vAlign w:val="center"/>
          </w:tcPr>
          <w:p w14:paraId="373783D7">
            <w:pPr>
              <w:shd w:val="clear" w:color="auto"/>
              <w:spacing w:line="300" w:lineRule="auto"/>
              <w:jc w:val="center"/>
              <w:rPr>
                <w:rFonts w:hint="eastAsia" w:hAnsi="宋体" w:eastAsia="宋体" w:cs="宋体"/>
                <w:color w:val="auto"/>
                <w:sz w:val="21"/>
                <w:szCs w:val="21"/>
                <w:highlight w:val="none"/>
              </w:rPr>
            </w:pPr>
          </w:p>
        </w:tc>
        <w:tc>
          <w:tcPr>
            <w:tcW w:w="3556" w:type="dxa"/>
            <w:noWrap w:val="0"/>
            <w:vAlign w:val="center"/>
          </w:tcPr>
          <w:p w14:paraId="11CEB917">
            <w:pPr>
              <w:shd w:val="clear" w:color="auto"/>
              <w:spacing w:line="300" w:lineRule="auto"/>
              <w:jc w:val="center"/>
              <w:rPr>
                <w:rFonts w:hint="eastAsia" w:hAnsi="宋体" w:eastAsia="宋体" w:cs="宋体"/>
                <w:color w:val="auto"/>
                <w:sz w:val="21"/>
                <w:szCs w:val="21"/>
                <w:highlight w:val="none"/>
              </w:rPr>
            </w:pPr>
          </w:p>
        </w:tc>
        <w:tc>
          <w:tcPr>
            <w:tcW w:w="1957" w:type="dxa"/>
            <w:noWrap w:val="0"/>
            <w:vAlign w:val="center"/>
          </w:tcPr>
          <w:p w14:paraId="7AD4320A">
            <w:pPr>
              <w:shd w:val="clear" w:color="auto"/>
              <w:spacing w:line="300" w:lineRule="auto"/>
              <w:jc w:val="center"/>
              <w:rPr>
                <w:rFonts w:hint="eastAsia" w:hAnsi="宋体" w:eastAsia="宋体" w:cs="宋体"/>
                <w:color w:val="auto"/>
                <w:sz w:val="21"/>
                <w:szCs w:val="21"/>
                <w:highlight w:val="none"/>
              </w:rPr>
            </w:pPr>
          </w:p>
        </w:tc>
      </w:tr>
    </w:tbl>
    <w:p w14:paraId="0E2B5E3C">
      <w:pPr>
        <w:shd w:val="clear" w:color="auto"/>
        <w:spacing w:line="500" w:lineRule="exact"/>
        <w:ind w:firstLine="420" w:firstLineChars="200"/>
        <w:rPr>
          <w:rFonts w:hint="eastAsia" w:hAnsi="宋体" w:cs="宋体"/>
          <w:color w:val="auto"/>
          <w:sz w:val="21"/>
          <w:szCs w:val="21"/>
          <w:highlight w:val="none"/>
        </w:rPr>
      </w:pPr>
      <w:r>
        <w:rPr>
          <w:rFonts w:hint="eastAsia" w:hAnsi="宋体" w:cs="宋体"/>
          <w:color w:val="auto"/>
          <w:sz w:val="21"/>
          <w:szCs w:val="21"/>
          <w:highlight w:val="none"/>
        </w:rPr>
        <w:t>注：1.对公开招标采购文件 第二章 招标需求中的所有要求进行逐条响应。</w:t>
      </w:r>
    </w:p>
    <w:p w14:paraId="2269B06D">
      <w:pPr>
        <w:shd w:val="clear" w:color="auto"/>
        <w:snapToGrid w:val="0"/>
        <w:spacing w:line="500" w:lineRule="exact"/>
        <w:ind w:firstLine="420" w:firstLineChars="200"/>
        <w:rPr>
          <w:rFonts w:hint="eastAsia" w:hAnsi="宋体" w:cs="宋体"/>
          <w:color w:val="auto"/>
          <w:sz w:val="21"/>
          <w:szCs w:val="21"/>
          <w:highlight w:val="none"/>
        </w:rPr>
      </w:pPr>
      <w:r>
        <w:rPr>
          <w:rFonts w:hint="eastAsia" w:hAnsi="宋体" w:cs="宋体"/>
          <w:color w:val="auto"/>
          <w:sz w:val="21"/>
          <w:szCs w:val="21"/>
          <w:highlight w:val="none"/>
        </w:rPr>
        <w:t>2.行数不够可自行添加，有偏离请在技术偏离表中详细说明。</w:t>
      </w:r>
    </w:p>
    <w:p w14:paraId="6FFACB63">
      <w:pPr>
        <w:shd w:val="clear" w:color="auto"/>
        <w:snapToGrid w:val="0"/>
        <w:spacing w:line="500" w:lineRule="exact"/>
        <w:ind w:firstLine="422" w:firstLineChars="200"/>
        <w:jc w:val="center"/>
        <w:rPr>
          <w:rFonts w:hint="eastAsia" w:hAnsi="宋体" w:cs="宋体"/>
          <w:b/>
          <w:bCs/>
          <w:color w:val="auto"/>
          <w:sz w:val="21"/>
          <w:szCs w:val="21"/>
          <w:highlight w:val="none"/>
        </w:rPr>
      </w:pPr>
    </w:p>
    <w:p w14:paraId="43CB4066">
      <w:pPr>
        <w:shd w:val="clear" w:color="auto"/>
        <w:snapToGrid w:val="0"/>
        <w:spacing w:line="500" w:lineRule="exact"/>
        <w:ind w:firstLine="420" w:firstLineChars="200"/>
        <w:rPr>
          <w:rFonts w:hint="eastAsia" w:hAnsi="宋体" w:cs="宋体"/>
          <w:color w:val="auto"/>
          <w:sz w:val="21"/>
          <w:szCs w:val="21"/>
          <w:highlight w:val="none"/>
        </w:rPr>
      </w:pPr>
      <w:r>
        <w:rPr>
          <w:rFonts w:hint="eastAsia" w:hAnsi="宋体" w:cs="宋体"/>
          <w:color w:val="auto"/>
          <w:sz w:val="21"/>
          <w:szCs w:val="21"/>
          <w:highlight w:val="none"/>
        </w:rPr>
        <w:t>投标人（或联合体投标人的牵头单位）全称（盖章）：</w:t>
      </w:r>
    </w:p>
    <w:p w14:paraId="6D58F07C">
      <w:pPr>
        <w:shd w:val="clear" w:color="auto"/>
        <w:snapToGrid w:val="0"/>
        <w:spacing w:line="500" w:lineRule="exact"/>
        <w:ind w:firstLine="420" w:firstLineChars="200"/>
        <w:rPr>
          <w:rFonts w:hint="eastAsia" w:hAnsi="宋体" w:cs="宋体"/>
          <w:color w:val="auto"/>
          <w:sz w:val="21"/>
          <w:szCs w:val="21"/>
          <w:highlight w:val="none"/>
        </w:rPr>
      </w:pPr>
      <w:r>
        <w:rPr>
          <w:rFonts w:hint="eastAsia" w:hAnsi="宋体" w:cs="宋体"/>
          <w:color w:val="auto"/>
          <w:sz w:val="21"/>
          <w:szCs w:val="21"/>
          <w:highlight w:val="none"/>
        </w:rPr>
        <w:t>法定代表人或授权代表（签字或盖章）：</w:t>
      </w:r>
    </w:p>
    <w:p w14:paraId="1B7475CE">
      <w:pPr>
        <w:shd w:val="clear" w:color="auto"/>
        <w:snapToGrid w:val="0"/>
        <w:spacing w:line="500" w:lineRule="exact"/>
        <w:ind w:firstLine="420" w:firstLineChars="200"/>
        <w:rPr>
          <w:rFonts w:hint="eastAsia" w:hAnsi="宋体" w:cs="宋体"/>
          <w:b/>
          <w:bCs/>
          <w:color w:val="auto"/>
          <w:sz w:val="24"/>
          <w:highlight w:val="none"/>
        </w:rPr>
      </w:pPr>
      <w:r>
        <w:rPr>
          <w:rFonts w:hint="eastAsia" w:hAnsi="宋体" w:cs="宋体"/>
          <w:color w:val="auto"/>
          <w:sz w:val="21"/>
          <w:szCs w:val="21"/>
          <w:highlight w:val="none"/>
        </w:rPr>
        <w:t>日期：  年   月  日</w:t>
      </w:r>
    </w:p>
    <w:p w14:paraId="34D7871C">
      <w:pPr>
        <w:shd w:val="clear" w:color="auto"/>
        <w:snapToGrid w:val="0"/>
        <w:spacing w:before="50" w:after="50"/>
        <w:jc w:val="center"/>
        <w:rPr>
          <w:rFonts w:hint="eastAsia" w:hAnsi="宋体" w:cs="宋体"/>
          <w:b/>
          <w:bCs/>
          <w:color w:val="auto"/>
          <w:sz w:val="24"/>
          <w:highlight w:val="none"/>
        </w:rPr>
      </w:pPr>
    </w:p>
    <w:p w14:paraId="6BFC4A88">
      <w:pPr>
        <w:shd w:val="clear" w:color="auto"/>
        <w:snapToGrid w:val="0"/>
        <w:spacing w:before="50" w:after="50"/>
        <w:jc w:val="center"/>
        <w:rPr>
          <w:rFonts w:hint="eastAsia" w:hAnsi="宋体" w:cs="宋体"/>
          <w:b/>
          <w:bCs/>
          <w:color w:val="auto"/>
          <w:sz w:val="24"/>
          <w:highlight w:val="none"/>
        </w:rPr>
      </w:pPr>
    </w:p>
    <w:p w14:paraId="1C1F1A01">
      <w:pPr>
        <w:shd w:val="clear" w:color="auto"/>
        <w:snapToGrid w:val="0"/>
        <w:spacing w:before="50" w:after="50"/>
        <w:jc w:val="center"/>
        <w:rPr>
          <w:rFonts w:hint="eastAsia" w:hAnsi="宋体" w:cs="宋体"/>
          <w:b/>
          <w:bCs/>
          <w:color w:val="auto"/>
          <w:sz w:val="24"/>
          <w:highlight w:val="none"/>
        </w:rPr>
      </w:pPr>
    </w:p>
    <w:p w14:paraId="53215150">
      <w:pPr>
        <w:shd w:val="clear" w:color="auto"/>
        <w:jc w:val="center"/>
        <w:rPr>
          <w:rFonts w:hint="eastAsia" w:hAnsi="宋体" w:cs="宋体"/>
          <w:b/>
          <w:color w:val="auto"/>
          <w:sz w:val="24"/>
          <w:szCs w:val="22"/>
          <w:highlight w:val="none"/>
        </w:rPr>
      </w:pPr>
    </w:p>
    <w:p w14:paraId="7D0D84FE">
      <w:pPr>
        <w:shd w:val="clear" w:color="auto"/>
        <w:jc w:val="center"/>
        <w:rPr>
          <w:rFonts w:hint="eastAsia" w:hAnsi="宋体" w:cs="宋体"/>
          <w:color w:val="auto"/>
          <w:sz w:val="21"/>
          <w:szCs w:val="21"/>
          <w:highlight w:val="none"/>
        </w:rPr>
      </w:pPr>
      <w:r>
        <w:rPr>
          <w:rFonts w:hint="eastAsia" w:hAnsi="宋体" w:cs="宋体"/>
          <w:b/>
          <w:color w:val="auto"/>
          <w:sz w:val="24"/>
          <w:szCs w:val="22"/>
          <w:highlight w:val="none"/>
          <w:lang w:val="en-US" w:eastAsia="zh-CN"/>
        </w:rPr>
        <w:t>5</w:t>
      </w:r>
      <w:r>
        <w:rPr>
          <w:rFonts w:hint="eastAsia" w:hAnsi="宋体" w:cs="宋体"/>
          <w:b/>
          <w:color w:val="auto"/>
          <w:sz w:val="24"/>
          <w:szCs w:val="22"/>
          <w:highlight w:val="none"/>
        </w:rPr>
        <w:t>.拟投入本项目的服务人员配置表</w:t>
      </w:r>
      <w:r>
        <w:rPr>
          <w:rFonts w:hint="eastAsia" w:hAnsi="宋体" w:cs="宋体"/>
          <w:color w:val="auto"/>
          <w:sz w:val="21"/>
          <w:szCs w:val="21"/>
          <w:highlight w:val="none"/>
        </w:rPr>
        <w:t xml:space="preserve">     </w:t>
      </w:r>
    </w:p>
    <w:tbl>
      <w:tblPr>
        <w:tblStyle w:val="48"/>
        <w:tblW w:w="9956" w:type="dxa"/>
        <w:tblInd w:w="0" w:type="dxa"/>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880"/>
        <w:gridCol w:w="2686"/>
        <w:gridCol w:w="767"/>
        <w:gridCol w:w="767"/>
        <w:gridCol w:w="767"/>
        <w:gridCol w:w="1150"/>
        <w:gridCol w:w="1150"/>
        <w:gridCol w:w="1789"/>
      </w:tblGrid>
      <w:tr w14:paraId="35F731A0">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96" w:hRule="atLeast"/>
        </w:trPr>
        <w:tc>
          <w:tcPr>
            <w:tcW w:w="880" w:type="dxa"/>
            <w:noWrap w:val="0"/>
            <w:vAlign w:val="center"/>
          </w:tcPr>
          <w:p w14:paraId="0F99B92B">
            <w:pPr>
              <w:shd w:val="clear" w:color="auto"/>
              <w:snapToGrid w:val="0"/>
              <w:spacing w:line="460" w:lineRule="exact"/>
              <w:jc w:val="center"/>
              <w:rPr>
                <w:rFonts w:hint="eastAsia" w:hAnsi="宋体" w:eastAsia="宋体" w:cs="宋体"/>
                <w:bCs/>
                <w:color w:val="auto"/>
                <w:sz w:val="21"/>
                <w:szCs w:val="21"/>
                <w:highlight w:val="none"/>
              </w:rPr>
            </w:pPr>
            <w:r>
              <w:rPr>
                <w:rFonts w:hint="eastAsia" w:hAnsi="宋体" w:eastAsia="宋体" w:cs="宋体"/>
                <w:bCs/>
                <w:color w:val="auto"/>
                <w:sz w:val="21"/>
                <w:szCs w:val="21"/>
                <w:highlight w:val="none"/>
              </w:rPr>
              <w:t>姓名</w:t>
            </w:r>
          </w:p>
        </w:tc>
        <w:tc>
          <w:tcPr>
            <w:tcW w:w="2686" w:type="dxa"/>
            <w:noWrap w:val="0"/>
            <w:vAlign w:val="center"/>
          </w:tcPr>
          <w:p w14:paraId="52EDE0E8">
            <w:pPr>
              <w:shd w:val="clear" w:color="auto"/>
              <w:snapToGrid w:val="0"/>
              <w:spacing w:line="460" w:lineRule="exact"/>
              <w:jc w:val="center"/>
              <w:rPr>
                <w:rFonts w:hint="eastAsia" w:hAnsi="宋体" w:eastAsia="宋体" w:cs="宋体"/>
                <w:bCs/>
                <w:color w:val="auto"/>
                <w:sz w:val="21"/>
                <w:szCs w:val="21"/>
                <w:highlight w:val="none"/>
              </w:rPr>
            </w:pPr>
            <w:r>
              <w:rPr>
                <w:rFonts w:hint="eastAsia" w:hAnsi="宋体" w:eastAsia="宋体" w:cs="宋体"/>
                <w:bCs/>
                <w:color w:val="auto"/>
                <w:sz w:val="21"/>
                <w:szCs w:val="21"/>
                <w:highlight w:val="none"/>
              </w:rPr>
              <w:t>本项目主要工作</w:t>
            </w:r>
          </w:p>
        </w:tc>
        <w:tc>
          <w:tcPr>
            <w:tcW w:w="767" w:type="dxa"/>
            <w:noWrap w:val="0"/>
            <w:vAlign w:val="center"/>
          </w:tcPr>
          <w:p w14:paraId="5103DE67">
            <w:pPr>
              <w:shd w:val="clear" w:color="auto"/>
              <w:snapToGrid w:val="0"/>
              <w:spacing w:line="460" w:lineRule="exact"/>
              <w:jc w:val="center"/>
              <w:rPr>
                <w:rFonts w:hint="eastAsia" w:hAnsi="宋体" w:eastAsia="宋体" w:cs="宋体"/>
                <w:bCs/>
                <w:color w:val="auto"/>
                <w:sz w:val="21"/>
                <w:szCs w:val="21"/>
                <w:highlight w:val="none"/>
              </w:rPr>
            </w:pPr>
            <w:r>
              <w:rPr>
                <w:rFonts w:hint="eastAsia" w:hAnsi="宋体" w:eastAsia="宋体" w:cs="宋体"/>
                <w:bCs/>
                <w:color w:val="auto"/>
                <w:sz w:val="21"/>
                <w:szCs w:val="21"/>
                <w:highlight w:val="none"/>
              </w:rPr>
              <w:t>年龄</w:t>
            </w:r>
          </w:p>
        </w:tc>
        <w:tc>
          <w:tcPr>
            <w:tcW w:w="767" w:type="dxa"/>
            <w:noWrap w:val="0"/>
            <w:vAlign w:val="center"/>
          </w:tcPr>
          <w:p w14:paraId="7DC1E866">
            <w:pPr>
              <w:shd w:val="clear" w:color="auto"/>
              <w:snapToGrid w:val="0"/>
              <w:spacing w:line="460" w:lineRule="exact"/>
              <w:jc w:val="center"/>
              <w:rPr>
                <w:rFonts w:hint="eastAsia" w:hAnsi="宋体" w:eastAsia="宋体" w:cs="宋体"/>
                <w:bCs/>
                <w:color w:val="auto"/>
                <w:sz w:val="21"/>
                <w:szCs w:val="21"/>
                <w:highlight w:val="none"/>
              </w:rPr>
            </w:pPr>
            <w:r>
              <w:rPr>
                <w:rFonts w:hint="eastAsia" w:hAnsi="宋体" w:eastAsia="宋体" w:cs="宋体"/>
                <w:bCs/>
                <w:color w:val="auto"/>
                <w:sz w:val="21"/>
                <w:szCs w:val="21"/>
                <w:highlight w:val="none"/>
              </w:rPr>
              <w:t>性别</w:t>
            </w:r>
          </w:p>
        </w:tc>
        <w:tc>
          <w:tcPr>
            <w:tcW w:w="767" w:type="dxa"/>
            <w:noWrap w:val="0"/>
            <w:vAlign w:val="center"/>
          </w:tcPr>
          <w:p w14:paraId="61CDE96C">
            <w:pPr>
              <w:shd w:val="clear" w:color="auto"/>
              <w:snapToGrid w:val="0"/>
              <w:spacing w:line="460" w:lineRule="exact"/>
              <w:jc w:val="center"/>
              <w:rPr>
                <w:rFonts w:hint="eastAsia" w:hAnsi="宋体" w:eastAsia="宋体" w:cs="宋体"/>
                <w:bCs/>
                <w:color w:val="auto"/>
                <w:sz w:val="21"/>
                <w:szCs w:val="21"/>
                <w:highlight w:val="none"/>
              </w:rPr>
            </w:pPr>
            <w:r>
              <w:rPr>
                <w:rFonts w:hint="eastAsia" w:hAnsi="宋体" w:eastAsia="宋体" w:cs="宋体"/>
                <w:bCs/>
                <w:color w:val="auto"/>
                <w:sz w:val="21"/>
                <w:szCs w:val="21"/>
                <w:highlight w:val="none"/>
              </w:rPr>
              <w:t>专业</w:t>
            </w:r>
          </w:p>
        </w:tc>
        <w:tc>
          <w:tcPr>
            <w:tcW w:w="1150" w:type="dxa"/>
            <w:noWrap w:val="0"/>
            <w:vAlign w:val="center"/>
          </w:tcPr>
          <w:p w14:paraId="5F4DF91D">
            <w:pPr>
              <w:shd w:val="clear" w:color="auto"/>
              <w:snapToGrid w:val="0"/>
              <w:spacing w:line="460" w:lineRule="exact"/>
              <w:jc w:val="center"/>
              <w:rPr>
                <w:rFonts w:hint="eastAsia" w:hAnsi="宋体" w:eastAsia="宋体" w:cs="宋体"/>
                <w:bCs/>
                <w:color w:val="auto"/>
                <w:sz w:val="21"/>
                <w:szCs w:val="21"/>
                <w:highlight w:val="none"/>
              </w:rPr>
            </w:pPr>
            <w:r>
              <w:rPr>
                <w:rFonts w:hint="eastAsia" w:hAnsi="宋体" w:eastAsia="宋体" w:cs="宋体"/>
                <w:bCs/>
                <w:color w:val="auto"/>
                <w:sz w:val="21"/>
                <w:szCs w:val="21"/>
                <w:highlight w:val="none"/>
              </w:rPr>
              <w:t>专业</w:t>
            </w:r>
          </w:p>
          <w:p w14:paraId="2C4DD7F5">
            <w:pPr>
              <w:shd w:val="clear" w:color="auto"/>
              <w:snapToGrid w:val="0"/>
              <w:spacing w:line="460" w:lineRule="exact"/>
              <w:jc w:val="center"/>
              <w:rPr>
                <w:rFonts w:hint="eastAsia" w:hAnsi="宋体" w:eastAsia="宋体" w:cs="宋体"/>
                <w:bCs/>
                <w:color w:val="auto"/>
                <w:sz w:val="21"/>
                <w:szCs w:val="21"/>
                <w:highlight w:val="none"/>
              </w:rPr>
            </w:pPr>
            <w:r>
              <w:rPr>
                <w:rFonts w:hint="eastAsia" w:hAnsi="宋体" w:eastAsia="宋体" w:cs="宋体"/>
                <w:bCs/>
                <w:color w:val="auto"/>
                <w:sz w:val="21"/>
                <w:szCs w:val="21"/>
                <w:highlight w:val="none"/>
              </w:rPr>
              <w:t>年限</w:t>
            </w:r>
          </w:p>
        </w:tc>
        <w:tc>
          <w:tcPr>
            <w:tcW w:w="1150" w:type="dxa"/>
            <w:noWrap w:val="0"/>
            <w:vAlign w:val="center"/>
          </w:tcPr>
          <w:p w14:paraId="5ACCEA4B">
            <w:pPr>
              <w:shd w:val="clear" w:color="auto"/>
              <w:snapToGrid w:val="0"/>
              <w:spacing w:line="460" w:lineRule="exact"/>
              <w:jc w:val="center"/>
              <w:rPr>
                <w:rFonts w:hint="eastAsia" w:hAnsi="宋体" w:eastAsia="宋体" w:cs="宋体"/>
                <w:bCs/>
                <w:color w:val="auto"/>
                <w:sz w:val="21"/>
                <w:szCs w:val="21"/>
                <w:highlight w:val="none"/>
              </w:rPr>
            </w:pPr>
            <w:r>
              <w:rPr>
                <w:rFonts w:hint="eastAsia" w:hAnsi="宋体" w:eastAsia="宋体" w:cs="宋体"/>
                <w:bCs/>
                <w:color w:val="auto"/>
                <w:sz w:val="21"/>
                <w:szCs w:val="21"/>
                <w:highlight w:val="none"/>
              </w:rPr>
              <w:t>职务和职称、资格</w:t>
            </w:r>
          </w:p>
        </w:tc>
        <w:tc>
          <w:tcPr>
            <w:tcW w:w="1789" w:type="dxa"/>
            <w:noWrap w:val="0"/>
            <w:vAlign w:val="center"/>
          </w:tcPr>
          <w:p w14:paraId="5B714D41">
            <w:pPr>
              <w:shd w:val="clear" w:color="auto"/>
              <w:snapToGrid w:val="0"/>
              <w:spacing w:line="460" w:lineRule="exact"/>
              <w:jc w:val="center"/>
              <w:rPr>
                <w:rFonts w:hint="eastAsia" w:hAnsi="宋体" w:eastAsia="宋体" w:cs="宋体"/>
                <w:bCs/>
                <w:color w:val="auto"/>
                <w:sz w:val="21"/>
                <w:szCs w:val="21"/>
                <w:highlight w:val="none"/>
              </w:rPr>
            </w:pPr>
            <w:r>
              <w:rPr>
                <w:rFonts w:hint="eastAsia" w:hAnsi="宋体" w:eastAsia="宋体" w:cs="宋体"/>
                <w:bCs/>
                <w:color w:val="auto"/>
                <w:sz w:val="21"/>
                <w:szCs w:val="21"/>
                <w:highlight w:val="none"/>
              </w:rPr>
              <w:t>联系方式</w:t>
            </w:r>
          </w:p>
        </w:tc>
      </w:tr>
      <w:tr w14:paraId="78C1E9AE">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554" w:hRule="atLeast"/>
        </w:trPr>
        <w:tc>
          <w:tcPr>
            <w:tcW w:w="880" w:type="dxa"/>
            <w:noWrap w:val="0"/>
            <w:vAlign w:val="center"/>
          </w:tcPr>
          <w:p w14:paraId="3484A37A">
            <w:pPr>
              <w:shd w:val="clear" w:color="auto"/>
              <w:snapToGrid w:val="0"/>
              <w:spacing w:line="460" w:lineRule="exact"/>
              <w:rPr>
                <w:rFonts w:hint="eastAsia" w:hAnsi="宋体" w:eastAsia="宋体" w:cs="宋体"/>
                <w:color w:val="auto"/>
                <w:sz w:val="21"/>
                <w:szCs w:val="21"/>
                <w:highlight w:val="none"/>
              </w:rPr>
            </w:pPr>
          </w:p>
        </w:tc>
        <w:tc>
          <w:tcPr>
            <w:tcW w:w="2686" w:type="dxa"/>
            <w:noWrap w:val="0"/>
            <w:vAlign w:val="center"/>
          </w:tcPr>
          <w:p w14:paraId="303DFBA8">
            <w:pPr>
              <w:pStyle w:val="72"/>
              <w:widowControl w:val="0"/>
              <w:pBdr>
                <w:left w:val="none" w:color="auto" w:sz="0" w:space="0"/>
                <w:bottom w:val="none" w:color="auto" w:sz="0" w:space="0"/>
                <w:right w:val="none" w:color="auto" w:sz="0" w:space="0"/>
              </w:pBdr>
              <w:shd w:val="clear" w:color="auto"/>
              <w:snapToGrid w:val="0"/>
              <w:spacing w:before="0" w:beforeAutospacing="0" w:after="0" w:afterAutospacing="0" w:line="460" w:lineRule="exact"/>
              <w:textAlignment w:val="auto"/>
              <w:rPr>
                <w:rFonts w:hint="eastAsia" w:ascii="宋体" w:hAnsi="宋体" w:eastAsia="宋体" w:cs="宋体"/>
                <w:color w:val="auto"/>
                <w:sz w:val="21"/>
                <w:szCs w:val="21"/>
                <w:highlight w:val="none"/>
              </w:rPr>
            </w:pPr>
          </w:p>
        </w:tc>
        <w:tc>
          <w:tcPr>
            <w:tcW w:w="767" w:type="dxa"/>
            <w:noWrap w:val="0"/>
            <w:vAlign w:val="center"/>
          </w:tcPr>
          <w:p w14:paraId="7486C8C5">
            <w:pPr>
              <w:shd w:val="clear" w:color="auto"/>
              <w:snapToGrid w:val="0"/>
              <w:spacing w:line="460" w:lineRule="exact"/>
              <w:rPr>
                <w:rFonts w:hint="eastAsia" w:hAnsi="宋体" w:eastAsia="宋体" w:cs="宋体"/>
                <w:color w:val="auto"/>
                <w:sz w:val="21"/>
                <w:szCs w:val="21"/>
                <w:highlight w:val="none"/>
              </w:rPr>
            </w:pPr>
          </w:p>
        </w:tc>
        <w:tc>
          <w:tcPr>
            <w:tcW w:w="767" w:type="dxa"/>
            <w:noWrap w:val="0"/>
            <w:vAlign w:val="center"/>
          </w:tcPr>
          <w:p w14:paraId="2F716B51">
            <w:pPr>
              <w:shd w:val="clear" w:color="auto"/>
              <w:snapToGrid w:val="0"/>
              <w:spacing w:line="460" w:lineRule="exact"/>
              <w:rPr>
                <w:rFonts w:hint="eastAsia" w:hAnsi="宋体" w:eastAsia="宋体" w:cs="宋体"/>
                <w:color w:val="auto"/>
                <w:sz w:val="21"/>
                <w:szCs w:val="21"/>
                <w:highlight w:val="none"/>
              </w:rPr>
            </w:pPr>
          </w:p>
        </w:tc>
        <w:tc>
          <w:tcPr>
            <w:tcW w:w="767" w:type="dxa"/>
            <w:noWrap w:val="0"/>
            <w:vAlign w:val="center"/>
          </w:tcPr>
          <w:p w14:paraId="6C546788">
            <w:pPr>
              <w:shd w:val="clear" w:color="auto"/>
              <w:snapToGrid w:val="0"/>
              <w:spacing w:line="460" w:lineRule="exact"/>
              <w:rPr>
                <w:rFonts w:hint="eastAsia" w:hAnsi="宋体" w:eastAsia="宋体" w:cs="宋体"/>
                <w:color w:val="auto"/>
                <w:sz w:val="21"/>
                <w:szCs w:val="21"/>
                <w:highlight w:val="none"/>
              </w:rPr>
            </w:pPr>
          </w:p>
        </w:tc>
        <w:tc>
          <w:tcPr>
            <w:tcW w:w="1150" w:type="dxa"/>
            <w:noWrap w:val="0"/>
            <w:vAlign w:val="center"/>
          </w:tcPr>
          <w:p w14:paraId="505EA173">
            <w:pPr>
              <w:shd w:val="clear" w:color="auto"/>
              <w:snapToGrid w:val="0"/>
              <w:spacing w:line="460" w:lineRule="exact"/>
              <w:rPr>
                <w:rFonts w:hint="eastAsia" w:hAnsi="宋体" w:eastAsia="宋体" w:cs="宋体"/>
                <w:color w:val="auto"/>
                <w:sz w:val="21"/>
                <w:szCs w:val="21"/>
                <w:highlight w:val="none"/>
              </w:rPr>
            </w:pPr>
          </w:p>
        </w:tc>
        <w:tc>
          <w:tcPr>
            <w:tcW w:w="1150" w:type="dxa"/>
            <w:noWrap w:val="0"/>
            <w:vAlign w:val="center"/>
          </w:tcPr>
          <w:p w14:paraId="6F16E89C">
            <w:pPr>
              <w:pStyle w:val="29"/>
              <w:shd w:val="clear" w:color="auto"/>
              <w:snapToGrid w:val="0"/>
              <w:spacing w:line="460" w:lineRule="exact"/>
              <w:ind w:left="8500"/>
              <w:rPr>
                <w:rFonts w:hint="eastAsia" w:ascii="宋体" w:hAnsi="宋体" w:cs="宋体"/>
                <w:color w:val="auto"/>
                <w:sz w:val="21"/>
                <w:szCs w:val="21"/>
                <w:highlight w:val="none"/>
              </w:rPr>
            </w:pPr>
          </w:p>
        </w:tc>
        <w:tc>
          <w:tcPr>
            <w:tcW w:w="1789" w:type="dxa"/>
            <w:noWrap w:val="0"/>
            <w:vAlign w:val="center"/>
          </w:tcPr>
          <w:p w14:paraId="7F22C001">
            <w:pPr>
              <w:shd w:val="clear" w:color="auto"/>
              <w:snapToGrid w:val="0"/>
              <w:spacing w:line="460" w:lineRule="exact"/>
              <w:rPr>
                <w:rFonts w:hint="eastAsia" w:hAnsi="宋体" w:eastAsia="宋体" w:cs="宋体"/>
                <w:color w:val="auto"/>
                <w:sz w:val="21"/>
                <w:szCs w:val="21"/>
                <w:highlight w:val="none"/>
              </w:rPr>
            </w:pPr>
          </w:p>
        </w:tc>
      </w:tr>
      <w:tr w14:paraId="175D9F32">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96" w:hRule="atLeast"/>
        </w:trPr>
        <w:tc>
          <w:tcPr>
            <w:tcW w:w="880" w:type="dxa"/>
            <w:noWrap w:val="0"/>
            <w:vAlign w:val="center"/>
          </w:tcPr>
          <w:p w14:paraId="669DE3B9">
            <w:pPr>
              <w:shd w:val="clear" w:color="auto"/>
              <w:snapToGrid w:val="0"/>
              <w:spacing w:line="460" w:lineRule="exact"/>
              <w:rPr>
                <w:rFonts w:hint="eastAsia" w:hAnsi="宋体" w:eastAsia="宋体" w:cs="宋体"/>
                <w:color w:val="auto"/>
                <w:sz w:val="21"/>
                <w:szCs w:val="21"/>
                <w:highlight w:val="none"/>
              </w:rPr>
            </w:pPr>
          </w:p>
        </w:tc>
        <w:tc>
          <w:tcPr>
            <w:tcW w:w="2686" w:type="dxa"/>
            <w:noWrap w:val="0"/>
            <w:vAlign w:val="center"/>
          </w:tcPr>
          <w:p w14:paraId="2D3C7077">
            <w:pPr>
              <w:shd w:val="clear" w:color="auto"/>
              <w:snapToGrid w:val="0"/>
              <w:spacing w:line="460" w:lineRule="exact"/>
              <w:rPr>
                <w:rFonts w:hint="eastAsia" w:hAnsi="宋体" w:eastAsia="宋体" w:cs="宋体"/>
                <w:color w:val="auto"/>
                <w:sz w:val="21"/>
                <w:szCs w:val="21"/>
                <w:highlight w:val="none"/>
              </w:rPr>
            </w:pPr>
          </w:p>
        </w:tc>
        <w:tc>
          <w:tcPr>
            <w:tcW w:w="767" w:type="dxa"/>
            <w:noWrap w:val="0"/>
            <w:vAlign w:val="center"/>
          </w:tcPr>
          <w:p w14:paraId="095B0701">
            <w:pPr>
              <w:shd w:val="clear" w:color="auto"/>
              <w:snapToGrid w:val="0"/>
              <w:spacing w:line="460" w:lineRule="exact"/>
              <w:rPr>
                <w:rFonts w:hint="eastAsia" w:hAnsi="宋体" w:eastAsia="宋体" w:cs="宋体"/>
                <w:color w:val="auto"/>
                <w:sz w:val="21"/>
                <w:szCs w:val="21"/>
                <w:highlight w:val="none"/>
              </w:rPr>
            </w:pPr>
          </w:p>
        </w:tc>
        <w:tc>
          <w:tcPr>
            <w:tcW w:w="767" w:type="dxa"/>
            <w:noWrap w:val="0"/>
            <w:vAlign w:val="center"/>
          </w:tcPr>
          <w:p w14:paraId="6B23FFDF">
            <w:pPr>
              <w:shd w:val="clear" w:color="auto"/>
              <w:snapToGrid w:val="0"/>
              <w:spacing w:line="460" w:lineRule="exact"/>
              <w:rPr>
                <w:rFonts w:hint="eastAsia" w:hAnsi="宋体" w:eastAsia="宋体" w:cs="宋体"/>
                <w:color w:val="auto"/>
                <w:sz w:val="21"/>
                <w:szCs w:val="21"/>
                <w:highlight w:val="none"/>
              </w:rPr>
            </w:pPr>
          </w:p>
        </w:tc>
        <w:tc>
          <w:tcPr>
            <w:tcW w:w="767" w:type="dxa"/>
            <w:noWrap w:val="0"/>
            <w:vAlign w:val="center"/>
          </w:tcPr>
          <w:p w14:paraId="636EA5C9">
            <w:pPr>
              <w:shd w:val="clear" w:color="auto"/>
              <w:snapToGrid w:val="0"/>
              <w:spacing w:line="460" w:lineRule="exact"/>
              <w:rPr>
                <w:rFonts w:hint="eastAsia" w:hAnsi="宋体" w:eastAsia="宋体" w:cs="宋体"/>
                <w:color w:val="auto"/>
                <w:sz w:val="21"/>
                <w:szCs w:val="21"/>
                <w:highlight w:val="none"/>
              </w:rPr>
            </w:pPr>
          </w:p>
        </w:tc>
        <w:tc>
          <w:tcPr>
            <w:tcW w:w="1150" w:type="dxa"/>
            <w:noWrap w:val="0"/>
            <w:vAlign w:val="center"/>
          </w:tcPr>
          <w:p w14:paraId="51F7CD74">
            <w:pPr>
              <w:shd w:val="clear" w:color="auto"/>
              <w:snapToGrid w:val="0"/>
              <w:spacing w:line="460" w:lineRule="exact"/>
              <w:rPr>
                <w:rFonts w:hint="eastAsia" w:hAnsi="宋体" w:eastAsia="宋体" w:cs="宋体"/>
                <w:color w:val="auto"/>
                <w:sz w:val="21"/>
                <w:szCs w:val="21"/>
                <w:highlight w:val="none"/>
              </w:rPr>
            </w:pPr>
          </w:p>
        </w:tc>
        <w:tc>
          <w:tcPr>
            <w:tcW w:w="1150" w:type="dxa"/>
            <w:noWrap w:val="0"/>
            <w:vAlign w:val="center"/>
          </w:tcPr>
          <w:p w14:paraId="0F7931EA">
            <w:pPr>
              <w:shd w:val="clear" w:color="auto"/>
              <w:snapToGrid w:val="0"/>
              <w:spacing w:line="460" w:lineRule="exact"/>
              <w:rPr>
                <w:rFonts w:hint="eastAsia" w:hAnsi="宋体" w:eastAsia="宋体" w:cs="宋体"/>
                <w:color w:val="auto"/>
                <w:sz w:val="21"/>
                <w:szCs w:val="21"/>
                <w:highlight w:val="none"/>
              </w:rPr>
            </w:pPr>
          </w:p>
        </w:tc>
        <w:tc>
          <w:tcPr>
            <w:tcW w:w="1789" w:type="dxa"/>
            <w:noWrap w:val="0"/>
            <w:vAlign w:val="center"/>
          </w:tcPr>
          <w:p w14:paraId="20D8F73B">
            <w:pPr>
              <w:shd w:val="clear" w:color="auto"/>
              <w:snapToGrid w:val="0"/>
              <w:spacing w:line="460" w:lineRule="exact"/>
              <w:rPr>
                <w:rFonts w:hint="eastAsia" w:hAnsi="宋体" w:eastAsia="宋体" w:cs="宋体"/>
                <w:color w:val="auto"/>
                <w:sz w:val="21"/>
                <w:szCs w:val="21"/>
                <w:highlight w:val="none"/>
              </w:rPr>
            </w:pPr>
          </w:p>
        </w:tc>
      </w:tr>
      <w:tr w14:paraId="2A82FAD2">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96" w:hRule="atLeast"/>
        </w:trPr>
        <w:tc>
          <w:tcPr>
            <w:tcW w:w="880" w:type="dxa"/>
            <w:noWrap w:val="0"/>
            <w:vAlign w:val="center"/>
          </w:tcPr>
          <w:p w14:paraId="1029F4B8">
            <w:pPr>
              <w:shd w:val="clear" w:color="auto"/>
              <w:snapToGrid w:val="0"/>
              <w:spacing w:line="460" w:lineRule="exact"/>
              <w:rPr>
                <w:rFonts w:hint="eastAsia" w:hAnsi="宋体" w:eastAsia="宋体" w:cs="宋体"/>
                <w:color w:val="auto"/>
                <w:sz w:val="21"/>
                <w:szCs w:val="21"/>
                <w:highlight w:val="none"/>
              </w:rPr>
            </w:pPr>
          </w:p>
        </w:tc>
        <w:tc>
          <w:tcPr>
            <w:tcW w:w="2686" w:type="dxa"/>
            <w:noWrap w:val="0"/>
            <w:vAlign w:val="center"/>
          </w:tcPr>
          <w:p w14:paraId="458E23CE">
            <w:pPr>
              <w:shd w:val="clear" w:color="auto"/>
              <w:snapToGrid w:val="0"/>
              <w:spacing w:line="460" w:lineRule="exact"/>
              <w:rPr>
                <w:rFonts w:hint="eastAsia" w:hAnsi="宋体" w:eastAsia="宋体" w:cs="宋体"/>
                <w:color w:val="auto"/>
                <w:sz w:val="21"/>
                <w:szCs w:val="21"/>
                <w:highlight w:val="none"/>
              </w:rPr>
            </w:pPr>
          </w:p>
        </w:tc>
        <w:tc>
          <w:tcPr>
            <w:tcW w:w="767" w:type="dxa"/>
            <w:noWrap w:val="0"/>
            <w:vAlign w:val="center"/>
          </w:tcPr>
          <w:p w14:paraId="631F98A9">
            <w:pPr>
              <w:shd w:val="clear" w:color="auto"/>
              <w:snapToGrid w:val="0"/>
              <w:spacing w:line="460" w:lineRule="exact"/>
              <w:rPr>
                <w:rFonts w:hint="eastAsia" w:hAnsi="宋体" w:eastAsia="宋体" w:cs="宋体"/>
                <w:color w:val="auto"/>
                <w:sz w:val="21"/>
                <w:szCs w:val="21"/>
                <w:highlight w:val="none"/>
              </w:rPr>
            </w:pPr>
          </w:p>
        </w:tc>
        <w:tc>
          <w:tcPr>
            <w:tcW w:w="767" w:type="dxa"/>
            <w:noWrap w:val="0"/>
            <w:vAlign w:val="center"/>
          </w:tcPr>
          <w:p w14:paraId="7CAA241E">
            <w:pPr>
              <w:shd w:val="clear" w:color="auto"/>
              <w:snapToGrid w:val="0"/>
              <w:spacing w:line="460" w:lineRule="exact"/>
              <w:rPr>
                <w:rFonts w:hint="eastAsia" w:hAnsi="宋体" w:eastAsia="宋体" w:cs="宋体"/>
                <w:color w:val="auto"/>
                <w:sz w:val="21"/>
                <w:szCs w:val="21"/>
                <w:highlight w:val="none"/>
              </w:rPr>
            </w:pPr>
          </w:p>
        </w:tc>
        <w:tc>
          <w:tcPr>
            <w:tcW w:w="767" w:type="dxa"/>
            <w:noWrap w:val="0"/>
            <w:vAlign w:val="center"/>
          </w:tcPr>
          <w:p w14:paraId="4C55C6D2">
            <w:pPr>
              <w:shd w:val="clear" w:color="auto"/>
              <w:snapToGrid w:val="0"/>
              <w:spacing w:line="460" w:lineRule="exact"/>
              <w:rPr>
                <w:rFonts w:hint="eastAsia" w:hAnsi="宋体" w:eastAsia="宋体" w:cs="宋体"/>
                <w:color w:val="auto"/>
                <w:sz w:val="21"/>
                <w:szCs w:val="21"/>
                <w:highlight w:val="none"/>
              </w:rPr>
            </w:pPr>
          </w:p>
        </w:tc>
        <w:tc>
          <w:tcPr>
            <w:tcW w:w="1150" w:type="dxa"/>
            <w:noWrap w:val="0"/>
            <w:vAlign w:val="center"/>
          </w:tcPr>
          <w:p w14:paraId="3133802F">
            <w:pPr>
              <w:shd w:val="clear" w:color="auto"/>
              <w:snapToGrid w:val="0"/>
              <w:spacing w:line="460" w:lineRule="exact"/>
              <w:rPr>
                <w:rFonts w:hint="eastAsia" w:hAnsi="宋体" w:eastAsia="宋体" w:cs="宋体"/>
                <w:color w:val="auto"/>
                <w:sz w:val="21"/>
                <w:szCs w:val="21"/>
                <w:highlight w:val="none"/>
              </w:rPr>
            </w:pPr>
          </w:p>
        </w:tc>
        <w:tc>
          <w:tcPr>
            <w:tcW w:w="1150" w:type="dxa"/>
            <w:noWrap w:val="0"/>
            <w:vAlign w:val="center"/>
          </w:tcPr>
          <w:p w14:paraId="7F27C258">
            <w:pPr>
              <w:shd w:val="clear" w:color="auto"/>
              <w:snapToGrid w:val="0"/>
              <w:spacing w:line="460" w:lineRule="exact"/>
              <w:rPr>
                <w:rFonts w:hint="eastAsia" w:hAnsi="宋体" w:eastAsia="宋体" w:cs="宋体"/>
                <w:color w:val="auto"/>
                <w:sz w:val="21"/>
                <w:szCs w:val="21"/>
                <w:highlight w:val="none"/>
              </w:rPr>
            </w:pPr>
          </w:p>
        </w:tc>
        <w:tc>
          <w:tcPr>
            <w:tcW w:w="1789" w:type="dxa"/>
            <w:noWrap w:val="0"/>
            <w:vAlign w:val="center"/>
          </w:tcPr>
          <w:p w14:paraId="5A7C9C31">
            <w:pPr>
              <w:shd w:val="clear" w:color="auto"/>
              <w:snapToGrid w:val="0"/>
              <w:spacing w:line="460" w:lineRule="exact"/>
              <w:rPr>
                <w:rFonts w:hint="eastAsia" w:hAnsi="宋体" w:eastAsia="宋体" w:cs="宋体"/>
                <w:color w:val="auto"/>
                <w:sz w:val="21"/>
                <w:szCs w:val="21"/>
                <w:highlight w:val="none"/>
              </w:rPr>
            </w:pPr>
          </w:p>
        </w:tc>
      </w:tr>
      <w:tr w14:paraId="4F6360FE">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96" w:hRule="atLeast"/>
        </w:trPr>
        <w:tc>
          <w:tcPr>
            <w:tcW w:w="880" w:type="dxa"/>
            <w:noWrap w:val="0"/>
            <w:vAlign w:val="center"/>
          </w:tcPr>
          <w:p w14:paraId="0DC31D64">
            <w:pPr>
              <w:shd w:val="clear" w:color="auto"/>
              <w:snapToGrid w:val="0"/>
              <w:spacing w:line="460" w:lineRule="exact"/>
              <w:rPr>
                <w:rFonts w:hint="eastAsia" w:hAnsi="宋体" w:eastAsia="宋体" w:cs="宋体"/>
                <w:color w:val="auto"/>
                <w:sz w:val="21"/>
                <w:szCs w:val="21"/>
                <w:highlight w:val="none"/>
              </w:rPr>
            </w:pPr>
          </w:p>
        </w:tc>
        <w:tc>
          <w:tcPr>
            <w:tcW w:w="2686" w:type="dxa"/>
            <w:noWrap w:val="0"/>
            <w:vAlign w:val="center"/>
          </w:tcPr>
          <w:p w14:paraId="33FE776B">
            <w:pPr>
              <w:shd w:val="clear" w:color="auto"/>
              <w:snapToGrid w:val="0"/>
              <w:spacing w:line="460" w:lineRule="exact"/>
              <w:rPr>
                <w:rFonts w:hint="eastAsia" w:hAnsi="宋体" w:eastAsia="宋体" w:cs="宋体"/>
                <w:color w:val="auto"/>
                <w:sz w:val="21"/>
                <w:szCs w:val="21"/>
                <w:highlight w:val="none"/>
              </w:rPr>
            </w:pPr>
          </w:p>
        </w:tc>
        <w:tc>
          <w:tcPr>
            <w:tcW w:w="767" w:type="dxa"/>
            <w:noWrap w:val="0"/>
            <w:vAlign w:val="center"/>
          </w:tcPr>
          <w:p w14:paraId="645BDA9F">
            <w:pPr>
              <w:shd w:val="clear" w:color="auto"/>
              <w:snapToGrid w:val="0"/>
              <w:spacing w:line="460" w:lineRule="exact"/>
              <w:rPr>
                <w:rFonts w:hint="eastAsia" w:hAnsi="宋体" w:eastAsia="宋体" w:cs="宋体"/>
                <w:color w:val="auto"/>
                <w:sz w:val="21"/>
                <w:szCs w:val="21"/>
                <w:highlight w:val="none"/>
              </w:rPr>
            </w:pPr>
          </w:p>
        </w:tc>
        <w:tc>
          <w:tcPr>
            <w:tcW w:w="767" w:type="dxa"/>
            <w:noWrap w:val="0"/>
            <w:vAlign w:val="center"/>
          </w:tcPr>
          <w:p w14:paraId="6D0BABE5">
            <w:pPr>
              <w:shd w:val="clear" w:color="auto"/>
              <w:snapToGrid w:val="0"/>
              <w:spacing w:line="460" w:lineRule="exact"/>
              <w:rPr>
                <w:rFonts w:hint="eastAsia" w:hAnsi="宋体" w:eastAsia="宋体" w:cs="宋体"/>
                <w:color w:val="auto"/>
                <w:sz w:val="21"/>
                <w:szCs w:val="21"/>
                <w:highlight w:val="none"/>
              </w:rPr>
            </w:pPr>
          </w:p>
        </w:tc>
        <w:tc>
          <w:tcPr>
            <w:tcW w:w="767" w:type="dxa"/>
            <w:noWrap w:val="0"/>
            <w:vAlign w:val="center"/>
          </w:tcPr>
          <w:p w14:paraId="49F6D4D8">
            <w:pPr>
              <w:shd w:val="clear" w:color="auto"/>
              <w:snapToGrid w:val="0"/>
              <w:spacing w:line="460" w:lineRule="exact"/>
              <w:rPr>
                <w:rFonts w:hint="eastAsia" w:hAnsi="宋体" w:eastAsia="宋体" w:cs="宋体"/>
                <w:color w:val="auto"/>
                <w:sz w:val="21"/>
                <w:szCs w:val="21"/>
                <w:highlight w:val="none"/>
              </w:rPr>
            </w:pPr>
          </w:p>
        </w:tc>
        <w:tc>
          <w:tcPr>
            <w:tcW w:w="1150" w:type="dxa"/>
            <w:noWrap w:val="0"/>
            <w:vAlign w:val="center"/>
          </w:tcPr>
          <w:p w14:paraId="269681A3">
            <w:pPr>
              <w:shd w:val="clear" w:color="auto"/>
              <w:snapToGrid w:val="0"/>
              <w:spacing w:line="460" w:lineRule="exact"/>
              <w:rPr>
                <w:rFonts w:hint="eastAsia" w:hAnsi="宋体" w:eastAsia="宋体" w:cs="宋体"/>
                <w:color w:val="auto"/>
                <w:sz w:val="21"/>
                <w:szCs w:val="21"/>
                <w:highlight w:val="none"/>
              </w:rPr>
            </w:pPr>
          </w:p>
        </w:tc>
        <w:tc>
          <w:tcPr>
            <w:tcW w:w="1150" w:type="dxa"/>
            <w:noWrap w:val="0"/>
            <w:vAlign w:val="center"/>
          </w:tcPr>
          <w:p w14:paraId="6F7B9C02">
            <w:pPr>
              <w:shd w:val="clear" w:color="auto"/>
              <w:snapToGrid w:val="0"/>
              <w:spacing w:line="460" w:lineRule="exact"/>
              <w:rPr>
                <w:rFonts w:hint="eastAsia" w:hAnsi="宋体" w:eastAsia="宋体" w:cs="宋体"/>
                <w:color w:val="auto"/>
                <w:sz w:val="21"/>
                <w:szCs w:val="21"/>
                <w:highlight w:val="none"/>
              </w:rPr>
            </w:pPr>
          </w:p>
        </w:tc>
        <w:tc>
          <w:tcPr>
            <w:tcW w:w="1789" w:type="dxa"/>
            <w:noWrap w:val="0"/>
            <w:vAlign w:val="center"/>
          </w:tcPr>
          <w:p w14:paraId="53CBE09A">
            <w:pPr>
              <w:shd w:val="clear" w:color="auto"/>
              <w:snapToGrid w:val="0"/>
              <w:spacing w:line="460" w:lineRule="exact"/>
              <w:rPr>
                <w:rFonts w:hint="eastAsia" w:hAnsi="宋体" w:eastAsia="宋体" w:cs="宋体"/>
                <w:color w:val="auto"/>
                <w:sz w:val="21"/>
                <w:szCs w:val="21"/>
                <w:highlight w:val="none"/>
              </w:rPr>
            </w:pPr>
          </w:p>
        </w:tc>
      </w:tr>
      <w:tr w14:paraId="3901BDDA">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96" w:hRule="atLeast"/>
        </w:trPr>
        <w:tc>
          <w:tcPr>
            <w:tcW w:w="880" w:type="dxa"/>
            <w:noWrap w:val="0"/>
            <w:vAlign w:val="center"/>
          </w:tcPr>
          <w:p w14:paraId="27CB421E">
            <w:pPr>
              <w:shd w:val="clear" w:color="auto"/>
              <w:snapToGrid w:val="0"/>
              <w:spacing w:line="460" w:lineRule="exact"/>
              <w:rPr>
                <w:rFonts w:hint="eastAsia" w:hAnsi="宋体" w:eastAsia="宋体" w:cs="宋体"/>
                <w:color w:val="auto"/>
                <w:sz w:val="21"/>
                <w:szCs w:val="21"/>
                <w:highlight w:val="none"/>
              </w:rPr>
            </w:pPr>
          </w:p>
        </w:tc>
        <w:tc>
          <w:tcPr>
            <w:tcW w:w="2686" w:type="dxa"/>
            <w:noWrap w:val="0"/>
            <w:vAlign w:val="center"/>
          </w:tcPr>
          <w:p w14:paraId="14CA2B43">
            <w:pPr>
              <w:shd w:val="clear" w:color="auto"/>
              <w:snapToGrid w:val="0"/>
              <w:spacing w:line="460" w:lineRule="exact"/>
              <w:rPr>
                <w:rFonts w:hint="eastAsia" w:hAnsi="宋体" w:eastAsia="宋体" w:cs="宋体"/>
                <w:color w:val="auto"/>
                <w:sz w:val="21"/>
                <w:szCs w:val="21"/>
                <w:highlight w:val="none"/>
              </w:rPr>
            </w:pPr>
          </w:p>
        </w:tc>
        <w:tc>
          <w:tcPr>
            <w:tcW w:w="767" w:type="dxa"/>
            <w:noWrap w:val="0"/>
            <w:vAlign w:val="center"/>
          </w:tcPr>
          <w:p w14:paraId="50592806">
            <w:pPr>
              <w:shd w:val="clear" w:color="auto"/>
              <w:snapToGrid w:val="0"/>
              <w:spacing w:line="460" w:lineRule="exact"/>
              <w:rPr>
                <w:rFonts w:hint="eastAsia" w:hAnsi="宋体" w:eastAsia="宋体" w:cs="宋体"/>
                <w:color w:val="auto"/>
                <w:sz w:val="21"/>
                <w:szCs w:val="21"/>
                <w:highlight w:val="none"/>
              </w:rPr>
            </w:pPr>
          </w:p>
        </w:tc>
        <w:tc>
          <w:tcPr>
            <w:tcW w:w="767" w:type="dxa"/>
            <w:noWrap w:val="0"/>
            <w:vAlign w:val="center"/>
          </w:tcPr>
          <w:p w14:paraId="07D91F50">
            <w:pPr>
              <w:shd w:val="clear" w:color="auto"/>
              <w:snapToGrid w:val="0"/>
              <w:spacing w:line="460" w:lineRule="exact"/>
              <w:rPr>
                <w:rFonts w:hint="eastAsia" w:hAnsi="宋体" w:eastAsia="宋体" w:cs="宋体"/>
                <w:color w:val="auto"/>
                <w:sz w:val="21"/>
                <w:szCs w:val="21"/>
                <w:highlight w:val="none"/>
              </w:rPr>
            </w:pPr>
          </w:p>
        </w:tc>
        <w:tc>
          <w:tcPr>
            <w:tcW w:w="767" w:type="dxa"/>
            <w:noWrap w:val="0"/>
            <w:vAlign w:val="center"/>
          </w:tcPr>
          <w:p w14:paraId="3D0CA71A">
            <w:pPr>
              <w:shd w:val="clear" w:color="auto"/>
              <w:snapToGrid w:val="0"/>
              <w:spacing w:line="460" w:lineRule="exact"/>
              <w:rPr>
                <w:rFonts w:hint="eastAsia" w:hAnsi="宋体" w:eastAsia="宋体" w:cs="宋体"/>
                <w:color w:val="auto"/>
                <w:sz w:val="21"/>
                <w:szCs w:val="21"/>
                <w:highlight w:val="none"/>
              </w:rPr>
            </w:pPr>
          </w:p>
        </w:tc>
        <w:tc>
          <w:tcPr>
            <w:tcW w:w="1150" w:type="dxa"/>
            <w:noWrap w:val="0"/>
            <w:vAlign w:val="center"/>
          </w:tcPr>
          <w:p w14:paraId="77B369C2">
            <w:pPr>
              <w:shd w:val="clear" w:color="auto"/>
              <w:snapToGrid w:val="0"/>
              <w:spacing w:line="460" w:lineRule="exact"/>
              <w:rPr>
                <w:rFonts w:hint="eastAsia" w:hAnsi="宋体" w:eastAsia="宋体" w:cs="宋体"/>
                <w:color w:val="auto"/>
                <w:sz w:val="21"/>
                <w:szCs w:val="21"/>
                <w:highlight w:val="none"/>
              </w:rPr>
            </w:pPr>
          </w:p>
        </w:tc>
        <w:tc>
          <w:tcPr>
            <w:tcW w:w="1150" w:type="dxa"/>
            <w:noWrap w:val="0"/>
            <w:vAlign w:val="center"/>
          </w:tcPr>
          <w:p w14:paraId="5A530227">
            <w:pPr>
              <w:shd w:val="clear" w:color="auto"/>
              <w:snapToGrid w:val="0"/>
              <w:spacing w:line="460" w:lineRule="exact"/>
              <w:rPr>
                <w:rFonts w:hint="eastAsia" w:hAnsi="宋体" w:eastAsia="宋体" w:cs="宋体"/>
                <w:color w:val="auto"/>
                <w:sz w:val="21"/>
                <w:szCs w:val="21"/>
                <w:highlight w:val="none"/>
              </w:rPr>
            </w:pPr>
          </w:p>
        </w:tc>
        <w:tc>
          <w:tcPr>
            <w:tcW w:w="1789" w:type="dxa"/>
            <w:noWrap w:val="0"/>
            <w:vAlign w:val="center"/>
          </w:tcPr>
          <w:p w14:paraId="32DE2FC4">
            <w:pPr>
              <w:shd w:val="clear" w:color="auto"/>
              <w:snapToGrid w:val="0"/>
              <w:spacing w:line="460" w:lineRule="exact"/>
              <w:rPr>
                <w:rFonts w:hint="eastAsia" w:hAnsi="宋体" w:eastAsia="宋体" w:cs="宋体"/>
                <w:color w:val="auto"/>
                <w:sz w:val="21"/>
                <w:szCs w:val="21"/>
                <w:highlight w:val="none"/>
              </w:rPr>
            </w:pPr>
          </w:p>
        </w:tc>
      </w:tr>
      <w:tr w14:paraId="3A398A53">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96" w:hRule="atLeast"/>
        </w:trPr>
        <w:tc>
          <w:tcPr>
            <w:tcW w:w="880" w:type="dxa"/>
            <w:noWrap w:val="0"/>
            <w:vAlign w:val="center"/>
          </w:tcPr>
          <w:p w14:paraId="7DA49762">
            <w:pPr>
              <w:shd w:val="clear" w:color="auto"/>
              <w:snapToGrid w:val="0"/>
              <w:spacing w:line="460" w:lineRule="exact"/>
              <w:rPr>
                <w:rFonts w:hint="eastAsia" w:hAnsi="宋体" w:eastAsia="宋体" w:cs="宋体"/>
                <w:color w:val="auto"/>
                <w:sz w:val="21"/>
                <w:szCs w:val="21"/>
                <w:highlight w:val="none"/>
              </w:rPr>
            </w:pPr>
          </w:p>
        </w:tc>
        <w:tc>
          <w:tcPr>
            <w:tcW w:w="2686" w:type="dxa"/>
            <w:noWrap w:val="0"/>
            <w:vAlign w:val="center"/>
          </w:tcPr>
          <w:p w14:paraId="2DD20C40">
            <w:pPr>
              <w:shd w:val="clear" w:color="auto"/>
              <w:snapToGrid w:val="0"/>
              <w:spacing w:line="460" w:lineRule="exact"/>
              <w:rPr>
                <w:rFonts w:hint="eastAsia" w:hAnsi="宋体" w:eastAsia="宋体" w:cs="宋体"/>
                <w:color w:val="auto"/>
                <w:sz w:val="21"/>
                <w:szCs w:val="21"/>
                <w:highlight w:val="none"/>
              </w:rPr>
            </w:pPr>
          </w:p>
        </w:tc>
        <w:tc>
          <w:tcPr>
            <w:tcW w:w="767" w:type="dxa"/>
            <w:noWrap w:val="0"/>
            <w:vAlign w:val="center"/>
          </w:tcPr>
          <w:p w14:paraId="0D64FEB2">
            <w:pPr>
              <w:shd w:val="clear" w:color="auto"/>
              <w:snapToGrid w:val="0"/>
              <w:spacing w:line="460" w:lineRule="exact"/>
              <w:rPr>
                <w:rFonts w:hint="eastAsia" w:hAnsi="宋体" w:eastAsia="宋体" w:cs="宋体"/>
                <w:color w:val="auto"/>
                <w:sz w:val="21"/>
                <w:szCs w:val="21"/>
                <w:highlight w:val="none"/>
              </w:rPr>
            </w:pPr>
          </w:p>
        </w:tc>
        <w:tc>
          <w:tcPr>
            <w:tcW w:w="767" w:type="dxa"/>
            <w:noWrap w:val="0"/>
            <w:vAlign w:val="center"/>
          </w:tcPr>
          <w:p w14:paraId="2782482D">
            <w:pPr>
              <w:shd w:val="clear" w:color="auto"/>
              <w:snapToGrid w:val="0"/>
              <w:spacing w:line="460" w:lineRule="exact"/>
              <w:rPr>
                <w:rFonts w:hint="eastAsia" w:hAnsi="宋体" w:eastAsia="宋体" w:cs="宋体"/>
                <w:color w:val="auto"/>
                <w:sz w:val="21"/>
                <w:szCs w:val="21"/>
                <w:highlight w:val="none"/>
              </w:rPr>
            </w:pPr>
          </w:p>
        </w:tc>
        <w:tc>
          <w:tcPr>
            <w:tcW w:w="767" w:type="dxa"/>
            <w:noWrap w:val="0"/>
            <w:vAlign w:val="center"/>
          </w:tcPr>
          <w:p w14:paraId="764D7CFB">
            <w:pPr>
              <w:shd w:val="clear" w:color="auto"/>
              <w:snapToGrid w:val="0"/>
              <w:spacing w:line="460" w:lineRule="exact"/>
              <w:rPr>
                <w:rFonts w:hint="eastAsia" w:hAnsi="宋体" w:eastAsia="宋体" w:cs="宋体"/>
                <w:color w:val="auto"/>
                <w:sz w:val="21"/>
                <w:szCs w:val="21"/>
                <w:highlight w:val="none"/>
              </w:rPr>
            </w:pPr>
          </w:p>
        </w:tc>
        <w:tc>
          <w:tcPr>
            <w:tcW w:w="1150" w:type="dxa"/>
            <w:noWrap w:val="0"/>
            <w:vAlign w:val="center"/>
          </w:tcPr>
          <w:p w14:paraId="5711BB98">
            <w:pPr>
              <w:shd w:val="clear" w:color="auto"/>
              <w:snapToGrid w:val="0"/>
              <w:spacing w:line="460" w:lineRule="exact"/>
              <w:rPr>
                <w:rFonts w:hint="eastAsia" w:hAnsi="宋体" w:eastAsia="宋体" w:cs="宋体"/>
                <w:color w:val="auto"/>
                <w:sz w:val="21"/>
                <w:szCs w:val="21"/>
                <w:highlight w:val="none"/>
              </w:rPr>
            </w:pPr>
          </w:p>
        </w:tc>
        <w:tc>
          <w:tcPr>
            <w:tcW w:w="1150" w:type="dxa"/>
            <w:noWrap w:val="0"/>
            <w:vAlign w:val="center"/>
          </w:tcPr>
          <w:p w14:paraId="1AE85C69">
            <w:pPr>
              <w:shd w:val="clear" w:color="auto"/>
              <w:snapToGrid w:val="0"/>
              <w:spacing w:line="460" w:lineRule="exact"/>
              <w:rPr>
                <w:rFonts w:hint="eastAsia" w:hAnsi="宋体" w:eastAsia="宋体" w:cs="宋体"/>
                <w:color w:val="auto"/>
                <w:sz w:val="21"/>
                <w:szCs w:val="21"/>
                <w:highlight w:val="none"/>
              </w:rPr>
            </w:pPr>
          </w:p>
        </w:tc>
        <w:tc>
          <w:tcPr>
            <w:tcW w:w="1789" w:type="dxa"/>
            <w:noWrap w:val="0"/>
            <w:vAlign w:val="center"/>
          </w:tcPr>
          <w:p w14:paraId="4A074045">
            <w:pPr>
              <w:shd w:val="clear" w:color="auto"/>
              <w:snapToGrid w:val="0"/>
              <w:spacing w:line="460" w:lineRule="exact"/>
              <w:rPr>
                <w:rFonts w:hint="eastAsia" w:hAnsi="宋体" w:eastAsia="宋体" w:cs="宋体"/>
                <w:color w:val="auto"/>
                <w:sz w:val="21"/>
                <w:szCs w:val="21"/>
                <w:highlight w:val="none"/>
              </w:rPr>
            </w:pPr>
          </w:p>
        </w:tc>
      </w:tr>
      <w:tr w14:paraId="73E28972">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96" w:hRule="atLeast"/>
        </w:trPr>
        <w:tc>
          <w:tcPr>
            <w:tcW w:w="880" w:type="dxa"/>
            <w:noWrap w:val="0"/>
            <w:vAlign w:val="center"/>
          </w:tcPr>
          <w:p w14:paraId="0AE2071D">
            <w:pPr>
              <w:shd w:val="clear" w:color="auto"/>
              <w:snapToGrid w:val="0"/>
              <w:spacing w:line="460" w:lineRule="exact"/>
              <w:rPr>
                <w:rFonts w:hint="eastAsia" w:hAnsi="宋体" w:eastAsia="宋体" w:cs="宋体"/>
                <w:color w:val="auto"/>
                <w:sz w:val="21"/>
                <w:szCs w:val="21"/>
                <w:highlight w:val="none"/>
              </w:rPr>
            </w:pPr>
          </w:p>
        </w:tc>
        <w:tc>
          <w:tcPr>
            <w:tcW w:w="2686" w:type="dxa"/>
            <w:noWrap w:val="0"/>
            <w:vAlign w:val="center"/>
          </w:tcPr>
          <w:p w14:paraId="575F5118">
            <w:pPr>
              <w:shd w:val="clear" w:color="auto"/>
              <w:snapToGrid w:val="0"/>
              <w:spacing w:line="460" w:lineRule="exact"/>
              <w:rPr>
                <w:rFonts w:hint="eastAsia" w:hAnsi="宋体" w:eastAsia="宋体" w:cs="宋体"/>
                <w:color w:val="auto"/>
                <w:sz w:val="21"/>
                <w:szCs w:val="21"/>
                <w:highlight w:val="none"/>
              </w:rPr>
            </w:pPr>
          </w:p>
        </w:tc>
        <w:tc>
          <w:tcPr>
            <w:tcW w:w="767" w:type="dxa"/>
            <w:noWrap w:val="0"/>
            <w:vAlign w:val="center"/>
          </w:tcPr>
          <w:p w14:paraId="0D0F1A5F">
            <w:pPr>
              <w:shd w:val="clear" w:color="auto"/>
              <w:snapToGrid w:val="0"/>
              <w:spacing w:line="460" w:lineRule="exact"/>
              <w:rPr>
                <w:rFonts w:hint="eastAsia" w:hAnsi="宋体" w:eastAsia="宋体" w:cs="宋体"/>
                <w:color w:val="auto"/>
                <w:sz w:val="21"/>
                <w:szCs w:val="21"/>
                <w:highlight w:val="none"/>
              </w:rPr>
            </w:pPr>
          </w:p>
        </w:tc>
        <w:tc>
          <w:tcPr>
            <w:tcW w:w="767" w:type="dxa"/>
            <w:noWrap w:val="0"/>
            <w:vAlign w:val="center"/>
          </w:tcPr>
          <w:p w14:paraId="11F48C0C">
            <w:pPr>
              <w:shd w:val="clear" w:color="auto"/>
              <w:snapToGrid w:val="0"/>
              <w:spacing w:line="460" w:lineRule="exact"/>
              <w:rPr>
                <w:rFonts w:hint="eastAsia" w:hAnsi="宋体" w:eastAsia="宋体" w:cs="宋体"/>
                <w:color w:val="auto"/>
                <w:sz w:val="21"/>
                <w:szCs w:val="21"/>
                <w:highlight w:val="none"/>
              </w:rPr>
            </w:pPr>
          </w:p>
        </w:tc>
        <w:tc>
          <w:tcPr>
            <w:tcW w:w="767" w:type="dxa"/>
            <w:noWrap w:val="0"/>
            <w:vAlign w:val="center"/>
          </w:tcPr>
          <w:p w14:paraId="77C16708">
            <w:pPr>
              <w:shd w:val="clear" w:color="auto"/>
              <w:snapToGrid w:val="0"/>
              <w:spacing w:line="460" w:lineRule="exact"/>
              <w:rPr>
                <w:rFonts w:hint="eastAsia" w:hAnsi="宋体" w:eastAsia="宋体" w:cs="宋体"/>
                <w:color w:val="auto"/>
                <w:sz w:val="21"/>
                <w:szCs w:val="21"/>
                <w:highlight w:val="none"/>
              </w:rPr>
            </w:pPr>
          </w:p>
        </w:tc>
        <w:tc>
          <w:tcPr>
            <w:tcW w:w="1150" w:type="dxa"/>
            <w:noWrap w:val="0"/>
            <w:vAlign w:val="center"/>
          </w:tcPr>
          <w:p w14:paraId="5B9ED907">
            <w:pPr>
              <w:shd w:val="clear" w:color="auto"/>
              <w:snapToGrid w:val="0"/>
              <w:spacing w:line="460" w:lineRule="exact"/>
              <w:rPr>
                <w:rFonts w:hint="eastAsia" w:hAnsi="宋体" w:eastAsia="宋体" w:cs="宋体"/>
                <w:color w:val="auto"/>
                <w:sz w:val="21"/>
                <w:szCs w:val="21"/>
                <w:highlight w:val="none"/>
              </w:rPr>
            </w:pPr>
          </w:p>
        </w:tc>
        <w:tc>
          <w:tcPr>
            <w:tcW w:w="1150" w:type="dxa"/>
            <w:noWrap w:val="0"/>
            <w:vAlign w:val="center"/>
          </w:tcPr>
          <w:p w14:paraId="249B5083">
            <w:pPr>
              <w:shd w:val="clear" w:color="auto"/>
              <w:snapToGrid w:val="0"/>
              <w:spacing w:line="460" w:lineRule="exact"/>
              <w:rPr>
                <w:rFonts w:hint="eastAsia" w:hAnsi="宋体" w:eastAsia="宋体" w:cs="宋体"/>
                <w:color w:val="auto"/>
                <w:sz w:val="21"/>
                <w:szCs w:val="21"/>
                <w:highlight w:val="none"/>
              </w:rPr>
            </w:pPr>
          </w:p>
        </w:tc>
        <w:tc>
          <w:tcPr>
            <w:tcW w:w="1789" w:type="dxa"/>
            <w:noWrap w:val="0"/>
            <w:vAlign w:val="center"/>
          </w:tcPr>
          <w:p w14:paraId="45D3B7C1">
            <w:pPr>
              <w:shd w:val="clear" w:color="auto"/>
              <w:snapToGrid w:val="0"/>
              <w:spacing w:line="460" w:lineRule="exact"/>
              <w:rPr>
                <w:rFonts w:hint="eastAsia" w:hAnsi="宋体" w:eastAsia="宋体" w:cs="宋体"/>
                <w:color w:val="auto"/>
                <w:sz w:val="21"/>
                <w:szCs w:val="21"/>
                <w:highlight w:val="none"/>
              </w:rPr>
            </w:pPr>
          </w:p>
        </w:tc>
      </w:tr>
      <w:tr w14:paraId="4F89E78D">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96" w:hRule="atLeast"/>
        </w:trPr>
        <w:tc>
          <w:tcPr>
            <w:tcW w:w="880" w:type="dxa"/>
            <w:noWrap w:val="0"/>
            <w:vAlign w:val="center"/>
          </w:tcPr>
          <w:p w14:paraId="61C58B2A">
            <w:pPr>
              <w:shd w:val="clear" w:color="auto"/>
              <w:snapToGrid w:val="0"/>
              <w:spacing w:line="460" w:lineRule="exact"/>
              <w:rPr>
                <w:rFonts w:hint="eastAsia" w:hAnsi="宋体" w:eastAsia="宋体" w:cs="宋体"/>
                <w:color w:val="auto"/>
                <w:sz w:val="21"/>
                <w:szCs w:val="21"/>
                <w:highlight w:val="none"/>
              </w:rPr>
            </w:pPr>
          </w:p>
        </w:tc>
        <w:tc>
          <w:tcPr>
            <w:tcW w:w="2686" w:type="dxa"/>
            <w:noWrap w:val="0"/>
            <w:vAlign w:val="center"/>
          </w:tcPr>
          <w:p w14:paraId="6665CB40">
            <w:pPr>
              <w:shd w:val="clear" w:color="auto"/>
              <w:snapToGrid w:val="0"/>
              <w:spacing w:line="460" w:lineRule="exact"/>
              <w:rPr>
                <w:rFonts w:hint="eastAsia" w:hAnsi="宋体" w:eastAsia="宋体" w:cs="宋体"/>
                <w:color w:val="auto"/>
                <w:sz w:val="21"/>
                <w:szCs w:val="21"/>
                <w:highlight w:val="none"/>
              </w:rPr>
            </w:pPr>
          </w:p>
        </w:tc>
        <w:tc>
          <w:tcPr>
            <w:tcW w:w="767" w:type="dxa"/>
            <w:noWrap w:val="0"/>
            <w:vAlign w:val="center"/>
          </w:tcPr>
          <w:p w14:paraId="6E780067">
            <w:pPr>
              <w:shd w:val="clear" w:color="auto"/>
              <w:snapToGrid w:val="0"/>
              <w:spacing w:line="460" w:lineRule="exact"/>
              <w:rPr>
                <w:rFonts w:hint="eastAsia" w:hAnsi="宋体" w:eastAsia="宋体" w:cs="宋体"/>
                <w:color w:val="auto"/>
                <w:sz w:val="21"/>
                <w:szCs w:val="21"/>
                <w:highlight w:val="none"/>
              </w:rPr>
            </w:pPr>
          </w:p>
        </w:tc>
        <w:tc>
          <w:tcPr>
            <w:tcW w:w="767" w:type="dxa"/>
            <w:noWrap w:val="0"/>
            <w:vAlign w:val="center"/>
          </w:tcPr>
          <w:p w14:paraId="4579F66C">
            <w:pPr>
              <w:shd w:val="clear" w:color="auto"/>
              <w:snapToGrid w:val="0"/>
              <w:spacing w:line="460" w:lineRule="exact"/>
              <w:rPr>
                <w:rFonts w:hint="eastAsia" w:hAnsi="宋体" w:eastAsia="宋体" w:cs="宋体"/>
                <w:color w:val="auto"/>
                <w:sz w:val="21"/>
                <w:szCs w:val="21"/>
                <w:highlight w:val="none"/>
              </w:rPr>
            </w:pPr>
          </w:p>
        </w:tc>
        <w:tc>
          <w:tcPr>
            <w:tcW w:w="767" w:type="dxa"/>
            <w:noWrap w:val="0"/>
            <w:vAlign w:val="center"/>
          </w:tcPr>
          <w:p w14:paraId="3BC72EB0">
            <w:pPr>
              <w:shd w:val="clear" w:color="auto"/>
              <w:snapToGrid w:val="0"/>
              <w:spacing w:line="460" w:lineRule="exact"/>
              <w:rPr>
                <w:rFonts w:hint="eastAsia" w:hAnsi="宋体" w:eastAsia="宋体" w:cs="宋体"/>
                <w:color w:val="auto"/>
                <w:sz w:val="21"/>
                <w:szCs w:val="21"/>
                <w:highlight w:val="none"/>
              </w:rPr>
            </w:pPr>
          </w:p>
        </w:tc>
        <w:tc>
          <w:tcPr>
            <w:tcW w:w="1150" w:type="dxa"/>
            <w:noWrap w:val="0"/>
            <w:vAlign w:val="center"/>
          </w:tcPr>
          <w:p w14:paraId="1D9A6A8B">
            <w:pPr>
              <w:shd w:val="clear" w:color="auto"/>
              <w:snapToGrid w:val="0"/>
              <w:spacing w:line="460" w:lineRule="exact"/>
              <w:rPr>
                <w:rFonts w:hint="eastAsia" w:hAnsi="宋体" w:eastAsia="宋体" w:cs="宋体"/>
                <w:color w:val="auto"/>
                <w:sz w:val="21"/>
                <w:szCs w:val="21"/>
                <w:highlight w:val="none"/>
              </w:rPr>
            </w:pPr>
          </w:p>
        </w:tc>
        <w:tc>
          <w:tcPr>
            <w:tcW w:w="1150" w:type="dxa"/>
            <w:noWrap w:val="0"/>
            <w:vAlign w:val="center"/>
          </w:tcPr>
          <w:p w14:paraId="4AA6AD27">
            <w:pPr>
              <w:shd w:val="clear" w:color="auto"/>
              <w:snapToGrid w:val="0"/>
              <w:spacing w:line="460" w:lineRule="exact"/>
              <w:rPr>
                <w:rFonts w:hint="eastAsia" w:hAnsi="宋体" w:eastAsia="宋体" w:cs="宋体"/>
                <w:color w:val="auto"/>
                <w:sz w:val="21"/>
                <w:szCs w:val="21"/>
                <w:highlight w:val="none"/>
              </w:rPr>
            </w:pPr>
          </w:p>
        </w:tc>
        <w:tc>
          <w:tcPr>
            <w:tcW w:w="1789" w:type="dxa"/>
            <w:noWrap w:val="0"/>
            <w:vAlign w:val="center"/>
          </w:tcPr>
          <w:p w14:paraId="03AEF338">
            <w:pPr>
              <w:shd w:val="clear" w:color="auto"/>
              <w:snapToGrid w:val="0"/>
              <w:spacing w:line="460" w:lineRule="exact"/>
              <w:rPr>
                <w:rFonts w:hint="eastAsia" w:hAnsi="宋体" w:eastAsia="宋体" w:cs="宋体"/>
                <w:color w:val="auto"/>
                <w:sz w:val="21"/>
                <w:szCs w:val="21"/>
                <w:highlight w:val="none"/>
              </w:rPr>
            </w:pPr>
          </w:p>
        </w:tc>
      </w:tr>
      <w:tr w14:paraId="3B6911A7">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96" w:hRule="atLeast"/>
        </w:trPr>
        <w:tc>
          <w:tcPr>
            <w:tcW w:w="880" w:type="dxa"/>
            <w:noWrap w:val="0"/>
            <w:vAlign w:val="center"/>
          </w:tcPr>
          <w:p w14:paraId="284F032F">
            <w:pPr>
              <w:shd w:val="clear" w:color="auto"/>
              <w:snapToGrid w:val="0"/>
              <w:spacing w:line="460" w:lineRule="exact"/>
              <w:rPr>
                <w:rFonts w:hint="eastAsia" w:hAnsi="宋体" w:eastAsia="宋体" w:cs="宋体"/>
                <w:color w:val="auto"/>
                <w:sz w:val="21"/>
                <w:szCs w:val="21"/>
                <w:highlight w:val="none"/>
              </w:rPr>
            </w:pPr>
          </w:p>
        </w:tc>
        <w:tc>
          <w:tcPr>
            <w:tcW w:w="2686" w:type="dxa"/>
            <w:noWrap w:val="0"/>
            <w:vAlign w:val="center"/>
          </w:tcPr>
          <w:p w14:paraId="2666F934">
            <w:pPr>
              <w:shd w:val="clear" w:color="auto"/>
              <w:snapToGrid w:val="0"/>
              <w:spacing w:line="460" w:lineRule="exact"/>
              <w:rPr>
                <w:rFonts w:hint="eastAsia" w:hAnsi="宋体" w:eastAsia="宋体" w:cs="宋体"/>
                <w:color w:val="auto"/>
                <w:sz w:val="21"/>
                <w:szCs w:val="21"/>
                <w:highlight w:val="none"/>
              </w:rPr>
            </w:pPr>
          </w:p>
        </w:tc>
        <w:tc>
          <w:tcPr>
            <w:tcW w:w="767" w:type="dxa"/>
            <w:noWrap w:val="0"/>
            <w:vAlign w:val="center"/>
          </w:tcPr>
          <w:p w14:paraId="556331CD">
            <w:pPr>
              <w:shd w:val="clear" w:color="auto"/>
              <w:snapToGrid w:val="0"/>
              <w:spacing w:line="460" w:lineRule="exact"/>
              <w:rPr>
                <w:rFonts w:hint="eastAsia" w:hAnsi="宋体" w:eastAsia="宋体" w:cs="宋体"/>
                <w:color w:val="auto"/>
                <w:sz w:val="21"/>
                <w:szCs w:val="21"/>
                <w:highlight w:val="none"/>
              </w:rPr>
            </w:pPr>
          </w:p>
        </w:tc>
        <w:tc>
          <w:tcPr>
            <w:tcW w:w="767" w:type="dxa"/>
            <w:noWrap w:val="0"/>
            <w:vAlign w:val="center"/>
          </w:tcPr>
          <w:p w14:paraId="6FBABC4C">
            <w:pPr>
              <w:shd w:val="clear" w:color="auto"/>
              <w:snapToGrid w:val="0"/>
              <w:spacing w:line="460" w:lineRule="exact"/>
              <w:rPr>
                <w:rFonts w:hint="eastAsia" w:hAnsi="宋体" w:eastAsia="宋体" w:cs="宋体"/>
                <w:color w:val="auto"/>
                <w:sz w:val="21"/>
                <w:szCs w:val="21"/>
                <w:highlight w:val="none"/>
              </w:rPr>
            </w:pPr>
          </w:p>
        </w:tc>
        <w:tc>
          <w:tcPr>
            <w:tcW w:w="767" w:type="dxa"/>
            <w:noWrap w:val="0"/>
            <w:vAlign w:val="center"/>
          </w:tcPr>
          <w:p w14:paraId="573E35F1">
            <w:pPr>
              <w:shd w:val="clear" w:color="auto"/>
              <w:snapToGrid w:val="0"/>
              <w:spacing w:line="460" w:lineRule="exact"/>
              <w:rPr>
                <w:rFonts w:hint="eastAsia" w:hAnsi="宋体" w:eastAsia="宋体" w:cs="宋体"/>
                <w:color w:val="auto"/>
                <w:sz w:val="21"/>
                <w:szCs w:val="21"/>
                <w:highlight w:val="none"/>
              </w:rPr>
            </w:pPr>
          </w:p>
        </w:tc>
        <w:tc>
          <w:tcPr>
            <w:tcW w:w="1150" w:type="dxa"/>
            <w:noWrap w:val="0"/>
            <w:vAlign w:val="center"/>
          </w:tcPr>
          <w:p w14:paraId="266BC2A4">
            <w:pPr>
              <w:shd w:val="clear" w:color="auto"/>
              <w:snapToGrid w:val="0"/>
              <w:spacing w:line="460" w:lineRule="exact"/>
              <w:rPr>
                <w:rFonts w:hint="eastAsia" w:hAnsi="宋体" w:eastAsia="宋体" w:cs="宋体"/>
                <w:color w:val="auto"/>
                <w:sz w:val="21"/>
                <w:szCs w:val="21"/>
                <w:highlight w:val="none"/>
              </w:rPr>
            </w:pPr>
          </w:p>
        </w:tc>
        <w:tc>
          <w:tcPr>
            <w:tcW w:w="1150" w:type="dxa"/>
            <w:noWrap w:val="0"/>
            <w:vAlign w:val="center"/>
          </w:tcPr>
          <w:p w14:paraId="1534EBA8">
            <w:pPr>
              <w:shd w:val="clear" w:color="auto"/>
              <w:snapToGrid w:val="0"/>
              <w:spacing w:line="460" w:lineRule="exact"/>
              <w:rPr>
                <w:rFonts w:hint="eastAsia" w:hAnsi="宋体" w:eastAsia="宋体" w:cs="宋体"/>
                <w:color w:val="auto"/>
                <w:sz w:val="21"/>
                <w:szCs w:val="21"/>
                <w:highlight w:val="none"/>
              </w:rPr>
            </w:pPr>
          </w:p>
        </w:tc>
        <w:tc>
          <w:tcPr>
            <w:tcW w:w="1789" w:type="dxa"/>
            <w:noWrap w:val="0"/>
            <w:vAlign w:val="center"/>
          </w:tcPr>
          <w:p w14:paraId="2A73E5CA">
            <w:pPr>
              <w:shd w:val="clear" w:color="auto"/>
              <w:snapToGrid w:val="0"/>
              <w:spacing w:line="460" w:lineRule="exact"/>
              <w:rPr>
                <w:rFonts w:hint="eastAsia" w:hAnsi="宋体" w:eastAsia="宋体" w:cs="宋体"/>
                <w:color w:val="auto"/>
                <w:sz w:val="21"/>
                <w:szCs w:val="21"/>
                <w:highlight w:val="none"/>
              </w:rPr>
            </w:pPr>
          </w:p>
        </w:tc>
      </w:tr>
      <w:tr w14:paraId="6271C13D">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96" w:hRule="atLeast"/>
        </w:trPr>
        <w:tc>
          <w:tcPr>
            <w:tcW w:w="880" w:type="dxa"/>
            <w:noWrap w:val="0"/>
            <w:vAlign w:val="center"/>
          </w:tcPr>
          <w:p w14:paraId="0EF89503">
            <w:pPr>
              <w:shd w:val="clear" w:color="auto"/>
              <w:snapToGrid w:val="0"/>
              <w:spacing w:line="460" w:lineRule="exact"/>
              <w:rPr>
                <w:rFonts w:hint="eastAsia" w:hAnsi="宋体" w:eastAsia="宋体" w:cs="宋体"/>
                <w:color w:val="auto"/>
                <w:sz w:val="21"/>
                <w:szCs w:val="21"/>
                <w:highlight w:val="none"/>
              </w:rPr>
            </w:pPr>
          </w:p>
        </w:tc>
        <w:tc>
          <w:tcPr>
            <w:tcW w:w="2686" w:type="dxa"/>
            <w:noWrap w:val="0"/>
            <w:vAlign w:val="center"/>
          </w:tcPr>
          <w:p w14:paraId="23E70466">
            <w:pPr>
              <w:shd w:val="clear" w:color="auto"/>
              <w:snapToGrid w:val="0"/>
              <w:spacing w:line="460" w:lineRule="exact"/>
              <w:rPr>
                <w:rFonts w:hint="eastAsia" w:hAnsi="宋体" w:eastAsia="宋体" w:cs="宋体"/>
                <w:color w:val="auto"/>
                <w:sz w:val="21"/>
                <w:szCs w:val="21"/>
                <w:highlight w:val="none"/>
              </w:rPr>
            </w:pPr>
          </w:p>
        </w:tc>
        <w:tc>
          <w:tcPr>
            <w:tcW w:w="767" w:type="dxa"/>
            <w:noWrap w:val="0"/>
            <w:vAlign w:val="center"/>
          </w:tcPr>
          <w:p w14:paraId="70D67A6F">
            <w:pPr>
              <w:shd w:val="clear" w:color="auto"/>
              <w:snapToGrid w:val="0"/>
              <w:spacing w:line="460" w:lineRule="exact"/>
              <w:rPr>
                <w:rFonts w:hint="eastAsia" w:hAnsi="宋体" w:eastAsia="宋体" w:cs="宋体"/>
                <w:color w:val="auto"/>
                <w:sz w:val="21"/>
                <w:szCs w:val="21"/>
                <w:highlight w:val="none"/>
              </w:rPr>
            </w:pPr>
          </w:p>
        </w:tc>
        <w:tc>
          <w:tcPr>
            <w:tcW w:w="767" w:type="dxa"/>
            <w:noWrap w:val="0"/>
            <w:vAlign w:val="center"/>
          </w:tcPr>
          <w:p w14:paraId="6504988D">
            <w:pPr>
              <w:shd w:val="clear" w:color="auto"/>
              <w:snapToGrid w:val="0"/>
              <w:spacing w:line="460" w:lineRule="exact"/>
              <w:rPr>
                <w:rFonts w:hint="eastAsia" w:hAnsi="宋体" w:eastAsia="宋体" w:cs="宋体"/>
                <w:color w:val="auto"/>
                <w:sz w:val="21"/>
                <w:szCs w:val="21"/>
                <w:highlight w:val="none"/>
              </w:rPr>
            </w:pPr>
          </w:p>
        </w:tc>
        <w:tc>
          <w:tcPr>
            <w:tcW w:w="767" w:type="dxa"/>
            <w:noWrap w:val="0"/>
            <w:vAlign w:val="center"/>
          </w:tcPr>
          <w:p w14:paraId="6612218C">
            <w:pPr>
              <w:shd w:val="clear" w:color="auto"/>
              <w:snapToGrid w:val="0"/>
              <w:spacing w:line="460" w:lineRule="exact"/>
              <w:rPr>
                <w:rFonts w:hint="eastAsia" w:hAnsi="宋体" w:eastAsia="宋体" w:cs="宋体"/>
                <w:color w:val="auto"/>
                <w:sz w:val="21"/>
                <w:szCs w:val="21"/>
                <w:highlight w:val="none"/>
              </w:rPr>
            </w:pPr>
          </w:p>
        </w:tc>
        <w:tc>
          <w:tcPr>
            <w:tcW w:w="1150" w:type="dxa"/>
            <w:noWrap w:val="0"/>
            <w:vAlign w:val="center"/>
          </w:tcPr>
          <w:p w14:paraId="57B4FB1E">
            <w:pPr>
              <w:shd w:val="clear" w:color="auto"/>
              <w:snapToGrid w:val="0"/>
              <w:spacing w:line="460" w:lineRule="exact"/>
              <w:rPr>
                <w:rFonts w:hint="eastAsia" w:hAnsi="宋体" w:eastAsia="宋体" w:cs="宋体"/>
                <w:color w:val="auto"/>
                <w:sz w:val="21"/>
                <w:szCs w:val="21"/>
                <w:highlight w:val="none"/>
              </w:rPr>
            </w:pPr>
          </w:p>
        </w:tc>
        <w:tc>
          <w:tcPr>
            <w:tcW w:w="1150" w:type="dxa"/>
            <w:noWrap w:val="0"/>
            <w:vAlign w:val="center"/>
          </w:tcPr>
          <w:p w14:paraId="28E12C59">
            <w:pPr>
              <w:shd w:val="clear" w:color="auto"/>
              <w:snapToGrid w:val="0"/>
              <w:spacing w:line="460" w:lineRule="exact"/>
              <w:rPr>
                <w:rFonts w:hint="eastAsia" w:hAnsi="宋体" w:eastAsia="宋体" w:cs="宋体"/>
                <w:color w:val="auto"/>
                <w:sz w:val="21"/>
                <w:szCs w:val="21"/>
                <w:highlight w:val="none"/>
              </w:rPr>
            </w:pPr>
          </w:p>
        </w:tc>
        <w:tc>
          <w:tcPr>
            <w:tcW w:w="1789" w:type="dxa"/>
            <w:noWrap w:val="0"/>
            <w:vAlign w:val="center"/>
          </w:tcPr>
          <w:p w14:paraId="7939D1D0">
            <w:pPr>
              <w:shd w:val="clear" w:color="auto"/>
              <w:snapToGrid w:val="0"/>
              <w:spacing w:line="460" w:lineRule="exact"/>
              <w:rPr>
                <w:rFonts w:hint="eastAsia" w:hAnsi="宋体" w:eastAsia="宋体" w:cs="宋体"/>
                <w:color w:val="auto"/>
                <w:sz w:val="21"/>
                <w:szCs w:val="21"/>
                <w:highlight w:val="none"/>
              </w:rPr>
            </w:pPr>
          </w:p>
        </w:tc>
      </w:tr>
      <w:tr w14:paraId="646370AD">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96" w:hRule="atLeast"/>
        </w:trPr>
        <w:tc>
          <w:tcPr>
            <w:tcW w:w="880" w:type="dxa"/>
            <w:noWrap w:val="0"/>
            <w:vAlign w:val="center"/>
          </w:tcPr>
          <w:p w14:paraId="4761B773">
            <w:pPr>
              <w:shd w:val="clear" w:color="auto"/>
              <w:snapToGrid w:val="0"/>
              <w:spacing w:line="460" w:lineRule="exact"/>
              <w:rPr>
                <w:rFonts w:hint="eastAsia" w:hAnsi="宋体" w:eastAsia="宋体" w:cs="宋体"/>
                <w:color w:val="auto"/>
                <w:sz w:val="21"/>
                <w:szCs w:val="21"/>
                <w:highlight w:val="none"/>
              </w:rPr>
            </w:pPr>
          </w:p>
        </w:tc>
        <w:tc>
          <w:tcPr>
            <w:tcW w:w="2686" w:type="dxa"/>
            <w:noWrap w:val="0"/>
            <w:vAlign w:val="center"/>
          </w:tcPr>
          <w:p w14:paraId="42D34BC8">
            <w:pPr>
              <w:shd w:val="clear" w:color="auto"/>
              <w:snapToGrid w:val="0"/>
              <w:spacing w:line="460" w:lineRule="exact"/>
              <w:rPr>
                <w:rFonts w:hint="eastAsia" w:hAnsi="宋体" w:eastAsia="宋体" w:cs="宋体"/>
                <w:color w:val="auto"/>
                <w:sz w:val="21"/>
                <w:szCs w:val="21"/>
                <w:highlight w:val="none"/>
              </w:rPr>
            </w:pPr>
          </w:p>
        </w:tc>
        <w:tc>
          <w:tcPr>
            <w:tcW w:w="767" w:type="dxa"/>
            <w:noWrap w:val="0"/>
            <w:vAlign w:val="center"/>
          </w:tcPr>
          <w:p w14:paraId="3C9C6C33">
            <w:pPr>
              <w:shd w:val="clear" w:color="auto"/>
              <w:snapToGrid w:val="0"/>
              <w:spacing w:line="460" w:lineRule="exact"/>
              <w:rPr>
                <w:rFonts w:hint="eastAsia" w:hAnsi="宋体" w:eastAsia="宋体" w:cs="宋体"/>
                <w:color w:val="auto"/>
                <w:sz w:val="21"/>
                <w:szCs w:val="21"/>
                <w:highlight w:val="none"/>
              </w:rPr>
            </w:pPr>
          </w:p>
        </w:tc>
        <w:tc>
          <w:tcPr>
            <w:tcW w:w="767" w:type="dxa"/>
            <w:noWrap w:val="0"/>
            <w:vAlign w:val="center"/>
          </w:tcPr>
          <w:p w14:paraId="490795F6">
            <w:pPr>
              <w:shd w:val="clear" w:color="auto"/>
              <w:snapToGrid w:val="0"/>
              <w:spacing w:line="460" w:lineRule="exact"/>
              <w:rPr>
                <w:rFonts w:hint="eastAsia" w:hAnsi="宋体" w:eastAsia="宋体" w:cs="宋体"/>
                <w:color w:val="auto"/>
                <w:sz w:val="21"/>
                <w:szCs w:val="21"/>
                <w:highlight w:val="none"/>
              </w:rPr>
            </w:pPr>
          </w:p>
        </w:tc>
        <w:tc>
          <w:tcPr>
            <w:tcW w:w="767" w:type="dxa"/>
            <w:noWrap w:val="0"/>
            <w:vAlign w:val="center"/>
          </w:tcPr>
          <w:p w14:paraId="7935FFD2">
            <w:pPr>
              <w:shd w:val="clear" w:color="auto"/>
              <w:snapToGrid w:val="0"/>
              <w:spacing w:line="460" w:lineRule="exact"/>
              <w:rPr>
                <w:rFonts w:hint="eastAsia" w:hAnsi="宋体" w:eastAsia="宋体" w:cs="宋体"/>
                <w:color w:val="auto"/>
                <w:sz w:val="21"/>
                <w:szCs w:val="21"/>
                <w:highlight w:val="none"/>
              </w:rPr>
            </w:pPr>
          </w:p>
        </w:tc>
        <w:tc>
          <w:tcPr>
            <w:tcW w:w="1150" w:type="dxa"/>
            <w:noWrap w:val="0"/>
            <w:vAlign w:val="center"/>
          </w:tcPr>
          <w:p w14:paraId="76577DF4">
            <w:pPr>
              <w:shd w:val="clear" w:color="auto"/>
              <w:snapToGrid w:val="0"/>
              <w:spacing w:line="460" w:lineRule="exact"/>
              <w:rPr>
                <w:rFonts w:hint="eastAsia" w:hAnsi="宋体" w:eastAsia="宋体" w:cs="宋体"/>
                <w:color w:val="auto"/>
                <w:sz w:val="21"/>
                <w:szCs w:val="21"/>
                <w:highlight w:val="none"/>
              </w:rPr>
            </w:pPr>
          </w:p>
        </w:tc>
        <w:tc>
          <w:tcPr>
            <w:tcW w:w="1150" w:type="dxa"/>
            <w:noWrap w:val="0"/>
            <w:vAlign w:val="center"/>
          </w:tcPr>
          <w:p w14:paraId="7CE60A81">
            <w:pPr>
              <w:shd w:val="clear" w:color="auto"/>
              <w:snapToGrid w:val="0"/>
              <w:spacing w:line="460" w:lineRule="exact"/>
              <w:rPr>
                <w:rFonts w:hint="eastAsia" w:hAnsi="宋体" w:eastAsia="宋体" w:cs="宋体"/>
                <w:color w:val="auto"/>
                <w:sz w:val="21"/>
                <w:szCs w:val="21"/>
                <w:highlight w:val="none"/>
              </w:rPr>
            </w:pPr>
          </w:p>
        </w:tc>
        <w:tc>
          <w:tcPr>
            <w:tcW w:w="1789" w:type="dxa"/>
            <w:noWrap w:val="0"/>
            <w:vAlign w:val="center"/>
          </w:tcPr>
          <w:p w14:paraId="20C6D105">
            <w:pPr>
              <w:shd w:val="clear" w:color="auto"/>
              <w:snapToGrid w:val="0"/>
              <w:spacing w:line="460" w:lineRule="exact"/>
              <w:rPr>
                <w:rFonts w:hint="eastAsia" w:hAnsi="宋体" w:eastAsia="宋体" w:cs="宋体"/>
                <w:color w:val="auto"/>
                <w:sz w:val="21"/>
                <w:szCs w:val="21"/>
                <w:highlight w:val="none"/>
              </w:rPr>
            </w:pPr>
          </w:p>
        </w:tc>
      </w:tr>
      <w:tr w14:paraId="7FF03962">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96" w:hRule="atLeast"/>
        </w:trPr>
        <w:tc>
          <w:tcPr>
            <w:tcW w:w="880" w:type="dxa"/>
            <w:noWrap w:val="0"/>
            <w:vAlign w:val="center"/>
          </w:tcPr>
          <w:p w14:paraId="67D8A0DF">
            <w:pPr>
              <w:shd w:val="clear" w:color="auto"/>
              <w:snapToGrid w:val="0"/>
              <w:spacing w:line="460" w:lineRule="exact"/>
              <w:rPr>
                <w:rFonts w:hint="eastAsia" w:hAnsi="宋体" w:eastAsia="宋体" w:cs="宋体"/>
                <w:color w:val="auto"/>
                <w:sz w:val="21"/>
                <w:szCs w:val="21"/>
                <w:highlight w:val="none"/>
              </w:rPr>
            </w:pPr>
          </w:p>
        </w:tc>
        <w:tc>
          <w:tcPr>
            <w:tcW w:w="2686" w:type="dxa"/>
            <w:noWrap w:val="0"/>
            <w:vAlign w:val="center"/>
          </w:tcPr>
          <w:p w14:paraId="790650CC">
            <w:pPr>
              <w:shd w:val="clear" w:color="auto"/>
              <w:snapToGrid w:val="0"/>
              <w:spacing w:line="460" w:lineRule="exact"/>
              <w:rPr>
                <w:rFonts w:hint="eastAsia" w:hAnsi="宋体" w:eastAsia="宋体" w:cs="宋体"/>
                <w:color w:val="auto"/>
                <w:sz w:val="21"/>
                <w:szCs w:val="21"/>
                <w:highlight w:val="none"/>
              </w:rPr>
            </w:pPr>
          </w:p>
        </w:tc>
        <w:tc>
          <w:tcPr>
            <w:tcW w:w="767" w:type="dxa"/>
            <w:noWrap w:val="0"/>
            <w:vAlign w:val="center"/>
          </w:tcPr>
          <w:p w14:paraId="394DA706">
            <w:pPr>
              <w:shd w:val="clear" w:color="auto"/>
              <w:snapToGrid w:val="0"/>
              <w:spacing w:line="460" w:lineRule="exact"/>
              <w:rPr>
                <w:rFonts w:hint="eastAsia" w:hAnsi="宋体" w:eastAsia="宋体" w:cs="宋体"/>
                <w:color w:val="auto"/>
                <w:sz w:val="21"/>
                <w:szCs w:val="21"/>
                <w:highlight w:val="none"/>
              </w:rPr>
            </w:pPr>
          </w:p>
        </w:tc>
        <w:tc>
          <w:tcPr>
            <w:tcW w:w="767" w:type="dxa"/>
            <w:noWrap w:val="0"/>
            <w:vAlign w:val="center"/>
          </w:tcPr>
          <w:p w14:paraId="71D7A694">
            <w:pPr>
              <w:shd w:val="clear" w:color="auto"/>
              <w:snapToGrid w:val="0"/>
              <w:spacing w:line="460" w:lineRule="exact"/>
              <w:rPr>
                <w:rFonts w:hint="eastAsia" w:hAnsi="宋体" w:eastAsia="宋体" w:cs="宋体"/>
                <w:color w:val="auto"/>
                <w:sz w:val="21"/>
                <w:szCs w:val="21"/>
                <w:highlight w:val="none"/>
              </w:rPr>
            </w:pPr>
          </w:p>
        </w:tc>
        <w:tc>
          <w:tcPr>
            <w:tcW w:w="767" w:type="dxa"/>
            <w:noWrap w:val="0"/>
            <w:vAlign w:val="center"/>
          </w:tcPr>
          <w:p w14:paraId="06D17EC7">
            <w:pPr>
              <w:shd w:val="clear" w:color="auto"/>
              <w:snapToGrid w:val="0"/>
              <w:spacing w:line="460" w:lineRule="exact"/>
              <w:rPr>
                <w:rFonts w:hint="eastAsia" w:hAnsi="宋体" w:eastAsia="宋体" w:cs="宋体"/>
                <w:color w:val="auto"/>
                <w:sz w:val="21"/>
                <w:szCs w:val="21"/>
                <w:highlight w:val="none"/>
              </w:rPr>
            </w:pPr>
          </w:p>
        </w:tc>
        <w:tc>
          <w:tcPr>
            <w:tcW w:w="1150" w:type="dxa"/>
            <w:noWrap w:val="0"/>
            <w:vAlign w:val="center"/>
          </w:tcPr>
          <w:p w14:paraId="31B47679">
            <w:pPr>
              <w:shd w:val="clear" w:color="auto"/>
              <w:snapToGrid w:val="0"/>
              <w:spacing w:line="460" w:lineRule="exact"/>
              <w:rPr>
                <w:rFonts w:hint="eastAsia" w:hAnsi="宋体" w:eastAsia="宋体" w:cs="宋体"/>
                <w:color w:val="auto"/>
                <w:sz w:val="21"/>
                <w:szCs w:val="21"/>
                <w:highlight w:val="none"/>
              </w:rPr>
            </w:pPr>
          </w:p>
        </w:tc>
        <w:tc>
          <w:tcPr>
            <w:tcW w:w="1150" w:type="dxa"/>
            <w:noWrap w:val="0"/>
            <w:vAlign w:val="center"/>
          </w:tcPr>
          <w:p w14:paraId="3E87B189">
            <w:pPr>
              <w:shd w:val="clear" w:color="auto"/>
              <w:snapToGrid w:val="0"/>
              <w:spacing w:line="460" w:lineRule="exact"/>
              <w:rPr>
                <w:rFonts w:hint="eastAsia" w:hAnsi="宋体" w:eastAsia="宋体" w:cs="宋体"/>
                <w:color w:val="auto"/>
                <w:sz w:val="21"/>
                <w:szCs w:val="21"/>
                <w:highlight w:val="none"/>
              </w:rPr>
            </w:pPr>
          </w:p>
        </w:tc>
        <w:tc>
          <w:tcPr>
            <w:tcW w:w="1789" w:type="dxa"/>
            <w:noWrap w:val="0"/>
            <w:vAlign w:val="center"/>
          </w:tcPr>
          <w:p w14:paraId="3D876A87">
            <w:pPr>
              <w:shd w:val="clear" w:color="auto"/>
              <w:snapToGrid w:val="0"/>
              <w:spacing w:line="460" w:lineRule="exact"/>
              <w:rPr>
                <w:rFonts w:hint="eastAsia" w:hAnsi="宋体" w:eastAsia="宋体" w:cs="宋体"/>
                <w:color w:val="auto"/>
                <w:sz w:val="21"/>
                <w:szCs w:val="21"/>
                <w:highlight w:val="none"/>
              </w:rPr>
            </w:pPr>
          </w:p>
        </w:tc>
      </w:tr>
      <w:tr w14:paraId="164EEBB2">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96" w:hRule="atLeast"/>
        </w:trPr>
        <w:tc>
          <w:tcPr>
            <w:tcW w:w="880" w:type="dxa"/>
            <w:noWrap w:val="0"/>
            <w:vAlign w:val="center"/>
          </w:tcPr>
          <w:p w14:paraId="114AAC87">
            <w:pPr>
              <w:shd w:val="clear" w:color="auto"/>
              <w:snapToGrid w:val="0"/>
              <w:spacing w:line="460" w:lineRule="exact"/>
              <w:rPr>
                <w:rFonts w:hint="eastAsia" w:hAnsi="宋体" w:eastAsia="宋体" w:cs="宋体"/>
                <w:color w:val="auto"/>
                <w:sz w:val="21"/>
                <w:szCs w:val="21"/>
                <w:highlight w:val="none"/>
              </w:rPr>
            </w:pPr>
          </w:p>
        </w:tc>
        <w:tc>
          <w:tcPr>
            <w:tcW w:w="2686" w:type="dxa"/>
            <w:noWrap w:val="0"/>
            <w:vAlign w:val="center"/>
          </w:tcPr>
          <w:p w14:paraId="3D484E02">
            <w:pPr>
              <w:shd w:val="clear" w:color="auto"/>
              <w:snapToGrid w:val="0"/>
              <w:spacing w:line="460" w:lineRule="exact"/>
              <w:rPr>
                <w:rFonts w:hint="eastAsia" w:hAnsi="宋体" w:eastAsia="宋体" w:cs="宋体"/>
                <w:color w:val="auto"/>
                <w:sz w:val="21"/>
                <w:szCs w:val="21"/>
                <w:highlight w:val="none"/>
              </w:rPr>
            </w:pPr>
          </w:p>
        </w:tc>
        <w:tc>
          <w:tcPr>
            <w:tcW w:w="767" w:type="dxa"/>
            <w:noWrap w:val="0"/>
            <w:vAlign w:val="center"/>
          </w:tcPr>
          <w:p w14:paraId="35BEF564">
            <w:pPr>
              <w:shd w:val="clear" w:color="auto"/>
              <w:snapToGrid w:val="0"/>
              <w:spacing w:line="460" w:lineRule="exact"/>
              <w:rPr>
                <w:rFonts w:hint="eastAsia" w:hAnsi="宋体" w:eastAsia="宋体" w:cs="宋体"/>
                <w:color w:val="auto"/>
                <w:sz w:val="21"/>
                <w:szCs w:val="21"/>
                <w:highlight w:val="none"/>
              </w:rPr>
            </w:pPr>
          </w:p>
        </w:tc>
        <w:tc>
          <w:tcPr>
            <w:tcW w:w="767" w:type="dxa"/>
            <w:noWrap w:val="0"/>
            <w:vAlign w:val="center"/>
          </w:tcPr>
          <w:p w14:paraId="63074DBC">
            <w:pPr>
              <w:shd w:val="clear" w:color="auto"/>
              <w:snapToGrid w:val="0"/>
              <w:spacing w:line="460" w:lineRule="exact"/>
              <w:rPr>
                <w:rFonts w:hint="eastAsia" w:hAnsi="宋体" w:eastAsia="宋体" w:cs="宋体"/>
                <w:color w:val="auto"/>
                <w:sz w:val="21"/>
                <w:szCs w:val="21"/>
                <w:highlight w:val="none"/>
              </w:rPr>
            </w:pPr>
          </w:p>
        </w:tc>
        <w:tc>
          <w:tcPr>
            <w:tcW w:w="767" w:type="dxa"/>
            <w:noWrap w:val="0"/>
            <w:vAlign w:val="center"/>
          </w:tcPr>
          <w:p w14:paraId="55045D86">
            <w:pPr>
              <w:shd w:val="clear" w:color="auto"/>
              <w:snapToGrid w:val="0"/>
              <w:spacing w:line="460" w:lineRule="exact"/>
              <w:rPr>
                <w:rFonts w:hint="eastAsia" w:hAnsi="宋体" w:eastAsia="宋体" w:cs="宋体"/>
                <w:color w:val="auto"/>
                <w:sz w:val="21"/>
                <w:szCs w:val="21"/>
                <w:highlight w:val="none"/>
              </w:rPr>
            </w:pPr>
          </w:p>
        </w:tc>
        <w:tc>
          <w:tcPr>
            <w:tcW w:w="1150" w:type="dxa"/>
            <w:noWrap w:val="0"/>
            <w:vAlign w:val="center"/>
          </w:tcPr>
          <w:p w14:paraId="6E4168FE">
            <w:pPr>
              <w:shd w:val="clear" w:color="auto"/>
              <w:snapToGrid w:val="0"/>
              <w:spacing w:line="460" w:lineRule="exact"/>
              <w:rPr>
                <w:rFonts w:hint="eastAsia" w:hAnsi="宋体" w:eastAsia="宋体" w:cs="宋体"/>
                <w:color w:val="auto"/>
                <w:sz w:val="21"/>
                <w:szCs w:val="21"/>
                <w:highlight w:val="none"/>
              </w:rPr>
            </w:pPr>
          </w:p>
        </w:tc>
        <w:tc>
          <w:tcPr>
            <w:tcW w:w="1150" w:type="dxa"/>
            <w:noWrap w:val="0"/>
            <w:vAlign w:val="center"/>
          </w:tcPr>
          <w:p w14:paraId="4209495B">
            <w:pPr>
              <w:shd w:val="clear" w:color="auto"/>
              <w:snapToGrid w:val="0"/>
              <w:spacing w:line="460" w:lineRule="exact"/>
              <w:rPr>
                <w:rFonts w:hint="eastAsia" w:hAnsi="宋体" w:eastAsia="宋体" w:cs="宋体"/>
                <w:color w:val="auto"/>
                <w:sz w:val="21"/>
                <w:szCs w:val="21"/>
                <w:highlight w:val="none"/>
              </w:rPr>
            </w:pPr>
          </w:p>
        </w:tc>
        <w:tc>
          <w:tcPr>
            <w:tcW w:w="1789" w:type="dxa"/>
            <w:noWrap w:val="0"/>
            <w:vAlign w:val="center"/>
          </w:tcPr>
          <w:p w14:paraId="4C885A41">
            <w:pPr>
              <w:shd w:val="clear" w:color="auto"/>
              <w:snapToGrid w:val="0"/>
              <w:spacing w:line="460" w:lineRule="exact"/>
              <w:rPr>
                <w:rFonts w:hint="eastAsia" w:hAnsi="宋体" w:eastAsia="宋体" w:cs="宋体"/>
                <w:color w:val="auto"/>
                <w:sz w:val="21"/>
                <w:szCs w:val="21"/>
                <w:highlight w:val="none"/>
              </w:rPr>
            </w:pPr>
          </w:p>
        </w:tc>
      </w:tr>
      <w:tr w14:paraId="1C7113BE">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96" w:hRule="atLeast"/>
        </w:trPr>
        <w:tc>
          <w:tcPr>
            <w:tcW w:w="880" w:type="dxa"/>
            <w:noWrap w:val="0"/>
            <w:vAlign w:val="center"/>
          </w:tcPr>
          <w:p w14:paraId="1468E3C3">
            <w:pPr>
              <w:shd w:val="clear" w:color="auto"/>
              <w:snapToGrid w:val="0"/>
              <w:spacing w:line="460" w:lineRule="exact"/>
              <w:rPr>
                <w:rFonts w:hint="eastAsia" w:hAnsi="宋体" w:eastAsia="宋体" w:cs="宋体"/>
                <w:color w:val="auto"/>
                <w:sz w:val="21"/>
                <w:szCs w:val="21"/>
                <w:highlight w:val="none"/>
              </w:rPr>
            </w:pPr>
          </w:p>
        </w:tc>
        <w:tc>
          <w:tcPr>
            <w:tcW w:w="2686" w:type="dxa"/>
            <w:noWrap w:val="0"/>
            <w:vAlign w:val="center"/>
          </w:tcPr>
          <w:p w14:paraId="6A185E18">
            <w:pPr>
              <w:shd w:val="clear" w:color="auto"/>
              <w:snapToGrid w:val="0"/>
              <w:spacing w:line="460" w:lineRule="exact"/>
              <w:rPr>
                <w:rFonts w:hint="eastAsia" w:hAnsi="宋体" w:eastAsia="宋体" w:cs="宋体"/>
                <w:color w:val="auto"/>
                <w:sz w:val="21"/>
                <w:szCs w:val="21"/>
                <w:highlight w:val="none"/>
              </w:rPr>
            </w:pPr>
          </w:p>
        </w:tc>
        <w:tc>
          <w:tcPr>
            <w:tcW w:w="767" w:type="dxa"/>
            <w:noWrap w:val="0"/>
            <w:vAlign w:val="center"/>
          </w:tcPr>
          <w:p w14:paraId="0336D552">
            <w:pPr>
              <w:shd w:val="clear" w:color="auto"/>
              <w:snapToGrid w:val="0"/>
              <w:spacing w:line="460" w:lineRule="exact"/>
              <w:rPr>
                <w:rFonts w:hint="eastAsia" w:hAnsi="宋体" w:eastAsia="宋体" w:cs="宋体"/>
                <w:color w:val="auto"/>
                <w:sz w:val="21"/>
                <w:szCs w:val="21"/>
                <w:highlight w:val="none"/>
              </w:rPr>
            </w:pPr>
          </w:p>
        </w:tc>
        <w:tc>
          <w:tcPr>
            <w:tcW w:w="767" w:type="dxa"/>
            <w:noWrap w:val="0"/>
            <w:vAlign w:val="center"/>
          </w:tcPr>
          <w:p w14:paraId="2BF2D031">
            <w:pPr>
              <w:shd w:val="clear" w:color="auto"/>
              <w:snapToGrid w:val="0"/>
              <w:spacing w:line="460" w:lineRule="exact"/>
              <w:rPr>
                <w:rFonts w:hint="eastAsia" w:hAnsi="宋体" w:eastAsia="宋体" w:cs="宋体"/>
                <w:color w:val="auto"/>
                <w:sz w:val="21"/>
                <w:szCs w:val="21"/>
                <w:highlight w:val="none"/>
              </w:rPr>
            </w:pPr>
          </w:p>
        </w:tc>
        <w:tc>
          <w:tcPr>
            <w:tcW w:w="767" w:type="dxa"/>
            <w:noWrap w:val="0"/>
            <w:vAlign w:val="center"/>
          </w:tcPr>
          <w:p w14:paraId="67835F17">
            <w:pPr>
              <w:shd w:val="clear" w:color="auto"/>
              <w:snapToGrid w:val="0"/>
              <w:spacing w:line="460" w:lineRule="exact"/>
              <w:rPr>
                <w:rFonts w:hint="eastAsia" w:hAnsi="宋体" w:eastAsia="宋体" w:cs="宋体"/>
                <w:color w:val="auto"/>
                <w:sz w:val="21"/>
                <w:szCs w:val="21"/>
                <w:highlight w:val="none"/>
              </w:rPr>
            </w:pPr>
          </w:p>
        </w:tc>
        <w:tc>
          <w:tcPr>
            <w:tcW w:w="1150" w:type="dxa"/>
            <w:noWrap w:val="0"/>
            <w:vAlign w:val="center"/>
          </w:tcPr>
          <w:p w14:paraId="399D07E9">
            <w:pPr>
              <w:shd w:val="clear" w:color="auto"/>
              <w:snapToGrid w:val="0"/>
              <w:spacing w:line="460" w:lineRule="exact"/>
              <w:rPr>
                <w:rFonts w:hint="eastAsia" w:hAnsi="宋体" w:eastAsia="宋体" w:cs="宋体"/>
                <w:color w:val="auto"/>
                <w:sz w:val="21"/>
                <w:szCs w:val="21"/>
                <w:highlight w:val="none"/>
              </w:rPr>
            </w:pPr>
          </w:p>
        </w:tc>
        <w:tc>
          <w:tcPr>
            <w:tcW w:w="1150" w:type="dxa"/>
            <w:noWrap w:val="0"/>
            <w:vAlign w:val="center"/>
          </w:tcPr>
          <w:p w14:paraId="5229755C">
            <w:pPr>
              <w:shd w:val="clear" w:color="auto"/>
              <w:snapToGrid w:val="0"/>
              <w:spacing w:line="460" w:lineRule="exact"/>
              <w:rPr>
                <w:rFonts w:hint="eastAsia" w:hAnsi="宋体" w:eastAsia="宋体" w:cs="宋体"/>
                <w:color w:val="auto"/>
                <w:sz w:val="21"/>
                <w:szCs w:val="21"/>
                <w:highlight w:val="none"/>
              </w:rPr>
            </w:pPr>
          </w:p>
        </w:tc>
        <w:tc>
          <w:tcPr>
            <w:tcW w:w="1789" w:type="dxa"/>
            <w:noWrap w:val="0"/>
            <w:vAlign w:val="center"/>
          </w:tcPr>
          <w:p w14:paraId="07B31AEF">
            <w:pPr>
              <w:shd w:val="clear" w:color="auto"/>
              <w:snapToGrid w:val="0"/>
              <w:spacing w:line="460" w:lineRule="exact"/>
              <w:rPr>
                <w:rFonts w:hint="eastAsia" w:hAnsi="宋体" w:eastAsia="宋体" w:cs="宋体"/>
                <w:color w:val="auto"/>
                <w:sz w:val="21"/>
                <w:szCs w:val="21"/>
                <w:highlight w:val="none"/>
              </w:rPr>
            </w:pPr>
          </w:p>
        </w:tc>
      </w:tr>
      <w:tr w14:paraId="5F0E8353">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96" w:hRule="atLeast"/>
        </w:trPr>
        <w:tc>
          <w:tcPr>
            <w:tcW w:w="880" w:type="dxa"/>
            <w:noWrap w:val="0"/>
            <w:vAlign w:val="center"/>
          </w:tcPr>
          <w:p w14:paraId="2C85DA0F">
            <w:pPr>
              <w:shd w:val="clear" w:color="auto"/>
              <w:snapToGrid w:val="0"/>
              <w:spacing w:line="460" w:lineRule="exact"/>
              <w:rPr>
                <w:rFonts w:hint="eastAsia" w:hAnsi="宋体" w:eastAsia="宋体" w:cs="宋体"/>
                <w:color w:val="auto"/>
                <w:sz w:val="21"/>
                <w:szCs w:val="21"/>
                <w:highlight w:val="none"/>
              </w:rPr>
            </w:pPr>
          </w:p>
        </w:tc>
        <w:tc>
          <w:tcPr>
            <w:tcW w:w="2686" w:type="dxa"/>
            <w:noWrap w:val="0"/>
            <w:vAlign w:val="center"/>
          </w:tcPr>
          <w:p w14:paraId="08DE74C7">
            <w:pPr>
              <w:shd w:val="clear" w:color="auto"/>
              <w:snapToGrid w:val="0"/>
              <w:spacing w:line="460" w:lineRule="exact"/>
              <w:rPr>
                <w:rFonts w:hint="eastAsia" w:hAnsi="宋体" w:eastAsia="宋体" w:cs="宋体"/>
                <w:color w:val="auto"/>
                <w:sz w:val="21"/>
                <w:szCs w:val="21"/>
                <w:highlight w:val="none"/>
              </w:rPr>
            </w:pPr>
          </w:p>
        </w:tc>
        <w:tc>
          <w:tcPr>
            <w:tcW w:w="767" w:type="dxa"/>
            <w:noWrap w:val="0"/>
            <w:vAlign w:val="center"/>
          </w:tcPr>
          <w:p w14:paraId="410F22AB">
            <w:pPr>
              <w:shd w:val="clear" w:color="auto"/>
              <w:snapToGrid w:val="0"/>
              <w:spacing w:line="460" w:lineRule="exact"/>
              <w:rPr>
                <w:rFonts w:hint="eastAsia" w:hAnsi="宋体" w:eastAsia="宋体" w:cs="宋体"/>
                <w:color w:val="auto"/>
                <w:sz w:val="21"/>
                <w:szCs w:val="21"/>
                <w:highlight w:val="none"/>
              </w:rPr>
            </w:pPr>
          </w:p>
        </w:tc>
        <w:tc>
          <w:tcPr>
            <w:tcW w:w="767" w:type="dxa"/>
            <w:noWrap w:val="0"/>
            <w:vAlign w:val="center"/>
          </w:tcPr>
          <w:p w14:paraId="74342E07">
            <w:pPr>
              <w:shd w:val="clear" w:color="auto"/>
              <w:snapToGrid w:val="0"/>
              <w:spacing w:line="460" w:lineRule="exact"/>
              <w:rPr>
                <w:rFonts w:hint="eastAsia" w:hAnsi="宋体" w:eastAsia="宋体" w:cs="宋体"/>
                <w:color w:val="auto"/>
                <w:sz w:val="21"/>
                <w:szCs w:val="21"/>
                <w:highlight w:val="none"/>
              </w:rPr>
            </w:pPr>
          </w:p>
        </w:tc>
        <w:tc>
          <w:tcPr>
            <w:tcW w:w="767" w:type="dxa"/>
            <w:noWrap w:val="0"/>
            <w:vAlign w:val="center"/>
          </w:tcPr>
          <w:p w14:paraId="31ED4463">
            <w:pPr>
              <w:shd w:val="clear" w:color="auto"/>
              <w:snapToGrid w:val="0"/>
              <w:spacing w:line="460" w:lineRule="exact"/>
              <w:rPr>
                <w:rFonts w:hint="eastAsia" w:hAnsi="宋体" w:eastAsia="宋体" w:cs="宋体"/>
                <w:color w:val="auto"/>
                <w:sz w:val="21"/>
                <w:szCs w:val="21"/>
                <w:highlight w:val="none"/>
              </w:rPr>
            </w:pPr>
          </w:p>
        </w:tc>
        <w:tc>
          <w:tcPr>
            <w:tcW w:w="1150" w:type="dxa"/>
            <w:noWrap w:val="0"/>
            <w:vAlign w:val="center"/>
          </w:tcPr>
          <w:p w14:paraId="0291D03E">
            <w:pPr>
              <w:shd w:val="clear" w:color="auto"/>
              <w:snapToGrid w:val="0"/>
              <w:spacing w:line="460" w:lineRule="exact"/>
              <w:rPr>
                <w:rFonts w:hint="eastAsia" w:hAnsi="宋体" w:eastAsia="宋体" w:cs="宋体"/>
                <w:color w:val="auto"/>
                <w:sz w:val="21"/>
                <w:szCs w:val="21"/>
                <w:highlight w:val="none"/>
              </w:rPr>
            </w:pPr>
          </w:p>
        </w:tc>
        <w:tc>
          <w:tcPr>
            <w:tcW w:w="1150" w:type="dxa"/>
            <w:noWrap w:val="0"/>
            <w:vAlign w:val="center"/>
          </w:tcPr>
          <w:p w14:paraId="7F4F5644">
            <w:pPr>
              <w:shd w:val="clear" w:color="auto"/>
              <w:snapToGrid w:val="0"/>
              <w:spacing w:line="460" w:lineRule="exact"/>
              <w:rPr>
                <w:rFonts w:hint="eastAsia" w:hAnsi="宋体" w:eastAsia="宋体" w:cs="宋体"/>
                <w:color w:val="auto"/>
                <w:sz w:val="21"/>
                <w:szCs w:val="21"/>
                <w:highlight w:val="none"/>
              </w:rPr>
            </w:pPr>
          </w:p>
        </w:tc>
        <w:tc>
          <w:tcPr>
            <w:tcW w:w="1789" w:type="dxa"/>
            <w:noWrap w:val="0"/>
            <w:vAlign w:val="center"/>
          </w:tcPr>
          <w:p w14:paraId="3878ABDE">
            <w:pPr>
              <w:shd w:val="clear" w:color="auto"/>
              <w:snapToGrid w:val="0"/>
              <w:spacing w:line="460" w:lineRule="exact"/>
              <w:rPr>
                <w:rFonts w:hint="eastAsia" w:hAnsi="宋体" w:eastAsia="宋体" w:cs="宋体"/>
                <w:color w:val="auto"/>
                <w:sz w:val="21"/>
                <w:szCs w:val="21"/>
                <w:highlight w:val="none"/>
              </w:rPr>
            </w:pPr>
          </w:p>
        </w:tc>
      </w:tr>
      <w:tr w14:paraId="2F4B2475">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96" w:hRule="atLeast"/>
        </w:trPr>
        <w:tc>
          <w:tcPr>
            <w:tcW w:w="880" w:type="dxa"/>
            <w:noWrap w:val="0"/>
            <w:vAlign w:val="center"/>
          </w:tcPr>
          <w:p w14:paraId="2D0F9197">
            <w:pPr>
              <w:shd w:val="clear" w:color="auto"/>
              <w:snapToGrid w:val="0"/>
              <w:spacing w:line="460" w:lineRule="exact"/>
              <w:rPr>
                <w:rFonts w:hint="eastAsia" w:hAnsi="宋体" w:eastAsia="宋体" w:cs="宋体"/>
                <w:color w:val="auto"/>
                <w:sz w:val="21"/>
                <w:szCs w:val="21"/>
                <w:highlight w:val="none"/>
              </w:rPr>
            </w:pPr>
          </w:p>
        </w:tc>
        <w:tc>
          <w:tcPr>
            <w:tcW w:w="2686" w:type="dxa"/>
            <w:noWrap w:val="0"/>
            <w:vAlign w:val="center"/>
          </w:tcPr>
          <w:p w14:paraId="06B81BFB">
            <w:pPr>
              <w:shd w:val="clear" w:color="auto"/>
              <w:snapToGrid w:val="0"/>
              <w:spacing w:line="460" w:lineRule="exact"/>
              <w:rPr>
                <w:rFonts w:hint="eastAsia" w:hAnsi="宋体" w:eastAsia="宋体" w:cs="宋体"/>
                <w:color w:val="auto"/>
                <w:sz w:val="21"/>
                <w:szCs w:val="21"/>
                <w:highlight w:val="none"/>
              </w:rPr>
            </w:pPr>
          </w:p>
        </w:tc>
        <w:tc>
          <w:tcPr>
            <w:tcW w:w="767" w:type="dxa"/>
            <w:noWrap w:val="0"/>
            <w:vAlign w:val="center"/>
          </w:tcPr>
          <w:p w14:paraId="572AEDF8">
            <w:pPr>
              <w:shd w:val="clear" w:color="auto"/>
              <w:snapToGrid w:val="0"/>
              <w:spacing w:line="460" w:lineRule="exact"/>
              <w:rPr>
                <w:rFonts w:hint="eastAsia" w:hAnsi="宋体" w:eastAsia="宋体" w:cs="宋体"/>
                <w:color w:val="auto"/>
                <w:sz w:val="21"/>
                <w:szCs w:val="21"/>
                <w:highlight w:val="none"/>
              </w:rPr>
            </w:pPr>
          </w:p>
        </w:tc>
        <w:tc>
          <w:tcPr>
            <w:tcW w:w="767" w:type="dxa"/>
            <w:noWrap w:val="0"/>
            <w:vAlign w:val="center"/>
          </w:tcPr>
          <w:p w14:paraId="0E19C484">
            <w:pPr>
              <w:shd w:val="clear" w:color="auto"/>
              <w:snapToGrid w:val="0"/>
              <w:spacing w:line="460" w:lineRule="exact"/>
              <w:rPr>
                <w:rFonts w:hint="eastAsia" w:hAnsi="宋体" w:eastAsia="宋体" w:cs="宋体"/>
                <w:color w:val="auto"/>
                <w:sz w:val="21"/>
                <w:szCs w:val="21"/>
                <w:highlight w:val="none"/>
              </w:rPr>
            </w:pPr>
          </w:p>
        </w:tc>
        <w:tc>
          <w:tcPr>
            <w:tcW w:w="767" w:type="dxa"/>
            <w:noWrap w:val="0"/>
            <w:vAlign w:val="center"/>
          </w:tcPr>
          <w:p w14:paraId="32CF0DB9">
            <w:pPr>
              <w:shd w:val="clear" w:color="auto"/>
              <w:snapToGrid w:val="0"/>
              <w:spacing w:line="460" w:lineRule="exact"/>
              <w:rPr>
                <w:rFonts w:hint="eastAsia" w:hAnsi="宋体" w:eastAsia="宋体" w:cs="宋体"/>
                <w:color w:val="auto"/>
                <w:sz w:val="21"/>
                <w:szCs w:val="21"/>
                <w:highlight w:val="none"/>
              </w:rPr>
            </w:pPr>
          </w:p>
        </w:tc>
        <w:tc>
          <w:tcPr>
            <w:tcW w:w="1150" w:type="dxa"/>
            <w:noWrap w:val="0"/>
            <w:vAlign w:val="center"/>
          </w:tcPr>
          <w:p w14:paraId="21C012FB">
            <w:pPr>
              <w:shd w:val="clear" w:color="auto"/>
              <w:snapToGrid w:val="0"/>
              <w:spacing w:line="460" w:lineRule="exact"/>
              <w:rPr>
                <w:rFonts w:hint="eastAsia" w:hAnsi="宋体" w:eastAsia="宋体" w:cs="宋体"/>
                <w:color w:val="auto"/>
                <w:sz w:val="21"/>
                <w:szCs w:val="21"/>
                <w:highlight w:val="none"/>
              </w:rPr>
            </w:pPr>
          </w:p>
        </w:tc>
        <w:tc>
          <w:tcPr>
            <w:tcW w:w="1150" w:type="dxa"/>
            <w:noWrap w:val="0"/>
            <w:vAlign w:val="center"/>
          </w:tcPr>
          <w:p w14:paraId="4C673BCF">
            <w:pPr>
              <w:shd w:val="clear" w:color="auto"/>
              <w:snapToGrid w:val="0"/>
              <w:spacing w:line="460" w:lineRule="exact"/>
              <w:rPr>
                <w:rFonts w:hint="eastAsia" w:hAnsi="宋体" w:eastAsia="宋体" w:cs="宋体"/>
                <w:color w:val="auto"/>
                <w:sz w:val="21"/>
                <w:szCs w:val="21"/>
                <w:highlight w:val="none"/>
              </w:rPr>
            </w:pPr>
          </w:p>
        </w:tc>
        <w:tc>
          <w:tcPr>
            <w:tcW w:w="1789" w:type="dxa"/>
            <w:noWrap w:val="0"/>
            <w:vAlign w:val="center"/>
          </w:tcPr>
          <w:p w14:paraId="65D2AFA3">
            <w:pPr>
              <w:shd w:val="clear" w:color="auto"/>
              <w:snapToGrid w:val="0"/>
              <w:spacing w:line="460" w:lineRule="exact"/>
              <w:rPr>
                <w:rFonts w:hint="eastAsia" w:hAnsi="宋体" w:eastAsia="宋体" w:cs="宋体"/>
                <w:color w:val="auto"/>
                <w:sz w:val="21"/>
                <w:szCs w:val="21"/>
                <w:highlight w:val="none"/>
              </w:rPr>
            </w:pPr>
          </w:p>
        </w:tc>
      </w:tr>
    </w:tbl>
    <w:p w14:paraId="7EE45E01">
      <w:pPr>
        <w:shd w:val="clear" w:color="auto"/>
        <w:snapToGrid w:val="0"/>
        <w:spacing w:line="460" w:lineRule="atLeast"/>
        <w:rPr>
          <w:rFonts w:hint="eastAsia" w:hAnsi="宋体" w:cs="宋体"/>
          <w:color w:val="auto"/>
          <w:sz w:val="21"/>
          <w:szCs w:val="21"/>
          <w:highlight w:val="none"/>
        </w:rPr>
      </w:pPr>
      <w:r>
        <w:rPr>
          <w:rFonts w:hint="eastAsia" w:hAnsi="宋体" w:cs="宋体"/>
          <w:color w:val="auto"/>
          <w:sz w:val="21"/>
          <w:szCs w:val="21"/>
          <w:highlight w:val="none"/>
        </w:rPr>
        <w:t>注： 1.本表应</w:t>
      </w:r>
      <w:r>
        <w:rPr>
          <w:rFonts w:hint="eastAsia" w:hAnsi="宋体" w:cs="宋体"/>
          <w:color w:val="auto"/>
          <w:sz w:val="21"/>
          <w:szCs w:val="21"/>
          <w:highlight w:val="none"/>
          <w:lang w:val="en-US" w:eastAsia="zh-CN"/>
        </w:rPr>
        <w:t>根据评分内容提供响应证明材料或证件。</w:t>
      </w:r>
    </w:p>
    <w:p w14:paraId="23209A82">
      <w:pPr>
        <w:shd w:val="clear" w:color="auto"/>
        <w:snapToGrid w:val="0"/>
        <w:spacing w:line="460" w:lineRule="atLeast"/>
        <w:ind w:firstLine="420" w:firstLineChars="200"/>
        <w:rPr>
          <w:rFonts w:hint="eastAsia" w:hAnsi="宋体" w:cs="宋体"/>
          <w:color w:val="auto"/>
          <w:sz w:val="21"/>
          <w:szCs w:val="21"/>
          <w:highlight w:val="none"/>
        </w:rPr>
      </w:pPr>
      <w:r>
        <w:rPr>
          <w:rFonts w:hint="eastAsia" w:hAnsi="宋体" w:cs="宋体"/>
          <w:color w:val="auto"/>
          <w:sz w:val="21"/>
          <w:szCs w:val="21"/>
          <w:highlight w:val="none"/>
        </w:rPr>
        <w:t>2.列入本表人员如要更换，需经采购人同意；擅自更换或不到位属违约行为。</w:t>
      </w:r>
    </w:p>
    <w:p w14:paraId="67BCCE42">
      <w:pPr>
        <w:shd w:val="clear" w:color="auto"/>
        <w:snapToGrid w:val="0"/>
        <w:spacing w:line="460" w:lineRule="atLeast"/>
        <w:ind w:firstLine="420" w:firstLineChars="200"/>
        <w:rPr>
          <w:rFonts w:hint="eastAsia" w:hAnsi="宋体" w:cs="宋体"/>
          <w:color w:val="auto"/>
          <w:sz w:val="21"/>
          <w:szCs w:val="21"/>
          <w:highlight w:val="none"/>
        </w:rPr>
      </w:pPr>
      <w:r>
        <w:rPr>
          <w:rFonts w:hint="eastAsia" w:hAnsi="宋体" w:cs="宋体"/>
          <w:color w:val="auto"/>
          <w:sz w:val="21"/>
          <w:szCs w:val="21"/>
          <w:highlight w:val="none"/>
        </w:rPr>
        <w:t>3.表格可以延续。</w:t>
      </w:r>
    </w:p>
    <w:p w14:paraId="19DFE13F">
      <w:pPr>
        <w:shd w:val="clear" w:color="auto"/>
        <w:spacing w:line="500" w:lineRule="exact"/>
        <w:ind w:firstLine="420" w:firstLineChars="200"/>
        <w:rPr>
          <w:rFonts w:hint="eastAsia" w:hAnsi="宋体" w:cs="宋体"/>
          <w:color w:val="auto"/>
          <w:sz w:val="21"/>
          <w:szCs w:val="21"/>
          <w:highlight w:val="none"/>
        </w:rPr>
      </w:pPr>
    </w:p>
    <w:p w14:paraId="37CDC612">
      <w:pPr>
        <w:shd w:val="clear" w:color="auto"/>
        <w:spacing w:line="500" w:lineRule="exact"/>
        <w:ind w:firstLine="420" w:firstLineChars="200"/>
        <w:rPr>
          <w:rFonts w:hint="eastAsia" w:hAnsi="宋体" w:cs="宋体"/>
          <w:color w:val="auto"/>
          <w:sz w:val="21"/>
          <w:szCs w:val="21"/>
          <w:highlight w:val="none"/>
        </w:rPr>
      </w:pPr>
      <w:r>
        <w:rPr>
          <w:rFonts w:hint="eastAsia" w:hAnsi="宋体" w:cs="宋体"/>
          <w:color w:val="auto"/>
          <w:sz w:val="21"/>
          <w:szCs w:val="21"/>
          <w:highlight w:val="none"/>
        </w:rPr>
        <w:t>法定代表人或其授权代表（签字或盖章）：</w:t>
      </w:r>
    </w:p>
    <w:p w14:paraId="52BBDFE7">
      <w:pPr>
        <w:shd w:val="clear" w:color="auto"/>
        <w:autoSpaceDE/>
        <w:autoSpaceDN/>
        <w:spacing w:line="500" w:lineRule="exact"/>
        <w:ind w:firstLine="420" w:firstLineChars="200"/>
        <w:rPr>
          <w:rFonts w:hint="eastAsia" w:hAnsi="宋体" w:cs="宋体"/>
          <w:color w:val="auto"/>
          <w:sz w:val="21"/>
          <w:szCs w:val="21"/>
          <w:highlight w:val="none"/>
        </w:rPr>
      </w:pPr>
      <w:r>
        <w:rPr>
          <w:rFonts w:hint="eastAsia" w:hAnsi="宋体" w:cs="宋体"/>
          <w:color w:val="auto"/>
          <w:sz w:val="21"/>
          <w:szCs w:val="21"/>
          <w:highlight w:val="none"/>
        </w:rPr>
        <w:t xml:space="preserve">投标人（或联合体投标人的牵头单位）全称（加盖公章）：                     </w:t>
      </w:r>
    </w:p>
    <w:p w14:paraId="43BBC266">
      <w:pPr>
        <w:shd w:val="clear" w:color="auto"/>
        <w:autoSpaceDE/>
        <w:autoSpaceDN/>
        <w:spacing w:line="500" w:lineRule="exact"/>
        <w:ind w:firstLine="420" w:firstLineChars="200"/>
        <w:rPr>
          <w:rFonts w:hint="eastAsia" w:hAnsi="宋体" w:cs="宋体"/>
          <w:color w:val="auto"/>
          <w:sz w:val="21"/>
          <w:szCs w:val="21"/>
          <w:highlight w:val="none"/>
        </w:rPr>
      </w:pPr>
      <w:r>
        <w:rPr>
          <w:rFonts w:hint="eastAsia" w:hAnsi="宋体" w:cs="宋体"/>
          <w:color w:val="auto"/>
          <w:sz w:val="21"/>
          <w:szCs w:val="21"/>
          <w:highlight w:val="none"/>
        </w:rPr>
        <w:t>日期：  年  月   日</w:t>
      </w:r>
    </w:p>
    <w:p w14:paraId="32CECFAC">
      <w:pPr>
        <w:shd w:val="clear" w:color="auto"/>
        <w:snapToGrid w:val="0"/>
        <w:spacing w:before="50" w:after="50"/>
        <w:jc w:val="center"/>
        <w:rPr>
          <w:rFonts w:hint="eastAsia" w:hAnsi="宋体" w:cs="宋体"/>
          <w:b/>
          <w:bCs/>
          <w:color w:val="auto"/>
          <w:sz w:val="24"/>
          <w:highlight w:val="none"/>
        </w:rPr>
      </w:pPr>
    </w:p>
    <w:p w14:paraId="39BC44B5">
      <w:pPr>
        <w:shd w:val="clear" w:color="auto"/>
        <w:snapToGrid w:val="0"/>
        <w:spacing w:before="50" w:after="50"/>
        <w:jc w:val="center"/>
        <w:rPr>
          <w:rFonts w:hint="eastAsia" w:hAnsi="宋体" w:cs="宋体"/>
          <w:b/>
          <w:bCs/>
          <w:color w:val="auto"/>
          <w:sz w:val="24"/>
          <w:highlight w:val="none"/>
        </w:rPr>
      </w:pPr>
    </w:p>
    <w:p w14:paraId="323D3EA6">
      <w:pPr>
        <w:shd w:val="clear" w:color="auto"/>
        <w:jc w:val="center"/>
        <w:rPr>
          <w:rFonts w:hint="eastAsia" w:hAnsi="宋体" w:cs="宋体"/>
          <w:b/>
          <w:bCs/>
          <w:color w:val="auto"/>
          <w:sz w:val="24"/>
          <w:szCs w:val="24"/>
          <w:highlight w:val="none"/>
          <w:lang w:bidi="ar"/>
        </w:rPr>
      </w:pPr>
      <w:r>
        <w:rPr>
          <w:rFonts w:hint="eastAsia" w:hAnsi="宋体" w:cs="宋体"/>
          <w:b/>
          <w:bCs/>
          <w:color w:val="auto"/>
          <w:sz w:val="24"/>
          <w:szCs w:val="24"/>
          <w:highlight w:val="none"/>
          <w:lang w:val="en-US" w:eastAsia="zh-CN" w:bidi="ar"/>
        </w:rPr>
        <w:t>6</w:t>
      </w:r>
      <w:r>
        <w:rPr>
          <w:rFonts w:hint="eastAsia" w:hAnsi="宋体" w:cs="宋体"/>
          <w:b/>
          <w:bCs/>
          <w:color w:val="auto"/>
          <w:sz w:val="24"/>
          <w:szCs w:val="24"/>
          <w:highlight w:val="none"/>
          <w:lang w:bidi="ar"/>
        </w:rPr>
        <w:t>.技术要求响应表</w:t>
      </w:r>
    </w:p>
    <w:tbl>
      <w:tblPr>
        <w:tblStyle w:val="48"/>
        <w:tblW w:w="9758" w:type="dxa"/>
        <w:jc w:val="center"/>
        <w:tblLayout w:type="fixed"/>
        <w:tblCellMar>
          <w:top w:w="0" w:type="dxa"/>
          <w:left w:w="0" w:type="dxa"/>
          <w:bottom w:w="0" w:type="dxa"/>
          <w:right w:w="0" w:type="dxa"/>
        </w:tblCellMar>
      </w:tblPr>
      <w:tblGrid>
        <w:gridCol w:w="634"/>
        <w:gridCol w:w="1451"/>
        <w:gridCol w:w="2270"/>
        <w:gridCol w:w="2729"/>
        <w:gridCol w:w="1367"/>
        <w:gridCol w:w="1307"/>
      </w:tblGrid>
      <w:tr w14:paraId="4C097306">
        <w:tblPrEx>
          <w:tblCellMar>
            <w:top w:w="0" w:type="dxa"/>
            <w:left w:w="0" w:type="dxa"/>
            <w:bottom w:w="0" w:type="dxa"/>
            <w:right w:w="0" w:type="dxa"/>
          </w:tblCellMar>
        </w:tblPrEx>
        <w:trPr>
          <w:trHeight w:val="724" w:hRule="atLeast"/>
          <w:jc w:val="center"/>
        </w:trPr>
        <w:tc>
          <w:tcPr>
            <w:tcW w:w="634" w:type="dxa"/>
            <w:tcBorders>
              <w:top w:val="single" w:color="000000" w:sz="6" w:space="0"/>
              <w:left w:val="single" w:color="000000" w:sz="6" w:space="0"/>
              <w:bottom w:val="single" w:color="000000" w:sz="6" w:space="0"/>
              <w:right w:val="single" w:color="000000" w:sz="6" w:space="0"/>
            </w:tcBorders>
            <w:noWrap w:val="0"/>
            <w:vAlign w:val="center"/>
          </w:tcPr>
          <w:p w14:paraId="4D8F4F3A">
            <w:pPr>
              <w:pStyle w:val="133"/>
              <w:shd w:val="clear" w:color="auto"/>
              <w:snapToGrid w:val="0"/>
              <w:spacing w:line="460" w:lineRule="exact"/>
              <w:jc w:val="center"/>
              <w:rPr>
                <w:rStyle w:val="108"/>
                <w:rFonts w:hint="eastAsia" w:ascii="宋体" w:hAnsi="宋体" w:cs="宋体"/>
                <w:bCs/>
                <w:color w:val="auto"/>
                <w:szCs w:val="21"/>
                <w:highlight w:val="none"/>
              </w:rPr>
            </w:pPr>
            <w:bookmarkStart w:id="80" w:name="_Hlk113443080"/>
            <w:r>
              <w:rPr>
                <w:rStyle w:val="108"/>
                <w:rFonts w:hint="eastAsia" w:ascii="宋体" w:hAnsi="宋体" w:cs="宋体"/>
                <w:bCs/>
                <w:color w:val="auto"/>
                <w:szCs w:val="21"/>
                <w:highlight w:val="none"/>
              </w:rPr>
              <w:t>序号</w:t>
            </w:r>
          </w:p>
        </w:tc>
        <w:tc>
          <w:tcPr>
            <w:tcW w:w="1451" w:type="dxa"/>
            <w:tcBorders>
              <w:top w:val="single" w:color="000000" w:sz="6" w:space="0"/>
              <w:left w:val="single" w:color="000000" w:sz="6" w:space="0"/>
              <w:bottom w:val="single" w:color="000000" w:sz="6" w:space="0"/>
              <w:right w:val="single" w:color="000000" w:sz="6" w:space="0"/>
            </w:tcBorders>
            <w:noWrap w:val="0"/>
            <w:vAlign w:val="center"/>
          </w:tcPr>
          <w:p w14:paraId="70118489">
            <w:pPr>
              <w:pStyle w:val="133"/>
              <w:shd w:val="clear" w:color="auto"/>
              <w:snapToGrid w:val="0"/>
              <w:spacing w:line="460" w:lineRule="exact"/>
              <w:jc w:val="center"/>
              <w:rPr>
                <w:rStyle w:val="108"/>
                <w:rFonts w:hint="eastAsia" w:ascii="宋体" w:hAnsi="宋体" w:cs="宋体"/>
                <w:bCs/>
                <w:color w:val="auto"/>
                <w:szCs w:val="21"/>
                <w:highlight w:val="none"/>
              </w:rPr>
            </w:pPr>
            <w:r>
              <w:rPr>
                <w:rStyle w:val="108"/>
                <w:rFonts w:hint="eastAsia" w:ascii="宋体" w:hAnsi="宋体" w:cs="宋体"/>
                <w:bCs/>
                <w:color w:val="auto"/>
                <w:szCs w:val="21"/>
                <w:highlight w:val="none"/>
              </w:rPr>
              <w:t>采购内容</w:t>
            </w:r>
          </w:p>
        </w:tc>
        <w:tc>
          <w:tcPr>
            <w:tcW w:w="2270" w:type="dxa"/>
            <w:tcBorders>
              <w:top w:val="single" w:color="000000" w:sz="6" w:space="0"/>
              <w:left w:val="single" w:color="000000" w:sz="6" w:space="0"/>
              <w:bottom w:val="single" w:color="000000" w:sz="6" w:space="0"/>
              <w:right w:val="single" w:color="000000" w:sz="6" w:space="0"/>
            </w:tcBorders>
            <w:noWrap w:val="0"/>
            <w:vAlign w:val="center"/>
          </w:tcPr>
          <w:p w14:paraId="34E6CA54">
            <w:pPr>
              <w:pStyle w:val="133"/>
              <w:shd w:val="clear" w:color="auto"/>
              <w:snapToGrid w:val="0"/>
              <w:spacing w:line="460" w:lineRule="exact"/>
              <w:jc w:val="center"/>
              <w:rPr>
                <w:rStyle w:val="108"/>
                <w:rFonts w:hint="eastAsia" w:ascii="宋体" w:hAnsi="宋体" w:cs="宋体"/>
                <w:bCs/>
                <w:color w:val="auto"/>
                <w:szCs w:val="21"/>
                <w:highlight w:val="none"/>
              </w:rPr>
            </w:pPr>
            <w:r>
              <w:rPr>
                <w:rStyle w:val="108"/>
                <w:rFonts w:hint="eastAsia" w:ascii="宋体" w:hAnsi="宋体" w:cs="宋体"/>
                <w:bCs/>
                <w:color w:val="auto"/>
                <w:szCs w:val="21"/>
                <w:highlight w:val="none"/>
              </w:rPr>
              <w:t>招标文件的技术规范和服务要求</w:t>
            </w:r>
          </w:p>
        </w:tc>
        <w:tc>
          <w:tcPr>
            <w:tcW w:w="2729" w:type="dxa"/>
            <w:tcBorders>
              <w:top w:val="single" w:color="000000" w:sz="6" w:space="0"/>
              <w:left w:val="single" w:color="000000" w:sz="6" w:space="0"/>
              <w:bottom w:val="single" w:color="000000" w:sz="6" w:space="0"/>
              <w:right w:val="single" w:color="000000" w:sz="6" w:space="0"/>
            </w:tcBorders>
            <w:noWrap w:val="0"/>
            <w:vAlign w:val="center"/>
          </w:tcPr>
          <w:p w14:paraId="0A2287ED">
            <w:pPr>
              <w:pStyle w:val="133"/>
              <w:shd w:val="clear" w:color="auto"/>
              <w:snapToGrid w:val="0"/>
              <w:spacing w:line="460" w:lineRule="exact"/>
              <w:jc w:val="center"/>
              <w:rPr>
                <w:rStyle w:val="108"/>
                <w:rFonts w:hint="eastAsia" w:ascii="宋体" w:hAnsi="宋体" w:cs="宋体"/>
                <w:bCs/>
                <w:color w:val="auto"/>
                <w:szCs w:val="21"/>
                <w:highlight w:val="none"/>
              </w:rPr>
            </w:pPr>
            <w:r>
              <w:rPr>
                <w:rStyle w:val="108"/>
                <w:rFonts w:hint="eastAsia" w:ascii="宋体" w:hAnsi="宋体" w:cs="宋体"/>
                <w:bCs/>
                <w:color w:val="auto"/>
                <w:szCs w:val="21"/>
                <w:highlight w:val="none"/>
              </w:rPr>
              <w:t>投标文件的响应情况</w:t>
            </w:r>
          </w:p>
        </w:tc>
        <w:tc>
          <w:tcPr>
            <w:tcW w:w="1367" w:type="dxa"/>
            <w:tcBorders>
              <w:top w:val="single" w:color="000000" w:sz="6" w:space="0"/>
              <w:left w:val="single" w:color="000000" w:sz="4" w:space="0"/>
              <w:bottom w:val="single" w:color="000000" w:sz="6" w:space="0"/>
              <w:right w:val="single" w:color="000000" w:sz="6" w:space="0"/>
            </w:tcBorders>
            <w:noWrap w:val="0"/>
            <w:vAlign w:val="center"/>
          </w:tcPr>
          <w:p w14:paraId="7F91A932">
            <w:pPr>
              <w:pStyle w:val="133"/>
              <w:shd w:val="clear" w:color="auto"/>
              <w:snapToGrid w:val="0"/>
              <w:spacing w:line="460" w:lineRule="exact"/>
              <w:jc w:val="center"/>
              <w:rPr>
                <w:rStyle w:val="108"/>
                <w:rFonts w:hint="eastAsia" w:ascii="宋体" w:hAnsi="宋体" w:cs="宋体"/>
                <w:bCs/>
                <w:color w:val="auto"/>
                <w:szCs w:val="21"/>
                <w:highlight w:val="none"/>
              </w:rPr>
            </w:pPr>
            <w:r>
              <w:rPr>
                <w:rStyle w:val="108"/>
                <w:rFonts w:hint="eastAsia" w:ascii="宋体" w:hAnsi="宋体" w:cs="宋体"/>
                <w:bCs/>
                <w:color w:val="auto"/>
                <w:szCs w:val="21"/>
                <w:highlight w:val="none"/>
              </w:rPr>
              <w:t>偏离情况</w:t>
            </w:r>
          </w:p>
        </w:tc>
        <w:tc>
          <w:tcPr>
            <w:tcW w:w="1307" w:type="dxa"/>
            <w:tcBorders>
              <w:top w:val="single" w:color="000000" w:sz="6" w:space="0"/>
              <w:left w:val="single" w:color="000000" w:sz="4" w:space="0"/>
              <w:bottom w:val="single" w:color="000000" w:sz="6" w:space="0"/>
              <w:right w:val="single" w:color="000000" w:sz="6" w:space="0"/>
            </w:tcBorders>
            <w:noWrap w:val="0"/>
            <w:vAlign w:val="center"/>
          </w:tcPr>
          <w:p w14:paraId="666BA335">
            <w:pPr>
              <w:pStyle w:val="133"/>
              <w:shd w:val="clear" w:color="auto"/>
              <w:snapToGrid w:val="0"/>
              <w:spacing w:line="460" w:lineRule="exact"/>
              <w:jc w:val="center"/>
              <w:rPr>
                <w:rStyle w:val="108"/>
                <w:rFonts w:hint="eastAsia" w:ascii="宋体" w:hAnsi="宋体" w:cs="宋体"/>
                <w:bCs/>
                <w:color w:val="auto"/>
                <w:szCs w:val="21"/>
                <w:highlight w:val="none"/>
              </w:rPr>
            </w:pPr>
            <w:r>
              <w:rPr>
                <w:rStyle w:val="108"/>
                <w:rFonts w:hint="eastAsia" w:ascii="宋体" w:hAnsi="宋体" w:cs="宋体"/>
                <w:bCs/>
                <w:color w:val="auto"/>
                <w:szCs w:val="21"/>
                <w:highlight w:val="none"/>
              </w:rPr>
              <w:t>证明材料对应页码</w:t>
            </w:r>
          </w:p>
        </w:tc>
      </w:tr>
      <w:tr w14:paraId="1264F8CC">
        <w:tblPrEx>
          <w:tblCellMar>
            <w:top w:w="0" w:type="dxa"/>
            <w:left w:w="0" w:type="dxa"/>
            <w:bottom w:w="0" w:type="dxa"/>
            <w:right w:w="0" w:type="dxa"/>
          </w:tblCellMar>
        </w:tblPrEx>
        <w:trPr>
          <w:trHeight w:val="549" w:hRule="atLeast"/>
          <w:jc w:val="center"/>
        </w:trPr>
        <w:tc>
          <w:tcPr>
            <w:tcW w:w="634" w:type="dxa"/>
            <w:tcBorders>
              <w:top w:val="single" w:color="000000" w:sz="6" w:space="0"/>
              <w:left w:val="single" w:color="000000" w:sz="6" w:space="0"/>
              <w:bottom w:val="single" w:color="000000" w:sz="6" w:space="0"/>
              <w:right w:val="single" w:color="000000" w:sz="6" w:space="0"/>
            </w:tcBorders>
            <w:noWrap w:val="0"/>
            <w:vAlign w:val="top"/>
          </w:tcPr>
          <w:p w14:paraId="65AD03A8">
            <w:pPr>
              <w:pStyle w:val="133"/>
              <w:shd w:val="clear" w:color="auto"/>
              <w:snapToGrid w:val="0"/>
              <w:spacing w:line="460" w:lineRule="exact"/>
              <w:rPr>
                <w:rStyle w:val="108"/>
                <w:rFonts w:hint="eastAsia" w:ascii="宋体" w:hAnsi="宋体" w:cs="宋体"/>
                <w:bCs/>
                <w:color w:val="auto"/>
                <w:szCs w:val="21"/>
                <w:highlight w:val="none"/>
              </w:rPr>
            </w:pPr>
          </w:p>
        </w:tc>
        <w:tc>
          <w:tcPr>
            <w:tcW w:w="1451" w:type="dxa"/>
            <w:tcBorders>
              <w:top w:val="single" w:color="000000" w:sz="6" w:space="0"/>
              <w:left w:val="single" w:color="000000" w:sz="6" w:space="0"/>
              <w:bottom w:val="single" w:color="000000" w:sz="6" w:space="0"/>
              <w:right w:val="single" w:color="000000" w:sz="6" w:space="0"/>
            </w:tcBorders>
            <w:noWrap w:val="0"/>
            <w:vAlign w:val="top"/>
          </w:tcPr>
          <w:p w14:paraId="46682608">
            <w:pPr>
              <w:pStyle w:val="133"/>
              <w:shd w:val="clear" w:color="auto"/>
              <w:snapToGrid w:val="0"/>
              <w:spacing w:line="460" w:lineRule="exact"/>
              <w:rPr>
                <w:rStyle w:val="108"/>
                <w:rFonts w:hint="eastAsia" w:ascii="宋体" w:hAnsi="宋体" w:cs="宋体"/>
                <w:bCs/>
                <w:color w:val="auto"/>
                <w:szCs w:val="21"/>
                <w:highlight w:val="none"/>
              </w:rPr>
            </w:pPr>
          </w:p>
        </w:tc>
        <w:tc>
          <w:tcPr>
            <w:tcW w:w="2270" w:type="dxa"/>
            <w:tcBorders>
              <w:top w:val="single" w:color="000000" w:sz="6" w:space="0"/>
              <w:left w:val="single" w:color="000000" w:sz="6" w:space="0"/>
              <w:bottom w:val="single" w:color="000000" w:sz="6" w:space="0"/>
              <w:right w:val="single" w:color="000000" w:sz="6" w:space="0"/>
            </w:tcBorders>
            <w:noWrap w:val="0"/>
            <w:vAlign w:val="center"/>
          </w:tcPr>
          <w:p w14:paraId="0AFF936A">
            <w:pPr>
              <w:pStyle w:val="133"/>
              <w:shd w:val="clear" w:color="auto"/>
              <w:snapToGrid w:val="0"/>
              <w:spacing w:line="460" w:lineRule="exact"/>
              <w:rPr>
                <w:rStyle w:val="108"/>
                <w:rFonts w:hint="eastAsia" w:ascii="宋体" w:hAnsi="宋体" w:cs="宋体"/>
                <w:bCs/>
                <w:color w:val="auto"/>
                <w:szCs w:val="21"/>
                <w:highlight w:val="none"/>
              </w:rPr>
            </w:pPr>
          </w:p>
        </w:tc>
        <w:tc>
          <w:tcPr>
            <w:tcW w:w="2729" w:type="dxa"/>
            <w:tcBorders>
              <w:top w:val="single" w:color="000000" w:sz="6" w:space="0"/>
              <w:left w:val="single" w:color="000000" w:sz="6" w:space="0"/>
              <w:bottom w:val="single" w:color="000000" w:sz="6" w:space="0"/>
              <w:right w:val="single" w:color="000000" w:sz="6" w:space="0"/>
            </w:tcBorders>
            <w:noWrap w:val="0"/>
            <w:vAlign w:val="top"/>
          </w:tcPr>
          <w:p w14:paraId="603EAC70">
            <w:pPr>
              <w:pStyle w:val="133"/>
              <w:shd w:val="clear" w:color="auto"/>
              <w:snapToGrid w:val="0"/>
              <w:spacing w:line="460" w:lineRule="exact"/>
              <w:rPr>
                <w:rStyle w:val="108"/>
                <w:rFonts w:hint="eastAsia" w:ascii="宋体" w:hAnsi="宋体" w:cs="宋体"/>
                <w:bCs/>
                <w:color w:val="auto"/>
                <w:szCs w:val="21"/>
                <w:highlight w:val="none"/>
              </w:rPr>
            </w:pPr>
          </w:p>
        </w:tc>
        <w:tc>
          <w:tcPr>
            <w:tcW w:w="1367" w:type="dxa"/>
            <w:tcBorders>
              <w:top w:val="single" w:color="000000" w:sz="6" w:space="0"/>
              <w:left w:val="single" w:color="000000" w:sz="4" w:space="0"/>
              <w:bottom w:val="single" w:color="000000" w:sz="6" w:space="0"/>
              <w:right w:val="single" w:color="000000" w:sz="6" w:space="0"/>
            </w:tcBorders>
            <w:noWrap w:val="0"/>
            <w:vAlign w:val="top"/>
          </w:tcPr>
          <w:p w14:paraId="5A2E2A33">
            <w:pPr>
              <w:pStyle w:val="133"/>
              <w:shd w:val="clear" w:color="auto"/>
              <w:snapToGrid w:val="0"/>
              <w:spacing w:line="460" w:lineRule="exact"/>
              <w:rPr>
                <w:rStyle w:val="108"/>
                <w:rFonts w:hint="eastAsia" w:ascii="宋体" w:hAnsi="宋体" w:cs="宋体"/>
                <w:bCs/>
                <w:color w:val="auto"/>
                <w:szCs w:val="21"/>
                <w:highlight w:val="none"/>
              </w:rPr>
            </w:pPr>
          </w:p>
        </w:tc>
        <w:tc>
          <w:tcPr>
            <w:tcW w:w="1307" w:type="dxa"/>
            <w:tcBorders>
              <w:top w:val="single" w:color="000000" w:sz="6" w:space="0"/>
              <w:left w:val="single" w:color="000000" w:sz="4" w:space="0"/>
              <w:bottom w:val="single" w:color="000000" w:sz="6" w:space="0"/>
              <w:right w:val="single" w:color="000000" w:sz="6" w:space="0"/>
            </w:tcBorders>
            <w:noWrap w:val="0"/>
            <w:vAlign w:val="top"/>
          </w:tcPr>
          <w:p w14:paraId="057C2634">
            <w:pPr>
              <w:pStyle w:val="133"/>
              <w:shd w:val="clear" w:color="auto"/>
              <w:snapToGrid w:val="0"/>
              <w:spacing w:line="460" w:lineRule="exact"/>
              <w:rPr>
                <w:rStyle w:val="108"/>
                <w:rFonts w:hint="eastAsia" w:ascii="宋体" w:hAnsi="宋体" w:cs="宋体"/>
                <w:bCs/>
                <w:color w:val="auto"/>
                <w:szCs w:val="21"/>
                <w:highlight w:val="none"/>
              </w:rPr>
            </w:pPr>
          </w:p>
        </w:tc>
      </w:tr>
      <w:tr w14:paraId="2CADDF0E">
        <w:tblPrEx>
          <w:tblCellMar>
            <w:top w:w="0" w:type="dxa"/>
            <w:left w:w="0" w:type="dxa"/>
            <w:bottom w:w="0" w:type="dxa"/>
            <w:right w:w="0" w:type="dxa"/>
          </w:tblCellMar>
        </w:tblPrEx>
        <w:trPr>
          <w:trHeight w:val="599" w:hRule="atLeast"/>
          <w:jc w:val="center"/>
        </w:trPr>
        <w:tc>
          <w:tcPr>
            <w:tcW w:w="634" w:type="dxa"/>
            <w:tcBorders>
              <w:top w:val="single" w:color="000000" w:sz="6" w:space="0"/>
              <w:left w:val="single" w:color="000000" w:sz="6" w:space="0"/>
              <w:bottom w:val="single" w:color="000000" w:sz="6" w:space="0"/>
              <w:right w:val="single" w:color="000000" w:sz="6" w:space="0"/>
            </w:tcBorders>
            <w:noWrap w:val="0"/>
            <w:vAlign w:val="top"/>
          </w:tcPr>
          <w:p w14:paraId="7D2540B7">
            <w:pPr>
              <w:pStyle w:val="133"/>
              <w:shd w:val="clear" w:color="auto"/>
              <w:snapToGrid w:val="0"/>
              <w:spacing w:line="460" w:lineRule="exact"/>
              <w:rPr>
                <w:rStyle w:val="108"/>
                <w:rFonts w:hint="eastAsia" w:ascii="宋体" w:hAnsi="宋体" w:cs="宋体"/>
                <w:bCs/>
                <w:color w:val="auto"/>
                <w:szCs w:val="21"/>
                <w:highlight w:val="none"/>
              </w:rPr>
            </w:pPr>
          </w:p>
        </w:tc>
        <w:tc>
          <w:tcPr>
            <w:tcW w:w="1451" w:type="dxa"/>
            <w:tcBorders>
              <w:top w:val="single" w:color="000000" w:sz="6" w:space="0"/>
              <w:left w:val="single" w:color="000000" w:sz="6" w:space="0"/>
              <w:bottom w:val="single" w:color="000000" w:sz="6" w:space="0"/>
              <w:right w:val="single" w:color="000000" w:sz="6" w:space="0"/>
            </w:tcBorders>
            <w:noWrap w:val="0"/>
            <w:vAlign w:val="top"/>
          </w:tcPr>
          <w:p w14:paraId="583C1315">
            <w:pPr>
              <w:pStyle w:val="133"/>
              <w:shd w:val="clear" w:color="auto"/>
              <w:snapToGrid w:val="0"/>
              <w:spacing w:line="460" w:lineRule="exact"/>
              <w:rPr>
                <w:rStyle w:val="108"/>
                <w:rFonts w:hint="eastAsia" w:ascii="宋体" w:hAnsi="宋体" w:cs="宋体"/>
                <w:bCs/>
                <w:color w:val="auto"/>
                <w:szCs w:val="21"/>
                <w:highlight w:val="none"/>
              </w:rPr>
            </w:pPr>
          </w:p>
        </w:tc>
        <w:tc>
          <w:tcPr>
            <w:tcW w:w="2270" w:type="dxa"/>
            <w:tcBorders>
              <w:top w:val="single" w:color="000000" w:sz="6" w:space="0"/>
              <w:left w:val="single" w:color="000000" w:sz="6" w:space="0"/>
              <w:bottom w:val="single" w:color="000000" w:sz="6" w:space="0"/>
              <w:right w:val="single" w:color="000000" w:sz="6" w:space="0"/>
            </w:tcBorders>
            <w:noWrap w:val="0"/>
            <w:vAlign w:val="center"/>
          </w:tcPr>
          <w:p w14:paraId="18148D6D">
            <w:pPr>
              <w:pStyle w:val="133"/>
              <w:shd w:val="clear" w:color="auto"/>
              <w:snapToGrid w:val="0"/>
              <w:spacing w:line="460" w:lineRule="exact"/>
              <w:rPr>
                <w:rStyle w:val="108"/>
                <w:rFonts w:hint="eastAsia" w:ascii="宋体" w:hAnsi="宋体" w:cs="宋体"/>
                <w:bCs/>
                <w:color w:val="auto"/>
                <w:szCs w:val="21"/>
                <w:highlight w:val="none"/>
              </w:rPr>
            </w:pPr>
          </w:p>
        </w:tc>
        <w:tc>
          <w:tcPr>
            <w:tcW w:w="2729" w:type="dxa"/>
            <w:tcBorders>
              <w:top w:val="single" w:color="000000" w:sz="6" w:space="0"/>
              <w:left w:val="single" w:color="000000" w:sz="6" w:space="0"/>
              <w:bottom w:val="single" w:color="000000" w:sz="6" w:space="0"/>
              <w:right w:val="single" w:color="000000" w:sz="6" w:space="0"/>
            </w:tcBorders>
            <w:noWrap w:val="0"/>
            <w:vAlign w:val="top"/>
          </w:tcPr>
          <w:p w14:paraId="4D2ABF1E">
            <w:pPr>
              <w:pStyle w:val="133"/>
              <w:shd w:val="clear" w:color="auto"/>
              <w:snapToGrid w:val="0"/>
              <w:spacing w:line="460" w:lineRule="exact"/>
              <w:rPr>
                <w:rStyle w:val="108"/>
                <w:rFonts w:hint="eastAsia" w:ascii="宋体" w:hAnsi="宋体" w:cs="宋体"/>
                <w:bCs/>
                <w:color w:val="auto"/>
                <w:szCs w:val="21"/>
                <w:highlight w:val="none"/>
              </w:rPr>
            </w:pPr>
          </w:p>
        </w:tc>
        <w:tc>
          <w:tcPr>
            <w:tcW w:w="1367" w:type="dxa"/>
            <w:tcBorders>
              <w:top w:val="single" w:color="000000" w:sz="6" w:space="0"/>
              <w:left w:val="single" w:color="000000" w:sz="4" w:space="0"/>
              <w:bottom w:val="single" w:color="000000" w:sz="6" w:space="0"/>
              <w:right w:val="single" w:color="000000" w:sz="6" w:space="0"/>
            </w:tcBorders>
            <w:noWrap w:val="0"/>
            <w:vAlign w:val="top"/>
          </w:tcPr>
          <w:p w14:paraId="3FD534EE">
            <w:pPr>
              <w:pStyle w:val="133"/>
              <w:shd w:val="clear" w:color="auto"/>
              <w:snapToGrid w:val="0"/>
              <w:spacing w:line="460" w:lineRule="exact"/>
              <w:rPr>
                <w:rStyle w:val="108"/>
                <w:rFonts w:hint="eastAsia" w:ascii="宋体" w:hAnsi="宋体" w:cs="宋体"/>
                <w:bCs/>
                <w:color w:val="auto"/>
                <w:szCs w:val="21"/>
                <w:highlight w:val="none"/>
              </w:rPr>
            </w:pPr>
          </w:p>
        </w:tc>
        <w:tc>
          <w:tcPr>
            <w:tcW w:w="1307" w:type="dxa"/>
            <w:tcBorders>
              <w:top w:val="single" w:color="000000" w:sz="6" w:space="0"/>
              <w:left w:val="single" w:color="000000" w:sz="4" w:space="0"/>
              <w:bottom w:val="single" w:color="000000" w:sz="6" w:space="0"/>
              <w:right w:val="single" w:color="000000" w:sz="6" w:space="0"/>
            </w:tcBorders>
            <w:noWrap w:val="0"/>
            <w:vAlign w:val="top"/>
          </w:tcPr>
          <w:p w14:paraId="012B6D0B">
            <w:pPr>
              <w:pStyle w:val="133"/>
              <w:shd w:val="clear" w:color="auto"/>
              <w:snapToGrid w:val="0"/>
              <w:spacing w:line="460" w:lineRule="exact"/>
              <w:rPr>
                <w:rStyle w:val="108"/>
                <w:rFonts w:hint="eastAsia" w:ascii="宋体" w:hAnsi="宋体" w:cs="宋体"/>
                <w:bCs/>
                <w:color w:val="auto"/>
                <w:szCs w:val="21"/>
                <w:highlight w:val="none"/>
              </w:rPr>
            </w:pPr>
          </w:p>
        </w:tc>
      </w:tr>
      <w:tr w14:paraId="3F2DD76F">
        <w:tblPrEx>
          <w:tblCellMar>
            <w:top w:w="0" w:type="dxa"/>
            <w:left w:w="0" w:type="dxa"/>
            <w:bottom w:w="0" w:type="dxa"/>
            <w:right w:w="0" w:type="dxa"/>
          </w:tblCellMar>
        </w:tblPrEx>
        <w:trPr>
          <w:trHeight w:val="599" w:hRule="atLeast"/>
          <w:jc w:val="center"/>
        </w:trPr>
        <w:tc>
          <w:tcPr>
            <w:tcW w:w="634" w:type="dxa"/>
            <w:tcBorders>
              <w:top w:val="single" w:color="000000" w:sz="6" w:space="0"/>
              <w:left w:val="single" w:color="000000" w:sz="6" w:space="0"/>
              <w:bottom w:val="single" w:color="000000" w:sz="6" w:space="0"/>
              <w:right w:val="single" w:color="000000" w:sz="6" w:space="0"/>
            </w:tcBorders>
            <w:noWrap w:val="0"/>
            <w:vAlign w:val="top"/>
          </w:tcPr>
          <w:p w14:paraId="5768ADE9">
            <w:pPr>
              <w:pStyle w:val="133"/>
              <w:shd w:val="clear" w:color="auto"/>
              <w:snapToGrid w:val="0"/>
              <w:spacing w:line="460" w:lineRule="exact"/>
              <w:rPr>
                <w:rStyle w:val="108"/>
                <w:rFonts w:hint="eastAsia" w:ascii="宋体" w:hAnsi="宋体" w:cs="宋体"/>
                <w:bCs/>
                <w:color w:val="auto"/>
                <w:szCs w:val="21"/>
                <w:highlight w:val="none"/>
              </w:rPr>
            </w:pPr>
          </w:p>
        </w:tc>
        <w:tc>
          <w:tcPr>
            <w:tcW w:w="1451" w:type="dxa"/>
            <w:tcBorders>
              <w:top w:val="single" w:color="000000" w:sz="6" w:space="0"/>
              <w:left w:val="single" w:color="000000" w:sz="6" w:space="0"/>
              <w:bottom w:val="single" w:color="000000" w:sz="6" w:space="0"/>
              <w:right w:val="single" w:color="000000" w:sz="6" w:space="0"/>
            </w:tcBorders>
            <w:noWrap w:val="0"/>
            <w:vAlign w:val="top"/>
          </w:tcPr>
          <w:p w14:paraId="1E346EB7">
            <w:pPr>
              <w:pStyle w:val="133"/>
              <w:shd w:val="clear" w:color="auto"/>
              <w:snapToGrid w:val="0"/>
              <w:spacing w:line="460" w:lineRule="exact"/>
              <w:rPr>
                <w:rStyle w:val="108"/>
                <w:rFonts w:hint="eastAsia" w:ascii="宋体" w:hAnsi="宋体" w:cs="宋体"/>
                <w:bCs/>
                <w:color w:val="auto"/>
                <w:szCs w:val="21"/>
                <w:highlight w:val="none"/>
              </w:rPr>
            </w:pPr>
          </w:p>
        </w:tc>
        <w:tc>
          <w:tcPr>
            <w:tcW w:w="2270" w:type="dxa"/>
            <w:tcBorders>
              <w:top w:val="single" w:color="000000" w:sz="6" w:space="0"/>
              <w:left w:val="single" w:color="000000" w:sz="6" w:space="0"/>
              <w:bottom w:val="single" w:color="000000" w:sz="6" w:space="0"/>
              <w:right w:val="single" w:color="000000" w:sz="6" w:space="0"/>
            </w:tcBorders>
            <w:noWrap w:val="0"/>
            <w:vAlign w:val="center"/>
          </w:tcPr>
          <w:p w14:paraId="340D401B">
            <w:pPr>
              <w:pStyle w:val="133"/>
              <w:shd w:val="clear" w:color="auto"/>
              <w:snapToGrid w:val="0"/>
              <w:spacing w:line="460" w:lineRule="exact"/>
              <w:rPr>
                <w:rStyle w:val="108"/>
                <w:rFonts w:hint="eastAsia" w:ascii="宋体" w:hAnsi="宋体" w:cs="宋体"/>
                <w:bCs/>
                <w:color w:val="auto"/>
                <w:szCs w:val="21"/>
                <w:highlight w:val="none"/>
              </w:rPr>
            </w:pPr>
          </w:p>
        </w:tc>
        <w:tc>
          <w:tcPr>
            <w:tcW w:w="2729" w:type="dxa"/>
            <w:tcBorders>
              <w:top w:val="single" w:color="000000" w:sz="6" w:space="0"/>
              <w:left w:val="single" w:color="000000" w:sz="6" w:space="0"/>
              <w:bottom w:val="single" w:color="000000" w:sz="6" w:space="0"/>
              <w:right w:val="single" w:color="000000" w:sz="6" w:space="0"/>
            </w:tcBorders>
            <w:noWrap w:val="0"/>
            <w:vAlign w:val="top"/>
          </w:tcPr>
          <w:p w14:paraId="3F5A78BB">
            <w:pPr>
              <w:pStyle w:val="133"/>
              <w:shd w:val="clear" w:color="auto"/>
              <w:snapToGrid w:val="0"/>
              <w:spacing w:line="460" w:lineRule="exact"/>
              <w:rPr>
                <w:rStyle w:val="108"/>
                <w:rFonts w:hint="eastAsia" w:ascii="宋体" w:hAnsi="宋体" w:cs="宋体"/>
                <w:bCs/>
                <w:color w:val="auto"/>
                <w:szCs w:val="21"/>
                <w:highlight w:val="none"/>
              </w:rPr>
            </w:pPr>
          </w:p>
        </w:tc>
        <w:tc>
          <w:tcPr>
            <w:tcW w:w="1367" w:type="dxa"/>
            <w:tcBorders>
              <w:top w:val="single" w:color="000000" w:sz="6" w:space="0"/>
              <w:left w:val="single" w:color="000000" w:sz="4" w:space="0"/>
              <w:bottom w:val="single" w:color="000000" w:sz="6" w:space="0"/>
              <w:right w:val="single" w:color="000000" w:sz="6" w:space="0"/>
            </w:tcBorders>
            <w:noWrap w:val="0"/>
            <w:vAlign w:val="top"/>
          </w:tcPr>
          <w:p w14:paraId="5EE55F79">
            <w:pPr>
              <w:pStyle w:val="133"/>
              <w:shd w:val="clear" w:color="auto"/>
              <w:snapToGrid w:val="0"/>
              <w:spacing w:line="460" w:lineRule="exact"/>
              <w:rPr>
                <w:rStyle w:val="108"/>
                <w:rFonts w:hint="eastAsia" w:ascii="宋体" w:hAnsi="宋体" w:cs="宋体"/>
                <w:bCs/>
                <w:color w:val="auto"/>
                <w:szCs w:val="21"/>
                <w:highlight w:val="none"/>
              </w:rPr>
            </w:pPr>
          </w:p>
        </w:tc>
        <w:tc>
          <w:tcPr>
            <w:tcW w:w="1307" w:type="dxa"/>
            <w:tcBorders>
              <w:top w:val="single" w:color="000000" w:sz="6" w:space="0"/>
              <w:left w:val="single" w:color="000000" w:sz="4" w:space="0"/>
              <w:bottom w:val="single" w:color="000000" w:sz="6" w:space="0"/>
              <w:right w:val="single" w:color="000000" w:sz="6" w:space="0"/>
            </w:tcBorders>
            <w:noWrap w:val="0"/>
            <w:vAlign w:val="top"/>
          </w:tcPr>
          <w:p w14:paraId="55E0FD20">
            <w:pPr>
              <w:pStyle w:val="133"/>
              <w:shd w:val="clear" w:color="auto"/>
              <w:snapToGrid w:val="0"/>
              <w:spacing w:line="460" w:lineRule="exact"/>
              <w:rPr>
                <w:rStyle w:val="108"/>
                <w:rFonts w:hint="eastAsia" w:ascii="宋体" w:hAnsi="宋体" w:cs="宋体"/>
                <w:bCs/>
                <w:color w:val="auto"/>
                <w:szCs w:val="21"/>
                <w:highlight w:val="none"/>
              </w:rPr>
            </w:pPr>
          </w:p>
        </w:tc>
      </w:tr>
      <w:tr w14:paraId="3FADCDCD">
        <w:tblPrEx>
          <w:tblCellMar>
            <w:top w:w="0" w:type="dxa"/>
            <w:left w:w="0" w:type="dxa"/>
            <w:bottom w:w="0" w:type="dxa"/>
            <w:right w:w="0" w:type="dxa"/>
          </w:tblCellMar>
        </w:tblPrEx>
        <w:trPr>
          <w:trHeight w:val="599" w:hRule="atLeast"/>
          <w:jc w:val="center"/>
        </w:trPr>
        <w:tc>
          <w:tcPr>
            <w:tcW w:w="634" w:type="dxa"/>
            <w:tcBorders>
              <w:top w:val="single" w:color="000000" w:sz="6" w:space="0"/>
              <w:left w:val="single" w:color="000000" w:sz="6" w:space="0"/>
              <w:bottom w:val="single" w:color="000000" w:sz="6" w:space="0"/>
              <w:right w:val="single" w:color="000000" w:sz="6" w:space="0"/>
            </w:tcBorders>
            <w:noWrap w:val="0"/>
            <w:vAlign w:val="top"/>
          </w:tcPr>
          <w:p w14:paraId="7CBDE56F">
            <w:pPr>
              <w:pStyle w:val="133"/>
              <w:shd w:val="clear" w:color="auto"/>
              <w:snapToGrid w:val="0"/>
              <w:spacing w:line="460" w:lineRule="exact"/>
              <w:rPr>
                <w:rStyle w:val="108"/>
                <w:rFonts w:hint="eastAsia" w:ascii="宋体" w:hAnsi="宋体" w:cs="宋体"/>
                <w:bCs/>
                <w:color w:val="auto"/>
                <w:szCs w:val="21"/>
                <w:highlight w:val="none"/>
              </w:rPr>
            </w:pPr>
          </w:p>
        </w:tc>
        <w:tc>
          <w:tcPr>
            <w:tcW w:w="1451" w:type="dxa"/>
            <w:tcBorders>
              <w:top w:val="single" w:color="000000" w:sz="6" w:space="0"/>
              <w:left w:val="single" w:color="000000" w:sz="6" w:space="0"/>
              <w:bottom w:val="single" w:color="000000" w:sz="6" w:space="0"/>
              <w:right w:val="single" w:color="000000" w:sz="6" w:space="0"/>
            </w:tcBorders>
            <w:noWrap w:val="0"/>
            <w:vAlign w:val="top"/>
          </w:tcPr>
          <w:p w14:paraId="35D6E075">
            <w:pPr>
              <w:pStyle w:val="133"/>
              <w:shd w:val="clear" w:color="auto"/>
              <w:snapToGrid w:val="0"/>
              <w:spacing w:line="460" w:lineRule="exact"/>
              <w:rPr>
                <w:rStyle w:val="108"/>
                <w:rFonts w:hint="eastAsia" w:ascii="宋体" w:hAnsi="宋体" w:cs="宋体"/>
                <w:bCs/>
                <w:color w:val="auto"/>
                <w:szCs w:val="21"/>
                <w:highlight w:val="none"/>
              </w:rPr>
            </w:pPr>
          </w:p>
        </w:tc>
        <w:tc>
          <w:tcPr>
            <w:tcW w:w="2270" w:type="dxa"/>
            <w:tcBorders>
              <w:top w:val="single" w:color="000000" w:sz="6" w:space="0"/>
              <w:left w:val="single" w:color="000000" w:sz="6" w:space="0"/>
              <w:bottom w:val="single" w:color="000000" w:sz="6" w:space="0"/>
              <w:right w:val="single" w:color="000000" w:sz="6" w:space="0"/>
            </w:tcBorders>
            <w:noWrap w:val="0"/>
            <w:vAlign w:val="center"/>
          </w:tcPr>
          <w:p w14:paraId="63BDE031">
            <w:pPr>
              <w:pStyle w:val="133"/>
              <w:shd w:val="clear" w:color="auto"/>
              <w:snapToGrid w:val="0"/>
              <w:spacing w:line="460" w:lineRule="exact"/>
              <w:rPr>
                <w:rStyle w:val="108"/>
                <w:rFonts w:hint="eastAsia" w:ascii="宋体" w:hAnsi="宋体" w:cs="宋体"/>
                <w:bCs/>
                <w:color w:val="auto"/>
                <w:szCs w:val="21"/>
                <w:highlight w:val="none"/>
              </w:rPr>
            </w:pPr>
          </w:p>
        </w:tc>
        <w:tc>
          <w:tcPr>
            <w:tcW w:w="2729" w:type="dxa"/>
            <w:tcBorders>
              <w:top w:val="single" w:color="000000" w:sz="6" w:space="0"/>
              <w:left w:val="single" w:color="000000" w:sz="6" w:space="0"/>
              <w:bottom w:val="single" w:color="000000" w:sz="6" w:space="0"/>
              <w:right w:val="single" w:color="000000" w:sz="6" w:space="0"/>
            </w:tcBorders>
            <w:noWrap w:val="0"/>
            <w:vAlign w:val="top"/>
          </w:tcPr>
          <w:p w14:paraId="3485EEEA">
            <w:pPr>
              <w:pStyle w:val="133"/>
              <w:shd w:val="clear" w:color="auto"/>
              <w:snapToGrid w:val="0"/>
              <w:spacing w:line="460" w:lineRule="exact"/>
              <w:rPr>
                <w:rStyle w:val="108"/>
                <w:rFonts w:hint="eastAsia" w:ascii="宋体" w:hAnsi="宋体" w:cs="宋体"/>
                <w:bCs/>
                <w:color w:val="auto"/>
                <w:szCs w:val="21"/>
                <w:highlight w:val="none"/>
              </w:rPr>
            </w:pPr>
          </w:p>
        </w:tc>
        <w:tc>
          <w:tcPr>
            <w:tcW w:w="1367" w:type="dxa"/>
            <w:tcBorders>
              <w:top w:val="single" w:color="000000" w:sz="6" w:space="0"/>
              <w:left w:val="single" w:color="000000" w:sz="4" w:space="0"/>
              <w:bottom w:val="single" w:color="000000" w:sz="6" w:space="0"/>
              <w:right w:val="single" w:color="000000" w:sz="6" w:space="0"/>
            </w:tcBorders>
            <w:noWrap w:val="0"/>
            <w:vAlign w:val="top"/>
          </w:tcPr>
          <w:p w14:paraId="05BD077A">
            <w:pPr>
              <w:pStyle w:val="133"/>
              <w:shd w:val="clear" w:color="auto"/>
              <w:snapToGrid w:val="0"/>
              <w:spacing w:line="460" w:lineRule="exact"/>
              <w:rPr>
                <w:rStyle w:val="108"/>
                <w:rFonts w:hint="eastAsia" w:ascii="宋体" w:hAnsi="宋体" w:cs="宋体"/>
                <w:bCs/>
                <w:color w:val="auto"/>
                <w:szCs w:val="21"/>
                <w:highlight w:val="none"/>
              </w:rPr>
            </w:pPr>
          </w:p>
        </w:tc>
        <w:tc>
          <w:tcPr>
            <w:tcW w:w="1307" w:type="dxa"/>
            <w:tcBorders>
              <w:top w:val="single" w:color="000000" w:sz="6" w:space="0"/>
              <w:left w:val="single" w:color="000000" w:sz="4" w:space="0"/>
              <w:bottom w:val="single" w:color="000000" w:sz="6" w:space="0"/>
              <w:right w:val="single" w:color="000000" w:sz="6" w:space="0"/>
            </w:tcBorders>
            <w:noWrap w:val="0"/>
            <w:vAlign w:val="top"/>
          </w:tcPr>
          <w:p w14:paraId="371FE774">
            <w:pPr>
              <w:pStyle w:val="133"/>
              <w:shd w:val="clear" w:color="auto"/>
              <w:snapToGrid w:val="0"/>
              <w:spacing w:line="460" w:lineRule="exact"/>
              <w:rPr>
                <w:rStyle w:val="108"/>
                <w:rFonts w:hint="eastAsia" w:ascii="宋体" w:hAnsi="宋体" w:cs="宋体"/>
                <w:bCs/>
                <w:color w:val="auto"/>
                <w:szCs w:val="21"/>
                <w:highlight w:val="none"/>
              </w:rPr>
            </w:pPr>
          </w:p>
        </w:tc>
      </w:tr>
      <w:tr w14:paraId="438AC8EB">
        <w:tblPrEx>
          <w:tblCellMar>
            <w:top w:w="0" w:type="dxa"/>
            <w:left w:w="0" w:type="dxa"/>
            <w:bottom w:w="0" w:type="dxa"/>
            <w:right w:w="0" w:type="dxa"/>
          </w:tblCellMar>
        </w:tblPrEx>
        <w:trPr>
          <w:trHeight w:val="599" w:hRule="atLeast"/>
          <w:jc w:val="center"/>
        </w:trPr>
        <w:tc>
          <w:tcPr>
            <w:tcW w:w="634" w:type="dxa"/>
            <w:tcBorders>
              <w:top w:val="single" w:color="000000" w:sz="6" w:space="0"/>
              <w:left w:val="single" w:color="000000" w:sz="6" w:space="0"/>
              <w:bottom w:val="single" w:color="000000" w:sz="6" w:space="0"/>
              <w:right w:val="single" w:color="000000" w:sz="6" w:space="0"/>
            </w:tcBorders>
            <w:noWrap w:val="0"/>
            <w:vAlign w:val="top"/>
          </w:tcPr>
          <w:p w14:paraId="14D9F91C">
            <w:pPr>
              <w:pStyle w:val="133"/>
              <w:shd w:val="clear" w:color="auto"/>
              <w:snapToGrid w:val="0"/>
              <w:spacing w:line="460" w:lineRule="exact"/>
              <w:rPr>
                <w:rStyle w:val="108"/>
                <w:rFonts w:hint="eastAsia" w:ascii="宋体" w:hAnsi="宋体" w:cs="宋体"/>
                <w:bCs/>
                <w:color w:val="auto"/>
                <w:szCs w:val="21"/>
                <w:highlight w:val="none"/>
              </w:rPr>
            </w:pPr>
          </w:p>
        </w:tc>
        <w:tc>
          <w:tcPr>
            <w:tcW w:w="1451" w:type="dxa"/>
            <w:tcBorders>
              <w:top w:val="single" w:color="000000" w:sz="6" w:space="0"/>
              <w:left w:val="single" w:color="000000" w:sz="6" w:space="0"/>
              <w:bottom w:val="single" w:color="000000" w:sz="6" w:space="0"/>
              <w:right w:val="single" w:color="000000" w:sz="6" w:space="0"/>
            </w:tcBorders>
            <w:noWrap w:val="0"/>
            <w:vAlign w:val="top"/>
          </w:tcPr>
          <w:p w14:paraId="45519BDB">
            <w:pPr>
              <w:pStyle w:val="133"/>
              <w:shd w:val="clear" w:color="auto"/>
              <w:snapToGrid w:val="0"/>
              <w:spacing w:line="460" w:lineRule="exact"/>
              <w:rPr>
                <w:rStyle w:val="108"/>
                <w:rFonts w:hint="eastAsia" w:ascii="宋体" w:hAnsi="宋体" w:cs="宋体"/>
                <w:bCs/>
                <w:color w:val="auto"/>
                <w:szCs w:val="21"/>
                <w:highlight w:val="none"/>
              </w:rPr>
            </w:pPr>
          </w:p>
        </w:tc>
        <w:tc>
          <w:tcPr>
            <w:tcW w:w="2270" w:type="dxa"/>
            <w:tcBorders>
              <w:top w:val="single" w:color="000000" w:sz="6" w:space="0"/>
              <w:left w:val="single" w:color="000000" w:sz="6" w:space="0"/>
              <w:bottom w:val="single" w:color="000000" w:sz="6" w:space="0"/>
              <w:right w:val="single" w:color="000000" w:sz="6" w:space="0"/>
            </w:tcBorders>
            <w:noWrap w:val="0"/>
            <w:vAlign w:val="center"/>
          </w:tcPr>
          <w:p w14:paraId="69D37D4F">
            <w:pPr>
              <w:pStyle w:val="133"/>
              <w:shd w:val="clear" w:color="auto"/>
              <w:snapToGrid w:val="0"/>
              <w:spacing w:line="460" w:lineRule="exact"/>
              <w:rPr>
                <w:rStyle w:val="108"/>
                <w:rFonts w:hint="eastAsia" w:ascii="宋体" w:hAnsi="宋体" w:cs="宋体"/>
                <w:bCs/>
                <w:color w:val="auto"/>
                <w:szCs w:val="21"/>
                <w:highlight w:val="none"/>
              </w:rPr>
            </w:pPr>
          </w:p>
        </w:tc>
        <w:tc>
          <w:tcPr>
            <w:tcW w:w="2729" w:type="dxa"/>
            <w:tcBorders>
              <w:top w:val="single" w:color="000000" w:sz="6" w:space="0"/>
              <w:left w:val="single" w:color="000000" w:sz="6" w:space="0"/>
              <w:bottom w:val="single" w:color="000000" w:sz="6" w:space="0"/>
              <w:right w:val="single" w:color="000000" w:sz="6" w:space="0"/>
            </w:tcBorders>
            <w:noWrap w:val="0"/>
            <w:vAlign w:val="top"/>
          </w:tcPr>
          <w:p w14:paraId="40E11BD2">
            <w:pPr>
              <w:pStyle w:val="133"/>
              <w:shd w:val="clear" w:color="auto"/>
              <w:snapToGrid w:val="0"/>
              <w:spacing w:line="460" w:lineRule="exact"/>
              <w:rPr>
                <w:rStyle w:val="108"/>
                <w:rFonts w:hint="eastAsia" w:ascii="宋体" w:hAnsi="宋体" w:cs="宋体"/>
                <w:bCs/>
                <w:color w:val="auto"/>
                <w:szCs w:val="21"/>
                <w:highlight w:val="none"/>
              </w:rPr>
            </w:pPr>
          </w:p>
        </w:tc>
        <w:tc>
          <w:tcPr>
            <w:tcW w:w="1367" w:type="dxa"/>
            <w:tcBorders>
              <w:top w:val="single" w:color="000000" w:sz="6" w:space="0"/>
              <w:left w:val="single" w:color="000000" w:sz="4" w:space="0"/>
              <w:bottom w:val="single" w:color="000000" w:sz="6" w:space="0"/>
              <w:right w:val="single" w:color="000000" w:sz="6" w:space="0"/>
            </w:tcBorders>
            <w:noWrap w:val="0"/>
            <w:vAlign w:val="top"/>
          </w:tcPr>
          <w:p w14:paraId="23E111FB">
            <w:pPr>
              <w:pStyle w:val="133"/>
              <w:shd w:val="clear" w:color="auto"/>
              <w:snapToGrid w:val="0"/>
              <w:spacing w:line="460" w:lineRule="exact"/>
              <w:rPr>
                <w:rStyle w:val="108"/>
                <w:rFonts w:hint="eastAsia" w:ascii="宋体" w:hAnsi="宋体" w:cs="宋体"/>
                <w:bCs/>
                <w:color w:val="auto"/>
                <w:szCs w:val="21"/>
                <w:highlight w:val="none"/>
              </w:rPr>
            </w:pPr>
          </w:p>
        </w:tc>
        <w:tc>
          <w:tcPr>
            <w:tcW w:w="1307" w:type="dxa"/>
            <w:tcBorders>
              <w:top w:val="single" w:color="000000" w:sz="6" w:space="0"/>
              <w:left w:val="single" w:color="000000" w:sz="4" w:space="0"/>
              <w:bottom w:val="single" w:color="000000" w:sz="6" w:space="0"/>
              <w:right w:val="single" w:color="000000" w:sz="6" w:space="0"/>
            </w:tcBorders>
            <w:noWrap w:val="0"/>
            <w:vAlign w:val="top"/>
          </w:tcPr>
          <w:p w14:paraId="1E2F253C">
            <w:pPr>
              <w:pStyle w:val="133"/>
              <w:shd w:val="clear" w:color="auto"/>
              <w:snapToGrid w:val="0"/>
              <w:spacing w:line="460" w:lineRule="exact"/>
              <w:rPr>
                <w:rStyle w:val="108"/>
                <w:rFonts w:hint="eastAsia" w:ascii="宋体" w:hAnsi="宋体" w:cs="宋体"/>
                <w:bCs/>
                <w:color w:val="auto"/>
                <w:szCs w:val="21"/>
                <w:highlight w:val="none"/>
              </w:rPr>
            </w:pPr>
          </w:p>
        </w:tc>
      </w:tr>
      <w:tr w14:paraId="66BF0500">
        <w:tblPrEx>
          <w:tblCellMar>
            <w:top w:w="0" w:type="dxa"/>
            <w:left w:w="0" w:type="dxa"/>
            <w:bottom w:w="0" w:type="dxa"/>
            <w:right w:w="0" w:type="dxa"/>
          </w:tblCellMar>
        </w:tblPrEx>
        <w:trPr>
          <w:trHeight w:val="599" w:hRule="atLeast"/>
          <w:jc w:val="center"/>
        </w:trPr>
        <w:tc>
          <w:tcPr>
            <w:tcW w:w="634" w:type="dxa"/>
            <w:tcBorders>
              <w:top w:val="single" w:color="000000" w:sz="6" w:space="0"/>
              <w:left w:val="single" w:color="000000" w:sz="6" w:space="0"/>
              <w:bottom w:val="single" w:color="000000" w:sz="6" w:space="0"/>
              <w:right w:val="single" w:color="000000" w:sz="6" w:space="0"/>
            </w:tcBorders>
            <w:noWrap w:val="0"/>
            <w:vAlign w:val="top"/>
          </w:tcPr>
          <w:p w14:paraId="611BFE2B">
            <w:pPr>
              <w:pStyle w:val="133"/>
              <w:shd w:val="clear" w:color="auto"/>
              <w:snapToGrid w:val="0"/>
              <w:spacing w:line="460" w:lineRule="exact"/>
              <w:rPr>
                <w:rStyle w:val="108"/>
                <w:rFonts w:hint="eastAsia" w:ascii="宋体" w:hAnsi="宋体" w:cs="宋体"/>
                <w:bCs/>
                <w:color w:val="auto"/>
                <w:szCs w:val="21"/>
                <w:highlight w:val="none"/>
              </w:rPr>
            </w:pPr>
          </w:p>
        </w:tc>
        <w:tc>
          <w:tcPr>
            <w:tcW w:w="1451" w:type="dxa"/>
            <w:tcBorders>
              <w:top w:val="single" w:color="000000" w:sz="6" w:space="0"/>
              <w:left w:val="single" w:color="000000" w:sz="6" w:space="0"/>
              <w:bottom w:val="single" w:color="000000" w:sz="6" w:space="0"/>
              <w:right w:val="single" w:color="000000" w:sz="6" w:space="0"/>
            </w:tcBorders>
            <w:noWrap w:val="0"/>
            <w:vAlign w:val="top"/>
          </w:tcPr>
          <w:p w14:paraId="2DA6FA05">
            <w:pPr>
              <w:pStyle w:val="133"/>
              <w:shd w:val="clear" w:color="auto"/>
              <w:snapToGrid w:val="0"/>
              <w:spacing w:line="460" w:lineRule="exact"/>
              <w:rPr>
                <w:rStyle w:val="108"/>
                <w:rFonts w:hint="eastAsia" w:ascii="宋体" w:hAnsi="宋体" w:cs="宋体"/>
                <w:bCs/>
                <w:color w:val="auto"/>
                <w:szCs w:val="21"/>
                <w:highlight w:val="none"/>
              </w:rPr>
            </w:pPr>
          </w:p>
        </w:tc>
        <w:tc>
          <w:tcPr>
            <w:tcW w:w="2270" w:type="dxa"/>
            <w:tcBorders>
              <w:top w:val="single" w:color="000000" w:sz="6" w:space="0"/>
              <w:left w:val="single" w:color="000000" w:sz="6" w:space="0"/>
              <w:bottom w:val="single" w:color="000000" w:sz="6" w:space="0"/>
              <w:right w:val="single" w:color="000000" w:sz="6" w:space="0"/>
            </w:tcBorders>
            <w:noWrap w:val="0"/>
            <w:vAlign w:val="center"/>
          </w:tcPr>
          <w:p w14:paraId="25C020CA">
            <w:pPr>
              <w:pStyle w:val="133"/>
              <w:shd w:val="clear" w:color="auto"/>
              <w:snapToGrid w:val="0"/>
              <w:spacing w:line="460" w:lineRule="exact"/>
              <w:rPr>
                <w:rStyle w:val="108"/>
                <w:rFonts w:hint="eastAsia" w:ascii="宋体" w:hAnsi="宋体" w:cs="宋体"/>
                <w:bCs/>
                <w:color w:val="auto"/>
                <w:szCs w:val="21"/>
                <w:highlight w:val="none"/>
              </w:rPr>
            </w:pPr>
          </w:p>
        </w:tc>
        <w:tc>
          <w:tcPr>
            <w:tcW w:w="2729" w:type="dxa"/>
            <w:tcBorders>
              <w:top w:val="single" w:color="000000" w:sz="6" w:space="0"/>
              <w:left w:val="single" w:color="000000" w:sz="6" w:space="0"/>
              <w:bottom w:val="single" w:color="000000" w:sz="6" w:space="0"/>
              <w:right w:val="single" w:color="000000" w:sz="6" w:space="0"/>
            </w:tcBorders>
            <w:noWrap w:val="0"/>
            <w:vAlign w:val="top"/>
          </w:tcPr>
          <w:p w14:paraId="5DC7346F">
            <w:pPr>
              <w:pStyle w:val="133"/>
              <w:shd w:val="clear" w:color="auto"/>
              <w:snapToGrid w:val="0"/>
              <w:spacing w:line="460" w:lineRule="exact"/>
              <w:rPr>
                <w:rStyle w:val="108"/>
                <w:rFonts w:hint="eastAsia" w:ascii="宋体" w:hAnsi="宋体" w:cs="宋体"/>
                <w:bCs/>
                <w:color w:val="auto"/>
                <w:szCs w:val="21"/>
                <w:highlight w:val="none"/>
              </w:rPr>
            </w:pPr>
          </w:p>
        </w:tc>
        <w:tc>
          <w:tcPr>
            <w:tcW w:w="1367" w:type="dxa"/>
            <w:tcBorders>
              <w:top w:val="single" w:color="000000" w:sz="6" w:space="0"/>
              <w:left w:val="single" w:color="000000" w:sz="4" w:space="0"/>
              <w:bottom w:val="single" w:color="000000" w:sz="6" w:space="0"/>
              <w:right w:val="single" w:color="000000" w:sz="6" w:space="0"/>
            </w:tcBorders>
            <w:noWrap w:val="0"/>
            <w:vAlign w:val="top"/>
          </w:tcPr>
          <w:p w14:paraId="520146F3">
            <w:pPr>
              <w:pStyle w:val="133"/>
              <w:shd w:val="clear" w:color="auto"/>
              <w:snapToGrid w:val="0"/>
              <w:spacing w:line="460" w:lineRule="exact"/>
              <w:rPr>
                <w:rStyle w:val="108"/>
                <w:rFonts w:hint="eastAsia" w:ascii="宋体" w:hAnsi="宋体" w:cs="宋体"/>
                <w:bCs/>
                <w:color w:val="auto"/>
                <w:szCs w:val="21"/>
                <w:highlight w:val="none"/>
              </w:rPr>
            </w:pPr>
          </w:p>
        </w:tc>
        <w:tc>
          <w:tcPr>
            <w:tcW w:w="1307" w:type="dxa"/>
            <w:tcBorders>
              <w:top w:val="single" w:color="000000" w:sz="6" w:space="0"/>
              <w:left w:val="single" w:color="000000" w:sz="4" w:space="0"/>
              <w:bottom w:val="single" w:color="000000" w:sz="6" w:space="0"/>
              <w:right w:val="single" w:color="000000" w:sz="6" w:space="0"/>
            </w:tcBorders>
            <w:noWrap w:val="0"/>
            <w:vAlign w:val="top"/>
          </w:tcPr>
          <w:p w14:paraId="5A29C701">
            <w:pPr>
              <w:pStyle w:val="133"/>
              <w:shd w:val="clear" w:color="auto"/>
              <w:snapToGrid w:val="0"/>
              <w:spacing w:line="460" w:lineRule="exact"/>
              <w:rPr>
                <w:rStyle w:val="108"/>
                <w:rFonts w:hint="eastAsia" w:ascii="宋体" w:hAnsi="宋体" w:cs="宋体"/>
                <w:bCs/>
                <w:color w:val="auto"/>
                <w:szCs w:val="21"/>
                <w:highlight w:val="none"/>
              </w:rPr>
            </w:pPr>
          </w:p>
        </w:tc>
      </w:tr>
      <w:tr w14:paraId="68FB0DB4">
        <w:tblPrEx>
          <w:tblCellMar>
            <w:top w:w="0" w:type="dxa"/>
            <w:left w:w="0" w:type="dxa"/>
            <w:bottom w:w="0" w:type="dxa"/>
            <w:right w:w="0" w:type="dxa"/>
          </w:tblCellMar>
        </w:tblPrEx>
        <w:trPr>
          <w:trHeight w:val="599" w:hRule="atLeast"/>
          <w:jc w:val="center"/>
        </w:trPr>
        <w:tc>
          <w:tcPr>
            <w:tcW w:w="634" w:type="dxa"/>
            <w:tcBorders>
              <w:top w:val="single" w:color="000000" w:sz="6" w:space="0"/>
              <w:left w:val="single" w:color="000000" w:sz="6" w:space="0"/>
              <w:bottom w:val="single" w:color="000000" w:sz="6" w:space="0"/>
              <w:right w:val="single" w:color="000000" w:sz="6" w:space="0"/>
            </w:tcBorders>
            <w:noWrap w:val="0"/>
            <w:vAlign w:val="top"/>
          </w:tcPr>
          <w:p w14:paraId="60F47738">
            <w:pPr>
              <w:pStyle w:val="133"/>
              <w:shd w:val="clear" w:color="auto"/>
              <w:snapToGrid w:val="0"/>
              <w:spacing w:line="460" w:lineRule="exact"/>
              <w:rPr>
                <w:rStyle w:val="108"/>
                <w:rFonts w:hint="eastAsia" w:ascii="宋体" w:hAnsi="宋体" w:cs="宋体"/>
                <w:bCs/>
                <w:color w:val="auto"/>
                <w:szCs w:val="21"/>
                <w:highlight w:val="none"/>
              </w:rPr>
            </w:pPr>
          </w:p>
        </w:tc>
        <w:tc>
          <w:tcPr>
            <w:tcW w:w="1451" w:type="dxa"/>
            <w:tcBorders>
              <w:top w:val="single" w:color="000000" w:sz="6" w:space="0"/>
              <w:left w:val="single" w:color="000000" w:sz="6" w:space="0"/>
              <w:bottom w:val="single" w:color="000000" w:sz="6" w:space="0"/>
              <w:right w:val="single" w:color="000000" w:sz="6" w:space="0"/>
            </w:tcBorders>
            <w:noWrap w:val="0"/>
            <w:vAlign w:val="top"/>
          </w:tcPr>
          <w:p w14:paraId="753B8F5C">
            <w:pPr>
              <w:pStyle w:val="133"/>
              <w:shd w:val="clear" w:color="auto"/>
              <w:snapToGrid w:val="0"/>
              <w:spacing w:line="460" w:lineRule="exact"/>
              <w:rPr>
                <w:rStyle w:val="108"/>
                <w:rFonts w:hint="eastAsia" w:ascii="宋体" w:hAnsi="宋体" w:cs="宋体"/>
                <w:bCs/>
                <w:color w:val="auto"/>
                <w:szCs w:val="21"/>
                <w:highlight w:val="none"/>
              </w:rPr>
            </w:pPr>
          </w:p>
        </w:tc>
        <w:tc>
          <w:tcPr>
            <w:tcW w:w="2270" w:type="dxa"/>
            <w:tcBorders>
              <w:top w:val="single" w:color="000000" w:sz="6" w:space="0"/>
              <w:left w:val="single" w:color="000000" w:sz="6" w:space="0"/>
              <w:bottom w:val="single" w:color="000000" w:sz="6" w:space="0"/>
              <w:right w:val="single" w:color="000000" w:sz="6" w:space="0"/>
            </w:tcBorders>
            <w:noWrap w:val="0"/>
            <w:vAlign w:val="center"/>
          </w:tcPr>
          <w:p w14:paraId="3E6F96E3">
            <w:pPr>
              <w:pStyle w:val="133"/>
              <w:shd w:val="clear" w:color="auto"/>
              <w:snapToGrid w:val="0"/>
              <w:spacing w:line="460" w:lineRule="exact"/>
              <w:rPr>
                <w:rStyle w:val="108"/>
                <w:rFonts w:hint="eastAsia" w:ascii="宋体" w:hAnsi="宋体" w:cs="宋体"/>
                <w:bCs/>
                <w:color w:val="auto"/>
                <w:szCs w:val="21"/>
                <w:highlight w:val="none"/>
              </w:rPr>
            </w:pPr>
          </w:p>
        </w:tc>
        <w:tc>
          <w:tcPr>
            <w:tcW w:w="2729" w:type="dxa"/>
            <w:tcBorders>
              <w:top w:val="single" w:color="000000" w:sz="6" w:space="0"/>
              <w:left w:val="single" w:color="000000" w:sz="6" w:space="0"/>
              <w:bottom w:val="single" w:color="000000" w:sz="6" w:space="0"/>
              <w:right w:val="single" w:color="000000" w:sz="6" w:space="0"/>
            </w:tcBorders>
            <w:noWrap w:val="0"/>
            <w:vAlign w:val="top"/>
          </w:tcPr>
          <w:p w14:paraId="2BD162D1">
            <w:pPr>
              <w:pStyle w:val="133"/>
              <w:shd w:val="clear" w:color="auto"/>
              <w:snapToGrid w:val="0"/>
              <w:spacing w:line="460" w:lineRule="exact"/>
              <w:rPr>
                <w:rStyle w:val="108"/>
                <w:rFonts w:hint="eastAsia" w:ascii="宋体" w:hAnsi="宋体" w:cs="宋体"/>
                <w:bCs/>
                <w:color w:val="auto"/>
                <w:szCs w:val="21"/>
                <w:highlight w:val="none"/>
              </w:rPr>
            </w:pPr>
          </w:p>
        </w:tc>
        <w:tc>
          <w:tcPr>
            <w:tcW w:w="1367" w:type="dxa"/>
            <w:tcBorders>
              <w:top w:val="single" w:color="000000" w:sz="6" w:space="0"/>
              <w:left w:val="single" w:color="000000" w:sz="4" w:space="0"/>
              <w:bottom w:val="single" w:color="000000" w:sz="6" w:space="0"/>
              <w:right w:val="single" w:color="000000" w:sz="6" w:space="0"/>
            </w:tcBorders>
            <w:noWrap w:val="0"/>
            <w:vAlign w:val="top"/>
          </w:tcPr>
          <w:p w14:paraId="12376D89">
            <w:pPr>
              <w:pStyle w:val="133"/>
              <w:shd w:val="clear" w:color="auto"/>
              <w:snapToGrid w:val="0"/>
              <w:spacing w:line="460" w:lineRule="exact"/>
              <w:rPr>
                <w:rStyle w:val="108"/>
                <w:rFonts w:hint="eastAsia" w:ascii="宋体" w:hAnsi="宋体" w:cs="宋体"/>
                <w:bCs/>
                <w:color w:val="auto"/>
                <w:szCs w:val="21"/>
                <w:highlight w:val="none"/>
              </w:rPr>
            </w:pPr>
          </w:p>
        </w:tc>
        <w:tc>
          <w:tcPr>
            <w:tcW w:w="1307" w:type="dxa"/>
            <w:tcBorders>
              <w:top w:val="single" w:color="000000" w:sz="6" w:space="0"/>
              <w:left w:val="single" w:color="000000" w:sz="4" w:space="0"/>
              <w:bottom w:val="single" w:color="000000" w:sz="6" w:space="0"/>
              <w:right w:val="single" w:color="000000" w:sz="6" w:space="0"/>
            </w:tcBorders>
            <w:noWrap w:val="0"/>
            <w:vAlign w:val="top"/>
          </w:tcPr>
          <w:p w14:paraId="732E99FC">
            <w:pPr>
              <w:pStyle w:val="133"/>
              <w:shd w:val="clear" w:color="auto"/>
              <w:snapToGrid w:val="0"/>
              <w:spacing w:line="460" w:lineRule="exact"/>
              <w:rPr>
                <w:rStyle w:val="108"/>
                <w:rFonts w:hint="eastAsia" w:ascii="宋体" w:hAnsi="宋体" w:cs="宋体"/>
                <w:bCs/>
                <w:color w:val="auto"/>
                <w:szCs w:val="21"/>
                <w:highlight w:val="none"/>
              </w:rPr>
            </w:pPr>
          </w:p>
        </w:tc>
      </w:tr>
      <w:tr w14:paraId="129341D5">
        <w:tblPrEx>
          <w:tblCellMar>
            <w:top w:w="0" w:type="dxa"/>
            <w:left w:w="0" w:type="dxa"/>
            <w:bottom w:w="0" w:type="dxa"/>
            <w:right w:w="0" w:type="dxa"/>
          </w:tblCellMar>
        </w:tblPrEx>
        <w:trPr>
          <w:trHeight w:val="599" w:hRule="atLeast"/>
          <w:jc w:val="center"/>
        </w:trPr>
        <w:tc>
          <w:tcPr>
            <w:tcW w:w="634" w:type="dxa"/>
            <w:tcBorders>
              <w:top w:val="single" w:color="000000" w:sz="6" w:space="0"/>
              <w:left w:val="single" w:color="000000" w:sz="6" w:space="0"/>
              <w:bottom w:val="single" w:color="000000" w:sz="6" w:space="0"/>
              <w:right w:val="single" w:color="000000" w:sz="6" w:space="0"/>
            </w:tcBorders>
            <w:noWrap w:val="0"/>
            <w:vAlign w:val="top"/>
          </w:tcPr>
          <w:p w14:paraId="2F06C185">
            <w:pPr>
              <w:pStyle w:val="133"/>
              <w:shd w:val="clear" w:color="auto"/>
              <w:snapToGrid w:val="0"/>
              <w:spacing w:line="460" w:lineRule="exact"/>
              <w:rPr>
                <w:rStyle w:val="108"/>
                <w:rFonts w:hint="eastAsia" w:ascii="宋体" w:hAnsi="宋体" w:cs="宋体"/>
                <w:bCs/>
                <w:color w:val="auto"/>
                <w:szCs w:val="21"/>
                <w:highlight w:val="none"/>
              </w:rPr>
            </w:pPr>
          </w:p>
        </w:tc>
        <w:tc>
          <w:tcPr>
            <w:tcW w:w="1451" w:type="dxa"/>
            <w:tcBorders>
              <w:top w:val="single" w:color="000000" w:sz="6" w:space="0"/>
              <w:left w:val="single" w:color="000000" w:sz="6" w:space="0"/>
              <w:bottom w:val="single" w:color="000000" w:sz="6" w:space="0"/>
              <w:right w:val="single" w:color="000000" w:sz="6" w:space="0"/>
            </w:tcBorders>
            <w:noWrap w:val="0"/>
            <w:vAlign w:val="top"/>
          </w:tcPr>
          <w:p w14:paraId="32A05B2D">
            <w:pPr>
              <w:pStyle w:val="133"/>
              <w:shd w:val="clear" w:color="auto"/>
              <w:snapToGrid w:val="0"/>
              <w:spacing w:line="460" w:lineRule="exact"/>
              <w:rPr>
                <w:rStyle w:val="108"/>
                <w:rFonts w:hint="eastAsia" w:ascii="宋体" w:hAnsi="宋体" w:cs="宋体"/>
                <w:bCs/>
                <w:color w:val="auto"/>
                <w:szCs w:val="21"/>
                <w:highlight w:val="none"/>
              </w:rPr>
            </w:pPr>
          </w:p>
        </w:tc>
        <w:tc>
          <w:tcPr>
            <w:tcW w:w="2270" w:type="dxa"/>
            <w:tcBorders>
              <w:top w:val="single" w:color="000000" w:sz="6" w:space="0"/>
              <w:left w:val="single" w:color="000000" w:sz="6" w:space="0"/>
              <w:bottom w:val="single" w:color="000000" w:sz="6" w:space="0"/>
              <w:right w:val="single" w:color="000000" w:sz="6" w:space="0"/>
            </w:tcBorders>
            <w:noWrap w:val="0"/>
            <w:vAlign w:val="center"/>
          </w:tcPr>
          <w:p w14:paraId="23451610">
            <w:pPr>
              <w:pStyle w:val="133"/>
              <w:shd w:val="clear" w:color="auto"/>
              <w:snapToGrid w:val="0"/>
              <w:spacing w:line="460" w:lineRule="exact"/>
              <w:rPr>
                <w:rStyle w:val="108"/>
                <w:rFonts w:hint="eastAsia" w:ascii="宋体" w:hAnsi="宋体" w:cs="宋体"/>
                <w:bCs/>
                <w:color w:val="auto"/>
                <w:szCs w:val="21"/>
                <w:highlight w:val="none"/>
              </w:rPr>
            </w:pPr>
          </w:p>
        </w:tc>
        <w:tc>
          <w:tcPr>
            <w:tcW w:w="2729" w:type="dxa"/>
            <w:tcBorders>
              <w:top w:val="single" w:color="000000" w:sz="6" w:space="0"/>
              <w:left w:val="single" w:color="000000" w:sz="6" w:space="0"/>
              <w:bottom w:val="single" w:color="000000" w:sz="6" w:space="0"/>
              <w:right w:val="single" w:color="000000" w:sz="6" w:space="0"/>
            </w:tcBorders>
            <w:noWrap w:val="0"/>
            <w:vAlign w:val="top"/>
          </w:tcPr>
          <w:p w14:paraId="0D34CDDD">
            <w:pPr>
              <w:pStyle w:val="133"/>
              <w:shd w:val="clear" w:color="auto"/>
              <w:snapToGrid w:val="0"/>
              <w:spacing w:line="460" w:lineRule="exact"/>
              <w:rPr>
                <w:rStyle w:val="108"/>
                <w:rFonts w:hint="eastAsia" w:ascii="宋体" w:hAnsi="宋体" w:cs="宋体"/>
                <w:bCs/>
                <w:color w:val="auto"/>
                <w:szCs w:val="21"/>
                <w:highlight w:val="none"/>
              </w:rPr>
            </w:pPr>
          </w:p>
        </w:tc>
        <w:tc>
          <w:tcPr>
            <w:tcW w:w="1367" w:type="dxa"/>
            <w:tcBorders>
              <w:top w:val="single" w:color="000000" w:sz="6" w:space="0"/>
              <w:left w:val="single" w:color="000000" w:sz="4" w:space="0"/>
              <w:bottom w:val="single" w:color="000000" w:sz="6" w:space="0"/>
              <w:right w:val="single" w:color="000000" w:sz="6" w:space="0"/>
            </w:tcBorders>
            <w:noWrap w:val="0"/>
            <w:vAlign w:val="top"/>
          </w:tcPr>
          <w:p w14:paraId="14305C8C">
            <w:pPr>
              <w:pStyle w:val="133"/>
              <w:shd w:val="clear" w:color="auto"/>
              <w:snapToGrid w:val="0"/>
              <w:spacing w:line="460" w:lineRule="exact"/>
              <w:rPr>
                <w:rStyle w:val="108"/>
                <w:rFonts w:hint="eastAsia" w:ascii="宋体" w:hAnsi="宋体" w:cs="宋体"/>
                <w:bCs/>
                <w:color w:val="auto"/>
                <w:szCs w:val="21"/>
                <w:highlight w:val="none"/>
              </w:rPr>
            </w:pPr>
          </w:p>
        </w:tc>
        <w:tc>
          <w:tcPr>
            <w:tcW w:w="1307" w:type="dxa"/>
            <w:tcBorders>
              <w:top w:val="single" w:color="000000" w:sz="6" w:space="0"/>
              <w:left w:val="single" w:color="000000" w:sz="4" w:space="0"/>
              <w:bottom w:val="single" w:color="000000" w:sz="6" w:space="0"/>
              <w:right w:val="single" w:color="000000" w:sz="6" w:space="0"/>
            </w:tcBorders>
            <w:noWrap w:val="0"/>
            <w:vAlign w:val="top"/>
          </w:tcPr>
          <w:p w14:paraId="68768970">
            <w:pPr>
              <w:pStyle w:val="133"/>
              <w:shd w:val="clear" w:color="auto"/>
              <w:snapToGrid w:val="0"/>
              <w:spacing w:line="460" w:lineRule="exact"/>
              <w:rPr>
                <w:rStyle w:val="108"/>
                <w:rFonts w:hint="eastAsia" w:ascii="宋体" w:hAnsi="宋体" w:cs="宋体"/>
                <w:bCs/>
                <w:color w:val="auto"/>
                <w:szCs w:val="21"/>
                <w:highlight w:val="none"/>
              </w:rPr>
            </w:pPr>
          </w:p>
        </w:tc>
      </w:tr>
      <w:tr w14:paraId="00F636F5">
        <w:tblPrEx>
          <w:tblCellMar>
            <w:top w:w="0" w:type="dxa"/>
            <w:left w:w="0" w:type="dxa"/>
            <w:bottom w:w="0" w:type="dxa"/>
            <w:right w:w="0" w:type="dxa"/>
          </w:tblCellMar>
        </w:tblPrEx>
        <w:trPr>
          <w:trHeight w:val="599" w:hRule="atLeast"/>
          <w:jc w:val="center"/>
        </w:trPr>
        <w:tc>
          <w:tcPr>
            <w:tcW w:w="634" w:type="dxa"/>
            <w:tcBorders>
              <w:top w:val="single" w:color="000000" w:sz="6" w:space="0"/>
              <w:left w:val="single" w:color="000000" w:sz="6" w:space="0"/>
              <w:bottom w:val="single" w:color="000000" w:sz="6" w:space="0"/>
              <w:right w:val="single" w:color="000000" w:sz="6" w:space="0"/>
            </w:tcBorders>
            <w:noWrap w:val="0"/>
            <w:vAlign w:val="top"/>
          </w:tcPr>
          <w:p w14:paraId="319AB343">
            <w:pPr>
              <w:pStyle w:val="133"/>
              <w:shd w:val="clear" w:color="auto"/>
              <w:snapToGrid w:val="0"/>
              <w:spacing w:line="460" w:lineRule="exact"/>
              <w:rPr>
                <w:rStyle w:val="108"/>
                <w:rFonts w:hint="eastAsia" w:ascii="宋体" w:hAnsi="宋体" w:cs="宋体"/>
                <w:bCs/>
                <w:color w:val="auto"/>
                <w:szCs w:val="21"/>
                <w:highlight w:val="none"/>
              </w:rPr>
            </w:pPr>
          </w:p>
        </w:tc>
        <w:tc>
          <w:tcPr>
            <w:tcW w:w="1451" w:type="dxa"/>
            <w:tcBorders>
              <w:top w:val="single" w:color="000000" w:sz="6" w:space="0"/>
              <w:left w:val="single" w:color="000000" w:sz="6" w:space="0"/>
              <w:bottom w:val="single" w:color="000000" w:sz="6" w:space="0"/>
              <w:right w:val="single" w:color="000000" w:sz="6" w:space="0"/>
            </w:tcBorders>
            <w:noWrap w:val="0"/>
            <w:vAlign w:val="top"/>
          </w:tcPr>
          <w:p w14:paraId="32A852BC">
            <w:pPr>
              <w:pStyle w:val="133"/>
              <w:shd w:val="clear" w:color="auto"/>
              <w:snapToGrid w:val="0"/>
              <w:spacing w:line="460" w:lineRule="exact"/>
              <w:rPr>
                <w:rStyle w:val="108"/>
                <w:rFonts w:hint="eastAsia" w:ascii="宋体" w:hAnsi="宋体" w:cs="宋体"/>
                <w:bCs/>
                <w:color w:val="auto"/>
                <w:szCs w:val="21"/>
                <w:highlight w:val="none"/>
              </w:rPr>
            </w:pPr>
          </w:p>
        </w:tc>
        <w:tc>
          <w:tcPr>
            <w:tcW w:w="2270" w:type="dxa"/>
            <w:tcBorders>
              <w:top w:val="single" w:color="000000" w:sz="6" w:space="0"/>
              <w:left w:val="single" w:color="000000" w:sz="6" w:space="0"/>
              <w:bottom w:val="single" w:color="000000" w:sz="6" w:space="0"/>
              <w:right w:val="single" w:color="000000" w:sz="6" w:space="0"/>
            </w:tcBorders>
            <w:noWrap w:val="0"/>
            <w:vAlign w:val="center"/>
          </w:tcPr>
          <w:p w14:paraId="39DC967D">
            <w:pPr>
              <w:pStyle w:val="133"/>
              <w:shd w:val="clear" w:color="auto"/>
              <w:snapToGrid w:val="0"/>
              <w:spacing w:line="460" w:lineRule="exact"/>
              <w:rPr>
                <w:rStyle w:val="108"/>
                <w:rFonts w:hint="eastAsia" w:ascii="宋体" w:hAnsi="宋体" w:cs="宋体"/>
                <w:bCs/>
                <w:color w:val="auto"/>
                <w:szCs w:val="21"/>
                <w:highlight w:val="none"/>
              </w:rPr>
            </w:pPr>
          </w:p>
        </w:tc>
        <w:tc>
          <w:tcPr>
            <w:tcW w:w="2729" w:type="dxa"/>
            <w:tcBorders>
              <w:top w:val="single" w:color="000000" w:sz="6" w:space="0"/>
              <w:left w:val="single" w:color="000000" w:sz="6" w:space="0"/>
              <w:bottom w:val="single" w:color="000000" w:sz="6" w:space="0"/>
              <w:right w:val="single" w:color="000000" w:sz="6" w:space="0"/>
            </w:tcBorders>
            <w:noWrap w:val="0"/>
            <w:vAlign w:val="top"/>
          </w:tcPr>
          <w:p w14:paraId="36419BF9">
            <w:pPr>
              <w:pStyle w:val="133"/>
              <w:shd w:val="clear" w:color="auto"/>
              <w:snapToGrid w:val="0"/>
              <w:spacing w:line="460" w:lineRule="exact"/>
              <w:rPr>
                <w:rStyle w:val="108"/>
                <w:rFonts w:hint="eastAsia" w:ascii="宋体" w:hAnsi="宋体" w:cs="宋体"/>
                <w:bCs/>
                <w:color w:val="auto"/>
                <w:szCs w:val="21"/>
                <w:highlight w:val="none"/>
              </w:rPr>
            </w:pPr>
          </w:p>
        </w:tc>
        <w:tc>
          <w:tcPr>
            <w:tcW w:w="1367" w:type="dxa"/>
            <w:tcBorders>
              <w:top w:val="single" w:color="000000" w:sz="6" w:space="0"/>
              <w:left w:val="single" w:color="000000" w:sz="4" w:space="0"/>
              <w:bottom w:val="single" w:color="000000" w:sz="6" w:space="0"/>
              <w:right w:val="single" w:color="000000" w:sz="6" w:space="0"/>
            </w:tcBorders>
            <w:noWrap w:val="0"/>
            <w:vAlign w:val="top"/>
          </w:tcPr>
          <w:p w14:paraId="3917E78E">
            <w:pPr>
              <w:pStyle w:val="133"/>
              <w:shd w:val="clear" w:color="auto"/>
              <w:snapToGrid w:val="0"/>
              <w:spacing w:line="460" w:lineRule="exact"/>
              <w:rPr>
                <w:rStyle w:val="108"/>
                <w:rFonts w:hint="eastAsia" w:ascii="宋体" w:hAnsi="宋体" w:cs="宋体"/>
                <w:bCs/>
                <w:color w:val="auto"/>
                <w:szCs w:val="21"/>
                <w:highlight w:val="none"/>
              </w:rPr>
            </w:pPr>
          </w:p>
        </w:tc>
        <w:tc>
          <w:tcPr>
            <w:tcW w:w="1307" w:type="dxa"/>
            <w:tcBorders>
              <w:top w:val="single" w:color="000000" w:sz="6" w:space="0"/>
              <w:left w:val="single" w:color="000000" w:sz="4" w:space="0"/>
              <w:bottom w:val="single" w:color="000000" w:sz="6" w:space="0"/>
              <w:right w:val="single" w:color="000000" w:sz="6" w:space="0"/>
            </w:tcBorders>
            <w:noWrap w:val="0"/>
            <w:vAlign w:val="top"/>
          </w:tcPr>
          <w:p w14:paraId="5ADE5C57">
            <w:pPr>
              <w:pStyle w:val="133"/>
              <w:shd w:val="clear" w:color="auto"/>
              <w:snapToGrid w:val="0"/>
              <w:spacing w:line="460" w:lineRule="exact"/>
              <w:rPr>
                <w:rStyle w:val="108"/>
                <w:rFonts w:hint="eastAsia" w:ascii="宋体" w:hAnsi="宋体" w:cs="宋体"/>
                <w:bCs/>
                <w:color w:val="auto"/>
                <w:szCs w:val="21"/>
                <w:highlight w:val="none"/>
              </w:rPr>
            </w:pPr>
          </w:p>
        </w:tc>
      </w:tr>
      <w:tr w14:paraId="3F2A0508">
        <w:tblPrEx>
          <w:tblCellMar>
            <w:top w:w="0" w:type="dxa"/>
            <w:left w:w="0" w:type="dxa"/>
            <w:bottom w:w="0" w:type="dxa"/>
            <w:right w:w="0" w:type="dxa"/>
          </w:tblCellMar>
        </w:tblPrEx>
        <w:trPr>
          <w:trHeight w:val="599" w:hRule="atLeast"/>
          <w:jc w:val="center"/>
        </w:trPr>
        <w:tc>
          <w:tcPr>
            <w:tcW w:w="634" w:type="dxa"/>
            <w:tcBorders>
              <w:top w:val="single" w:color="000000" w:sz="6" w:space="0"/>
              <w:left w:val="single" w:color="000000" w:sz="6" w:space="0"/>
              <w:bottom w:val="single" w:color="000000" w:sz="6" w:space="0"/>
              <w:right w:val="single" w:color="000000" w:sz="6" w:space="0"/>
            </w:tcBorders>
            <w:noWrap w:val="0"/>
            <w:vAlign w:val="top"/>
          </w:tcPr>
          <w:p w14:paraId="40BEF3A5">
            <w:pPr>
              <w:pStyle w:val="133"/>
              <w:shd w:val="clear" w:color="auto"/>
              <w:snapToGrid w:val="0"/>
              <w:spacing w:line="460" w:lineRule="exact"/>
              <w:rPr>
                <w:rStyle w:val="108"/>
                <w:rFonts w:hint="eastAsia" w:ascii="宋体" w:hAnsi="宋体" w:cs="宋体"/>
                <w:bCs/>
                <w:color w:val="auto"/>
                <w:szCs w:val="21"/>
                <w:highlight w:val="none"/>
              </w:rPr>
            </w:pPr>
          </w:p>
        </w:tc>
        <w:tc>
          <w:tcPr>
            <w:tcW w:w="1451" w:type="dxa"/>
            <w:tcBorders>
              <w:top w:val="single" w:color="000000" w:sz="6" w:space="0"/>
              <w:left w:val="single" w:color="000000" w:sz="6" w:space="0"/>
              <w:bottom w:val="single" w:color="000000" w:sz="6" w:space="0"/>
              <w:right w:val="single" w:color="000000" w:sz="6" w:space="0"/>
            </w:tcBorders>
            <w:noWrap w:val="0"/>
            <w:vAlign w:val="top"/>
          </w:tcPr>
          <w:p w14:paraId="6C7C741D">
            <w:pPr>
              <w:pStyle w:val="133"/>
              <w:shd w:val="clear" w:color="auto"/>
              <w:snapToGrid w:val="0"/>
              <w:spacing w:line="460" w:lineRule="exact"/>
              <w:rPr>
                <w:rStyle w:val="108"/>
                <w:rFonts w:hint="eastAsia" w:ascii="宋体" w:hAnsi="宋体" w:cs="宋体"/>
                <w:bCs/>
                <w:color w:val="auto"/>
                <w:szCs w:val="21"/>
                <w:highlight w:val="none"/>
              </w:rPr>
            </w:pPr>
          </w:p>
        </w:tc>
        <w:tc>
          <w:tcPr>
            <w:tcW w:w="2270" w:type="dxa"/>
            <w:tcBorders>
              <w:top w:val="single" w:color="000000" w:sz="6" w:space="0"/>
              <w:left w:val="single" w:color="000000" w:sz="6" w:space="0"/>
              <w:bottom w:val="single" w:color="000000" w:sz="6" w:space="0"/>
              <w:right w:val="single" w:color="000000" w:sz="6" w:space="0"/>
            </w:tcBorders>
            <w:noWrap w:val="0"/>
            <w:vAlign w:val="center"/>
          </w:tcPr>
          <w:p w14:paraId="56289669">
            <w:pPr>
              <w:pStyle w:val="133"/>
              <w:shd w:val="clear" w:color="auto"/>
              <w:snapToGrid w:val="0"/>
              <w:spacing w:line="460" w:lineRule="exact"/>
              <w:rPr>
                <w:rStyle w:val="108"/>
                <w:rFonts w:hint="eastAsia" w:ascii="宋体" w:hAnsi="宋体" w:cs="宋体"/>
                <w:bCs/>
                <w:color w:val="auto"/>
                <w:szCs w:val="21"/>
                <w:highlight w:val="none"/>
              </w:rPr>
            </w:pPr>
          </w:p>
        </w:tc>
        <w:tc>
          <w:tcPr>
            <w:tcW w:w="2729" w:type="dxa"/>
            <w:tcBorders>
              <w:top w:val="single" w:color="000000" w:sz="6" w:space="0"/>
              <w:left w:val="single" w:color="000000" w:sz="6" w:space="0"/>
              <w:bottom w:val="single" w:color="000000" w:sz="6" w:space="0"/>
              <w:right w:val="single" w:color="000000" w:sz="6" w:space="0"/>
            </w:tcBorders>
            <w:noWrap w:val="0"/>
            <w:vAlign w:val="top"/>
          </w:tcPr>
          <w:p w14:paraId="3083200E">
            <w:pPr>
              <w:pStyle w:val="133"/>
              <w:shd w:val="clear" w:color="auto"/>
              <w:snapToGrid w:val="0"/>
              <w:spacing w:line="460" w:lineRule="exact"/>
              <w:rPr>
                <w:rStyle w:val="108"/>
                <w:rFonts w:hint="eastAsia" w:ascii="宋体" w:hAnsi="宋体" w:cs="宋体"/>
                <w:bCs/>
                <w:color w:val="auto"/>
                <w:szCs w:val="21"/>
                <w:highlight w:val="none"/>
              </w:rPr>
            </w:pPr>
          </w:p>
        </w:tc>
        <w:tc>
          <w:tcPr>
            <w:tcW w:w="1367" w:type="dxa"/>
            <w:tcBorders>
              <w:top w:val="single" w:color="000000" w:sz="6" w:space="0"/>
              <w:left w:val="single" w:color="000000" w:sz="4" w:space="0"/>
              <w:bottom w:val="single" w:color="000000" w:sz="6" w:space="0"/>
              <w:right w:val="single" w:color="000000" w:sz="6" w:space="0"/>
            </w:tcBorders>
            <w:noWrap w:val="0"/>
            <w:vAlign w:val="top"/>
          </w:tcPr>
          <w:p w14:paraId="128EDD0A">
            <w:pPr>
              <w:pStyle w:val="133"/>
              <w:shd w:val="clear" w:color="auto"/>
              <w:snapToGrid w:val="0"/>
              <w:spacing w:line="460" w:lineRule="exact"/>
              <w:rPr>
                <w:rStyle w:val="108"/>
                <w:rFonts w:hint="eastAsia" w:ascii="宋体" w:hAnsi="宋体" w:cs="宋体"/>
                <w:bCs/>
                <w:color w:val="auto"/>
                <w:szCs w:val="21"/>
                <w:highlight w:val="none"/>
              </w:rPr>
            </w:pPr>
          </w:p>
        </w:tc>
        <w:tc>
          <w:tcPr>
            <w:tcW w:w="1307" w:type="dxa"/>
            <w:tcBorders>
              <w:top w:val="single" w:color="000000" w:sz="6" w:space="0"/>
              <w:left w:val="single" w:color="000000" w:sz="4" w:space="0"/>
              <w:bottom w:val="single" w:color="000000" w:sz="6" w:space="0"/>
              <w:right w:val="single" w:color="000000" w:sz="6" w:space="0"/>
            </w:tcBorders>
            <w:noWrap w:val="0"/>
            <w:vAlign w:val="top"/>
          </w:tcPr>
          <w:p w14:paraId="2B763D03">
            <w:pPr>
              <w:pStyle w:val="133"/>
              <w:shd w:val="clear" w:color="auto"/>
              <w:snapToGrid w:val="0"/>
              <w:spacing w:line="460" w:lineRule="exact"/>
              <w:rPr>
                <w:rStyle w:val="108"/>
                <w:rFonts w:hint="eastAsia" w:ascii="宋体" w:hAnsi="宋体" w:cs="宋体"/>
                <w:bCs/>
                <w:color w:val="auto"/>
                <w:szCs w:val="21"/>
                <w:highlight w:val="none"/>
              </w:rPr>
            </w:pPr>
          </w:p>
        </w:tc>
      </w:tr>
      <w:bookmarkEnd w:id="80"/>
    </w:tbl>
    <w:p w14:paraId="3FFF0D78">
      <w:pPr>
        <w:pStyle w:val="133"/>
        <w:shd w:val="clear" w:color="auto"/>
        <w:snapToGrid w:val="0"/>
        <w:spacing w:line="500" w:lineRule="exact"/>
        <w:ind w:firstLine="420" w:firstLineChars="200"/>
        <w:rPr>
          <w:rStyle w:val="108"/>
          <w:rFonts w:hint="eastAsia" w:ascii="宋体" w:hAnsi="宋体" w:cs="宋体"/>
          <w:bCs/>
          <w:color w:val="auto"/>
          <w:szCs w:val="21"/>
          <w:highlight w:val="none"/>
        </w:rPr>
      </w:pPr>
      <w:r>
        <w:rPr>
          <w:rStyle w:val="108"/>
          <w:rFonts w:hint="eastAsia" w:ascii="宋体" w:hAnsi="宋体" w:cs="宋体"/>
          <w:bCs/>
          <w:color w:val="auto"/>
          <w:szCs w:val="21"/>
          <w:highlight w:val="none"/>
        </w:rPr>
        <w:t>注：</w:t>
      </w:r>
      <w:r>
        <w:rPr>
          <w:rFonts w:hint="eastAsia" w:hAnsi="宋体" w:cs="宋体"/>
          <w:bCs/>
          <w:color w:val="auto"/>
          <w:sz w:val="21"/>
          <w:szCs w:val="21"/>
          <w:highlight w:val="none"/>
        </w:rPr>
        <w:t>1.对公开招标采购文件 第二章  招标需求中的所有要求进行逐条响应。</w:t>
      </w:r>
    </w:p>
    <w:p w14:paraId="06784E43">
      <w:pPr>
        <w:pStyle w:val="133"/>
        <w:shd w:val="clear" w:color="auto"/>
        <w:snapToGrid w:val="0"/>
        <w:spacing w:line="500" w:lineRule="exact"/>
        <w:ind w:firstLine="420" w:firstLineChars="200"/>
        <w:rPr>
          <w:rStyle w:val="108"/>
          <w:rFonts w:hint="eastAsia" w:ascii="宋体" w:hAnsi="宋体" w:cs="宋体"/>
          <w:bCs/>
          <w:color w:val="auto"/>
          <w:szCs w:val="21"/>
          <w:highlight w:val="none"/>
        </w:rPr>
      </w:pPr>
      <w:r>
        <w:rPr>
          <w:rStyle w:val="108"/>
          <w:rFonts w:hint="eastAsia" w:ascii="宋体" w:hAnsi="宋体" w:cs="宋体"/>
          <w:bCs/>
          <w:color w:val="auto"/>
          <w:szCs w:val="21"/>
          <w:highlight w:val="none"/>
        </w:rPr>
        <w:t>2.供应商应根据招标文件的技术规范和服务要求在“偏离情况”栏注明“正偏离”、“负偏离”或“无偏离”；</w:t>
      </w:r>
    </w:p>
    <w:p w14:paraId="06732BB2">
      <w:pPr>
        <w:pStyle w:val="134"/>
        <w:shd w:val="clear" w:color="auto"/>
        <w:snapToGrid w:val="0"/>
        <w:spacing w:line="500" w:lineRule="exact"/>
        <w:ind w:firstLine="420" w:firstLineChars="200"/>
        <w:rPr>
          <w:rStyle w:val="108"/>
          <w:rFonts w:hint="eastAsia" w:ascii="宋体" w:hAnsi="宋体" w:cs="宋体"/>
          <w:bCs/>
          <w:color w:val="auto"/>
          <w:szCs w:val="21"/>
          <w:highlight w:val="none"/>
        </w:rPr>
      </w:pPr>
      <w:r>
        <w:rPr>
          <w:rStyle w:val="108"/>
          <w:rFonts w:hint="eastAsia" w:ascii="宋体" w:hAnsi="宋体" w:cs="宋体"/>
          <w:bCs/>
          <w:color w:val="auto"/>
          <w:szCs w:val="21"/>
          <w:highlight w:val="none"/>
        </w:rPr>
        <w:t>3.如有负偏离，应按实写明负偏离情况。否则视为完全满足采购需求指标，并作为今后产品的验收依据。</w:t>
      </w:r>
    </w:p>
    <w:p w14:paraId="093270D0">
      <w:pPr>
        <w:shd w:val="clear" w:color="auto"/>
        <w:spacing w:line="500" w:lineRule="exact"/>
        <w:ind w:firstLine="420" w:firstLineChars="200"/>
        <w:rPr>
          <w:rFonts w:hint="eastAsia" w:hAnsi="宋体" w:cs="宋体"/>
          <w:color w:val="auto"/>
          <w:sz w:val="21"/>
          <w:szCs w:val="21"/>
          <w:highlight w:val="none"/>
        </w:rPr>
      </w:pPr>
      <w:r>
        <w:rPr>
          <w:rFonts w:hint="eastAsia" w:hAnsi="宋体" w:cs="宋体"/>
          <w:color w:val="auto"/>
          <w:sz w:val="21"/>
          <w:szCs w:val="21"/>
          <w:highlight w:val="none"/>
        </w:rPr>
        <w:t>法定代表人或其授权代表（签字或盖章）：</w:t>
      </w:r>
    </w:p>
    <w:p w14:paraId="5460D973">
      <w:pPr>
        <w:shd w:val="clear" w:color="auto"/>
        <w:autoSpaceDE/>
        <w:autoSpaceDN/>
        <w:spacing w:line="500" w:lineRule="exact"/>
        <w:ind w:firstLine="420" w:firstLineChars="200"/>
        <w:rPr>
          <w:rFonts w:hint="eastAsia" w:hAnsi="宋体" w:cs="宋体"/>
          <w:color w:val="auto"/>
          <w:sz w:val="21"/>
          <w:szCs w:val="21"/>
          <w:highlight w:val="none"/>
        </w:rPr>
      </w:pPr>
      <w:r>
        <w:rPr>
          <w:rFonts w:hint="eastAsia" w:hAnsi="宋体" w:cs="宋体"/>
          <w:color w:val="auto"/>
          <w:sz w:val="21"/>
          <w:szCs w:val="21"/>
          <w:highlight w:val="none"/>
        </w:rPr>
        <w:t xml:space="preserve">投标人（或联合体投标人的牵头单位）全称（加盖公章）：                     </w:t>
      </w:r>
    </w:p>
    <w:p w14:paraId="0F542E36">
      <w:pPr>
        <w:keepNext/>
        <w:keepLines/>
        <w:shd w:val="clear" w:color="auto"/>
        <w:spacing w:line="500" w:lineRule="exact"/>
        <w:ind w:firstLine="420" w:firstLineChars="200"/>
        <w:rPr>
          <w:rFonts w:hint="eastAsia" w:hAnsi="宋体" w:cs="宋体"/>
          <w:color w:val="auto"/>
          <w:sz w:val="32"/>
          <w:highlight w:val="none"/>
        </w:rPr>
      </w:pPr>
      <w:r>
        <w:rPr>
          <w:rFonts w:hint="eastAsia" w:hAnsi="宋体" w:cs="宋体"/>
          <w:color w:val="auto"/>
          <w:sz w:val="21"/>
          <w:szCs w:val="21"/>
          <w:highlight w:val="none"/>
        </w:rPr>
        <w:t>日期：  年  月   日</w:t>
      </w:r>
    </w:p>
    <w:p w14:paraId="7C8BFC70">
      <w:pPr>
        <w:shd w:val="clear" w:color="auto"/>
        <w:autoSpaceDE/>
        <w:autoSpaceDN/>
        <w:adjustRightInd/>
        <w:spacing w:line="500" w:lineRule="exact"/>
        <w:ind w:firstLine="422" w:firstLineChars="200"/>
        <w:jc w:val="both"/>
        <w:rPr>
          <w:rFonts w:hint="eastAsia" w:hAnsi="宋体" w:cs="宋体"/>
          <w:b/>
          <w:bCs/>
          <w:color w:val="auto"/>
          <w:sz w:val="21"/>
          <w:szCs w:val="21"/>
          <w:highlight w:val="none"/>
        </w:rPr>
      </w:pPr>
    </w:p>
    <w:p w14:paraId="63CD0A52">
      <w:pPr>
        <w:shd w:val="clear" w:color="auto"/>
        <w:autoSpaceDE/>
        <w:autoSpaceDN/>
        <w:adjustRightInd/>
        <w:spacing w:line="500" w:lineRule="exact"/>
        <w:ind w:firstLine="422" w:firstLineChars="200"/>
        <w:jc w:val="both"/>
        <w:rPr>
          <w:rFonts w:hint="eastAsia" w:hAnsi="宋体" w:cs="宋体"/>
          <w:b/>
          <w:bCs/>
          <w:color w:val="auto"/>
          <w:sz w:val="21"/>
          <w:szCs w:val="21"/>
          <w:highlight w:val="none"/>
        </w:rPr>
      </w:pPr>
    </w:p>
    <w:p w14:paraId="5A078192">
      <w:pPr>
        <w:shd w:val="clear" w:color="auto"/>
        <w:spacing w:line="300" w:lineRule="auto"/>
        <w:rPr>
          <w:rFonts w:hint="eastAsia" w:hAnsi="宋体" w:cs="宋体"/>
          <w:b/>
          <w:bCs/>
          <w:color w:val="auto"/>
          <w:sz w:val="21"/>
          <w:szCs w:val="21"/>
          <w:highlight w:val="none"/>
        </w:rPr>
      </w:pPr>
      <w:r>
        <w:rPr>
          <w:rFonts w:hint="eastAsia" w:hAnsi="宋体" w:cs="宋体"/>
          <w:b/>
          <w:bCs/>
          <w:color w:val="auto"/>
          <w:sz w:val="21"/>
          <w:szCs w:val="21"/>
          <w:highlight w:val="none"/>
        </w:rPr>
        <w:t>（三）报价文件部分</w:t>
      </w:r>
    </w:p>
    <w:p w14:paraId="5EE30D61">
      <w:pPr>
        <w:shd w:val="clear" w:color="auto"/>
        <w:snapToGrid w:val="0"/>
        <w:spacing w:line="500" w:lineRule="exact"/>
        <w:rPr>
          <w:rFonts w:hint="eastAsia" w:hAnsi="宋体" w:cs="宋体"/>
          <w:color w:val="auto"/>
          <w:sz w:val="21"/>
          <w:szCs w:val="21"/>
          <w:highlight w:val="none"/>
        </w:rPr>
      </w:pPr>
      <w:r>
        <w:rPr>
          <w:rFonts w:hint="eastAsia" w:hAnsi="宋体" w:cs="宋体"/>
          <w:color w:val="auto"/>
          <w:sz w:val="21"/>
          <w:szCs w:val="21"/>
          <w:highlight w:val="none"/>
        </w:rPr>
        <w:t>1.投标函格式：</w:t>
      </w:r>
    </w:p>
    <w:p w14:paraId="2921A686">
      <w:pPr>
        <w:shd w:val="clear" w:color="auto"/>
        <w:snapToGrid w:val="0"/>
        <w:spacing w:line="500" w:lineRule="exact"/>
        <w:jc w:val="center"/>
        <w:rPr>
          <w:rFonts w:hint="eastAsia" w:hAnsi="宋体" w:cs="宋体"/>
          <w:b/>
          <w:color w:val="auto"/>
          <w:sz w:val="21"/>
          <w:szCs w:val="21"/>
          <w:highlight w:val="none"/>
        </w:rPr>
      </w:pPr>
      <w:r>
        <w:rPr>
          <w:rFonts w:hint="eastAsia" w:hAnsi="宋体" w:cs="宋体"/>
          <w:b/>
          <w:color w:val="auto"/>
          <w:sz w:val="21"/>
          <w:szCs w:val="21"/>
          <w:highlight w:val="none"/>
        </w:rPr>
        <w:t>投标函</w:t>
      </w:r>
    </w:p>
    <w:p w14:paraId="5F3F9770">
      <w:pPr>
        <w:shd w:val="clear" w:color="auto"/>
        <w:snapToGrid w:val="0"/>
        <w:spacing w:line="500" w:lineRule="exact"/>
        <w:rPr>
          <w:rFonts w:hint="eastAsia" w:hAnsi="宋体" w:cs="宋体"/>
          <w:color w:val="auto"/>
          <w:sz w:val="21"/>
          <w:szCs w:val="21"/>
          <w:highlight w:val="none"/>
        </w:rPr>
      </w:pPr>
      <w:r>
        <w:rPr>
          <w:rFonts w:hint="eastAsia" w:hAnsi="宋体" w:cs="宋体"/>
          <w:color w:val="auto"/>
          <w:sz w:val="21"/>
          <w:szCs w:val="21"/>
          <w:highlight w:val="none"/>
          <w:u w:val="single"/>
        </w:rPr>
        <w:t>致：</w:t>
      </w:r>
      <w:r>
        <w:rPr>
          <w:rFonts w:hint="eastAsia" w:hAnsi="宋体" w:cs="宋体"/>
          <w:color w:val="auto"/>
          <w:sz w:val="21"/>
          <w:szCs w:val="21"/>
          <w:highlight w:val="none"/>
          <w:u w:val="single"/>
          <w:lang w:eastAsia="zh-CN"/>
        </w:rPr>
        <w:t>金华市婺城区乡村建设指导中心</w:t>
      </w:r>
      <w:r>
        <w:rPr>
          <w:rFonts w:hint="eastAsia" w:hAnsi="宋体" w:cs="宋体"/>
          <w:color w:val="auto"/>
          <w:sz w:val="21"/>
          <w:szCs w:val="21"/>
          <w:highlight w:val="none"/>
          <w:u w:val="single"/>
        </w:rPr>
        <w:t>、金华市天盈招标代理有限公司：</w:t>
      </w:r>
    </w:p>
    <w:p w14:paraId="5984FEA7">
      <w:pPr>
        <w:shd w:val="clear" w:color="auto"/>
        <w:snapToGrid w:val="0"/>
        <w:spacing w:line="500" w:lineRule="exact"/>
        <w:ind w:firstLine="480"/>
        <w:rPr>
          <w:rFonts w:hint="eastAsia" w:hAnsi="宋体" w:cs="宋体"/>
          <w:color w:val="auto"/>
          <w:sz w:val="21"/>
          <w:szCs w:val="21"/>
          <w:highlight w:val="none"/>
        </w:rPr>
      </w:pPr>
      <w:r>
        <w:rPr>
          <w:rFonts w:hint="eastAsia" w:hAnsi="宋体" w:cs="宋体"/>
          <w:color w:val="auto"/>
          <w:sz w:val="21"/>
          <w:szCs w:val="21"/>
          <w:highlight w:val="none"/>
        </w:rPr>
        <w:t>根据贵方为</w:t>
      </w:r>
      <w:r>
        <w:rPr>
          <w:rFonts w:hint="eastAsia" w:hAnsi="宋体" w:cs="宋体"/>
          <w:color w:val="auto"/>
          <w:sz w:val="21"/>
          <w:szCs w:val="21"/>
          <w:highlight w:val="none"/>
          <w:u w:val="single"/>
          <w:lang w:eastAsia="zh-CN"/>
        </w:rPr>
        <w:t>2025-2026年婺城区农村人居环境长效管理第三方机构评估服务项目</w:t>
      </w:r>
      <w:r>
        <w:rPr>
          <w:rFonts w:hint="eastAsia" w:hAnsi="宋体" w:cs="宋体"/>
          <w:color w:val="auto"/>
          <w:sz w:val="21"/>
          <w:szCs w:val="21"/>
          <w:highlight w:val="none"/>
        </w:rPr>
        <w:t>的招标公告/投标邀请书（项目编号：</w:t>
      </w:r>
      <w:r>
        <w:rPr>
          <w:rFonts w:hint="eastAsia" w:hAnsi="宋体" w:cs="宋体"/>
          <w:color w:val="auto"/>
          <w:sz w:val="21"/>
          <w:szCs w:val="21"/>
          <w:highlight w:val="none"/>
          <w:u w:val="single"/>
          <w:lang w:eastAsia="zh-CN"/>
        </w:rPr>
        <w:t>TY2025-FW038-ZFCG038-1</w:t>
      </w:r>
      <w:r>
        <w:rPr>
          <w:rFonts w:hint="eastAsia" w:hAnsi="宋体" w:cs="宋体"/>
          <w:color w:val="auto"/>
          <w:sz w:val="21"/>
          <w:szCs w:val="21"/>
          <w:highlight w:val="none"/>
        </w:rPr>
        <w:t>），签字代表_______（全名）经正式授权并代表投标人_________（投标人名称）提交文件。</w:t>
      </w:r>
    </w:p>
    <w:p w14:paraId="2AF9841E">
      <w:pPr>
        <w:shd w:val="clear" w:color="auto"/>
        <w:snapToGrid w:val="0"/>
        <w:spacing w:line="500" w:lineRule="exact"/>
        <w:ind w:firstLine="420" w:firstLineChars="200"/>
        <w:rPr>
          <w:rFonts w:hint="eastAsia" w:hAnsi="宋体" w:cs="宋体"/>
          <w:color w:val="auto"/>
          <w:sz w:val="21"/>
          <w:szCs w:val="21"/>
          <w:highlight w:val="none"/>
        </w:rPr>
      </w:pPr>
      <w:r>
        <w:rPr>
          <w:rFonts w:hint="eastAsia" w:hAnsi="宋体" w:cs="宋体"/>
          <w:color w:val="auto"/>
          <w:sz w:val="21"/>
          <w:szCs w:val="21"/>
          <w:highlight w:val="none"/>
        </w:rPr>
        <w:t>据此函，签字代表宣布同意如下：</w:t>
      </w:r>
    </w:p>
    <w:p w14:paraId="4293C290">
      <w:pPr>
        <w:shd w:val="clear" w:color="auto"/>
        <w:snapToGrid w:val="0"/>
        <w:spacing w:line="500" w:lineRule="exact"/>
        <w:ind w:firstLine="420" w:firstLineChars="200"/>
        <w:rPr>
          <w:rFonts w:hint="eastAsia" w:hAnsi="宋体" w:cs="宋体"/>
          <w:color w:val="auto"/>
          <w:sz w:val="21"/>
          <w:szCs w:val="21"/>
          <w:highlight w:val="none"/>
        </w:rPr>
      </w:pPr>
      <w:r>
        <w:rPr>
          <w:rFonts w:hint="eastAsia" w:hAnsi="宋体" w:cs="宋体"/>
          <w:color w:val="auto"/>
          <w:sz w:val="21"/>
          <w:szCs w:val="21"/>
          <w:highlight w:val="none"/>
        </w:rPr>
        <w:t>1.我方自愿按照招标文件规定的各项要求向</w:t>
      </w:r>
      <w:r>
        <w:rPr>
          <w:rFonts w:hint="eastAsia" w:hAnsi="宋体" w:cs="宋体"/>
          <w:color w:val="auto"/>
          <w:sz w:val="21"/>
          <w:szCs w:val="21"/>
          <w:highlight w:val="none"/>
          <w:lang w:eastAsia="zh-CN"/>
        </w:rPr>
        <w:t>采购人</w:t>
      </w:r>
      <w:r>
        <w:rPr>
          <w:rFonts w:hint="eastAsia" w:hAnsi="宋体" w:cs="宋体"/>
          <w:color w:val="auto"/>
          <w:sz w:val="21"/>
          <w:szCs w:val="21"/>
          <w:highlight w:val="none"/>
        </w:rPr>
        <w:t>提供所需专业服务。</w:t>
      </w:r>
    </w:p>
    <w:p w14:paraId="365C3B1B">
      <w:pPr>
        <w:shd w:val="clear" w:color="auto"/>
        <w:snapToGrid w:val="0"/>
        <w:spacing w:line="500" w:lineRule="exact"/>
        <w:ind w:firstLine="420" w:firstLineChars="200"/>
        <w:rPr>
          <w:rFonts w:hint="eastAsia" w:hAnsi="宋体" w:cs="宋体"/>
          <w:color w:val="auto"/>
          <w:sz w:val="21"/>
          <w:szCs w:val="21"/>
          <w:highlight w:val="none"/>
        </w:rPr>
      </w:pPr>
      <w:r>
        <w:rPr>
          <w:rFonts w:hint="eastAsia" w:hAnsi="宋体" w:cs="宋体"/>
          <w:color w:val="auto"/>
          <w:sz w:val="21"/>
          <w:szCs w:val="21"/>
          <w:highlight w:val="none"/>
        </w:rPr>
        <w:t>2.我方已详细审查全部“招标文件”，包括修改文件（如有的话）以及全部参考资料和有关附件，已经了解我方对于招标文件、采购过程、采购结果有依法进行询问、质疑、投诉的权利及相关渠道和要求。</w:t>
      </w:r>
    </w:p>
    <w:p w14:paraId="12DB17F2">
      <w:pPr>
        <w:shd w:val="clear" w:color="auto"/>
        <w:snapToGrid w:val="0"/>
        <w:spacing w:line="500" w:lineRule="exact"/>
        <w:ind w:firstLine="420" w:firstLineChars="200"/>
        <w:rPr>
          <w:rFonts w:hint="eastAsia" w:hAnsi="宋体" w:cs="宋体"/>
          <w:color w:val="auto"/>
          <w:sz w:val="21"/>
          <w:szCs w:val="21"/>
          <w:highlight w:val="none"/>
        </w:rPr>
      </w:pPr>
      <w:r>
        <w:rPr>
          <w:rFonts w:hint="eastAsia" w:hAnsi="宋体" w:cs="宋体"/>
          <w:color w:val="auto"/>
          <w:sz w:val="21"/>
          <w:szCs w:val="21"/>
          <w:highlight w:val="none"/>
        </w:rPr>
        <w:t>3.我方在投标之前已经与贵方进行了充分的沟通，完全理解并接受招标文件的各项规定和要求，对招标文件的合理性、合法性不再有异议。</w:t>
      </w:r>
    </w:p>
    <w:p w14:paraId="28779FEF">
      <w:pPr>
        <w:shd w:val="clear" w:color="auto"/>
        <w:snapToGrid w:val="0"/>
        <w:spacing w:line="500" w:lineRule="exact"/>
        <w:ind w:firstLine="420" w:firstLineChars="200"/>
        <w:rPr>
          <w:rFonts w:hint="eastAsia" w:hAnsi="宋体" w:cs="宋体"/>
          <w:color w:val="auto"/>
          <w:sz w:val="21"/>
          <w:szCs w:val="21"/>
          <w:highlight w:val="none"/>
        </w:rPr>
      </w:pPr>
      <w:r>
        <w:rPr>
          <w:rFonts w:hint="eastAsia" w:hAnsi="宋体" w:cs="宋体"/>
          <w:color w:val="auto"/>
          <w:sz w:val="21"/>
          <w:szCs w:val="21"/>
          <w:highlight w:val="none"/>
        </w:rPr>
        <w:t>4.本投标有效期自开标截止日起</w:t>
      </w:r>
      <w:r>
        <w:rPr>
          <w:rFonts w:hint="eastAsia" w:hAnsi="宋体" w:cs="宋体"/>
          <w:color w:val="auto"/>
          <w:sz w:val="21"/>
          <w:szCs w:val="21"/>
          <w:highlight w:val="none"/>
          <w:u w:val="single"/>
        </w:rPr>
        <w:t>90</w:t>
      </w:r>
      <w:r>
        <w:rPr>
          <w:rFonts w:hint="eastAsia" w:hAnsi="宋体" w:cs="宋体"/>
          <w:color w:val="auto"/>
          <w:sz w:val="21"/>
          <w:szCs w:val="21"/>
          <w:highlight w:val="none"/>
        </w:rPr>
        <w:t>个日。</w:t>
      </w:r>
    </w:p>
    <w:p w14:paraId="02E42A15">
      <w:pPr>
        <w:shd w:val="clear" w:color="auto"/>
        <w:snapToGrid w:val="0"/>
        <w:spacing w:line="500" w:lineRule="exact"/>
        <w:ind w:firstLine="420" w:firstLineChars="200"/>
        <w:rPr>
          <w:rFonts w:hint="eastAsia" w:hAnsi="宋体" w:cs="宋体"/>
          <w:color w:val="auto"/>
          <w:sz w:val="21"/>
          <w:szCs w:val="21"/>
          <w:highlight w:val="none"/>
        </w:rPr>
      </w:pPr>
      <w:r>
        <w:rPr>
          <w:rFonts w:hint="eastAsia" w:hAnsi="宋体" w:cs="宋体"/>
          <w:color w:val="auto"/>
          <w:sz w:val="21"/>
          <w:szCs w:val="21"/>
          <w:highlight w:val="none"/>
        </w:rPr>
        <w:t>5.如中标，本投标文件至本项目合同履行完毕止均保持有效，本投标人将按“招标文件”及政府采购法律、法规的规定履行合同责任和义务。</w:t>
      </w:r>
    </w:p>
    <w:p w14:paraId="7C890304">
      <w:pPr>
        <w:shd w:val="clear" w:color="auto"/>
        <w:snapToGrid w:val="0"/>
        <w:spacing w:line="500" w:lineRule="exact"/>
        <w:ind w:firstLine="420" w:firstLineChars="200"/>
        <w:rPr>
          <w:rFonts w:hint="eastAsia" w:hAnsi="宋体" w:cs="宋体"/>
          <w:color w:val="auto"/>
          <w:sz w:val="21"/>
          <w:szCs w:val="21"/>
          <w:highlight w:val="none"/>
        </w:rPr>
      </w:pPr>
      <w:r>
        <w:rPr>
          <w:rFonts w:hint="eastAsia" w:hAnsi="宋体" w:cs="宋体"/>
          <w:color w:val="auto"/>
          <w:sz w:val="21"/>
          <w:szCs w:val="21"/>
          <w:highlight w:val="none"/>
        </w:rPr>
        <w:t>6.投标人同意按照贵方要求提供与投标有关的一切数据或资料。</w:t>
      </w:r>
    </w:p>
    <w:p w14:paraId="51E75699">
      <w:pPr>
        <w:shd w:val="clear" w:color="auto"/>
        <w:snapToGrid w:val="0"/>
        <w:spacing w:line="500" w:lineRule="exact"/>
        <w:ind w:firstLine="420" w:firstLineChars="200"/>
        <w:rPr>
          <w:rFonts w:hint="eastAsia" w:hAnsi="宋体" w:cs="宋体"/>
          <w:color w:val="auto"/>
          <w:sz w:val="21"/>
          <w:szCs w:val="21"/>
          <w:highlight w:val="none"/>
        </w:rPr>
      </w:pPr>
      <w:r>
        <w:rPr>
          <w:rFonts w:hint="eastAsia" w:hAnsi="宋体" w:cs="宋体"/>
          <w:color w:val="auto"/>
          <w:sz w:val="21"/>
          <w:szCs w:val="21"/>
          <w:highlight w:val="none"/>
        </w:rPr>
        <w:t>7.与本投标有关的一切正式往来信函请寄：</w:t>
      </w:r>
    </w:p>
    <w:p w14:paraId="4745250B">
      <w:pPr>
        <w:shd w:val="clear" w:color="auto"/>
        <w:snapToGrid w:val="0"/>
        <w:spacing w:line="500" w:lineRule="exact"/>
        <w:rPr>
          <w:rFonts w:hint="eastAsia" w:hAnsi="宋体" w:cs="宋体"/>
          <w:color w:val="auto"/>
          <w:sz w:val="21"/>
          <w:szCs w:val="21"/>
          <w:highlight w:val="none"/>
        </w:rPr>
      </w:pPr>
      <w:r>
        <w:rPr>
          <w:rFonts w:hint="eastAsia" w:hAnsi="宋体" w:cs="宋体"/>
          <w:color w:val="auto"/>
          <w:sz w:val="21"/>
          <w:szCs w:val="21"/>
          <w:highlight w:val="none"/>
        </w:rPr>
        <w:t>地址：_______________邮编：__________电话：______________</w:t>
      </w:r>
    </w:p>
    <w:p w14:paraId="25487DD3">
      <w:pPr>
        <w:shd w:val="clear" w:color="auto"/>
        <w:snapToGrid w:val="0"/>
        <w:spacing w:line="500" w:lineRule="exact"/>
        <w:rPr>
          <w:rFonts w:hint="eastAsia" w:hAnsi="宋体" w:cs="宋体"/>
          <w:color w:val="auto"/>
          <w:sz w:val="21"/>
          <w:szCs w:val="21"/>
          <w:highlight w:val="none"/>
        </w:rPr>
      </w:pPr>
      <w:r>
        <w:rPr>
          <w:rFonts w:hint="eastAsia" w:hAnsi="宋体" w:cs="宋体"/>
          <w:color w:val="auto"/>
          <w:sz w:val="21"/>
          <w:szCs w:val="21"/>
          <w:highlight w:val="none"/>
        </w:rPr>
        <w:t>传真：______________投标人代表姓名：___________职务：_____________</w:t>
      </w:r>
    </w:p>
    <w:p w14:paraId="2F005116">
      <w:pPr>
        <w:shd w:val="clear" w:color="auto"/>
        <w:snapToGrid w:val="0"/>
        <w:spacing w:line="500" w:lineRule="exact"/>
        <w:rPr>
          <w:rFonts w:hint="eastAsia" w:hAnsi="宋体" w:cs="宋体"/>
          <w:color w:val="auto"/>
          <w:sz w:val="21"/>
          <w:szCs w:val="21"/>
          <w:highlight w:val="none"/>
        </w:rPr>
      </w:pPr>
      <w:r>
        <w:rPr>
          <w:rFonts w:hint="eastAsia" w:hAnsi="宋体" w:cs="宋体"/>
          <w:color w:val="auto"/>
          <w:sz w:val="21"/>
          <w:szCs w:val="21"/>
          <w:highlight w:val="none"/>
        </w:rPr>
        <w:t>投标人（或联合体投标人的牵头单位）全称(公章):___________________</w:t>
      </w:r>
    </w:p>
    <w:p w14:paraId="67E9532C">
      <w:pPr>
        <w:shd w:val="clear" w:color="auto"/>
        <w:snapToGrid w:val="0"/>
        <w:spacing w:line="500" w:lineRule="exact"/>
        <w:rPr>
          <w:rFonts w:hint="eastAsia" w:hAnsi="宋体" w:cs="宋体"/>
          <w:color w:val="auto"/>
          <w:sz w:val="21"/>
          <w:szCs w:val="21"/>
          <w:highlight w:val="none"/>
        </w:rPr>
      </w:pPr>
      <w:r>
        <w:rPr>
          <w:rFonts w:hint="eastAsia" w:hAnsi="宋体" w:cs="宋体"/>
          <w:color w:val="auto"/>
          <w:sz w:val="21"/>
          <w:szCs w:val="21"/>
          <w:highlight w:val="none"/>
        </w:rPr>
        <w:t>开户银行：___________________银行账号：___________________</w:t>
      </w:r>
    </w:p>
    <w:p w14:paraId="284B69F2">
      <w:pPr>
        <w:shd w:val="clear" w:color="auto"/>
        <w:snapToGrid w:val="0"/>
        <w:spacing w:line="500" w:lineRule="exact"/>
        <w:rPr>
          <w:rFonts w:hint="eastAsia" w:hAnsi="宋体" w:cs="宋体"/>
          <w:color w:val="auto"/>
          <w:sz w:val="21"/>
          <w:szCs w:val="21"/>
          <w:highlight w:val="none"/>
        </w:rPr>
      </w:pPr>
      <w:r>
        <w:rPr>
          <w:rFonts w:hint="eastAsia" w:hAnsi="宋体" w:cs="宋体"/>
          <w:color w:val="auto"/>
          <w:sz w:val="21"/>
          <w:szCs w:val="21"/>
          <w:highlight w:val="none"/>
        </w:rPr>
        <w:t>法定代表人或授权代表（签字或盖章）:___________</w:t>
      </w:r>
    </w:p>
    <w:p w14:paraId="66DFCF93">
      <w:pPr>
        <w:shd w:val="clear" w:color="auto"/>
        <w:snapToGrid w:val="0"/>
        <w:spacing w:line="500" w:lineRule="exact"/>
        <w:rPr>
          <w:rFonts w:hint="eastAsia" w:hAnsi="宋体" w:cs="宋体"/>
          <w:color w:val="auto"/>
          <w:sz w:val="21"/>
          <w:szCs w:val="21"/>
          <w:highlight w:val="none"/>
        </w:rPr>
      </w:pPr>
      <w:r>
        <w:rPr>
          <w:rFonts w:hint="eastAsia" w:hAnsi="宋体" w:cs="宋体"/>
          <w:color w:val="auto"/>
          <w:sz w:val="21"/>
          <w:szCs w:val="21"/>
          <w:highlight w:val="none"/>
        </w:rPr>
        <w:t>日期:_____年___月___日</w:t>
      </w:r>
    </w:p>
    <w:p w14:paraId="58CF748E">
      <w:pPr>
        <w:pStyle w:val="26"/>
        <w:shd w:val="clear" w:color="auto"/>
        <w:snapToGrid w:val="0"/>
        <w:spacing w:before="295" w:after="295"/>
        <w:rPr>
          <w:rFonts w:hint="eastAsia" w:ascii="宋体" w:hAnsi="宋体" w:cs="宋体"/>
          <w:color w:val="auto"/>
          <w:highlight w:val="none"/>
        </w:rPr>
      </w:pPr>
    </w:p>
    <w:p w14:paraId="2E99659D">
      <w:pPr>
        <w:pStyle w:val="26"/>
        <w:shd w:val="clear" w:color="auto"/>
        <w:jc w:val="center"/>
        <w:rPr>
          <w:rFonts w:hint="eastAsia" w:ascii="宋体" w:hAnsi="宋体" w:cs="宋体"/>
          <w:color w:val="auto"/>
          <w:sz w:val="21"/>
          <w:highlight w:val="none"/>
        </w:rPr>
      </w:pPr>
      <w:r>
        <w:rPr>
          <w:rFonts w:hint="eastAsia" w:ascii="宋体" w:hAnsi="宋体" w:cs="宋体"/>
          <w:bCs/>
          <w:color w:val="auto"/>
          <w:sz w:val="24"/>
          <w:highlight w:val="none"/>
        </w:rPr>
        <w:br w:type="page"/>
      </w:r>
      <w:r>
        <w:rPr>
          <w:rFonts w:hint="eastAsia" w:ascii="宋体" w:hAnsi="宋体" w:cs="宋体"/>
          <w:color w:val="auto"/>
          <w:sz w:val="21"/>
          <w:highlight w:val="none"/>
        </w:rPr>
        <w:t>2.开标（报价）一览表</w:t>
      </w:r>
    </w:p>
    <w:tbl>
      <w:tblPr>
        <w:tblStyle w:val="48"/>
        <w:tblW w:w="9298" w:type="dxa"/>
        <w:tblInd w:w="108"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2150"/>
        <w:gridCol w:w="7148"/>
      </w:tblGrid>
      <w:tr w14:paraId="597D14B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8" w:hRule="atLeast"/>
        </w:trPr>
        <w:tc>
          <w:tcPr>
            <w:tcW w:w="2150" w:type="dxa"/>
            <w:noWrap w:val="0"/>
            <w:vAlign w:val="center"/>
          </w:tcPr>
          <w:p w14:paraId="1F195BB0">
            <w:pPr>
              <w:shd w:val="clear" w:color="auto"/>
              <w:snapToGrid w:val="0"/>
              <w:spacing w:line="400" w:lineRule="exact"/>
              <w:jc w:val="center"/>
              <w:rPr>
                <w:rFonts w:hint="eastAsia" w:hAnsi="宋体" w:eastAsia="宋体" w:cs="宋体"/>
                <w:color w:val="auto"/>
                <w:sz w:val="21"/>
                <w:szCs w:val="21"/>
                <w:highlight w:val="none"/>
              </w:rPr>
            </w:pPr>
            <w:r>
              <w:rPr>
                <w:rFonts w:hint="eastAsia" w:hAnsi="宋体" w:eastAsia="宋体" w:cs="宋体"/>
                <w:color w:val="auto"/>
                <w:sz w:val="21"/>
                <w:szCs w:val="21"/>
                <w:highlight w:val="none"/>
              </w:rPr>
              <w:t>项目编号</w:t>
            </w:r>
          </w:p>
        </w:tc>
        <w:tc>
          <w:tcPr>
            <w:tcW w:w="7148" w:type="dxa"/>
            <w:noWrap w:val="0"/>
            <w:vAlign w:val="top"/>
          </w:tcPr>
          <w:p w14:paraId="109D108F">
            <w:pPr>
              <w:shd w:val="clear" w:color="auto"/>
              <w:snapToGrid w:val="0"/>
              <w:spacing w:line="400" w:lineRule="exact"/>
              <w:jc w:val="center"/>
              <w:rPr>
                <w:rFonts w:hint="eastAsia" w:hAnsi="宋体" w:eastAsia="宋体" w:cs="宋体"/>
                <w:color w:val="auto"/>
                <w:sz w:val="21"/>
                <w:szCs w:val="21"/>
                <w:highlight w:val="none"/>
                <w:lang w:eastAsia="zh-CN"/>
              </w:rPr>
            </w:pPr>
            <w:r>
              <w:rPr>
                <w:rFonts w:hint="eastAsia" w:hAnsi="宋体" w:cs="宋体"/>
                <w:color w:val="auto"/>
                <w:sz w:val="21"/>
                <w:szCs w:val="21"/>
                <w:highlight w:val="none"/>
                <w:lang w:eastAsia="zh-CN"/>
              </w:rPr>
              <w:t>TY2025-FW038-ZFCG038-1</w:t>
            </w:r>
          </w:p>
        </w:tc>
      </w:tr>
      <w:tr w14:paraId="25F144D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86" w:hRule="atLeast"/>
        </w:trPr>
        <w:tc>
          <w:tcPr>
            <w:tcW w:w="2150" w:type="dxa"/>
            <w:noWrap w:val="0"/>
            <w:vAlign w:val="center"/>
          </w:tcPr>
          <w:p w14:paraId="426FEC62">
            <w:pPr>
              <w:shd w:val="clear" w:color="auto"/>
              <w:snapToGrid w:val="0"/>
              <w:spacing w:line="400" w:lineRule="exact"/>
              <w:jc w:val="center"/>
              <w:rPr>
                <w:rFonts w:hint="eastAsia" w:hAnsi="宋体" w:eastAsia="宋体" w:cs="宋体"/>
                <w:color w:val="auto"/>
                <w:sz w:val="21"/>
                <w:szCs w:val="21"/>
                <w:highlight w:val="none"/>
              </w:rPr>
            </w:pPr>
            <w:r>
              <w:rPr>
                <w:rFonts w:hint="eastAsia" w:hAnsi="宋体" w:eastAsia="宋体" w:cs="宋体"/>
                <w:color w:val="auto"/>
                <w:sz w:val="21"/>
                <w:szCs w:val="21"/>
                <w:highlight w:val="none"/>
              </w:rPr>
              <w:t>项目名称</w:t>
            </w:r>
          </w:p>
        </w:tc>
        <w:tc>
          <w:tcPr>
            <w:tcW w:w="7148" w:type="dxa"/>
            <w:noWrap w:val="0"/>
            <w:vAlign w:val="top"/>
          </w:tcPr>
          <w:p w14:paraId="1F545D39">
            <w:pPr>
              <w:shd w:val="clear" w:color="auto"/>
              <w:snapToGrid w:val="0"/>
              <w:spacing w:line="400" w:lineRule="exact"/>
              <w:jc w:val="center"/>
              <w:rPr>
                <w:rFonts w:hint="eastAsia" w:hAnsi="宋体" w:eastAsia="宋体" w:cs="宋体"/>
                <w:color w:val="auto"/>
                <w:sz w:val="21"/>
                <w:szCs w:val="21"/>
                <w:highlight w:val="none"/>
                <w:lang w:eastAsia="zh-CN"/>
              </w:rPr>
            </w:pPr>
            <w:r>
              <w:rPr>
                <w:rFonts w:hint="eastAsia" w:hAnsi="宋体" w:cs="宋体"/>
                <w:color w:val="auto"/>
                <w:sz w:val="21"/>
                <w:szCs w:val="21"/>
                <w:highlight w:val="none"/>
                <w:lang w:eastAsia="zh-CN"/>
              </w:rPr>
              <w:t>2025-2026年婺城区农村人居环境长效管理第三方机构评估服务项目</w:t>
            </w:r>
          </w:p>
        </w:tc>
      </w:tr>
      <w:tr w14:paraId="33ED230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76" w:hRule="atLeast"/>
        </w:trPr>
        <w:tc>
          <w:tcPr>
            <w:tcW w:w="2150" w:type="dxa"/>
            <w:noWrap w:val="0"/>
            <w:vAlign w:val="center"/>
          </w:tcPr>
          <w:p w14:paraId="2E4023E3">
            <w:pPr>
              <w:shd w:val="clear" w:color="auto"/>
              <w:spacing w:line="400" w:lineRule="exact"/>
              <w:jc w:val="center"/>
              <w:rPr>
                <w:rFonts w:hint="eastAsia" w:hAnsi="宋体" w:eastAsia="宋体" w:cs="宋体"/>
                <w:color w:val="auto"/>
                <w:sz w:val="21"/>
                <w:szCs w:val="21"/>
                <w:highlight w:val="none"/>
                <w:lang w:eastAsia="zh-CN"/>
              </w:rPr>
            </w:pPr>
            <w:r>
              <w:rPr>
                <w:rFonts w:hint="eastAsia" w:hAnsi="宋体" w:eastAsia="宋体" w:cs="宋体"/>
                <w:color w:val="auto"/>
                <w:sz w:val="21"/>
                <w:szCs w:val="21"/>
                <w:highlight w:val="none"/>
              </w:rPr>
              <w:t>投标报价</w:t>
            </w:r>
            <w:r>
              <w:rPr>
                <w:rFonts w:hint="eastAsia" w:hAnsi="宋体" w:cs="宋体"/>
                <w:color w:val="auto"/>
                <w:sz w:val="21"/>
                <w:szCs w:val="21"/>
                <w:highlight w:val="none"/>
                <w:lang w:eastAsia="zh-CN"/>
              </w:rPr>
              <w:t>（</w:t>
            </w:r>
            <w:r>
              <w:rPr>
                <w:rFonts w:hint="eastAsia" w:hAnsi="宋体" w:cs="宋体"/>
                <w:color w:val="auto"/>
                <w:sz w:val="21"/>
                <w:szCs w:val="21"/>
                <w:highlight w:val="none"/>
                <w:lang w:val="en-US" w:eastAsia="zh-CN"/>
              </w:rPr>
              <w:t>单价</w:t>
            </w:r>
            <w:r>
              <w:rPr>
                <w:rFonts w:hint="eastAsia" w:hAnsi="宋体" w:cs="宋体"/>
                <w:color w:val="auto"/>
                <w:sz w:val="21"/>
                <w:szCs w:val="21"/>
                <w:highlight w:val="none"/>
                <w:lang w:eastAsia="zh-CN"/>
              </w:rPr>
              <w:t>）</w:t>
            </w:r>
          </w:p>
        </w:tc>
        <w:tc>
          <w:tcPr>
            <w:tcW w:w="7148" w:type="dxa"/>
            <w:noWrap w:val="0"/>
            <w:vAlign w:val="center"/>
          </w:tcPr>
          <w:p w14:paraId="491372F1">
            <w:pPr>
              <w:shd w:val="clear" w:color="auto"/>
              <w:snapToGrid w:val="0"/>
              <w:spacing w:line="400" w:lineRule="exact"/>
              <w:jc w:val="both"/>
              <w:rPr>
                <w:rFonts w:hint="eastAsia" w:hAnsi="宋体" w:eastAsia="宋体" w:cs="宋体"/>
                <w:color w:val="auto"/>
                <w:sz w:val="21"/>
                <w:szCs w:val="21"/>
                <w:highlight w:val="none"/>
              </w:rPr>
            </w:pPr>
            <w:r>
              <w:rPr>
                <w:rFonts w:hint="eastAsia" w:hAnsi="宋体" w:eastAsia="宋体" w:cs="宋体"/>
                <w:color w:val="auto"/>
                <w:sz w:val="21"/>
                <w:szCs w:val="21"/>
                <w:highlight w:val="none"/>
              </w:rPr>
              <w:t>小写：</w:t>
            </w:r>
            <w:r>
              <w:rPr>
                <w:rFonts w:hint="eastAsia" w:hAnsi="宋体" w:eastAsia="宋体" w:cs="宋体"/>
                <w:color w:val="auto"/>
                <w:sz w:val="21"/>
                <w:szCs w:val="21"/>
                <w:highlight w:val="none"/>
                <w:u w:val="single"/>
              </w:rPr>
              <w:t xml:space="preserve">           </w:t>
            </w:r>
            <w:r>
              <w:rPr>
                <w:rFonts w:hint="eastAsia" w:hAnsi="宋体" w:eastAsia="宋体" w:cs="宋体"/>
                <w:color w:val="auto"/>
                <w:sz w:val="21"/>
                <w:szCs w:val="21"/>
                <w:highlight w:val="none"/>
              </w:rPr>
              <w:t>元</w:t>
            </w:r>
            <w:r>
              <w:rPr>
                <w:rFonts w:hint="eastAsia" w:hAnsi="宋体" w:cs="宋体"/>
                <w:color w:val="auto"/>
                <w:sz w:val="21"/>
                <w:szCs w:val="21"/>
                <w:highlight w:val="none"/>
                <w:lang w:val="en-US" w:eastAsia="zh-CN"/>
              </w:rPr>
              <w:t>/村·次</w:t>
            </w:r>
            <w:r>
              <w:rPr>
                <w:rFonts w:hint="eastAsia" w:hAnsi="宋体" w:eastAsia="宋体" w:cs="宋体"/>
                <w:color w:val="auto"/>
                <w:sz w:val="21"/>
                <w:szCs w:val="21"/>
                <w:highlight w:val="none"/>
              </w:rPr>
              <w:t xml:space="preserve">   </w:t>
            </w:r>
          </w:p>
          <w:p w14:paraId="2E02A659">
            <w:pPr>
              <w:shd w:val="clear" w:color="auto"/>
              <w:snapToGrid w:val="0"/>
              <w:spacing w:line="400" w:lineRule="exact"/>
              <w:jc w:val="both"/>
              <w:rPr>
                <w:rFonts w:hint="eastAsia" w:hAnsi="宋体" w:eastAsia="宋体" w:cs="宋体"/>
                <w:color w:val="auto"/>
                <w:sz w:val="21"/>
                <w:szCs w:val="21"/>
                <w:highlight w:val="none"/>
              </w:rPr>
            </w:pPr>
            <w:r>
              <w:rPr>
                <w:rFonts w:hint="eastAsia" w:hAnsi="宋体" w:eastAsia="宋体" w:cs="宋体"/>
                <w:color w:val="auto"/>
                <w:sz w:val="21"/>
                <w:szCs w:val="21"/>
                <w:highlight w:val="none"/>
              </w:rPr>
              <w:t>大写：人民币</w:t>
            </w:r>
            <w:r>
              <w:rPr>
                <w:rFonts w:hint="eastAsia" w:hAnsi="宋体" w:eastAsia="宋体" w:cs="宋体"/>
                <w:color w:val="auto"/>
                <w:sz w:val="21"/>
                <w:szCs w:val="21"/>
                <w:highlight w:val="none"/>
                <w:u w:val="single"/>
              </w:rPr>
              <w:t xml:space="preserve">          </w:t>
            </w:r>
            <w:r>
              <w:rPr>
                <w:rFonts w:hint="eastAsia" w:hAnsi="宋体" w:eastAsia="宋体" w:cs="宋体"/>
                <w:color w:val="auto"/>
                <w:sz w:val="21"/>
                <w:szCs w:val="21"/>
                <w:highlight w:val="none"/>
              </w:rPr>
              <w:t>元</w:t>
            </w:r>
            <w:r>
              <w:rPr>
                <w:rFonts w:hint="eastAsia" w:hAnsi="宋体" w:cs="宋体"/>
                <w:color w:val="auto"/>
                <w:sz w:val="21"/>
                <w:szCs w:val="21"/>
                <w:highlight w:val="none"/>
                <w:lang w:val="en-US" w:eastAsia="zh-CN"/>
              </w:rPr>
              <w:t>/村·次</w:t>
            </w:r>
            <w:r>
              <w:rPr>
                <w:rFonts w:hint="eastAsia" w:hAnsi="宋体" w:eastAsia="宋体" w:cs="宋体"/>
                <w:color w:val="auto"/>
                <w:sz w:val="21"/>
                <w:szCs w:val="21"/>
                <w:highlight w:val="none"/>
                <w:u w:val="single"/>
              </w:rPr>
              <w:t xml:space="preserve">  </w:t>
            </w:r>
            <w:r>
              <w:rPr>
                <w:rFonts w:hint="eastAsia" w:hAnsi="宋体" w:eastAsia="宋体" w:cs="宋体"/>
                <w:color w:val="auto"/>
                <w:sz w:val="21"/>
                <w:szCs w:val="21"/>
                <w:highlight w:val="none"/>
              </w:rPr>
              <w:t xml:space="preserve">  </w:t>
            </w:r>
          </w:p>
        </w:tc>
      </w:tr>
      <w:tr w14:paraId="39C4FB3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445" w:hRule="atLeast"/>
        </w:trPr>
        <w:tc>
          <w:tcPr>
            <w:tcW w:w="2150" w:type="dxa"/>
            <w:noWrap w:val="0"/>
            <w:vAlign w:val="center"/>
          </w:tcPr>
          <w:p w14:paraId="2BCAFDFA">
            <w:pPr>
              <w:shd w:val="clear" w:color="auto"/>
              <w:snapToGrid w:val="0"/>
              <w:spacing w:line="400" w:lineRule="exact"/>
              <w:jc w:val="center"/>
              <w:rPr>
                <w:rFonts w:hint="eastAsia" w:hAnsi="宋体" w:eastAsia="宋体" w:cs="宋体"/>
                <w:color w:val="auto"/>
                <w:sz w:val="21"/>
                <w:szCs w:val="21"/>
                <w:highlight w:val="none"/>
              </w:rPr>
            </w:pPr>
            <w:r>
              <w:rPr>
                <w:rFonts w:hint="eastAsia" w:hAnsi="宋体" w:eastAsia="宋体" w:cs="宋体"/>
                <w:color w:val="auto"/>
                <w:sz w:val="21"/>
                <w:szCs w:val="21"/>
                <w:highlight w:val="none"/>
              </w:rPr>
              <w:t>报价说明</w:t>
            </w:r>
          </w:p>
        </w:tc>
        <w:tc>
          <w:tcPr>
            <w:tcW w:w="7148" w:type="dxa"/>
            <w:noWrap w:val="0"/>
            <w:vAlign w:val="center"/>
          </w:tcPr>
          <w:p w14:paraId="25C28D0A">
            <w:pPr>
              <w:widowControl/>
              <w:shd w:val="clear" w:color="auto"/>
              <w:snapToGrid w:val="0"/>
              <w:spacing w:line="340" w:lineRule="exact"/>
              <w:jc w:val="both"/>
              <w:rPr>
                <w:rFonts w:hint="eastAsia" w:hAnsi="宋体" w:eastAsia="宋体" w:cs="宋体"/>
                <w:color w:val="auto"/>
                <w:sz w:val="21"/>
                <w:szCs w:val="21"/>
                <w:highlight w:val="none"/>
                <w:u w:val="single"/>
              </w:rPr>
            </w:pPr>
            <w:r>
              <w:rPr>
                <w:rFonts w:hint="eastAsia" w:hAnsi="宋体" w:eastAsia="宋体" w:cs="宋体"/>
                <w:color w:val="auto"/>
                <w:sz w:val="21"/>
                <w:szCs w:val="21"/>
                <w:highlight w:val="none"/>
              </w:rPr>
              <w:t>本投标人已知悉并同意，投标人中标后应根据招标文件中约定的金额向本项目的政府采购代理机构计算支付采购代理服务费，为此，我方已根据财政部财库〔2018〕2号《政府采购代理机构管理暂行办法》的规定并按本次招标的报价要求，将应支付的采购代理服务费包含在上述的项目报价中。</w:t>
            </w:r>
          </w:p>
        </w:tc>
      </w:tr>
    </w:tbl>
    <w:p w14:paraId="5C92D918">
      <w:pPr>
        <w:keepNext w:val="0"/>
        <w:keepLines w:val="0"/>
        <w:pageBreakBefore w:val="0"/>
        <w:widowControl w:val="0"/>
        <w:shd w:val="clear" w:color="auto"/>
        <w:kinsoku/>
        <w:wordWrap/>
        <w:overflowPunct/>
        <w:topLinePunct w:val="0"/>
        <w:autoSpaceDE w:val="0"/>
        <w:autoSpaceDN w:val="0"/>
        <w:bidi w:val="0"/>
        <w:adjustRightInd w:val="0"/>
        <w:snapToGrid w:val="0"/>
        <w:spacing w:line="500" w:lineRule="exact"/>
        <w:ind w:firstLine="420" w:firstLineChars="200"/>
        <w:textAlignment w:val="baseline"/>
        <w:rPr>
          <w:rFonts w:hint="eastAsia" w:ascii="宋体" w:hAnsi="宋体" w:eastAsia="宋体" w:cs="宋体"/>
          <w:b/>
          <w:color w:val="auto"/>
          <w:sz w:val="21"/>
          <w:szCs w:val="21"/>
          <w:highlight w:val="none"/>
        </w:rPr>
      </w:pPr>
      <w:r>
        <w:rPr>
          <w:rFonts w:hint="eastAsia" w:ascii="宋体" w:hAnsi="宋体" w:eastAsia="宋体" w:cs="宋体"/>
          <w:color w:val="auto"/>
          <w:sz w:val="21"/>
          <w:szCs w:val="21"/>
          <w:highlight w:val="none"/>
        </w:rPr>
        <w:t>注：1.报价一经涂改，应在涂改处加盖单位公章或者由法定代表人或授权委托人签字或盖章，否则其投标作无效标处理。</w:t>
      </w:r>
    </w:p>
    <w:p w14:paraId="408A926B">
      <w:pPr>
        <w:keepNext w:val="0"/>
        <w:keepLines w:val="0"/>
        <w:pageBreakBefore w:val="0"/>
        <w:widowControl w:val="0"/>
        <w:shd w:val="clear" w:color="auto"/>
        <w:kinsoku/>
        <w:wordWrap/>
        <w:overflowPunct/>
        <w:topLinePunct w:val="0"/>
        <w:autoSpaceDE w:val="0"/>
        <w:autoSpaceDN w:val="0"/>
        <w:bidi w:val="0"/>
        <w:adjustRightInd w:val="0"/>
        <w:snapToGrid w:val="0"/>
        <w:spacing w:line="500" w:lineRule="exact"/>
        <w:ind w:firstLine="420" w:firstLineChars="200"/>
        <w:rPr>
          <w:rFonts w:hint="eastAsia" w:hAnsi="宋体" w:cs="宋体"/>
          <w:b/>
          <w:color w:val="auto"/>
          <w:sz w:val="21"/>
          <w:szCs w:val="21"/>
          <w:highlight w:val="none"/>
        </w:rPr>
      </w:pPr>
      <w:r>
        <w:rPr>
          <w:rFonts w:hint="eastAsia" w:ascii="宋体" w:hAnsi="宋体" w:eastAsia="宋体" w:cs="宋体"/>
          <w:b w:val="0"/>
          <w:bCs w:val="0"/>
          <w:color w:val="auto"/>
          <w:sz w:val="21"/>
          <w:szCs w:val="21"/>
          <w:highlight w:val="none"/>
          <w:lang w:val="en-US" w:eastAsia="zh-CN"/>
        </w:rPr>
        <w:t>2.投标人不得进行影响服务质量或者诚信履约的恶意报价。</w:t>
      </w:r>
      <w:r>
        <w:rPr>
          <w:rFonts w:hint="eastAsia" w:ascii="宋体" w:hAnsi="宋体" w:eastAsia="宋体" w:cs="宋体"/>
          <w:b w:val="0"/>
          <w:bCs w:val="0"/>
          <w:color w:val="auto"/>
          <w:sz w:val="21"/>
          <w:szCs w:val="21"/>
          <w:highlight w:val="none"/>
          <w:u w:val="none"/>
          <w:lang w:val="en-US" w:eastAsia="zh-CN"/>
        </w:rPr>
        <w:t>投标人报价低于项目预算50%的，应当详细阐述不影响产品（或服务、工程）质量或者诚信履约的具体原因如下</w:t>
      </w:r>
      <w:r>
        <w:rPr>
          <w:rFonts w:hint="eastAsia" w:ascii="宋体" w:hAnsi="宋体" w:eastAsia="宋体" w:cs="宋体"/>
          <w:b/>
          <w:bCs/>
          <w:color w:val="auto"/>
          <w:sz w:val="21"/>
          <w:szCs w:val="21"/>
          <w:highlight w:val="none"/>
          <w:u w:val="single"/>
          <w:lang w:val="en-US" w:eastAsia="zh-CN"/>
        </w:rPr>
        <w:t xml:space="preserve">：                                                              </w:t>
      </w:r>
      <w:r>
        <w:rPr>
          <w:rFonts w:hint="eastAsia" w:ascii="宋体" w:hAnsi="宋体" w:eastAsia="宋体" w:cs="宋体"/>
          <w:color w:val="auto"/>
          <w:sz w:val="21"/>
          <w:szCs w:val="21"/>
          <w:highlight w:val="none"/>
          <w:lang w:val="en-US" w:eastAsia="zh-CN"/>
        </w:rPr>
        <w:t>。</w:t>
      </w:r>
    </w:p>
    <w:p w14:paraId="4FD8E6A4">
      <w:pPr>
        <w:shd w:val="clear" w:color="auto"/>
        <w:snapToGrid w:val="0"/>
        <w:spacing w:line="500" w:lineRule="exact"/>
        <w:ind w:firstLine="420" w:firstLineChars="200"/>
        <w:rPr>
          <w:rFonts w:hint="eastAsia" w:hAnsi="宋体" w:cs="宋体"/>
          <w:color w:val="auto"/>
          <w:sz w:val="21"/>
          <w:szCs w:val="21"/>
          <w:highlight w:val="none"/>
        </w:rPr>
      </w:pPr>
      <w:r>
        <w:rPr>
          <w:rFonts w:hint="eastAsia" w:hAnsi="宋体" w:cs="宋体"/>
          <w:color w:val="auto"/>
          <w:sz w:val="21"/>
          <w:szCs w:val="21"/>
          <w:highlight w:val="none"/>
        </w:rPr>
        <w:t>法定代表人或授权代表（签字或盖章）：</w:t>
      </w:r>
    </w:p>
    <w:p w14:paraId="7817FBBB">
      <w:pPr>
        <w:shd w:val="clear" w:color="auto"/>
        <w:snapToGrid w:val="0"/>
        <w:spacing w:line="500" w:lineRule="exact"/>
        <w:ind w:firstLine="420" w:firstLineChars="200"/>
        <w:rPr>
          <w:rFonts w:hint="eastAsia" w:hAnsi="宋体" w:cs="宋体"/>
          <w:color w:val="auto"/>
          <w:sz w:val="21"/>
          <w:szCs w:val="21"/>
          <w:highlight w:val="none"/>
        </w:rPr>
      </w:pPr>
      <w:r>
        <w:rPr>
          <w:rFonts w:hint="eastAsia" w:hAnsi="宋体" w:cs="宋体"/>
          <w:color w:val="auto"/>
          <w:sz w:val="21"/>
          <w:szCs w:val="21"/>
          <w:highlight w:val="none"/>
        </w:rPr>
        <w:t xml:space="preserve">投标人（或联合体投标人的牵头单位）名称（盖章）：                                             </w:t>
      </w:r>
    </w:p>
    <w:p w14:paraId="13B438D4">
      <w:pPr>
        <w:widowControl/>
        <w:shd w:val="clear" w:color="auto"/>
        <w:snapToGrid w:val="0"/>
        <w:spacing w:line="500" w:lineRule="exact"/>
        <w:ind w:firstLine="420" w:firstLineChars="200"/>
        <w:rPr>
          <w:rFonts w:hint="eastAsia" w:hAnsi="宋体" w:cs="宋体"/>
          <w:color w:val="auto"/>
          <w:sz w:val="21"/>
          <w:szCs w:val="21"/>
          <w:highlight w:val="none"/>
        </w:rPr>
      </w:pPr>
      <w:r>
        <w:rPr>
          <w:rFonts w:hint="eastAsia" w:hAnsi="宋体" w:cs="宋体"/>
          <w:color w:val="auto"/>
          <w:sz w:val="21"/>
          <w:szCs w:val="21"/>
          <w:highlight w:val="none"/>
        </w:rPr>
        <w:t>日期：   年   月    日</w:t>
      </w:r>
      <w:bookmarkEnd w:id="75"/>
    </w:p>
    <w:p w14:paraId="7E5A2639">
      <w:pPr>
        <w:shd w:val="clear" w:color="auto"/>
        <w:snapToGrid w:val="0"/>
        <w:spacing w:line="360" w:lineRule="auto"/>
        <w:ind w:right="480"/>
        <w:jc w:val="center"/>
        <w:rPr>
          <w:rFonts w:hint="eastAsia" w:hAnsi="宋体" w:cs="宋体"/>
          <w:b/>
          <w:color w:val="auto"/>
          <w:sz w:val="21"/>
          <w:szCs w:val="21"/>
          <w:highlight w:val="none"/>
        </w:rPr>
      </w:pPr>
    </w:p>
    <w:p w14:paraId="437B9ECF">
      <w:pPr>
        <w:shd w:val="clear"/>
        <w:rPr>
          <w:rFonts w:hint="eastAsia" w:hAnsi="宋体" w:cs="宋体"/>
          <w:color w:val="auto"/>
          <w:highlight w:val="none"/>
        </w:rPr>
      </w:pPr>
    </w:p>
    <w:sectPr>
      <w:footerReference r:id="rId12" w:type="default"/>
      <w:pgSz w:w="11906" w:h="16838"/>
      <w:pgMar w:top="1440" w:right="1080" w:bottom="1440" w:left="1080" w:header="850" w:footer="850" w:gutter="0"/>
      <w:cols w:space="720" w:num="1"/>
      <w:docGrid w:type="lines" w:linePitch="634"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34"/>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Helvetica">
    <w:altName w:val="Arial"/>
    <w:panose1 w:val="020B0604020202020204"/>
    <w:charset w:val="00"/>
    <w:family w:val="swiss"/>
    <w:pitch w:val="default"/>
    <w:sig w:usb0="00000000" w:usb1="00000000" w:usb2="00000000" w:usb3="00000000" w:csb0="00000001" w:csb1="00000000"/>
  </w:font>
  <w:font w:name="Arial Unicode MS">
    <w:altName w:val="宋体"/>
    <w:panose1 w:val="020B0604020202020204"/>
    <w:charset w:val="86"/>
    <w:family w:val="auto"/>
    <w:pitch w:val="default"/>
    <w:sig w:usb0="00000000" w:usb1="00000000" w:usb2="0000003F" w:usb3="00000000" w:csb0="603F01FF" w:csb1="FFFF0000"/>
  </w:font>
  <w:font w:name="Tahoma">
    <w:panose1 w:val="020B0604030504040204"/>
    <w:charset w:val="00"/>
    <w:family w:val="swiss"/>
    <w:pitch w:val="default"/>
    <w:sig w:usb0="E1002EFF" w:usb1="C000605B" w:usb2="00000029" w:usb3="00000000" w:csb0="200101FF" w:csb1="20280000"/>
  </w:font>
  <w:font w:name="Times">
    <w:altName w:val="Times New Roman"/>
    <w:panose1 w:val="02020603050405020304"/>
    <w:charset w:val="00"/>
    <w:family w:val="roman"/>
    <w:pitch w:val="default"/>
    <w:sig w:usb0="00000000" w:usb1="00000000" w:usb2="00000009" w:usb3="00000000" w:csb0="000001FF" w:csb1="00000000"/>
  </w:font>
  <w:font w:name="Courier">
    <w:altName w:val="Courier New"/>
    <w:panose1 w:val="02070409020205020404"/>
    <w:charset w:val="00"/>
    <w:family w:val="modern"/>
    <w:pitch w:val="default"/>
    <w:sig w:usb0="00000000" w:usb1="00000000" w:usb2="00000000" w:usb3="00000000" w:csb0="00000001" w:csb1="00000000"/>
  </w:font>
  <w:font w:name="MingLiU">
    <w:altName w:val="PMingLiU-ExtB"/>
    <w:panose1 w:val="02020509000000000000"/>
    <w:charset w:val="88"/>
    <w:family w:val="modern"/>
    <w:pitch w:val="default"/>
    <w:sig w:usb0="00000000" w:usb1="00000000" w:usb2="00000016" w:usb3="00000000" w:csb0="00100001" w:csb1="00000000"/>
  </w:font>
  <w:font w:name="PMingLiU-ExtB">
    <w:panose1 w:val="02020500000000000000"/>
    <w:charset w:val="88"/>
    <w:family w:val="auto"/>
    <w:pitch w:val="default"/>
    <w:sig w:usb0="8000002F" w:usb1="02000008" w:usb2="00000000" w:usb3="00000000" w:csb0="00100001" w:csb1="00000000"/>
  </w:font>
  <w:font w:name="Book Antiqua">
    <w:panose1 w:val="02040602050305030304"/>
    <w:charset w:val="00"/>
    <w:family w:val="roman"/>
    <w:pitch w:val="default"/>
    <w:sig w:usb0="00000287" w:usb1="00000000" w:usb2="00000000" w:usb3="00000000" w:csb0="2000009F" w:csb1="DFD70000"/>
  </w:font>
  <w:font w:name="汉仪仿宋简">
    <w:altName w:val="仿宋"/>
    <w:panose1 w:val="02010600000101010101"/>
    <w:charset w:val="86"/>
    <w:family w:val="modern"/>
    <w:pitch w:val="default"/>
    <w:sig w:usb0="00000000" w:usb1="00000000" w:usb2="00000002" w:usb3="00000000" w:csb0="00040000" w:csb1="00000000"/>
  </w:font>
  <w:font w:name="PMingLiU">
    <w:altName w:val="PMingLiU-ExtB"/>
    <w:panose1 w:val="02020500000000000000"/>
    <w:charset w:val="88"/>
    <w:family w:val="auto"/>
    <w:pitch w:val="default"/>
    <w:sig w:usb0="00000000" w:usb1="00000000" w:usb2="00000016" w:usb3="00000000" w:csb0="00100001" w:csb1="0000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6506BF8">
    <w:pPr>
      <w:pStyle w:val="32"/>
      <w:ind w:right="360"/>
      <w:rPr>
        <w:rStyle w:val="52"/>
        <w:rFonts w:hint="eastAsia"/>
      </w:rPr>
    </w:pPr>
  </w:p>
  <w:p w14:paraId="19179827">
    <w:pPr>
      <w:pStyle w:val="32"/>
      <w:framePr w:wrap="around" w:vAnchor="text" w:hAnchor="page" w:x="15730" w:y="74"/>
      <w:ind w:right="360"/>
      <w:rPr>
        <w:rStyle w:val="52"/>
        <w:rFonts w:hint="eastAsia"/>
      </w:rPr>
    </w:pPr>
  </w:p>
  <w:p w14:paraId="14182267">
    <w:pPr>
      <w:pStyle w:val="32"/>
      <w:ind w:right="360"/>
      <w:rPr>
        <w:rFonts w:hint="eastAsia"/>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7B18D7C">
    <w:pPr>
      <w:pStyle w:val="32"/>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E0B4283">
    <w:pPr>
      <w:pStyle w:val="32"/>
      <w:ind w:right="360"/>
      <w:rPr>
        <w:rStyle w:val="52"/>
        <w:rFonts w:hint="eastAsia"/>
      </w:rPr>
    </w:pPr>
    <w: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309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563BBAEA">
                          <w:pPr>
                            <w:pStyle w:val="32"/>
                          </w:pPr>
                          <w:r>
                            <w:fldChar w:fldCharType="begin"/>
                          </w:r>
                          <w:r>
                            <w:instrText xml:space="preserve"> PAGE  \* MERGEFORMAT </w:instrText>
                          </w:r>
                          <w:r>
                            <w:fldChar w:fldCharType="separate"/>
                          </w:r>
                          <w:r>
                            <w:t>22</w:t>
                          </w:r>
                          <w:r>
                            <w:fldChar w:fldCharType="end"/>
                          </w:r>
                        </w:p>
                      </w:txbxContent>
                    </wps:txbx>
                    <wps:bodyPr wrap="none" lIns="0" tIns="0" rIns="0" bIns="0" upright="0">
                      <a:spAutoFit/>
                    </wps:bodyPr>
                  </wps:wsp>
                </a:graphicData>
              </a:graphic>
            </wp:anchor>
          </w:drawing>
        </mc:Choice>
        <mc:Fallback>
          <w:pict>
            <v:shape id="文本框 3099"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">
              <v:fill on="f" focussize="0,0"/>
              <v:stroke on="f"/>
              <v:imagedata o:title=""/>
              <o:lock v:ext="edit" aspectratio="f"/>
              <v:textbox inset="0mm,0mm,0mm,0mm" style="mso-fit-shape-to-text:t;">
                <w:txbxContent>
                  <w:p w14:paraId="563BBAEA">
                    <w:pPr>
                      <w:pStyle w:val="32"/>
                    </w:pPr>
                    <w:r>
                      <w:fldChar w:fldCharType="begin"/>
                    </w:r>
                    <w:r>
                      <w:instrText xml:space="preserve"> PAGE  \* MERGEFORMAT </w:instrText>
                    </w:r>
                    <w:r>
                      <w:fldChar w:fldCharType="separate"/>
                    </w:r>
                    <w:r>
                      <w:t>22</w:t>
                    </w:r>
                    <w:r>
                      <w:fldChar w:fldCharType="end"/>
                    </w:r>
                  </w:p>
                </w:txbxContent>
              </v:textbox>
            </v:shape>
          </w:pict>
        </mc:Fallback>
      </mc:AlternateContent>
    </w:r>
  </w:p>
  <w:p w14:paraId="4B1C305C">
    <w:pPr>
      <w:pStyle w:val="32"/>
      <w:framePr w:wrap="around" w:vAnchor="text" w:hAnchor="page" w:x="15730" w:y="74"/>
      <w:ind w:right="360"/>
      <w:rPr>
        <w:rStyle w:val="52"/>
        <w:rFonts w:hint="eastAsia"/>
      </w:rPr>
    </w:pPr>
  </w:p>
  <w:p w14:paraId="7ECCF96A">
    <w:pPr>
      <w:pStyle w:val="32"/>
      <w:ind w:right="360"/>
      <w:rPr>
        <w:rFonts w:hint="eastAsia"/>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0948B86">
    <w:pPr>
      <w:pStyle w:val="32"/>
    </w:pPr>
    <w: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9525">
                        <a:noFill/>
                      </a:ln>
                      <a:effectLst/>
                    </wps:spPr>
                    <wps:txbx>
                      <w:txbxContent>
                        <w:p w14:paraId="2097D753">
                          <w:pPr>
                            <w:pStyle w:val="32"/>
                          </w:pPr>
                          <w:r>
                            <w:fldChar w:fldCharType="begin"/>
                          </w:r>
                          <w:r>
                            <w:instrText xml:space="preserve"> PAGE  \* MERGEFORMAT </w:instrText>
                          </w:r>
                          <w:r>
                            <w:fldChar w:fldCharType="separate"/>
                          </w:r>
                          <w:r>
                            <w:t>2</w:t>
                          </w:r>
                          <w:r>
                            <w:fldChar w:fldCharType="end"/>
                          </w:r>
                        </w:p>
                      </w:txbxContent>
                    </wps:txbx>
                    <wps:bodyPr wrap="none" lIns="0" tIns="0" rIns="0" bIns="0" upright="0">
                      <a:spAutoFit/>
                    </wps:bodyPr>
                  </wps:wsp>
                </a:graphicData>
              </a:graphic>
            </wp:anchor>
          </w:drawing>
        </mc:Choice>
        <mc:Fallback>
          <w:pict>
            <v:shape id="文本框 27"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">
              <v:fill on="f" focussize="0,0"/>
              <v:stroke on="f"/>
              <v:imagedata o:title=""/>
              <o:lock v:ext="edit" aspectratio="f"/>
              <v:textbox inset="0mm,0mm,0mm,0mm" style="mso-fit-shape-to-text:t;">
                <w:txbxContent>
                  <w:p w14:paraId="2097D753">
                    <w:pPr>
                      <w:pStyle w:val="32"/>
                    </w:pPr>
                    <w:r>
                      <w:fldChar w:fldCharType="begin"/>
                    </w:r>
                    <w:r>
                      <w:instrText xml:space="preserve"> PAGE  \* MERGEFORMAT </w:instrText>
                    </w:r>
                    <w:r>
                      <w:fldChar w:fldCharType="separate"/>
                    </w:r>
                    <w:r>
                      <w:t>2</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A575136">
    <w:pPr>
      <w:pStyle w:val="32"/>
      <w:ind w:right="360"/>
      <w:rPr>
        <w:rStyle w:val="52"/>
        <w:rFonts w:hint="eastAsia"/>
      </w:rPr>
    </w:pPr>
    <w: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10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4A217DAD">
                          <w:pPr>
                            <w:pStyle w:val="32"/>
                          </w:pPr>
                          <w:r>
                            <w:fldChar w:fldCharType="begin"/>
                          </w:r>
                          <w:r>
                            <w:instrText xml:space="preserve"> PAGE  \* MERGEFORMAT </w:instrText>
                          </w:r>
                          <w:r>
                            <w:fldChar w:fldCharType="separate"/>
                          </w:r>
                          <w:r>
                            <w:t>50</w:t>
                          </w:r>
                          <w:r>
                            <w:fldChar w:fldCharType="end"/>
                          </w:r>
                        </w:p>
                      </w:txbxContent>
                    </wps:txbx>
                    <wps:bodyPr wrap="none" lIns="0" tIns="0" rIns="0" bIns="0" upright="0">
                      <a:spAutoFit/>
                    </wps:bodyPr>
                  </wps:wsp>
                </a:graphicData>
              </a:graphic>
            </wp:anchor>
          </w:drawing>
        </mc:Choice>
        <mc:Fallback>
          <w:pict>
            <v:shape id="文本框 3100"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">
              <v:fill on="f" focussize="0,0"/>
              <v:stroke on="f"/>
              <v:imagedata o:title=""/>
              <o:lock v:ext="edit" aspectratio="f"/>
              <v:textbox inset="0mm,0mm,0mm,0mm" style="mso-fit-shape-to-text:t;">
                <w:txbxContent>
                  <w:p w14:paraId="4A217DAD">
                    <w:pPr>
                      <w:pStyle w:val="32"/>
                    </w:pPr>
                    <w:r>
                      <w:fldChar w:fldCharType="begin"/>
                    </w:r>
                    <w:r>
                      <w:instrText xml:space="preserve"> PAGE  \* MERGEFORMAT </w:instrText>
                    </w:r>
                    <w:r>
                      <w:fldChar w:fldCharType="separate"/>
                    </w:r>
                    <w:r>
                      <w:t>50</w:t>
                    </w:r>
                    <w:r>
                      <w:fldChar w:fldCharType="end"/>
                    </w:r>
                  </w:p>
                </w:txbxContent>
              </v:textbox>
            </v:shape>
          </w:pict>
        </mc:Fallback>
      </mc:AlternateContent>
    </w:r>
  </w:p>
  <w:p w14:paraId="4ECFC15C">
    <w:pPr>
      <w:pStyle w:val="32"/>
      <w:framePr w:wrap="around" w:vAnchor="text" w:hAnchor="page" w:x="15730" w:y="74"/>
      <w:ind w:right="360"/>
      <w:rPr>
        <w:rStyle w:val="52"/>
        <w:rFonts w:hint="eastAsia"/>
      </w:rPr>
    </w:pPr>
  </w:p>
  <w:p w14:paraId="594BA6A6">
    <w:pPr>
      <w:pStyle w:val="32"/>
      <w:ind w:right="360"/>
      <w:rPr>
        <w:rFonts w:hint="eastAsia"/>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AF4554E">
    <w:pPr>
      <w:pStyle w:val="32"/>
      <w:ind w:right="360"/>
      <w:rPr>
        <w:rStyle w:val="52"/>
        <w:rFonts w:hint="eastAsia"/>
      </w:rPr>
    </w:pPr>
    <w: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310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4EE5931A">
                          <w:pPr>
                            <w:pStyle w:val="32"/>
                          </w:pPr>
                          <w:r>
                            <w:fldChar w:fldCharType="begin"/>
                          </w:r>
                          <w:r>
                            <w:instrText xml:space="preserve"> PAGE  \* MERGEFORMAT </w:instrText>
                          </w:r>
                          <w:r>
                            <w:fldChar w:fldCharType="separate"/>
                          </w:r>
                          <w:r>
                            <w:t>62</w:t>
                          </w:r>
                          <w:r>
                            <w:fldChar w:fldCharType="end"/>
                          </w:r>
                        </w:p>
                      </w:txbxContent>
                    </wps:txbx>
                    <wps:bodyPr wrap="none" lIns="0" tIns="0" rIns="0" bIns="0" upright="0">
                      <a:spAutoFit/>
                    </wps:bodyPr>
                  </wps:wsp>
                </a:graphicData>
              </a:graphic>
            </wp:anchor>
          </w:drawing>
        </mc:Choice>
        <mc:Fallback>
          <w:pict>
            <v:shape id="文本框 3101"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">
              <v:fill on="f" focussize="0,0"/>
              <v:stroke on="f"/>
              <v:imagedata o:title=""/>
              <o:lock v:ext="edit" aspectratio="f"/>
              <v:textbox inset="0mm,0mm,0mm,0mm" style="mso-fit-shape-to-text:t;">
                <w:txbxContent>
                  <w:p w14:paraId="4EE5931A">
                    <w:pPr>
                      <w:pStyle w:val="32"/>
                    </w:pPr>
                    <w:r>
                      <w:fldChar w:fldCharType="begin"/>
                    </w:r>
                    <w:r>
                      <w:instrText xml:space="preserve"> PAGE  \* MERGEFORMAT </w:instrText>
                    </w:r>
                    <w:r>
                      <w:fldChar w:fldCharType="separate"/>
                    </w:r>
                    <w:r>
                      <w:t>62</w:t>
                    </w:r>
                    <w:r>
                      <w:fldChar w:fldCharType="end"/>
                    </w:r>
                  </w:p>
                </w:txbxContent>
              </v:textbox>
            </v:shape>
          </w:pict>
        </mc:Fallback>
      </mc:AlternateContent>
    </w:r>
  </w:p>
  <w:p w14:paraId="796EE587">
    <w:pPr>
      <w:pStyle w:val="32"/>
      <w:framePr w:wrap="around" w:vAnchor="text" w:hAnchor="page" w:x="15730" w:y="74"/>
      <w:ind w:right="360"/>
      <w:rPr>
        <w:rStyle w:val="52"/>
        <w:rFonts w:hint="eastAsia"/>
      </w:rPr>
    </w:pPr>
  </w:p>
  <w:p w14:paraId="0B1EA944">
    <w:pPr>
      <w:pStyle w:val="32"/>
      <w:ind w:right="360"/>
      <w:rPr>
        <w:rFonts w:hint="eastAsia"/>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12586BF">
    <w:pPr>
      <w:pStyle w:val="32"/>
      <w:ind w:right="360"/>
      <w:rPr>
        <w:rStyle w:val="52"/>
        <w:rFonts w:hint="eastAsia"/>
      </w:rPr>
    </w:pPr>
    <w: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310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2580CF35">
                          <w:pPr>
                            <w:pStyle w:val="32"/>
                          </w:pPr>
                          <w:r>
                            <w:fldChar w:fldCharType="begin"/>
                          </w:r>
                          <w:r>
                            <w:instrText xml:space="preserve"> PAGE  \* MERGEFORMAT </w:instrText>
                          </w:r>
                          <w:r>
                            <w:fldChar w:fldCharType="separate"/>
                          </w:r>
                          <w:r>
                            <w:t>68</w:t>
                          </w:r>
                          <w:r>
                            <w:fldChar w:fldCharType="end"/>
                          </w:r>
                        </w:p>
                      </w:txbxContent>
                    </wps:txbx>
                    <wps:bodyPr wrap="none" lIns="0" tIns="0" rIns="0" bIns="0" upright="0">
                      <a:spAutoFit/>
                    </wps:bodyPr>
                  </wps:wsp>
                </a:graphicData>
              </a:graphic>
            </wp:anchor>
          </w:drawing>
        </mc:Choice>
        <mc:Fallback>
          <w:pict>
            <v:shape id="文本框 3102"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">
              <v:fill on="f" focussize="0,0"/>
              <v:stroke on="f"/>
              <v:imagedata o:title=""/>
              <o:lock v:ext="edit" aspectratio="f"/>
              <v:textbox inset="0mm,0mm,0mm,0mm" style="mso-fit-shape-to-text:t;">
                <w:txbxContent>
                  <w:p w14:paraId="2580CF35">
                    <w:pPr>
                      <w:pStyle w:val="32"/>
                    </w:pPr>
                    <w:r>
                      <w:fldChar w:fldCharType="begin"/>
                    </w:r>
                    <w:r>
                      <w:instrText xml:space="preserve"> PAGE  \* MERGEFORMAT </w:instrText>
                    </w:r>
                    <w:r>
                      <w:fldChar w:fldCharType="separate"/>
                    </w:r>
                    <w:r>
                      <w:t>68</w:t>
                    </w:r>
                    <w:r>
                      <w:fldChar w:fldCharType="end"/>
                    </w:r>
                  </w:p>
                </w:txbxContent>
              </v:textbox>
            </v:shape>
          </w:pict>
        </mc:Fallback>
      </mc:AlternateContent>
    </w:r>
  </w:p>
  <w:p w14:paraId="00E785F4">
    <w:pPr>
      <w:pStyle w:val="32"/>
      <w:framePr w:wrap="around" w:vAnchor="text" w:hAnchor="page" w:x="15730" w:y="74"/>
      <w:ind w:right="360"/>
      <w:rPr>
        <w:rStyle w:val="52"/>
        <w:rFonts w:hint="eastAsia"/>
      </w:rPr>
    </w:pPr>
  </w:p>
  <w:p w14:paraId="279CB868">
    <w:pPr>
      <w:pStyle w:val="32"/>
      <w:ind w:right="360"/>
      <w:rPr>
        <w:rFonts w:hint="eastAsia"/>
      </w:rP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5DCFA03">
    <w:pPr>
      <w:pStyle w:val="33"/>
      <w:pBdr>
        <w:bottom w:val="single" w:color="auto" w:sz="6" w:space="0"/>
      </w:pBdr>
      <w:rPr>
        <w:rFonts w:hint="eastAsia"/>
      </w:rPr>
    </w:pPr>
    <w:r>
      <w:rPr>
        <w:rFonts w:hint="eastAsia"/>
      </w:rPr>
      <w:t>金华市天盈招标代理有限公司</w:t>
    </w:r>
  </w:p>
  <w:p w14:paraId="43249769">
    <w:pPr>
      <w:pStyle w:val="33"/>
      <w:pBdr>
        <w:bottom w:val="single" w:color="auto" w:sz="6" w:space="0"/>
      </w:pBdr>
      <w:rPr>
        <w:rFonts w:hint="eastAsia" w:eastAsia="宋体"/>
        <w:color w:val="000000"/>
        <w:lang w:eastAsia="zh-CN"/>
      </w:rPr>
    </w:pPr>
    <w:r>
      <w:pict>
        <v:shape id="PowerPlusWaterMarkObject40490" o:spid="_x0000_s4097" o:spt="136" type="#_x0000_t136" style="position:absolute;left:0pt;height:57.6pt;width:529.65pt;mso-position-horizontal:center;mso-position-horizontal-relative:margin;mso-position-vertical:center;mso-position-vertical-relative:margin;rotation:-2949120f;z-index:-251657216;mso-width-relative:page;mso-height-relative:page;" fillcolor="#C0C0C0" filled="t" stroked="f" coordsize="21600,21600" adj="10800">
          <v:path/>
          <v:fill on="t" color2="#FFFFFF" opacity="32768f" focussize="0,0"/>
          <v:stroke on="f"/>
          <v:imagedata o:title=""/>
          <o:lock v:ext="edit" aspectratio="t"/>
          <v:textpath on="t" fitshape="t" fitpath="t" trim="t" xscale="f" string="金华市天盈招标代理有限公司" style="font-family:宋体;font-size:36pt;v-same-letter-heights:f;v-text-align:center;"/>
        </v:shape>
      </w:pict>
    </w:r>
    <w:r>
      <w:rPr>
        <w:rFonts w:hint="eastAsia"/>
      </w:rPr>
      <w:t>项目编号：</w:t>
    </w:r>
    <w:r>
      <w:rPr>
        <w:rFonts w:hint="eastAsia"/>
        <w:lang w:eastAsia="zh-CN"/>
      </w:rPr>
      <w:t>TY2025-FW038-ZFCG038-1</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6E73383">
    <w:pPr>
      <w:pStyle w:val="33"/>
      <w:pBdr>
        <w:bottom w:val="single" w:color="auto" w:sz="6" w:space="0"/>
      </w:pBdr>
      <w:rPr>
        <w:rFonts w:hint="eastAsia"/>
      </w:rPr>
    </w:pPr>
    <w:r>
      <w:rPr>
        <w:rFonts w:hint="eastAsia"/>
      </w:rPr>
      <w:t>金华市天盈招标代理有限公司</w:t>
    </w:r>
  </w:p>
  <w:p w14:paraId="2902BF0F">
    <w:pPr>
      <w:pStyle w:val="33"/>
      <w:pBdr>
        <w:bottom w:val="single" w:color="auto" w:sz="6" w:space="0"/>
      </w:pBdr>
      <w:rPr>
        <w:rFonts w:hint="eastAsia" w:eastAsia="宋体"/>
        <w:lang w:eastAsia="zh-CN"/>
      </w:rPr>
    </w:pPr>
    <w:r>
      <w:rPr>
        <w:rFonts w:hint="eastAsia"/>
      </w:rPr>
      <w:t>项目编号：</w:t>
    </w:r>
    <w:r>
      <w:rPr>
        <w:rFonts w:hint="eastAsia"/>
        <w:lang w:eastAsia="zh-CN"/>
      </w:rPr>
      <w:t>TY2025-FW038-ZFCG038-1</w:t>
    </w:r>
  </w:p>
  <w:p w14:paraId="42132E24">
    <w:pPr>
      <w:pStyle w:val="33"/>
      <w:pBdr>
        <w:bottom w:val="none" w:color="auto" w:sz="0" w:space="0"/>
      </w:pBdr>
    </w:pPr>
    <w:r>
      <w:pict>
        <v:shape id="_x0000_s4099" o:spid="_x0000_s4099" o:spt="136" type="#_x0000_t136" style="position:absolute;left:0pt;height:57.6pt;width:529.65pt;mso-position-horizontal:center;mso-position-horizontal-relative:margin;mso-position-vertical:center;mso-position-vertical-relative:margin;rotation:-2949120f;z-index:-251656192;mso-width-relative:page;mso-height-relative:page;" fillcolor="#C0C0C0" filled="t" stroked="f" coordsize="21600,21600" adj="10800">
          <v:path/>
          <v:fill on="t" color2="#FFFFFF" opacity="32768f" focussize="0,0"/>
          <v:stroke on="f"/>
          <v:imagedata o:title=""/>
          <o:lock v:ext="edit" aspectratio="t"/>
          <v:textpath on="t" fitshape="t" fitpath="t" trim="t" xscale="f" string="金华市天盈招标代理有限公司" style="font-family:宋体;font-size:36pt;v-same-letter-heights:f;v-text-align:center;"/>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E02811F">
    <w:pPr>
      <w:pStyle w:val="33"/>
      <w:pBdr>
        <w:bottom w:val="single" w:color="auto" w:sz="6" w:space="0"/>
      </w:pBdr>
      <w:rPr>
        <w:rFonts w:hint="eastAsia"/>
      </w:rPr>
    </w:pPr>
    <w:r>
      <w:rPr>
        <w:rFonts w:hint="eastAsia"/>
      </w:rPr>
      <w:t>金华市天盈招标代理有限公司</w:t>
    </w:r>
  </w:p>
  <w:p w14:paraId="1CC9235F">
    <w:pPr>
      <w:pStyle w:val="33"/>
      <w:pBdr>
        <w:bottom w:val="single" w:color="auto" w:sz="6" w:space="0"/>
      </w:pBdr>
      <w:rPr>
        <w:rFonts w:hint="eastAsia" w:eastAsia="宋体"/>
        <w:lang w:eastAsia="zh-CN"/>
      </w:rPr>
    </w:pPr>
    <w:r>
      <w:pict>
        <v:shape id="_x0000_s4098" o:spid="_x0000_s4098" o:spt="136" type="#_x0000_t136" style="position:absolute;left:0pt;height:57.6pt;width:529.65pt;mso-position-horizontal:center;mso-position-horizontal-relative:margin;mso-position-vertical:center;mso-position-vertical-relative:margin;rotation:-2949120f;z-index:-251655168;mso-width-relative:page;mso-height-relative:page;" fillcolor="#C0C0C0" filled="t" stroked="f" coordsize="21600,21600" adj="10800">
          <v:path/>
          <v:fill on="t" color2="#FFFFFF" opacity="32768f" focussize="0,0"/>
          <v:stroke on="f"/>
          <v:imagedata o:title=""/>
          <o:lock v:ext="edit" aspectratio="t"/>
          <v:textpath on="t" fitshape="t" fitpath="t" trim="t" xscale="f" string="金华市天盈招标代理有限公司" style="font-family:宋体;font-size:36pt;v-same-letter-heights:f;v-text-align:center;"/>
        </v:shape>
      </w:pict>
    </w:r>
    <w:r>
      <w:rPr>
        <w:rFonts w:hint="eastAsia"/>
      </w:rPr>
      <w:t>项目编号：</w:t>
    </w:r>
    <w:r>
      <w:rPr>
        <w:rFonts w:hint="eastAsia"/>
        <w:lang w:eastAsia="zh-CN"/>
      </w:rPr>
      <w:t>TY2025-FW038-ZFCG038-1</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6F59396"/>
    <w:multiLevelType w:val="singleLevel"/>
    <w:tmpl w:val="B6F59396"/>
    <w:lvl w:ilvl="0" w:tentative="0">
      <w:start w:val="2"/>
      <w:numFmt w:val="chineseCounting"/>
      <w:suff w:val="nothing"/>
      <w:lvlText w:val="（%1）"/>
      <w:lvlJc w:val="left"/>
      <w:rPr>
        <w:rFonts w:hint="eastAsia"/>
      </w:rPr>
    </w:lvl>
  </w:abstractNum>
  <w:abstractNum w:abstractNumId="1">
    <w:nsid w:val="1BCB702E"/>
    <w:multiLevelType w:val="multilevel"/>
    <w:tmpl w:val="1BCB702E"/>
    <w:lvl w:ilvl="0" w:tentative="0">
      <w:start w:val="1"/>
      <w:numFmt w:val="chineseCountingThousand"/>
      <w:pStyle w:val="122"/>
      <w:lvlText w:val="%1、"/>
      <w:lvlJc w:val="left"/>
      <w:pPr>
        <w:ind w:left="842" w:hanging="420"/>
      </w:pPr>
      <w:rPr>
        <w:rFonts w:hint="eastAsia"/>
      </w:rPr>
    </w:lvl>
    <w:lvl w:ilvl="1" w:tentative="0">
      <w:start w:val="1"/>
      <w:numFmt w:val="lowerLetter"/>
      <w:lvlText w:val="%2)"/>
      <w:lvlJc w:val="left"/>
      <w:pPr>
        <w:ind w:left="1262" w:hanging="420"/>
      </w:pPr>
    </w:lvl>
    <w:lvl w:ilvl="2" w:tentative="0">
      <w:start w:val="1"/>
      <w:numFmt w:val="lowerRoman"/>
      <w:lvlText w:val="%3."/>
      <w:lvlJc w:val="right"/>
      <w:pPr>
        <w:ind w:left="1682" w:hanging="420"/>
      </w:pPr>
    </w:lvl>
    <w:lvl w:ilvl="3" w:tentative="0">
      <w:start w:val="1"/>
      <w:numFmt w:val="decimal"/>
      <w:lvlText w:val="%4."/>
      <w:lvlJc w:val="left"/>
      <w:pPr>
        <w:ind w:left="2102" w:hanging="420"/>
      </w:pPr>
    </w:lvl>
    <w:lvl w:ilvl="4" w:tentative="0">
      <w:start w:val="1"/>
      <w:numFmt w:val="lowerLetter"/>
      <w:lvlText w:val="%5)"/>
      <w:lvlJc w:val="left"/>
      <w:pPr>
        <w:ind w:left="2522" w:hanging="420"/>
      </w:pPr>
    </w:lvl>
    <w:lvl w:ilvl="5" w:tentative="0">
      <w:start w:val="1"/>
      <w:numFmt w:val="lowerRoman"/>
      <w:lvlText w:val="%6."/>
      <w:lvlJc w:val="right"/>
      <w:pPr>
        <w:ind w:left="2942" w:hanging="420"/>
      </w:pPr>
    </w:lvl>
    <w:lvl w:ilvl="6" w:tentative="0">
      <w:start w:val="1"/>
      <w:numFmt w:val="decimal"/>
      <w:lvlText w:val="%7."/>
      <w:lvlJc w:val="left"/>
      <w:pPr>
        <w:ind w:left="3362" w:hanging="420"/>
      </w:pPr>
    </w:lvl>
    <w:lvl w:ilvl="7" w:tentative="0">
      <w:start w:val="1"/>
      <w:numFmt w:val="lowerLetter"/>
      <w:lvlText w:val="%8)"/>
      <w:lvlJc w:val="left"/>
      <w:pPr>
        <w:ind w:left="3782" w:hanging="420"/>
      </w:pPr>
    </w:lvl>
    <w:lvl w:ilvl="8" w:tentative="0">
      <w:start w:val="1"/>
      <w:numFmt w:val="lowerRoman"/>
      <w:lvlText w:val="%9."/>
      <w:lvlJc w:val="right"/>
      <w:pPr>
        <w:ind w:left="4202" w:hanging="420"/>
      </w:pPr>
    </w:lvl>
  </w:abstractNum>
  <w:abstractNum w:abstractNumId="2">
    <w:nsid w:val="4163285A"/>
    <w:multiLevelType w:val="multilevel"/>
    <w:tmpl w:val="4163285A"/>
    <w:lvl w:ilvl="0" w:tentative="0">
      <w:start w:val="1"/>
      <w:numFmt w:val="chineseCountingThousand"/>
      <w:pStyle w:val="136"/>
      <w:suff w:val="space"/>
      <w:lvlText w:val="%1、"/>
      <w:lvlJc w:val="left"/>
      <w:pPr>
        <w:ind w:left="0" w:firstLine="0"/>
      </w:pPr>
      <w:rPr>
        <w:rFonts w:hint="eastAsia"/>
        <w:sz w:val="24"/>
        <w:szCs w:val="24"/>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3">
    <w:nsid w:val="4B1E5889"/>
    <w:multiLevelType w:val="singleLevel"/>
    <w:tmpl w:val="4B1E5889"/>
    <w:lvl w:ilvl="0" w:tentative="0">
      <w:start w:val="5"/>
      <w:numFmt w:val="chineseCounting"/>
      <w:suff w:val="nothing"/>
      <w:lvlText w:val="%1、"/>
      <w:lvlJc w:val="left"/>
      <w:rPr>
        <w:rFonts w:hint="eastAsia"/>
      </w:rPr>
    </w:lvl>
  </w:abstractNum>
  <w:abstractNum w:abstractNumId="4">
    <w:nsid w:val="5A34E2AA"/>
    <w:multiLevelType w:val="multilevel"/>
    <w:tmpl w:val="5A34E2AA"/>
    <w:lvl w:ilvl="0" w:tentative="0">
      <w:start w:val="1"/>
      <w:numFmt w:val="decimal"/>
      <w:lvlText w:val="%1."/>
      <w:lvlJc w:val="left"/>
      <w:pPr>
        <w:tabs>
          <w:tab w:val="left" w:pos="0"/>
        </w:tabs>
        <w:ind w:left="562" w:hanging="420"/>
      </w:pPr>
    </w:lvl>
    <w:lvl w:ilvl="1" w:tentative="0">
      <w:start w:val="1"/>
      <w:numFmt w:val="decimal"/>
      <w:lvlText w:val="%2."/>
      <w:lvlJc w:val="left"/>
      <w:pPr>
        <w:tabs>
          <w:tab w:val="left" w:pos="1440"/>
        </w:tabs>
        <w:ind w:left="1440" w:hanging="360"/>
      </w:pPr>
    </w:lvl>
    <w:lvl w:ilvl="2" w:tentative="0">
      <w:start w:val="1"/>
      <w:numFmt w:val="decimal"/>
      <w:lvlText w:val="%3."/>
      <w:lvlJc w:val="left"/>
      <w:pPr>
        <w:tabs>
          <w:tab w:val="left" w:pos="2160"/>
        </w:tabs>
        <w:ind w:left="2160" w:hanging="360"/>
      </w:pPr>
    </w:lvl>
    <w:lvl w:ilvl="3" w:tentative="0">
      <w:start w:val="1"/>
      <w:numFmt w:val="decimal"/>
      <w:lvlText w:val="%4."/>
      <w:lvlJc w:val="left"/>
      <w:pPr>
        <w:tabs>
          <w:tab w:val="left" w:pos="2880"/>
        </w:tabs>
        <w:ind w:left="2880" w:hanging="360"/>
      </w:pPr>
    </w:lvl>
    <w:lvl w:ilvl="4" w:tentative="0">
      <w:start w:val="1"/>
      <w:numFmt w:val="decimal"/>
      <w:lvlText w:val="%5."/>
      <w:lvlJc w:val="left"/>
      <w:pPr>
        <w:tabs>
          <w:tab w:val="left" w:pos="3600"/>
        </w:tabs>
        <w:ind w:left="3600" w:hanging="360"/>
      </w:pPr>
    </w:lvl>
    <w:lvl w:ilvl="5" w:tentative="0">
      <w:start w:val="1"/>
      <w:numFmt w:val="decimal"/>
      <w:lvlText w:val="%6."/>
      <w:lvlJc w:val="left"/>
      <w:pPr>
        <w:tabs>
          <w:tab w:val="left" w:pos="4320"/>
        </w:tabs>
        <w:ind w:left="4320" w:hanging="360"/>
      </w:pPr>
    </w:lvl>
    <w:lvl w:ilvl="6" w:tentative="0">
      <w:start w:val="1"/>
      <w:numFmt w:val="decimal"/>
      <w:lvlText w:val="%7."/>
      <w:lvlJc w:val="left"/>
      <w:pPr>
        <w:tabs>
          <w:tab w:val="left" w:pos="5040"/>
        </w:tabs>
        <w:ind w:left="5040" w:hanging="360"/>
      </w:pPr>
    </w:lvl>
    <w:lvl w:ilvl="7" w:tentative="0">
      <w:start w:val="1"/>
      <w:numFmt w:val="decimal"/>
      <w:lvlText w:val="%8."/>
      <w:lvlJc w:val="left"/>
      <w:pPr>
        <w:tabs>
          <w:tab w:val="left" w:pos="5760"/>
        </w:tabs>
        <w:ind w:left="5760" w:hanging="360"/>
      </w:pPr>
    </w:lvl>
    <w:lvl w:ilvl="8" w:tentative="0">
      <w:start w:val="1"/>
      <w:numFmt w:val="decimal"/>
      <w:lvlText w:val="%9."/>
      <w:lvlJc w:val="left"/>
      <w:pPr>
        <w:tabs>
          <w:tab w:val="left" w:pos="6480"/>
        </w:tabs>
        <w:ind w:left="6480" w:hanging="360"/>
      </w:pPr>
    </w:lvl>
  </w:abstractNum>
  <w:num w:numId="1">
    <w:abstractNumId w:val="1"/>
  </w:num>
  <w:num w:numId="2">
    <w:abstractNumId w:val="2"/>
  </w:num>
  <w:num w:numId="3">
    <w:abstractNumId w:val="4"/>
  </w:num>
  <w:num w:numId="4">
    <w:abstractNumId w:val="3"/>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1"/>
  <w:bordersDoNotSurroundHeader w:val="0"/>
  <w:bordersDoNotSurroundFooter w:val="0"/>
  <w:documentProtection w:enforcement="0"/>
  <w:defaultTabStop w:val="720"/>
  <w:hyphenationZone w:val="360"/>
  <w:drawingGridHorizontalSpacing w:val="170"/>
  <w:drawingGridVerticalSpacing w:val="317"/>
  <w:displayHorizontalDrawingGridEvery w:val="1"/>
  <w:displayVerticalDrawingGridEvery w:val="1"/>
  <w:doNotShadeFormData w:val="1"/>
  <w:noPunctuationKerning w:val="1"/>
  <w:characterSpacingControl w:val="doNotCompress"/>
  <w:doNotValidateAgainstSchema/>
  <w:doNotDemarcateInvalidXml/>
  <w:hdrShapeDefaults>
    <o:shapelayout v:ext="edit">
      <o:idmap v:ext="edit" data="3,4"/>
    </o:shapelayout>
  </w:hdrShapeDefaults>
  <w:compat>
    <w:spaceForUL/>
    <w:balanceSingleByteDoubleByteWidth/>
    <w:doNotLeaveBackslashAlon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mE5ODZmNzEyYjQ5YTg4ZjA4OTk4MDFmYWE1MjY1NmYifQ=="/>
    <w:docVar w:name="KSO_WPS_MARK_KEY" w:val="77ea4295-8c50-4a53-9e86-a0b915dff621"/>
  </w:docVars>
  <w:rsids>
    <w:rsidRoot w:val="00172A27"/>
    <w:rsid w:val="000005B4"/>
    <w:rsid w:val="00000D0C"/>
    <w:rsid w:val="0000215B"/>
    <w:rsid w:val="00003612"/>
    <w:rsid w:val="00003641"/>
    <w:rsid w:val="00003972"/>
    <w:rsid w:val="00004C9F"/>
    <w:rsid w:val="00005649"/>
    <w:rsid w:val="000059AC"/>
    <w:rsid w:val="00005F6F"/>
    <w:rsid w:val="000061FA"/>
    <w:rsid w:val="000075A6"/>
    <w:rsid w:val="00007727"/>
    <w:rsid w:val="00007AC9"/>
    <w:rsid w:val="00007DDF"/>
    <w:rsid w:val="00010215"/>
    <w:rsid w:val="0001098B"/>
    <w:rsid w:val="00010ADA"/>
    <w:rsid w:val="00010D0A"/>
    <w:rsid w:val="00011D51"/>
    <w:rsid w:val="00011F6E"/>
    <w:rsid w:val="000120A0"/>
    <w:rsid w:val="00012E6A"/>
    <w:rsid w:val="00013616"/>
    <w:rsid w:val="00014CF0"/>
    <w:rsid w:val="00014FC5"/>
    <w:rsid w:val="00015130"/>
    <w:rsid w:val="000154F4"/>
    <w:rsid w:val="000157A4"/>
    <w:rsid w:val="000157C0"/>
    <w:rsid w:val="0001584B"/>
    <w:rsid w:val="00015F06"/>
    <w:rsid w:val="000162CB"/>
    <w:rsid w:val="000169DC"/>
    <w:rsid w:val="00016A63"/>
    <w:rsid w:val="00016E51"/>
    <w:rsid w:val="00017056"/>
    <w:rsid w:val="00017368"/>
    <w:rsid w:val="00017F1D"/>
    <w:rsid w:val="0002005F"/>
    <w:rsid w:val="00020F1F"/>
    <w:rsid w:val="00020F7A"/>
    <w:rsid w:val="00022040"/>
    <w:rsid w:val="0002306F"/>
    <w:rsid w:val="00023542"/>
    <w:rsid w:val="00023604"/>
    <w:rsid w:val="00023E43"/>
    <w:rsid w:val="00024041"/>
    <w:rsid w:val="0002467A"/>
    <w:rsid w:val="000246F6"/>
    <w:rsid w:val="0002556F"/>
    <w:rsid w:val="00025DC0"/>
    <w:rsid w:val="00026007"/>
    <w:rsid w:val="000263D5"/>
    <w:rsid w:val="0002723D"/>
    <w:rsid w:val="00027707"/>
    <w:rsid w:val="0002796A"/>
    <w:rsid w:val="00030709"/>
    <w:rsid w:val="00030EFD"/>
    <w:rsid w:val="00031156"/>
    <w:rsid w:val="0003137B"/>
    <w:rsid w:val="000326D8"/>
    <w:rsid w:val="000331C3"/>
    <w:rsid w:val="00033B08"/>
    <w:rsid w:val="00033BB6"/>
    <w:rsid w:val="00033CD2"/>
    <w:rsid w:val="00034324"/>
    <w:rsid w:val="00034538"/>
    <w:rsid w:val="00034E51"/>
    <w:rsid w:val="00035DE1"/>
    <w:rsid w:val="00035F7F"/>
    <w:rsid w:val="000362C9"/>
    <w:rsid w:val="00036453"/>
    <w:rsid w:val="000366E1"/>
    <w:rsid w:val="00036CD0"/>
    <w:rsid w:val="0003794F"/>
    <w:rsid w:val="000401AC"/>
    <w:rsid w:val="00040816"/>
    <w:rsid w:val="00040BC7"/>
    <w:rsid w:val="00041E17"/>
    <w:rsid w:val="000421E2"/>
    <w:rsid w:val="000423D3"/>
    <w:rsid w:val="00042AF4"/>
    <w:rsid w:val="000432B0"/>
    <w:rsid w:val="00043394"/>
    <w:rsid w:val="00043A00"/>
    <w:rsid w:val="00043B3E"/>
    <w:rsid w:val="00044039"/>
    <w:rsid w:val="00044112"/>
    <w:rsid w:val="00044604"/>
    <w:rsid w:val="00044A92"/>
    <w:rsid w:val="00044C4F"/>
    <w:rsid w:val="00045C7F"/>
    <w:rsid w:val="00045D2E"/>
    <w:rsid w:val="00045EBA"/>
    <w:rsid w:val="000461BC"/>
    <w:rsid w:val="00046BA4"/>
    <w:rsid w:val="00046F6F"/>
    <w:rsid w:val="00047580"/>
    <w:rsid w:val="00047EA0"/>
    <w:rsid w:val="00047EB5"/>
    <w:rsid w:val="0005009C"/>
    <w:rsid w:val="00050109"/>
    <w:rsid w:val="00050DE5"/>
    <w:rsid w:val="00051992"/>
    <w:rsid w:val="00051B47"/>
    <w:rsid w:val="00051B65"/>
    <w:rsid w:val="000520AA"/>
    <w:rsid w:val="00052146"/>
    <w:rsid w:val="00052762"/>
    <w:rsid w:val="00053022"/>
    <w:rsid w:val="0005441C"/>
    <w:rsid w:val="0005470F"/>
    <w:rsid w:val="000549C1"/>
    <w:rsid w:val="00055908"/>
    <w:rsid w:val="00056A25"/>
    <w:rsid w:val="00057798"/>
    <w:rsid w:val="00060E80"/>
    <w:rsid w:val="000618FC"/>
    <w:rsid w:val="00061F7E"/>
    <w:rsid w:val="00062846"/>
    <w:rsid w:val="00062EA2"/>
    <w:rsid w:val="00064659"/>
    <w:rsid w:val="00064778"/>
    <w:rsid w:val="000648C0"/>
    <w:rsid w:val="00064D0B"/>
    <w:rsid w:val="000650F7"/>
    <w:rsid w:val="0006534D"/>
    <w:rsid w:val="000656A6"/>
    <w:rsid w:val="000659A4"/>
    <w:rsid w:val="00065A01"/>
    <w:rsid w:val="00066644"/>
    <w:rsid w:val="00067359"/>
    <w:rsid w:val="000714A5"/>
    <w:rsid w:val="00071536"/>
    <w:rsid w:val="00071699"/>
    <w:rsid w:val="00072C30"/>
    <w:rsid w:val="0007310C"/>
    <w:rsid w:val="00073FBF"/>
    <w:rsid w:val="0007401A"/>
    <w:rsid w:val="00074656"/>
    <w:rsid w:val="0007487D"/>
    <w:rsid w:val="00074D42"/>
    <w:rsid w:val="0007518E"/>
    <w:rsid w:val="000751A5"/>
    <w:rsid w:val="00075466"/>
    <w:rsid w:val="000759E6"/>
    <w:rsid w:val="0007668B"/>
    <w:rsid w:val="000766FC"/>
    <w:rsid w:val="00076E22"/>
    <w:rsid w:val="000771C1"/>
    <w:rsid w:val="000771FF"/>
    <w:rsid w:val="00077C54"/>
    <w:rsid w:val="00080AC4"/>
    <w:rsid w:val="00080BA2"/>
    <w:rsid w:val="00081468"/>
    <w:rsid w:val="00081AEA"/>
    <w:rsid w:val="000820F9"/>
    <w:rsid w:val="0008256E"/>
    <w:rsid w:val="000831A4"/>
    <w:rsid w:val="00083A5C"/>
    <w:rsid w:val="00083D53"/>
    <w:rsid w:val="00084027"/>
    <w:rsid w:val="000841D4"/>
    <w:rsid w:val="000841D8"/>
    <w:rsid w:val="00084868"/>
    <w:rsid w:val="00084BFB"/>
    <w:rsid w:val="00084DB0"/>
    <w:rsid w:val="0008552A"/>
    <w:rsid w:val="00085DDC"/>
    <w:rsid w:val="0008751A"/>
    <w:rsid w:val="000877F3"/>
    <w:rsid w:val="00090170"/>
    <w:rsid w:val="00090267"/>
    <w:rsid w:val="00090B81"/>
    <w:rsid w:val="0009217A"/>
    <w:rsid w:val="00092836"/>
    <w:rsid w:val="00092A18"/>
    <w:rsid w:val="00092AC7"/>
    <w:rsid w:val="00093399"/>
    <w:rsid w:val="00093A21"/>
    <w:rsid w:val="00093A8C"/>
    <w:rsid w:val="0009429E"/>
    <w:rsid w:val="00094888"/>
    <w:rsid w:val="00095C70"/>
    <w:rsid w:val="00095C81"/>
    <w:rsid w:val="00095D49"/>
    <w:rsid w:val="00096534"/>
    <w:rsid w:val="000A0043"/>
    <w:rsid w:val="000A07B9"/>
    <w:rsid w:val="000A0B64"/>
    <w:rsid w:val="000A16EC"/>
    <w:rsid w:val="000A31C7"/>
    <w:rsid w:val="000A3D80"/>
    <w:rsid w:val="000A4EC7"/>
    <w:rsid w:val="000A5339"/>
    <w:rsid w:val="000A5724"/>
    <w:rsid w:val="000A57FA"/>
    <w:rsid w:val="000A5A85"/>
    <w:rsid w:val="000A6055"/>
    <w:rsid w:val="000A65B7"/>
    <w:rsid w:val="000A681F"/>
    <w:rsid w:val="000A6C41"/>
    <w:rsid w:val="000A6C75"/>
    <w:rsid w:val="000A7C5C"/>
    <w:rsid w:val="000B0172"/>
    <w:rsid w:val="000B0297"/>
    <w:rsid w:val="000B11ED"/>
    <w:rsid w:val="000B169A"/>
    <w:rsid w:val="000B19D1"/>
    <w:rsid w:val="000B2C16"/>
    <w:rsid w:val="000B3383"/>
    <w:rsid w:val="000B3604"/>
    <w:rsid w:val="000B397F"/>
    <w:rsid w:val="000B4013"/>
    <w:rsid w:val="000B411D"/>
    <w:rsid w:val="000B45CC"/>
    <w:rsid w:val="000B5B13"/>
    <w:rsid w:val="000B5E63"/>
    <w:rsid w:val="000B61F7"/>
    <w:rsid w:val="000B630D"/>
    <w:rsid w:val="000B67FF"/>
    <w:rsid w:val="000B7FD5"/>
    <w:rsid w:val="000C0301"/>
    <w:rsid w:val="000C0631"/>
    <w:rsid w:val="000C0BFE"/>
    <w:rsid w:val="000C0EB7"/>
    <w:rsid w:val="000C1588"/>
    <w:rsid w:val="000C15E4"/>
    <w:rsid w:val="000C2471"/>
    <w:rsid w:val="000C24D0"/>
    <w:rsid w:val="000C279A"/>
    <w:rsid w:val="000C2E06"/>
    <w:rsid w:val="000C3055"/>
    <w:rsid w:val="000C4116"/>
    <w:rsid w:val="000C41A0"/>
    <w:rsid w:val="000C4702"/>
    <w:rsid w:val="000C49C2"/>
    <w:rsid w:val="000C5323"/>
    <w:rsid w:val="000C55F2"/>
    <w:rsid w:val="000C58BF"/>
    <w:rsid w:val="000C58D1"/>
    <w:rsid w:val="000C5D53"/>
    <w:rsid w:val="000C6415"/>
    <w:rsid w:val="000C6467"/>
    <w:rsid w:val="000C760C"/>
    <w:rsid w:val="000D02C5"/>
    <w:rsid w:val="000D10AB"/>
    <w:rsid w:val="000D118C"/>
    <w:rsid w:val="000D1794"/>
    <w:rsid w:val="000D2BFC"/>
    <w:rsid w:val="000D2E18"/>
    <w:rsid w:val="000D39F3"/>
    <w:rsid w:val="000D3B9C"/>
    <w:rsid w:val="000D44F3"/>
    <w:rsid w:val="000D46DA"/>
    <w:rsid w:val="000D4890"/>
    <w:rsid w:val="000D4899"/>
    <w:rsid w:val="000D4965"/>
    <w:rsid w:val="000D499A"/>
    <w:rsid w:val="000D4A17"/>
    <w:rsid w:val="000D4E9B"/>
    <w:rsid w:val="000D57FD"/>
    <w:rsid w:val="000D60A5"/>
    <w:rsid w:val="000D65D3"/>
    <w:rsid w:val="000D6688"/>
    <w:rsid w:val="000D6DFB"/>
    <w:rsid w:val="000D6F12"/>
    <w:rsid w:val="000D760C"/>
    <w:rsid w:val="000E1F10"/>
    <w:rsid w:val="000E2601"/>
    <w:rsid w:val="000E2F08"/>
    <w:rsid w:val="000E3268"/>
    <w:rsid w:val="000E3507"/>
    <w:rsid w:val="000E397B"/>
    <w:rsid w:val="000E3C64"/>
    <w:rsid w:val="000E4907"/>
    <w:rsid w:val="000E52C2"/>
    <w:rsid w:val="000E696B"/>
    <w:rsid w:val="000E6A3C"/>
    <w:rsid w:val="000E6C8F"/>
    <w:rsid w:val="000E6D26"/>
    <w:rsid w:val="000E6FDF"/>
    <w:rsid w:val="000E6FFA"/>
    <w:rsid w:val="000E79F2"/>
    <w:rsid w:val="000E7C0A"/>
    <w:rsid w:val="000F0DCE"/>
    <w:rsid w:val="000F18BB"/>
    <w:rsid w:val="000F18C1"/>
    <w:rsid w:val="000F1AEE"/>
    <w:rsid w:val="000F1DE2"/>
    <w:rsid w:val="000F228B"/>
    <w:rsid w:val="000F2B0C"/>
    <w:rsid w:val="000F2DE7"/>
    <w:rsid w:val="000F38F8"/>
    <w:rsid w:val="000F47B8"/>
    <w:rsid w:val="000F4929"/>
    <w:rsid w:val="000F537E"/>
    <w:rsid w:val="000F53EE"/>
    <w:rsid w:val="000F57DF"/>
    <w:rsid w:val="000F5F58"/>
    <w:rsid w:val="000F641D"/>
    <w:rsid w:val="000F6F5C"/>
    <w:rsid w:val="000F76F6"/>
    <w:rsid w:val="00100808"/>
    <w:rsid w:val="0010167C"/>
    <w:rsid w:val="0010174C"/>
    <w:rsid w:val="00101B07"/>
    <w:rsid w:val="00101EBA"/>
    <w:rsid w:val="00102572"/>
    <w:rsid w:val="00102B24"/>
    <w:rsid w:val="00102E06"/>
    <w:rsid w:val="00102E18"/>
    <w:rsid w:val="00103266"/>
    <w:rsid w:val="00103381"/>
    <w:rsid w:val="001040D8"/>
    <w:rsid w:val="001041AD"/>
    <w:rsid w:val="00104582"/>
    <w:rsid w:val="00104AD6"/>
    <w:rsid w:val="00105197"/>
    <w:rsid w:val="00105439"/>
    <w:rsid w:val="001054AB"/>
    <w:rsid w:val="00105DF6"/>
    <w:rsid w:val="00106C3C"/>
    <w:rsid w:val="00106DE3"/>
    <w:rsid w:val="00106E1F"/>
    <w:rsid w:val="0010717D"/>
    <w:rsid w:val="001073D1"/>
    <w:rsid w:val="00107482"/>
    <w:rsid w:val="00107BE5"/>
    <w:rsid w:val="00107BEB"/>
    <w:rsid w:val="00110057"/>
    <w:rsid w:val="00110305"/>
    <w:rsid w:val="001112EA"/>
    <w:rsid w:val="00111670"/>
    <w:rsid w:val="00111990"/>
    <w:rsid w:val="00111ABC"/>
    <w:rsid w:val="001125CC"/>
    <w:rsid w:val="0011338B"/>
    <w:rsid w:val="0011339C"/>
    <w:rsid w:val="00113825"/>
    <w:rsid w:val="001147E8"/>
    <w:rsid w:val="00114D14"/>
    <w:rsid w:val="00115E0B"/>
    <w:rsid w:val="00120511"/>
    <w:rsid w:val="00120721"/>
    <w:rsid w:val="00120BB2"/>
    <w:rsid w:val="00120D30"/>
    <w:rsid w:val="00120F6F"/>
    <w:rsid w:val="001212CB"/>
    <w:rsid w:val="00121612"/>
    <w:rsid w:val="00121A55"/>
    <w:rsid w:val="00121F4E"/>
    <w:rsid w:val="001220B1"/>
    <w:rsid w:val="00122B21"/>
    <w:rsid w:val="00122E43"/>
    <w:rsid w:val="00122EF4"/>
    <w:rsid w:val="00123580"/>
    <w:rsid w:val="001243E3"/>
    <w:rsid w:val="00124770"/>
    <w:rsid w:val="00124B45"/>
    <w:rsid w:val="00125738"/>
    <w:rsid w:val="00125F1F"/>
    <w:rsid w:val="00125FA8"/>
    <w:rsid w:val="001267D8"/>
    <w:rsid w:val="001313DA"/>
    <w:rsid w:val="00131A88"/>
    <w:rsid w:val="00131B57"/>
    <w:rsid w:val="00131E90"/>
    <w:rsid w:val="0013232F"/>
    <w:rsid w:val="001325B3"/>
    <w:rsid w:val="00132EAC"/>
    <w:rsid w:val="00133646"/>
    <w:rsid w:val="00133ADF"/>
    <w:rsid w:val="00134537"/>
    <w:rsid w:val="001349BA"/>
    <w:rsid w:val="00134E70"/>
    <w:rsid w:val="00134FB5"/>
    <w:rsid w:val="00135C72"/>
    <w:rsid w:val="00136733"/>
    <w:rsid w:val="00137146"/>
    <w:rsid w:val="0013748E"/>
    <w:rsid w:val="00137BA3"/>
    <w:rsid w:val="00137DB4"/>
    <w:rsid w:val="001409B8"/>
    <w:rsid w:val="00140BDB"/>
    <w:rsid w:val="00141125"/>
    <w:rsid w:val="00141417"/>
    <w:rsid w:val="0014187D"/>
    <w:rsid w:val="001418E2"/>
    <w:rsid w:val="001425F4"/>
    <w:rsid w:val="00142613"/>
    <w:rsid w:val="00142760"/>
    <w:rsid w:val="00143758"/>
    <w:rsid w:val="00143AF4"/>
    <w:rsid w:val="00143BC2"/>
    <w:rsid w:val="00143D37"/>
    <w:rsid w:val="00144091"/>
    <w:rsid w:val="00144E17"/>
    <w:rsid w:val="00144F43"/>
    <w:rsid w:val="00146179"/>
    <w:rsid w:val="001464C8"/>
    <w:rsid w:val="00146699"/>
    <w:rsid w:val="00146A2C"/>
    <w:rsid w:val="00146ACF"/>
    <w:rsid w:val="00146DC4"/>
    <w:rsid w:val="00147A6D"/>
    <w:rsid w:val="00150A43"/>
    <w:rsid w:val="0015194D"/>
    <w:rsid w:val="001527A2"/>
    <w:rsid w:val="001531B2"/>
    <w:rsid w:val="0015397C"/>
    <w:rsid w:val="00154D03"/>
    <w:rsid w:val="0015519E"/>
    <w:rsid w:val="00155977"/>
    <w:rsid w:val="00155F34"/>
    <w:rsid w:val="00156425"/>
    <w:rsid w:val="001565E4"/>
    <w:rsid w:val="00156C6C"/>
    <w:rsid w:val="00156FF2"/>
    <w:rsid w:val="001570C7"/>
    <w:rsid w:val="00157A19"/>
    <w:rsid w:val="00157F7F"/>
    <w:rsid w:val="00157F93"/>
    <w:rsid w:val="001602DE"/>
    <w:rsid w:val="00160681"/>
    <w:rsid w:val="00160B0D"/>
    <w:rsid w:val="00160B64"/>
    <w:rsid w:val="00161D42"/>
    <w:rsid w:val="0016229E"/>
    <w:rsid w:val="0016247F"/>
    <w:rsid w:val="0016304F"/>
    <w:rsid w:val="00163838"/>
    <w:rsid w:val="00163EB4"/>
    <w:rsid w:val="00164559"/>
    <w:rsid w:val="00164C3F"/>
    <w:rsid w:val="00164CD2"/>
    <w:rsid w:val="00165B58"/>
    <w:rsid w:val="00166B7D"/>
    <w:rsid w:val="00166DEF"/>
    <w:rsid w:val="001700AD"/>
    <w:rsid w:val="001727B0"/>
    <w:rsid w:val="0017286B"/>
    <w:rsid w:val="00173546"/>
    <w:rsid w:val="00173F5B"/>
    <w:rsid w:val="0017432D"/>
    <w:rsid w:val="00174489"/>
    <w:rsid w:val="0017571A"/>
    <w:rsid w:val="00176066"/>
    <w:rsid w:val="00176A60"/>
    <w:rsid w:val="00176F1C"/>
    <w:rsid w:val="00177166"/>
    <w:rsid w:val="001777BF"/>
    <w:rsid w:val="001778F0"/>
    <w:rsid w:val="00177990"/>
    <w:rsid w:val="00177BD1"/>
    <w:rsid w:val="00180D44"/>
    <w:rsid w:val="00180E0C"/>
    <w:rsid w:val="00181794"/>
    <w:rsid w:val="00181F10"/>
    <w:rsid w:val="00181F41"/>
    <w:rsid w:val="00182677"/>
    <w:rsid w:val="001836DF"/>
    <w:rsid w:val="00183D08"/>
    <w:rsid w:val="00183ECA"/>
    <w:rsid w:val="00184E79"/>
    <w:rsid w:val="001851B0"/>
    <w:rsid w:val="001853E7"/>
    <w:rsid w:val="001856C3"/>
    <w:rsid w:val="00185795"/>
    <w:rsid w:val="00186C7C"/>
    <w:rsid w:val="00187912"/>
    <w:rsid w:val="00190005"/>
    <w:rsid w:val="00190385"/>
    <w:rsid w:val="00190665"/>
    <w:rsid w:val="0019090F"/>
    <w:rsid w:val="00190B6B"/>
    <w:rsid w:val="00191016"/>
    <w:rsid w:val="0019110F"/>
    <w:rsid w:val="00191230"/>
    <w:rsid w:val="00191605"/>
    <w:rsid w:val="00192795"/>
    <w:rsid w:val="00192AB6"/>
    <w:rsid w:val="00193401"/>
    <w:rsid w:val="00193898"/>
    <w:rsid w:val="00193E34"/>
    <w:rsid w:val="00194FE5"/>
    <w:rsid w:val="00195996"/>
    <w:rsid w:val="001971E2"/>
    <w:rsid w:val="001978E6"/>
    <w:rsid w:val="00197A2D"/>
    <w:rsid w:val="00197E65"/>
    <w:rsid w:val="001A0ABA"/>
    <w:rsid w:val="001A1244"/>
    <w:rsid w:val="001A1CBB"/>
    <w:rsid w:val="001A22D0"/>
    <w:rsid w:val="001A23B6"/>
    <w:rsid w:val="001A2EF3"/>
    <w:rsid w:val="001A2F0E"/>
    <w:rsid w:val="001A2F35"/>
    <w:rsid w:val="001A3564"/>
    <w:rsid w:val="001A36C2"/>
    <w:rsid w:val="001A39CE"/>
    <w:rsid w:val="001A3DB6"/>
    <w:rsid w:val="001A4250"/>
    <w:rsid w:val="001A4923"/>
    <w:rsid w:val="001A4A2E"/>
    <w:rsid w:val="001A5138"/>
    <w:rsid w:val="001A518D"/>
    <w:rsid w:val="001A582C"/>
    <w:rsid w:val="001A59E6"/>
    <w:rsid w:val="001A5AF9"/>
    <w:rsid w:val="001A5B8F"/>
    <w:rsid w:val="001A5C63"/>
    <w:rsid w:val="001A60B8"/>
    <w:rsid w:val="001A66B8"/>
    <w:rsid w:val="001A723A"/>
    <w:rsid w:val="001A7390"/>
    <w:rsid w:val="001A77F5"/>
    <w:rsid w:val="001A79C4"/>
    <w:rsid w:val="001B06F3"/>
    <w:rsid w:val="001B0C39"/>
    <w:rsid w:val="001B1D19"/>
    <w:rsid w:val="001B2237"/>
    <w:rsid w:val="001B254F"/>
    <w:rsid w:val="001B311A"/>
    <w:rsid w:val="001B31B5"/>
    <w:rsid w:val="001B33E8"/>
    <w:rsid w:val="001B3509"/>
    <w:rsid w:val="001B3EC8"/>
    <w:rsid w:val="001B4BCB"/>
    <w:rsid w:val="001B4BD0"/>
    <w:rsid w:val="001B52D3"/>
    <w:rsid w:val="001B5651"/>
    <w:rsid w:val="001B565A"/>
    <w:rsid w:val="001B63D8"/>
    <w:rsid w:val="001B6448"/>
    <w:rsid w:val="001B6684"/>
    <w:rsid w:val="001C1169"/>
    <w:rsid w:val="001C1556"/>
    <w:rsid w:val="001C1716"/>
    <w:rsid w:val="001C17B5"/>
    <w:rsid w:val="001C1E01"/>
    <w:rsid w:val="001C3A02"/>
    <w:rsid w:val="001C41C6"/>
    <w:rsid w:val="001C5007"/>
    <w:rsid w:val="001C518D"/>
    <w:rsid w:val="001C5341"/>
    <w:rsid w:val="001C5550"/>
    <w:rsid w:val="001C576A"/>
    <w:rsid w:val="001C58AE"/>
    <w:rsid w:val="001C5997"/>
    <w:rsid w:val="001C5C1B"/>
    <w:rsid w:val="001C5DA9"/>
    <w:rsid w:val="001C5F11"/>
    <w:rsid w:val="001C6EAF"/>
    <w:rsid w:val="001C758B"/>
    <w:rsid w:val="001C7DC0"/>
    <w:rsid w:val="001C7E4C"/>
    <w:rsid w:val="001D0389"/>
    <w:rsid w:val="001D2174"/>
    <w:rsid w:val="001D3EC4"/>
    <w:rsid w:val="001D47A3"/>
    <w:rsid w:val="001D541A"/>
    <w:rsid w:val="001D5753"/>
    <w:rsid w:val="001D64BB"/>
    <w:rsid w:val="001D6529"/>
    <w:rsid w:val="001D675E"/>
    <w:rsid w:val="001D6E9B"/>
    <w:rsid w:val="001D70DB"/>
    <w:rsid w:val="001D7C5D"/>
    <w:rsid w:val="001D7D78"/>
    <w:rsid w:val="001E1FD0"/>
    <w:rsid w:val="001E2657"/>
    <w:rsid w:val="001E3B88"/>
    <w:rsid w:val="001E4529"/>
    <w:rsid w:val="001E6E52"/>
    <w:rsid w:val="001E72FD"/>
    <w:rsid w:val="001E73C8"/>
    <w:rsid w:val="001F045B"/>
    <w:rsid w:val="001F0D7C"/>
    <w:rsid w:val="001F1241"/>
    <w:rsid w:val="001F1C7C"/>
    <w:rsid w:val="001F1E22"/>
    <w:rsid w:val="001F2428"/>
    <w:rsid w:val="001F2A69"/>
    <w:rsid w:val="001F3953"/>
    <w:rsid w:val="001F3BC3"/>
    <w:rsid w:val="001F43BC"/>
    <w:rsid w:val="001F444D"/>
    <w:rsid w:val="001F44A5"/>
    <w:rsid w:val="001F5433"/>
    <w:rsid w:val="001F5B9D"/>
    <w:rsid w:val="001F5EC6"/>
    <w:rsid w:val="001F6383"/>
    <w:rsid w:val="001F64BC"/>
    <w:rsid w:val="001F6D82"/>
    <w:rsid w:val="001F6E77"/>
    <w:rsid w:val="001F7464"/>
    <w:rsid w:val="001F785A"/>
    <w:rsid w:val="001F78BC"/>
    <w:rsid w:val="001F7996"/>
    <w:rsid w:val="001F7C30"/>
    <w:rsid w:val="00200CEE"/>
    <w:rsid w:val="00202603"/>
    <w:rsid w:val="00202682"/>
    <w:rsid w:val="002027A3"/>
    <w:rsid w:val="00202C9F"/>
    <w:rsid w:val="00202D3F"/>
    <w:rsid w:val="0020317A"/>
    <w:rsid w:val="0020347B"/>
    <w:rsid w:val="00203685"/>
    <w:rsid w:val="00204F86"/>
    <w:rsid w:val="0020558D"/>
    <w:rsid w:val="00205856"/>
    <w:rsid w:val="00205BF3"/>
    <w:rsid w:val="00206442"/>
    <w:rsid w:val="00206C03"/>
    <w:rsid w:val="00206F02"/>
    <w:rsid w:val="00206F72"/>
    <w:rsid w:val="0020760D"/>
    <w:rsid w:val="0020764E"/>
    <w:rsid w:val="00207692"/>
    <w:rsid w:val="00207865"/>
    <w:rsid w:val="002079C7"/>
    <w:rsid w:val="002103BE"/>
    <w:rsid w:val="002110A6"/>
    <w:rsid w:val="00211874"/>
    <w:rsid w:val="00211DAF"/>
    <w:rsid w:val="00212C52"/>
    <w:rsid w:val="00212E83"/>
    <w:rsid w:val="00213C69"/>
    <w:rsid w:val="00213D8D"/>
    <w:rsid w:val="00213EFB"/>
    <w:rsid w:val="002149F8"/>
    <w:rsid w:val="00214A06"/>
    <w:rsid w:val="00214B45"/>
    <w:rsid w:val="002152FC"/>
    <w:rsid w:val="002156E2"/>
    <w:rsid w:val="00215857"/>
    <w:rsid w:val="002161D5"/>
    <w:rsid w:val="00216456"/>
    <w:rsid w:val="0021710C"/>
    <w:rsid w:val="00217129"/>
    <w:rsid w:val="00217373"/>
    <w:rsid w:val="00217B7E"/>
    <w:rsid w:val="00217C68"/>
    <w:rsid w:val="002201EB"/>
    <w:rsid w:val="002206E7"/>
    <w:rsid w:val="00221F90"/>
    <w:rsid w:val="00223274"/>
    <w:rsid w:val="002233A2"/>
    <w:rsid w:val="00223718"/>
    <w:rsid w:val="00223FAD"/>
    <w:rsid w:val="0022422A"/>
    <w:rsid w:val="002246A9"/>
    <w:rsid w:val="002254B3"/>
    <w:rsid w:val="00225948"/>
    <w:rsid w:val="00226055"/>
    <w:rsid w:val="002262F3"/>
    <w:rsid w:val="0022662B"/>
    <w:rsid w:val="0022752D"/>
    <w:rsid w:val="002275EA"/>
    <w:rsid w:val="00230119"/>
    <w:rsid w:val="002323B9"/>
    <w:rsid w:val="00232672"/>
    <w:rsid w:val="00233493"/>
    <w:rsid w:val="00233D0B"/>
    <w:rsid w:val="00233D90"/>
    <w:rsid w:val="00234957"/>
    <w:rsid w:val="002352A4"/>
    <w:rsid w:val="002354AB"/>
    <w:rsid w:val="00235595"/>
    <w:rsid w:val="00235639"/>
    <w:rsid w:val="00236111"/>
    <w:rsid w:val="00237933"/>
    <w:rsid w:val="002379DB"/>
    <w:rsid w:val="002404A5"/>
    <w:rsid w:val="002418C6"/>
    <w:rsid w:val="00241ECB"/>
    <w:rsid w:val="002420F5"/>
    <w:rsid w:val="002421FD"/>
    <w:rsid w:val="0024277E"/>
    <w:rsid w:val="00243070"/>
    <w:rsid w:val="002431E0"/>
    <w:rsid w:val="002433D2"/>
    <w:rsid w:val="002433D3"/>
    <w:rsid w:val="0024349E"/>
    <w:rsid w:val="00243814"/>
    <w:rsid w:val="00243D88"/>
    <w:rsid w:val="0024449D"/>
    <w:rsid w:val="00244841"/>
    <w:rsid w:val="00244F64"/>
    <w:rsid w:val="00245010"/>
    <w:rsid w:val="0024544E"/>
    <w:rsid w:val="002456FE"/>
    <w:rsid w:val="0024673A"/>
    <w:rsid w:val="00246747"/>
    <w:rsid w:val="002472C2"/>
    <w:rsid w:val="002478B2"/>
    <w:rsid w:val="00247B2C"/>
    <w:rsid w:val="002502ED"/>
    <w:rsid w:val="00251745"/>
    <w:rsid w:val="002519A7"/>
    <w:rsid w:val="00251D70"/>
    <w:rsid w:val="00251F32"/>
    <w:rsid w:val="00252795"/>
    <w:rsid w:val="00252AA2"/>
    <w:rsid w:val="00252E76"/>
    <w:rsid w:val="002533AB"/>
    <w:rsid w:val="00253947"/>
    <w:rsid w:val="00253975"/>
    <w:rsid w:val="00253AC2"/>
    <w:rsid w:val="00253CE4"/>
    <w:rsid w:val="00254C35"/>
    <w:rsid w:val="0025500C"/>
    <w:rsid w:val="002551A0"/>
    <w:rsid w:val="00255E72"/>
    <w:rsid w:val="00257111"/>
    <w:rsid w:val="00257AB6"/>
    <w:rsid w:val="00257B2C"/>
    <w:rsid w:val="00257E53"/>
    <w:rsid w:val="00260FE6"/>
    <w:rsid w:val="002613C9"/>
    <w:rsid w:val="00261905"/>
    <w:rsid w:val="00261F61"/>
    <w:rsid w:val="00262221"/>
    <w:rsid w:val="0026251B"/>
    <w:rsid w:val="002629B7"/>
    <w:rsid w:val="0026327D"/>
    <w:rsid w:val="00263B0A"/>
    <w:rsid w:val="00263D51"/>
    <w:rsid w:val="002641AE"/>
    <w:rsid w:val="0026465A"/>
    <w:rsid w:val="00264A0E"/>
    <w:rsid w:val="00264B7E"/>
    <w:rsid w:val="00265B4F"/>
    <w:rsid w:val="00265ECA"/>
    <w:rsid w:val="00266B48"/>
    <w:rsid w:val="00266C18"/>
    <w:rsid w:val="00266C93"/>
    <w:rsid w:val="00267076"/>
    <w:rsid w:val="002673D9"/>
    <w:rsid w:val="00267424"/>
    <w:rsid w:val="00267AA4"/>
    <w:rsid w:val="00267E20"/>
    <w:rsid w:val="00270057"/>
    <w:rsid w:val="0027098C"/>
    <w:rsid w:val="00270DE2"/>
    <w:rsid w:val="00271200"/>
    <w:rsid w:val="00271653"/>
    <w:rsid w:val="0027259F"/>
    <w:rsid w:val="002727D0"/>
    <w:rsid w:val="00272B46"/>
    <w:rsid w:val="00272DC8"/>
    <w:rsid w:val="00272F6E"/>
    <w:rsid w:val="00273F6B"/>
    <w:rsid w:val="00273F90"/>
    <w:rsid w:val="00274517"/>
    <w:rsid w:val="00274960"/>
    <w:rsid w:val="00274CC9"/>
    <w:rsid w:val="00275018"/>
    <w:rsid w:val="002751CA"/>
    <w:rsid w:val="0027524B"/>
    <w:rsid w:val="00275257"/>
    <w:rsid w:val="00275589"/>
    <w:rsid w:val="00275A03"/>
    <w:rsid w:val="0027654B"/>
    <w:rsid w:val="00277373"/>
    <w:rsid w:val="00281179"/>
    <w:rsid w:val="0028168C"/>
    <w:rsid w:val="002819B0"/>
    <w:rsid w:val="00282768"/>
    <w:rsid w:val="002830B3"/>
    <w:rsid w:val="00283BCF"/>
    <w:rsid w:val="00284094"/>
    <w:rsid w:val="00284A81"/>
    <w:rsid w:val="00284FAC"/>
    <w:rsid w:val="00285230"/>
    <w:rsid w:val="00285A2F"/>
    <w:rsid w:val="00285E44"/>
    <w:rsid w:val="00286139"/>
    <w:rsid w:val="00286189"/>
    <w:rsid w:val="00286E44"/>
    <w:rsid w:val="0028721A"/>
    <w:rsid w:val="002875BA"/>
    <w:rsid w:val="002876A6"/>
    <w:rsid w:val="0028779D"/>
    <w:rsid w:val="002900E5"/>
    <w:rsid w:val="00290C94"/>
    <w:rsid w:val="0029123D"/>
    <w:rsid w:val="0029170E"/>
    <w:rsid w:val="002917E2"/>
    <w:rsid w:val="00291E47"/>
    <w:rsid w:val="002937F7"/>
    <w:rsid w:val="00293C9B"/>
    <w:rsid w:val="002959FB"/>
    <w:rsid w:val="00295C22"/>
    <w:rsid w:val="00295DEB"/>
    <w:rsid w:val="00295E58"/>
    <w:rsid w:val="00295EA3"/>
    <w:rsid w:val="0029619E"/>
    <w:rsid w:val="00296934"/>
    <w:rsid w:val="002971D1"/>
    <w:rsid w:val="00297AC7"/>
    <w:rsid w:val="00297F82"/>
    <w:rsid w:val="002A0849"/>
    <w:rsid w:val="002A12A0"/>
    <w:rsid w:val="002A18ED"/>
    <w:rsid w:val="002A2EE4"/>
    <w:rsid w:val="002A2F3B"/>
    <w:rsid w:val="002A3614"/>
    <w:rsid w:val="002A364D"/>
    <w:rsid w:val="002A376F"/>
    <w:rsid w:val="002A3C87"/>
    <w:rsid w:val="002A49C7"/>
    <w:rsid w:val="002A4A54"/>
    <w:rsid w:val="002A546F"/>
    <w:rsid w:val="002A58FB"/>
    <w:rsid w:val="002A5D7C"/>
    <w:rsid w:val="002A6D63"/>
    <w:rsid w:val="002A6E16"/>
    <w:rsid w:val="002A70E8"/>
    <w:rsid w:val="002A741A"/>
    <w:rsid w:val="002A7874"/>
    <w:rsid w:val="002B0828"/>
    <w:rsid w:val="002B085F"/>
    <w:rsid w:val="002B1154"/>
    <w:rsid w:val="002B2238"/>
    <w:rsid w:val="002B2244"/>
    <w:rsid w:val="002B2AB0"/>
    <w:rsid w:val="002B2C06"/>
    <w:rsid w:val="002B2CE1"/>
    <w:rsid w:val="002B2F68"/>
    <w:rsid w:val="002B3342"/>
    <w:rsid w:val="002B4271"/>
    <w:rsid w:val="002B4A20"/>
    <w:rsid w:val="002B5A41"/>
    <w:rsid w:val="002B7432"/>
    <w:rsid w:val="002B7FF7"/>
    <w:rsid w:val="002C0342"/>
    <w:rsid w:val="002C0896"/>
    <w:rsid w:val="002C1124"/>
    <w:rsid w:val="002C1B6E"/>
    <w:rsid w:val="002C1BCB"/>
    <w:rsid w:val="002C2579"/>
    <w:rsid w:val="002C2B8D"/>
    <w:rsid w:val="002C31BA"/>
    <w:rsid w:val="002C3426"/>
    <w:rsid w:val="002C35E6"/>
    <w:rsid w:val="002C3B80"/>
    <w:rsid w:val="002C44FD"/>
    <w:rsid w:val="002C4688"/>
    <w:rsid w:val="002C4EFB"/>
    <w:rsid w:val="002C51CD"/>
    <w:rsid w:val="002C521B"/>
    <w:rsid w:val="002C5450"/>
    <w:rsid w:val="002C557A"/>
    <w:rsid w:val="002C5DAD"/>
    <w:rsid w:val="002C612A"/>
    <w:rsid w:val="002C6404"/>
    <w:rsid w:val="002C653C"/>
    <w:rsid w:val="002C7007"/>
    <w:rsid w:val="002C7E2A"/>
    <w:rsid w:val="002D0C00"/>
    <w:rsid w:val="002D0E75"/>
    <w:rsid w:val="002D0EB8"/>
    <w:rsid w:val="002D113B"/>
    <w:rsid w:val="002D1187"/>
    <w:rsid w:val="002D137B"/>
    <w:rsid w:val="002D1E41"/>
    <w:rsid w:val="002D1FCD"/>
    <w:rsid w:val="002D218B"/>
    <w:rsid w:val="002D287C"/>
    <w:rsid w:val="002D2ADE"/>
    <w:rsid w:val="002D2D36"/>
    <w:rsid w:val="002D2EFB"/>
    <w:rsid w:val="002D308A"/>
    <w:rsid w:val="002D30BA"/>
    <w:rsid w:val="002D35C7"/>
    <w:rsid w:val="002D37D9"/>
    <w:rsid w:val="002D39A4"/>
    <w:rsid w:val="002D42BF"/>
    <w:rsid w:val="002D45D6"/>
    <w:rsid w:val="002D462F"/>
    <w:rsid w:val="002D472D"/>
    <w:rsid w:val="002D4BB7"/>
    <w:rsid w:val="002D4E6F"/>
    <w:rsid w:val="002D5250"/>
    <w:rsid w:val="002D5565"/>
    <w:rsid w:val="002D59B1"/>
    <w:rsid w:val="002D5BFF"/>
    <w:rsid w:val="002D602D"/>
    <w:rsid w:val="002D7E99"/>
    <w:rsid w:val="002E0427"/>
    <w:rsid w:val="002E10C4"/>
    <w:rsid w:val="002E1809"/>
    <w:rsid w:val="002E22CB"/>
    <w:rsid w:val="002E2FC5"/>
    <w:rsid w:val="002E311A"/>
    <w:rsid w:val="002E31B9"/>
    <w:rsid w:val="002E3412"/>
    <w:rsid w:val="002E3B63"/>
    <w:rsid w:val="002E3DC2"/>
    <w:rsid w:val="002E3F8D"/>
    <w:rsid w:val="002E40D8"/>
    <w:rsid w:val="002E48D5"/>
    <w:rsid w:val="002E58F7"/>
    <w:rsid w:val="002E6497"/>
    <w:rsid w:val="002E6521"/>
    <w:rsid w:val="002E6D25"/>
    <w:rsid w:val="002E6DAF"/>
    <w:rsid w:val="002E6E03"/>
    <w:rsid w:val="002E6EC0"/>
    <w:rsid w:val="002E70F4"/>
    <w:rsid w:val="002E73EA"/>
    <w:rsid w:val="002E74ED"/>
    <w:rsid w:val="002F0271"/>
    <w:rsid w:val="002F0DD3"/>
    <w:rsid w:val="002F0EC9"/>
    <w:rsid w:val="002F0F22"/>
    <w:rsid w:val="002F119F"/>
    <w:rsid w:val="002F12F2"/>
    <w:rsid w:val="002F13EC"/>
    <w:rsid w:val="002F19E2"/>
    <w:rsid w:val="002F2049"/>
    <w:rsid w:val="002F211F"/>
    <w:rsid w:val="002F23B5"/>
    <w:rsid w:val="002F249E"/>
    <w:rsid w:val="002F2E3B"/>
    <w:rsid w:val="002F3079"/>
    <w:rsid w:val="002F31E6"/>
    <w:rsid w:val="002F324D"/>
    <w:rsid w:val="002F3843"/>
    <w:rsid w:val="002F41D3"/>
    <w:rsid w:val="002F637A"/>
    <w:rsid w:val="002F720F"/>
    <w:rsid w:val="002F7382"/>
    <w:rsid w:val="002F7B03"/>
    <w:rsid w:val="003006D5"/>
    <w:rsid w:val="00300E94"/>
    <w:rsid w:val="00301586"/>
    <w:rsid w:val="00302215"/>
    <w:rsid w:val="00302AFD"/>
    <w:rsid w:val="00302BF4"/>
    <w:rsid w:val="003036AD"/>
    <w:rsid w:val="0030428F"/>
    <w:rsid w:val="00304572"/>
    <w:rsid w:val="0030509A"/>
    <w:rsid w:val="00305629"/>
    <w:rsid w:val="00305A04"/>
    <w:rsid w:val="00305ADC"/>
    <w:rsid w:val="00306046"/>
    <w:rsid w:val="003060F3"/>
    <w:rsid w:val="0030660B"/>
    <w:rsid w:val="00307996"/>
    <w:rsid w:val="0030799F"/>
    <w:rsid w:val="00310CFB"/>
    <w:rsid w:val="00310D5B"/>
    <w:rsid w:val="00310DA1"/>
    <w:rsid w:val="00311289"/>
    <w:rsid w:val="003112C3"/>
    <w:rsid w:val="0031145F"/>
    <w:rsid w:val="00311ADD"/>
    <w:rsid w:val="0031308F"/>
    <w:rsid w:val="00313415"/>
    <w:rsid w:val="00313A71"/>
    <w:rsid w:val="00313AFE"/>
    <w:rsid w:val="00313FD6"/>
    <w:rsid w:val="00314265"/>
    <w:rsid w:val="003149D0"/>
    <w:rsid w:val="00314E8A"/>
    <w:rsid w:val="00315588"/>
    <w:rsid w:val="00315F9A"/>
    <w:rsid w:val="003161CF"/>
    <w:rsid w:val="003166D4"/>
    <w:rsid w:val="0031706E"/>
    <w:rsid w:val="00317D9E"/>
    <w:rsid w:val="00317EBF"/>
    <w:rsid w:val="00320395"/>
    <w:rsid w:val="00320B22"/>
    <w:rsid w:val="003211FA"/>
    <w:rsid w:val="0032191E"/>
    <w:rsid w:val="003227D6"/>
    <w:rsid w:val="00323C1A"/>
    <w:rsid w:val="00323CAC"/>
    <w:rsid w:val="00323EDC"/>
    <w:rsid w:val="00324062"/>
    <w:rsid w:val="00324FD1"/>
    <w:rsid w:val="0032606A"/>
    <w:rsid w:val="0032622C"/>
    <w:rsid w:val="0032664E"/>
    <w:rsid w:val="003267EC"/>
    <w:rsid w:val="00326A80"/>
    <w:rsid w:val="0032729D"/>
    <w:rsid w:val="0032787E"/>
    <w:rsid w:val="00330DAD"/>
    <w:rsid w:val="00331676"/>
    <w:rsid w:val="0033171F"/>
    <w:rsid w:val="003326E2"/>
    <w:rsid w:val="00332BE8"/>
    <w:rsid w:val="00333279"/>
    <w:rsid w:val="00333579"/>
    <w:rsid w:val="003352DC"/>
    <w:rsid w:val="003358EA"/>
    <w:rsid w:val="00335E6D"/>
    <w:rsid w:val="00335F20"/>
    <w:rsid w:val="00336112"/>
    <w:rsid w:val="0033622E"/>
    <w:rsid w:val="00336248"/>
    <w:rsid w:val="003362A4"/>
    <w:rsid w:val="003369AC"/>
    <w:rsid w:val="00336A16"/>
    <w:rsid w:val="0033759D"/>
    <w:rsid w:val="003414D2"/>
    <w:rsid w:val="003428B8"/>
    <w:rsid w:val="00342A93"/>
    <w:rsid w:val="00343CF1"/>
    <w:rsid w:val="00344986"/>
    <w:rsid w:val="00344C32"/>
    <w:rsid w:val="0034517B"/>
    <w:rsid w:val="003451B9"/>
    <w:rsid w:val="003455FE"/>
    <w:rsid w:val="00345C0C"/>
    <w:rsid w:val="00346B98"/>
    <w:rsid w:val="003477B3"/>
    <w:rsid w:val="003500E1"/>
    <w:rsid w:val="003501DA"/>
    <w:rsid w:val="0035070B"/>
    <w:rsid w:val="00350858"/>
    <w:rsid w:val="00350945"/>
    <w:rsid w:val="00350949"/>
    <w:rsid w:val="00350A22"/>
    <w:rsid w:val="00350D75"/>
    <w:rsid w:val="00350F64"/>
    <w:rsid w:val="003512EC"/>
    <w:rsid w:val="00351805"/>
    <w:rsid w:val="003522E8"/>
    <w:rsid w:val="003525D2"/>
    <w:rsid w:val="00352F27"/>
    <w:rsid w:val="0035349C"/>
    <w:rsid w:val="00353751"/>
    <w:rsid w:val="00353827"/>
    <w:rsid w:val="00353D86"/>
    <w:rsid w:val="00354851"/>
    <w:rsid w:val="00354AE7"/>
    <w:rsid w:val="00354CE9"/>
    <w:rsid w:val="00355772"/>
    <w:rsid w:val="00355D1F"/>
    <w:rsid w:val="00355F85"/>
    <w:rsid w:val="0035652A"/>
    <w:rsid w:val="00356756"/>
    <w:rsid w:val="00356C98"/>
    <w:rsid w:val="00356F65"/>
    <w:rsid w:val="00357B6F"/>
    <w:rsid w:val="0036055B"/>
    <w:rsid w:val="00360DBB"/>
    <w:rsid w:val="003613A3"/>
    <w:rsid w:val="00361414"/>
    <w:rsid w:val="003616AE"/>
    <w:rsid w:val="0036188F"/>
    <w:rsid w:val="003618A3"/>
    <w:rsid w:val="00361D13"/>
    <w:rsid w:val="00363589"/>
    <w:rsid w:val="003636B6"/>
    <w:rsid w:val="00365000"/>
    <w:rsid w:val="0036534A"/>
    <w:rsid w:val="003653A7"/>
    <w:rsid w:val="0036613B"/>
    <w:rsid w:val="00366904"/>
    <w:rsid w:val="00366EB6"/>
    <w:rsid w:val="003672F4"/>
    <w:rsid w:val="00367BA7"/>
    <w:rsid w:val="00370383"/>
    <w:rsid w:val="00370400"/>
    <w:rsid w:val="00370C6F"/>
    <w:rsid w:val="00370CB1"/>
    <w:rsid w:val="00371545"/>
    <w:rsid w:val="00371711"/>
    <w:rsid w:val="00371BBF"/>
    <w:rsid w:val="00371C72"/>
    <w:rsid w:val="00371CB2"/>
    <w:rsid w:val="0037212D"/>
    <w:rsid w:val="00372265"/>
    <w:rsid w:val="0037228D"/>
    <w:rsid w:val="003722CE"/>
    <w:rsid w:val="00372908"/>
    <w:rsid w:val="00373630"/>
    <w:rsid w:val="00373B9A"/>
    <w:rsid w:val="00373F45"/>
    <w:rsid w:val="003741C3"/>
    <w:rsid w:val="003756F7"/>
    <w:rsid w:val="003763C0"/>
    <w:rsid w:val="00376C34"/>
    <w:rsid w:val="00376FD4"/>
    <w:rsid w:val="00377BCA"/>
    <w:rsid w:val="00380202"/>
    <w:rsid w:val="00380900"/>
    <w:rsid w:val="00381001"/>
    <w:rsid w:val="00381026"/>
    <w:rsid w:val="00381459"/>
    <w:rsid w:val="00381481"/>
    <w:rsid w:val="00381641"/>
    <w:rsid w:val="0038197A"/>
    <w:rsid w:val="00382800"/>
    <w:rsid w:val="00383884"/>
    <w:rsid w:val="00384125"/>
    <w:rsid w:val="0038434C"/>
    <w:rsid w:val="00384839"/>
    <w:rsid w:val="0038670C"/>
    <w:rsid w:val="003908DF"/>
    <w:rsid w:val="00392469"/>
    <w:rsid w:val="003924F4"/>
    <w:rsid w:val="003929A6"/>
    <w:rsid w:val="00392D0A"/>
    <w:rsid w:val="0039432F"/>
    <w:rsid w:val="00394661"/>
    <w:rsid w:val="0039471F"/>
    <w:rsid w:val="00394CD6"/>
    <w:rsid w:val="00395A20"/>
    <w:rsid w:val="00397A26"/>
    <w:rsid w:val="003A1085"/>
    <w:rsid w:val="003A1348"/>
    <w:rsid w:val="003A1CB0"/>
    <w:rsid w:val="003A24D1"/>
    <w:rsid w:val="003A2A3F"/>
    <w:rsid w:val="003A318F"/>
    <w:rsid w:val="003A347A"/>
    <w:rsid w:val="003A3E80"/>
    <w:rsid w:val="003A406A"/>
    <w:rsid w:val="003A45CE"/>
    <w:rsid w:val="003A496E"/>
    <w:rsid w:val="003A4EE5"/>
    <w:rsid w:val="003A50AF"/>
    <w:rsid w:val="003A5E72"/>
    <w:rsid w:val="003A60A1"/>
    <w:rsid w:val="003A6D06"/>
    <w:rsid w:val="003A6D56"/>
    <w:rsid w:val="003A6FC3"/>
    <w:rsid w:val="003A7025"/>
    <w:rsid w:val="003A7496"/>
    <w:rsid w:val="003B0505"/>
    <w:rsid w:val="003B10CB"/>
    <w:rsid w:val="003B1143"/>
    <w:rsid w:val="003B1354"/>
    <w:rsid w:val="003B1407"/>
    <w:rsid w:val="003B1891"/>
    <w:rsid w:val="003B1EEC"/>
    <w:rsid w:val="003B28EF"/>
    <w:rsid w:val="003B32DC"/>
    <w:rsid w:val="003B34D5"/>
    <w:rsid w:val="003B4295"/>
    <w:rsid w:val="003B4E4D"/>
    <w:rsid w:val="003B639C"/>
    <w:rsid w:val="003B77D1"/>
    <w:rsid w:val="003C0360"/>
    <w:rsid w:val="003C0A07"/>
    <w:rsid w:val="003C1380"/>
    <w:rsid w:val="003C18F4"/>
    <w:rsid w:val="003C21C4"/>
    <w:rsid w:val="003C2348"/>
    <w:rsid w:val="003C296D"/>
    <w:rsid w:val="003C2BD2"/>
    <w:rsid w:val="003C350A"/>
    <w:rsid w:val="003C36E7"/>
    <w:rsid w:val="003C42CE"/>
    <w:rsid w:val="003C4317"/>
    <w:rsid w:val="003C4D16"/>
    <w:rsid w:val="003C68F3"/>
    <w:rsid w:val="003C7F23"/>
    <w:rsid w:val="003D085B"/>
    <w:rsid w:val="003D0C23"/>
    <w:rsid w:val="003D100E"/>
    <w:rsid w:val="003D168A"/>
    <w:rsid w:val="003D17BB"/>
    <w:rsid w:val="003D1B10"/>
    <w:rsid w:val="003D230B"/>
    <w:rsid w:val="003D231E"/>
    <w:rsid w:val="003D2B4A"/>
    <w:rsid w:val="003D4630"/>
    <w:rsid w:val="003D49BF"/>
    <w:rsid w:val="003D51C5"/>
    <w:rsid w:val="003D52A2"/>
    <w:rsid w:val="003D5F9D"/>
    <w:rsid w:val="003D6063"/>
    <w:rsid w:val="003D61C9"/>
    <w:rsid w:val="003D686B"/>
    <w:rsid w:val="003D6DF0"/>
    <w:rsid w:val="003D71D1"/>
    <w:rsid w:val="003D758B"/>
    <w:rsid w:val="003D768B"/>
    <w:rsid w:val="003E00B1"/>
    <w:rsid w:val="003E01EC"/>
    <w:rsid w:val="003E052E"/>
    <w:rsid w:val="003E064B"/>
    <w:rsid w:val="003E15B6"/>
    <w:rsid w:val="003E3418"/>
    <w:rsid w:val="003E3A96"/>
    <w:rsid w:val="003E3C86"/>
    <w:rsid w:val="003E4158"/>
    <w:rsid w:val="003E4353"/>
    <w:rsid w:val="003E474B"/>
    <w:rsid w:val="003E6540"/>
    <w:rsid w:val="003E664A"/>
    <w:rsid w:val="003E68ED"/>
    <w:rsid w:val="003E74F2"/>
    <w:rsid w:val="003E7546"/>
    <w:rsid w:val="003E7D5E"/>
    <w:rsid w:val="003F03E4"/>
    <w:rsid w:val="003F0809"/>
    <w:rsid w:val="003F0D4D"/>
    <w:rsid w:val="003F1465"/>
    <w:rsid w:val="003F1466"/>
    <w:rsid w:val="003F1A1E"/>
    <w:rsid w:val="003F2DA4"/>
    <w:rsid w:val="003F44D1"/>
    <w:rsid w:val="003F4CFE"/>
    <w:rsid w:val="003F59E6"/>
    <w:rsid w:val="003F5AC6"/>
    <w:rsid w:val="003F70A2"/>
    <w:rsid w:val="003F70C9"/>
    <w:rsid w:val="003F7386"/>
    <w:rsid w:val="003F7AB4"/>
    <w:rsid w:val="004001B5"/>
    <w:rsid w:val="00400731"/>
    <w:rsid w:val="004008FD"/>
    <w:rsid w:val="00400B50"/>
    <w:rsid w:val="0040107C"/>
    <w:rsid w:val="00401965"/>
    <w:rsid w:val="004020F7"/>
    <w:rsid w:val="004024A3"/>
    <w:rsid w:val="0040254B"/>
    <w:rsid w:val="0040255F"/>
    <w:rsid w:val="004026A4"/>
    <w:rsid w:val="00403017"/>
    <w:rsid w:val="004032F6"/>
    <w:rsid w:val="004036B4"/>
    <w:rsid w:val="0040375E"/>
    <w:rsid w:val="004048FD"/>
    <w:rsid w:val="00404BDA"/>
    <w:rsid w:val="00404DA7"/>
    <w:rsid w:val="00405392"/>
    <w:rsid w:val="004062EB"/>
    <w:rsid w:val="004064D5"/>
    <w:rsid w:val="0040691B"/>
    <w:rsid w:val="00407645"/>
    <w:rsid w:val="00407DEC"/>
    <w:rsid w:val="00410D44"/>
    <w:rsid w:val="00410F21"/>
    <w:rsid w:val="0041166F"/>
    <w:rsid w:val="00411ED7"/>
    <w:rsid w:val="00411FE6"/>
    <w:rsid w:val="00412015"/>
    <w:rsid w:val="0041268D"/>
    <w:rsid w:val="00414CE8"/>
    <w:rsid w:val="00415AC8"/>
    <w:rsid w:val="00416281"/>
    <w:rsid w:val="004167D9"/>
    <w:rsid w:val="00416856"/>
    <w:rsid w:val="00417285"/>
    <w:rsid w:val="00417E20"/>
    <w:rsid w:val="0042011D"/>
    <w:rsid w:val="0042046C"/>
    <w:rsid w:val="00420685"/>
    <w:rsid w:val="004207AD"/>
    <w:rsid w:val="00421273"/>
    <w:rsid w:val="0042132E"/>
    <w:rsid w:val="0042217E"/>
    <w:rsid w:val="00422254"/>
    <w:rsid w:val="004223A9"/>
    <w:rsid w:val="0042252D"/>
    <w:rsid w:val="00422E88"/>
    <w:rsid w:val="00423161"/>
    <w:rsid w:val="0042425B"/>
    <w:rsid w:val="0042484D"/>
    <w:rsid w:val="00424B8A"/>
    <w:rsid w:val="00424C21"/>
    <w:rsid w:val="004255CB"/>
    <w:rsid w:val="00425ADC"/>
    <w:rsid w:val="00425E2B"/>
    <w:rsid w:val="00426AD8"/>
    <w:rsid w:val="00426BAB"/>
    <w:rsid w:val="00426C8B"/>
    <w:rsid w:val="00426E6D"/>
    <w:rsid w:val="00427708"/>
    <w:rsid w:val="00427DD4"/>
    <w:rsid w:val="004305B7"/>
    <w:rsid w:val="00430D23"/>
    <w:rsid w:val="00430D2E"/>
    <w:rsid w:val="0043104B"/>
    <w:rsid w:val="00431B3E"/>
    <w:rsid w:val="004326F8"/>
    <w:rsid w:val="0043291D"/>
    <w:rsid w:val="004333E9"/>
    <w:rsid w:val="0043368C"/>
    <w:rsid w:val="0043371F"/>
    <w:rsid w:val="00433922"/>
    <w:rsid w:val="00433D7B"/>
    <w:rsid w:val="00433F9B"/>
    <w:rsid w:val="00434072"/>
    <w:rsid w:val="004340B0"/>
    <w:rsid w:val="00434A69"/>
    <w:rsid w:val="0043531F"/>
    <w:rsid w:val="00435AC9"/>
    <w:rsid w:val="004377F3"/>
    <w:rsid w:val="004406EF"/>
    <w:rsid w:val="004407D3"/>
    <w:rsid w:val="004407F1"/>
    <w:rsid w:val="00440B9E"/>
    <w:rsid w:val="00442200"/>
    <w:rsid w:val="00442E84"/>
    <w:rsid w:val="004443FF"/>
    <w:rsid w:val="00444C11"/>
    <w:rsid w:val="0044551F"/>
    <w:rsid w:val="0044559E"/>
    <w:rsid w:val="004456F4"/>
    <w:rsid w:val="00446D95"/>
    <w:rsid w:val="0044733C"/>
    <w:rsid w:val="00447369"/>
    <w:rsid w:val="00447540"/>
    <w:rsid w:val="00447C4C"/>
    <w:rsid w:val="00450312"/>
    <w:rsid w:val="0045073B"/>
    <w:rsid w:val="00450FFE"/>
    <w:rsid w:val="00451CA2"/>
    <w:rsid w:val="0045214B"/>
    <w:rsid w:val="00452C04"/>
    <w:rsid w:val="00452E17"/>
    <w:rsid w:val="00452F85"/>
    <w:rsid w:val="004533F9"/>
    <w:rsid w:val="00453A1C"/>
    <w:rsid w:val="00453ADE"/>
    <w:rsid w:val="004541D7"/>
    <w:rsid w:val="0045562B"/>
    <w:rsid w:val="00455B3E"/>
    <w:rsid w:val="00455CB0"/>
    <w:rsid w:val="0045614A"/>
    <w:rsid w:val="0045655E"/>
    <w:rsid w:val="00456C9E"/>
    <w:rsid w:val="00457F21"/>
    <w:rsid w:val="00460182"/>
    <w:rsid w:val="004601BC"/>
    <w:rsid w:val="004619DA"/>
    <w:rsid w:val="00461B29"/>
    <w:rsid w:val="00461D56"/>
    <w:rsid w:val="00462220"/>
    <w:rsid w:val="004622C9"/>
    <w:rsid w:val="004622D1"/>
    <w:rsid w:val="0046268F"/>
    <w:rsid w:val="004628C0"/>
    <w:rsid w:val="00463602"/>
    <w:rsid w:val="00464B25"/>
    <w:rsid w:val="00464B79"/>
    <w:rsid w:val="004650DB"/>
    <w:rsid w:val="00465175"/>
    <w:rsid w:val="0046611E"/>
    <w:rsid w:val="00466280"/>
    <w:rsid w:val="00466F89"/>
    <w:rsid w:val="004671F9"/>
    <w:rsid w:val="0047028F"/>
    <w:rsid w:val="00470D65"/>
    <w:rsid w:val="00471206"/>
    <w:rsid w:val="00471C99"/>
    <w:rsid w:val="00472240"/>
    <w:rsid w:val="00472850"/>
    <w:rsid w:val="004746F1"/>
    <w:rsid w:val="0047498C"/>
    <w:rsid w:val="00474EBE"/>
    <w:rsid w:val="00474F3D"/>
    <w:rsid w:val="00475126"/>
    <w:rsid w:val="0047655C"/>
    <w:rsid w:val="004765C3"/>
    <w:rsid w:val="00476618"/>
    <w:rsid w:val="00476BD4"/>
    <w:rsid w:val="00477187"/>
    <w:rsid w:val="004775A3"/>
    <w:rsid w:val="00477955"/>
    <w:rsid w:val="00477B0D"/>
    <w:rsid w:val="00477B6A"/>
    <w:rsid w:val="00480384"/>
    <w:rsid w:val="00481535"/>
    <w:rsid w:val="004818B3"/>
    <w:rsid w:val="00482861"/>
    <w:rsid w:val="0048292D"/>
    <w:rsid w:val="00483BB3"/>
    <w:rsid w:val="00483FB0"/>
    <w:rsid w:val="00485041"/>
    <w:rsid w:val="0048565A"/>
    <w:rsid w:val="004858F0"/>
    <w:rsid w:val="00485BE9"/>
    <w:rsid w:val="00485C7F"/>
    <w:rsid w:val="004866B0"/>
    <w:rsid w:val="00486A96"/>
    <w:rsid w:val="00486B2F"/>
    <w:rsid w:val="00486CDE"/>
    <w:rsid w:val="00486CF8"/>
    <w:rsid w:val="0048747C"/>
    <w:rsid w:val="0048759E"/>
    <w:rsid w:val="0048773E"/>
    <w:rsid w:val="00487921"/>
    <w:rsid w:val="00487A23"/>
    <w:rsid w:val="00487DBF"/>
    <w:rsid w:val="0049105B"/>
    <w:rsid w:val="00491B59"/>
    <w:rsid w:val="00491B9E"/>
    <w:rsid w:val="0049200B"/>
    <w:rsid w:val="004934D7"/>
    <w:rsid w:val="00493ECE"/>
    <w:rsid w:val="00493F18"/>
    <w:rsid w:val="004943F5"/>
    <w:rsid w:val="0049493F"/>
    <w:rsid w:val="00494A98"/>
    <w:rsid w:val="00494CF9"/>
    <w:rsid w:val="0049523A"/>
    <w:rsid w:val="00495C97"/>
    <w:rsid w:val="00495F4F"/>
    <w:rsid w:val="004960DA"/>
    <w:rsid w:val="0049634E"/>
    <w:rsid w:val="00496427"/>
    <w:rsid w:val="0049653F"/>
    <w:rsid w:val="004967F8"/>
    <w:rsid w:val="00496982"/>
    <w:rsid w:val="00497006"/>
    <w:rsid w:val="004970EA"/>
    <w:rsid w:val="004A0339"/>
    <w:rsid w:val="004A0ECF"/>
    <w:rsid w:val="004A127B"/>
    <w:rsid w:val="004A1AE8"/>
    <w:rsid w:val="004A1D34"/>
    <w:rsid w:val="004A1DAA"/>
    <w:rsid w:val="004A1EFF"/>
    <w:rsid w:val="004A26A6"/>
    <w:rsid w:val="004A26B8"/>
    <w:rsid w:val="004A3823"/>
    <w:rsid w:val="004A4241"/>
    <w:rsid w:val="004A5243"/>
    <w:rsid w:val="004A579C"/>
    <w:rsid w:val="004A743E"/>
    <w:rsid w:val="004A75B2"/>
    <w:rsid w:val="004A78DB"/>
    <w:rsid w:val="004A79BC"/>
    <w:rsid w:val="004A7DA4"/>
    <w:rsid w:val="004A7F1E"/>
    <w:rsid w:val="004A7F8E"/>
    <w:rsid w:val="004B00BA"/>
    <w:rsid w:val="004B0D36"/>
    <w:rsid w:val="004B268C"/>
    <w:rsid w:val="004B2E48"/>
    <w:rsid w:val="004B37B0"/>
    <w:rsid w:val="004B3A71"/>
    <w:rsid w:val="004B41A8"/>
    <w:rsid w:val="004B4B50"/>
    <w:rsid w:val="004B574A"/>
    <w:rsid w:val="004B601E"/>
    <w:rsid w:val="004B61AC"/>
    <w:rsid w:val="004B65A3"/>
    <w:rsid w:val="004B6850"/>
    <w:rsid w:val="004B7137"/>
    <w:rsid w:val="004B7638"/>
    <w:rsid w:val="004B7C50"/>
    <w:rsid w:val="004C0799"/>
    <w:rsid w:val="004C154A"/>
    <w:rsid w:val="004C1FC6"/>
    <w:rsid w:val="004C2041"/>
    <w:rsid w:val="004C2643"/>
    <w:rsid w:val="004C2F0A"/>
    <w:rsid w:val="004C2F45"/>
    <w:rsid w:val="004C3338"/>
    <w:rsid w:val="004C47D9"/>
    <w:rsid w:val="004C490D"/>
    <w:rsid w:val="004C5009"/>
    <w:rsid w:val="004C5A83"/>
    <w:rsid w:val="004C5DE3"/>
    <w:rsid w:val="004C6509"/>
    <w:rsid w:val="004C6D0E"/>
    <w:rsid w:val="004C7D0D"/>
    <w:rsid w:val="004C7D14"/>
    <w:rsid w:val="004C7DA9"/>
    <w:rsid w:val="004D0D55"/>
    <w:rsid w:val="004D0EC7"/>
    <w:rsid w:val="004D0F62"/>
    <w:rsid w:val="004D2502"/>
    <w:rsid w:val="004D2ACE"/>
    <w:rsid w:val="004D2AEC"/>
    <w:rsid w:val="004D2BEA"/>
    <w:rsid w:val="004D2CDB"/>
    <w:rsid w:val="004D2F15"/>
    <w:rsid w:val="004D3F7A"/>
    <w:rsid w:val="004D436D"/>
    <w:rsid w:val="004D47A8"/>
    <w:rsid w:val="004D4D70"/>
    <w:rsid w:val="004D5B21"/>
    <w:rsid w:val="004D5BDA"/>
    <w:rsid w:val="004D628E"/>
    <w:rsid w:val="004D682A"/>
    <w:rsid w:val="004D69E8"/>
    <w:rsid w:val="004D7085"/>
    <w:rsid w:val="004D731E"/>
    <w:rsid w:val="004E0431"/>
    <w:rsid w:val="004E0B4A"/>
    <w:rsid w:val="004E105E"/>
    <w:rsid w:val="004E116B"/>
    <w:rsid w:val="004E21EC"/>
    <w:rsid w:val="004E2333"/>
    <w:rsid w:val="004E25EE"/>
    <w:rsid w:val="004E3724"/>
    <w:rsid w:val="004E3811"/>
    <w:rsid w:val="004E3F53"/>
    <w:rsid w:val="004E4191"/>
    <w:rsid w:val="004E4351"/>
    <w:rsid w:val="004E43AA"/>
    <w:rsid w:val="004E4608"/>
    <w:rsid w:val="004E49C9"/>
    <w:rsid w:val="004E4E50"/>
    <w:rsid w:val="004E650F"/>
    <w:rsid w:val="004E7408"/>
    <w:rsid w:val="004E7B5F"/>
    <w:rsid w:val="004F0413"/>
    <w:rsid w:val="004F0B90"/>
    <w:rsid w:val="004F0F80"/>
    <w:rsid w:val="004F1373"/>
    <w:rsid w:val="004F1A7A"/>
    <w:rsid w:val="004F26AD"/>
    <w:rsid w:val="004F2CA5"/>
    <w:rsid w:val="004F30CE"/>
    <w:rsid w:val="004F403F"/>
    <w:rsid w:val="004F4EB1"/>
    <w:rsid w:val="004F4FD7"/>
    <w:rsid w:val="004F5FED"/>
    <w:rsid w:val="004F610A"/>
    <w:rsid w:val="004F6B89"/>
    <w:rsid w:val="004F6CEC"/>
    <w:rsid w:val="004F77C3"/>
    <w:rsid w:val="004F7CEE"/>
    <w:rsid w:val="005001CD"/>
    <w:rsid w:val="005004CC"/>
    <w:rsid w:val="00500703"/>
    <w:rsid w:val="00500799"/>
    <w:rsid w:val="005008E5"/>
    <w:rsid w:val="00500A7B"/>
    <w:rsid w:val="00500A99"/>
    <w:rsid w:val="005012E4"/>
    <w:rsid w:val="00501500"/>
    <w:rsid w:val="00502525"/>
    <w:rsid w:val="00502591"/>
    <w:rsid w:val="005026D0"/>
    <w:rsid w:val="0050276A"/>
    <w:rsid w:val="00502A93"/>
    <w:rsid w:val="00503A44"/>
    <w:rsid w:val="00504277"/>
    <w:rsid w:val="005053FD"/>
    <w:rsid w:val="00505E59"/>
    <w:rsid w:val="0050771D"/>
    <w:rsid w:val="00507784"/>
    <w:rsid w:val="005077CC"/>
    <w:rsid w:val="00507D73"/>
    <w:rsid w:val="00510E5C"/>
    <w:rsid w:val="00511455"/>
    <w:rsid w:val="00511599"/>
    <w:rsid w:val="00511BD9"/>
    <w:rsid w:val="0051278B"/>
    <w:rsid w:val="00512C92"/>
    <w:rsid w:val="00512EC7"/>
    <w:rsid w:val="005136F9"/>
    <w:rsid w:val="005137F8"/>
    <w:rsid w:val="00513BCA"/>
    <w:rsid w:val="00514600"/>
    <w:rsid w:val="00514B47"/>
    <w:rsid w:val="00514E23"/>
    <w:rsid w:val="005161EE"/>
    <w:rsid w:val="005165CC"/>
    <w:rsid w:val="005169B1"/>
    <w:rsid w:val="00516B4A"/>
    <w:rsid w:val="00517318"/>
    <w:rsid w:val="0051764B"/>
    <w:rsid w:val="0052005F"/>
    <w:rsid w:val="0052054D"/>
    <w:rsid w:val="00520B31"/>
    <w:rsid w:val="00520B9A"/>
    <w:rsid w:val="00520D80"/>
    <w:rsid w:val="00521B25"/>
    <w:rsid w:val="00521B75"/>
    <w:rsid w:val="00521BFD"/>
    <w:rsid w:val="005220CB"/>
    <w:rsid w:val="005222C5"/>
    <w:rsid w:val="00522400"/>
    <w:rsid w:val="005224F9"/>
    <w:rsid w:val="00522D5A"/>
    <w:rsid w:val="0052341F"/>
    <w:rsid w:val="00523736"/>
    <w:rsid w:val="00523D53"/>
    <w:rsid w:val="00523E89"/>
    <w:rsid w:val="00524339"/>
    <w:rsid w:val="00524D5F"/>
    <w:rsid w:val="005255D6"/>
    <w:rsid w:val="005258AF"/>
    <w:rsid w:val="00525CBA"/>
    <w:rsid w:val="005262FE"/>
    <w:rsid w:val="00526D8B"/>
    <w:rsid w:val="00527459"/>
    <w:rsid w:val="00527822"/>
    <w:rsid w:val="005278F7"/>
    <w:rsid w:val="00527924"/>
    <w:rsid w:val="00527BD6"/>
    <w:rsid w:val="00527ECC"/>
    <w:rsid w:val="0053056B"/>
    <w:rsid w:val="00530A07"/>
    <w:rsid w:val="00530D6F"/>
    <w:rsid w:val="00531834"/>
    <w:rsid w:val="00531E58"/>
    <w:rsid w:val="00531F45"/>
    <w:rsid w:val="005328ED"/>
    <w:rsid w:val="00532F72"/>
    <w:rsid w:val="00533276"/>
    <w:rsid w:val="005338E5"/>
    <w:rsid w:val="00533D5E"/>
    <w:rsid w:val="0053468E"/>
    <w:rsid w:val="005348A4"/>
    <w:rsid w:val="00534B51"/>
    <w:rsid w:val="00534C37"/>
    <w:rsid w:val="00535653"/>
    <w:rsid w:val="00535AD5"/>
    <w:rsid w:val="00535CEA"/>
    <w:rsid w:val="005362BC"/>
    <w:rsid w:val="00536351"/>
    <w:rsid w:val="005364D7"/>
    <w:rsid w:val="00536F6B"/>
    <w:rsid w:val="00537752"/>
    <w:rsid w:val="005404ED"/>
    <w:rsid w:val="0054153C"/>
    <w:rsid w:val="00541F78"/>
    <w:rsid w:val="0054268F"/>
    <w:rsid w:val="00542E15"/>
    <w:rsid w:val="0054360F"/>
    <w:rsid w:val="005451CF"/>
    <w:rsid w:val="00545A46"/>
    <w:rsid w:val="00545DA9"/>
    <w:rsid w:val="00546714"/>
    <w:rsid w:val="005469A6"/>
    <w:rsid w:val="005479AB"/>
    <w:rsid w:val="00547BC2"/>
    <w:rsid w:val="00550874"/>
    <w:rsid w:val="00550E15"/>
    <w:rsid w:val="00551363"/>
    <w:rsid w:val="00551E95"/>
    <w:rsid w:val="005525BC"/>
    <w:rsid w:val="005529E6"/>
    <w:rsid w:val="00553035"/>
    <w:rsid w:val="0055311F"/>
    <w:rsid w:val="00553F13"/>
    <w:rsid w:val="00554673"/>
    <w:rsid w:val="0055541E"/>
    <w:rsid w:val="00555690"/>
    <w:rsid w:val="005556D0"/>
    <w:rsid w:val="0055593A"/>
    <w:rsid w:val="0055634F"/>
    <w:rsid w:val="0055664F"/>
    <w:rsid w:val="00556864"/>
    <w:rsid w:val="005569E0"/>
    <w:rsid w:val="00557169"/>
    <w:rsid w:val="005572DE"/>
    <w:rsid w:val="005572F3"/>
    <w:rsid w:val="005575D3"/>
    <w:rsid w:val="00557832"/>
    <w:rsid w:val="00560182"/>
    <w:rsid w:val="0056128A"/>
    <w:rsid w:val="00561358"/>
    <w:rsid w:val="00561AE3"/>
    <w:rsid w:val="005623C5"/>
    <w:rsid w:val="005640B6"/>
    <w:rsid w:val="00564B38"/>
    <w:rsid w:val="00565676"/>
    <w:rsid w:val="00565E58"/>
    <w:rsid w:val="00566FF2"/>
    <w:rsid w:val="005679E4"/>
    <w:rsid w:val="00571169"/>
    <w:rsid w:val="00572852"/>
    <w:rsid w:val="00572E04"/>
    <w:rsid w:val="005730D1"/>
    <w:rsid w:val="00573CA5"/>
    <w:rsid w:val="005748B1"/>
    <w:rsid w:val="00574AE0"/>
    <w:rsid w:val="00574AE5"/>
    <w:rsid w:val="00574C60"/>
    <w:rsid w:val="0057552E"/>
    <w:rsid w:val="005761BE"/>
    <w:rsid w:val="0057735C"/>
    <w:rsid w:val="0058018B"/>
    <w:rsid w:val="00580761"/>
    <w:rsid w:val="00580B0C"/>
    <w:rsid w:val="00580D3D"/>
    <w:rsid w:val="00580DF7"/>
    <w:rsid w:val="00580E5E"/>
    <w:rsid w:val="0058156E"/>
    <w:rsid w:val="00581C78"/>
    <w:rsid w:val="005822D4"/>
    <w:rsid w:val="00582B50"/>
    <w:rsid w:val="00583651"/>
    <w:rsid w:val="00584DCF"/>
    <w:rsid w:val="00584EBE"/>
    <w:rsid w:val="005851BA"/>
    <w:rsid w:val="005861D3"/>
    <w:rsid w:val="0058657A"/>
    <w:rsid w:val="005866E6"/>
    <w:rsid w:val="0058690C"/>
    <w:rsid w:val="00586ADB"/>
    <w:rsid w:val="00586C44"/>
    <w:rsid w:val="0058720F"/>
    <w:rsid w:val="00587210"/>
    <w:rsid w:val="005872CD"/>
    <w:rsid w:val="00587581"/>
    <w:rsid w:val="0058782E"/>
    <w:rsid w:val="00587894"/>
    <w:rsid w:val="00587FFA"/>
    <w:rsid w:val="0059007E"/>
    <w:rsid w:val="00590635"/>
    <w:rsid w:val="0059097A"/>
    <w:rsid w:val="005913BD"/>
    <w:rsid w:val="00592252"/>
    <w:rsid w:val="00592463"/>
    <w:rsid w:val="0059271E"/>
    <w:rsid w:val="005929FB"/>
    <w:rsid w:val="00592FDB"/>
    <w:rsid w:val="00593926"/>
    <w:rsid w:val="00593B09"/>
    <w:rsid w:val="00593B2B"/>
    <w:rsid w:val="00593F61"/>
    <w:rsid w:val="00593FCC"/>
    <w:rsid w:val="00594F85"/>
    <w:rsid w:val="005962E4"/>
    <w:rsid w:val="005966F3"/>
    <w:rsid w:val="00597192"/>
    <w:rsid w:val="00597BAC"/>
    <w:rsid w:val="00597D75"/>
    <w:rsid w:val="00597FEF"/>
    <w:rsid w:val="005A0383"/>
    <w:rsid w:val="005A060D"/>
    <w:rsid w:val="005A0811"/>
    <w:rsid w:val="005A0D3C"/>
    <w:rsid w:val="005A0ED9"/>
    <w:rsid w:val="005A1409"/>
    <w:rsid w:val="005A1574"/>
    <w:rsid w:val="005A1BC5"/>
    <w:rsid w:val="005A2B40"/>
    <w:rsid w:val="005A2CC6"/>
    <w:rsid w:val="005A3331"/>
    <w:rsid w:val="005A3FA4"/>
    <w:rsid w:val="005A45A7"/>
    <w:rsid w:val="005A4B13"/>
    <w:rsid w:val="005A50E2"/>
    <w:rsid w:val="005A5833"/>
    <w:rsid w:val="005A58C6"/>
    <w:rsid w:val="005A5EE3"/>
    <w:rsid w:val="005A68EF"/>
    <w:rsid w:val="005A6970"/>
    <w:rsid w:val="005A6BBE"/>
    <w:rsid w:val="005A6FCB"/>
    <w:rsid w:val="005A7060"/>
    <w:rsid w:val="005A7239"/>
    <w:rsid w:val="005A78FF"/>
    <w:rsid w:val="005B02BF"/>
    <w:rsid w:val="005B0B5B"/>
    <w:rsid w:val="005B0D6B"/>
    <w:rsid w:val="005B27B0"/>
    <w:rsid w:val="005B2A38"/>
    <w:rsid w:val="005B2AD5"/>
    <w:rsid w:val="005B34C0"/>
    <w:rsid w:val="005B4A48"/>
    <w:rsid w:val="005B6BE9"/>
    <w:rsid w:val="005B73C4"/>
    <w:rsid w:val="005B7CEF"/>
    <w:rsid w:val="005B7EDA"/>
    <w:rsid w:val="005C0606"/>
    <w:rsid w:val="005C102D"/>
    <w:rsid w:val="005C19E7"/>
    <w:rsid w:val="005C228E"/>
    <w:rsid w:val="005C25A4"/>
    <w:rsid w:val="005C274C"/>
    <w:rsid w:val="005C2F08"/>
    <w:rsid w:val="005C326F"/>
    <w:rsid w:val="005C3CAB"/>
    <w:rsid w:val="005C49FF"/>
    <w:rsid w:val="005C529A"/>
    <w:rsid w:val="005C5AF7"/>
    <w:rsid w:val="005C630F"/>
    <w:rsid w:val="005C646C"/>
    <w:rsid w:val="005C692D"/>
    <w:rsid w:val="005C6E2A"/>
    <w:rsid w:val="005C7C75"/>
    <w:rsid w:val="005C7FC5"/>
    <w:rsid w:val="005D1116"/>
    <w:rsid w:val="005D16E5"/>
    <w:rsid w:val="005D1D97"/>
    <w:rsid w:val="005D22FF"/>
    <w:rsid w:val="005D26E0"/>
    <w:rsid w:val="005D42E8"/>
    <w:rsid w:val="005D4603"/>
    <w:rsid w:val="005D498F"/>
    <w:rsid w:val="005D4CF7"/>
    <w:rsid w:val="005D4FED"/>
    <w:rsid w:val="005D5982"/>
    <w:rsid w:val="005D5984"/>
    <w:rsid w:val="005D5AB7"/>
    <w:rsid w:val="005D7A25"/>
    <w:rsid w:val="005D7FFD"/>
    <w:rsid w:val="005E222F"/>
    <w:rsid w:val="005E22B7"/>
    <w:rsid w:val="005E27B9"/>
    <w:rsid w:val="005E3393"/>
    <w:rsid w:val="005E371C"/>
    <w:rsid w:val="005E3E7F"/>
    <w:rsid w:val="005E43A4"/>
    <w:rsid w:val="005E6635"/>
    <w:rsid w:val="005E6A95"/>
    <w:rsid w:val="005E76FD"/>
    <w:rsid w:val="005E7A6F"/>
    <w:rsid w:val="005E7E62"/>
    <w:rsid w:val="005F0D5D"/>
    <w:rsid w:val="005F1187"/>
    <w:rsid w:val="005F1836"/>
    <w:rsid w:val="005F2051"/>
    <w:rsid w:val="005F2351"/>
    <w:rsid w:val="005F24F1"/>
    <w:rsid w:val="005F24FD"/>
    <w:rsid w:val="005F33D0"/>
    <w:rsid w:val="005F3DAD"/>
    <w:rsid w:val="005F4EBB"/>
    <w:rsid w:val="005F5915"/>
    <w:rsid w:val="005F5975"/>
    <w:rsid w:val="005F5C78"/>
    <w:rsid w:val="005F6162"/>
    <w:rsid w:val="005F6636"/>
    <w:rsid w:val="005F6B7A"/>
    <w:rsid w:val="005F6C24"/>
    <w:rsid w:val="005F7C9C"/>
    <w:rsid w:val="00600B81"/>
    <w:rsid w:val="00600DB2"/>
    <w:rsid w:val="0060190A"/>
    <w:rsid w:val="006020E1"/>
    <w:rsid w:val="00602671"/>
    <w:rsid w:val="006026B1"/>
    <w:rsid w:val="0060353D"/>
    <w:rsid w:val="0060361F"/>
    <w:rsid w:val="00603B76"/>
    <w:rsid w:val="006042B0"/>
    <w:rsid w:val="006046DF"/>
    <w:rsid w:val="00604C36"/>
    <w:rsid w:val="00605442"/>
    <w:rsid w:val="006059B9"/>
    <w:rsid w:val="0060617F"/>
    <w:rsid w:val="00606219"/>
    <w:rsid w:val="00606256"/>
    <w:rsid w:val="00606321"/>
    <w:rsid w:val="00606C86"/>
    <w:rsid w:val="00607051"/>
    <w:rsid w:val="006075B0"/>
    <w:rsid w:val="00607D8B"/>
    <w:rsid w:val="00607E8C"/>
    <w:rsid w:val="00610100"/>
    <w:rsid w:val="0061071F"/>
    <w:rsid w:val="00611397"/>
    <w:rsid w:val="0061164B"/>
    <w:rsid w:val="00611794"/>
    <w:rsid w:val="00611B49"/>
    <w:rsid w:val="00612797"/>
    <w:rsid w:val="006131B3"/>
    <w:rsid w:val="006134F3"/>
    <w:rsid w:val="00613590"/>
    <w:rsid w:val="00614175"/>
    <w:rsid w:val="0061529F"/>
    <w:rsid w:val="00615AF4"/>
    <w:rsid w:val="00615B30"/>
    <w:rsid w:val="00617170"/>
    <w:rsid w:val="00617181"/>
    <w:rsid w:val="0061781A"/>
    <w:rsid w:val="00617B42"/>
    <w:rsid w:val="00617FFE"/>
    <w:rsid w:val="00620A0F"/>
    <w:rsid w:val="00620B88"/>
    <w:rsid w:val="00621454"/>
    <w:rsid w:val="006214F4"/>
    <w:rsid w:val="00621597"/>
    <w:rsid w:val="0062190C"/>
    <w:rsid w:val="00621BF3"/>
    <w:rsid w:val="0062329D"/>
    <w:rsid w:val="006232B8"/>
    <w:rsid w:val="00623D75"/>
    <w:rsid w:val="00624392"/>
    <w:rsid w:val="00624DF5"/>
    <w:rsid w:val="00627400"/>
    <w:rsid w:val="00627674"/>
    <w:rsid w:val="00627B61"/>
    <w:rsid w:val="006304AC"/>
    <w:rsid w:val="00630993"/>
    <w:rsid w:val="00630A04"/>
    <w:rsid w:val="00631838"/>
    <w:rsid w:val="00631C7C"/>
    <w:rsid w:val="00632209"/>
    <w:rsid w:val="0063246D"/>
    <w:rsid w:val="00632971"/>
    <w:rsid w:val="00632B96"/>
    <w:rsid w:val="00632CEE"/>
    <w:rsid w:val="0063529C"/>
    <w:rsid w:val="00635643"/>
    <w:rsid w:val="00635AB3"/>
    <w:rsid w:val="00635BD5"/>
    <w:rsid w:val="00636A5A"/>
    <w:rsid w:val="00636E64"/>
    <w:rsid w:val="0063717D"/>
    <w:rsid w:val="006402FF"/>
    <w:rsid w:val="006410FC"/>
    <w:rsid w:val="0064113B"/>
    <w:rsid w:val="00641429"/>
    <w:rsid w:val="00641CBB"/>
    <w:rsid w:val="00642B6A"/>
    <w:rsid w:val="006437A9"/>
    <w:rsid w:val="006437C8"/>
    <w:rsid w:val="00643B33"/>
    <w:rsid w:val="00643C1E"/>
    <w:rsid w:val="006451A3"/>
    <w:rsid w:val="00645A2E"/>
    <w:rsid w:val="00645D3B"/>
    <w:rsid w:val="00645F6E"/>
    <w:rsid w:val="00646DD2"/>
    <w:rsid w:val="00647B38"/>
    <w:rsid w:val="00647F9F"/>
    <w:rsid w:val="00650056"/>
    <w:rsid w:val="00650BD0"/>
    <w:rsid w:val="0065111C"/>
    <w:rsid w:val="006511CF"/>
    <w:rsid w:val="006517EE"/>
    <w:rsid w:val="00651929"/>
    <w:rsid w:val="00651C13"/>
    <w:rsid w:val="006521E9"/>
    <w:rsid w:val="00652BBD"/>
    <w:rsid w:val="00652E34"/>
    <w:rsid w:val="00653232"/>
    <w:rsid w:val="00653B05"/>
    <w:rsid w:val="006548CF"/>
    <w:rsid w:val="00654B5A"/>
    <w:rsid w:val="00655735"/>
    <w:rsid w:val="006559C6"/>
    <w:rsid w:val="00656140"/>
    <w:rsid w:val="0065621F"/>
    <w:rsid w:val="0065653C"/>
    <w:rsid w:val="00656E0F"/>
    <w:rsid w:val="00657234"/>
    <w:rsid w:val="006576F9"/>
    <w:rsid w:val="00657852"/>
    <w:rsid w:val="00657962"/>
    <w:rsid w:val="006579D8"/>
    <w:rsid w:val="00660735"/>
    <w:rsid w:val="0066082C"/>
    <w:rsid w:val="00660DF6"/>
    <w:rsid w:val="006618EE"/>
    <w:rsid w:val="006621CC"/>
    <w:rsid w:val="0066285D"/>
    <w:rsid w:val="006641F9"/>
    <w:rsid w:val="006649F7"/>
    <w:rsid w:val="006652CA"/>
    <w:rsid w:val="00665588"/>
    <w:rsid w:val="00665B46"/>
    <w:rsid w:val="00666386"/>
    <w:rsid w:val="00666AE1"/>
    <w:rsid w:val="006671DA"/>
    <w:rsid w:val="006675A2"/>
    <w:rsid w:val="006675F2"/>
    <w:rsid w:val="00667E02"/>
    <w:rsid w:val="00670149"/>
    <w:rsid w:val="006706D3"/>
    <w:rsid w:val="006707FE"/>
    <w:rsid w:val="00671354"/>
    <w:rsid w:val="00671B33"/>
    <w:rsid w:val="00671B7E"/>
    <w:rsid w:val="00672F26"/>
    <w:rsid w:val="00673B1B"/>
    <w:rsid w:val="00674B26"/>
    <w:rsid w:val="00674CBB"/>
    <w:rsid w:val="006752EC"/>
    <w:rsid w:val="00675E63"/>
    <w:rsid w:val="00676357"/>
    <w:rsid w:val="00676410"/>
    <w:rsid w:val="00676767"/>
    <w:rsid w:val="00676EE3"/>
    <w:rsid w:val="006772B7"/>
    <w:rsid w:val="006776D5"/>
    <w:rsid w:val="00677A0E"/>
    <w:rsid w:val="0068037D"/>
    <w:rsid w:val="00680907"/>
    <w:rsid w:val="00680AA8"/>
    <w:rsid w:val="00680C61"/>
    <w:rsid w:val="00681409"/>
    <w:rsid w:val="006816D1"/>
    <w:rsid w:val="00681791"/>
    <w:rsid w:val="00681C65"/>
    <w:rsid w:val="00682182"/>
    <w:rsid w:val="006824DA"/>
    <w:rsid w:val="0068295D"/>
    <w:rsid w:val="00683297"/>
    <w:rsid w:val="006835B2"/>
    <w:rsid w:val="006836B4"/>
    <w:rsid w:val="00683EDA"/>
    <w:rsid w:val="0068405E"/>
    <w:rsid w:val="006841FB"/>
    <w:rsid w:val="0068441D"/>
    <w:rsid w:val="00684B63"/>
    <w:rsid w:val="00686568"/>
    <w:rsid w:val="00686836"/>
    <w:rsid w:val="00686C24"/>
    <w:rsid w:val="0068757C"/>
    <w:rsid w:val="00687F43"/>
    <w:rsid w:val="00690612"/>
    <w:rsid w:val="00690787"/>
    <w:rsid w:val="00691677"/>
    <w:rsid w:val="00691B12"/>
    <w:rsid w:val="006921DD"/>
    <w:rsid w:val="00692486"/>
    <w:rsid w:val="00692666"/>
    <w:rsid w:val="00693233"/>
    <w:rsid w:val="006938E8"/>
    <w:rsid w:val="00693CF7"/>
    <w:rsid w:val="00693F86"/>
    <w:rsid w:val="006942A6"/>
    <w:rsid w:val="00694AA1"/>
    <w:rsid w:val="006956F7"/>
    <w:rsid w:val="00695E20"/>
    <w:rsid w:val="00696097"/>
    <w:rsid w:val="00696EC8"/>
    <w:rsid w:val="0069704C"/>
    <w:rsid w:val="00697735"/>
    <w:rsid w:val="00697A4C"/>
    <w:rsid w:val="00697E58"/>
    <w:rsid w:val="006A0C9B"/>
    <w:rsid w:val="006A0CA6"/>
    <w:rsid w:val="006A0EC1"/>
    <w:rsid w:val="006A13B6"/>
    <w:rsid w:val="006A19B9"/>
    <w:rsid w:val="006A1EC1"/>
    <w:rsid w:val="006A291D"/>
    <w:rsid w:val="006A2B05"/>
    <w:rsid w:val="006A3437"/>
    <w:rsid w:val="006A3528"/>
    <w:rsid w:val="006A3716"/>
    <w:rsid w:val="006A3AE2"/>
    <w:rsid w:val="006A3BEB"/>
    <w:rsid w:val="006A4F5F"/>
    <w:rsid w:val="006A51D2"/>
    <w:rsid w:val="006A56A2"/>
    <w:rsid w:val="006A5A04"/>
    <w:rsid w:val="006A5BA4"/>
    <w:rsid w:val="006A5F04"/>
    <w:rsid w:val="006A630B"/>
    <w:rsid w:val="006A6AEC"/>
    <w:rsid w:val="006A7B2D"/>
    <w:rsid w:val="006A7B31"/>
    <w:rsid w:val="006B111F"/>
    <w:rsid w:val="006B11C4"/>
    <w:rsid w:val="006B1A4D"/>
    <w:rsid w:val="006B1BAE"/>
    <w:rsid w:val="006B25DE"/>
    <w:rsid w:val="006B2BDF"/>
    <w:rsid w:val="006B39B2"/>
    <w:rsid w:val="006B3C6F"/>
    <w:rsid w:val="006B4038"/>
    <w:rsid w:val="006B4967"/>
    <w:rsid w:val="006B5555"/>
    <w:rsid w:val="006B57F7"/>
    <w:rsid w:val="006B5963"/>
    <w:rsid w:val="006B5BDE"/>
    <w:rsid w:val="006B7420"/>
    <w:rsid w:val="006B7E0E"/>
    <w:rsid w:val="006B7FC3"/>
    <w:rsid w:val="006C0371"/>
    <w:rsid w:val="006C054C"/>
    <w:rsid w:val="006C05E3"/>
    <w:rsid w:val="006C10A1"/>
    <w:rsid w:val="006C15E9"/>
    <w:rsid w:val="006C18A8"/>
    <w:rsid w:val="006C2415"/>
    <w:rsid w:val="006C2433"/>
    <w:rsid w:val="006C2BD0"/>
    <w:rsid w:val="006C2F49"/>
    <w:rsid w:val="006C3050"/>
    <w:rsid w:val="006C3919"/>
    <w:rsid w:val="006C40DF"/>
    <w:rsid w:val="006C46A0"/>
    <w:rsid w:val="006C6117"/>
    <w:rsid w:val="006C6FD3"/>
    <w:rsid w:val="006C7DDB"/>
    <w:rsid w:val="006D0190"/>
    <w:rsid w:val="006D0FA9"/>
    <w:rsid w:val="006D13E6"/>
    <w:rsid w:val="006D1BDB"/>
    <w:rsid w:val="006D2F42"/>
    <w:rsid w:val="006D3E19"/>
    <w:rsid w:val="006D42F1"/>
    <w:rsid w:val="006D485F"/>
    <w:rsid w:val="006D49BC"/>
    <w:rsid w:val="006D504C"/>
    <w:rsid w:val="006D5448"/>
    <w:rsid w:val="006D5E83"/>
    <w:rsid w:val="006D6ABB"/>
    <w:rsid w:val="006D6B83"/>
    <w:rsid w:val="006D7A85"/>
    <w:rsid w:val="006D7A91"/>
    <w:rsid w:val="006D7C7E"/>
    <w:rsid w:val="006E1000"/>
    <w:rsid w:val="006E173D"/>
    <w:rsid w:val="006E1B89"/>
    <w:rsid w:val="006E1F8C"/>
    <w:rsid w:val="006E243F"/>
    <w:rsid w:val="006E28BF"/>
    <w:rsid w:val="006E2FF3"/>
    <w:rsid w:val="006E3113"/>
    <w:rsid w:val="006E4761"/>
    <w:rsid w:val="006E4D7A"/>
    <w:rsid w:val="006E4E8E"/>
    <w:rsid w:val="006E4F55"/>
    <w:rsid w:val="006E4F5A"/>
    <w:rsid w:val="006E500A"/>
    <w:rsid w:val="006E5273"/>
    <w:rsid w:val="006E61CA"/>
    <w:rsid w:val="006E6931"/>
    <w:rsid w:val="006E6951"/>
    <w:rsid w:val="006E7688"/>
    <w:rsid w:val="006E79ED"/>
    <w:rsid w:val="006E7A7B"/>
    <w:rsid w:val="006F18F7"/>
    <w:rsid w:val="006F18FE"/>
    <w:rsid w:val="006F26EA"/>
    <w:rsid w:val="006F32D2"/>
    <w:rsid w:val="006F42B9"/>
    <w:rsid w:val="006F4CEF"/>
    <w:rsid w:val="006F5335"/>
    <w:rsid w:val="006F5BB0"/>
    <w:rsid w:val="006F6F2C"/>
    <w:rsid w:val="00700185"/>
    <w:rsid w:val="007001E2"/>
    <w:rsid w:val="007003C6"/>
    <w:rsid w:val="00700443"/>
    <w:rsid w:val="0070052E"/>
    <w:rsid w:val="00700F26"/>
    <w:rsid w:val="0070122B"/>
    <w:rsid w:val="0070140A"/>
    <w:rsid w:val="00702549"/>
    <w:rsid w:val="007030AE"/>
    <w:rsid w:val="007030E9"/>
    <w:rsid w:val="007039B2"/>
    <w:rsid w:val="007050B2"/>
    <w:rsid w:val="00705162"/>
    <w:rsid w:val="007059DD"/>
    <w:rsid w:val="00705D91"/>
    <w:rsid w:val="00705E68"/>
    <w:rsid w:val="00706640"/>
    <w:rsid w:val="007079F2"/>
    <w:rsid w:val="00710380"/>
    <w:rsid w:val="00710A43"/>
    <w:rsid w:val="00710F92"/>
    <w:rsid w:val="0071186A"/>
    <w:rsid w:val="007129C7"/>
    <w:rsid w:val="00712B66"/>
    <w:rsid w:val="00712F31"/>
    <w:rsid w:val="00712F6E"/>
    <w:rsid w:val="00713A91"/>
    <w:rsid w:val="00714C5E"/>
    <w:rsid w:val="00714E6C"/>
    <w:rsid w:val="00715431"/>
    <w:rsid w:val="00715A2E"/>
    <w:rsid w:val="00715E6A"/>
    <w:rsid w:val="00716E5C"/>
    <w:rsid w:val="007170C0"/>
    <w:rsid w:val="00717328"/>
    <w:rsid w:val="00717464"/>
    <w:rsid w:val="00717628"/>
    <w:rsid w:val="007177A8"/>
    <w:rsid w:val="00717A58"/>
    <w:rsid w:val="00717F04"/>
    <w:rsid w:val="007200EC"/>
    <w:rsid w:val="0072089B"/>
    <w:rsid w:val="00720CB6"/>
    <w:rsid w:val="00721585"/>
    <w:rsid w:val="0072212D"/>
    <w:rsid w:val="00722765"/>
    <w:rsid w:val="00722AAE"/>
    <w:rsid w:val="00722C7A"/>
    <w:rsid w:val="007246B8"/>
    <w:rsid w:val="00724782"/>
    <w:rsid w:val="007249E1"/>
    <w:rsid w:val="00725441"/>
    <w:rsid w:val="007254FB"/>
    <w:rsid w:val="007263C6"/>
    <w:rsid w:val="0072683A"/>
    <w:rsid w:val="00726A6F"/>
    <w:rsid w:val="00727364"/>
    <w:rsid w:val="00727797"/>
    <w:rsid w:val="007300BD"/>
    <w:rsid w:val="007308E6"/>
    <w:rsid w:val="007310EC"/>
    <w:rsid w:val="007319D7"/>
    <w:rsid w:val="00731B11"/>
    <w:rsid w:val="00732644"/>
    <w:rsid w:val="007326C3"/>
    <w:rsid w:val="0073328C"/>
    <w:rsid w:val="00733875"/>
    <w:rsid w:val="007341C7"/>
    <w:rsid w:val="007343D6"/>
    <w:rsid w:val="00734616"/>
    <w:rsid w:val="00734C27"/>
    <w:rsid w:val="007360A6"/>
    <w:rsid w:val="00736177"/>
    <w:rsid w:val="00736D97"/>
    <w:rsid w:val="007371A9"/>
    <w:rsid w:val="007375E0"/>
    <w:rsid w:val="0073782A"/>
    <w:rsid w:val="0074011A"/>
    <w:rsid w:val="007411E9"/>
    <w:rsid w:val="00741CDE"/>
    <w:rsid w:val="00741F82"/>
    <w:rsid w:val="007429FD"/>
    <w:rsid w:val="007437CC"/>
    <w:rsid w:val="00743D80"/>
    <w:rsid w:val="0074462D"/>
    <w:rsid w:val="00744C7D"/>
    <w:rsid w:val="0074533E"/>
    <w:rsid w:val="00745BE4"/>
    <w:rsid w:val="00745D39"/>
    <w:rsid w:val="0074619A"/>
    <w:rsid w:val="007461F7"/>
    <w:rsid w:val="00746301"/>
    <w:rsid w:val="007463DD"/>
    <w:rsid w:val="0074719F"/>
    <w:rsid w:val="00747543"/>
    <w:rsid w:val="007475B0"/>
    <w:rsid w:val="0074763E"/>
    <w:rsid w:val="00747829"/>
    <w:rsid w:val="00750410"/>
    <w:rsid w:val="0075099F"/>
    <w:rsid w:val="00750D92"/>
    <w:rsid w:val="0075205E"/>
    <w:rsid w:val="007521A8"/>
    <w:rsid w:val="0075298F"/>
    <w:rsid w:val="00753C43"/>
    <w:rsid w:val="00753FF3"/>
    <w:rsid w:val="0075469A"/>
    <w:rsid w:val="00754CB5"/>
    <w:rsid w:val="007557A1"/>
    <w:rsid w:val="00755A33"/>
    <w:rsid w:val="00756955"/>
    <w:rsid w:val="00756D48"/>
    <w:rsid w:val="00756E18"/>
    <w:rsid w:val="00757460"/>
    <w:rsid w:val="007575FE"/>
    <w:rsid w:val="00757A2C"/>
    <w:rsid w:val="0076114B"/>
    <w:rsid w:val="0076132A"/>
    <w:rsid w:val="00761B0B"/>
    <w:rsid w:val="007621FD"/>
    <w:rsid w:val="007626F6"/>
    <w:rsid w:val="00762934"/>
    <w:rsid w:val="007632D6"/>
    <w:rsid w:val="0076340A"/>
    <w:rsid w:val="00763A6F"/>
    <w:rsid w:val="00763F0B"/>
    <w:rsid w:val="0076503F"/>
    <w:rsid w:val="00765374"/>
    <w:rsid w:val="00765827"/>
    <w:rsid w:val="00765857"/>
    <w:rsid w:val="00765899"/>
    <w:rsid w:val="00765A0F"/>
    <w:rsid w:val="00765C43"/>
    <w:rsid w:val="007661D5"/>
    <w:rsid w:val="00766A3B"/>
    <w:rsid w:val="0076720A"/>
    <w:rsid w:val="007708A3"/>
    <w:rsid w:val="007709EF"/>
    <w:rsid w:val="00770B72"/>
    <w:rsid w:val="00772DFB"/>
    <w:rsid w:val="00773221"/>
    <w:rsid w:val="00773474"/>
    <w:rsid w:val="0077360A"/>
    <w:rsid w:val="0077388E"/>
    <w:rsid w:val="00773C7B"/>
    <w:rsid w:val="00773E5B"/>
    <w:rsid w:val="00773F1E"/>
    <w:rsid w:val="007740D0"/>
    <w:rsid w:val="00774156"/>
    <w:rsid w:val="00774706"/>
    <w:rsid w:val="0077503D"/>
    <w:rsid w:val="0077532F"/>
    <w:rsid w:val="00775394"/>
    <w:rsid w:val="007755DC"/>
    <w:rsid w:val="007757AB"/>
    <w:rsid w:val="00775B43"/>
    <w:rsid w:val="00775E98"/>
    <w:rsid w:val="0077637D"/>
    <w:rsid w:val="00776490"/>
    <w:rsid w:val="00777DED"/>
    <w:rsid w:val="00777E2F"/>
    <w:rsid w:val="00780131"/>
    <w:rsid w:val="007802F1"/>
    <w:rsid w:val="0078075B"/>
    <w:rsid w:val="007808C9"/>
    <w:rsid w:val="00780A89"/>
    <w:rsid w:val="00780BDE"/>
    <w:rsid w:val="00780CE4"/>
    <w:rsid w:val="00781BF7"/>
    <w:rsid w:val="00782130"/>
    <w:rsid w:val="007824FB"/>
    <w:rsid w:val="00782671"/>
    <w:rsid w:val="00782ED3"/>
    <w:rsid w:val="007837EA"/>
    <w:rsid w:val="00783888"/>
    <w:rsid w:val="00783E87"/>
    <w:rsid w:val="007841D3"/>
    <w:rsid w:val="00784CFF"/>
    <w:rsid w:val="00784EF0"/>
    <w:rsid w:val="007853D9"/>
    <w:rsid w:val="007853ED"/>
    <w:rsid w:val="0078600F"/>
    <w:rsid w:val="007868FA"/>
    <w:rsid w:val="00786A5D"/>
    <w:rsid w:val="0078739B"/>
    <w:rsid w:val="00787584"/>
    <w:rsid w:val="00787FF6"/>
    <w:rsid w:val="00790026"/>
    <w:rsid w:val="0079022E"/>
    <w:rsid w:val="00790549"/>
    <w:rsid w:val="00790B7D"/>
    <w:rsid w:val="00791384"/>
    <w:rsid w:val="007913AD"/>
    <w:rsid w:val="007913E2"/>
    <w:rsid w:val="00791666"/>
    <w:rsid w:val="0079279B"/>
    <w:rsid w:val="00792902"/>
    <w:rsid w:val="007929BF"/>
    <w:rsid w:val="00793B07"/>
    <w:rsid w:val="00793BE8"/>
    <w:rsid w:val="007957C0"/>
    <w:rsid w:val="007959F7"/>
    <w:rsid w:val="00795A6C"/>
    <w:rsid w:val="007962B1"/>
    <w:rsid w:val="00797370"/>
    <w:rsid w:val="007976A0"/>
    <w:rsid w:val="00797A23"/>
    <w:rsid w:val="00797E8D"/>
    <w:rsid w:val="007A039F"/>
    <w:rsid w:val="007A0617"/>
    <w:rsid w:val="007A0E7E"/>
    <w:rsid w:val="007A1620"/>
    <w:rsid w:val="007A22A0"/>
    <w:rsid w:val="007A24DE"/>
    <w:rsid w:val="007A268C"/>
    <w:rsid w:val="007A271C"/>
    <w:rsid w:val="007A284A"/>
    <w:rsid w:val="007A2E9C"/>
    <w:rsid w:val="007A30DB"/>
    <w:rsid w:val="007A3E1E"/>
    <w:rsid w:val="007A4DA6"/>
    <w:rsid w:val="007A5468"/>
    <w:rsid w:val="007A606E"/>
    <w:rsid w:val="007A6577"/>
    <w:rsid w:val="007A68E1"/>
    <w:rsid w:val="007A7E73"/>
    <w:rsid w:val="007B05F3"/>
    <w:rsid w:val="007B0A1C"/>
    <w:rsid w:val="007B0CF7"/>
    <w:rsid w:val="007B230E"/>
    <w:rsid w:val="007B260E"/>
    <w:rsid w:val="007B270B"/>
    <w:rsid w:val="007B2B72"/>
    <w:rsid w:val="007B3185"/>
    <w:rsid w:val="007B31B9"/>
    <w:rsid w:val="007B39D3"/>
    <w:rsid w:val="007B3A13"/>
    <w:rsid w:val="007B462E"/>
    <w:rsid w:val="007B48C2"/>
    <w:rsid w:val="007B4D20"/>
    <w:rsid w:val="007B5A0F"/>
    <w:rsid w:val="007B5B63"/>
    <w:rsid w:val="007B5DCE"/>
    <w:rsid w:val="007B6E13"/>
    <w:rsid w:val="007B6E3A"/>
    <w:rsid w:val="007B7812"/>
    <w:rsid w:val="007B7A71"/>
    <w:rsid w:val="007B7D1A"/>
    <w:rsid w:val="007C0102"/>
    <w:rsid w:val="007C0E67"/>
    <w:rsid w:val="007C16A8"/>
    <w:rsid w:val="007C1832"/>
    <w:rsid w:val="007C1A84"/>
    <w:rsid w:val="007C1F46"/>
    <w:rsid w:val="007C2171"/>
    <w:rsid w:val="007C22DD"/>
    <w:rsid w:val="007C36E7"/>
    <w:rsid w:val="007C46E8"/>
    <w:rsid w:val="007C4CFE"/>
    <w:rsid w:val="007C4EB7"/>
    <w:rsid w:val="007C5701"/>
    <w:rsid w:val="007C6631"/>
    <w:rsid w:val="007C68A2"/>
    <w:rsid w:val="007C6E93"/>
    <w:rsid w:val="007C6EF5"/>
    <w:rsid w:val="007C7112"/>
    <w:rsid w:val="007D02A0"/>
    <w:rsid w:val="007D077A"/>
    <w:rsid w:val="007D0896"/>
    <w:rsid w:val="007D19EF"/>
    <w:rsid w:val="007D1EE3"/>
    <w:rsid w:val="007D2DBA"/>
    <w:rsid w:val="007D4296"/>
    <w:rsid w:val="007D43C3"/>
    <w:rsid w:val="007D4516"/>
    <w:rsid w:val="007D46ED"/>
    <w:rsid w:val="007D4CEA"/>
    <w:rsid w:val="007D5C2A"/>
    <w:rsid w:val="007D604A"/>
    <w:rsid w:val="007D60D8"/>
    <w:rsid w:val="007D6852"/>
    <w:rsid w:val="007D68B9"/>
    <w:rsid w:val="007D6D4F"/>
    <w:rsid w:val="007D7026"/>
    <w:rsid w:val="007D76B8"/>
    <w:rsid w:val="007E057F"/>
    <w:rsid w:val="007E05CD"/>
    <w:rsid w:val="007E0C59"/>
    <w:rsid w:val="007E1251"/>
    <w:rsid w:val="007E131B"/>
    <w:rsid w:val="007E1B88"/>
    <w:rsid w:val="007E21C7"/>
    <w:rsid w:val="007E227A"/>
    <w:rsid w:val="007E29D0"/>
    <w:rsid w:val="007E4120"/>
    <w:rsid w:val="007E4813"/>
    <w:rsid w:val="007E748A"/>
    <w:rsid w:val="007E76B3"/>
    <w:rsid w:val="007E7D86"/>
    <w:rsid w:val="007F077D"/>
    <w:rsid w:val="007F0CCF"/>
    <w:rsid w:val="007F1089"/>
    <w:rsid w:val="007F10F6"/>
    <w:rsid w:val="007F1363"/>
    <w:rsid w:val="007F1C59"/>
    <w:rsid w:val="007F24EC"/>
    <w:rsid w:val="007F277B"/>
    <w:rsid w:val="007F2994"/>
    <w:rsid w:val="007F3053"/>
    <w:rsid w:val="007F3707"/>
    <w:rsid w:val="007F398A"/>
    <w:rsid w:val="007F4BC1"/>
    <w:rsid w:val="007F4BDD"/>
    <w:rsid w:val="007F4D76"/>
    <w:rsid w:val="007F5ACC"/>
    <w:rsid w:val="007F60F8"/>
    <w:rsid w:val="007F767B"/>
    <w:rsid w:val="007F7914"/>
    <w:rsid w:val="007F7C0C"/>
    <w:rsid w:val="007F7FEA"/>
    <w:rsid w:val="008002D9"/>
    <w:rsid w:val="008003EC"/>
    <w:rsid w:val="00800922"/>
    <w:rsid w:val="00800FE1"/>
    <w:rsid w:val="00801372"/>
    <w:rsid w:val="00801486"/>
    <w:rsid w:val="00801E43"/>
    <w:rsid w:val="00803008"/>
    <w:rsid w:val="008031F7"/>
    <w:rsid w:val="008032DA"/>
    <w:rsid w:val="008040DF"/>
    <w:rsid w:val="0080428D"/>
    <w:rsid w:val="00805947"/>
    <w:rsid w:val="008079AC"/>
    <w:rsid w:val="00807D94"/>
    <w:rsid w:val="00807F47"/>
    <w:rsid w:val="008108A0"/>
    <w:rsid w:val="00810952"/>
    <w:rsid w:val="00810F8A"/>
    <w:rsid w:val="0081119C"/>
    <w:rsid w:val="00811F99"/>
    <w:rsid w:val="00812909"/>
    <w:rsid w:val="00812A07"/>
    <w:rsid w:val="00813201"/>
    <w:rsid w:val="00813392"/>
    <w:rsid w:val="0081357F"/>
    <w:rsid w:val="0081382C"/>
    <w:rsid w:val="008138D4"/>
    <w:rsid w:val="008139E3"/>
    <w:rsid w:val="00813B41"/>
    <w:rsid w:val="00815DDE"/>
    <w:rsid w:val="008169A8"/>
    <w:rsid w:val="00816E1C"/>
    <w:rsid w:val="008175C0"/>
    <w:rsid w:val="0081799D"/>
    <w:rsid w:val="00817CB2"/>
    <w:rsid w:val="00817DAB"/>
    <w:rsid w:val="00817F96"/>
    <w:rsid w:val="008200C3"/>
    <w:rsid w:val="008204D2"/>
    <w:rsid w:val="00821031"/>
    <w:rsid w:val="00821287"/>
    <w:rsid w:val="0082165F"/>
    <w:rsid w:val="00821740"/>
    <w:rsid w:val="00821991"/>
    <w:rsid w:val="00821DEE"/>
    <w:rsid w:val="00821E5E"/>
    <w:rsid w:val="00822D24"/>
    <w:rsid w:val="00822DA6"/>
    <w:rsid w:val="008231DD"/>
    <w:rsid w:val="008239D7"/>
    <w:rsid w:val="00823D68"/>
    <w:rsid w:val="00824CFE"/>
    <w:rsid w:val="00824F68"/>
    <w:rsid w:val="008254C9"/>
    <w:rsid w:val="00825711"/>
    <w:rsid w:val="008263B0"/>
    <w:rsid w:val="00826914"/>
    <w:rsid w:val="00826DE8"/>
    <w:rsid w:val="00827311"/>
    <w:rsid w:val="00827716"/>
    <w:rsid w:val="00827F6E"/>
    <w:rsid w:val="0083061A"/>
    <w:rsid w:val="00830DE8"/>
    <w:rsid w:val="00831944"/>
    <w:rsid w:val="00831978"/>
    <w:rsid w:val="00831A9F"/>
    <w:rsid w:val="00831DEF"/>
    <w:rsid w:val="00832D19"/>
    <w:rsid w:val="00832D88"/>
    <w:rsid w:val="00833743"/>
    <w:rsid w:val="00833947"/>
    <w:rsid w:val="00833DE7"/>
    <w:rsid w:val="00834738"/>
    <w:rsid w:val="00834870"/>
    <w:rsid w:val="00834A74"/>
    <w:rsid w:val="008350D6"/>
    <w:rsid w:val="0083576B"/>
    <w:rsid w:val="00835947"/>
    <w:rsid w:val="00835B6E"/>
    <w:rsid w:val="00836160"/>
    <w:rsid w:val="00836C79"/>
    <w:rsid w:val="008375D4"/>
    <w:rsid w:val="00837886"/>
    <w:rsid w:val="008378BE"/>
    <w:rsid w:val="00837D77"/>
    <w:rsid w:val="00837F1B"/>
    <w:rsid w:val="00840084"/>
    <w:rsid w:val="008405B2"/>
    <w:rsid w:val="00840A92"/>
    <w:rsid w:val="00840AB6"/>
    <w:rsid w:val="0084106E"/>
    <w:rsid w:val="00841C53"/>
    <w:rsid w:val="00842411"/>
    <w:rsid w:val="00842799"/>
    <w:rsid w:val="00842EF7"/>
    <w:rsid w:val="00843030"/>
    <w:rsid w:val="008430A3"/>
    <w:rsid w:val="00843389"/>
    <w:rsid w:val="008438FC"/>
    <w:rsid w:val="00844171"/>
    <w:rsid w:val="008452A8"/>
    <w:rsid w:val="00845F4B"/>
    <w:rsid w:val="00845F57"/>
    <w:rsid w:val="008461B5"/>
    <w:rsid w:val="00846794"/>
    <w:rsid w:val="00846B1E"/>
    <w:rsid w:val="00846B24"/>
    <w:rsid w:val="00846E08"/>
    <w:rsid w:val="00846F1E"/>
    <w:rsid w:val="0084771E"/>
    <w:rsid w:val="0085039D"/>
    <w:rsid w:val="0085055E"/>
    <w:rsid w:val="0085095C"/>
    <w:rsid w:val="00850B3B"/>
    <w:rsid w:val="008513AF"/>
    <w:rsid w:val="008514B3"/>
    <w:rsid w:val="00851922"/>
    <w:rsid w:val="00851C23"/>
    <w:rsid w:val="008521DD"/>
    <w:rsid w:val="00852C18"/>
    <w:rsid w:val="00852F5C"/>
    <w:rsid w:val="0085411D"/>
    <w:rsid w:val="00854152"/>
    <w:rsid w:val="008545D5"/>
    <w:rsid w:val="008556E5"/>
    <w:rsid w:val="00855B8A"/>
    <w:rsid w:val="008561B5"/>
    <w:rsid w:val="00856A6B"/>
    <w:rsid w:val="00856E17"/>
    <w:rsid w:val="008570C8"/>
    <w:rsid w:val="00857240"/>
    <w:rsid w:val="00857C87"/>
    <w:rsid w:val="00857CD6"/>
    <w:rsid w:val="008606EE"/>
    <w:rsid w:val="00860E19"/>
    <w:rsid w:val="0086147B"/>
    <w:rsid w:val="008617BC"/>
    <w:rsid w:val="00861FB2"/>
    <w:rsid w:val="00862EF6"/>
    <w:rsid w:val="00863197"/>
    <w:rsid w:val="00863972"/>
    <w:rsid w:val="008647B1"/>
    <w:rsid w:val="0086541F"/>
    <w:rsid w:val="008660D4"/>
    <w:rsid w:val="00866290"/>
    <w:rsid w:val="00866615"/>
    <w:rsid w:val="008667CA"/>
    <w:rsid w:val="00866DB6"/>
    <w:rsid w:val="00867543"/>
    <w:rsid w:val="00867942"/>
    <w:rsid w:val="00867BFF"/>
    <w:rsid w:val="0087047F"/>
    <w:rsid w:val="00871422"/>
    <w:rsid w:val="008725E7"/>
    <w:rsid w:val="008743C9"/>
    <w:rsid w:val="00874732"/>
    <w:rsid w:val="008748B6"/>
    <w:rsid w:val="008749DC"/>
    <w:rsid w:val="0087536B"/>
    <w:rsid w:val="00875560"/>
    <w:rsid w:val="00876932"/>
    <w:rsid w:val="00876FCB"/>
    <w:rsid w:val="008771E4"/>
    <w:rsid w:val="00880000"/>
    <w:rsid w:val="0088030A"/>
    <w:rsid w:val="008804F0"/>
    <w:rsid w:val="00881E14"/>
    <w:rsid w:val="008821F3"/>
    <w:rsid w:val="00882A30"/>
    <w:rsid w:val="00882AD4"/>
    <w:rsid w:val="00882B5F"/>
    <w:rsid w:val="00882E34"/>
    <w:rsid w:val="00882FE4"/>
    <w:rsid w:val="00883FA8"/>
    <w:rsid w:val="00884612"/>
    <w:rsid w:val="00884A83"/>
    <w:rsid w:val="00884D7B"/>
    <w:rsid w:val="00884E9E"/>
    <w:rsid w:val="00885184"/>
    <w:rsid w:val="008853B1"/>
    <w:rsid w:val="008861BF"/>
    <w:rsid w:val="00886B7E"/>
    <w:rsid w:val="00887C00"/>
    <w:rsid w:val="008903C3"/>
    <w:rsid w:val="008904F2"/>
    <w:rsid w:val="008914FF"/>
    <w:rsid w:val="0089221B"/>
    <w:rsid w:val="008922A3"/>
    <w:rsid w:val="0089289F"/>
    <w:rsid w:val="00893CD5"/>
    <w:rsid w:val="008949D4"/>
    <w:rsid w:val="00894E2A"/>
    <w:rsid w:val="00894EA2"/>
    <w:rsid w:val="00895507"/>
    <w:rsid w:val="00895720"/>
    <w:rsid w:val="00895C90"/>
    <w:rsid w:val="00896580"/>
    <w:rsid w:val="00897211"/>
    <w:rsid w:val="00897327"/>
    <w:rsid w:val="0089751C"/>
    <w:rsid w:val="00897890"/>
    <w:rsid w:val="00897F4B"/>
    <w:rsid w:val="008A075E"/>
    <w:rsid w:val="008A2ABE"/>
    <w:rsid w:val="008A2C63"/>
    <w:rsid w:val="008A2CC5"/>
    <w:rsid w:val="008A4A5B"/>
    <w:rsid w:val="008A4C50"/>
    <w:rsid w:val="008A5BBD"/>
    <w:rsid w:val="008A5C22"/>
    <w:rsid w:val="008A5E47"/>
    <w:rsid w:val="008A6754"/>
    <w:rsid w:val="008A7E43"/>
    <w:rsid w:val="008A7F5D"/>
    <w:rsid w:val="008B00C2"/>
    <w:rsid w:val="008B044E"/>
    <w:rsid w:val="008B082D"/>
    <w:rsid w:val="008B0B5F"/>
    <w:rsid w:val="008B176B"/>
    <w:rsid w:val="008B219F"/>
    <w:rsid w:val="008B21C1"/>
    <w:rsid w:val="008B3EF9"/>
    <w:rsid w:val="008B4248"/>
    <w:rsid w:val="008B42FF"/>
    <w:rsid w:val="008B46D4"/>
    <w:rsid w:val="008B4C3F"/>
    <w:rsid w:val="008B4D4A"/>
    <w:rsid w:val="008B5A8B"/>
    <w:rsid w:val="008B6DC3"/>
    <w:rsid w:val="008B7172"/>
    <w:rsid w:val="008B7641"/>
    <w:rsid w:val="008B79A0"/>
    <w:rsid w:val="008B7E61"/>
    <w:rsid w:val="008C0840"/>
    <w:rsid w:val="008C0D30"/>
    <w:rsid w:val="008C15DC"/>
    <w:rsid w:val="008C1D31"/>
    <w:rsid w:val="008C26B1"/>
    <w:rsid w:val="008C28FD"/>
    <w:rsid w:val="008C2D11"/>
    <w:rsid w:val="008C2EE2"/>
    <w:rsid w:val="008C2EFF"/>
    <w:rsid w:val="008C30EA"/>
    <w:rsid w:val="008C35F6"/>
    <w:rsid w:val="008C37B4"/>
    <w:rsid w:val="008C3853"/>
    <w:rsid w:val="008C4A61"/>
    <w:rsid w:val="008C5523"/>
    <w:rsid w:val="008C62EA"/>
    <w:rsid w:val="008C67FF"/>
    <w:rsid w:val="008D0282"/>
    <w:rsid w:val="008D04DE"/>
    <w:rsid w:val="008D0C0A"/>
    <w:rsid w:val="008D1217"/>
    <w:rsid w:val="008D152F"/>
    <w:rsid w:val="008D2E4E"/>
    <w:rsid w:val="008D3831"/>
    <w:rsid w:val="008D3E96"/>
    <w:rsid w:val="008D3EAE"/>
    <w:rsid w:val="008D4ABB"/>
    <w:rsid w:val="008D5092"/>
    <w:rsid w:val="008D523F"/>
    <w:rsid w:val="008D5692"/>
    <w:rsid w:val="008D59AA"/>
    <w:rsid w:val="008D6447"/>
    <w:rsid w:val="008D73B2"/>
    <w:rsid w:val="008D749D"/>
    <w:rsid w:val="008D7762"/>
    <w:rsid w:val="008D7E8B"/>
    <w:rsid w:val="008E078E"/>
    <w:rsid w:val="008E1C7C"/>
    <w:rsid w:val="008E1F48"/>
    <w:rsid w:val="008E26B7"/>
    <w:rsid w:val="008E28AD"/>
    <w:rsid w:val="008E307B"/>
    <w:rsid w:val="008E3B2E"/>
    <w:rsid w:val="008E3C39"/>
    <w:rsid w:val="008E3D6E"/>
    <w:rsid w:val="008E4361"/>
    <w:rsid w:val="008E53A1"/>
    <w:rsid w:val="008E567A"/>
    <w:rsid w:val="008E62D1"/>
    <w:rsid w:val="008E6707"/>
    <w:rsid w:val="008E6893"/>
    <w:rsid w:val="008E70B3"/>
    <w:rsid w:val="008E72E1"/>
    <w:rsid w:val="008E7A83"/>
    <w:rsid w:val="008E7CEF"/>
    <w:rsid w:val="008E7D44"/>
    <w:rsid w:val="008F06C3"/>
    <w:rsid w:val="008F0FE1"/>
    <w:rsid w:val="008F134A"/>
    <w:rsid w:val="008F1678"/>
    <w:rsid w:val="008F1DED"/>
    <w:rsid w:val="008F2081"/>
    <w:rsid w:val="008F242F"/>
    <w:rsid w:val="008F252B"/>
    <w:rsid w:val="008F2646"/>
    <w:rsid w:val="008F26FB"/>
    <w:rsid w:val="008F3BCC"/>
    <w:rsid w:val="008F3C3B"/>
    <w:rsid w:val="008F4272"/>
    <w:rsid w:val="008F4E80"/>
    <w:rsid w:val="008F5528"/>
    <w:rsid w:val="008F5609"/>
    <w:rsid w:val="008F5A93"/>
    <w:rsid w:val="008F5F20"/>
    <w:rsid w:val="008F6991"/>
    <w:rsid w:val="008F727C"/>
    <w:rsid w:val="008F79D9"/>
    <w:rsid w:val="00901194"/>
    <w:rsid w:val="00901E22"/>
    <w:rsid w:val="009029E4"/>
    <w:rsid w:val="00902CC9"/>
    <w:rsid w:val="00902D64"/>
    <w:rsid w:val="00903881"/>
    <w:rsid w:val="00903E77"/>
    <w:rsid w:val="009042A8"/>
    <w:rsid w:val="00904726"/>
    <w:rsid w:val="00904921"/>
    <w:rsid w:val="009057EE"/>
    <w:rsid w:val="00905950"/>
    <w:rsid w:val="00905990"/>
    <w:rsid w:val="0090663B"/>
    <w:rsid w:val="00907092"/>
    <w:rsid w:val="009077AC"/>
    <w:rsid w:val="009077F6"/>
    <w:rsid w:val="00911482"/>
    <w:rsid w:val="00911A7E"/>
    <w:rsid w:val="00911C88"/>
    <w:rsid w:val="009120FC"/>
    <w:rsid w:val="009131A4"/>
    <w:rsid w:val="009131D5"/>
    <w:rsid w:val="00913256"/>
    <w:rsid w:val="009144E9"/>
    <w:rsid w:val="0091452B"/>
    <w:rsid w:val="00914ED5"/>
    <w:rsid w:val="009151A6"/>
    <w:rsid w:val="00915376"/>
    <w:rsid w:val="00915F5D"/>
    <w:rsid w:val="00916366"/>
    <w:rsid w:val="00916533"/>
    <w:rsid w:val="009168E1"/>
    <w:rsid w:val="009176CD"/>
    <w:rsid w:val="009177F2"/>
    <w:rsid w:val="00917E53"/>
    <w:rsid w:val="00920667"/>
    <w:rsid w:val="00920897"/>
    <w:rsid w:val="00920BAA"/>
    <w:rsid w:val="00921383"/>
    <w:rsid w:val="00921CE8"/>
    <w:rsid w:val="00921E06"/>
    <w:rsid w:val="00921E7C"/>
    <w:rsid w:val="0092208F"/>
    <w:rsid w:val="0092297A"/>
    <w:rsid w:val="00923349"/>
    <w:rsid w:val="00923AD0"/>
    <w:rsid w:val="009249F6"/>
    <w:rsid w:val="00924FB9"/>
    <w:rsid w:val="0092540E"/>
    <w:rsid w:val="00925CE9"/>
    <w:rsid w:val="00926A0F"/>
    <w:rsid w:val="009273E5"/>
    <w:rsid w:val="0092751B"/>
    <w:rsid w:val="0092763A"/>
    <w:rsid w:val="0092778F"/>
    <w:rsid w:val="00930C82"/>
    <w:rsid w:val="009311CB"/>
    <w:rsid w:val="00931235"/>
    <w:rsid w:val="00931831"/>
    <w:rsid w:val="0093221E"/>
    <w:rsid w:val="0093286F"/>
    <w:rsid w:val="009334DC"/>
    <w:rsid w:val="00933C63"/>
    <w:rsid w:val="0093402E"/>
    <w:rsid w:val="0093405E"/>
    <w:rsid w:val="009345F8"/>
    <w:rsid w:val="00934D50"/>
    <w:rsid w:val="00934FA1"/>
    <w:rsid w:val="00935305"/>
    <w:rsid w:val="0093546D"/>
    <w:rsid w:val="00936260"/>
    <w:rsid w:val="00936337"/>
    <w:rsid w:val="009368D8"/>
    <w:rsid w:val="00936A7D"/>
    <w:rsid w:val="009376A0"/>
    <w:rsid w:val="009376D6"/>
    <w:rsid w:val="00940176"/>
    <w:rsid w:val="00940192"/>
    <w:rsid w:val="0094022B"/>
    <w:rsid w:val="00940533"/>
    <w:rsid w:val="009405BC"/>
    <w:rsid w:val="00940659"/>
    <w:rsid w:val="00940FA8"/>
    <w:rsid w:val="009414F5"/>
    <w:rsid w:val="009419F3"/>
    <w:rsid w:val="00941A61"/>
    <w:rsid w:val="00941D6C"/>
    <w:rsid w:val="00942BAB"/>
    <w:rsid w:val="009435C4"/>
    <w:rsid w:val="009439E4"/>
    <w:rsid w:val="00943A50"/>
    <w:rsid w:val="00943DF2"/>
    <w:rsid w:val="00944E56"/>
    <w:rsid w:val="00946A3F"/>
    <w:rsid w:val="00946F41"/>
    <w:rsid w:val="00947255"/>
    <w:rsid w:val="00947CF0"/>
    <w:rsid w:val="009503C0"/>
    <w:rsid w:val="009514AE"/>
    <w:rsid w:val="009518DE"/>
    <w:rsid w:val="009519D3"/>
    <w:rsid w:val="0095321C"/>
    <w:rsid w:val="00955D05"/>
    <w:rsid w:val="00955E34"/>
    <w:rsid w:val="00957AA3"/>
    <w:rsid w:val="0096019F"/>
    <w:rsid w:val="009604B9"/>
    <w:rsid w:val="00961204"/>
    <w:rsid w:val="009615FB"/>
    <w:rsid w:val="00961635"/>
    <w:rsid w:val="009616A2"/>
    <w:rsid w:val="00961FBE"/>
    <w:rsid w:val="00962232"/>
    <w:rsid w:val="009629B8"/>
    <w:rsid w:val="00962EB1"/>
    <w:rsid w:val="00963640"/>
    <w:rsid w:val="00963D16"/>
    <w:rsid w:val="00963F77"/>
    <w:rsid w:val="00963F8F"/>
    <w:rsid w:val="00964456"/>
    <w:rsid w:val="00964717"/>
    <w:rsid w:val="00965090"/>
    <w:rsid w:val="009652EB"/>
    <w:rsid w:val="0097009C"/>
    <w:rsid w:val="00970784"/>
    <w:rsid w:val="00970E46"/>
    <w:rsid w:val="00971342"/>
    <w:rsid w:val="00971347"/>
    <w:rsid w:val="00971615"/>
    <w:rsid w:val="0097259F"/>
    <w:rsid w:val="0097279E"/>
    <w:rsid w:val="00972A77"/>
    <w:rsid w:val="00973F0E"/>
    <w:rsid w:val="00974589"/>
    <w:rsid w:val="009749EC"/>
    <w:rsid w:val="00974EDF"/>
    <w:rsid w:val="0097518D"/>
    <w:rsid w:val="00975386"/>
    <w:rsid w:val="0097581E"/>
    <w:rsid w:val="00975AD7"/>
    <w:rsid w:val="009762D9"/>
    <w:rsid w:val="0097637A"/>
    <w:rsid w:val="00976B20"/>
    <w:rsid w:val="00977C33"/>
    <w:rsid w:val="009816B7"/>
    <w:rsid w:val="00981FE9"/>
    <w:rsid w:val="009820A1"/>
    <w:rsid w:val="00982190"/>
    <w:rsid w:val="00983439"/>
    <w:rsid w:val="00983538"/>
    <w:rsid w:val="00984916"/>
    <w:rsid w:val="00985241"/>
    <w:rsid w:val="009858CE"/>
    <w:rsid w:val="009858DB"/>
    <w:rsid w:val="00985B82"/>
    <w:rsid w:val="00986291"/>
    <w:rsid w:val="009862FA"/>
    <w:rsid w:val="00986F98"/>
    <w:rsid w:val="00990103"/>
    <w:rsid w:val="00990AAD"/>
    <w:rsid w:val="00990EB5"/>
    <w:rsid w:val="00992A00"/>
    <w:rsid w:val="00992C4C"/>
    <w:rsid w:val="00992CF6"/>
    <w:rsid w:val="00992F29"/>
    <w:rsid w:val="009933CF"/>
    <w:rsid w:val="009933E3"/>
    <w:rsid w:val="009942AF"/>
    <w:rsid w:val="009946CE"/>
    <w:rsid w:val="00994993"/>
    <w:rsid w:val="0099508B"/>
    <w:rsid w:val="0099598B"/>
    <w:rsid w:val="009959EA"/>
    <w:rsid w:val="0099621C"/>
    <w:rsid w:val="009965E1"/>
    <w:rsid w:val="00996C7C"/>
    <w:rsid w:val="00997611"/>
    <w:rsid w:val="009A0375"/>
    <w:rsid w:val="009A091D"/>
    <w:rsid w:val="009A145A"/>
    <w:rsid w:val="009A1922"/>
    <w:rsid w:val="009A19BA"/>
    <w:rsid w:val="009A2188"/>
    <w:rsid w:val="009A2505"/>
    <w:rsid w:val="009A2F3A"/>
    <w:rsid w:val="009A2F8F"/>
    <w:rsid w:val="009A3AE9"/>
    <w:rsid w:val="009A3E50"/>
    <w:rsid w:val="009A3FD9"/>
    <w:rsid w:val="009A4FC7"/>
    <w:rsid w:val="009A60D1"/>
    <w:rsid w:val="009A64F5"/>
    <w:rsid w:val="009A6DEB"/>
    <w:rsid w:val="009A72A6"/>
    <w:rsid w:val="009A7E30"/>
    <w:rsid w:val="009B06AA"/>
    <w:rsid w:val="009B0B62"/>
    <w:rsid w:val="009B10C6"/>
    <w:rsid w:val="009B1986"/>
    <w:rsid w:val="009B2102"/>
    <w:rsid w:val="009B2444"/>
    <w:rsid w:val="009B25D8"/>
    <w:rsid w:val="009B2C65"/>
    <w:rsid w:val="009B3202"/>
    <w:rsid w:val="009B328B"/>
    <w:rsid w:val="009B3C6E"/>
    <w:rsid w:val="009B4859"/>
    <w:rsid w:val="009B5ACB"/>
    <w:rsid w:val="009B6885"/>
    <w:rsid w:val="009B68A0"/>
    <w:rsid w:val="009B74B3"/>
    <w:rsid w:val="009C04F9"/>
    <w:rsid w:val="009C07E3"/>
    <w:rsid w:val="009C1087"/>
    <w:rsid w:val="009C12DC"/>
    <w:rsid w:val="009C1544"/>
    <w:rsid w:val="009C252D"/>
    <w:rsid w:val="009C25CA"/>
    <w:rsid w:val="009C3D10"/>
    <w:rsid w:val="009C4520"/>
    <w:rsid w:val="009C4A8D"/>
    <w:rsid w:val="009C4BD2"/>
    <w:rsid w:val="009C5047"/>
    <w:rsid w:val="009C5274"/>
    <w:rsid w:val="009C5437"/>
    <w:rsid w:val="009C5CF7"/>
    <w:rsid w:val="009C6067"/>
    <w:rsid w:val="009C607F"/>
    <w:rsid w:val="009C6640"/>
    <w:rsid w:val="009C66A0"/>
    <w:rsid w:val="009C6D6F"/>
    <w:rsid w:val="009C793F"/>
    <w:rsid w:val="009D0835"/>
    <w:rsid w:val="009D0957"/>
    <w:rsid w:val="009D0D67"/>
    <w:rsid w:val="009D0DB0"/>
    <w:rsid w:val="009D0EBA"/>
    <w:rsid w:val="009D0F48"/>
    <w:rsid w:val="009D1E7F"/>
    <w:rsid w:val="009D2F78"/>
    <w:rsid w:val="009D3025"/>
    <w:rsid w:val="009D3465"/>
    <w:rsid w:val="009D3605"/>
    <w:rsid w:val="009D3F2E"/>
    <w:rsid w:val="009D456F"/>
    <w:rsid w:val="009D47A5"/>
    <w:rsid w:val="009D6988"/>
    <w:rsid w:val="009D6D20"/>
    <w:rsid w:val="009E03DA"/>
    <w:rsid w:val="009E0C21"/>
    <w:rsid w:val="009E16B8"/>
    <w:rsid w:val="009E3008"/>
    <w:rsid w:val="009E3020"/>
    <w:rsid w:val="009E354A"/>
    <w:rsid w:val="009E38AA"/>
    <w:rsid w:val="009E3AC3"/>
    <w:rsid w:val="009E42F4"/>
    <w:rsid w:val="009E43B5"/>
    <w:rsid w:val="009E45D8"/>
    <w:rsid w:val="009E56E2"/>
    <w:rsid w:val="009E665D"/>
    <w:rsid w:val="009E6DCA"/>
    <w:rsid w:val="009E79D3"/>
    <w:rsid w:val="009E7E0D"/>
    <w:rsid w:val="009F0194"/>
    <w:rsid w:val="009F02AA"/>
    <w:rsid w:val="009F0676"/>
    <w:rsid w:val="009F091C"/>
    <w:rsid w:val="009F09D7"/>
    <w:rsid w:val="009F0F2C"/>
    <w:rsid w:val="009F105B"/>
    <w:rsid w:val="009F1B6E"/>
    <w:rsid w:val="009F2475"/>
    <w:rsid w:val="009F2B61"/>
    <w:rsid w:val="009F2B72"/>
    <w:rsid w:val="009F348D"/>
    <w:rsid w:val="009F4265"/>
    <w:rsid w:val="009F4567"/>
    <w:rsid w:val="009F49CD"/>
    <w:rsid w:val="009F4E69"/>
    <w:rsid w:val="009F4EAD"/>
    <w:rsid w:val="009F6EE5"/>
    <w:rsid w:val="009F6FE8"/>
    <w:rsid w:val="00A000D6"/>
    <w:rsid w:val="00A01091"/>
    <w:rsid w:val="00A015C2"/>
    <w:rsid w:val="00A017A7"/>
    <w:rsid w:val="00A01915"/>
    <w:rsid w:val="00A020C0"/>
    <w:rsid w:val="00A021B0"/>
    <w:rsid w:val="00A02402"/>
    <w:rsid w:val="00A0250B"/>
    <w:rsid w:val="00A02A38"/>
    <w:rsid w:val="00A02B2A"/>
    <w:rsid w:val="00A02BA7"/>
    <w:rsid w:val="00A03506"/>
    <w:rsid w:val="00A038DC"/>
    <w:rsid w:val="00A03C42"/>
    <w:rsid w:val="00A04BC5"/>
    <w:rsid w:val="00A056F2"/>
    <w:rsid w:val="00A05CBB"/>
    <w:rsid w:val="00A0759D"/>
    <w:rsid w:val="00A077BA"/>
    <w:rsid w:val="00A102A4"/>
    <w:rsid w:val="00A123DC"/>
    <w:rsid w:val="00A12C52"/>
    <w:rsid w:val="00A13588"/>
    <w:rsid w:val="00A13774"/>
    <w:rsid w:val="00A14887"/>
    <w:rsid w:val="00A14D8C"/>
    <w:rsid w:val="00A156CC"/>
    <w:rsid w:val="00A15810"/>
    <w:rsid w:val="00A158B0"/>
    <w:rsid w:val="00A15BA4"/>
    <w:rsid w:val="00A16382"/>
    <w:rsid w:val="00A16862"/>
    <w:rsid w:val="00A16919"/>
    <w:rsid w:val="00A17084"/>
    <w:rsid w:val="00A176AF"/>
    <w:rsid w:val="00A1799C"/>
    <w:rsid w:val="00A17DB4"/>
    <w:rsid w:val="00A20022"/>
    <w:rsid w:val="00A209F1"/>
    <w:rsid w:val="00A2119F"/>
    <w:rsid w:val="00A218A4"/>
    <w:rsid w:val="00A21999"/>
    <w:rsid w:val="00A2370E"/>
    <w:rsid w:val="00A23BDC"/>
    <w:rsid w:val="00A249A2"/>
    <w:rsid w:val="00A257F1"/>
    <w:rsid w:val="00A26CEE"/>
    <w:rsid w:val="00A278EF"/>
    <w:rsid w:val="00A27D4E"/>
    <w:rsid w:val="00A30108"/>
    <w:rsid w:val="00A30385"/>
    <w:rsid w:val="00A3067C"/>
    <w:rsid w:val="00A3093F"/>
    <w:rsid w:val="00A30DFE"/>
    <w:rsid w:val="00A31C8B"/>
    <w:rsid w:val="00A326D3"/>
    <w:rsid w:val="00A32863"/>
    <w:rsid w:val="00A32F72"/>
    <w:rsid w:val="00A33272"/>
    <w:rsid w:val="00A33577"/>
    <w:rsid w:val="00A3383A"/>
    <w:rsid w:val="00A33848"/>
    <w:rsid w:val="00A3594F"/>
    <w:rsid w:val="00A35F0D"/>
    <w:rsid w:val="00A3609E"/>
    <w:rsid w:val="00A36A45"/>
    <w:rsid w:val="00A371DA"/>
    <w:rsid w:val="00A37909"/>
    <w:rsid w:val="00A40055"/>
    <w:rsid w:val="00A408DC"/>
    <w:rsid w:val="00A4146E"/>
    <w:rsid w:val="00A4153C"/>
    <w:rsid w:val="00A41D9C"/>
    <w:rsid w:val="00A42656"/>
    <w:rsid w:val="00A42919"/>
    <w:rsid w:val="00A436C6"/>
    <w:rsid w:val="00A44497"/>
    <w:rsid w:val="00A444A4"/>
    <w:rsid w:val="00A452CF"/>
    <w:rsid w:val="00A458E2"/>
    <w:rsid w:val="00A45EF4"/>
    <w:rsid w:val="00A4605B"/>
    <w:rsid w:val="00A46069"/>
    <w:rsid w:val="00A4644D"/>
    <w:rsid w:val="00A465F6"/>
    <w:rsid w:val="00A46617"/>
    <w:rsid w:val="00A46651"/>
    <w:rsid w:val="00A46B6B"/>
    <w:rsid w:val="00A46E59"/>
    <w:rsid w:val="00A4702B"/>
    <w:rsid w:val="00A4789A"/>
    <w:rsid w:val="00A50122"/>
    <w:rsid w:val="00A5037D"/>
    <w:rsid w:val="00A50EB2"/>
    <w:rsid w:val="00A51655"/>
    <w:rsid w:val="00A51AD0"/>
    <w:rsid w:val="00A51EE0"/>
    <w:rsid w:val="00A5215D"/>
    <w:rsid w:val="00A52891"/>
    <w:rsid w:val="00A52D58"/>
    <w:rsid w:val="00A533F7"/>
    <w:rsid w:val="00A5398D"/>
    <w:rsid w:val="00A54B61"/>
    <w:rsid w:val="00A55F7C"/>
    <w:rsid w:val="00A563F7"/>
    <w:rsid w:val="00A56E71"/>
    <w:rsid w:val="00A57353"/>
    <w:rsid w:val="00A57358"/>
    <w:rsid w:val="00A60F97"/>
    <w:rsid w:val="00A61CE8"/>
    <w:rsid w:val="00A61FFD"/>
    <w:rsid w:val="00A62421"/>
    <w:rsid w:val="00A625DC"/>
    <w:rsid w:val="00A62C2D"/>
    <w:rsid w:val="00A63AA6"/>
    <w:rsid w:val="00A63CBF"/>
    <w:rsid w:val="00A64237"/>
    <w:rsid w:val="00A64DA4"/>
    <w:rsid w:val="00A654F1"/>
    <w:rsid w:val="00A655AE"/>
    <w:rsid w:val="00A65EF1"/>
    <w:rsid w:val="00A70B03"/>
    <w:rsid w:val="00A70ECA"/>
    <w:rsid w:val="00A71081"/>
    <w:rsid w:val="00A71984"/>
    <w:rsid w:val="00A72E6C"/>
    <w:rsid w:val="00A733B3"/>
    <w:rsid w:val="00A733CC"/>
    <w:rsid w:val="00A74151"/>
    <w:rsid w:val="00A7440C"/>
    <w:rsid w:val="00A7447D"/>
    <w:rsid w:val="00A74611"/>
    <w:rsid w:val="00A746C7"/>
    <w:rsid w:val="00A75467"/>
    <w:rsid w:val="00A754E3"/>
    <w:rsid w:val="00A75592"/>
    <w:rsid w:val="00A76C7F"/>
    <w:rsid w:val="00A77C07"/>
    <w:rsid w:val="00A77CAD"/>
    <w:rsid w:val="00A77F18"/>
    <w:rsid w:val="00A81663"/>
    <w:rsid w:val="00A81778"/>
    <w:rsid w:val="00A81E53"/>
    <w:rsid w:val="00A823FC"/>
    <w:rsid w:val="00A82A93"/>
    <w:rsid w:val="00A82BFF"/>
    <w:rsid w:val="00A831D6"/>
    <w:rsid w:val="00A835AE"/>
    <w:rsid w:val="00A83E23"/>
    <w:rsid w:val="00A83EC9"/>
    <w:rsid w:val="00A85A5F"/>
    <w:rsid w:val="00A868CC"/>
    <w:rsid w:val="00A86BD4"/>
    <w:rsid w:val="00A86EC2"/>
    <w:rsid w:val="00A87800"/>
    <w:rsid w:val="00A87D89"/>
    <w:rsid w:val="00A87FF7"/>
    <w:rsid w:val="00A9082F"/>
    <w:rsid w:val="00A908C5"/>
    <w:rsid w:val="00A90C9C"/>
    <w:rsid w:val="00A90E41"/>
    <w:rsid w:val="00A90EC9"/>
    <w:rsid w:val="00A911F7"/>
    <w:rsid w:val="00A9176B"/>
    <w:rsid w:val="00A91CFA"/>
    <w:rsid w:val="00A9215D"/>
    <w:rsid w:val="00A9218E"/>
    <w:rsid w:val="00A92972"/>
    <w:rsid w:val="00A92E19"/>
    <w:rsid w:val="00A931A2"/>
    <w:rsid w:val="00A93201"/>
    <w:rsid w:val="00A935DA"/>
    <w:rsid w:val="00A94131"/>
    <w:rsid w:val="00A94C62"/>
    <w:rsid w:val="00A95175"/>
    <w:rsid w:val="00A958E1"/>
    <w:rsid w:val="00A969BD"/>
    <w:rsid w:val="00A96BE6"/>
    <w:rsid w:val="00AA0115"/>
    <w:rsid w:val="00AA15AA"/>
    <w:rsid w:val="00AA1C3D"/>
    <w:rsid w:val="00AA2DEF"/>
    <w:rsid w:val="00AA34B7"/>
    <w:rsid w:val="00AA3701"/>
    <w:rsid w:val="00AA4EE6"/>
    <w:rsid w:val="00AA50B0"/>
    <w:rsid w:val="00AA547B"/>
    <w:rsid w:val="00AA66C5"/>
    <w:rsid w:val="00AA72B9"/>
    <w:rsid w:val="00AA774A"/>
    <w:rsid w:val="00AB0553"/>
    <w:rsid w:val="00AB079C"/>
    <w:rsid w:val="00AB0E23"/>
    <w:rsid w:val="00AB0E6C"/>
    <w:rsid w:val="00AB0F6D"/>
    <w:rsid w:val="00AB151C"/>
    <w:rsid w:val="00AB1982"/>
    <w:rsid w:val="00AB1F12"/>
    <w:rsid w:val="00AB405B"/>
    <w:rsid w:val="00AB4910"/>
    <w:rsid w:val="00AB5DAF"/>
    <w:rsid w:val="00AB6022"/>
    <w:rsid w:val="00AC078D"/>
    <w:rsid w:val="00AC16CA"/>
    <w:rsid w:val="00AC1732"/>
    <w:rsid w:val="00AC175D"/>
    <w:rsid w:val="00AC18D5"/>
    <w:rsid w:val="00AC195A"/>
    <w:rsid w:val="00AC1DA8"/>
    <w:rsid w:val="00AC2676"/>
    <w:rsid w:val="00AC2BCE"/>
    <w:rsid w:val="00AC3381"/>
    <w:rsid w:val="00AC3F7A"/>
    <w:rsid w:val="00AC3F8E"/>
    <w:rsid w:val="00AC421F"/>
    <w:rsid w:val="00AC46E8"/>
    <w:rsid w:val="00AC47E6"/>
    <w:rsid w:val="00AC48CC"/>
    <w:rsid w:val="00AC4FE8"/>
    <w:rsid w:val="00AC5D20"/>
    <w:rsid w:val="00AC7628"/>
    <w:rsid w:val="00AD0A1C"/>
    <w:rsid w:val="00AD0C22"/>
    <w:rsid w:val="00AD0FCF"/>
    <w:rsid w:val="00AD17A1"/>
    <w:rsid w:val="00AD1854"/>
    <w:rsid w:val="00AD21AC"/>
    <w:rsid w:val="00AD2C82"/>
    <w:rsid w:val="00AD4438"/>
    <w:rsid w:val="00AD4FC4"/>
    <w:rsid w:val="00AD51C0"/>
    <w:rsid w:val="00AD525E"/>
    <w:rsid w:val="00AD6293"/>
    <w:rsid w:val="00AD6B6E"/>
    <w:rsid w:val="00AD72C5"/>
    <w:rsid w:val="00AD76E0"/>
    <w:rsid w:val="00AE092F"/>
    <w:rsid w:val="00AE0D43"/>
    <w:rsid w:val="00AE1659"/>
    <w:rsid w:val="00AE1844"/>
    <w:rsid w:val="00AE27D2"/>
    <w:rsid w:val="00AE4505"/>
    <w:rsid w:val="00AE4A0C"/>
    <w:rsid w:val="00AE4AE7"/>
    <w:rsid w:val="00AE55CB"/>
    <w:rsid w:val="00AE63C5"/>
    <w:rsid w:val="00AE6456"/>
    <w:rsid w:val="00AE6679"/>
    <w:rsid w:val="00AE6CB2"/>
    <w:rsid w:val="00AE6F9D"/>
    <w:rsid w:val="00AE6FBB"/>
    <w:rsid w:val="00AE741B"/>
    <w:rsid w:val="00AE7747"/>
    <w:rsid w:val="00AE7B53"/>
    <w:rsid w:val="00AE7B90"/>
    <w:rsid w:val="00AF0049"/>
    <w:rsid w:val="00AF017F"/>
    <w:rsid w:val="00AF17A4"/>
    <w:rsid w:val="00AF18AA"/>
    <w:rsid w:val="00AF237C"/>
    <w:rsid w:val="00AF24F6"/>
    <w:rsid w:val="00AF2999"/>
    <w:rsid w:val="00AF2EF7"/>
    <w:rsid w:val="00AF2FFB"/>
    <w:rsid w:val="00AF31D4"/>
    <w:rsid w:val="00AF334A"/>
    <w:rsid w:val="00AF5E5D"/>
    <w:rsid w:val="00AF5E82"/>
    <w:rsid w:val="00AF7B7E"/>
    <w:rsid w:val="00B0004B"/>
    <w:rsid w:val="00B013DA"/>
    <w:rsid w:val="00B01ECA"/>
    <w:rsid w:val="00B021A9"/>
    <w:rsid w:val="00B02540"/>
    <w:rsid w:val="00B027DD"/>
    <w:rsid w:val="00B033BA"/>
    <w:rsid w:val="00B0343A"/>
    <w:rsid w:val="00B036A3"/>
    <w:rsid w:val="00B03952"/>
    <w:rsid w:val="00B03C1F"/>
    <w:rsid w:val="00B04164"/>
    <w:rsid w:val="00B0489C"/>
    <w:rsid w:val="00B04E2E"/>
    <w:rsid w:val="00B0506D"/>
    <w:rsid w:val="00B054DB"/>
    <w:rsid w:val="00B067F3"/>
    <w:rsid w:val="00B069CA"/>
    <w:rsid w:val="00B06B15"/>
    <w:rsid w:val="00B107AD"/>
    <w:rsid w:val="00B108FE"/>
    <w:rsid w:val="00B10AEC"/>
    <w:rsid w:val="00B10B28"/>
    <w:rsid w:val="00B10C27"/>
    <w:rsid w:val="00B110B8"/>
    <w:rsid w:val="00B114F4"/>
    <w:rsid w:val="00B11B47"/>
    <w:rsid w:val="00B11EEF"/>
    <w:rsid w:val="00B12074"/>
    <w:rsid w:val="00B12233"/>
    <w:rsid w:val="00B123BA"/>
    <w:rsid w:val="00B128B4"/>
    <w:rsid w:val="00B12A56"/>
    <w:rsid w:val="00B138D8"/>
    <w:rsid w:val="00B1391F"/>
    <w:rsid w:val="00B139D0"/>
    <w:rsid w:val="00B13EC4"/>
    <w:rsid w:val="00B14A9A"/>
    <w:rsid w:val="00B14EE2"/>
    <w:rsid w:val="00B15EBD"/>
    <w:rsid w:val="00B202BE"/>
    <w:rsid w:val="00B2106D"/>
    <w:rsid w:val="00B2115B"/>
    <w:rsid w:val="00B212DD"/>
    <w:rsid w:val="00B21508"/>
    <w:rsid w:val="00B21D8B"/>
    <w:rsid w:val="00B22860"/>
    <w:rsid w:val="00B22CEB"/>
    <w:rsid w:val="00B231CD"/>
    <w:rsid w:val="00B23D24"/>
    <w:rsid w:val="00B24C58"/>
    <w:rsid w:val="00B260C1"/>
    <w:rsid w:val="00B260DD"/>
    <w:rsid w:val="00B26643"/>
    <w:rsid w:val="00B269F7"/>
    <w:rsid w:val="00B26A84"/>
    <w:rsid w:val="00B26BA6"/>
    <w:rsid w:val="00B27590"/>
    <w:rsid w:val="00B27B6F"/>
    <w:rsid w:val="00B27C05"/>
    <w:rsid w:val="00B30216"/>
    <w:rsid w:val="00B30447"/>
    <w:rsid w:val="00B30551"/>
    <w:rsid w:val="00B30F81"/>
    <w:rsid w:val="00B310D1"/>
    <w:rsid w:val="00B3111C"/>
    <w:rsid w:val="00B3166D"/>
    <w:rsid w:val="00B317B9"/>
    <w:rsid w:val="00B31AA3"/>
    <w:rsid w:val="00B31F15"/>
    <w:rsid w:val="00B323C8"/>
    <w:rsid w:val="00B32B61"/>
    <w:rsid w:val="00B33616"/>
    <w:rsid w:val="00B33F2A"/>
    <w:rsid w:val="00B371BF"/>
    <w:rsid w:val="00B37AAA"/>
    <w:rsid w:val="00B40A23"/>
    <w:rsid w:val="00B4148B"/>
    <w:rsid w:val="00B41A20"/>
    <w:rsid w:val="00B41C09"/>
    <w:rsid w:val="00B41F07"/>
    <w:rsid w:val="00B4205B"/>
    <w:rsid w:val="00B426F6"/>
    <w:rsid w:val="00B42DA7"/>
    <w:rsid w:val="00B43DA9"/>
    <w:rsid w:val="00B44D35"/>
    <w:rsid w:val="00B455A8"/>
    <w:rsid w:val="00B46071"/>
    <w:rsid w:val="00B4621A"/>
    <w:rsid w:val="00B47AD7"/>
    <w:rsid w:val="00B523CD"/>
    <w:rsid w:val="00B53528"/>
    <w:rsid w:val="00B53887"/>
    <w:rsid w:val="00B53DC4"/>
    <w:rsid w:val="00B54D12"/>
    <w:rsid w:val="00B55E3D"/>
    <w:rsid w:val="00B5681F"/>
    <w:rsid w:val="00B56B77"/>
    <w:rsid w:val="00B57208"/>
    <w:rsid w:val="00B573A5"/>
    <w:rsid w:val="00B5786F"/>
    <w:rsid w:val="00B60145"/>
    <w:rsid w:val="00B61078"/>
    <w:rsid w:val="00B61C61"/>
    <w:rsid w:val="00B623AF"/>
    <w:rsid w:val="00B626C7"/>
    <w:rsid w:val="00B627E1"/>
    <w:rsid w:val="00B62D75"/>
    <w:rsid w:val="00B62F53"/>
    <w:rsid w:val="00B6320E"/>
    <w:rsid w:val="00B63BC8"/>
    <w:rsid w:val="00B642BF"/>
    <w:rsid w:val="00B64705"/>
    <w:rsid w:val="00B64841"/>
    <w:rsid w:val="00B6491A"/>
    <w:rsid w:val="00B64BA9"/>
    <w:rsid w:val="00B655A1"/>
    <w:rsid w:val="00B6571A"/>
    <w:rsid w:val="00B6617F"/>
    <w:rsid w:val="00B67592"/>
    <w:rsid w:val="00B6773D"/>
    <w:rsid w:val="00B678C9"/>
    <w:rsid w:val="00B7154F"/>
    <w:rsid w:val="00B71890"/>
    <w:rsid w:val="00B71A6F"/>
    <w:rsid w:val="00B71AA8"/>
    <w:rsid w:val="00B71E46"/>
    <w:rsid w:val="00B72402"/>
    <w:rsid w:val="00B7249A"/>
    <w:rsid w:val="00B72B66"/>
    <w:rsid w:val="00B72C7D"/>
    <w:rsid w:val="00B72CE6"/>
    <w:rsid w:val="00B72EA0"/>
    <w:rsid w:val="00B733D7"/>
    <w:rsid w:val="00B736C1"/>
    <w:rsid w:val="00B7370A"/>
    <w:rsid w:val="00B7399D"/>
    <w:rsid w:val="00B73E6B"/>
    <w:rsid w:val="00B74044"/>
    <w:rsid w:val="00B74106"/>
    <w:rsid w:val="00B74695"/>
    <w:rsid w:val="00B74855"/>
    <w:rsid w:val="00B74AED"/>
    <w:rsid w:val="00B74C20"/>
    <w:rsid w:val="00B75274"/>
    <w:rsid w:val="00B753F5"/>
    <w:rsid w:val="00B75696"/>
    <w:rsid w:val="00B7577C"/>
    <w:rsid w:val="00B75991"/>
    <w:rsid w:val="00B75A3D"/>
    <w:rsid w:val="00B75C7F"/>
    <w:rsid w:val="00B76037"/>
    <w:rsid w:val="00B761E9"/>
    <w:rsid w:val="00B76563"/>
    <w:rsid w:val="00B7682E"/>
    <w:rsid w:val="00B77E2F"/>
    <w:rsid w:val="00B80509"/>
    <w:rsid w:val="00B80966"/>
    <w:rsid w:val="00B8105F"/>
    <w:rsid w:val="00B8141D"/>
    <w:rsid w:val="00B8182D"/>
    <w:rsid w:val="00B82AC3"/>
    <w:rsid w:val="00B82C8B"/>
    <w:rsid w:val="00B82CE3"/>
    <w:rsid w:val="00B83272"/>
    <w:rsid w:val="00B8391E"/>
    <w:rsid w:val="00B84DD3"/>
    <w:rsid w:val="00B84E10"/>
    <w:rsid w:val="00B8542B"/>
    <w:rsid w:val="00B854A1"/>
    <w:rsid w:val="00B858A4"/>
    <w:rsid w:val="00B858E4"/>
    <w:rsid w:val="00B85AC8"/>
    <w:rsid w:val="00B86403"/>
    <w:rsid w:val="00B8659F"/>
    <w:rsid w:val="00B8677A"/>
    <w:rsid w:val="00B86880"/>
    <w:rsid w:val="00B87052"/>
    <w:rsid w:val="00B87AF1"/>
    <w:rsid w:val="00B87CF2"/>
    <w:rsid w:val="00B9063C"/>
    <w:rsid w:val="00B90671"/>
    <w:rsid w:val="00B90B1C"/>
    <w:rsid w:val="00B91366"/>
    <w:rsid w:val="00B9191B"/>
    <w:rsid w:val="00B928C5"/>
    <w:rsid w:val="00B92CEA"/>
    <w:rsid w:val="00B93D83"/>
    <w:rsid w:val="00B93DA6"/>
    <w:rsid w:val="00B93F03"/>
    <w:rsid w:val="00B944D5"/>
    <w:rsid w:val="00B94539"/>
    <w:rsid w:val="00B94F1D"/>
    <w:rsid w:val="00B9524E"/>
    <w:rsid w:val="00B9584C"/>
    <w:rsid w:val="00B95CE4"/>
    <w:rsid w:val="00B95DCE"/>
    <w:rsid w:val="00B971FA"/>
    <w:rsid w:val="00B976A3"/>
    <w:rsid w:val="00B97921"/>
    <w:rsid w:val="00BA0046"/>
    <w:rsid w:val="00BA0646"/>
    <w:rsid w:val="00BA064C"/>
    <w:rsid w:val="00BA09D4"/>
    <w:rsid w:val="00BA13E1"/>
    <w:rsid w:val="00BA1CE8"/>
    <w:rsid w:val="00BA1F63"/>
    <w:rsid w:val="00BA266B"/>
    <w:rsid w:val="00BA284E"/>
    <w:rsid w:val="00BA2EE4"/>
    <w:rsid w:val="00BA5278"/>
    <w:rsid w:val="00BA5788"/>
    <w:rsid w:val="00BA59B0"/>
    <w:rsid w:val="00BA60A8"/>
    <w:rsid w:val="00BA61E3"/>
    <w:rsid w:val="00BA796A"/>
    <w:rsid w:val="00BA7CF9"/>
    <w:rsid w:val="00BB001D"/>
    <w:rsid w:val="00BB00EA"/>
    <w:rsid w:val="00BB1992"/>
    <w:rsid w:val="00BB1FB9"/>
    <w:rsid w:val="00BB3475"/>
    <w:rsid w:val="00BB3866"/>
    <w:rsid w:val="00BB3EB4"/>
    <w:rsid w:val="00BB40F1"/>
    <w:rsid w:val="00BB4361"/>
    <w:rsid w:val="00BB4828"/>
    <w:rsid w:val="00BB5EC9"/>
    <w:rsid w:val="00BB6AD3"/>
    <w:rsid w:val="00BB745C"/>
    <w:rsid w:val="00BB7663"/>
    <w:rsid w:val="00BB7784"/>
    <w:rsid w:val="00BB7FB8"/>
    <w:rsid w:val="00BC0598"/>
    <w:rsid w:val="00BC0C36"/>
    <w:rsid w:val="00BC19B7"/>
    <w:rsid w:val="00BC3BA0"/>
    <w:rsid w:val="00BC5146"/>
    <w:rsid w:val="00BC5D70"/>
    <w:rsid w:val="00BC6A4E"/>
    <w:rsid w:val="00BC7A3D"/>
    <w:rsid w:val="00BD004E"/>
    <w:rsid w:val="00BD0A28"/>
    <w:rsid w:val="00BD1A63"/>
    <w:rsid w:val="00BD1E6F"/>
    <w:rsid w:val="00BD223E"/>
    <w:rsid w:val="00BD3615"/>
    <w:rsid w:val="00BD3811"/>
    <w:rsid w:val="00BD3817"/>
    <w:rsid w:val="00BD3997"/>
    <w:rsid w:val="00BD3A1A"/>
    <w:rsid w:val="00BD3B28"/>
    <w:rsid w:val="00BD40C6"/>
    <w:rsid w:val="00BD43F2"/>
    <w:rsid w:val="00BD43F3"/>
    <w:rsid w:val="00BD4412"/>
    <w:rsid w:val="00BD5A21"/>
    <w:rsid w:val="00BD660B"/>
    <w:rsid w:val="00BD68AC"/>
    <w:rsid w:val="00BD71F5"/>
    <w:rsid w:val="00BD7276"/>
    <w:rsid w:val="00BD79A0"/>
    <w:rsid w:val="00BD7C2E"/>
    <w:rsid w:val="00BE0555"/>
    <w:rsid w:val="00BE1666"/>
    <w:rsid w:val="00BE2AD0"/>
    <w:rsid w:val="00BE3E0D"/>
    <w:rsid w:val="00BE40EB"/>
    <w:rsid w:val="00BE4367"/>
    <w:rsid w:val="00BE475F"/>
    <w:rsid w:val="00BE6013"/>
    <w:rsid w:val="00BE6777"/>
    <w:rsid w:val="00BE6959"/>
    <w:rsid w:val="00BE6AA1"/>
    <w:rsid w:val="00BE6DD6"/>
    <w:rsid w:val="00BE77D0"/>
    <w:rsid w:val="00BE7A03"/>
    <w:rsid w:val="00BE7A06"/>
    <w:rsid w:val="00BE7F3A"/>
    <w:rsid w:val="00BE7F43"/>
    <w:rsid w:val="00BE7F87"/>
    <w:rsid w:val="00BF068A"/>
    <w:rsid w:val="00BF1B3C"/>
    <w:rsid w:val="00BF1B74"/>
    <w:rsid w:val="00BF1F54"/>
    <w:rsid w:val="00BF248C"/>
    <w:rsid w:val="00BF28DB"/>
    <w:rsid w:val="00BF2E6A"/>
    <w:rsid w:val="00BF3006"/>
    <w:rsid w:val="00BF3C10"/>
    <w:rsid w:val="00BF4086"/>
    <w:rsid w:val="00BF4595"/>
    <w:rsid w:val="00BF47D6"/>
    <w:rsid w:val="00BF5021"/>
    <w:rsid w:val="00BF5B75"/>
    <w:rsid w:val="00BF6518"/>
    <w:rsid w:val="00BF666E"/>
    <w:rsid w:val="00BF66FC"/>
    <w:rsid w:val="00BF6DB4"/>
    <w:rsid w:val="00BF7A25"/>
    <w:rsid w:val="00BF7A5C"/>
    <w:rsid w:val="00C004E0"/>
    <w:rsid w:val="00C0051E"/>
    <w:rsid w:val="00C00ADF"/>
    <w:rsid w:val="00C01ACD"/>
    <w:rsid w:val="00C01E36"/>
    <w:rsid w:val="00C024CB"/>
    <w:rsid w:val="00C0286C"/>
    <w:rsid w:val="00C02DFE"/>
    <w:rsid w:val="00C02E04"/>
    <w:rsid w:val="00C03CFF"/>
    <w:rsid w:val="00C0478D"/>
    <w:rsid w:val="00C049F6"/>
    <w:rsid w:val="00C053BC"/>
    <w:rsid w:val="00C05697"/>
    <w:rsid w:val="00C05C45"/>
    <w:rsid w:val="00C05DDD"/>
    <w:rsid w:val="00C0610C"/>
    <w:rsid w:val="00C0631A"/>
    <w:rsid w:val="00C064C8"/>
    <w:rsid w:val="00C0680E"/>
    <w:rsid w:val="00C06D04"/>
    <w:rsid w:val="00C06D4E"/>
    <w:rsid w:val="00C07273"/>
    <w:rsid w:val="00C072B1"/>
    <w:rsid w:val="00C076D9"/>
    <w:rsid w:val="00C10051"/>
    <w:rsid w:val="00C11AC1"/>
    <w:rsid w:val="00C11EB7"/>
    <w:rsid w:val="00C1263D"/>
    <w:rsid w:val="00C13B80"/>
    <w:rsid w:val="00C14159"/>
    <w:rsid w:val="00C14687"/>
    <w:rsid w:val="00C147F6"/>
    <w:rsid w:val="00C14A4C"/>
    <w:rsid w:val="00C14A8C"/>
    <w:rsid w:val="00C15622"/>
    <w:rsid w:val="00C16B32"/>
    <w:rsid w:val="00C177AF"/>
    <w:rsid w:val="00C201DE"/>
    <w:rsid w:val="00C20613"/>
    <w:rsid w:val="00C20694"/>
    <w:rsid w:val="00C208A2"/>
    <w:rsid w:val="00C20BD5"/>
    <w:rsid w:val="00C2194B"/>
    <w:rsid w:val="00C21AB7"/>
    <w:rsid w:val="00C21E79"/>
    <w:rsid w:val="00C21F40"/>
    <w:rsid w:val="00C22213"/>
    <w:rsid w:val="00C2223D"/>
    <w:rsid w:val="00C24592"/>
    <w:rsid w:val="00C26E78"/>
    <w:rsid w:val="00C274AA"/>
    <w:rsid w:val="00C27711"/>
    <w:rsid w:val="00C27782"/>
    <w:rsid w:val="00C30D23"/>
    <w:rsid w:val="00C310B2"/>
    <w:rsid w:val="00C31438"/>
    <w:rsid w:val="00C31763"/>
    <w:rsid w:val="00C318E5"/>
    <w:rsid w:val="00C31A8A"/>
    <w:rsid w:val="00C31B33"/>
    <w:rsid w:val="00C320C6"/>
    <w:rsid w:val="00C32C65"/>
    <w:rsid w:val="00C3337C"/>
    <w:rsid w:val="00C33408"/>
    <w:rsid w:val="00C34042"/>
    <w:rsid w:val="00C342C8"/>
    <w:rsid w:val="00C35598"/>
    <w:rsid w:val="00C35663"/>
    <w:rsid w:val="00C358DA"/>
    <w:rsid w:val="00C3634B"/>
    <w:rsid w:val="00C36AD1"/>
    <w:rsid w:val="00C36E72"/>
    <w:rsid w:val="00C37644"/>
    <w:rsid w:val="00C40052"/>
    <w:rsid w:val="00C401B9"/>
    <w:rsid w:val="00C40970"/>
    <w:rsid w:val="00C4139C"/>
    <w:rsid w:val="00C41D40"/>
    <w:rsid w:val="00C4218C"/>
    <w:rsid w:val="00C422B4"/>
    <w:rsid w:val="00C42437"/>
    <w:rsid w:val="00C429FE"/>
    <w:rsid w:val="00C42A95"/>
    <w:rsid w:val="00C42C97"/>
    <w:rsid w:val="00C434C2"/>
    <w:rsid w:val="00C4368B"/>
    <w:rsid w:val="00C4564F"/>
    <w:rsid w:val="00C456D2"/>
    <w:rsid w:val="00C457F0"/>
    <w:rsid w:val="00C4593F"/>
    <w:rsid w:val="00C45A29"/>
    <w:rsid w:val="00C45A61"/>
    <w:rsid w:val="00C4634C"/>
    <w:rsid w:val="00C466DD"/>
    <w:rsid w:val="00C46E34"/>
    <w:rsid w:val="00C4748C"/>
    <w:rsid w:val="00C50263"/>
    <w:rsid w:val="00C512DF"/>
    <w:rsid w:val="00C5160D"/>
    <w:rsid w:val="00C51628"/>
    <w:rsid w:val="00C5266C"/>
    <w:rsid w:val="00C53095"/>
    <w:rsid w:val="00C53D1A"/>
    <w:rsid w:val="00C53EE4"/>
    <w:rsid w:val="00C54124"/>
    <w:rsid w:val="00C54944"/>
    <w:rsid w:val="00C54957"/>
    <w:rsid w:val="00C551EB"/>
    <w:rsid w:val="00C5536F"/>
    <w:rsid w:val="00C55BCF"/>
    <w:rsid w:val="00C56226"/>
    <w:rsid w:val="00C56277"/>
    <w:rsid w:val="00C56E43"/>
    <w:rsid w:val="00C56F84"/>
    <w:rsid w:val="00C5723F"/>
    <w:rsid w:val="00C57A77"/>
    <w:rsid w:val="00C57FB3"/>
    <w:rsid w:val="00C60379"/>
    <w:rsid w:val="00C60794"/>
    <w:rsid w:val="00C60DF9"/>
    <w:rsid w:val="00C614C5"/>
    <w:rsid w:val="00C614CE"/>
    <w:rsid w:val="00C61810"/>
    <w:rsid w:val="00C631AB"/>
    <w:rsid w:val="00C63523"/>
    <w:rsid w:val="00C64223"/>
    <w:rsid w:val="00C6493B"/>
    <w:rsid w:val="00C64E03"/>
    <w:rsid w:val="00C66C40"/>
    <w:rsid w:val="00C675F3"/>
    <w:rsid w:val="00C679E7"/>
    <w:rsid w:val="00C67DAE"/>
    <w:rsid w:val="00C7114B"/>
    <w:rsid w:val="00C7119A"/>
    <w:rsid w:val="00C71508"/>
    <w:rsid w:val="00C7158E"/>
    <w:rsid w:val="00C7179B"/>
    <w:rsid w:val="00C71EC2"/>
    <w:rsid w:val="00C72664"/>
    <w:rsid w:val="00C72DB6"/>
    <w:rsid w:val="00C73B87"/>
    <w:rsid w:val="00C73D14"/>
    <w:rsid w:val="00C74244"/>
    <w:rsid w:val="00C74D92"/>
    <w:rsid w:val="00C74DEB"/>
    <w:rsid w:val="00C75871"/>
    <w:rsid w:val="00C75AFA"/>
    <w:rsid w:val="00C765D4"/>
    <w:rsid w:val="00C770BC"/>
    <w:rsid w:val="00C775A0"/>
    <w:rsid w:val="00C8035F"/>
    <w:rsid w:val="00C809E4"/>
    <w:rsid w:val="00C822DD"/>
    <w:rsid w:val="00C82C06"/>
    <w:rsid w:val="00C8346C"/>
    <w:rsid w:val="00C835F1"/>
    <w:rsid w:val="00C83FCD"/>
    <w:rsid w:val="00C84B64"/>
    <w:rsid w:val="00C84D53"/>
    <w:rsid w:val="00C851A3"/>
    <w:rsid w:val="00C856BD"/>
    <w:rsid w:val="00C8619C"/>
    <w:rsid w:val="00C8635E"/>
    <w:rsid w:val="00C864CB"/>
    <w:rsid w:val="00C869B9"/>
    <w:rsid w:val="00C8773B"/>
    <w:rsid w:val="00C87B7B"/>
    <w:rsid w:val="00C87BC4"/>
    <w:rsid w:val="00C87CDB"/>
    <w:rsid w:val="00C87F6D"/>
    <w:rsid w:val="00C90209"/>
    <w:rsid w:val="00C90290"/>
    <w:rsid w:val="00C90679"/>
    <w:rsid w:val="00C907AF"/>
    <w:rsid w:val="00C912E0"/>
    <w:rsid w:val="00C916EB"/>
    <w:rsid w:val="00C91A22"/>
    <w:rsid w:val="00C91E12"/>
    <w:rsid w:val="00C91F5C"/>
    <w:rsid w:val="00C925C9"/>
    <w:rsid w:val="00C92B9E"/>
    <w:rsid w:val="00C92EDD"/>
    <w:rsid w:val="00C9301B"/>
    <w:rsid w:val="00C938B5"/>
    <w:rsid w:val="00C93DE4"/>
    <w:rsid w:val="00CA0409"/>
    <w:rsid w:val="00CA0876"/>
    <w:rsid w:val="00CA18A0"/>
    <w:rsid w:val="00CA1E40"/>
    <w:rsid w:val="00CA2CAC"/>
    <w:rsid w:val="00CA41DB"/>
    <w:rsid w:val="00CA4F51"/>
    <w:rsid w:val="00CA526A"/>
    <w:rsid w:val="00CA56EF"/>
    <w:rsid w:val="00CA572D"/>
    <w:rsid w:val="00CA6002"/>
    <w:rsid w:val="00CA6B9D"/>
    <w:rsid w:val="00CA70BA"/>
    <w:rsid w:val="00CA7181"/>
    <w:rsid w:val="00CA7E40"/>
    <w:rsid w:val="00CA7F24"/>
    <w:rsid w:val="00CB0023"/>
    <w:rsid w:val="00CB0062"/>
    <w:rsid w:val="00CB2843"/>
    <w:rsid w:val="00CB296C"/>
    <w:rsid w:val="00CB3070"/>
    <w:rsid w:val="00CB391C"/>
    <w:rsid w:val="00CB3A5F"/>
    <w:rsid w:val="00CB3C7A"/>
    <w:rsid w:val="00CB3D98"/>
    <w:rsid w:val="00CB4C4D"/>
    <w:rsid w:val="00CB56FC"/>
    <w:rsid w:val="00CB5D35"/>
    <w:rsid w:val="00CB655D"/>
    <w:rsid w:val="00CB6C83"/>
    <w:rsid w:val="00CB6D7E"/>
    <w:rsid w:val="00CB6E06"/>
    <w:rsid w:val="00CB6F85"/>
    <w:rsid w:val="00CB705E"/>
    <w:rsid w:val="00CB72BB"/>
    <w:rsid w:val="00CB7D83"/>
    <w:rsid w:val="00CC07A1"/>
    <w:rsid w:val="00CC0B66"/>
    <w:rsid w:val="00CC15FC"/>
    <w:rsid w:val="00CC17D3"/>
    <w:rsid w:val="00CC1AD3"/>
    <w:rsid w:val="00CC1F18"/>
    <w:rsid w:val="00CC236E"/>
    <w:rsid w:val="00CC293D"/>
    <w:rsid w:val="00CC3461"/>
    <w:rsid w:val="00CC3633"/>
    <w:rsid w:val="00CC3D17"/>
    <w:rsid w:val="00CC44CB"/>
    <w:rsid w:val="00CC4854"/>
    <w:rsid w:val="00CC4C9A"/>
    <w:rsid w:val="00CC5118"/>
    <w:rsid w:val="00CC5963"/>
    <w:rsid w:val="00CC659C"/>
    <w:rsid w:val="00CC6AF0"/>
    <w:rsid w:val="00CC6B8C"/>
    <w:rsid w:val="00CC6E5B"/>
    <w:rsid w:val="00CC745A"/>
    <w:rsid w:val="00CC7A6C"/>
    <w:rsid w:val="00CD00DC"/>
    <w:rsid w:val="00CD07AE"/>
    <w:rsid w:val="00CD0E60"/>
    <w:rsid w:val="00CD0FC7"/>
    <w:rsid w:val="00CD1972"/>
    <w:rsid w:val="00CD1999"/>
    <w:rsid w:val="00CD22A0"/>
    <w:rsid w:val="00CD2B22"/>
    <w:rsid w:val="00CD3584"/>
    <w:rsid w:val="00CD3B14"/>
    <w:rsid w:val="00CD4081"/>
    <w:rsid w:val="00CD4262"/>
    <w:rsid w:val="00CD49E9"/>
    <w:rsid w:val="00CD4BE8"/>
    <w:rsid w:val="00CD4CD7"/>
    <w:rsid w:val="00CD55B3"/>
    <w:rsid w:val="00CD5846"/>
    <w:rsid w:val="00CD667A"/>
    <w:rsid w:val="00CD6EC9"/>
    <w:rsid w:val="00CD78B3"/>
    <w:rsid w:val="00CD7B66"/>
    <w:rsid w:val="00CD7CB4"/>
    <w:rsid w:val="00CE000A"/>
    <w:rsid w:val="00CE06EF"/>
    <w:rsid w:val="00CE085D"/>
    <w:rsid w:val="00CE090A"/>
    <w:rsid w:val="00CE1222"/>
    <w:rsid w:val="00CE181F"/>
    <w:rsid w:val="00CE1CC3"/>
    <w:rsid w:val="00CE1DF3"/>
    <w:rsid w:val="00CE25C6"/>
    <w:rsid w:val="00CE4A4E"/>
    <w:rsid w:val="00CE502E"/>
    <w:rsid w:val="00CE57C0"/>
    <w:rsid w:val="00CE5AB2"/>
    <w:rsid w:val="00CE617C"/>
    <w:rsid w:val="00CE61E7"/>
    <w:rsid w:val="00CE6A59"/>
    <w:rsid w:val="00CE72E4"/>
    <w:rsid w:val="00CE74DA"/>
    <w:rsid w:val="00CE7B9D"/>
    <w:rsid w:val="00CE7C99"/>
    <w:rsid w:val="00CE7D9F"/>
    <w:rsid w:val="00CF0CFA"/>
    <w:rsid w:val="00CF0F38"/>
    <w:rsid w:val="00CF0F5F"/>
    <w:rsid w:val="00CF1622"/>
    <w:rsid w:val="00CF2716"/>
    <w:rsid w:val="00CF2D60"/>
    <w:rsid w:val="00CF2E62"/>
    <w:rsid w:val="00CF32FA"/>
    <w:rsid w:val="00CF3C38"/>
    <w:rsid w:val="00CF3CDD"/>
    <w:rsid w:val="00CF41DF"/>
    <w:rsid w:val="00CF4396"/>
    <w:rsid w:val="00CF4731"/>
    <w:rsid w:val="00CF4B82"/>
    <w:rsid w:val="00CF4F52"/>
    <w:rsid w:val="00CF5A68"/>
    <w:rsid w:val="00CF5A8B"/>
    <w:rsid w:val="00CF5BA0"/>
    <w:rsid w:val="00CF6235"/>
    <w:rsid w:val="00CF6645"/>
    <w:rsid w:val="00D00F0A"/>
    <w:rsid w:val="00D01280"/>
    <w:rsid w:val="00D012F9"/>
    <w:rsid w:val="00D01DFA"/>
    <w:rsid w:val="00D02272"/>
    <w:rsid w:val="00D02635"/>
    <w:rsid w:val="00D03BCB"/>
    <w:rsid w:val="00D04A53"/>
    <w:rsid w:val="00D04E25"/>
    <w:rsid w:val="00D05621"/>
    <w:rsid w:val="00D06102"/>
    <w:rsid w:val="00D06E74"/>
    <w:rsid w:val="00D0762C"/>
    <w:rsid w:val="00D07B57"/>
    <w:rsid w:val="00D107EC"/>
    <w:rsid w:val="00D11652"/>
    <w:rsid w:val="00D11CEB"/>
    <w:rsid w:val="00D11E74"/>
    <w:rsid w:val="00D121BF"/>
    <w:rsid w:val="00D1382F"/>
    <w:rsid w:val="00D13BD4"/>
    <w:rsid w:val="00D156B9"/>
    <w:rsid w:val="00D15DDA"/>
    <w:rsid w:val="00D15E98"/>
    <w:rsid w:val="00D15EF4"/>
    <w:rsid w:val="00D166BD"/>
    <w:rsid w:val="00D166F8"/>
    <w:rsid w:val="00D1762A"/>
    <w:rsid w:val="00D17BEC"/>
    <w:rsid w:val="00D17F76"/>
    <w:rsid w:val="00D20A68"/>
    <w:rsid w:val="00D20E5B"/>
    <w:rsid w:val="00D21558"/>
    <w:rsid w:val="00D21EEF"/>
    <w:rsid w:val="00D221FC"/>
    <w:rsid w:val="00D22351"/>
    <w:rsid w:val="00D225D3"/>
    <w:rsid w:val="00D231FF"/>
    <w:rsid w:val="00D23EAC"/>
    <w:rsid w:val="00D24041"/>
    <w:rsid w:val="00D25860"/>
    <w:rsid w:val="00D26094"/>
    <w:rsid w:val="00D2646C"/>
    <w:rsid w:val="00D26BE5"/>
    <w:rsid w:val="00D277A3"/>
    <w:rsid w:val="00D27CD4"/>
    <w:rsid w:val="00D30856"/>
    <w:rsid w:val="00D30B82"/>
    <w:rsid w:val="00D30BAC"/>
    <w:rsid w:val="00D313BD"/>
    <w:rsid w:val="00D3179F"/>
    <w:rsid w:val="00D318A2"/>
    <w:rsid w:val="00D31A78"/>
    <w:rsid w:val="00D31AF7"/>
    <w:rsid w:val="00D3346B"/>
    <w:rsid w:val="00D343B5"/>
    <w:rsid w:val="00D34EB1"/>
    <w:rsid w:val="00D35EF8"/>
    <w:rsid w:val="00D3686B"/>
    <w:rsid w:val="00D4119C"/>
    <w:rsid w:val="00D41BE8"/>
    <w:rsid w:val="00D42F23"/>
    <w:rsid w:val="00D4347E"/>
    <w:rsid w:val="00D4515D"/>
    <w:rsid w:val="00D45542"/>
    <w:rsid w:val="00D458C0"/>
    <w:rsid w:val="00D45A74"/>
    <w:rsid w:val="00D45A9A"/>
    <w:rsid w:val="00D46A33"/>
    <w:rsid w:val="00D47001"/>
    <w:rsid w:val="00D50D88"/>
    <w:rsid w:val="00D510ED"/>
    <w:rsid w:val="00D51280"/>
    <w:rsid w:val="00D51BA0"/>
    <w:rsid w:val="00D51E1B"/>
    <w:rsid w:val="00D51E4C"/>
    <w:rsid w:val="00D52543"/>
    <w:rsid w:val="00D52CD8"/>
    <w:rsid w:val="00D54239"/>
    <w:rsid w:val="00D546E9"/>
    <w:rsid w:val="00D5530B"/>
    <w:rsid w:val="00D553AE"/>
    <w:rsid w:val="00D553DD"/>
    <w:rsid w:val="00D5665F"/>
    <w:rsid w:val="00D56EF3"/>
    <w:rsid w:val="00D572DC"/>
    <w:rsid w:val="00D57499"/>
    <w:rsid w:val="00D5753E"/>
    <w:rsid w:val="00D57CDE"/>
    <w:rsid w:val="00D57D1F"/>
    <w:rsid w:val="00D6022F"/>
    <w:rsid w:val="00D602BE"/>
    <w:rsid w:val="00D6037F"/>
    <w:rsid w:val="00D6054A"/>
    <w:rsid w:val="00D61064"/>
    <w:rsid w:val="00D612D3"/>
    <w:rsid w:val="00D61312"/>
    <w:rsid w:val="00D618AC"/>
    <w:rsid w:val="00D62EAE"/>
    <w:rsid w:val="00D63D92"/>
    <w:rsid w:val="00D648D7"/>
    <w:rsid w:val="00D66952"/>
    <w:rsid w:val="00D70F5A"/>
    <w:rsid w:val="00D713AA"/>
    <w:rsid w:val="00D71A10"/>
    <w:rsid w:val="00D71C1F"/>
    <w:rsid w:val="00D71D09"/>
    <w:rsid w:val="00D722DF"/>
    <w:rsid w:val="00D741D5"/>
    <w:rsid w:val="00D744DE"/>
    <w:rsid w:val="00D74B1F"/>
    <w:rsid w:val="00D74C61"/>
    <w:rsid w:val="00D74F48"/>
    <w:rsid w:val="00D753DF"/>
    <w:rsid w:val="00D75725"/>
    <w:rsid w:val="00D759C1"/>
    <w:rsid w:val="00D75DC2"/>
    <w:rsid w:val="00D764AE"/>
    <w:rsid w:val="00D766FD"/>
    <w:rsid w:val="00D76ED4"/>
    <w:rsid w:val="00D770CE"/>
    <w:rsid w:val="00D77892"/>
    <w:rsid w:val="00D801B7"/>
    <w:rsid w:val="00D8042A"/>
    <w:rsid w:val="00D807DD"/>
    <w:rsid w:val="00D81276"/>
    <w:rsid w:val="00D81C38"/>
    <w:rsid w:val="00D81E77"/>
    <w:rsid w:val="00D82B1B"/>
    <w:rsid w:val="00D82D6E"/>
    <w:rsid w:val="00D8346F"/>
    <w:rsid w:val="00D839FD"/>
    <w:rsid w:val="00D8462F"/>
    <w:rsid w:val="00D84B86"/>
    <w:rsid w:val="00D84F82"/>
    <w:rsid w:val="00D85AE3"/>
    <w:rsid w:val="00D85D2B"/>
    <w:rsid w:val="00D8632C"/>
    <w:rsid w:val="00D865D8"/>
    <w:rsid w:val="00D86A5C"/>
    <w:rsid w:val="00D86B09"/>
    <w:rsid w:val="00D8718E"/>
    <w:rsid w:val="00D87879"/>
    <w:rsid w:val="00D87D71"/>
    <w:rsid w:val="00D908EA"/>
    <w:rsid w:val="00D90DF3"/>
    <w:rsid w:val="00D90E13"/>
    <w:rsid w:val="00D91A66"/>
    <w:rsid w:val="00D92A83"/>
    <w:rsid w:val="00D93978"/>
    <w:rsid w:val="00D939CD"/>
    <w:rsid w:val="00D93BB6"/>
    <w:rsid w:val="00D93F44"/>
    <w:rsid w:val="00D9432B"/>
    <w:rsid w:val="00D94E18"/>
    <w:rsid w:val="00D94FFF"/>
    <w:rsid w:val="00D959D2"/>
    <w:rsid w:val="00D95BAC"/>
    <w:rsid w:val="00D961B0"/>
    <w:rsid w:val="00D962C1"/>
    <w:rsid w:val="00D96C03"/>
    <w:rsid w:val="00D96CB2"/>
    <w:rsid w:val="00D977B4"/>
    <w:rsid w:val="00D97BC0"/>
    <w:rsid w:val="00D97D0C"/>
    <w:rsid w:val="00DA00D0"/>
    <w:rsid w:val="00DA08A4"/>
    <w:rsid w:val="00DA0CED"/>
    <w:rsid w:val="00DA10F5"/>
    <w:rsid w:val="00DA122A"/>
    <w:rsid w:val="00DA164F"/>
    <w:rsid w:val="00DA1967"/>
    <w:rsid w:val="00DA253B"/>
    <w:rsid w:val="00DA38E3"/>
    <w:rsid w:val="00DA4847"/>
    <w:rsid w:val="00DA4B11"/>
    <w:rsid w:val="00DA4F01"/>
    <w:rsid w:val="00DA51C9"/>
    <w:rsid w:val="00DA528A"/>
    <w:rsid w:val="00DA55DB"/>
    <w:rsid w:val="00DA5671"/>
    <w:rsid w:val="00DA5C27"/>
    <w:rsid w:val="00DA68F3"/>
    <w:rsid w:val="00DA6A95"/>
    <w:rsid w:val="00DA6B52"/>
    <w:rsid w:val="00DA6D22"/>
    <w:rsid w:val="00DA7312"/>
    <w:rsid w:val="00DA7757"/>
    <w:rsid w:val="00DB040C"/>
    <w:rsid w:val="00DB053A"/>
    <w:rsid w:val="00DB0926"/>
    <w:rsid w:val="00DB0FF9"/>
    <w:rsid w:val="00DB16D0"/>
    <w:rsid w:val="00DB2269"/>
    <w:rsid w:val="00DB2308"/>
    <w:rsid w:val="00DB3ED8"/>
    <w:rsid w:val="00DB4773"/>
    <w:rsid w:val="00DB52A8"/>
    <w:rsid w:val="00DB5B9F"/>
    <w:rsid w:val="00DB5F6B"/>
    <w:rsid w:val="00DB6C93"/>
    <w:rsid w:val="00DB6ECB"/>
    <w:rsid w:val="00DB7B08"/>
    <w:rsid w:val="00DC0BA5"/>
    <w:rsid w:val="00DC1D9A"/>
    <w:rsid w:val="00DC2F60"/>
    <w:rsid w:val="00DC337E"/>
    <w:rsid w:val="00DC513C"/>
    <w:rsid w:val="00DC5455"/>
    <w:rsid w:val="00DC6A9A"/>
    <w:rsid w:val="00DC7EB0"/>
    <w:rsid w:val="00DD0C5B"/>
    <w:rsid w:val="00DD1C06"/>
    <w:rsid w:val="00DD1C3E"/>
    <w:rsid w:val="00DD1EC4"/>
    <w:rsid w:val="00DD2944"/>
    <w:rsid w:val="00DD2A76"/>
    <w:rsid w:val="00DD2AEF"/>
    <w:rsid w:val="00DD3491"/>
    <w:rsid w:val="00DD35C8"/>
    <w:rsid w:val="00DD366C"/>
    <w:rsid w:val="00DD377F"/>
    <w:rsid w:val="00DD3C2D"/>
    <w:rsid w:val="00DD5364"/>
    <w:rsid w:val="00DD5383"/>
    <w:rsid w:val="00DD5F5C"/>
    <w:rsid w:val="00DD6083"/>
    <w:rsid w:val="00DD61CD"/>
    <w:rsid w:val="00DD61EC"/>
    <w:rsid w:val="00DD758A"/>
    <w:rsid w:val="00DD774B"/>
    <w:rsid w:val="00DD7E52"/>
    <w:rsid w:val="00DD7F38"/>
    <w:rsid w:val="00DE0C4B"/>
    <w:rsid w:val="00DE121E"/>
    <w:rsid w:val="00DE1414"/>
    <w:rsid w:val="00DE17C0"/>
    <w:rsid w:val="00DE2490"/>
    <w:rsid w:val="00DE25BA"/>
    <w:rsid w:val="00DE28CB"/>
    <w:rsid w:val="00DE3512"/>
    <w:rsid w:val="00DE35EA"/>
    <w:rsid w:val="00DE418C"/>
    <w:rsid w:val="00DE41AD"/>
    <w:rsid w:val="00DE4611"/>
    <w:rsid w:val="00DE54A7"/>
    <w:rsid w:val="00DE555E"/>
    <w:rsid w:val="00DE57DA"/>
    <w:rsid w:val="00DE62A6"/>
    <w:rsid w:val="00DE6411"/>
    <w:rsid w:val="00DE668C"/>
    <w:rsid w:val="00DE6B47"/>
    <w:rsid w:val="00DF0139"/>
    <w:rsid w:val="00DF0CAD"/>
    <w:rsid w:val="00DF0EBD"/>
    <w:rsid w:val="00DF10D8"/>
    <w:rsid w:val="00DF13AE"/>
    <w:rsid w:val="00DF1499"/>
    <w:rsid w:val="00DF1C55"/>
    <w:rsid w:val="00DF2F7F"/>
    <w:rsid w:val="00DF3A00"/>
    <w:rsid w:val="00DF464B"/>
    <w:rsid w:val="00DF5136"/>
    <w:rsid w:val="00DF5563"/>
    <w:rsid w:val="00DF56BE"/>
    <w:rsid w:val="00DF5FDB"/>
    <w:rsid w:val="00DF6BA3"/>
    <w:rsid w:val="00DF6F77"/>
    <w:rsid w:val="00DF767D"/>
    <w:rsid w:val="00DF76D9"/>
    <w:rsid w:val="00E00232"/>
    <w:rsid w:val="00E006EE"/>
    <w:rsid w:val="00E00C51"/>
    <w:rsid w:val="00E013BC"/>
    <w:rsid w:val="00E01808"/>
    <w:rsid w:val="00E01B55"/>
    <w:rsid w:val="00E02006"/>
    <w:rsid w:val="00E026CD"/>
    <w:rsid w:val="00E026D8"/>
    <w:rsid w:val="00E02E6B"/>
    <w:rsid w:val="00E0319A"/>
    <w:rsid w:val="00E03388"/>
    <w:rsid w:val="00E03F9F"/>
    <w:rsid w:val="00E045FF"/>
    <w:rsid w:val="00E0471B"/>
    <w:rsid w:val="00E04D4D"/>
    <w:rsid w:val="00E04FD3"/>
    <w:rsid w:val="00E051CD"/>
    <w:rsid w:val="00E052D8"/>
    <w:rsid w:val="00E058E1"/>
    <w:rsid w:val="00E05A22"/>
    <w:rsid w:val="00E068A0"/>
    <w:rsid w:val="00E07049"/>
    <w:rsid w:val="00E073E6"/>
    <w:rsid w:val="00E1046B"/>
    <w:rsid w:val="00E106EF"/>
    <w:rsid w:val="00E1103F"/>
    <w:rsid w:val="00E1131E"/>
    <w:rsid w:val="00E11908"/>
    <w:rsid w:val="00E11986"/>
    <w:rsid w:val="00E11C27"/>
    <w:rsid w:val="00E11EA5"/>
    <w:rsid w:val="00E12636"/>
    <w:rsid w:val="00E12D0F"/>
    <w:rsid w:val="00E12EF6"/>
    <w:rsid w:val="00E132DC"/>
    <w:rsid w:val="00E13766"/>
    <w:rsid w:val="00E1409A"/>
    <w:rsid w:val="00E147C6"/>
    <w:rsid w:val="00E14824"/>
    <w:rsid w:val="00E14CA9"/>
    <w:rsid w:val="00E14CEA"/>
    <w:rsid w:val="00E14D77"/>
    <w:rsid w:val="00E15057"/>
    <w:rsid w:val="00E15B12"/>
    <w:rsid w:val="00E15CB0"/>
    <w:rsid w:val="00E15FC5"/>
    <w:rsid w:val="00E16CB7"/>
    <w:rsid w:val="00E201A5"/>
    <w:rsid w:val="00E201E1"/>
    <w:rsid w:val="00E203E8"/>
    <w:rsid w:val="00E209F0"/>
    <w:rsid w:val="00E21145"/>
    <w:rsid w:val="00E215BC"/>
    <w:rsid w:val="00E21EE7"/>
    <w:rsid w:val="00E23157"/>
    <w:rsid w:val="00E23615"/>
    <w:rsid w:val="00E23965"/>
    <w:rsid w:val="00E23A7E"/>
    <w:rsid w:val="00E23D25"/>
    <w:rsid w:val="00E254D1"/>
    <w:rsid w:val="00E25DA9"/>
    <w:rsid w:val="00E269E4"/>
    <w:rsid w:val="00E27EDD"/>
    <w:rsid w:val="00E30D13"/>
    <w:rsid w:val="00E30FB6"/>
    <w:rsid w:val="00E31234"/>
    <w:rsid w:val="00E312A8"/>
    <w:rsid w:val="00E319E8"/>
    <w:rsid w:val="00E31E14"/>
    <w:rsid w:val="00E330D6"/>
    <w:rsid w:val="00E33160"/>
    <w:rsid w:val="00E33194"/>
    <w:rsid w:val="00E336F5"/>
    <w:rsid w:val="00E33793"/>
    <w:rsid w:val="00E33953"/>
    <w:rsid w:val="00E34796"/>
    <w:rsid w:val="00E34BCF"/>
    <w:rsid w:val="00E35D53"/>
    <w:rsid w:val="00E3609E"/>
    <w:rsid w:val="00E360B8"/>
    <w:rsid w:val="00E36C0D"/>
    <w:rsid w:val="00E373C5"/>
    <w:rsid w:val="00E37E19"/>
    <w:rsid w:val="00E4026A"/>
    <w:rsid w:val="00E4043F"/>
    <w:rsid w:val="00E40717"/>
    <w:rsid w:val="00E40FF9"/>
    <w:rsid w:val="00E42D62"/>
    <w:rsid w:val="00E4400D"/>
    <w:rsid w:val="00E44218"/>
    <w:rsid w:val="00E46482"/>
    <w:rsid w:val="00E476C0"/>
    <w:rsid w:val="00E501A4"/>
    <w:rsid w:val="00E502B4"/>
    <w:rsid w:val="00E51841"/>
    <w:rsid w:val="00E525F1"/>
    <w:rsid w:val="00E52C53"/>
    <w:rsid w:val="00E5320F"/>
    <w:rsid w:val="00E53310"/>
    <w:rsid w:val="00E53934"/>
    <w:rsid w:val="00E53CD6"/>
    <w:rsid w:val="00E54FA2"/>
    <w:rsid w:val="00E56396"/>
    <w:rsid w:val="00E56EC2"/>
    <w:rsid w:val="00E5729B"/>
    <w:rsid w:val="00E57345"/>
    <w:rsid w:val="00E607C5"/>
    <w:rsid w:val="00E609EF"/>
    <w:rsid w:val="00E60C99"/>
    <w:rsid w:val="00E614FF"/>
    <w:rsid w:val="00E61BD3"/>
    <w:rsid w:val="00E65A57"/>
    <w:rsid w:val="00E660DF"/>
    <w:rsid w:val="00E665CB"/>
    <w:rsid w:val="00E66E52"/>
    <w:rsid w:val="00E6742D"/>
    <w:rsid w:val="00E67759"/>
    <w:rsid w:val="00E708A1"/>
    <w:rsid w:val="00E70AEC"/>
    <w:rsid w:val="00E719BC"/>
    <w:rsid w:val="00E71F3A"/>
    <w:rsid w:val="00E7216A"/>
    <w:rsid w:val="00E726BB"/>
    <w:rsid w:val="00E72826"/>
    <w:rsid w:val="00E72AC0"/>
    <w:rsid w:val="00E72B77"/>
    <w:rsid w:val="00E72CB3"/>
    <w:rsid w:val="00E72F87"/>
    <w:rsid w:val="00E73546"/>
    <w:rsid w:val="00E737C8"/>
    <w:rsid w:val="00E747C2"/>
    <w:rsid w:val="00E74AB0"/>
    <w:rsid w:val="00E7552F"/>
    <w:rsid w:val="00E755C9"/>
    <w:rsid w:val="00E757B1"/>
    <w:rsid w:val="00E75E37"/>
    <w:rsid w:val="00E75FF4"/>
    <w:rsid w:val="00E7600B"/>
    <w:rsid w:val="00E762DA"/>
    <w:rsid w:val="00E76BFC"/>
    <w:rsid w:val="00E777C6"/>
    <w:rsid w:val="00E7790E"/>
    <w:rsid w:val="00E77A2E"/>
    <w:rsid w:val="00E77DD0"/>
    <w:rsid w:val="00E80011"/>
    <w:rsid w:val="00E803E1"/>
    <w:rsid w:val="00E80472"/>
    <w:rsid w:val="00E81232"/>
    <w:rsid w:val="00E81EC8"/>
    <w:rsid w:val="00E81FFB"/>
    <w:rsid w:val="00E8271E"/>
    <w:rsid w:val="00E82B62"/>
    <w:rsid w:val="00E82FB2"/>
    <w:rsid w:val="00E8405D"/>
    <w:rsid w:val="00E84230"/>
    <w:rsid w:val="00E856C0"/>
    <w:rsid w:val="00E858FF"/>
    <w:rsid w:val="00E86329"/>
    <w:rsid w:val="00E86405"/>
    <w:rsid w:val="00E86620"/>
    <w:rsid w:val="00E86D18"/>
    <w:rsid w:val="00E870B3"/>
    <w:rsid w:val="00E87C58"/>
    <w:rsid w:val="00E87F3C"/>
    <w:rsid w:val="00E90532"/>
    <w:rsid w:val="00E90750"/>
    <w:rsid w:val="00E90FA7"/>
    <w:rsid w:val="00E91993"/>
    <w:rsid w:val="00E91E3B"/>
    <w:rsid w:val="00E92498"/>
    <w:rsid w:val="00E9272E"/>
    <w:rsid w:val="00E92816"/>
    <w:rsid w:val="00E92EA8"/>
    <w:rsid w:val="00E9351F"/>
    <w:rsid w:val="00E939E1"/>
    <w:rsid w:val="00E94032"/>
    <w:rsid w:val="00E94303"/>
    <w:rsid w:val="00E948C6"/>
    <w:rsid w:val="00E9733C"/>
    <w:rsid w:val="00E9744D"/>
    <w:rsid w:val="00E9771C"/>
    <w:rsid w:val="00E97828"/>
    <w:rsid w:val="00E97E26"/>
    <w:rsid w:val="00EA0B46"/>
    <w:rsid w:val="00EA0F80"/>
    <w:rsid w:val="00EA0FCE"/>
    <w:rsid w:val="00EA1842"/>
    <w:rsid w:val="00EA1C66"/>
    <w:rsid w:val="00EA21DB"/>
    <w:rsid w:val="00EA2893"/>
    <w:rsid w:val="00EA2AAA"/>
    <w:rsid w:val="00EA2F26"/>
    <w:rsid w:val="00EA3813"/>
    <w:rsid w:val="00EA3A45"/>
    <w:rsid w:val="00EA3DF2"/>
    <w:rsid w:val="00EA46D7"/>
    <w:rsid w:val="00EA4764"/>
    <w:rsid w:val="00EA4E3D"/>
    <w:rsid w:val="00EA4F2A"/>
    <w:rsid w:val="00EA50B6"/>
    <w:rsid w:val="00EA52E3"/>
    <w:rsid w:val="00EA54E6"/>
    <w:rsid w:val="00EA572F"/>
    <w:rsid w:val="00EA5931"/>
    <w:rsid w:val="00EA6573"/>
    <w:rsid w:val="00EA6D10"/>
    <w:rsid w:val="00EA71AA"/>
    <w:rsid w:val="00EA74BF"/>
    <w:rsid w:val="00EA7F20"/>
    <w:rsid w:val="00EB0204"/>
    <w:rsid w:val="00EB0872"/>
    <w:rsid w:val="00EB0EC7"/>
    <w:rsid w:val="00EB10EA"/>
    <w:rsid w:val="00EB21C9"/>
    <w:rsid w:val="00EB2EDC"/>
    <w:rsid w:val="00EB3985"/>
    <w:rsid w:val="00EB3BDF"/>
    <w:rsid w:val="00EB416B"/>
    <w:rsid w:val="00EB4194"/>
    <w:rsid w:val="00EB4797"/>
    <w:rsid w:val="00EB4D50"/>
    <w:rsid w:val="00EB5BF7"/>
    <w:rsid w:val="00EB6C20"/>
    <w:rsid w:val="00EB74D2"/>
    <w:rsid w:val="00EC04E5"/>
    <w:rsid w:val="00EC0633"/>
    <w:rsid w:val="00EC06AC"/>
    <w:rsid w:val="00EC101A"/>
    <w:rsid w:val="00EC2530"/>
    <w:rsid w:val="00EC27A6"/>
    <w:rsid w:val="00EC2BA9"/>
    <w:rsid w:val="00EC2F06"/>
    <w:rsid w:val="00EC3EBA"/>
    <w:rsid w:val="00EC4332"/>
    <w:rsid w:val="00EC62B5"/>
    <w:rsid w:val="00EC63C4"/>
    <w:rsid w:val="00EC66FE"/>
    <w:rsid w:val="00EC6EF9"/>
    <w:rsid w:val="00EC6F86"/>
    <w:rsid w:val="00EC70A4"/>
    <w:rsid w:val="00EC78BD"/>
    <w:rsid w:val="00EC7CB5"/>
    <w:rsid w:val="00ED078C"/>
    <w:rsid w:val="00ED0846"/>
    <w:rsid w:val="00ED0EE9"/>
    <w:rsid w:val="00ED1EFF"/>
    <w:rsid w:val="00ED2290"/>
    <w:rsid w:val="00ED2C3E"/>
    <w:rsid w:val="00ED30C4"/>
    <w:rsid w:val="00ED389A"/>
    <w:rsid w:val="00ED3BEA"/>
    <w:rsid w:val="00ED3E76"/>
    <w:rsid w:val="00ED43FA"/>
    <w:rsid w:val="00ED48B0"/>
    <w:rsid w:val="00ED4F04"/>
    <w:rsid w:val="00ED5826"/>
    <w:rsid w:val="00ED585D"/>
    <w:rsid w:val="00ED6517"/>
    <w:rsid w:val="00ED6901"/>
    <w:rsid w:val="00ED6C2F"/>
    <w:rsid w:val="00ED77FE"/>
    <w:rsid w:val="00EE0367"/>
    <w:rsid w:val="00EE0554"/>
    <w:rsid w:val="00EE0C44"/>
    <w:rsid w:val="00EE0C96"/>
    <w:rsid w:val="00EE1512"/>
    <w:rsid w:val="00EE2614"/>
    <w:rsid w:val="00EE26D6"/>
    <w:rsid w:val="00EE2AFE"/>
    <w:rsid w:val="00EE30B0"/>
    <w:rsid w:val="00EE369D"/>
    <w:rsid w:val="00EE3BDF"/>
    <w:rsid w:val="00EE4115"/>
    <w:rsid w:val="00EE4419"/>
    <w:rsid w:val="00EE4596"/>
    <w:rsid w:val="00EE4DBB"/>
    <w:rsid w:val="00EE52D9"/>
    <w:rsid w:val="00EE57DE"/>
    <w:rsid w:val="00EE5BA2"/>
    <w:rsid w:val="00EE5C8B"/>
    <w:rsid w:val="00EE60C3"/>
    <w:rsid w:val="00EE6CE3"/>
    <w:rsid w:val="00EE75B2"/>
    <w:rsid w:val="00EE77ED"/>
    <w:rsid w:val="00EF037C"/>
    <w:rsid w:val="00EF0E4C"/>
    <w:rsid w:val="00EF104B"/>
    <w:rsid w:val="00EF159A"/>
    <w:rsid w:val="00EF18CE"/>
    <w:rsid w:val="00EF33C8"/>
    <w:rsid w:val="00EF384C"/>
    <w:rsid w:val="00EF439F"/>
    <w:rsid w:val="00EF441B"/>
    <w:rsid w:val="00EF4432"/>
    <w:rsid w:val="00EF4ABA"/>
    <w:rsid w:val="00EF4C06"/>
    <w:rsid w:val="00EF4EEB"/>
    <w:rsid w:val="00EF54B1"/>
    <w:rsid w:val="00EF58B8"/>
    <w:rsid w:val="00EF5C9C"/>
    <w:rsid w:val="00EF6A28"/>
    <w:rsid w:val="00EF6F2C"/>
    <w:rsid w:val="00EF7550"/>
    <w:rsid w:val="00EF7634"/>
    <w:rsid w:val="00EF7781"/>
    <w:rsid w:val="00EF7786"/>
    <w:rsid w:val="00EF7D05"/>
    <w:rsid w:val="00F0023B"/>
    <w:rsid w:val="00F002C7"/>
    <w:rsid w:val="00F00A9B"/>
    <w:rsid w:val="00F01103"/>
    <w:rsid w:val="00F0134D"/>
    <w:rsid w:val="00F02005"/>
    <w:rsid w:val="00F04428"/>
    <w:rsid w:val="00F05916"/>
    <w:rsid w:val="00F05966"/>
    <w:rsid w:val="00F05EC7"/>
    <w:rsid w:val="00F064DD"/>
    <w:rsid w:val="00F069E4"/>
    <w:rsid w:val="00F06DBC"/>
    <w:rsid w:val="00F07A5A"/>
    <w:rsid w:val="00F07C34"/>
    <w:rsid w:val="00F1079F"/>
    <w:rsid w:val="00F10ED9"/>
    <w:rsid w:val="00F11C14"/>
    <w:rsid w:val="00F11EB9"/>
    <w:rsid w:val="00F12027"/>
    <w:rsid w:val="00F12411"/>
    <w:rsid w:val="00F128F0"/>
    <w:rsid w:val="00F12A01"/>
    <w:rsid w:val="00F12E4F"/>
    <w:rsid w:val="00F13DA3"/>
    <w:rsid w:val="00F13FA6"/>
    <w:rsid w:val="00F14799"/>
    <w:rsid w:val="00F14B57"/>
    <w:rsid w:val="00F154BC"/>
    <w:rsid w:val="00F160EC"/>
    <w:rsid w:val="00F1663A"/>
    <w:rsid w:val="00F16EAE"/>
    <w:rsid w:val="00F172B8"/>
    <w:rsid w:val="00F17919"/>
    <w:rsid w:val="00F2001D"/>
    <w:rsid w:val="00F20163"/>
    <w:rsid w:val="00F218C2"/>
    <w:rsid w:val="00F21B86"/>
    <w:rsid w:val="00F21C66"/>
    <w:rsid w:val="00F22156"/>
    <w:rsid w:val="00F222D7"/>
    <w:rsid w:val="00F22C0D"/>
    <w:rsid w:val="00F23481"/>
    <w:rsid w:val="00F239FD"/>
    <w:rsid w:val="00F23C8E"/>
    <w:rsid w:val="00F24739"/>
    <w:rsid w:val="00F24744"/>
    <w:rsid w:val="00F24CB0"/>
    <w:rsid w:val="00F25686"/>
    <w:rsid w:val="00F25850"/>
    <w:rsid w:val="00F2596C"/>
    <w:rsid w:val="00F25EDA"/>
    <w:rsid w:val="00F26C84"/>
    <w:rsid w:val="00F272CA"/>
    <w:rsid w:val="00F2764B"/>
    <w:rsid w:val="00F27CB5"/>
    <w:rsid w:val="00F27CC2"/>
    <w:rsid w:val="00F303F2"/>
    <w:rsid w:val="00F30AEA"/>
    <w:rsid w:val="00F30FA5"/>
    <w:rsid w:val="00F31433"/>
    <w:rsid w:val="00F31C10"/>
    <w:rsid w:val="00F32A8F"/>
    <w:rsid w:val="00F33F1A"/>
    <w:rsid w:val="00F34378"/>
    <w:rsid w:val="00F34675"/>
    <w:rsid w:val="00F348EC"/>
    <w:rsid w:val="00F3559F"/>
    <w:rsid w:val="00F35A1D"/>
    <w:rsid w:val="00F360A5"/>
    <w:rsid w:val="00F360FF"/>
    <w:rsid w:val="00F36444"/>
    <w:rsid w:val="00F366A3"/>
    <w:rsid w:val="00F36AEE"/>
    <w:rsid w:val="00F36BC1"/>
    <w:rsid w:val="00F40416"/>
    <w:rsid w:val="00F4084B"/>
    <w:rsid w:val="00F40C87"/>
    <w:rsid w:val="00F40E6D"/>
    <w:rsid w:val="00F4121B"/>
    <w:rsid w:val="00F41517"/>
    <w:rsid w:val="00F418A6"/>
    <w:rsid w:val="00F41ED4"/>
    <w:rsid w:val="00F42207"/>
    <w:rsid w:val="00F42A0A"/>
    <w:rsid w:val="00F42D04"/>
    <w:rsid w:val="00F43155"/>
    <w:rsid w:val="00F435E3"/>
    <w:rsid w:val="00F43E5A"/>
    <w:rsid w:val="00F44B6C"/>
    <w:rsid w:val="00F44FD6"/>
    <w:rsid w:val="00F461A9"/>
    <w:rsid w:val="00F46523"/>
    <w:rsid w:val="00F46843"/>
    <w:rsid w:val="00F46B5D"/>
    <w:rsid w:val="00F47B47"/>
    <w:rsid w:val="00F5017F"/>
    <w:rsid w:val="00F50730"/>
    <w:rsid w:val="00F513E8"/>
    <w:rsid w:val="00F51724"/>
    <w:rsid w:val="00F518BD"/>
    <w:rsid w:val="00F52BC8"/>
    <w:rsid w:val="00F5301A"/>
    <w:rsid w:val="00F53205"/>
    <w:rsid w:val="00F5345F"/>
    <w:rsid w:val="00F534E7"/>
    <w:rsid w:val="00F53E19"/>
    <w:rsid w:val="00F54535"/>
    <w:rsid w:val="00F5466C"/>
    <w:rsid w:val="00F54915"/>
    <w:rsid w:val="00F5663D"/>
    <w:rsid w:val="00F569C2"/>
    <w:rsid w:val="00F5794B"/>
    <w:rsid w:val="00F57A5C"/>
    <w:rsid w:val="00F6097A"/>
    <w:rsid w:val="00F61AF7"/>
    <w:rsid w:val="00F61E19"/>
    <w:rsid w:val="00F62487"/>
    <w:rsid w:val="00F624E2"/>
    <w:rsid w:val="00F62D8E"/>
    <w:rsid w:val="00F65338"/>
    <w:rsid w:val="00F65622"/>
    <w:rsid w:val="00F661ED"/>
    <w:rsid w:val="00F679BD"/>
    <w:rsid w:val="00F7072F"/>
    <w:rsid w:val="00F709A7"/>
    <w:rsid w:val="00F70D5B"/>
    <w:rsid w:val="00F7184F"/>
    <w:rsid w:val="00F71AD8"/>
    <w:rsid w:val="00F73129"/>
    <w:rsid w:val="00F73269"/>
    <w:rsid w:val="00F734AC"/>
    <w:rsid w:val="00F734B4"/>
    <w:rsid w:val="00F73505"/>
    <w:rsid w:val="00F73678"/>
    <w:rsid w:val="00F73C38"/>
    <w:rsid w:val="00F745F4"/>
    <w:rsid w:val="00F746BB"/>
    <w:rsid w:val="00F74A75"/>
    <w:rsid w:val="00F763F5"/>
    <w:rsid w:val="00F77321"/>
    <w:rsid w:val="00F7792E"/>
    <w:rsid w:val="00F77CC6"/>
    <w:rsid w:val="00F801C4"/>
    <w:rsid w:val="00F80F6C"/>
    <w:rsid w:val="00F811DE"/>
    <w:rsid w:val="00F812A1"/>
    <w:rsid w:val="00F818AA"/>
    <w:rsid w:val="00F81AF2"/>
    <w:rsid w:val="00F83E20"/>
    <w:rsid w:val="00F84C6F"/>
    <w:rsid w:val="00F84D10"/>
    <w:rsid w:val="00F84E00"/>
    <w:rsid w:val="00F853B6"/>
    <w:rsid w:val="00F854A0"/>
    <w:rsid w:val="00F86576"/>
    <w:rsid w:val="00F86D9C"/>
    <w:rsid w:val="00F86E56"/>
    <w:rsid w:val="00F8710C"/>
    <w:rsid w:val="00F8713C"/>
    <w:rsid w:val="00F8716A"/>
    <w:rsid w:val="00F8719F"/>
    <w:rsid w:val="00F873CD"/>
    <w:rsid w:val="00F874FA"/>
    <w:rsid w:val="00F876CB"/>
    <w:rsid w:val="00F900D2"/>
    <w:rsid w:val="00F909DD"/>
    <w:rsid w:val="00F90CD2"/>
    <w:rsid w:val="00F90ECE"/>
    <w:rsid w:val="00F9101B"/>
    <w:rsid w:val="00F939C3"/>
    <w:rsid w:val="00F93AF2"/>
    <w:rsid w:val="00F94200"/>
    <w:rsid w:val="00F94E9E"/>
    <w:rsid w:val="00F960A2"/>
    <w:rsid w:val="00F97603"/>
    <w:rsid w:val="00F97880"/>
    <w:rsid w:val="00F97F67"/>
    <w:rsid w:val="00FA00AB"/>
    <w:rsid w:val="00FA0190"/>
    <w:rsid w:val="00FA1252"/>
    <w:rsid w:val="00FA16D5"/>
    <w:rsid w:val="00FA1951"/>
    <w:rsid w:val="00FA1E06"/>
    <w:rsid w:val="00FA36FE"/>
    <w:rsid w:val="00FA3C83"/>
    <w:rsid w:val="00FA50AC"/>
    <w:rsid w:val="00FA52D9"/>
    <w:rsid w:val="00FA5501"/>
    <w:rsid w:val="00FA584F"/>
    <w:rsid w:val="00FA5F8B"/>
    <w:rsid w:val="00FA6048"/>
    <w:rsid w:val="00FA619A"/>
    <w:rsid w:val="00FA6A72"/>
    <w:rsid w:val="00FA7AC8"/>
    <w:rsid w:val="00FB01F1"/>
    <w:rsid w:val="00FB04B4"/>
    <w:rsid w:val="00FB0CD8"/>
    <w:rsid w:val="00FB0D7F"/>
    <w:rsid w:val="00FB0E46"/>
    <w:rsid w:val="00FB2637"/>
    <w:rsid w:val="00FB2A66"/>
    <w:rsid w:val="00FB2F17"/>
    <w:rsid w:val="00FB339B"/>
    <w:rsid w:val="00FB4573"/>
    <w:rsid w:val="00FB5835"/>
    <w:rsid w:val="00FB6A30"/>
    <w:rsid w:val="00FB719F"/>
    <w:rsid w:val="00FB7BB9"/>
    <w:rsid w:val="00FC1110"/>
    <w:rsid w:val="00FC1377"/>
    <w:rsid w:val="00FC13B0"/>
    <w:rsid w:val="00FC18A6"/>
    <w:rsid w:val="00FC19FE"/>
    <w:rsid w:val="00FC2464"/>
    <w:rsid w:val="00FC24F1"/>
    <w:rsid w:val="00FC280D"/>
    <w:rsid w:val="00FC28B6"/>
    <w:rsid w:val="00FC31AE"/>
    <w:rsid w:val="00FC3880"/>
    <w:rsid w:val="00FC3D2B"/>
    <w:rsid w:val="00FC3FC6"/>
    <w:rsid w:val="00FC4319"/>
    <w:rsid w:val="00FC44C9"/>
    <w:rsid w:val="00FC454E"/>
    <w:rsid w:val="00FC477B"/>
    <w:rsid w:val="00FC4D9D"/>
    <w:rsid w:val="00FC54C9"/>
    <w:rsid w:val="00FC5DE2"/>
    <w:rsid w:val="00FC6166"/>
    <w:rsid w:val="00FC659A"/>
    <w:rsid w:val="00FC6AF7"/>
    <w:rsid w:val="00FC7025"/>
    <w:rsid w:val="00FC7107"/>
    <w:rsid w:val="00FC7FE2"/>
    <w:rsid w:val="00FD0027"/>
    <w:rsid w:val="00FD0266"/>
    <w:rsid w:val="00FD0E0E"/>
    <w:rsid w:val="00FD12C1"/>
    <w:rsid w:val="00FD1D01"/>
    <w:rsid w:val="00FD2433"/>
    <w:rsid w:val="00FD2E5B"/>
    <w:rsid w:val="00FD3223"/>
    <w:rsid w:val="00FD35A8"/>
    <w:rsid w:val="00FD3B30"/>
    <w:rsid w:val="00FD4176"/>
    <w:rsid w:val="00FD4A89"/>
    <w:rsid w:val="00FD7AAC"/>
    <w:rsid w:val="00FE02D3"/>
    <w:rsid w:val="00FE02F6"/>
    <w:rsid w:val="00FE0835"/>
    <w:rsid w:val="00FE0F06"/>
    <w:rsid w:val="00FE111A"/>
    <w:rsid w:val="00FE13B7"/>
    <w:rsid w:val="00FE1833"/>
    <w:rsid w:val="00FE1CEA"/>
    <w:rsid w:val="00FE2371"/>
    <w:rsid w:val="00FE33F2"/>
    <w:rsid w:val="00FE3B4D"/>
    <w:rsid w:val="00FE3DC5"/>
    <w:rsid w:val="00FE4877"/>
    <w:rsid w:val="00FE4BA0"/>
    <w:rsid w:val="00FE4D79"/>
    <w:rsid w:val="00FE4E14"/>
    <w:rsid w:val="00FE55B3"/>
    <w:rsid w:val="00FE576A"/>
    <w:rsid w:val="00FE5C54"/>
    <w:rsid w:val="00FE5DD3"/>
    <w:rsid w:val="00FE61CC"/>
    <w:rsid w:val="00FE6C00"/>
    <w:rsid w:val="00FE7A60"/>
    <w:rsid w:val="00FF0096"/>
    <w:rsid w:val="00FF023D"/>
    <w:rsid w:val="00FF02A0"/>
    <w:rsid w:val="00FF0356"/>
    <w:rsid w:val="00FF0B14"/>
    <w:rsid w:val="00FF0D27"/>
    <w:rsid w:val="00FF0E9F"/>
    <w:rsid w:val="00FF110A"/>
    <w:rsid w:val="00FF1893"/>
    <w:rsid w:val="00FF1B9B"/>
    <w:rsid w:val="00FF2200"/>
    <w:rsid w:val="00FF22FC"/>
    <w:rsid w:val="00FF29E5"/>
    <w:rsid w:val="00FF2B9E"/>
    <w:rsid w:val="00FF30DF"/>
    <w:rsid w:val="00FF3603"/>
    <w:rsid w:val="00FF3E9F"/>
    <w:rsid w:val="00FF4504"/>
    <w:rsid w:val="00FF4A17"/>
    <w:rsid w:val="00FF4B79"/>
    <w:rsid w:val="00FF5587"/>
    <w:rsid w:val="00FF5A88"/>
    <w:rsid w:val="00FF684D"/>
    <w:rsid w:val="00FF6CC8"/>
    <w:rsid w:val="00FF6F49"/>
    <w:rsid w:val="00FF7055"/>
    <w:rsid w:val="00FF787C"/>
    <w:rsid w:val="00FF7C54"/>
    <w:rsid w:val="010822AE"/>
    <w:rsid w:val="0108671F"/>
    <w:rsid w:val="012319AD"/>
    <w:rsid w:val="015B52EB"/>
    <w:rsid w:val="016822E2"/>
    <w:rsid w:val="016E7DED"/>
    <w:rsid w:val="0175413A"/>
    <w:rsid w:val="01946C76"/>
    <w:rsid w:val="01AF59EA"/>
    <w:rsid w:val="01F23D45"/>
    <w:rsid w:val="02042F98"/>
    <w:rsid w:val="020F1EA4"/>
    <w:rsid w:val="024C492F"/>
    <w:rsid w:val="028A6705"/>
    <w:rsid w:val="02AB70F9"/>
    <w:rsid w:val="02BA61BC"/>
    <w:rsid w:val="02D44780"/>
    <w:rsid w:val="02E90077"/>
    <w:rsid w:val="02F46B86"/>
    <w:rsid w:val="02F561BC"/>
    <w:rsid w:val="03794567"/>
    <w:rsid w:val="037D6FE6"/>
    <w:rsid w:val="039D18E6"/>
    <w:rsid w:val="03B45FBD"/>
    <w:rsid w:val="03E051AA"/>
    <w:rsid w:val="04001E75"/>
    <w:rsid w:val="04285968"/>
    <w:rsid w:val="048A5A1B"/>
    <w:rsid w:val="049F0298"/>
    <w:rsid w:val="04BA4A83"/>
    <w:rsid w:val="04BE2349"/>
    <w:rsid w:val="04BF30A6"/>
    <w:rsid w:val="04C74770"/>
    <w:rsid w:val="051A0D14"/>
    <w:rsid w:val="05241B93"/>
    <w:rsid w:val="054502A8"/>
    <w:rsid w:val="055572C6"/>
    <w:rsid w:val="055F0975"/>
    <w:rsid w:val="0568009C"/>
    <w:rsid w:val="0599158D"/>
    <w:rsid w:val="05A827C4"/>
    <w:rsid w:val="05D9472B"/>
    <w:rsid w:val="05F652DD"/>
    <w:rsid w:val="066D2B9B"/>
    <w:rsid w:val="06781A50"/>
    <w:rsid w:val="06842E16"/>
    <w:rsid w:val="0685191D"/>
    <w:rsid w:val="068D4D60"/>
    <w:rsid w:val="06C73750"/>
    <w:rsid w:val="06DD2F24"/>
    <w:rsid w:val="0761221C"/>
    <w:rsid w:val="076B35DE"/>
    <w:rsid w:val="078870FE"/>
    <w:rsid w:val="07AD4304"/>
    <w:rsid w:val="07B1140D"/>
    <w:rsid w:val="07B7062C"/>
    <w:rsid w:val="08446EC4"/>
    <w:rsid w:val="085F6C1D"/>
    <w:rsid w:val="0864660C"/>
    <w:rsid w:val="087322A2"/>
    <w:rsid w:val="089A529D"/>
    <w:rsid w:val="089E2D75"/>
    <w:rsid w:val="08BE3E25"/>
    <w:rsid w:val="08EB6C4F"/>
    <w:rsid w:val="08F42A39"/>
    <w:rsid w:val="08F43FF8"/>
    <w:rsid w:val="09214FC6"/>
    <w:rsid w:val="09261C2E"/>
    <w:rsid w:val="09314259"/>
    <w:rsid w:val="094074B8"/>
    <w:rsid w:val="0988598C"/>
    <w:rsid w:val="099A2423"/>
    <w:rsid w:val="09BF20E9"/>
    <w:rsid w:val="09D51B5F"/>
    <w:rsid w:val="0A1C2B05"/>
    <w:rsid w:val="0A225C7A"/>
    <w:rsid w:val="0A303EC3"/>
    <w:rsid w:val="0A307DCA"/>
    <w:rsid w:val="0A7205DA"/>
    <w:rsid w:val="0A7F71BC"/>
    <w:rsid w:val="0AD26B4D"/>
    <w:rsid w:val="0AF71910"/>
    <w:rsid w:val="0B0E700D"/>
    <w:rsid w:val="0B150DBA"/>
    <w:rsid w:val="0B2343E8"/>
    <w:rsid w:val="0B38404A"/>
    <w:rsid w:val="0B3B6626"/>
    <w:rsid w:val="0B512E47"/>
    <w:rsid w:val="0B625136"/>
    <w:rsid w:val="0BD157FE"/>
    <w:rsid w:val="0BE449F4"/>
    <w:rsid w:val="0BF11833"/>
    <w:rsid w:val="0C285D20"/>
    <w:rsid w:val="0C503983"/>
    <w:rsid w:val="0C597A28"/>
    <w:rsid w:val="0C605560"/>
    <w:rsid w:val="0C902DBA"/>
    <w:rsid w:val="0CA92646"/>
    <w:rsid w:val="0CBC42F9"/>
    <w:rsid w:val="0CBD198D"/>
    <w:rsid w:val="0CD512FB"/>
    <w:rsid w:val="0D1E3C8C"/>
    <w:rsid w:val="0D2327C7"/>
    <w:rsid w:val="0D3A347C"/>
    <w:rsid w:val="0D505C1B"/>
    <w:rsid w:val="0D8C6527"/>
    <w:rsid w:val="0D98311E"/>
    <w:rsid w:val="0D9F7809"/>
    <w:rsid w:val="0DAE46EF"/>
    <w:rsid w:val="0DC15CA7"/>
    <w:rsid w:val="0DCF476C"/>
    <w:rsid w:val="0DDF648B"/>
    <w:rsid w:val="0E1363D6"/>
    <w:rsid w:val="0E5C1FCB"/>
    <w:rsid w:val="0E820826"/>
    <w:rsid w:val="0EDE0CEC"/>
    <w:rsid w:val="0EF177F4"/>
    <w:rsid w:val="0F153424"/>
    <w:rsid w:val="0F3F429D"/>
    <w:rsid w:val="0F401CCE"/>
    <w:rsid w:val="0F520F0C"/>
    <w:rsid w:val="0F724E3C"/>
    <w:rsid w:val="0F7667E1"/>
    <w:rsid w:val="0F9C6EF5"/>
    <w:rsid w:val="0FA43FFC"/>
    <w:rsid w:val="1006446F"/>
    <w:rsid w:val="1029260B"/>
    <w:rsid w:val="102E4F10"/>
    <w:rsid w:val="10394744"/>
    <w:rsid w:val="10793068"/>
    <w:rsid w:val="10B2641F"/>
    <w:rsid w:val="10DF0360"/>
    <w:rsid w:val="10FB4028"/>
    <w:rsid w:val="112D30D5"/>
    <w:rsid w:val="116B5B74"/>
    <w:rsid w:val="117A6C6B"/>
    <w:rsid w:val="11877E0B"/>
    <w:rsid w:val="11A62F44"/>
    <w:rsid w:val="11A96B4F"/>
    <w:rsid w:val="12095857"/>
    <w:rsid w:val="122C027D"/>
    <w:rsid w:val="126541AB"/>
    <w:rsid w:val="127C1E3F"/>
    <w:rsid w:val="12A84AB1"/>
    <w:rsid w:val="12AE5C77"/>
    <w:rsid w:val="12B63906"/>
    <w:rsid w:val="12CD11AB"/>
    <w:rsid w:val="12FC3C2C"/>
    <w:rsid w:val="12FF28F2"/>
    <w:rsid w:val="131E6CE5"/>
    <w:rsid w:val="13273CCC"/>
    <w:rsid w:val="13325B24"/>
    <w:rsid w:val="13397A61"/>
    <w:rsid w:val="1342406E"/>
    <w:rsid w:val="13536C53"/>
    <w:rsid w:val="13743C7E"/>
    <w:rsid w:val="13915879"/>
    <w:rsid w:val="13CB100B"/>
    <w:rsid w:val="14164AE9"/>
    <w:rsid w:val="14196BF0"/>
    <w:rsid w:val="142369F3"/>
    <w:rsid w:val="14333BA0"/>
    <w:rsid w:val="146F1D7A"/>
    <w:rsid w:val="14AA5727"/>
    <w:rsid w:val="14B860E1"/>
    <w:rsid w:val="14C31248"/>
    <w:rsid w:val="14D75EDE"/>
    <w:rsid w:val="15145B9D"/>
    <w:rsid w:val="1578511E"/>
    <w:rsid w:val="158373A2"/>
    <w:rsid w:val="1585488A"/>
    <w:rsid w:val="15B46A0D"/>
    <w:rsid w:val="15C43439"/>
    <w:rsid w:val="161C6FBD"/>
    <w:rsid w:val="166242C9"/>
    <w:rsid w:val="16712BA1"/>
    <w:rsid w:val="169615FB"/>
    <w:rsid w:val="16BC43FC"/>
    <w:rsid w:val="16F073D2"/>
    <w:rsid w:val="16F972E0"/>
    <w:rsid w:val="170B1EA5"/>
    <w:rsid w:val="173979C2"/>
    <w:rsid w:val="173F2A13"/>
    <w:rsid w:val="1762315A"/>
    <w:rsid w:val="17661B08"/>
    <w:rsid w:val="17851FD1"/>
    <w:rsid w:val="17B61B95"/>
    <w:rsid w:val="17C36FE9"/>
    <w:rsid w:val="17DA6BA5"/>
    <w:rsid w:val="18316564"/>
    <w:rsid w:val="183A5F45"/>
    <w:rsid w:val="185617FC"/>
    <w:rsid w:val="188320E8"/>
    <w:rsid w:val="18AA5C6C"/>
    <w:rsid w:val="194349F4"/>
    <w:rsid w:val="19492D9B"/>
    <w:rsid w:val="19585355"/>
    <w:rsid w:val="198862BD"/>
    <w:rsid w:val="19AD4861"/>
    <w:rsid w:val="19E73B4D"/>
    <w:rsid w:val="19F15F01"/>
    <w:rsid w:val="1A011B96"/>
    <w:rsid w:val="1A151F9B"/>
    <w:rsid w:val="1A697CA0"/>
    <w:rsid w:val="1A8C400A"/>
    <w:rsid w:val="1A8F09A0"/>
    <w:rsid w:val="1A976C37"/>
    <w:rsid w:val="1AA6291A"/>
    <w:rsid w:val="1AB86BAD"/>
    <w:rsid w:val="1AC47300"/>
    <w:rsid w:val="1AF23D50"/>
    <w:rsid w:val="1B0D22B7"/>
    <w:rsid w:val="1B4332E1"/>
    <w:rsid w:val="1B704F5A"/>
    <w:rsid w:val="1B7735C6"/>
    <w:rsid w:val="1BBC6AEF"/>
    <w:rsid w:val="1BC0342B"/>
    <w:rsid w:val="1BC2311F"/>
    <w:rsid w:val="1BFB3C89"/>
    <w:rsid w:val="1C5D43C7"/>
    <w:rsid w:val="1C63306D"/>
    <w:rsid w:val="1CA4563B"/>
    <w:rsid w:val="1CB201D8"/>
    <w:rsid w:val="1CD46DC5"/>
    <w:rsid w:val="1CDA15AB"/>
    <w:rsid w:val="1D1E53EE"/>
    <w:rsid w:val="1D4E1779"/>
    <w:rsid w:val="1D563E8D"/>
    <w:rsid w:val="1D754E95"/>
    <w:rsid w:val="1DD01430"/>
    <w:rsid w:val="1E1460F1"/>
    <w:rsid w:val="1E2B45A7"/>
    <w:rsid w:val="1E4744D0"/>
    <w:rsid w:val="1E605F30"/>
    <w:rsid w:val="1E6E0897"/>
    <w:rsid w:val="1EC45B21"/>
    <w:rsid w:val="1EDD1894"/>
    <w:rsid w:val="1EFA48BB"/>
    <w:rsid w:val="1F511DCC"/>
    <w:rsid w:val="1F7F74E9"/>
    <w:rsid w:val="1FAE475F"/>
    <w:rsid w:val="1FEF403B"/>
    <w:rsid w:val="1FFC3524"/>
    <w:rsid w:val="20AE6A88"/>
    <w:rsid w:val="217D7535"/>
    <w:rsid w:val="21CC33B4"/>
    <w:rsid w:val="21D85F9F"/>
    <w:rsid w:val="21DC13D3"/>
    <w:rsid w:val="21E346E2"/>
    <w:rsid w:val="222D7967"/>
    <w:rsid w:val="22307E2A"/>
    <w:rsid w:val="22326947"/>
    <w:rsid w:val="224B2E14"/>
    <w:rsid w:val="227E295D"/>
    <w:rsid w:val="229C0B63"/>
    <w:rsid w:val="22B13403"/>
    <w:rsid w:val="22BB613B"/>
    <w:rsid w:val="22EE1B76"/>
    <w:rsid w:val="22FD3CF7"/>
    <w:rsid w:val="231A57A9"/>
    <w:rsid w:val="23297F12"/>
    <w:rsid w:val="237D05FD"/>
    <w:rsid w:val="23B470A1"/>
    <w:rsid w:val="23E3479C"/>
    <w:rsid w:val="24374EB9"/>
    <w:rsid w:val="246D6AE6"/>
    <w:rsid w:val="24F34F34"/>
    <w:rsid w:val="25164BFC"/>
    <w:rsid w:val="25273966"/>
    <w:rsid w:val="25824BFC"/>
    <w:rsid w:val="25A22A6B"/>
    <w:rsid w:val="25A613A6"/>
    <w:rsid w:val="25B84D3B"/>
    <w:rsid w:val="26506346"/>
    <w:rsid w:val="265C2151"/>
    <w:rsid w:val="26806E8D"/>
    <w:rsid w:val="268C1F56"/>
    <w:rsid w:val="26904567"/>
    <w:rsid w:val="26F75030"/>
    <w:rsid w:val="26FE4BFC"/>
    <w:rsid w:val="274577C2"/>
    <w:rsid w:val="276E2D1B"/>
    <w:rsid w:val="27850AE1"/>
    <w:rsid w:val="27DE1A23"/>
    <w:rsid w:val="27EC3350"/>
    <w:rsid w:val="27FD5441"/>
    <w:rsid w:val="28106F71"/>
    <w:rsid w:val="28273B79"/>
    <w:rsid w:val="28870D98"/>
    <w:rsid w:val="289742A6"/>
    <w:rsid w:val="28AC55C6"/>
    <w:rsid w:val="2908513C"/>
    <w:rsid w:val="290B7C29"/>
    <w:rsid w:val="296E45B5"/>
    <w:rsid w:val="298B14AA"/>
    <w:rsid w:val="29BD4FDE"/>
    <w:rsid w:val="29EE476C"/>
    <w:rsid w:val="2A0145E8"/>
    <w:rsid w:val="2A090F19"/>
    <w:rsid w:val="2A511628"/>
    <w:rsid w:val="2A5E2562"/>
    <w:rsid w:val="2A8719D2"/>
    <w:rsid w:val="2B04334A"/>
    <w:rsid w:val="2B293A52"/>
    <w:rsid w:val="2B317991"/>
    <w:rsid w:val="2B595843"/>
    <w:rsid w:val="2B9220D0"/>
    <w:rsid w:val="2B926018"/>
    <w:rsid w:val="2BCC17CB"/>
    <w:rsid w:val="2BD4136D"/>
    <w:rsid w:val="2BE710A1"/>
    <w:rsid w:val="2C237394"/>
    <w:rsid w:val="2C6B15B6"/>
    <w:rsid w:val="2C717544"/>
    <w:rsid w:val="2C787D6D"/>
    <w:rsid w:val="2C892158"/>
    <w:rsid w:val="2C994A91"/>
    <w:rsid w:val="2CFA575A"/>
    <w:rsid w:val="2D146F8E"/>
    <w:rsid w:val="2D1D4122"/>
    <w:rsid w:val="2D35408E"/>
    <w:rsid w:val="2D365210"/>
    <w:rsid w:val="2D5E6791"/>
    <w:rsid w:val="2D8C0B81"/>
    <w:rsid w:val="2D9F6B07"/>
    <w:rsid w:val="2DA11543"/>
    <w:rsid w:val="2E111BA8"/>
    <w:rsid w:val="2E450300"/>
    <w:rsid w:val="2E9B0538"/>
    <w:rsid w:val="2EBD0B2A"/>
    <w:rsid w:val="2EC2119E"/>
    <w:rsid w:val="2F124C61"/>
    <w:rsid w:val="2F126BFA"/>
    <w:rsid w:val="2F3E6E5F"/>
    <w:rsid w:val="2F565C65"/>
    <w:rsid w:val="2F7D6315"/>
    <w:rsid w:val="2F821415"/>
    <w:rsid w:val="2FC13BB7"/>
    <w:rsid w:val="301A7CA0"/>
    <w:rsid w:val="304968CE"/>
    <w:rsid w:val="308A51D5"/>
    <w:rsid w:val="310E43A0"/>
    <w:rsid w:val="311C10D7"/>
    <w:rsid w:val="31406C84"/>
    <w:rsid w:val="316D2EB7"/>
    <w:rsid w:val="31A35E21"/>
    <w:rsid w:val="31C972B1"/>
    <w:rsid w:val="31F4381B"/>
    <w:rsid w:val="31F478E9"/>
    <w:rsid w:val="32513EDC"/>
    <w:rsid w:val="3298755C"/>
    <w:rsid w:val="32B25B2C"/>
    <w:rsid w:val="32CA7C4D"/>
    <w:rsid w:val="331636FF"/>
    <w:rsid w:val="3397037B"/>
    <w:rsid w:val="33AD7074"/>
    <w:rsid w:val="33B10C4D"/>
    <w:rsid w:val="33B27235"/>
    <w:rsid w:val="33C00B55"/>
    <w:rsid w:val="33F02396"/>
    <w:rsid w:val="34312F30"/>
    <w:rsid w:val="34703C2F"/>
    <w:rsid w:val="34773E9B"/>
    <w:rsid w:val="34795D5D"/>
    <w:rsid w:val="347B0932"/>
    <w:rsid w:val="348C2B11"/>
    <w:rsid w:val="34A409EA"/>
    <w:rsid w:val="34C77CD2"/>
    <w:rsid w:val="34CC7160"/>
    <w:rsid w:val="34D114FE"/>
    <w:rsid w:val="350C6DC6"/>
    <w:rsid w:val="35195B42"/>
    <w:rsid w:val="35241DDE"/>
    <w:rsid w:val="352B4019"/>
    <w:rsid w:val="35432B55"/>
    <w:rsid w:val="35983ABD"/>
    <w:rsid w:val="35B52861"/>
    <w:rsid w:val="35DD6145"/>
    <w:rsid w:val="36851BE6"/>
    <w:rsid w:val="36EE315B"/>
    <w:rsid w:val="36F164AE"/>
    <w:rsid w:val="36F75E07"/>
    <w:rsid w:val="370D2FE1"/>
    <w:rsid w:val="370F76FD"/>
    <w:rsid w:val="3710508A"/>
    <w:rsid w:val="37170F30"/>
    <w:rsid w:val="37274335"/>
    <w:rsid w:val="37391F4B"/>
    <w:rsid w:val="373C3C57"/>
    <w:rsid w:val="37501D7A"/>
    <w:rsid w:val="376C79E7"/>
    <w:rsid w:val="37A70966"/>
    <w:rsid w:val="37BA5BCD"/>
    <w:rsid w:val="37BB18F6"/>
    <w:rsid w:val="37CC37DB"/>
    <w:rsid w:val="37D72575"/>
    <w:rsid w:val="37DE2786"/>
    <w:rsid w:val="37EF2C4D"/>
    <w:rsid w:val="38190834"/>
    <w:rsid w:val="385C1855"/>
    <w:rsid w:val="38883C0B"/>
    <w:rsid w:val="38D728CB"/>
    <w:rsid w:val="38FA6BB4"/>
    <w:rsid w:val="38FF7C7A"/>
    <w:rsid w:val="39175A59"/>
    <w:rsid w:val="392A0E82"/>
    <w:rsid w:val="39403593"/>
    <w:rsid w:val="394628D5"/>
    <w:rsid w:val="397554A9"/>
    <w:rsid w:val="39CC09DE"/>
    <w:rsid w:val="3A19364E"/>
    <w:rsid w:val="3A7E410A"/>
    <w:rsid w:val="3A9C7AD6"/>
    <w:rsid w:val="3AC44E71"/>
    <w:rsid w:val="3AF86E2A"/>
    <w:rsid w:val="3B455DE4"/>
    <w:rsid w:val="3B80020A"/>
    <w:rsid w:val="3B850194"/>
    <w:rsid w:val="3B9C06C1"/>
    <w:rsid w:val="3BAE6094"/>
    <w:rsid w:val="3BB645EB"/>
    <w:rsid w:val="3BF13813"/>
    <w:rsid w:val="3C035BF0"/>
    <w:rsid w:val="3C1D6267"/>
    <w:rsid w:val="3C24446C"/>
    <w:rsid w:val="3C766214"/>
    <w:rsid w:val="3CA12326"/>
    <w:rsid w:val="3CD97561"/>
    <w:rsid w:val="3D5A3DC8"/>
    <w:rsid w:val="3E20597F"/>
    <w:rsid w:val="3E2B12C1"/>
    <w:rsid w:val="3E3A1504"/>
    <w:rsid w:val="3E572D08"/>
    <w:rsid w:val="3E8378FF"/>
    <w:rsid w:val="3E8B6203"/>
    <w:rsid w:val="3E933D04"/>
    <w:rsid w:val="3EBD717E"/>
    <w:rsid w:val="3EE41D9C"/>
    <w:rsid w:val="3F1A404E"/>
    <w:rsid w:val="3F243FBA"/>
    <w:rsid w:val="3F30708E"/>
    <w:rsid w:val="3F5A0927"/>
    <w:rsid w:val="3F821AAD"/>
    <w:rsid w:val="3FA53421"/>
    <w:rsid w:val="3FB23473"/>
    <w:rsid w:val="3FB31600"/>
    <w:rsid w:val="3FD60211"/>
    <w:rsid w:val="3FDB7A70"/>
    <w:rsid w:val="3FE45BCB"/>
    <w:rsid w:val="3FFB94C5"/>
    <w:rsid w:val="3FFD0A3B"/>
    <w:rsid w:val="40063D93"/>
    <w:rsid w:val="4017670D"/>
    <w:rsid w:val="4032497A"/>
    <w:rsid w:val="406313A5"/>
    <w:rsid w:val="406902F7"/>
    <w:rsid w:val="408C23A5"/>
    <w:rsid w:val="4095349D"/>
    <w:rsid w:val="411A40CC"/>
    <w:rsid w:val="413D156A"/>
    <w:rsid w:val="414732B2"/>
    <w:rsid w:val="418036D2"/>
    <w:rsid w:val="4185798B"/>
    <w:rsid w:val="41886BB1"/>
    <w:rsid w:val="41B7206A"/>
    <w:rsid w:val="41CD76FD"/>
    <w:rsid w:val="41E579D9"/>
    <w:rsid w:val="423678D9"/>
    <w:rsid w:val="427B6EAC"/>
    <w:rsid w:val="429720F1"/>
    <w:rsid w:val="42DC79F3"/>
    <w:rsid w:val="42E87780"/>
    <w:rsid w:val="43265BB0"/>
    <w:rsid w:val="434540EF"/>
    <w:rsid w:val="436151BF"/>
    <w:rsid w:val="43713F9A"/>
    <w:rsid w:val="43715D8B"/>
    <w:rsid w:val="43C308E5"/>
    <w:rsid w:val="43DB17A5"/>
    <w:rsid w:val="43FA6480"/>
    <w:rsid w:val="44444E8A"/>
    <w:rsid w:val="444D6DC4"/>
    <w:rsid w:val="4458601E"/>
    <w:rsid w:val="446171EB"/>
    <w:rsid w:val="44A130E5"/>
    <w:rsid w:val="44AC2148"/>
    <w:rsid w:val="44BD3DB1"/>
    <w:rsid w:val="44BF379D"/>
    <w:rsid w:val="44FC5B23"/>
    <w:rsid w:val="45235E97"/>
    <w:rsid w:val="45277C55"/>
    <w:rsid w:val="453F2812"/>
    <w:rsid w:val="45461E4E"/>
    <w:rsid w:val="456815F5"/>
    <w:rsid w:val="457C4AF8"/>
    <w:rsid w:val="45C9097F"/>
    <w:rsid w:val="45FA7080"/>
    <w:rsid w:val="46335004"/>
    <w:rsid w:val="46362724"/>
    <w:rsid w:val="46431EDC"/>
    <w:rsid w:val="465026F1"/>
    <w:rsid w:val="46697469"/>
    <w:rsid w:val="468B77B0"/>
    <w:rsid w:val="46A62917"/>
    <w:rsid w:val="46AE2A8F"/>
    <w:rsid w:val="46B05A1F"/>
    <w:rsid w:val="46B30A16"/>
    <w:rsid w:val="46F46CD2"/>
    <w:rsid w:val="476B5921"/>
    <w:rsid w:val="47923750"/>
    <w:rsid w:val="47A44169"/>
    <w:rsid w:val="47F367DF"/>
    <w:rsid w:val="481C6658"/>
    <w:rsid w:val="48201648"/>
    <w:rsid w:val="48651873"/>
    <w:rsid w:val="488E4C19"/>
    <w:rsid w:val="48977D09"/>
    <w:rsid w:val="48B167B2"/>
    <w:rsid w:val="491318AF"/>
    <w:rsid w:val="49234A0D"/>
    <w:rsid w:val="49576B09"/>
    <w:rsid w:val="4958476A"/>
    <w:rsid w:val="495A2786"/>
    <w:rsid w:val="496B0D1A"/>
    <w:rsid w:val="4970518C"/>
    <w:rsid w:val="499061EC"/>
    <w:rsid w:val="49C02F57"/>
    <w:rsid w:val="49F726BA"/>
    <w:rsid w:val="4A207FA8"/>
    <w:rsid w:val="4A4D4E13"/>
    <w:rsid w:val="4A670FC1"/>
    <w:rsid w:val="4A6A453D"/>
    <w:rsid w:val="4A8253DF"/>
    <w:rsid w:val="4A877F3D"/>
    <w:rsid w:val="4A964267"/>
    <w:rsid w:val="4AA56A1B"/>
    <w:rsid w:val="4AC1657C"/>
    <w:rsid w:val="4AC25C75"/>
    <w:rsid w:val="4AD32124"/>
    <w:rsid w:val="4AD64A5E"/>
    <w:rsid w:val="4AEF0C90"/>
    <w:rsid w:val="4AF5323B"/>
    <w:rsid w:val="4AFD4332"/>
    <w:rsid w:val="4B1D4687"/>
    <w:rsid w:val="4B3410A0"/>
    <w:rsid w:val="4BD6030C"/>
    <w:rsid w:val="4BF73ABB"/>
    <w:rsid w:val="4C152702"/>
    <w:rsid w:val="4C156D39"/>
    <w:rsid w:val="4C1F0E5E"/>
    <w:rsid w:val="4C5941D4"/>
    <w:rsid w:val="4C5D5057"/>
    <w:rsid w:val="4C63329F"/>
    <w:rsid w:val="4CDD173D"/>
    <w:rsid w:val="4CE17D68"/>
    <w:rsid w:val="4CEB65B0"/>
    <w:rsid w:val="4CF23FF2"/>
    <w:rsid w:val="4CF431C6"/>
    <w:rsid w:val="4D0510D8"/>
    <w:rsid w:val="4D06420E"/>
    <w:rsid w:val="4D2821A1"/>
    <w:rsid w:val="4D8F5013"/>
    <w:rsid w:val="4E4677F9"/>
    <w:rsid w:val="4E73410D"/>
    <w:rsid w:val="4E8237BA"/>
    <w:rsid w:val="4ECF7A46"/>
    <w:rsid w:val="4EE94BA0"/>
    <w:rsid w:val="4EFB60F2"/>
    <w:rsid w:val="4F2212D8"/>
    <w:rsid w:val="4F2330B7"/>
    <w:rsid w:val="4F251D5C"/>
    <w:rsid w:val="4F6E2A45"/>
    <w:rsid w:val="4F7732E3"/>
    <w:rsid w:val="4FC13398"/>
    <w:rsid w:val="5043249A"/>
    <w:rsid w:val="50B214FA"/>
    <w:rsid w:val="50CC4385"/>
    <w:rsid w:val="50F63C66"/>
    <w:rsid w:val="511013F5"/>
    <w:rsid w:val="51247909"/>
    <w:rsid w:val="512C0E07"/>
    <w:rsid w:val="515359DF"/>
    <w:rsid w:val="51B23518"/>
    <w:rsid w:val="51C52627"/>
    <w:rsid w:val="51E83400"/>
    <w:rsid w:val="51F25DB6"/>
    <w:rsid w:val="525F5585"/>
    <w:rsid w:val="527A6FAB"/>
    <w:rsid w:val="52912188"/>
    <w:rsid w:val="529201CD"/>
    <w:rsid w:val="52C15D02"/>
    <w:rsid w:val="52D6599B"/>
    <w:rsid w:val="52E91785"/>
    <w:rsid w:val="52F76A7C"/>
    <w:rsid w:val="53050A32"/>
    <w:rsid w:val="530D0E18"/>
    <w:rsid w:val="53417B32"/>
    <w:rsid w:val="534327B1"/>
    <w:rsid w:val="53540D68"/>
    <w:rsid w:val="53553AAF"/>
    <w:rsid w:val="53784016"/>
    <w:rsid w:val="53962D77"/>
    <w:rsid w:val="53CA553A"/>
    <w:rsid w:val="53E30E88"/>
    <w:rsid w:val="53EE27D4"/>
    <w:rsid w:val="541F6D7A"/>
    <w:rsid w:val="5422191A"/>
    <w:rsid w:val="54430630"/>
    <w:rsid w:val="546C4388"/>
    <w:rsid w:val="54A42A14"/>
    <w:rsid w:val="54B7033E"/>
    <w:rsid w:val="54D24A14"/>
    <w:rsid w:val="55246D0D"/>
    <w:rsid w:val="553A4C28"/>
    <w:rsid w:val="554B3178"/>
    <w:rsid w:val="555070E2"/>
    <w:rsid w:val="55563EB3"/>
    <w:rsid w:val="557D09FE"/>
    <w:rsid w:val="55913CA7"/>
    <w:rsid w:val="55A158CA"/>
    <w:rsid w:val="55A3210E"/>
    <w:rsid w:val="55DE4049"/>
    <w:rsid w:val="55E66029"/>
    <w:rsid w:val="55FC037D"/>
    <w:rsid w:val="561D71E8"/>
    <w:rsid w:val="56424FA2"/>
    <w:rsid w:val="567F0EB9"/>
    <w:rsid w:val="56961C67"/>
    <w:rsid w:val="56983EB7"/>
    <w:rsid w:val="56E16569"/>
    <w:rsid w:val="56E7162F"/>
    <w:rsid w:val="56F52014"/>
    <w:rsid w:val="571C68B6"/>
    <w:rsid w:val="571F1E19"/>
    <w:rsid w:val="572D7A56"/>
    <w:rsid w:val="57343A1F"/>
    <w:rsid w:val="5751437D"/>
    <w:rsid w:val="575B26B9"/>
    <w:rsid w:val="57A161D6"/>
    <w:rsid w:val="57BF5437"/>
    <w:rsid w:val="57C41CA4"/>
    <w:rsid w:val="57C44B08"/>
    <w:rsid w:val="57CF3250"/>
    <w:rsid w:val="57D77378"/>
    <w:rsid w:val="57EB75F1"/>
    <w:rsid w:val="57F277C8"/>
    <w:rsid w:val="57F66214"/>
    <w:rsid w:val="57FD09DF"/>
    <w:rsid w:val="580E7831"/>
    <w:rsid w:val="58104EF2"/>
    <w:rsid w:val="589E28FE"/>
    <w:rsid w:val="58B73EDF"/>
    <w:rsid w:val="58DE6470"/>
    <w:rsid w:val="59213623"/>
    <w:rsid w:val="592356A3"/>
    <w:rsid w:val="595B45A0"/>
    <w:rsid w:val="597D22F9"/>
    <w:rsid w:val="599D7733"/>
    <w:rsid w:val="59B0384A"/>
    <w:rsid w:val="59C8075D"/>
    <w:rsid w:val="59D2366D"/>
    <w:rsid w:val="5A05584B"/>
    <w:rsid w:val="5A14433F"/>
    <w:rsid w:val="5A546307"/>
    <w:rsid w:val="5A812943"/>
    <w:rsid w:val="5AA24FDC"/>
    <w:rsid w:val="5AA87A12"/>
    <w:rsid w:val="5AF23EA8"/>
    <w:rsid w:val="5B5A50C0"/>
    <w:rsid w:val="5B5A58DD"/>
    <w:rsid w:val="5B95255A"/>
    <w:rsid w:val="5BBC0AED"/>
    <w:rsid w:val="5BC85690"/>
    <w:rsid w:val="5BF1724E"/>
    <w:rsid w:val="5C4001D5"/>
    <w:rsid w:val="5C413AE7"/>
    <w:rsid w:val="5C5C1C9E"/>
    <w:rsid w:val="5C5E00F3"/>
    <w:rsid w:val="5CFA60F2"/>
    <w:rsid w:val="5D2F7311"/>
    <w:rsid w:val="5D334CF3"/>
    <w:rsid w:val="5D78428A"/>
    <w:rsid w:val="5D7F24EF"/>
    <w:rsid w:val="5D906D45"/>
    <w:rsid w:val="5D9B37C9"/>
    <w:rsid w:val="5DEA76E2"/>
    <w:rsid w:val="5DF64FF0"/>
    <w:rsid w:val="5E264629"/>
    <w:rsid w:val="5E265C9E"/>
    <w:rsid w:val="5E782320"/>
    <w:rsid w:val="5E79E093"/>
    <w:rsid w:val="5E7F332E"/>
    <w:rsid w:val="5E89042C"/>
    <w:rsid w:val="5ECE2E10"/>
    <w:rsid w:val="5F0A45FB"/>
    <w:rsid w:val="5F5167F4"/>
    <w:rsid w:val="5F9E46B3"/>
    <w:rsid w:val="60300161"/>
    <w:rsid w:val="60377F76"/>
    <w:rsid w:val="603F01F0"/>
    <w:rsid w:val="605A7970"/>
    <w:rsid w:val="60787A8E"/>
    <w:rsid w:val="60836612"/>
    <w:rsid w:val="6093187E"/>
    <w:rsid w:val="60936B26"/>
    <w:rsid w:val="60AF76D8"/>
    <w:rsid w:val="60C04D76"/>
    <w:rsid w:val="60E4448C"/>
    <w:rsid w:val="60E9182C"/>
    <w:rsid w:val="60FC79C9"/>
    <w:rsid w:val="60FF41BB"/>
    <w:rsid w:val="615157EB"/>
    <w:rsid w:val="61694A3B"/>
    <w:rsid w:val="61AF0ED0"/>
    <w:rsid w:val="61DC61DB"/>
    <w:rsid w:val="61E02939"/>
    <w:rsid w:val="62372395"/>
    <w:rsid w:val="625C66EF"/>
    <w:rsid w:val="62630A6C"/>
    <w:rsid w:val="626B1AB8"/>
    <w:rsid w:val="626D5506"/>
    <w:rsid w:val="62714F3F"/>
    <w:rsid w:val="62885C85"/>
    <w:rsid w:val="629574EE"/>
    <w:rsid w:val="631953C1"/>
    <w:rsid w:val="631E0968"/>
    <w:rsid w:val="633327F6"/>
    <w:rsid w:val="634B193A"/>
    <w:rsid w:val="63545FF1"/>
    <w:rsid w:val="63843F83"/>
    <w:rsid w:val="63A454EE"/>
    <w:rsid w:val="63BC1F6C"/>
    <w:rsid w:val="63E03861"/>
    <w:rsid w:val="63E458E8"/>
    <w:rsid w:val="6418474F"/>
    <w:rsid w:val="64200D0C"/>
    <w:rsid w:val="6446196A"/>
    <w:rsid w:val="644665A5"/>
    <w:rsid w:val="64577A52"/>
    <w:rsid w:val="64832C93"/>
    <w:rsid w:val="64910A0E"/>
    <w:rsid w:val="64CF283C"/>
    <w:rsid w:val="64FF649B"/>
    <w:rsid w:val="65332E12"/>
    <w:rsid w:val="65567863"/>
    <w:rsid w:val="656603E9"/>
    <w:rsid w:val="6580162D"/>
    <w:rsid w:val="6598698C"/>
    <w:rsid w:val="65A96541"/>
    <w:rsid w:val="65CA728C"/>
    <w:rsid w:val="65D53FEC"/>
    <w:rsid w:val="65DE197D"/>
    <w:rsid w:val="66157FDD"/>
    <w:rsid w:val="661D270E"/>
    <w:rsid w:val="66495594"/>
    <w:rsid w:val="664E2A8E"/>
    <w:rsid w:val="667F3613"/>
    <w:rsid w:val="66A4211B"/>
    <w:rsid w:val="66B5498F"/>
    <w:rsid w:val="66B718D7"/>
    <w:rsid w:val="66F3057E"/>
    <w:rsid w:val="66F571FE"/>
    <w:rsid w:val="67226A1F"/>
    <w:rsid w:val="67412DF6"/>
    <w:rsid w:val="679D4AD3"/>
    <w:rsid w:val="67A10713"/>
    <w:rsid w:val="67BE1C68"/>
    <w:rsid w:val="67D2105B"/>
    <w:rsid w:val="67D2709E"/>
    <w:rsid w:val="67DD018E"/>
    <w:rsid w:val="680B6ACA"/>
    <w:rsid w:val="682D7585"/>
    <w:rsid w:val="68336A0B"/>
    <w:rsid w:val="68403003"/>
    <w:rsid w:val="686E3643"/>
    <w:rsid w:val="68784AF7"/>
    <w:rsid w:val="689632C4"/>
    <w:rsid w:val="68E951A3"/>
    <w:rsid w:val="68F12AE9"/>
    <w:rsid w:val="68F24489"/>
    <w:rsid w:val="68F92E15"/>
    <w:rsid w:val="695E2516"/>
    <w:rsid w:val="69D739F6"/>
    <w:rsid w:val="69DB131F"/>
    <w:rsid w:val="69E55FFC"/>
    <w:rsid w:val="69E564FE"/>
    <w:rsid w:val="69E84239"/>
    <w:rsid w:val="69FD1936"/>
    <w:rsid w:val="6A0F7F4D"/>
    <w:rsid w:val="6A107439"/>
    <w:rsid w:val="6A827E47"/>
    <w:rsid w:val="6ABE3C53"/>
    <w:rsid w:val="6AED777A"/>
    <w:rsid w:val="6AEE4391"/>
    <w:rsid w:val="6B120133"/>
    <w:rsid w:val="6B2E694C"/>
    <w:rsid w:val="6B9464F2"/>
    <w:rsid w:val="6B964304"/>
    <w:rsid w:val="6BA2611F"/>
    <w:rsid w:val="6BC45FE4"/>
    <w:rsid w:val="6BC613E9"/>
    <w:rsid w:val="6BC8755E"/>
    <w:rsid w:val="6BD23BBF"/>
    <w:rsid w:val="6BDB75D3"/>
    <w:rsid w:val="6C1219A5"/>
    <w:rsid w:val="6C3B62C3"/>
    <w:rsid w:val="6C627CF4"/>
    <w:rsid w:val="6C7761FD"/>
    <w:rsid w:val="6C99462E"/>
    <w:rsid w:val="6C9D31EB"/>
    <w:rsid w:val="6CA65170"/>
    <w:rsid w:val="6CAC72F7"/>
    <w:rsid w:val="6CB67612"/>
    <w:rsid w:val="6CE46C32"/>
    <w:rsid w:val="6D0E7F42"/>
    <w:rsid w:val="6D11346F"/>
    <w:rsid w:val="6D9810F4"/>
    <w:rsid w:val="6DB17D4F"/>
    <w:rsid w:val="6DB5342F"/>
    <w:rsid w:val="6E081BA7"/>
    <w:rsid w:val="6E0D7B3F"/>
    <w:rsid w:val="6E3F4D6B"/>
    <w:rsid w:val="6E8410EE"/>
    <w:rsid w:val="6E981BFF"/>
    <w:rsid w:val="6EAC168D"/>
    <w:rsid w:val="6EB6525B"/>
    <w:rsid w:val="6ECD33F5"/>
    <w:rsid w:val="6ED23E59"/>
    <w:rsid w:val="6EFC76EC"/>
    <w:rsid w:val="6F0D1E03"/>
    <w:rsid w:val="6F2C1194"/>
    <w:rsid w:val="6F3C1EDD"/>
    <w:rsid w:val="6F7A13C0"/>
    <w:rsid w:val="6F8209A0"/>
    <w:rsid w:val="6FA12783"/>
    <w:rsid w:val="6FA903EB"/>
    <w:rsid w:val="6FCE61FB"/>
    <w:rsid w:val="702E50FA"/>
    <w:rsid w:val="70455722"/>
    <w:rsid w:val="70AB4A08"/>
    <w:rsid w:val="70D939A2"/>
    <w:rsid w:val="711A6C1F"/>
    <w:rsid w:val="71573413"/>
    <w:rsid w:val="71A016C0"/>
    <w:rsid w:val="71A616A1"/>
    <w:rsid w:val="71AA3554"/>
    <w:rsid w:val="71AC14EA"/>
    <w:rsid w:val="71B0505E"/>
    <w:rsid w:val="71E01DE7"/>
    <w:rsid w:val="71F41218"/>
    <w:rsid w:val="720E669D"/>
    <w:rsid w:val="723D25AF"/>
    <w:rsid w:val="726D558E"/>
    <w:rsid w:val="72793441"/>
    <w:rsid w:val="728A2B98"/>
    <w:rsid w:val="728A5A2B"/>
    <w:rsid w:val="7294089E"/>
    <w:rsid w:val="72A57C1E"/>
    <w:rsid w:val="72B86869"/>
    <w:rsid w:val="72E15F67"/>
    <w:rsid w:val="732B36F5"/>
    <w:rsid w:val="735A4A4D"/>
    <w:rsid w:val="735F18F3"/>
    <w:rsid w:val="73955EF8"/>
    <w:rsid w:val="73C01ADE"/>
    <w:rsid w:val="73C81C8A"/>
    <w:rsid w:val="73CB6003"/>
    <w:rsid w:val="73D301C7"/>
    <w:rsid w:val="74331F99"/>
    <w:rsid w:val="74464594"/>
    <w:rsid w:val="745211F6"/>
    <w:rsid w:val="7476022A"/>
    <w:rsid w:val="748C1DB2"/>
    <w:rsid w:val="74BC29C4"/>
    <w:rsid w:val="74C94DB4"/>
    <w:rsid w:val="75067A6A"/>
    <w:rsid w:val="75BC22EF"/>
    <w:rsid w:val="75C8312A"/>
    <w:rsid w:val="75F803DD"/>
    <w:rsid w:val="76021450"/>
    <w:rsid w:val="761A5FEF"/>
    <w:rsid w:val="761D6548"/>
    <w:rsid w:val="76310BBF"/>
    <w:rsid w:val="76A42072"/>
    <w:rsid w:val="76FD9357"/>
    <w:rsid w:val="76FE5C64"/>
    <w:rsid w:val="774265BC"/>
    <w:rsid w:val="77460B3A"/>
    <w:rsid w:val="777B0DEF"/>
    <w:rsid w:val="77BB75AD"/>
    <w:rsid w:val="77C110E7"/>
    <w:rsid w:val="77DE46D3"/>
    <w:rsid w:val="77EDF467"/>
    <w:rsid w:val="77F2017E"/>
    <w:rsid w:val="78140CE8"/>
    <w:rsid w:val="78546B92"/>
    <w:rsid w:val="78577551"/>
    <w:rsid w:val="78784A78"/>
    <w:rsid w:val="78A31C7D"/>
    <w:rsid w:val="78AC7721"/>
    <w:rsid w:val="78BD484E"/>
    <w:rsid w:val="78CA2A0B"/>
    <w:rsid w:val="78CD3B44"/>
    <w:rsid w:val="790A3A91"/>
    <w:rsid w:val="790C2C38"/>
    <w:rsid w:val="793D77A5"/>
    <w:rsid w:val="79AE385E"/>
    <w:rsid w:val="79EE4229"/>
    <w:rsid w:val="7A26753D"/>
    <w:rsid w:val="7A822D05"/>
    <w:rsid w:val="7A9711E2"/>
    <w:rsid w:val="7AA77543"/>
    <w:rsid w:val="7AD524B0"/>
    <w:rsid w:val="7ADA0EC1"/>
    <w:rsid w:val="7AFE0237"/>
    <w:rsid w:val="7B621A1E"/>
    <w:rsid w:val="7C1A22D4"/>
    <w:rsid w:val="7C3F37ED"/>
    <w:rsid w:val="7C482A62"/>
    <w:rsid w:val="7C653614"/>
    <w:rsid w:val="7C854352"/>
    <w:rsid w:val="7CD3011A"/>
    <w:rsid w:val="7CD75AB7"/>
    <w:rsid w:val="7CE62D26"/>
    <w:rsid w:val="7CF21453"/>
    <w:rsid w:val="7CFB685F"/>
    <w:rsid w:val="7CFF8B3A"/>
    <w:rsid w:val="7D327EF4"/>
    <w:rsid w:val="7D487456"/>
    <w:rsid w:val="7D6810DC"/>
    <w:rsid w:val="7D97797F"/>
    <w:rsid w:val="7D9C1BC8"/>
    <w:rsid w:val="7DBF6D54"/>
    <w:rsid w:val="7DD16CFD"/>
    <w:rsid w:val="7DD26138"/>
    <w:rsid w:val="7DF63D4E"/>
    <w:rsid w:val="7E01361D"/>
    <w:rsid w:val="7E270BBA"/>
    <w:rsid w:val="7E350094"/>
    <w:rsid w:val="7E4E71BE"/>
    <w:rsid w:val="7E6D055E"/>
    <w:rsid w:val="7E7F715F"/>
    <w:rsid w:val="7E843F12"/>
    <w:rsid w:val="7E9F49F9"/>
    <w:rsid w:val="7EAC59E3"/>
    <w:rsid w:val="7ED627B6"/>
    <w:rsid w:val="7EED31B5"/>
    <w:rsid w:val="7F0B2E21"/>
    <w:rsid w:val="7F0D6F25"/>
    <w:rsid w:val="7F3240D1"/>
    <w:rsid w:val="7F782629"/>
    <w:rsid w:val="7F7F5C4F"/>
    <w:rsid w:val="7F800FD7"/>
    <w:rsid w:val="7F957F53"/>
    <w:rsid w:val="7FA921F3"/>
    <w:rsid w:val="97E7BC6D"/>
    <w:rsid w:val="BCFFAC39"/>
    <w:rsid w:val="BFBE01F6"/>
    <w:rsid w:val="BFF63641"/>
    <w:rsid w:val="E7FBE7C0"/>
    <w:rsid w:val="EDEFB32F"/>
    <w:rsid w:val="FC7E11F0"/>
    <w:rsid w:val="FCE0B9A1"/>
    <w:rsid w:val="FDFB0A24"/>
    <w:rsid w:val="FEFF913C"/>
    <w:rsid w:val="FFADE161"/>
    <w:rsid w:val="FFD3F227"/>
    <w:rsid w:val="FFF98F2F"/>
    <w:rsid w:val="FFFB5B8E"/>
  </w:rsids>
  <m:mathPr>
    <m:brkBin m:val="before"/>
    <m:brkBinSub m:val="--"/>
    <m:smallFrac m:val="0"/>
    <m:dispDef/>
    <m:lMargin m:val="0"/>
    <m:rMargin m:val="0"/>
    <m:defJc m:val="centerGroup"/>
    <m:wrapIndent m:val="1440"/>
    <m:intLim m:val="subSup"/>
    <m:naryLim m:val="undOvr"/>
  </m:mathPr>
  <w:doNotAutoCompressPictures/>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iPriority="99" w:name="index heading"/>
    <w:lsdException w:qFormat="1" w:unhideWhenUsed="0" w:uiPriority="0" w:semiHidden="0" w:name="caption"/>
    <w:lsdException w:uiPriority="99" w:name="table of figures"/>
    <w:lsdException w:uiPriority="99" w:name="envelope address"/>
    <w:lsdException w:uiPriority="99" w:name="envelope return"/>
    <w:lsdException w:qFormat="1" w:unhideWhenUsed="0" w:uiPriority="0" w:semiHidden="0" w:name="footnote reference"/>
    <w:lsdException w:qFormat="1" w:unhideWhenUsed="0" w:uiPriority="0" w:semiHidden="0" w:name="annotation reference"/>
    <w:lsdException w:uiPriority="99" w:name="line number"/>
    <w:lsdException w:qFormat="1" w:unhideWhenUsed="0" w:uiPriority="0" w:semiHidden="0" w:name="page number"/>
    <w:lsdException w:uiPriority="99" w:name="endnote reference"/>
    <w:lsdException w:uiPriority="99" w:name="endnote text"/>
    <w:lsdException w:qFormat="1" w:uiPriority="99" w:semiHidden="0" w:name="table of authorities"/>
    <w:lsdException w:uiPriority="99" w:name="macro"/>
    <w:lsdException w:uiPriority="99" w:name="toa heading"/>
    <w:lsdException w:qFormat="1" w:unhideWhenUsed="0" w:uiPriority="0" w:semiHidden="0" w:name="List"/>
    <w:lsdException w:uiPriority="99" w:name="List Bullet"/>
    <w:lsdException w:qFormat="1" w:unhideWhenUsed="0" w:uiPriority="0" w:semiHidden="0" w:name="List Number"/>
    <w:lsdException w:qFormat="1" w:unhideWhenUsed="0" w:uiPriority="0" w:semiHidden="0"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qFormat="1" w:unhideWhenUsed="0" w:uiPriority="0" w:semiHidden="0" w:name="Default Paragraph Font"/>
    <w:lsdException w:qFormat="1" w:unhideWhenUsed="0" w:uiPriority="0"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iPriority="99"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iPriority="99" w:semiHidden="0" w:name="Block Text"/>
    <w:lsdException w:qFormat="1" w:unhideWhenUsed="0" w:uiPriority="0" w:semiHidden="0" w:name="Hyperlink"/>
    <w:lsdException w:uiPriority="99"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nhideWhenUsed="0" w:uiPriority="0" w:semiHidden="0"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39" w:semiHidden="0" w:name="Table Grid"/>
    <w:lsdException w:uiPriority="99" w:name="Table Theme"/>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utoSpaceDE w:val="0"/>
      <w:autoSpaceDN w:val="0"/>
      <w:adjustRightInd w:val="0"/>
    </w:pPr>
    <w:rPr>
      <w:rFonts w:ascii="宋体" w:hAnsi="Times New Roman" w:eastAsia="宋体" w:cs="Times New Roman"/>
      <w:sz w:val="34"/>
      <w:lang w:val="en-US" w:eastAsia="zh-CN" w:bidi="ar-SA"/>
    </w:rPr>
  </w:style>
  <w:style w:type="paragraph" w:styleId="4">
    <w:name w:val="heading 1"/>
    <w:basedOn w:val="1"/>
    <w:next w:val="1"/>
    <w:qFormat/>
    <w:uiPriority w:val="0"/>
    <w:pPr>
      <w:keepNext/>
      <w:widowControl w:val="0"/>
      <w:autoSpaceDE w:val="0"/>
      <w:autoSpaceDN w:val="0"/>
      <w:adjustRightInd w:val="0"/>
      <w:spacing w:after="0"/>
      <w:outlineLvl w:val="0"/>
    </w:pPr>
    <w:rPr>
      <w:rFonts w:ascii="Times New Roman" w:hAnsi="Times New Roman" w:eastAsia="宋体" w:cs="Times New Roman"/>
      <w:b/>
      <w:bCs/>
      <w:color w:val="000000"/>
      <w:sz w:val="24"/>
      <w:lang w:bidi="ar-SA"/>
    </w:rPr>
  </w:style>
  <w:style w:type="paragraph" w:styleId="5">
    <w:name w:val="heading 2"/>
    <w:basedOn w:val="1"/>
    <w:next w:val="1"/>
    <w:link w:val="56"/>
    <w:qFormat/>
    <w:uiPriority w:val="0"/>
    <w:pPr>
      <w:keepNext/>
      <w:keepLines/>
      <w:spacing w:before="260" w:after="260" w:line="416" w:lineRule="auto"/>
      <w:outlineLvl w:val="1"/>
    </w:pPr>
    <w:rPr>
      <w:rFonts w:ascii="Arial" w:hAnsi="Arial" w:eastAsia="黑体"/>
      <w:b/>
      <w:bCs/>
      <w:sz w:val="32"/>
      <w:szCs w:val="32"/>
    </w:rPr>
  </w:style>
  <w:style w:type="paragraph" w:styleId="6">
    <w:name w:val="heading 3"/>
    <w:basedOn w:val="1"/>
    <w:next w:val="1"/>
    <w:link w:val="57"/>
    <w:qFormat/>
    <w:uiPriority w:val="0"/>
    <w:pPr>
      <w:keepNext/>
      <w:keepLines/>
      <w:autoSpaceDE/>
      <w:autoSpaceDN/>
      <w:spacing w:before="260" w:after="260" w:line="416" w:lineRule="atLeast"/>
      <w:jc w:val="both"/>
      <w:outlineLvl w:val="2"/>
    </w:pPr>
    <w:rPr>
      <w:rFonts w:ascii="Times New Roman"/>
      <w:b/>
      <w:sz w:val="32"/>
    </w:rPr>
  </w:style>
  <w:style w:type="paragraph" w:styleId="7">
    <w:name w:val="heading 4"/>
    <w:basedOn w:val="1"/>
    <w:next w:val="1"/>
    <w:qFormat/>
    <w:uiPriority w:val="0"/>
    <w:pPr>
      <w:keepNext/>
      <w:keepLines/>
      <w:autoSpaceDE/>
      <w:autoSpaceDN/>
      <w:adjustRightInd/>
      <w:spacing w:before="280" w:after="290" w:line="376" w:lineRule="auto"/>
      <w:jc w:val="both"/>
      <w:textAlignment w:val="auto"/>
      <w:outlineLvl w:val="3"/>
    </w:pPr>
    <w:rPr>
      <w:rFonts w:ascii="Arial" w:hAnsi="Arial" w:eastAsia="黑体" w:cs="Times New Roman"/>
      <w:b/>
      <w:kern w:val="2"/>
      <w:sz w:val="28"/>
    </w:rPr>
  </w:style>
  <w:style w:type="paragraph" w:styleId="8">
    <w:name w:val="heading 5"/>
    <w:basedOn w:val="1"/>
    <w:next w:val="9"/>
    <w:qFormat/>
    <w:uiPriority w:val="0"/>
    <w:pPr>
      <w:keepNext/>
      <w:keepLines/>
      <w:autoSpaceDE/>
      <w:autoSpaceDN/>
      <w:adjustRightInd/>
      <w:spacing w:before="280" w:after="290" w:line="376" w:lineRule="auto"/>
      <w:jc w:val="both"/>
      <w:textAlignment w:val="auto"/>
      <w:outlineLvl w:val="4"/>
    </w:pPr>
    <w:rPr>
      <w:rFonts w:ascii="Times New Roman" w:hAnsi="Times New Roman" w:eastAsia="宋体" w:cs="Times New Roman"/>
      <w:b/>
      <w:kern w:val="2"/>
      <w:sz w:val="28"/>
    </w:rPr>
  </w:style>
  <w:style w:type="paragraph" w:styleId="11">
    <w:name w:val="heading 6"/>
    <w:basedOn w:val="1"/>
    <w:next w:val="9"/>
    <w:qFormat/>
    <w:uiPriority w:val="0"/>
    <w:pPr>
      <w:keepNext/>
      <w:keepLines/>
      <w:autoSpaceDE/>
      <w:autoSpaceDN/>
      <w:adjustRightInd/>
      <w:spacing w:before="240" w:after="64" w:line="320" w:lineRule="auto"/>
      <w:jc w:val="both"/>
      <w:textAlignment w:val="auto"/>
      <w:outlineLvl w:val="5"/>
    </w:pPr>
    <w:rPr>
      <w:rFonts w:ascii="Arial" w:hAnsi="Arial" w:eastAsia="黑体" w:cs="Times New Roman"/>
      <w:b/>
      <w:kern w:val="2"/>
      <w:sz w:val="24"/>
    </w:rPr>
  </w:style>
  <w:style w:type="paragraph" w:styleId="12">
    <w:name w:val="heading 7"/>
    <w:basedOn w:val="1"/>
    <w:next w:val="9"/>
    <w:qFormat/>
    <w:uiPriority w:val="0"/>
    <w:pPr>
      <w:keepNext/>
      <w:keepLines/>
      <w:autoSpaceDE/>
      <w:autoSpaceDN/>
      <w:adjustRightInd/>
      <w:spacing w:before="240" w:after="64" w:line="320" w:lineRule="auto"/>
      <w:jc w:val="both"/>
      <w:textAlignment w:val="auto"/>
      <w:outlineLvl w:val="6"/>
    </w:pPr>
    <w:rPr>
      <w:rFonts w:ascii="Times New Roman" w:hAnsi="Times New Roman" w:eastAsia="宋体" w:cs="Times New Roman"/>
      <w:b/>
      <w:kern w:val="2"/>
      <w:sz w:val="24"/>
    </w:rPr>
  </w:style>
  <w:style w:type="paragraph" w:styleId="13">
    <w:name w:val="heading 8"/>
    <w:basedOn w:val="1"/>
    <w:next w:val="9"/>
    <w:qFormat/>
    <w:uiPriority w:val="0"/>
    <w:pPr>
      <w:keepNext/>
      <w:keepLines/>
      <w:autoSpaceDE/>
      <w:autoSpaceDN/>
      <w:adjustRightInd/>
      <w:spacing w:before="240" w:after="64" w:line="320" w:lineRule="auto"/>
      <w:jc w:val="both"/>
      <w:textAlignment w:val="auto"/>
      <w:outlineLvl w:val="7"/>
    </w:pPr>
    <w:rPr>
      <w:rFonts w:ascii="Arial" w:hAnsi="Arial" w:eastAsia="黑体" w:cs="Times New Roman"/>
      <w:kern w:val="2"/>
      <w:sz w:val="24"/>
    </w:rPr>
  </w:style>
  <w:style w:type="paragraph" w:styleId="14">
    <w:name w:val="heading 9"/>
    <w:basedOn w:val="1"/>
    <w:next w:val="9"/>
    <w:qFormat/>
    <w:uiPriority w:val="0"/>
    <w:pPr>
      <w:keepNext/>
      <w:keepLines/>
      <w:autoSpaceDE/>
      <w:autoSpaceDN/>
      <w:adjustRightInd/>
      <w:spacing w:before="240" w:after="64" w:line="320" w:lineRule="auto"/>
      <w:jc w:val="both"/>
      <w:textAlignment w:val="auto"/>
      <w:outlineLvl w:val="8"/>
    </w:pPr>
    <w:rPr>
      <w:rFonts w:ascii="Arial" w:hAnsi="Arial" w:eastAsia="黑体" w:cs="Times New Roman"/>
      <w:kern w:val="2"/>
      <w:sz w:val="21"/>
    </w:rPr>
  </w:style>
  <w:style w:type="character" w:default="1" w:styleId="50">
    <w:name w:val="Default Paragraph Font"/>
    <w:qFormat/>
    <w:uiPriority w:val="0"/>
    <w:rPr>
      <w:rFonts w:ascii="Times New Roman" w:hAnsi="Times New Roman" w:eastAsia="宋体" w:cs="Times New Roman"/>
    </w:rPr>
  </w:style>
  <w:style w:type="table" w:default="1" w:styleId="48">
    <w:name w:val="Normal Table"/>
    <w:qFormat/>
    <w:uiPriority w:val="0"/>
    <w:rPr>
      <w:rFonts w:ascii="Times New Roman" w:hAnsi="Times New Roman" w:eastAsia="宋体" w:cs="Times New Roman"/>
    </w:rPr>
    <w:tblPr>
      <w:tblCellMar>
        <w:top w:w="0" w:type="dxa"/>
        <w:left w:w="108" w:type="dxa"/>
        <w:bottom w:w="0" w:type="dxa"/>
        <w:right w:w="108" w:type="dxa"/>
      </w:tblCellMar>
    </w:tblPr>
  </w:style>
  <w:style w:type="paragraph" w:styleId="2">
    <w:name w:val="Body Text"/>
    <w:basedOn w:val="1"/>
    <w:next w:val="3"/>
    <w:qFormat/>
    <w:uiPriority w:val="0"/>
    <w:pPr>
      <w:widowControl w:val="0"/>
      <w:autoSpaceDE w:val="0"/>
      <w:autoSpaceDN w:val="0"/>
      <w:adjustRightInd w:val="0"/>
      <w:spacing w:after="0"/>
    </w:pPr>
    <w:rPr>
      <w:rFonts w:ascii="Times New Roman" w:hAnsi="Times New Roman" w:eastAsia="宋体" w:cs="Times New Roman"/>
      <w:sz w:val="28"/>
      <w:lang w:bidi="ar-SA"/>
    </w:rPr>
  </w:style>
  <w:style w:type="paragraph" w:styleId="3">
    <w:name w:val="Body Text First Indent"/>
    <w:basedOn w:val="2"/>
    <w:next w:val="1"/>
    <w:qFormat/>
    <w:uiPriority w:val="0"/>
    <w:pPr>
      <w:widowControl w:val="0"/>
      <w:autoSpaceDE w:val="0"/>
      <w:autoSpaceDN w:val="0"/>
      <w:adjustRightInd w:val="0"/>
      <w:spacing w:after="0"/>
      <w:ind w:firstLine="420" w:firstLineChars="100"/>
    </w:pPr>
    <w:rPr>
      <w:rFonts w:ascii="Times New Roman" w:hAnsi="Times New Roman" w:eastAsia="宋体" w:cs="Times New Roman"/>
      <w:sz w:val="28"/>
      <w:lang w:bidi="ar-SA"/>
    </w:rPr>
  </w:style>
  <w:style w:type="paragraph" w:styleId="9">
    <w:name w:val="Normal Indent"/>
    <w:basedOn w:val="1"/>
    <w:next w:val="10"/>
    <w:qFormat/>
    <w:uiPriority w:val="0"/>
    <w:pPr>
      <w:autoSpaceDE/>
      <w:autoSpaceDN/>
      <w:adjustRightInd/>
      <w:ind w:firstLine="420"/>
      <w:jc w:val="both"/>
      <w:textAlignment w:val="auto"/>
    </w:pPr>
    <w:rPr>
      <w:rFonts w:ascii="Times New Roman" w:hAnsi="Times New Roman" w:eastAsia="宋体" w:cs="Times New Roman"/>
      <w:kern w:val="2"/>
      <w:sz w:val="21"/>
    </w:rPr>
  </w:style>
  <w:style w:type="paragraph" w:styleId="10">
    <w:name w:val="Body Text Indent"/>
    <w:basedOn w:val="1"/>
    <w:next w:val="1"/>
    <w:qFormat/>
    <w:uiPriority w:val="0"/>
    <w:pPr>
      <w:adjustRightInd/>
      <w:spacing w:after="0"/>
      <w:ind w:firstLine="900"/>
      <w:jc w:val="both"/>
    </w:pPr>
    <w:rPr>
      <w:rFonts w:ascii="Times New Roman" w:hAnsi="Times New Roman" w:eastAsia="宋体" w:cs="Times New Roman"/>
      <w:kern w:val="2"/>
      <w:sz w:val="28"/>
      <w:lang w:val="en-US"/>
    </w:rPr>
  </w:style>
  <w:style w:type="paragraph" w:styleId="15">
    <w:name w:val="toc 7"/>
    <w:basedOn w:val="1"/>
    <w:next w:val="1"/>
    <w:qFormat/>
    <w:uiPriority w:val="0"/>
    <w:pPr>
      <w:ind w:left="2040"/>
    </w:pPr>
    <w:rPr>
      <w:rFonts w:ascii="Times New Roman" w:hAnsi="Times New Roman" w:eastAsia="宋体" w:cs="Times New Roman"/>
      <w:sz w:val="18"/>
      <w:szCs w:val="18"/>
    </w:rPr>
  </w:style>
  <w:style w:type="paragraph" w:styleId="16">
    <w:name w:val="table of authorities"/>
    <w:basedOn w:val="1"/>
    <w:next w:val="1"/>
    <w:unhideWhenUsed/>
    <w:qFormat/>
    <w:uiPriority w:val="99"/>
    <w:pPr>
      <w:ind w:left="420" w:leftChars="200"/>
    </w:pPr>
  </w:style>
  <w:style w:type="paragraph" w:styleId="17">
    <w:name w:val="List Number"/>
    <w:basedOn w:val="1"/>
    <w:qFormat/>
    <w:uiPriority w:val="0"/>
    <w:pPr>
      <w:widowControl/>
      <w:tabs>
        <w:tab w:val="left" w:pos="454"/>
        <w:tab w:val="left" w:pos="720"/>
        <w:tab w:val="left" w:pos="927"/>
      </w:tabs>
      <w:autoSpaceDE/>
      <w:autoSpaceDN/>
      <w:adjustRightInd/>
      <w:spacing w:after="50" w:afterLines="50"/>
      <w:ind w:left="454" w:hanging="284"/>
      <w:textAlignment w:val="auto"/>
    </w:pPr>
    <w:rPr>
      <w:rFonts w:ascii="Times New Roman" w:hAnsi="Times New Roman" w:eastAsia="宋体" w:cs="Times New Roman"/>
      <w:sz w:val="24"/>
    </w:rPr>
  </w:style>
  <w:style w:type="paragraph" w:styleId="18">
    <w:name w:val="caption"/>
    <w:basedOn w:val="1"/>
    <w:next w:val="1"/>
    <w:qFormat/>
    <w:uiPriority w:val="0"/>
    <w:pPr>
      <w:spacing w:before="152" w:after="160"/>
    </w:pPr>
    <w:rPr>
      <w:rFonts w:ascii="Arial" w:hAnsi="Arial" w:eastAsia="黑体" w:cs="Times New Roman"/>
    </w:rPr>
  </w:style>
  <w:style w:type="paragraph" w:styleId="19">
    <w:name w:val="Document Map"/>
    <w:basedOn w:val="1"/>
    <w:qFormat/>
    <w:uiPriority w:val="0"/>
    <w:pPr>
      <w:shd w:val="clear" w:color="auto" w:fill="000080"/>
    </w:pPr>
    <w:rPr>
      <w:rFonts w:ascii="Times New Roman" w:hAnsi="Times New Roman" w:eastAsia="宋体" w:cs="Times New Roman"/>
    </w:rPr>
  </w:style>
  <w:style w:type="paragraph" w:styleId="20">
    <w:name w:val="annotation text"/>
    <w:basedOn w:val="1"/>
    <w:link w:val="58"/>
    <w:qFormat/>
    <w:uiPriority w:val="0"/>
  </w:style>
  <w:style w:type="paragraph" w:styleId="21">
    <w:name w:val="Body Text 3"/>
    <w:basedOn w:val="1"/>
    <w:qFormat/>
    <w:uiPriority w:val="0"/>
    <w:pPr>
      <w:widowControl w:val="0"/>
      <w:autoSpaceDE w:val="0"/>
      <w:autoSpaceDN w:val="0"/>
      <w:adjustRightInd w:val="0"/>
      <w:spacing w:after="0" w:line="640" w:lineRule="atLeast"/>
    </w:pPr>
    <w:rPr>
      <w:rFonts w:ascii="Times New Roman" w:hAnsi="Times New Roman" w:eastAsia="宋体" w:cs="Times New Roman"/>
      <w:color w:val="000000"/>
      <w:sz w:val="28"/>
      <w:lang w:bidi="ar-SA"/>
    </w:rPr>
  </w:style>
  <w:style w:type="paragraph" w:styleId="22">
    <w:name w:val="List 2"/>
    <w:basedOn w:val="1"/>
    <w:qFormat/>
    <w:uiPriority w:val="0"/>
    <w:pPr>
      <w:ind w:left="100" w:leftChars="200" w:hanging="200" w:hangingChars="200"/>
    </w:pPr>
    <w:rPr>
      <w:rFonts w:ascii="Times New Roman" w:hAnsi="Times New Roman" w:eastAsia="宋体" w:cs="Times New Roman"/>
    </w:rPr>
  </w:style>
  <w:style w:type="paragraph" w:styleId="23">
    <w:name w:val="Block Text"/>
    <w:basedOn w:val="1"/>
    <w:unhideWhenUsed/>
    <w:qFormat/>
    <w:uiPriority w:val="99"/>
    <w:pPr>
      <w:adjustRightInd w:val="0"/>
      <w:spacing w:line="300" w:lineRule="auto"/>
      <w:ind w:left="958" w:right="-120" w:rightChars="-120"/>
      <w:jc w:val="left"/>
    </w:pPr>
    <w:rPr>
      <w:rFonts w:ascii="宋体" w:hAnsi="宋体"/>
      <w:sz w:val="28"/>
    </w:rPr>
  </w:style>
  <w:style w:type="paragraph" w:styleId="24">
    <w:name w:val="toc 5"/>
    <w:basedOn w:val="1"/>
    <w:next w:val="1"/>
    <w:qFormat/>
    <w:uiPriority w:val="0"/>
    <w:pPr>
      <w:ind w:left="1360"/>
    </w:pPr>
    <w:rPr>
      <w:rFonts w:ascii="Times New Roman" w:hAnsi="Times New Roman" w:eastAsia="宋体" w:cs="Times New Roman"/>
      <w:sz w:val="18"/>
      <w:szCs w:val="18"/>
    </w:rPr>
  </w:style>
  <w:style w:type="paragraph" w:styleId="25">
    <w:name w:val="toc 3"/>
    <w:basedOn w:val="1"/>
    <w:next w:val="1"/>
    <w:qFormat/>
    <w:uiPriority w:val="0"/>
    <w:pPr>
      <w:ind w:left="680"/>
    </w:pPr>
    <w:rPr>
      <w:rFonts w:ascii="Times New Roman" w:hAnsi="Times New Roman" w:eastAsia="宋体" w:cs="Times New Roman"/>
      <w:i/>
      <w:iCs/>
      <w:sz w:val="20"/>
    </w:rPr>
  </w:style>
  <w:style w:type="paragraph" w:styleId="26">
    <w:name w:val="Plain Text"/>
    <w:basedOn w:val="1"/>
    <w:next w:val="27"/>
    <w:qFormat/>
    <w:uiPriority w:val="0"/>
    <w:pPr>
      <w:widowControl w:val="0"/>
      <w:autoSpaceDE w:val="0"/>
      <w:autoSpaceDN w:val="0"/>
      <w:adjustRightInd w:val="0"/>
      <w:spacing w:after="0"/>
    </w:pPr>
    <w:rPr>
      <w:rFonts w:ascii="Times New Roman" w:hAnsi="Courier New" w:eastAsia="宋体" w:cs="Courier New"/>
      <w:sz w:val="34"/>
      <w:szCs w:val="21"/>
      <w:lang w:val="en-US" w:eastAsia="zh-CN" w:bidi="ar-SA"/>
    </w:rPr>
  </w:style>
  <w:style w:type="paragraph" w:styleId="27">
    <w:name w:val="toc 2"/>
    <w:basedOn w:val="1"/>
    <w:next w:val="1"/>
    <w:qFormat/>
    <w:uiPriority w:val="0"/>
    <w:pPr>
      <w:widowControl w:val="0"/>
      <w:tabs>
        <w:tab w:val="right" w:leader="dot" w:pos="9440"/>
      </w:tabs>
      <w:autoSpaceDE w:val="0"/>
      <w:autoSpaceDN w:val="0"/>
      <w:adjustRightInd w:val="0"/>
      <w:spacing w:before="0" w:after="0" w:line="380" w:lineRule="atLeast"/>
      <w:ind w:left="0" w:right="-133" w:rightChars="-39"/>
      <w:jc w:val="both"/>
    </w:pPr>
    <w:rPr>
      <w:rFonts w:ascii="Times New Roman" w:hAnsi="Times New Roman" w:eastAsia="宋体" w:cs="Times New Roman"/>
      <w:smallCaps/>
      <w:color w:val="000000"/>
      <w:sz w:val="21"/>
      <w:szCs w:val="21"/>
      <w:lang w:bidi="ar-SA"/>
    </w:rPr>
  </w:style>
  <w:style w:type="paragraph" w:styleId="28">
    <w:name w:val="toc 8"/>
    <w:basedOn w:val="1"/>
    <w:next w:val="1"/>
    <w:qFormat/>
    <w:uiPriority w:val="0"/>
    <w:pPr>
      <w:ind w:left="2380"/>
    </w:pPr>
    <w:rPr>
      <w:rFonts w:ascii="Times New Roman" w:hAnsi="Times New Roman" w:eastAsia="宋体" w:cs="Times New Roman"/>
      <w:sz w:val="18"/>
      <w:szCs w:val="18"/>
    </w:rPr>
  </w:style>
  <w:style w:type="paragraph" w:styleId="29">
    <w:name w:val="Date"/>
    <w:basedOn w:val="1"/>
    <w:next w:val="1"/>
    <w:qFormat/>
    <w:uiPriority w:val="0"/>
    <w:pPr>
      <w:jc w:val="both"/>
    </w:pPr>
    <w:rPr>
      <w:rFonts w:ascii="Times New Roman" w:hAnsi="Times New Roman" w:eastAsia="宋体" w:cs="Times New Roman"/>
      <w:sz w:val="28"/>
      <w:lang w:val="en-US"/>
    </w:rPr>
  </w:style>
  <w:style w:type="paragraph" w:styleId="30">
    <w:name w:val="Body Text Indent 2"/>
    <w:basedOn w:val="1"/>
    <w:qFormat/>
    <w:uiPriority w:val="0"/>
    <w:pPr>
      <w:autoSpaceDE/>
      <w:autoSpaceDN/>
      <w:adjustRightInd/>
      <w:spacing w:line="360" w:lineRule="auto"/>
      <w:ind w:firstLine="720"/>
      <w:jc w:val="both"/>
      <w:textAlignment w:val="auto"/>
    </w:pPr>
    <w:rPr>
      <w:rFonts w:ascii="Times New Roman" w:hAnsi="Times New Roman" w:eastAsia="宋体" w:cs="Times New Roman"/>
      <w:kern w:val="2"/>
      <w:sz w:val="28"/>
      <w:lang w:val="en-US"/>
    </w:rPr>
  </w:style>
  <w:style w:type="paragraph" w:styleId="31">
    <w:name w:val="Balloon Text"/>
    <w:basedOn w:val="1"/>
    <w:qFormat/>
    <w:uiPriority w:val="0"/>
    <w:rPr>
      <w:rFonts w:ascii="Times New Roman" w:hAnsi="Times New Roman" w:eastAsia="宋体" w:cs="Times New Roman"/>
      <w:sz w:val="18"/>
      <w:szCs w:val="18"/>
    </w:rPr>
  </w:style>
  <w:style w:type="paragraph" w:styleId="32">
    <w:name w:val="footer"/>
    <w:basedOn w:val="1"/>
    <w:qFormat/>
    <w:uiPriority w:val="0"/>
    <w:pPr>
      <w:widowControl w:val="0"/>
      <w:tabs>
        <w:tab w:val="center" w:pos="4140"/>
        <w:tab w:val="right" w:pos="8300"/>
      </w:tabs>
      <w:autoSpaceDE w:val="0"/>
      <w:autoSpaceDN w:val="0"/>
      <w:adjustRightInd w:val="0"/>
      <w:snapToGrid w:val="0"/>
      <w:spacing w:after="0"/>
    </w:pPr>
    <w:rPr>
      <w:rFonts w:ascii="Times New Roman" w:hAnsi="Times New Roman" w:eastAsia="宋体" w:cs="Times New Roman"/>
      <w:sz w:val="18"/>
      <w:lang w:bidi="ar-SA"/>
    </w:rPr>
  </w:style>
  <w:style w:type="paragraph" w:styleId="33">
    <w:name w:val="header"/>
    <w:basedOn w:val="1"/>
    <w:qFormat/>
    <w:uiPriority w:val="0"/>
    <w:pPr>
      <w:widowControl w:val="0"/>
      <w:pBdr>
        <w:bottom w:val="single" w:color="000000" w:sz="6" w:space="1"/>
      </w:pBdr>
      <w:tabs>
        <w:tab w:val="center" w:pos="4140"/>
        <w:tab w:val="right" w:pos="8300"/>
      </w:tabs>
      <w:autoSpaceDE w:val="0"/>
      <w:autoSpaceDN w:val="0"/>
      <w:adjustRightInd w:val="0"/>
      <w:snapToGrid w:val="0"/>
      <w:spacing w:after="0"/>
      <w:jc w:val="center"/>
    </w:pPr>
    <w:rPr>
      <w:rFonts w:ascii="Times New Roman" w:hAnsi="Times New Roman" w:eastAsia="宋体" w:cs="Times New Roman"/>
      <w:sz w:val="18"/>
      <w:lang w:bidi="ar-SA"/>
    </w:rPr>
  </w:style>
  <w:style w:type="paragraph" w:styleId="34">
    <w:name w:val="toc 1"/>
    <w:basedOn w:val="1"/>
    <w:next w:val="1"/>
    <w:qFormat/>
    <w:uiPriority w:val="0"/>
    <w:pPr>
      <w:widowControl w:val="0"/>
      <w:autoSpaceDE w:val="0"/>
      <w:autoSpaceDN w:val="0"/>
      <w:adjustRightInd w:val="0"/>
      <w:spacing w:before="120" w:after="120"/>
      <w:ind w:left="0" w:right="0"/>
    </w:pPr>
    <w:rPr>
      <w:rFonts w:ascii="Times New Roman" w:hAnsi="Times New Roman" w:eastAsia="宋体" w:cs="Times New Roman"/>
      <w:b/>
      <w:bCs/>
      <w:caps/>
      <w:sz w:val="20"/>
      <w:lang w:val="en-US" w:eastAsia="zh-CN" w:bidi="ar-SA"/>
    </w:rPr>
  </w:style>
  <w:style w:type="paragraph" w:styleId="35">
    <w:name w:val="toc 4"/>
    <w:basedOn w:val="1"/>
    <w:next w:val="1"/>
    <w:qFormat/>
    <w:uiPriority w:val="0"/>
    <w:pPr>
      <w:ind w:left="1020"/>
    </w:pPr>
    <w:rPr>
      <w:rFonts w:ascii="Times New Roman" w:hAnsi="Times New Roman" w:eastAsia="宋体" w:cs="Times New Roman"/>
      <w:sz w:val="18"/>
      <w:szCs w:val="18"/>
    </w:rPr>
  </w:style>
  <w:style w:type="paragraph" w:styleId="36">
    <w:name w:val="Subtitle"/>
    <w:basedOn w:val="1"/>
    <w:qFormat/>
    <w:uiPriority w:val="11"/>
    <w:pPr>
      <w:keepNext w:val="0"/>
      <w:keepLines w:val="0"/>
      <w:widowControl w:val="0"/>
      <w:suppressLineNumbers w:val="0"/>
      <w:spacing w:before="240" w:beforeAutospacing="0" w:after="60" w:afterAutospacing="0" w:line="312" w:lineRule="auto"/>
      <w:jc w:val="center"/>
      <w:outlineLvl w:val="1"/>
    </w:pPr>
    <w:rPr>
      <w:rFonts w:hint="default" w:ascii="Cambria" w:hAnsi="Cambria" w:eastAsia="Cambria" w:cs="Cambria"/>
      <w:b/>
      <w:bCs/>
      <w:kern w:val="28"/>
      <w:sz w:val="32"/>
      <w:szCs w:val="32"/>
      <w:lang w:val="en-US" w:eastAsia="zh-CN" w:bidi="ar"/>
    </w:rPr>
  </w:style>
  <w:style w:type="paragraph" w:styleId="37">
    <w:name w:val="List"/>
    <w:basedOn w:val="1"/>
    <w:next w:val="1"/>
    <w:qFormat/>
    <w:uiPriority w:val="0"/>
    <w:pPr>
      <w:ind w:left="200" w:hanging="200" w:hangingChars="200"/>
    </w:pPr>
    <w:rPr>
      <w:rFonts w:ascii="Times New Roman" w:hAnsi="Times New Roman" w:eastAsia="宋体" w:cs="Times New Roman"/>
    </w:rPr>
  </w:style>
  <w:style w:type="paragraph" w:styleId="38">
    <w:name w:val="footnote text"/>
    <w:basedOn w:val="1"/>
    <w:qFormat/>
    <w:uiPriority w:val="0"/>
    <w:pPr>
      <w:snapToGrid w:val="0"/>
    </w:pPr>
    <w:rPr>
      <w:rFonts w:ascii="Times New Roman" w:hAnsi="Times New Roman" w:eastAsia="宋体" w:cs="Times New Roman"/>
      <w:sz w:val="18"/>
    </w:rPr>
  </w:style>
  <w:style w:type="paragraph" w:styleId="39">
    <w:name w:val="toc 6"/>
    <w:basedOn w:val="1"/>
    <w:next w:val="1"/>
    <w:qFormat/>
    <w:uiPriority w:val="0"/>
    <w:pPr>
      <w:ind w:left="1700"/>
    </w:pPr>
    <w:rPr>
      <w:rFonts w:ascii="Times New Roman" w:hAnsi="Times New Roman" w:eastAsia="宋体" w:cs="Times New Roman"/>
      <w:sz w:val="18"/>
      <w:szCs w:val="18"/>
    </w:rPr>
  </w:style>
  <w:style w:type="paragraph" w:styleId="40">
    <w:name w:val="Body Text Indent 3"/>
    <w:basedOn w:val="1"/>
    <w:qFormat/>
    <w:uiPriority w:val="0"/>
    <w:pPr>
      <w:autoSpaceDE/>
      <w:autoSpaceDN/>
      <w:adjustRightInd/>
      <w:spacing w:line="360" w:lineRule="auto"/>
      <w:ind w:firstLine="540"/>
      <w:jc w:val="both"/>
      <w:textAlignment w:val="auto"/>
    </w:pPr>
    <w:rPr>
      <w:rFonts w:ascii="Times New Roman" w:hAnsi="Times New Roman" w:eastAsia="宋体" w:cs="Times New Roman"/>
      <w:kern w:val="2"/>
      <w:sz w:val="28"/>
      <w:lang w:val="en-US"/>
    </w:rPr>
  </w:style>
  <w:style w:type="paragraph" w:styleId="41">
    <w:name w:val="toc 9"/>
    <w:basedOn w:val="1"/>
    <w:next w:val="1"/>
    <w:qFormat/>
    <w:uiPriority w:val="0"/>
    <w:pPr>
      <w:ind w:left="2720"/>
    </w:pPr>
    <w:rPr>
      <w:rFonts w:ascii="Times New Roman" w:hAnsi="Times New Roman" w:eastAsia="宋体" w:cs="Times New Roman"/>
      <w:sz w:val="18"/>
      <w:szCs w:val="18"/>
    </w:rPr>
  </w:style>
  <w:style w:type="paragraph" w:styleId="42">
    <w:name w:val="Body Text 2"/>
    <w:basedOn w:val="1"/>
    <w:qFormat/>
    <w:uiPriority w:val="0"/>
    <w:pPr>
      <w:jc w:val="both"/>
    </w:pPr>
    <w:rPr>
      <w:rFonts w:ascii="Times New Roman" w:hAnsi="Times New Roman" w:eastAsia="宋体" w:cs="Times New Roman"/>
      <w:sz w:val="28"/>
    </w:rPr>
  </w:style>
  <w:style w:type="paragraph" w:styleId="43">
    <w:name w:val="Normal (Web)"/>
    <w:basedOn w:val="1"/>
    <w:next w:val="1"/>
    <w:link w:val="59"/>
    <w:qFormat/>
    <w:uiPriority w:val="0"/>
    <w:pPr>
      <w:widowControl/>
      <w:autoSpaceDE/>
      <w:autoSpaceDN/>
      <w:adjustRightInd/>
      <w:spacing w:before="100" w:beforeAutospacing="1" w:after="100" w:afterAutospacing="1"/>
      <w:textAlignment w:val="auto"/>
    </w:pPr>
    <w:rPr>
      <w:rFonts w:ascii="Times New Roman" w:hAnsi="宋体"/>
      <w:sz w:val="24"/>
      <w:szCs w:val="24"/>
    </w:rPr>
  </w:style>
  <w:style w:type="paragraph" w:styleId="44">
    <w:name w:val="Title"/>
    <w:basedOn w:val="1"/>
    <w:next w:val="1"/>
    <w:qFormat/>
    <w:uiPriority w:val="0"/>
    <w:pPr>
      <w:spacing w:before="240" w:after="60"/>
      <w:jc w:val="center"/>
      <w:outlineLvl w:val="0"/>
    </w:pPr>
    <w:rPr>
      <w:rFonts w:ascii="Cambria" w:hAnsi="Cambria" w:eastAsia="宋体" w:cs="Times New Roman"/>
      <w:b/>
      <w:bCs/>
      <w:sz w:val="32"/>
      <w:szCs w:val="32"/>
    </w:rPr>
  </w:style>
  <w:style w:type="paragraph" w:styleId="45">
    <w:name w:val="annotation subject"/>
    <w:basedOn w:val="20"/>
    <w:next w:val="20"/>
    <w:qFormat/>
    <w:uiPriority w:val="0"/>
    <w:rPr>
      <w:rFonts w:ascii="Times New Roman" w:hAnsi="Times New Roman" w:eastAsia="宋体" w:cs="Times New Roman"/>
      <w:b/>
      <w:bCs/>
    </w:rPr>
  </w:style>
  <w:style w:type="paragraph" w:styleId="46">
    <w:name w:val="Body Text First Indent 2"/>
    <w:basedOn w:val="10"/>
    <w:next w:val="47"/>
    <w:qFormat/>
    <w:uiPriority w:val="0"/>
    <w:pPr>
      <w:adjustRightInd/>
      <w:spacing w:before="0" w:after="120" w:line="240" w:lineRule="auto"/>
      <w:ind w:left="420" w:leftChars="200" w:right="0" w:firstLine="420"/>
      <w:jc w:val="both"/>
    </w:pPr>
    <w:rPr>
      <w:rFonts w:ascii="Times New Roman" w:hAnsi="Times New Roman" w:eastAsia="宋体" w:cs="Times New Roman"/>
      <w:kern w:val="2"/>
      <w:sz w:val="28"/>
      <w:lang w:val="en-US"/>
    </w:rPr>
  </w:style>
  <w:style w:type="paragraph" w:customStyle="1" w:styleId="47">
    <w:name w:val="xl53"/>
    <w:basedOn w:val="1"/>
    <w:next w:val="1"/>
    <w:qFormat/>
    <w:uiPriority w:val="0"/>
    <w:pPr>
      <w:spacing w:before="280" w:after="280" w:line="100" w:lineRule="exact"/>
      <w:jc w:val="center"/>
    </w:pPr>
    <w:rPr>
      <w:rFonts w:ascii="宋体"/>
      <w:b/>
      <w:sz w:val="20"/>
    </w:rPr>
  </w:style>
  <w:style w:type="table" w:styleId="49">
    <w:name w:val="Table Grid"/>
    <w:basedOn w:val="48"/>
    <w:qFormat/>
    <w:uiPriority w:val="39"/>
    <w:pPr>
      <w:widowControl w:val="0"/>
      <w:autoSpaceDE w:val="0"/>
      <w:autoSpaceDN w:val="0"/>
      <w:adjustRightInd w:val="0"/>
      <w:textAlignment w:val="baseline"/>
    </w:pPr>
    <w:rPr>
      <w:rFonts w:ascii="Times New Roman" w:hAnsi="Times New Roman" w:eastAsia="宋体"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51">
    <w:name w:val="Strong"/>
    <w:qFormat/>
    <w:uiPriority w:val="22"/>
    <w:rPr>
      <w:rFonts w:ascii="Times New Roman" w:hAnsi="Times New Roman" w:eastAsia="宋体" w:cs="Times New Roman"/>
      <w:b/>
      <w:bCs/>
    </w:rPr>
  </w:style>
  <w:style w:type="character" w:styleId="52">
    <w:name w:val="page number"/>
    <w:qFormat/>
    <w:uiPriority w:val="0"/>
    <w:rPr>
      <w:rFonts w:ascii="Times New Roman" w:hAnsi="Times New Roman" w:eastAsia="宋体" w:cs="Times New Roman"/>
    </w:rPr>
  </w:style>
  <w:style w:type="character" w:styleId="53">
    <w:name w:val="Hyperlink"/>
    <w:qFormat/>
    <w:uiPriority w:val="0"/>
    <w:rPr>
      <w:rFonts w:ascii="Times New Roman" w:hAnsi="Times New Roman" w:eastAsia="宋体" w:cs="Times New Roman"/>
      <w:color w:val="0000FF"/>
      <w:u w:val="single"/>
    </w:rPr>
  </w:style>
  <w:style w:type="character" w:styleId="54">
    <w:name w:val="annotation reference"/>
    <w:qFormat/>
    <w:uiPriority w:val="0"/>
    <w:rPr>
      <w:rFonts w:ascii="Times New Roman" w:hAnsi="Times New Roman" w:eastAsia="宋体" w:cs="Times New Roman"/>
      <w:sz w:val="21"/>
    </w:rPr>
  </w:style>
  <w:style w:type="character" w:styleId="55">
    <w:name w:val="footnote reference"/>
    <w:qFormat/>
    <w:uiPriority w:val="0"/>
    <w:rPr>
      <w:rFonts w:ascii="Times New Roman" w:hAnsi="Times New Roman" w:eastAsia="宋体" w:cs="Times New Roman"/>
      <w:vertAlign w:val="superscript"/>
    </w:rPr>
  </w:style>
  <w:style w:type="character" w:customStyle="1" w:styleId="56">
    <w:name w:val="标题 2 字符"/>
    <w:link w:val="5"/>
    <w:qFormat/>
    <w:uiPriority w:val="0"/>
    <w:rPr>
      <w:rFonts w:ascii="Arial" w:hAnsi="Arial" w:eastAsia="黑体" w:cs="Times New Roman"/>
      <w:b/>
      <w:bCs/>
      <w:sz w:val="32"/>
      <w:szCs w:val="32"/>
    </w:rPr>
  </w:style>
  <w:style w:type="character" w:customStyle="1" w:styleId="57">
    <w:name w:val="标题 3 字符"/>
    <w:link w:val="6"/>
    <w:qFormat/>
    <w:uiPriority w:val="0"/>
    <w:rPr>
      <w:rFonts w:ascii="Times New Roman" w:hAnsi="Times New Roman" w:eastAsia="宋体" w:cs="Times New Roman"/>
      <w:b/>
      <w:sz w:val="32"/>
    </w:rPr>
  </w:style>
  <w:style w:type="character" w:customStyle="1" w:styleId="58">
    <w:name w:val="批注文字 字符"/>
    <w:link w:val="20"/>
    <w:qFormat/>
    <w:uiPriority w:val="0"/>
    <w:rPr>
      <w:rFonts w:ascii="宋体" w:hAnsi="Times New Roman" w:eastAsia="宋体" w:cs="Times New Roman"/>
      <w:sz w:val="34"/>
    </w:rPr>
  </w:style>
  <w:style w:type="character" w:customStyle="1" w:styleId="59">
    <w:name w:val="普通(网站) 字符"/>
    <w:link w:val="43"/>
    <w:qFormat/>
    <w:uiPriority w:val="0"/>
    <w:rPr>
      <w:rFonts w:hAnsi="宋体"/>
      <w:sz w:val="24"/>
      <w:szCs w:val="24"/>
    </w:rPr>
  </w:style>
  <w:style w:type="paragraph" w:customStyle="1" w:styleId="60">
    <w:name w:val="自定义正文"/>
    <w:basedOn w:val="1"/>
    <w:qFormat/>
    <w:uiPriority w:val="0"/>
    <w:pPr>
      <w:spacing w:before="120" w:after="60" w:line="400" w:lineRule="exact"/>
      <w:jc w:val="left"/>
    </w:pPr>
    <w:rPr>
      <w:rFonts w:ascii="仿宋_GB2312" w:eastAsia="仿宋_GB2312"/>
      <w:sz w:val="24"/>
    </w:rPr>
  </w:style>
  <w:style w:type="paragraph" w:customStyle="1" w:styleId="61">
    <w:name w:val="[Normal]"/>
    <w:qFormat/>
    <w:uiPriority w:val="0"/>
    <w:rPr>
      <w:rFonts w:ascii="宋体" w:hAnsi="宋体" w:eastAsia="宋体" w:cs="Times New Roman"/>
      <w:sz w:val="24"/>
      <w:szCs w:val="22"/>
      <w:lang w:val="zh-CN" w:eastAsia="zh-CN" w:bidi="ar-SA"/>
    </w:rPr>
  </w:style>
  <w:style w:type="paragraph" w:customStyle="1" w:styleId="62">
    <w:name w:val="BodyText1I2"/>
    <w:basedOn w:val="63"/>
    <w:next w:val="1"/>
    <w:qFormat/>
    <w:uiPriority w:val="0"/>
    <w:pPr>
      <w:spacing w:after="120"/>
      <w:ind w:left="420" w:leftChars="200" w:firstLine="420"/>
    </w:pPr>
    <w:rPr>
      <w:sz w:val="21"/>
      <w:szCs w:val="21"/>
    </w:rPr>
  </w:style>
  <w:style w:type="paragraph" w:customStyle="1" w:styleId="63">
    <w:name w:val="BodyTextIndent"/>
    <w:basedOn w:val="1"/>
    <w:next w:val="1"/>
    <w:qFormat/>
    <w:uiPriority w:val="0"/>
    <w:pPr>
      <w:ind w:firstLine="900"/>
      <w:jc w:val="both"/>
      <w:textAlignment w:val="auto"/>
    </w:pPr>
    <w:rPr>
      <w:rFonts w:ascii="Times New Roman"/>
      <w:kern w:val="2"/>
      <w:sz w:val="28"/>
    </w:rPr>
  </w:style>
  <w:style w:type="paragraph" w:customStyle="1" w:styleId="64">
    <w:name w:val="章正文"/>
    <w:basedOn w:val="1"/>
    <w:qFormat/>
    <w:uiPriority w:val="99"/>
    <w:pPr>
      <w:spacing w:beforeLines="50" w:after="120" w:line="300" w:lineRule="auto"/>
      <w:ind w:firstLine="480"/>
    </w:pPr>
    <w:rPr>
      <w:rFonts w:ascii="Helvetica" w:hAnsi="Helvetica"/>
      <w:kern w:val="0"/>
      <w:sz w:val="24"/>
    </w:rPr>
  </w:style>
  <w:style w:type="paragraph" w:customStyle="1" w:styleId="65">
    <w:name w:val="样式1"/>
    <w:qFormat/>
    <w:uiPriority w:val="0"/>
    <w:pPr>
      <w:widowControl w:val="0"/>
      <w:spacing w:before="240" w:after="120" w:line="360" w:lineRule="auto"/>
      <w:jc w:val="both"/>
    </w:pPr>
    <w:rPr>
      <w:rFonts w:ascii="Times New Roman" w:hAnsi="宋体" w:eastAsia="宋体" w:cs="Times New Roman"/>
      <w:kern w:val="2"/>
      <w:sz w:val="28"/>
      <w:szCs w:val="28"/>
      <w:lang w:val="en-US" w:eastAsia="zh-CN" w:bidi="ar-SA"/>
    </w:rPr>
  </w:style>
  <w:style w:type="paragraph" w:customStyle="1" w:styleId="66">
    <w:name w:val="正文 A"/>
    <w:qFormat/>
    <w:uiPriority w:val="0"/>
    <w:pPr>
      <w:widowControl w:val="0"/>
      <w:jc w:val="both"/>
    </w:pPr>
    <w:rPr>
      <w:rFonts w:ascii="Times New Roman" w:hAnsi="Times New Roman" w:eastAsia="Arial Unicode MS" w:cs="Arial Unicode MS"/>
      <w:color w:val="000000"/>
      <w:kern w:val="2"/>
      <w:sz w:val="21"/>
      <w:szCs w:val="21"/>
      <w:lang w:val="en-US" w:eastAsia="zh-CN" w:bidi="ar-SA"/>
    </w:rPr>
  </w:style>
  <w:style w:type="paragraph" w:customStyle="1" w:styleId="67">
    <w:name w:val="默认段落字体 Para Char Char Char Char Char Char Char Char Char1 Char Char Char Char"/>
    <w:basedOn w:val="1"/>
    <w:qFormat/>
    <w:uiPriority w:val="0"/>
    <w:pPr>
      <w:autoSpaceDE/>
      <w:autoSpaceDN/>
      <w:adjustRightInd/>
      <w:jc w:val="both"/>
      <w:textAlignment w:val="auto"/>
    </w:pPr>
    <w:rPr>
      <w:rFonts w:ascii="Tahoma" w:hAnsi="Tahoma" w:eastAsia="宋体" w:cs="Times New Roman"/>
      <w:kern w:val="2"/>
      <w:sz w:val="24"/>
    </w:rPr>
  </w:style>
  <w:style w:type="paragraph" w:customStyle="1" w:styleId="68">
    <w:name w:val="F-正文"/>
    <w:qFormat/>
    <w:uiPriority w:val="0"/>
    <w:pPr>
      <w:spacing w:line="560" w:lineRule="exact"/>
      <w:jc w:val="both"/>
    </w:pPr>
    <w:rPr>
      <w:rFonts w:ascii="Times" w:hAnsi="Times" w:eastAsia="仿宋" w:cs="Times New Roman"/>
      <w:kern w:val="2"/>
      <w:sz w:val="24"/>
      <w:lang w:val="en-US" w:eastAsia="zh-CN" w:bidi="ar-SA"/>
    </w:rPr>
  </w:style>
  <w:style w:type="paragraph" w:customStyle="1" w:styleId="69">
    <w:name w:val="正文段"/>
    <w:basedOn w:val="1"/>
    <w:qFormat/>
    <w:uiPriority w:val="0"/>
    <w:pPr>
      <w:widowControl/>
      <w:autoSpaceDE/>
      <w:autoSpaceDN/>
      <w:adjustRightInd/>
      <w:snapToGrid w:val="0"/>
      <w:spacing w:after="50" w:afterLines="50"/>
      <w:ind w:firstLine="200" w:firstLineChars="200"/>
      <w:jc w:val="both"/>
      <w:textAlignment w:val="auto"/>
    </w:pPr>
    <w:rPr>
      <w:rFonts w:ascii="Times New Roman" w:hAnsi="Times New Roman" w:eastAsia="宋体" w:cs="Times New Roman"/>
      <w:sz w:val="24"/>
    </w:rPr>
  </w:style>
  <w:style w:type="paragraph" w:customStyle="1" w:styleId="70">
    <w:name w:val="Char Char Char Char"/>
    <w:basedOn w:val="1"/>
    <w:qFormat/>
    <w:uiPriority w:val="0"/>
    <w:pPr>
      <w:autoSpaceDE/>
      <w:autoSpaceDN/>
      <w:adjustRightInd/>
      <w:jc w:val="both"/>
      <w:textAlignment w:val="auto"/>
    </w:pPr>
    <w:rPr>
      <w:rFonts w:ascii="Times New Roman" w:hAnsi="Times New Roman" w:eastAsia="宋体" w:cs="Times New Roman"/>
    </w:rPr>
  </w:style>
  <w:style w:type="paragraph" w:customStyle="1" w:styleId="71">
    <w:name w:val="Default"/>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paragraph" w:customStyle="1" w:styleId="72">
    <w:name w:val="xl35"/>
    <w:basedOn w:val="1"/>
    <w:qFormat/>
    <w:uiPriority w:val="0"/>
    <w:pPr>
      <w:widowControl/>
      <w:pBdr>
        <w:left w:val="single" w:color="auto" w:sz="4" w:space="0"/>
        <w:bottom w:val="single" w:color="auto" w:sz="4" w:space="0"/>
        <w:right w:val="single" w:color="auto" w:sz="4" w:space="0"/>
      </w:pBdr>
      <w:autoSpaceDE/>
      <w:autoSpaceDN/>
      <w:adjustRightInd/>
      <w:spacing w:before="100" w:beforeLines="0" w:beforeAutospacing="1" w:after="100" w:afterLines="0" w:afterAutospacing="1"/>
      <w:jc w:val="both"/>
      <w:textAlignment w:val="center"/>
    </w:pPr>
    <w:rPr>
      <w:rFonts w:ascii="Arial Unicode MS" w:hAnsi="Arial Unicode MS" w:eastAsia="Arial Unicode MS"/>
      <w:sz w:val="24"/>
      <w:szCs w:val="24"/>
    </w:rPr>
  </w:style>
  <w:style w:type="paragraph" w:customStyle="1" w:styleId="73">
    <w:name w:val="ZW"/>
    <w:basedOn w:val="1"/>
    <w:qFormat/>
    <w:uiPriority w:val="0"/>
    <w:pPr>
      <w:spacing w:line="580" w:lineRule="exact"/>
      <w:ind w:firstLine="560"/>
    </w:pPr>
    <w:rPr>
      <w:rFonts w:ascii="仿宋_GB2312" w:hAnsi="仿宋_GB2312" w:eastAsia="仿宋_GB2312" w:cs="宋体"/>
      <w:kern w:val="0"/>
      <w:sz w:val="28"/>
      <w:szCs w:val="36"/>
    </w:rPr>
  </w:style>
  <w:style w:type="paragraph" w:customStyle="1" w:styleId="74">
    <w:name w:val="一级标题"/>
    <w:basedOn w:val="1"/>
    <w:next w:val="2"/>
    <w:qFormat/>
    <w:uiPriority w:val="0"/>
    <w:pPr>
      <w:outlineLvl w:val="0"/>
    </w:pPr>
    <w:rPr>
      <w:b/>
      <w:bCs/>
      <w:sz w:val="32"/>
    </w:rPr>
  </w:style>
  <w:style w:type="paragraph" w:customStyle="1" w:styleId="75">
    <w:name w:val="p0"/>
    <w:basedOn w:val="1"/>
    <w:qFormat/>
    <w:uiPriority w:val="0"/>
    <w:pPr>
      <w:widowControl/>
      <w:autoSpaceDE/>
      <w:autoSpaceDN/>
      <w:adjustRightInd/>
      <w:jc w:val="both"/>
      <w:textAlignment w:val="auto"/>
    </w:pPr>
    <w:rPr>
      <w:rFonts w:hint="eastAsia" w:ascii="Courier" w:hAnsi="Courier" w:eastAsia="MingLiU" w:cs="Times New Roman"/>
      <w:sz w:val="21"/>
      <w:lang w:eastAsia="zh-TW"/>
    </w:rPr>
  </w:style>
  <w:style w:type="paragraph" w:customStyle="1" w:styleId="76">
    <w:name w:val="样式 正文文本缩进 + 首行缩进:  2 字符 行距: 1.5 倍行距"/>
    <w:basedOn w:val="10"/>
    <w:qFormat/>
    <w:uiPriority w:val="0"/>
    <w:pPr>
      <w:spacing w:line="360" w:lineRule="auto"/>
      <w:ind w:firstLine="482" w:firstLineChars="200"/>
    </w:pPr>
    <w:rPr>
      <w:rFonts w:cs="宋体"/>
      <w:b/>
    </w:rPr>
  </w:style>
  <w:style w:type="paragraph" w:customStyle="1" w:styleId="77">
    <w:name w:val="正文 New New New New"/>
    <w:qFormat/>
    <w:uiPriority w:val="0"/>
    <w:pPr>
      <w:widowControl w:val="0"/>
      <w:jc w:val="both"/>
    </w:pPr>
    <w:rPr>
      <w:rFonts w:ascii="Times New Roman" w:hAnsi="Times New Roman" w:eastAsia="宋体" w:cs="Times New Roman"/>
      <w:sz w:val="21"/>
      <w:szCs w:val="24"/>
      <w:lang w:val="en-US" w:eastAsia="zh-CN" w:bidi="ar-SA"/>
    </w:rPr>
  </w:style>
  <w:style w:type="paragraph" w:customStyle="1" w:styleId="78">
    <w:name w:val="表格内容"/>
    <w:basedOn w:val="1"/>
    <w:qFormat/>
    <w:uiPriority w:val="3"/>
    <w:pPr>
      <w:widowControl/>
      <w:jc w:val="center"/>
    </w:pPr>
    <w:rPr>
      <w:kern w:val="0"/>
      <w:sz w:val="24"/>
      <w:szCs w:val="28"/>
    </w:rPr>
  </w:style>
  <w:style w:type="paragraph" w:customStyle="1" w:styleId="79">
    <w:name w:val="正文1"/>
    <w:qFormat/>
    <w:uiPriority w:val="0"/>
    <w:pPr>
      <w:widowControl w:val="0"/>
      <w:adjustRightInd w:val="0"/>
      <w:spacing w:line="312" w:lineRule="atLeast"/>
      <w:jc w:val="both"/>
    </w:pPr>
    <w:rPr>
      <w:rFonts w:ascii="宋体" w:hAnsi="Times New Roman" w:eastAsia="宋体" w:cs="Times New Roman"/>
      <w:sz w:val="34"/>
      <w:lang w:val="en-US" w:eastAsia="zh-CN" w:bidi="ar-SA"/>
    </w:rPr>
  </w:style>
  <w:style w:type="paragraph" w:customStyle="1" w:styleId="80">
    <w:name w:val="样式K"/>
    <w:basedOn w:val="2"/>
    <w:qFormat/>
    <w:uiPriority w:val="0"/>
    <w:pPr>
      <w:autoSpaceDE/>
      <w:autoSpaceDN/>
      <w:adjustRightInd/>
      <w:textAlignment w:val="auto"/>
    </w:pPr>
    <w:rPr>
      <w:rFonts w:ascii="仿宋_GB2312" w:hAnsi="Book Antiqua" w:eastAsia="仿宋_GB2312" w:cs="Times New Roman"/>
      <w:kern w:val="2"/>
      <w:sz w:val="24"/>
      <w:szCs w:val="24"/>
    </w:rPr>
  </w:style>
  <w:style w:type="paragraph" w:customStyle="1" w:styleId="81">
    <w:name w:val="正文－恩普"/>
    <w:basedOn w:val="9"/>
    <w:qFormat/>
    <w:uiPriority w:val="0"/>
    <w:pPr>
      <w:widowControl/>
      <w:spacing w:line="360" w:lineRule="auto"/>
      <w:ind w:firstLine="480" w:firstLineChars="200"/>
      <w:jc w:val="left"/>
    </w:pPr>
    <w:rPr>
      <w:rFonts w:ascii="Times New Roman" w:hAnsi="Times New Roman" w:eastAsia="宋体" w:cs="Times New Roman"/>
      <w:kern w:val="0"/>
      <w:sz w:val="24"/>
    </w:rPr>
  </w:style>
  <w:style w:type="paragraph" w:customStyle="1" w:styleId="82">
    <w:name w:val="样式2"/>
    <w:basedOn w:val="1"/>
    <w:next w:val="1"/>
    <w:qFormat/>
    <w:uiPriority w:val="0"/>
    <w:pPr>
      <w:autoSpaceDE/>
      <w:autoSpaceDN/>
      <w:adjustRightInd/>
      <w:ind w:firstLine="420" w:firstLineChars="200"/>
      <w:jc w:val="both"/>
      <w:textAlignment w:val="auto"/>
    </w:pPr>
    <w:rPr>
      <w:rFonts w:ascii="Calibri" w:hAnsi="Calibri" w:eastAsia="宋体" w:cs="Times New Roman"/>
      <w:kern w:val="2"/>
      <w:sz w:val="21"/>
      <w:szCs w:val="22"/>
    </w:rPr>
  </w:style>
  <w:style w:type="paragraph" w:customStyle="1" w:styleId="83">
    <w:name w:val="2"/>
    <w:basedOn w:val="1"/>
    <w:next w:val="2"/>
    <w:qFormat/>
    <w:uiPriority w:val="0"/>
    <w:rPr>
      <w:rFonts w:ascii="Times New Roman" w:hAnsi="Times New Roman" w:eastAsia="宋体" w:cs="Times New Roman"/>
      <w:sz w:val="28"/>
    </w:rPr>
  </w:style>
  <w:style w:type="paragraph" w:customStyle="1" w:styleId="84">
    <w:name w:val="Char Char Char Char Char Char Char Char Char Char"/>
    <w:basedOn w:val="1"/>
    <w:qFormat/>
    <w:uiPriority w:val="0"/>
    <w:pPr>
      <w:autoSpaceDE/>
      <w:autoSpaceDN/>
      <w:adjustRightInd/>
      <w:jc w:val="both"/>
      <w:textAlignment w:val="auto"/>
    </w:pPr>
    <w:rPr>
      <w:rFonts w:ascii="Tahoma" w:hAnsi="Tahoma" w:eastAsia="宋体" w:cs="Times New Roman"/>
      <w:kern w:val="2"/>
      <w:sz w:val="24"/>
    </w:rPr>
  </w:style>
  <w:style w:type="paragraph" w:customStyle="1" w:styleId="85">
    <w:name w:val="表内文字"/>
    <w:basedOn w:val="1"/>
    <w:qFormat/>
    <w:uiPriority w:val="0"/>
    <w:pPr>
      <w:tabs>
        <w:tab w:val="left" w:pos="1418"/>
      </w:tabs>
      <w:autoSpaceDE/>
      <w:autoSpaceDN/>
      <w:adjustRightInd/>
      <w:spacing w:line="360" w:lineRule="auto"/>
      <w:jc w:val="center"/>
      <w:textAlignment w:val="auto"/>
    </w:pPr>
    <w:rPr>
      <w:rFonts w:ascii="仿宋_GB2312" w:hAnsi="Times New Roman" w:eastAsia="仿宋_GB2312" w:cs="Times New Roman"/>
      <w:spacing w:val="-20"/>
      <w:sz w:val="24"/>
      <w:szCs w:val="24"/>
    </w:rPr>
  </w:style>
  <w:style w:type="paragraph" w:customStyle="1" w:styleId="86">
    <w:name w:val="_Style 2"/>
    <w:basedOn w:val="1"/>
    <w:qFormat/>
    <w:uiPriority w:val="0"/>
    <w:pPr>
      <w:ind w:firstLine="200" w:firstLineChars="200"/>
    </w:pPr>
    <w:rPr>
      <w:rFonts w:ascii="Calibri" w:hAnsi="Calibri"/>
      <w:sz w:val="28"/>
    </w:rPr>
  </w:style>
  <w:style w:type="paragraph" w:customStyle="1" w:styleId="87">
    <w:name w:val="默认段落字体 Para Char Char Char Char Char Char Char"/>
    <w:basedOn w:val="1"/>
    <w:qFormat/>
    <w:uiPriority w:val="0"/>
    <w:pPr>
      <w:autoSpaceDE/>
      <w:autoSpaceDN/>
      <w:adjustRightInd/>
      <w:jc w:val="both"/>
      <w:textAlignment w:val="auto"/>
    </w:pPr>
    <w:rPr>
      <w:rFonts w:ascii="Tahoma" w:hAnsi="Tahoma" w:eastAsia="宋体" w:cs="Times New Roman"/>
      <w:kern w:val="2"/>
      <w:sz w:val="24"/>
    </w:rPr>
  </w:style>
  <w:style w:type="paragraph" w:customStyle="1" w:styleId="88">
    <w:name w:val="潘"/>
    <w:basedOn w:val="1"/>
    <w:qFormat/>
    <w:uiPriority w:val="0"/>
    <w:pPr>
      <w:widowControl/>
      <w:autoSpaceDE/>
      <w:autoSpaceDN/>
      <w:adjustRightInd/>
      <w:snapToGrid w:val="0"/>
      <w:spacing w:line="240" w:lineRule="atLeast"/>
      <w:jc w:val="both"/>
      <w:textAlignment w:val="auto"/>
    </w:pPr>
    <w:rPr>
      <w:rFonts w:ascii="Arial" w:hAnsi="Arial" w:eastAsia="宋体" w:cs="Arial"/>
      <w:b/>
      <w:bCs/>
      <w:sz w:val="21"/>
      <w:szCs w:val="21"/>
    </w:rPr>
  </w:style>
  <w:style w:type="paragraph" w:customStyle="1" w:styleId="89">
    <w:name w:val="Char Char Char Char Char Char Char"/>
    <w:basedOn w:val="1"/>
    <w:qFormat/>
    <w:uiPriority w:val="0"/>
    <w:pPr>
      <w:autoSpaceDE/>
      <w:autoSpaceDN/>
      <w:adjustRightInd/>
      <w:jc w:val="both"/>
      <w:textAlignment w:val="auto"/>
    </w:pPr>
    <w:rPr>
      <w:rFonts w:ascii="Times New Roman" w:hAnsi="Times New Roman" w:eastAsia="宋体" w:cs="Times New Roman"/>
      <w:kern w:val="2"/>
      <w:sz w:val="21"/>
    </w:rPr>
  </w:style>
  <w:style w:type="paragraph" w:customStyle="1" w:styleId="90">
    <w:name w:val="正文段落"/>
    <w:basedOn w:val="1"/>
    <w:qFormat/>
    <w:uiPriority w:val="0"/>
    <w:pPr>
      <w:keepNext w:val="0"/>
      <w:keepLines w:val="0"/>
      <w:widowControl w:val="0"/>
      <w:suppressLineNumbers w:val="0"/>
      <w:spacing w:before="0" w:beforeAutospacing="0" w:after="0" w:afterAutospacing="0" w:line="360" w:lineRule="auto"/>
      <w:ind w:left="0" w:right="0" w:firstLine="200" w:firstLineChars="200"/>
      <w:jc w:val="both"/>
    </w:pPr>
    <w:rPr>
      <w:rFonts w:hint="default" w:ascii="Times New Roman" w:hAnsi="Times New Roman" w:cs="Times New Roman"/>
      <w:kern w:val="2"/>
      <w:sz w:val="24"/>
      <w:szCs w:val="24"/>
      <w:lang w:val="en-US" w:eastAsia="zh-CN" w:bidi="ar"/>
    </w:rPr>
  </w:style>
  <w:style w:type="paragraph" w:customStyle="1" w:styleId="91">
    <w:name w:val=" Char2"/>
    <w:basedOn w:val="19"/>
    <w:next w:val="1"/>
    <w:qFormat/>
    <w:uiPriority w:val="0"/>
    <w:pPr>
      <w:autoSpaceDE/>
      <w:autoSpaceDN/>
      <w:adjustRightInd/>
      <w:jc w:val="both"/>
      <w:textAlignment w:val="auto"/>
    </w:pPr>
    <w:rPr>
      <w:rFonts w:ascii="Times New Roman" w:hAnsi="Times New Roman" w:eastAsia="宋体" w:cs="Times New Roman"/>
      <w:kern w:val="2"/>
      <w:sz w:val="21"/>
    </w:rPr>
  </w:style>
  <w:style w:type="paragraph" w:customStyle="1" w:styleId="92">
    <w:name w:val="_Style 84"/>
    <w:basedOn w:val="1"/>
    <w:qFormat/>
    <w:uiPriority w:val="0"/>
    <w:pPr>
      <w:widowControl/>
      <w:autoSpaceDE/>
      <w:autoSpaceDN/>
      <w:adjustRightInd/>
      <w:ind w:firstLine="420" w:firstLineChars="200"/>
      <w:textAlignment w:val="auto"/>
    </w:pPr>
    <w:rPr>
      <w:rFonts w:ascii="Times New Roman" w:hAnsi="宋体" w:eastAsia="宋体" w:cs="宋体"/>
      <w:color w:val="000000"/>
      <w:sz w:val="24"/>
      <w:szCs w:val="24"/>
    </w:rPr>
  </w:style>
  <w:style w:type="paragraph" w:customStyle="1" w:styleId="93">
    <w:name w:val=" Char"/>
    <w:basedOn w:val="1"/>
    <w:qFormat/>
    <w:uiPriority w:val="0"/>
    <w:pPr>
      <w:autoSpaceDE/>
      <w:autoSpaceDN/>
      <w:adjustRightInd/>
      <w:jc w:val="both"/>
      <w:textAlignment w:val="auto"/>
    </w:pPr>
    <w:rPr>
      <w:rFonts w:ascii="Tahoma" w:hAnsi="Tahoma" w:eastAsia="宋体" w:cs="Times New Roman"/>
      <w:kern w:val="2"/>
      <w:sz w:val="24"/>
    </w:rPr>
  </w:style>
  <w:style w:type="paragraph" w:customStyle="1" w:styleId="94">
    <w:name w:val="0-正文"/>
    <w:basedOn w:val="1"/>
    <w:qFormat/>
    <w:uiPriority w:val="0"/>
    <w:pPr>
      <w:autoSpaceDE/>
      <w:autoSpaceDN/>
      <w:adjustRightInd/>
      <w:spacing w:line="360" w:lineRule="auto"/>
      <w:ind w:firstLine="420" w:firstLineChars="200"/>
      <w:jc w:val="both"/>
      <w:textAlignment w:val="auto"/>
    </w:pPr>
    <w:rPr>
      <w:rFonts w:ascii="汉仪仿宋简" w:hAnsi="仿宋"/>
      <w:sz w:val="24"/>
      <w:szCs w:val="28"/>
    </w:rPr>
  </w:style>
  <w:style w:type="paragraph" w:customStyle="1" w:styleId="95">
    <w:name w:val="列出段落2"/>
    <w:basedOn w:val="1"/>
    <w:qFormat/>
    <w:uiPriority w:val="0"/>
    <w:pPr>
      <w:autoSpaceDE/>
      <w:autoSpaceDN/>
      <w:adjustRightInd/>
      <w:ind w:firstLine="420" w:firstLineChars="200"/>
      <w:jc w:val="both"/>
      <w:textAlignment w:val="auto"/>
    </w:pPr>
    <w:rPr>
      <w:rFonts w:ascii="Calibri" w:hAnsi="Calibri" w:eastAsia="PMingLiU" w:cs="Times New Roman"/>
      <w:kern w:val="2"/>
      <w:sz w:val="21"/>
      <w:szCs w:val="22"/>
    </w:rPr>
  </w:style>
  <w:style w:type="paragraph" w:customStyle="1" w:styleId="96">
    <w:name w:val="List Paragraph"/>
    <w:basedOn w:val="1"/>
    <w:qFormat/>
    <w:uiPriority w:val="0"/>
    <w:pPr>
      <w:keepNext w:val="0"/>
      <w:keepLines w:val="0"/>
      <w:widowControl w:val="0"/>
      <w:suppressLineNumbers w:val="0"/>
      <w:spacing w:before="0" w:beforeAutospacing="0" w:after="0" w:afterAutospacing="0"/>
      <w:ind w:left="0" w:right="0" w:firstLine="420"/>
      <w:jc w:val="both"/>
    </w:pPr>
    <w:rPr>
      <w:rFonts w:hint="default" w:ascii="Calibri" w:hAnsi="Calibri" w:eastAsia="宋体" w:cs="Times New Roman"/>
      <w:kern w:val="2"/>
      <w:sz w:val="21"/>
      <w:szCs w:val="21"/>
      <w:lang w:val="en-US" w:eastAsia="zh-CN" w:bidi="ar"/>
    </w:rPr>
  </w:style>
  <w:style w:type="paragraph" w:customStyle="1" w:styleId="97">
    <w:name w:val="正文一"/>
    <w:basedOn w:val="1"/>
    <w:qFormat/>
    <w:uiPriority w:val="0"/>
    <w:pPr>
      <w:widowControl/>
      <w:spacing w:line="360" w:lineRule="auto"/>
      <w:ind w:firstLine="480" w:firstLineChars="200"/>
      <w:jc w:val="left"/>
    </w:pPr>
    <w:rPr>
      <w:kern w:val="0"/>
      <w:lang w:bidi="he-IL"/>
    </w:rPr>
  </w:style>
  <w:style w:type="paragraph" w:customStyle="1" w:styleId="98">
    <w:name w:val="正文2"/>
    <w:basedOn w:val="1"/>
    <w:qFormat/>
    <w:uiPriority w:val="0"/>
    <w:pPr>
      <w:spacing w:before="156" w:line="360" w:lineRule="auto"/>
      <w:ind w:firstLine="510" w:firstLineChars="200"/>
    </w:pPr>
    <w:rPr>
      <w:szCs w:val="20"/>
    </w:rPr>
  </w:style>
  <w:style w:type="paragraph" w:customStyle="1" w:styleId="99">
    <w:name w:val="纯文本1"/>
    <w:basedOn w:val="98"/>
    <w:qFormat/>
    <w:uiPriority w:val="99"/>
    <w:rPr>
      <w:rFonts w:hAnsi="Courier New" w:eastAsia="Times New Roman"/>
      <w:sz w:val="26"/>
    </w:rPr>
  </w:style>
  <w:style w:type="character" w:customStyle="1" w:styleId="100">
    <w:name w:val="正文文本 3 Char"/>
    <w:qFormat/>
    <w:uiPriority w:val="0"/>
    <w:rPr>
      <w:rFonts w:ascii="宋体" w:hAnsi="Times New Roman" w:eastAsia="宋体" w:cs="Times New Roman"/>
      <w:color w:val="000000"/>
      <w:sz w:val="28"/>
    </w:rPr>
  </w:style>
  <w:style w:type="character" w:customStyle="1" w:styleId="101">
    <w:name w:val="页脚 Char"/>
    <w:qFormat/>
    <w:uiPriority w:val="0"/>
    <w:rPr>
      <w:rFonts w:ascii="宋体" w:hAnsi="Times New Roman" w:eastAsia="宋体" w:cs="Times New Roman"/>
      <w:sz w:val="18"/>
    </w:rPr>
  </w:style>
  <w:style w:type="character" w:customStyle="1" w:styleId="102">
    <w:name w:val="font71"/>
    <w:qFormat/>
    <w:uiPriority w:val="0"/>
    <w:rPr>
      <w:rFonts w:hint="eastAsia" w:ascii="宋体" w:hAnsi="宋体" w:eastAsia="宋体" w:cs="宋体"/>
      <w:color w:val="000000"/>
      <w:sz w:val="24"/>
      <w:szCs w:val="24"/>
      <w:u w:val="none"/>
    </w:rPr>
  </w:style>
  <w:style w:type="character" w:customStyle="1" w:styleId="103">
    <w:name w:val="标题 1 Char"/>
    <w:qFormat/>
    <w:uiPriority w:val="0"/>
    <w:rPr>
      <w:rFonts w:ascii="宋体" w:hAnsi="Times New Roman" w:eastAsia="宋体" w:cs="Times New Roman"/>
      <w:b/>
      <w:color w:val="000000"/>
      <w:sz w:val="24"/>
    </w:rPr>
  </w:style>
  <w:style w:type="character" w:customStyle="1" w:styleId="104">
    <w:name w:val="apple-converted-space"/>
    <w:qFormat/>
    <w:uiPriority w:val="0"/>
    <w:rPr>
      <w:rFonts w:ascii="Times New Roman" w:hAnsi="Times New Roman" w:eastAsia="宋体" w:cs="Times New Roman"/>
    </w:rPr>
  </w:style>
  <w:style w:type="character" w:customStyle="1" w:styleId="105">
    <w:name w:val="普通文字 Char Char2"/>
    <w:qFormat/>
    <w:uiPriority w:val="0"/>
    <w:rPr>
      <w:rFonts w:ascii="宋体" w:hAnsi="Courier New" w:eastAsia="宋体" w:cs="Courier New"/>
      <w:sz w:val="34"/>
      <w:szCs w:val="21"/>
      <w:lang w:val="en-US" w:eastAsia="zh-CN" w:bidi="ar-SA"/>
    </w:rPr>
  </w:style>
  <w:style w:type="character" w:customStyle="1" w:styleId="106">
    <w:name w:val="font11"/>
    <w:qFormat/>
    <w:uiPriority w:val="0"/>
    <w:rPr>
      <w:rFonts w:hint="eastAsia" w:ascii="宋体" w:hAnsi="宋体" w:cs="宋体"/>
      <w:color w:val="000000"/>
      <w:sz w:val="20"/>
      <w:szCs w:val="20"/>
      <w:u w:val="none"/>
    </w:rPr>
  </w:style>
  <w:style w:type="character" w:customStyle="1" w:styleId="107">
    <w:name w:val="font81"/>
    <w:qFormat/>
    <w:uiPriority w:val="0"/>
    <w:rPr>
      <w:rFonts w:ascii="Arial" w:hAnsi="Arial" w:cs="Arial"/>
      <w:color w:val="000000"/>
      <w:sz w:val="20"/>
      <w:szCs w:val="20"/>
      <w:u w:val="none"/>
    </w:rPr>
  </w:style>
  <w:style w:type="character" w:customStyle="1" w:styleId="108">
    <w:name w:val="NormalCharacter"/>
    <w:semiHidden/>
    <w:qFormat/>
    <w:uiPriority w:val="0"/>
    <w:rPr>
      <w:rFonts w:ascii="Times New Roman" w:hAnsi="Times New Roman" w:eastAsia="宋体" w:cs="Times New Roman"/>
      <w:kern w:val="2"/>
      <w:sz w:val="21"/>
      <w:szCs w:val="24"/>
      <w:lang w:val="en-US" w:eastAsia="zh-CN" w:bidi="ar-SA"/>
    </w:rPr>
  </w:style>
  <w:style w:type="character" w:customStyle="1" w:styleId="109">
    <w:name w:val="font41"/>
    <w:qFormat/>
    <w:uiPriority w:val="0"/>
    <w:rPr>
      <w:rFonts w:hint="default" w:ascii="Times New Roman" w:hAnsi="Times New Roman" w:eastAsia="宋体" w:cs="Times New Roman"/>
      <w:color w:val="000000"/>
      <w:sz w:val="24"/>
      <w:szCs w:val="24"/>
      <w:u w:val="none"/>
    </w:rPr>
  </w:style>
  <w:style w:type="character" w:customStyle="1" w:styleId="110">
    <w:name w:val="font21"/>
    <w:qFormat/>
    <w:uiPriority w:val="0"/>
    <w:rPr>
      <w:rFonts w:hint="eastAsia" w:ascii="宋体" w:hAnsi="宋体" w:eastAsia="宋体"/>
      <w:color w:val="000000"/>
      <w:sz w:val="22"/>
      <w:szCs w:val="22"/>
      <w:u w:val="none"/>
    </w:rPr>
  </w:style>
  <w:style w:type="character" w:customStyle="1" w:styleId="111">
    <w:name w:val="font61"/>
    <w:qFormat/>
    <w:uiPriority w:val="0"/>
    <w:rPr>
      <w:rFonts w:hint="eastAsia" w:ascii="宋体" w:hAnsi="宋体" w:eastAsia="宋体" w:cs="宋体"/>
      <w:color w:val="000000"/>
      <w:sz w:val="24"/>
      <w:szCs w:val="24"/>
      <w:u w:val="none"/>
    </w:rPr>
  </w:style>
  <w:style w:type="character" w:customStyle="1" w:styleId="112">
    <w:name w:val="font01"/>
    <w:qFormat/>
    <w:uiPriority w:val="0"/>
    <w:rPr>
      <w:rFonts w:hint="eastAsia" w:ascii="宋体" w:hAnsi="宋体" w:eastAsia="宋体" w:cs="宋体"/>
      <w:color w:val="000000"/>
      <w:sz w:val="24"/>
      <w:szCs w:val="24"/>
      <w:u w:val="none"/>
    </w:rPr>
  </w:style>
  <w:style w:type="character" w:customStyle="1" w:styleId="113">
    <w:name w:val="页眉 Char"/>
    <w:qFormat/>
    <w:uiPriority w:val="0"/>
    <w:rPr>
      <w:rFonts w:ascii="宋体" w:hAnsi="Times New Roman" w:eastAsia="宋体" w:cs="Times New Roman"/>
      <w:sz w:val="18"/>
    </w:rPr>
  </w:style>
  <w:style w:type="character" w:customStyle="1" w:styleId="114">
    <w:name w:val="font31"/>
    <w:qFormat/>
    <w:uiPriority w:val="0"/>
    <w:rPr>
      <w:rFonts w:hint="default" w:ascii="Times New Roman" w:hAnsi="Times New Roman" w:eastAsia="宋体" w:cs="Times New Roman"/>
      <w:color w:val="000000"/>
      <w:sz w:val="24"/>
      <w:szCs w:val="24"/>
      <w:u w:val="none"/>
    </w:rPr>
  </w:style>
  <w:style w:type="character" w:customStyle="1" w:styleId="115">
    <w:name w:val="纯文本 Char"/>
    <w:qFormat/>
    <w:uiPriority w:val="0"/>
    <w:rPr>
      <w:rFonts w:ascii="宋体" w:hAnsi="Courier New" w:eastAsia="宋体" w:cs="Courier New"/>
      <w:sz w:val="34"/>
      <w:szCs w:val="21"/>
      <w:lang w:val="en-US" w:eastAsia="zh-CN" w:bidi="ar-SA"/>
    </w:rPr>
  </w:style>
  <w:style w:type="character" w:customStyle="1" w:styleId="116">
    <w:name w:val=" Char Char"/>
    <w:qFormat/>
    <w:uiPriority w:val="0"/>
    <w:rPr>
      <w:rFonts w:ascii="宋体" w:hAnsi="宋体" w:eastAsia="宋体" w:cs="Times New Roman"/>
      <w:sz w:val="24"/>
      <w:szCs w:val="24"/>
      <w:lang w:val="en-US" w:eastAsia="zh-CN" w:bidi="ar-SA"/>
    </w:rPr>
  </w:style>
  <w:style w:type="character" w:customStyle="1" w:styleId="117">
    <w:name w:val="font51"/>
    <w:qFormat/>
    <w:uiPriority w:val="0"/>
    <w:rPr>
      <w:rFonts w:hint="default" w:ascii="Arial" w:hAnsi="Arial" w:cs="Arial"/>
      <w:color w:val="000000"/>
      <w:sz w:val="20"/>
      <w:szCs w:val="20"/>
      <w:u w:val="none"/>
    </w:rPr>
  </w:style>
  <w:style w:type="character" w:customStyle="1" w:styleId="118">
    <w:name w:val="正文文本 Char"/>
    <w:qFormat/>
    <w:uiPriority w:val="0"/>
    <w:rPr>
      <w:rFonts w:ascii="宋体" w:hAnsi="Times New Roman" w:eastAsia="宋体" w:cs="Times New Roman"/>
      <w:sz w:val="28"/>
    </w:rPr>
  </w:style>
  <w:style w:type="paragraph" w:customStyle="1" w:styleId="119">
    <w:name w:val="1文档正文"/>
    <w:basedOn w:val="1"/>
    <w:qFormat/>
    <w:uiPriority w:val="0"/>
    <w:pPr>
      <w:adjustRightInd w:val="0"/>
      <w:spacing w:before="60" w:after="60" w:line="360" w:lineRule="auto"/>
      <w:ind w:firstLine="200" w:firstLineChars="200"/>
      <w:textAlignment w:val="baseline"/>
    </w:pPr>
    <w:rPr>
      <w:rFonts w:ascii="Times New Roman" w:hAnsi="Times New Roman" w:eastAsia="宋体" w:cs="Times New Roman"/>
      <w:kern w:val="0"/>
      <w:sz w:val="24"/>
      <w:szCs w:val="24"/>
    </w:rPr>
  </w:style>
  <w:style w:type="paragraph" w:customStyle="1" w:styleId="120">
    <w:name w:val="正文小四号"/>
    <w:basedOn w:val="1"/>
    <w:link w:val="121"/>
    <w:qFormat/>
    <w:uiPriority w:val="0"/>
    <w:pPr>
      <w:widowControl/>
      <w:autoSpaceDE/>
      <w:autoSpaceDN/>
      <w:adjustRightInd/>
      <w:spacing w:line="360" w:lineRule="auto"/>
      <w:ind w:firstLine="592" w:firstLineChars="200"/>
    </w:pPr>
    <w:rPr>
      <w:rFonts w:hAnsi="宋体" w:cs="Times New Roman"/>
      <w:color w:val="222222"/>
      <w:spacing w:val="8"/>
      <w:kern w:val="2"/>
      <w:sz w:val="24"/>
      <w:szCs w:val="24"/>
      <w:shd w:val="clear" w:color="auto" w:fill="FFFFFF"/>
    </w:rPr>
  </w:style>
  <w:style w:type="character" w:customStyle="1" w:styleId="121">
    <w:name w:val="正文小四号 字符"/>
    <w:link w:val="120"/>
    <w:qFormat/>
    <w:uiPriority w:val="0"/>
    <w:rPr>
      <w:rFonts w:ascii="宋体" w:hAnsi="宋体" w:cs="Times New Roman"/>
      <w:color w:val="222222"/>
      <w:spacing w:val="8"/>
      <w:kern w:val="2"/>
      <w:sz w:val="24"/>
      <w:szCs w:val="24"/>
    </w:rPr>
  </w:style>
  <w:style w:type="paragraph" w:customStyle="1" w:styleId="122">
    <w:name w:val="标题二"/>
    <w:basedOn w:val="1"/>
    <w:qFormat/>
    <w:uiPriority w:val="0"/>
    <w:pPr>
      <w:numPr>
        <w:ilvl w:val="0"/>
        <w:numId w:val="1"/>
      </w:numPr>
      <w:autoSpaceDE/>
      <w:autoSpaceDN/>
      <w:adjustRightInd/>
      <w:spacing w:line="460" w:lineRule="exact"/>
      <w:jc w:val="both"/>
      <w:textAlignment w:val="auto"/>
      <w:outlineLvl w:val="1"/>
    </w:pPr>
    <w:rPr>
      <w:rFonts w:hAnsi="宋体" w:cs="Arial"/>
      <w:b/>
      <w:sz w:val="21"/>
      <w:szCs w:val="21"/>
    </w:rPr>
  </w:style>
  <w:style w:type="paragraph" w:customStyle="1" w:styleId="123">
    <w:name w:val="*正文"/>
    <w:basedOn w:val="1"/>
    <w:qFormat/>
    <w:uiPriority w:val="0"/>
    <w:pPr>
      <w:spacing w:before="120" w:after="120"/>
    </w:pPr>
  </w:style>
  <w:style w:type="paragraph" w:customStyle="1" w:styleId="124">
    <w:name w:val="reader-word-layer"/>
    <w:basedOn w:val="1"/>
    <w:qFormat/>
    <w:uiPriority w:val="0"/>
    <w:pPr>
      <w:widowControl/>
      <w:spacing w:before="100" w:beforeAutospacing="1" w:after="100" w:afterAutospacing="1"/>
    </w:pPr>
    <w:rPr>
      <w:rFonts w:ascii="Times New Roman" w:hAnsi="宋体" w:eastAsia="宋体" w:cs="宋体"/>
      <w:sz w:val="24"/>
      <w:szCs w:val="24"/>
    </w:rPr>
  </w:style>
  <w:style w:type="paragraph" w:customStyle="1" w:styleId="125">
    <w:name w:val="_Style 3"/>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26">
    <w:name w:val="表格填充"/>
    <w:basedOn w:val="1"/>
    <w:qFormat/>
    <w:uiPriority w:val="0"/>
    <w:pPr>
      <w:autoSpaceDE/>
      <w:autoSpaceDN/>
      <w:snapToGrid w:val="0"/>
      <w:jc w:val="both"/>
      <w:textAlignment w:val="auto"/>
    </w:pPr>
    <w:rPr>
      <w:rFonts w:ascii="Calibri" w:hAnsi="Calibri" w:eastAsia="仿宋" w:cs="Times New Roman"/>
      <w:kern w:val="2"/>
      <w:sz w:val="21"/>
      <w:szCs w:val="21"/>
    </w:rPr>
  </w:style>
  <w:style w:type="character" w:customStyle="1" w:styleId="127">
    <w:name w:val="15"/>
    <w:qFormat/>
    <w:uiPriority w:val="0"/>
    <w:rPr>
      <w:rFonts w:hint="eastAsia" w:ascii="宋体" w:hAnsi="宋体" w:eastAsia="宋体" w:cs="宋体"/>
      <w:kern w:val="2"/>
      <w:sz w:val="21"/>
      <w:szCs w:val="21"/>
    </w:rPr>
  </w:style>
  <w:style w:type="character" w:customStyle="1" w:styleId="128">
    <w:name w:val="font91"/>
    <w:qFormat/>
    <w:uiPriority w:val="0"/>
    <w:rPr>
      <w:rFonts w:hint="default" w:ascii="Times New Roman" w:hAnsi="Times New Roman" w:cs="Times New Roman"/>
      <w:color w:val="000000"/>
      <w:sz w:val="24"/>
      <w:szCs w:val="24"/>
      <w:u w:val="none"/>
    </w:rPr>
  </w:style>
  <w:style w:type="character" w:customStyle="1" w:styleId="129">
    <w:name w:val="font101"/>
    <w:qFormat/>
    <w:uiPriority w:val="0"/>
    <w:rPr>
      <w:rFonts w:hint="default" w:ascii="Times New Roman" w:hAnsi="Times New Roman" w:cs="Times New Roman"/>
      <w:color w:val="000000"/>
      <w:sz w:val="20"/>
      <w:szCs w:val="20"/>
      <w:u w:val="none"/>
    </w:rPr>
  </w:style>
  <w:style w:type="character" w:customStyle="1" w:styleId="130">
    <w:name w:val="font112"/>
    <w:qFormat/>
    <w:uiPriority w:val="0"/>
    <w:rPr>
      <w:rFonts w:hint="default" w:ascii="Times New Roman" w:hAnsi="Times New Roman" w:cs="Times New Roman"/>
      <w:color w:val="000000"/>
      <w:sz w:val="22"/>
      <w:szCs w:val="22"/>
      <w:u w:val="none"/>
    </w:rPr>
  </w:style>
  <w:style w:type="character" w:customStyle="1" w:styleId="131">
    <w:name w:val="font131"/>
    <w:qFormat/>
    <w:uiPriority w:val="0"/>
    <w:rPr>
      <w:rFonts w:hint="default" w:ascii="Times New Roman" w:hAnsi="Times New Roman" w:cs="Times New Roman"/>
      <w:color w:val="000000"/>
      <w:sz w:val="20"/>
      <w:szCs w:val="20"/>
      <w:u w:val="none"/>
    </w:rPr>
  </w:style>
  <w:style w:type="character" w:customStyle="1" w:styleId="132">
    <w:name w:val="UserStyle_264"/>
    <w:qFormat/>
    <w:uiPriority w:val="0"/>
    <w:rPr>
      <w:rFonts w:ascii="Times New Roman" w:hAnsi="Times New Roman" w:eastAsia="宋体"/>
      <w:kern w:val="2"/>
      <w:sz w:val="21"/>
      <w:szCs w:val="24"/>
      <w:lang w:val="en-US" w:eastAsia="zh-CN" w:bidi="ar-SA"/>
    </w:rPr>
  </w:style>
  <w:style w:type="paragraph" w:customStyle="1" w:styleId="133">
    <w:name w:val="PlainText"/>
    <w:basedOn w:val="1"/>
    <w:qFormat/>
    <w:uiPriority w:val="0"/>
    <w:rPr>
      <w:rFonts w:hAnsi="Courier New"/>
    </w:rPr>
  </w:style>
  <w:style w:type="paragraph" w:customStyle="1" w:styleId="134">
    <w:name w:val="BodyText3"/>
    <w:basedOn w:val="1"/>
    <w:qFormat/>
    <w:uiPriority w:val="0"/>
    <w:pPr>
      <w:spacing w:line="640" w:lineRule="exact"/>
    </w:pPr>
    <w:rPr>
      <w:sz w:val="16"/>
      <w:szCs w:val="16"/>
    </w:rPr>
  </w:style>
  <w:style w:type="paragraph" w:styleId="135">
    <w:name w:val="No Spacing"/>
    <w:qFormat/>
    <w:uiPriority w:val="99"/>
    <w:rPr>
      <w:rFonts w:ascii="Calibri" w:hAnsi="Calibri" w:eastAsia="宋体" w:cs="Times New Roman"/>
      <w:kern w:val="2"/>
      <w:sz w:val="22"/>
      <w:szCs w:val="22"/>
      <w:lang w:val="en-US" w:eastAsia="zh-CN" w:bidi="ar-SA"/>
    </w:rPr>
  </w:style>
  <w:style w:type="paragraph" w:customStyle="1" w:styleId="136">
    <w:name w:val="招标文件格式1"/>
    <w:basedOn w:val="1"/>
    <w:qFormat/>
    <w:uiPriority w:val="0"/>
    <w:pPr>
      <w:numPr>
        <w:ilvl w:val="0"/>
        <w:numId w:val="2"/>
      </w:numPr>
      <w:outlineLvl w:val="1"/>
    </w:pPr>
    <w:rPr>
      <w:sz w:val="24"/>
    </w:rPr>
  </w:style>
  <w:style w:type="paragraph" w:customStyle="1" w:styleId="137">
    <w:name w:val="表格文字2"/>
    <w:basedOn w:val="1"/>
    <w:qFormat/>
    <w:uiPriority w:val="0"/>
    <w:pPr>
      <w:spacing w:beforeLines="50" w:afterLines="50" w:line="360" w:lineRule="auto"/>
    </w:pPr>
    <w:rPr>
      <w:rFonts w:ascii="宋体" w:hAnsi="宋体"/>
      <w:sz w:val="24"/>
      <w:szCs w:val="21"/>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6" Type="http://schemas.openxmlformats.org/officeDocument/2006/relationships/fontTable" Target="fontTable.xml"/><Relationship Id="rId15" Type="http://schemas.openxmlformats.org/officeDocument/2006/relationships/numbering" Target="numbering.xml"/><Relationship Id="rId14" Type="http://schemas.openxmlformats.org/officeDocument/2006/relationships/customXml" Target="../customXml/item1.xml"/><Relationship Id="rId13" Type="http://schemas.openxmlformats.org/officeDocument/2006/relationships/theme" Target="theme/theme1.xml"/><Relationship Id="rId12" Type="http://schemas.openxmlformats.org/officeDocument/2006/relationships/footer" Target="footer7.xml"/><Relationship Id="rId11" Type="http://schemas.openxmlformats.org/officeDocument/2006/relationships/footer" Target="footer6.xml"/><Relationship Id="rId10" Type="http://schemas.openxmlformats.org/officeDocument/2006/relationships/footer" Target="footer5.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4097"/>
    <customShpInfo spid="_x0000_s4099"/>
    <customShpInfo spid="_x0000_s4098"/>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Company>Microsoft</Company>
  <Pages>60</Pages>
  <Words>7517</Words>
  <Characters>8453</Characters>
  <Lines>359</Lines>
  <Paragraphs>101</Paragraphs>
  <TotalTime>1</TotalTime>
  <ScaleCrop>false</ScaleCrop>
  <LinksUpToDate>false</LinksUpToDate>
  <CharactersWithSpaces>8769</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2023-05-27T07:42:00Z</dcterms:created>
  <dc:creator>dell</dc:creator>
  <cp:lastModifiedBy>Lee</cp:lastModifiedBy>
  <cp:lastPrinted>2025-04-03T05:57:19Z</cp:lastPrinted>
  <dcterms:modified xsi:type="dcterms:W3CDTF">2025-04-03T05:58:38Z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CCB273C064C442EEA8D8CE78A2BD4DF9_13</vt:lpwstr>
  </property>
  <property fmtid="{D5CDD505-2E9C-101B-9397-08002B2CF9AE}" pid="4" name="KSOTemplateDocerSaveRecord">
    <vt:lpwstr>eyJoZGlkIjoiNzIxY2JhM2JjMzgwNjlhYmI0ZGQwYTQ4ZmNhYjRhZjYiLCJ1c2VySWQiOiIyMDQ0NzE4ODIifQ==</vt:lpwstr>
  </property>
</Properties>
</file>