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87A4A">
      <w:pPr>
        <w:jc w:val="center"/>
        <w:rPr>
          <w:rFonts w:hint="eastAsia" w:ascii="宋体" w:hAnsi="宋体" w:eastAsia="宋体" w:cs="宋体"/>
          <w:b/>
          <w:bCs/>
          <w:color w:val="auto"/>
          <w:sz w:val="48"/>
          <w:szCs w:val="48"/>
          <w:highlight w:val="none"/>
          <w:lang w:val="zh-CN"/>
        </w:rPr>
      </w:pPr>
    </w:p>
    <w:p w14:paraId="76999B70">
      <w:pPr>
        <w:pStyle w:val="68"/>
        <w:rPr>
          <w:rFonts w:hint="eastAsia" w:ascii="宋体" w:hAnsi="宋体" w:eastAsia="宋体" w:cs="宋体"/>
          <w:color w:val="auto"/>
          <w:highlight w:val="none"/>
          <w:lang w:val="zh-CN"/>
        </w:rPr>
      </w:pPr>
    </w:p>
    <w:p w14:paraId="14D9B2E2">
      <w:pPr>
        <w:jc w:val="center"/>
        <w:rPr>
          <w:rFonts w:hint="eastAsia" w:ascii="宋体" w:hAnsi="宋体" w:eastAsia="宋体" w:cs="宋体"/>
          <w:b/>
          <w:bCs/>
          <w:color w:val="auto"/>
          <w:sz w:val="48"/>
          <w:szCs w:val="48"/>
          <w:highlight w:val="none"/>
          <w:lang w:val="zh-CN"/>
        </w:rPr>
      </w:pPr>
      <w:r>
        <w:rPr>
          <w:rFonts w:hint="eastAsia" w:hAnsi="宋体" w:cs="宋体"/>
          <w:b/>
          <w:color w:val="auto"/>
          <w:sz w:val="48"/>
          <w:szCs w:val="48"/>
          <w:highlight w:val="none"/>
          <w:lang w:val="en-US" w:eastAsia="zh-CN" w:bidi="ar-SA"/>
        </w:rPr>
        <w:t>2025年金华市足球项目政转社赛事活动</w:t>
      </w:r>
    </w:p>
    <w:p w14:paraId="62BD015F">
      <w:pPr>
        <w:rPr>
          <w:rFonts w:hint="eastAsia" w:ascii="宋体" w:hAnsi="宋体" w:eastAsia="宋体" w:cs="宋体"/>
          <w:color w:val="auto"/>
          <w:sz w:val="18"/>
          <w:szCs w:val="18"/>
          <w:highlight w:val="none"/>
          <w:lang w:val="zh-CN"/>
        </w:rPr>
      </w:pPr>
    </w:p>
    <w:p w14:paraId="34F2A90C">
      <w:pPr>
        <w:rPr>
          <w:rFonts w:hint="eastAsia" w:ascii="宋体" w:hAnsi="宋体" w:eastAsia="宋体" w:cs="宋体"/>
          <w:color w:val="auto"/>
          <w:sz w:val="18"/>
          <w:szCs w:val="18"/>
          <w:highlight w:val="none"/>
          <w:lang w:val="zh-CN"/>
        </w:rPr>
      </w:pPr>
    </w:p>
    <w:p w14:paraId="22D535A4">
      <w:pPr>
        <w:pStyle w:val="46"/>
        <w:ind w:firstLine="280"/>
        <w:rPr>
          <w:rFonts w:hint="eastAsia" w:ascii="宋体" w:hAnsi="宋体" w:eastAsia="宋体" w:cs="宋体"/>
          <w:color w:val="auto"/>
          <w:highlight w:val="none"/>
          <w:lang w:val="zh-CN"/>
        </w:rPr>
      </w:pPr>
    </w:p>
    <w:p w14:paraId="3684DF9A">
      <w:pPr>
        <w:pStyle w:val="46"/>
        <w:ind w:firstLine="0" w:firstLineChars="0"/>
        <w:rPr>
          <w:rFonts w:hint="eastAsia" w:ascii="宋体" w:hAnsi="宋体" w:eastAsia="宋体" w:cs="宋体"/>
          <w:color w:val="auto"/>
          <w:highlight w:val="none"/>
          <w:lang w:val="zh-CN"/>
        </w:rPr>
      </w:pPr>
    </w:p>
    <w:p w14:paraId="468364CF">
      <w:pPr>
        <w:rPr>
          <w:rFonts w:hint="eastAsia" w:ascii="宋体" w:hAnsi="宋体" w:eastAsia="宋体" w:cs="宋体"/>
          <w:color w:val="auto"/>
          <w:highlight w:val="none"/>
          <w:lang w:val="zh-CN"/>
        </w:rPr>
      </w:pPr>
    </w:p>
    <w:p w14:paraId="53D3657B">
      <w:pPr>
        <w:pStyle w:val="46"/>
        <w:ind w:firstLine="280"/>
        <w:rPr>
          <w:rFonts w:hint="eastAsia" w:ascii="宋体" w:hAnsi="宋体" w:eastAsia="宋体" w:cs="宋体"/>
          <w:color w:val="auto"/>
          <w:highlight w:val="none"/>
          <w:lang w:val="zh-CN"/>
        </w:rPr>
      </w:pPr>
    </w:p>
    <w:p w14:paraId="5D4AE4D9">
      <w:pPr>
        <w:pStyle w:val="37"/>
        <w:rPr>
          <w:rFonts w:hint="eastAsia" w:ascii="宋体" w:hAnsi="宋体" w:eastAsia="宋体" w:cs="宋体"/>
          <w:color w:val="auto"/>
          <w:highlight w:val="none"/>
          <w:lang w:val="zh-CN"/>
        </w:rPr>
      </w:pPr>
    </w:p>
    <w:p w14:paraId="14DA7AB0">
      <w:pPr>
        <w:pStyle w:val="46"/>
        <w:tabs>
          <w:tab w:val="left" w:pos="4104"/>
        </w:tabs>
        <w:ind w:firstLine="2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ab/>
      </w:r>
    </w:p>
    <w:p w14:paraId="1B221DB9">
      <w:pPr>
        <w:jc w:val="center"/>
        <w:rPr>
          <w:rFonts w:hint="eastAsia" w:ascii="宋体" w:hAnsi="宋体" w:eastAsia="宋体" w:cs="宋体"/>
          <w:b/>
          <w:bCs/>
          <w:color w:val="auto"/>
          <w:sz w:val="48"/>
          <w:szCs w:val="48"/>
          <w:highlight w:val="none"/>
          <w:lang w:val="zh-CN"/>
        </w:rPr>
      </w:pPr>
      <w:r>
        <w:rPr>
          <w:rFonts w:hint="eastAsia" w:ascii="宋体" w:hAnsi="宋体" w:eastAsia="宋体" w:cs="宋体"/>
          <w:b/>
          <w:bCs/>
          <w:color w:val="auto"/>
          <w:sz w:val="48"/>
          <w:szCs w:val="48"/>
          <w:highlight w:val="none"/>
          <w:lang w:val="zh-CN"/>
        </w:rPr>
        <w:t>竞争性磋商文件</w:t>
      </w:r>
    </w:p>
    <w:p w14:paraId="1A5D9067">
      <w:pPr>
        <w:rPr>
          <w:rFonts w:hint="eastAsia" w:ascii="宋体" w:hAnsi="宋体" w:eastAsia="宋体" w:cs="宋体"/>
          <w:color w:val="auto"/>
          <w:sz w:val="18"/>
          <w:szCs w:val="18"/>
          <w:highlight w:val="none"/>
          <w:lang w:val="zh-CN"/>
        </w:rPr>
      </w:pPr>
    </w:p>
    <w:p w14:paraId="053F6358">
      <w:pPr>
        <w:pStyle w:val="2"/>
        <w:ind w:left="680"/>
        <w:rPr>
          <w:rFonts w:hint="eastAsia" w:ascii="宋体" w:hAnsi="宋体" w:eastAsia="宋体" w:cs="宋体"/>
          <w:color w:val="auto"/>
          <w:highlight w:val="none"/>
          <w:lang w:val="zh-CN"/>
        </w:rPr>
      </w:pPr>
    </w:p>
    <w:p w14:paraId="75438C0D">
      <w:pPr>
        <w:rPr>
          <w:rFonts w:hint="eastAsia" w:ascii="宋体" w:hAnsi="宋体" w:eastAsia="宋体" w:cs="宋体"/>
          <w:color w:val="auto"/>
          <w:sz w:val="18"/>
          <w:szCs w:val="18"/>
          <w:highlight w:val="none"/>
          <w:lang w:val="zh-CN"/>
        </w:rPr>
      </w:pPr>
    </w:p>
    <w:p w14:paraId="588601EF">
      <w:pPr>
        <w:pStyle w:val="2"/>
        <w:rPr>
          <w:rFonts w:hint="default" w:ascii="Times New Roman" w:hAnsi="Times New Roman" w:eastAsia="宋体" w:cs="宋体"/>
          <w:color w:val="auto"/>
          <w:sz w:val="21"/>
          <w:szCs w:val="21"/>
          <w:highlight w:val="none"/>
          <w:lang w:val="zh-CN"/>
        </w:rPr>
      </w:pPr>
    </w:p>
    <w:p w14:paraId="2FA8CA0C">
      <w:pPr>
        <w:rPr>
          <w:rFonts w:hint="default"/>
          <w:color w:val="auto"/>
          <w:highlight w:val="none"/>
          <w:lang w:val="zh-CN"/>
        </w:rPr>
      </w:pPr>
    </w:p>
    <w:p w14:paraId="7C6B920A">
      <w:pPr>
        <w:pStyle w:val="46"/>
        <w:ind w:firstLine="281"/>
        <w:rPr>
          <w:rFonts w:hint="eastAsia" w:ascii="宋体" w:hAnsi="宋体" w:eastAsia="宋体" w:cs="宋体"/>
          <w:b/>
          <w:bCs/>
          <w:color w:val="auto"/>
          <w:szCs w:val="21"/>
          <w:highlight w:val="none"/>
          <w:lang w:val="zh-CN"/>
        </w:rPr>
      </w:pPr>
    </w:p>
    <w:p w14:paraId="3FC2CA72">
      <w:pPr>
        <w:pStyle w:val="37"/>
        <w:rPr>
          <w:rFonts w:hint="eastAsia" w:ascii="宋体" w:hAnsi="宋体" w:eastAsia="宋体" w:cs="宋体"/>
          <w:color w:val="auto"/>
          <w:highlight w:val="none"/>
          <w:lang w:val="zh-CN"/>
        </w:rPr>
      </w:pPr>
    </w:p>
    <w:p w14:paraId="7B35DD31">
      <w:pPr>
        <w:outlineLvl w:val="9"/>
        <w:rPr>
          <w:rFonts w:hint="eastAsia" w:ascii="宋体" w:hAnsi="宋体" w:eastAsia="宋体" w:cs="宋体"/>
          <w:color w:val="auto"/>
          <w:highlight w:val="none"/>
          <w:lang w:val="zh-CN"/>
        </w:rPr>
      </w:pPr>
    </w:p>
    <w:p w14:paraId="4D21D734">
      <w:pPr>
        <w:outlineLvl w:val="9"/>
        <w:rPr>
          <w:rFonts w:hint="eastAsia" w:ascii="宋体" w:hAnsi="宋体" w:eastAsia="宋体" w:cs="宋体"/>
          <w:color w:val="auto"/>
          <w:highlight w:val="none"/>
          <w:lang w:val="zh-CN"/>
        </w:rPr>
      </w:pPr>
    </w:p>
    <w:p w14:paraId="6F9014D6">
      <w:pPr>
        <w:pStyle w:val="26"/>
        <w:snapToGrid w:val="0"/>
        <w:spacing w:before="120" w:after="120" w:line="36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r>
        <w:rPr>
          <w:rFonts w:hint="eastAsia" w:hAnsi="宋体" w:cs="宋体"/>
          <w:b/>
          <w:bCs/>
          <w:color w:val="auto"/>
          <w:sz w:val="30"/>
          <w:szCs w:val="30"/>
          <w:highlight w:val="none"/>
          <w:lang w:eastAsia="zh-CN"/>
        </w:rPr>
        <w:t xml:space="preserve">TY2025-FW031-ZFCG031 </w:t>
      </w:r>
    </w:p>
    <w:p w14:paraId="5C674167">
      <w:pPr>
        <w:pStyle w:val="26"/>
        <w:snapToGrid w:val="0"/>
        <w:spacing w:before="120" w:after="120" w:line="360" w:lineRule="auto"/>
        <w:ind w:firstLine="602" w:firstLineChars="2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采购</w:t>
      </w:r>
      <w:r>
        <w:rPr>
          <w:rFonts w:hint="eastAsia" w:ascii="宋体" w:hAnsi="宋体" w:eastAsia="宋体" w:cs="宋体"/>
          <w:b/>
          <w:bCs/>
          <w:color w:val="auto"/>
          <w:sz w:val="30"/>
          <w:szCs w:val="30"/>
          <w:highlight w:val="none"/>
          <w:lang w:val="en-US" w:eastAsia="zh-CN"/>
        </w:rPr>
        <w:t>单位</w:t>
      </w:r>
      <w:r>
        <w:rPr>
          <w:rFonts w:hint="eastAsia" w:ascii="宋体" w:hAnsi="宋体" w:eastAsia="宋体" w:cs="宋体"/>
          <w:b/>
          <w:bCs/>
          <w:color w:val="auto"/>
          <w:sz w:val="30"/>
          <w:szCs w:val="30"/>
          <w:highlight w:val="none"/>
        </w:rPr>
        <w:t xml:space="preserve">： </w:t>
      </w:r>
      <w:r>
        <w:rPr>
          <w:rFonts w:hint="eastAsia" w:hAnsi="宋体" w:cs="宋体"/>
          <w:b/>
          <w:bCs/>
          <w:color w:val="auto"/>
          <w:sz w:val="30"/>
          <w:szCs w:val="30"/>
          <w:highlight w:val="none"/>
          <w:lang w:eastAsia="zh-CN"/>
        </w:rPr>
        <w:t>金华市体育局</w:t>
      </w:r>
    </w:p>
    <w:p w14:paraId="7E0C5297">
      <w:pPr>
        <w:pStyle w:val="26"/>
        <w:snapToGrid w:val="0"/>
        <w:spacing w:before="120" w:after="120" w:line="360" w:lineRule="auto"/>
        <w:ind w:firstLine="602" w:firstLineChars="2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金华市天盈招标代理有限公司</w:t>
      </w:r>
    </w:p>
    <w:p w14:paraId="4375D721">
      <w:pPr>
        <w:pStyle w:val="26"/>
        <w:snapToGrid w:val="0"/>
        <w:spacing w:before="120" w:after="120" w:line="360" w:lineRule="auto"/>
        <w:ind w:firstLine="602" w:firstLineChars="2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sz w:val="30"/>
          <w:szCs w:val="30"/>
          <w:highlight w:val="none"/>
        </w:rPr>
        <w:t xml:space="preserve">监管单位： </w:t>
      </w:r>
      <w:r>
        <w:rPr>
          <w:rFonts w:hint="eastAsia" w:hAnsi="宋体" w:cs="宋体"/>
          <w:b/>
          <w:color w:val="auto"/>
          <w:sz w:val="30"/>
          <w:szCs w:val="48"/>
          <w:highlight w:val="none"/>
          <w:lang w:eastAsia="zh-CN"/>
        </w:rPr>
        <w:t>金华市财政局政府采购监管处</w:t>
      </w:r>
    </w:p>
    <w:p w14:paraId="477B9B02">
      <w:pPr>
        <w:spacing w:line="480" w:lineRule="exact"/>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2 0 2 </w:t>
      </w:r>
      <w:r>
        <w:rPr>
          <w:rFonts w:hint="eastAsia"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年 </w:t>
      </w:r>
      <w:r>
        <w:rPr>
          <w:rFonts w:hint="eastAsia" w:hAnsi="宋体" w:cs="宋体"/>
          <w:b/>
          <w:bCs/>
          <w:color w:val="auto"/>
          <w:sz w:val="32"/>
          <w:szCs w:val="32"/>
          <w:highlight w:val="none"/>
          <w:lang w:val="en-US" w:eastAsia="zh-CN"/>
        </w:rPr>
        <w:t>02</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月 </w:t>
      </w:r>
      <w:bookmarkStart w:id="0" w:name="_Toc237182500"/>
    </w:p>
    <w:p w14:paraId="1C3540AD">
      <w:pPr>
        <w:jc w:val="center"/>
        <w:rPr>
          <w:rFonts w:hint="eastAsia" w:ascii="宋体" w:hAnsi="宋体" w:eastAsia="宋体" w:cs="宋体"/>
          <w:b/>
          <w:color w:val="auto"/>
          <w:highlight w:val="none"/>
        </w:rPr>
      </w:pPr>
      <w:r>
        <w:rPr>
          <w:rFonts w:hint="eastAsia" w:ascii="宋体" w:hAnsi="宋体" w:eastAsia="宋体" w:cs="宋体"/>
          <w:b/>
          <w:color w:val="auto"/>
          <w:highlight w:val="none"/>
        </w:rPr>
        <w:t>目        录</w:t>
      </w:r>
    </w:p>
    <w:p w14:paraId="558A392A">
      <w:pPr>
        <w:pStyle w:val="2"/>
        <w:ind w:left="680"/>
        <w:rPr>
          <w:rFonts w:hint="eastAsia" w:ascii="宋体" w:hAnsi="宋体" w:eastAsia="宋体" w:cs="宋体"/>
          <w:color w:val="auto"/>
          <w:highlight w:val="none"/>
        </w:rPr>
      </w:pPr>
    </w:p>
    <w:p w14:paraId="2D08BEB1">
      <w:pPr>
        <w:pStyle w:val="33"/>
        <w:tabs>
          <w:tab w:val="right" w:leader="dot" w:pos="9638"/>
        </w:tabs>
        <w:rPr>
          <w:color w:val="auto"/>
          <w:highlight w:val="none"/>
        </w:rPr>
      </w:pPr>
      <w:r>
        <w:rPr>
          <w:rStyle w:val="56"/>
          <w:rFonts w:hint="eastAsia" w:ascii="宋体" w:hAnsi="宋体" w:eastAsia="宋体" w:cs="宋体"/>
          <w:color w:val="auto"/>
          <w:highlight w:val="none"/>
        </w:rPr>
        <w:fldChar w:fldCharType="begin" w:fldLock="1"/>
      </w:r>
      <w:r>
        <w:rPr>
          <w:rStyle w:val="56"/>
          <w:rFonts w:hint="eastAsia" w:ascii="宋体" w:hAnsi="宋体" w:eastAsia="宋体" w:cs="宋体"/>
          <w:color w:val="auto"/>
          <w:sz w:val="21"/>
          <w:szCs w:val="21"/>
          <w:highlight w:val="none"/>
        </w:rPr>
        <w:instrText xml:space="preserve">TOC \o "1-3" \h \z \u</w:instrText>
      </w:r>
      <w:r>
        <w:rPr>
          <w:rStyle w:val="56"/>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fldChar w:fldCharType="begin" w:fldLock="1"/>
      </w:r>
      <w:r>
        <w:rPr>
          <w:rFonts w:hint="eastAsia" w:ascii="宋体" w:hAnsi="宋体" w:eastAsia="宋体" w:cs="宋体"/>
          <w:color w:val="auto"/>
          <w:szCs w:val="21"/>
          <w:highlight w:val="none"/>
        </w:rPr>
        <w:instrText xml:space="preserve"> HYPERLINK \l _Toc4744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_Toc4744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1"/>
          <w:highlight w:val="none"/>
        </w:rPr>
        <w:fldChar w:fldCharType="end"/>
      </w:r>
    </w:p>
    <w:p w14:paraId="6CFD5429">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_Toc11925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第二部分  采购需求</w:t>
      </w:r>
      <w:r>
        <w:rPr>
          <w:color w:val="auto"/>
          <w:highlight w:val="none"/>
        </w:rPr>
        <w:tab/>
      </w:r>
      <w:r>
        <w:rPr>
          <w:color w:val="auto"/>
          <w:highlight w:val="none"/>
        </w:rPr>
        <w:fldChar w:fldCharType="begin"/>
      </w:r>
      <w:r>
        <w:rPr>
          <w:color w:val="auto"/>
          <w:highlight w:val="none"/>
        </w:rPr>
        <w:instrText xml:space="preserve"> PAGEREF _Toc11925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3E87C03A">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_Toc4868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第三部分  响应供应商须知</w:t>
      </w:r>
      <w:r>
        <w:rPr>
          <w:color w:val="auto"/>
          <w:highlight w:val="none"/>
        </w:rPr>
        <w:tab/>
      </w:r>
      <w:r>
        <w:rPr>
          <w:color w:val="auto"/>
          <w:highlight w:val="none"/>
        </w:rPr>
        <w:fldChar w:fldCharType="begin"/>
      </w:r>
      <w:r>
        <w:rPr>
          <w:color w:val="auto"/>
          <w:highlight w:val="none"/>
        </w:rPr>
        <w:instrText xml:space="preserve"> PAGEREF _Toc4868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392C5713">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前附表</w:t>
      </w:r>
      <w:r>
        <w:rPr>
          <w:color w:val="auto"/>
          <w:highlight w:val="none"/>
        </w:rPr>
        <w:tab/>
      </w:r>
      <w:r>
        <w:rPr>
          <w:color w:val="auto"/>
          <w:highlight w:val="none"/>
        </w:rPr>
        <w:fldChar w:fldCharType="begin" w:fldLock="1"/>
      </w:r>
      <w:r>
        <w:rPr>
          <w:color w:val="auto"/>
          <w:highlight w:val="none"/>
        </w:rPr>
        <w:instrText xml:space="preserve"> PAGEREF _Toc23844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788BC23">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_Toc29935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第四部分  磋商办法及评分标准</w:t>
      </w:r>
      <w:r>
        <w:rPr>
          <w:color w:val="auto"/>
          <w:highlight w:val="none"/>
        </w:rPr>
        <w:tab/>
      </w:r>
      <w:r>
        <w:rPr>
          <w:color w:val="auto"/>
          <w:highlight w:val="none"/>
        </w:rPr>
        <w:fldChar w:fldCharType="begin"/>
      </w:r>
      <w:r>
        <w:rPr>
          <w:color w:val="auto"/>
          <w:highlight w:val="none"/>
        </w:rPr>
        <w:instrText xml:space="preserve"> PAGEREF _Toc29935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14:paraId="52629EA2">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第五部分  合同主要条款</w:t>
      </w:r>
      <w:r>
        <w:rPr>
          <w:color w:val="auto"/>
          <w:highlight w:val="none"/>
        </w:rPr>
        <w:tab/>
      </w:r>
      <w:r>
        <w:rPr>
          <w:color w:val="auto"/>
          <w:highlight w:val="none"/>
        </w:rPr>
        <w:fldChar w:fldCharType="begin"/>
      </w:r>
      <w:r>
        <w:rPr>
          <w:color w:val="auto"/>
          <w:highlight w:val="none"/>
        </w:rPr>
        <w:instrText xml:space="preserve"> PAGEREF _Toc30140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1"/>
          <w:highlight w:val="none"/>
        </w:rPr>
        <w:fldChar w:fldCharType="end"/>
      </w:r>
    </w:p>
    <w:p w14:paraId="6B541A32">
      <w:pPr>
        <w:pStyle w:val="33"/>
        <w:tabs>
          <w:tab w:val="right" w:leader="dot" w:pos="9638"/>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_Toc23223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第六部分  应递交的响应文件格式范例</w:t>
      </w:r>
      <w:r>
        <w:rPr>
          <w:color w:val="auto"/>
          <w:highlight w:val="none"/>
        </w:rPr>
        <w:tab/>
      </w:r>
      <w:r>
        <w:rPr>
          <w:color w:val="auto"/>
          <w:highlight w:val="none"/>
        </w:rPr>
        <w:fldChar w:fldCharType="begin"/>
      </w:r>
      <w:r>
        <w:rPr>
          <w:color w:val="auto"/>
          <w:highlight w:val="none"/>
        </w:rPr>
        <w:instrText xml:space="preserve"> PAGEREF _Toc23223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1"/>
          <w:highlight w:val="none"/>
        </w:rPr>
        <w:fldChar w:fldCharType="end"/>
      </w:r>
    </w:p>
    <w:p w14:paraId="342ACAFA">
      <w:pPr>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fldChar w:fldCharType="end"/>
      </w:r>
    </w:p>
    <w:p w14:paraId="0C565261">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532F004B">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举报电话：</w:t>
      </w:r>
    </w:p>
    <w:p w14:paraId="56CE6530">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lang w:eastAsia="zh-CN"/>
        </w:rPr>
      </w:pPr>
      <w:r>
        <w:rPr>
          <w:rFonts w:hint="eastAsia" w:ascii="宋体" w:hAnsi="宋体" w:cs="宋体"/>
          <w:b/>
          <w:color w:val="auto"/>
          <w:sz w:val="21"/>
          <w:highlight w:val="none"/>
        </w:rPr>
        <w:t>市扫黑办  0579-82495227</w:t>
      </w:r>
    </w:p>
    <w:p w14:paraId="7E0986CB">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市公安局  110、0579-82512110</w:t>
      </w:r>
    </w:p>
    <w:p w14:paraId="40979F12">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市检察院  0579-82537082</w:t>
      </w:r>
    </w:p>
    <w:p w14:paraId="597A5326">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 法 院  0579-82688725</w:t>
      </w:r>
    </w:p>
    <w:p w14:paraId="3C767021">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市公共资源交易管理办公室  0579-82469285</w:t>
      </w:r>
    </w:p>
    <w:p w14:paraId="0267F3D5">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bCs/>
          <w:color w:val="auto"/>
          <w:sz w:val="21"/>
          <w:highlight w:val="none"/>
        </w:rPr>
      </w:pPr>
      <w:r>
        <w:rPr>
          <w:rFonts w:hint="eastAsia" w:ascii="宋体" w:hAnsi="宋体" w:cs="宋体"/>
          <w:b/>
          <w:color w:val="auto"/>
          <w:sz w:val="21"/>
          <w:highlight w:val="none"/>
        </w:rPr>
        <w:t>市公共资源交易中心  0579-83187211</w:t>
      </w:r>
    </w:p>
    <w:p w14:paraId="587C4239">
      <w:pPr>
        <w:spacing w:line="480" w:lineRule="auto"/>
        <w:ind w:firstLine="211" w:firstLineChars="100"/>
        <w:jc w:val="both"/>
        <w:rPr>
          <w:rFonts w:hint="eastAsia" w:ascii="宋体" w:hAnsi="宋体" w:eastAsia="宋体" w:cs="宋体"/>
          <w:b/>
          <w:bCs/>
          <w:color w:val="auto"/>
          <w:sz w:val="21"/>
          <w:szCs w:val="21"/>
          <w:highlight w:val="none"/>
        </w:rPr>
      </w:pPr>
      <w:bookmarkStart w:id="1" w:name="_Toc237193452"/>
      <w:bookmarkStart w:id="2" w:name="_Toc237340100"/>
      <w:bookmarkStart w:id="3" w:name="_Toc237413905"/>
      <w:bookmarkStart w:id="4" w:name="_Toc237414001"/>
      <w:bookmarkStart w:id="5" w:name="_Toc237189781"/>
      <w:r>
        <w:rPr>
          <w:rFonts w:hint="eastAsia" w:ascii="宋体" w:hAnsi="宋体" w:eastAsia="宋体" w:cs="宋体"/>
          <w:b/>
          <w:bCs/>
          <w:color w:val="auto"/>
          <w:sz w:val="21"/>
          <w:szCs w:val="21"/>
          <w:highlight w:val="none"/>
        </w:rPr>
        <w:t>温馨提示：</w:t>
      </w:r>
    </w:p>
    <w:p w14:paraId="12AC910B">
      <w:pPr>
        <w:numPr>
          <w:ilvl w:val="-1"/>
          <w:numId w:val="0"/>
        </w:numPr>
        <w:spacing w:line="380" w:lineRule="exact"/>
        <w:ind w:left="142"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响应供应商不得向</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、政府采购工作人员、磋商小组专家行贿，违者一经查实，将列入政府采购黑名单！</w:t>
      </w:r>
    </w:p>
    <w:p w14:paraId="59EF4A87">
      <w:pPr>
        <w:numPr>
          <w:ilvl w:val="-1"/>
          <w:numId w:val="0"/>
        </w:numPr>
        <w:spacing w:line="380" w:lineRule="exact"/>
        <w:ind w:left="142"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响应供应商可在政采云平台（http://zfcg.czt.zj.gov.cn/）进行免费注册成为正式供应商，具体详见网站响应供应商注册要求，否则将无法参加投标。</w:t>
      </w:r>
    </w:p>
    <w:p w14:paraId="63874441">
      <w:pPr>
        <w:tabs>
          <w:tab w:val="left" w:pos="0"/>
        </w:tabs>
        <w:spacing w:line="380" w:lineRule="exact"/>
        <w:ind w:left="56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（注：请认真阅读此竞争性磋商文件，并按规定制作磋商响应文件，否则我们的努力将是徒劳。）</w:t>
      </w:r>
    </w:p>
    <w:bookmarkEnd w:id="0"/>
    <w:bookmarkEnd w:id="1"/>
    <w:bookmarkEnd w:id="2"/>
    <w:bookmarkEnd w:id="3"/>
    <w:bookmarkEnd w:id="4"/>
    <w:bookmarkEnd w:id="5"/>
    <w:p w14:paraId="43662743">
      <w:pPr>
        <w:pStyle w:val="4"/>
        <w:spacing w:line="360" w:lineRule="auto"/>
        <w:jc w:val="center"/>
        <w:rPr>
          <w:rFonts w:hint="eastAsia" w:ascii="宋体" w:hAnsi="宋体" w:eastAsia="宋体" w:cs="宋体"/>
          <w:color w:val="auto"/>
          <w:sz w:val="30"/>
          <w:szCs w:val="30"/>
          <w:highlight w:val="none"/>
        </w:rPr>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6" w:name="_Toc205638623"/>
      <w:bookmarkStart w:id="7" w:name="_Toc237413906"/>
      <w:bookmarkStart w:id="8" w:name="_Toc237193453"/>
      <w:bookmarkStart w:id="9" w:name="_Toc295910871"/>
      <w:bookmarkStart w:id="10" w:name="_Toc264211065"/>
      <w:bookmarkStart w:id="11" w:name="_Toc295737623"/>
      <w:bookmarkStart w:id="12" w:name="_Toc265065977"/>
      <w:bookmarkStart w:id="13" w:name="_Toc237414002"/>
      <w:bookmarkStart w:id="14" w:name="_Toc237176505"/>
      <w:bookmarkStart w:id="15" w:name="_Toc237182501"/>
      <w:bookmarkStart w:id="16" w:name="_Toc237340101"/>
      <w:bookmarkStart w:id="17" w:name="_Toc237189782"/>
      <w:bookmarkStart w:id="18" w:name="_Toc217289129"/>
      <w:bookmarkStart w:id="19" w:name="_Toc184785918"/>
      <w:bookmarkStart w:id="20" w:name="_Toc296074334"/>
      <w:bookmarkStart w:id="21" w:name="_Toc256977533"/>
      <w:bookmarkStart w:id="22" w:name="_Toc30715"/>
      <w:bookmarkStart w:id="23" w:name="_Toc9720"/>
      <w:bookmarkStart w:id="24" w:name="_Toc28190"/>
      <w:bookmarkStart w:id="25" w:name="_Toc23060"/>
      <w:bookmarkStart w:id="26" w:name="_Toc30124"/>
      <w:bookmarkStart w:id="27" w:name="_Toc18458"/>
    </w:p>
    <w:p w14:paraId="73780DA5">
      <w:pPr>
        <w:pStyle w:val="4"/>
        <w:spacing w:line="360" w:lineRule="auto"/>
        <w:jc w:val="center"/>
        <w:rPr>
          <w:rFonts w:hint="eastAsia" w:ascii="宋体" w:hAnsi="宋体" w:eastAsia="宋体" w:cs="宋体"/>
          <w:color w:val="auto"/>
          <w:sz w:val="30"/>
          <w:szCs w:val="30"/>
          <w:highlight w:val="none"/>
        </w:rPr>
      </w:pPr>
      <w:bookmarkStart w:id="28" w:name="_Toc23519"/>
      <w:bookmarkStart w:id="29" w:name="_Toc8926"/>
      <w:bookmarkStart w:id="30" w:name="_Toc7944"/>
      <w:bookmarkStart w:id="31" w:name="_Toc1"/>
      <w:bookmarkStart w:id="32" w:name="_Toc14303"/>
      <w:bookmarkStart w:id="33" w:name="_Toc17337"/>
      <w:bookmarkStart w:id="34" w:name="_Toc22264"/>
      <w:bookmarkStart w:id="35" w:name="_Toc7855"/>
      <w:bookmarkStart w:id="36" w:name="_Toc4744"/>
      <w:bookmarkStart w:id="37" w:name="_Toc12458"/>
      <w:bookmarkStart w:id="38" w:name="_Toc17090"/>
      <w:bookmarkStart w:id="39" w:name="_Toc25297"/>
      <w:bookmarkStart w:id="40" w:name="_Toc15531"/>
      <w:r>
        <w:rPr>
          <w:rFonts w:hint="eastAsia" w:ascii="宋体" w:hAnsi="宋体" w:eastAsia="宋体" w:cs="宋体"/>
          <w:color w:val="auto"/>
          <w:sz w:val="30"/>
          <w:szCs w:val="30"/>
          <w:highlight w:val="none"/>
        </w:rPr>
        <w:t>第一部分</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ascii="宋体" w:hAnsi="宋体" w:eastAsia="宋体" w:cs="宋体"/>
          <w:color w:val="auto"/>
          <w:sz w:val="30"/>
          <w:szCs w:val="30"/>
          <w:highlight w:val="none"/>
        </w:rPr>
        <w:t xml:space="preserve"> 竞争性磋商公告</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B2E616C">
      <w:pPr>
        <w:pBdr>
          <w:top w:val="single" w:color="auto" w:sz="4" w:space="1"/>
          <w:left w:val="single" w:color="auto" w:sz="4" w:space="4"/>
          <w:bottom w:val="single" w:color="auto" w:sz="4" w:space="1"/>
          <w:right w:val="single" w:color="auto" w:sz="4" w:space="4"/>
        </w:pBdr>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AEF59B5">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eastAsia="宋体" w:cs="宋体"/>
          <w:bCs/>
          <w:color w:val="auto"/>
          <w:sz w:val="21"/>
          <w:szCs w:val="21"/>
          <w:highlight w:val="none"/>
        </w:rPr>
      </w:pPr>
      <w:r>
        <w:rPr>
          <w:rFonts w:hint="eastAsia" w:hAnsi="宋体" w:cs="宋体"/>
          <w:color w:val="auto"/>
          <w:sz w:val="21"/>
          <w:szCs w:val="21"/>
          <w:highlight w:val="none"/>
          <w:lang w:eastAsia="zh-CN"/>
        </w:rPr>
        <w:t>金华市体育局</w:t>
      </w:r>
      <w:r>
        <w:rPr>
          <w:rFonts w:hint="eastAsia" w:ascii="宋体" w:hAnsi="宋体" w:eastAsia="宋体" w:cs="宋体"/>
          <w:color w:val="auto"/>
          <w:sz w:val="21"/>
          <w:szCs w:val="21"/>
          <w:highlight w:val="none"/>
        </w:rPr>
        <w:t>关于</w:t>
      </w:r>
      <w:r>
        <w:rPr>
          <w:rFonts w:hint="eastAsia" w:hAnsi="宋体" w:cs="宋体"/>
          <w:color w:val="auto"/>
          <w:sz w:val="21"/>
          <w:szCs w:val="21"/>
          <w:highlight w:val="none"/>
          <w:lang w:eastAsia="zh-CN"/>
        </w:rPr>
        <w:t>2025年金华市足球项目政转社赛事活动</w:t>
      </w:r>
      <w:r>
        <w:rPr>
          <w:rFonts w:hint="eastAsia" w:ascii="宋体" w:hAnsi="宋体" w:eastAsia="宋体" w:cs="宋体"/>
          <w:color w:val="auto"/>
          <w:sz w:val="21"/>
          <w:szCs w:val="21"/>
          <w:highlight w:val="none"/>
        </w:rPr>
        <w:t>的供应商应在浙江省“政采云”平台获取磋商采购文件，并于</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2025年</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u w:val="single"/>
          <w:lang w:eastAsia="zh-CN"/>
        </w:rPr>
        <w:t>月</w:t>
      </w:r>
      <w:r>
        <w:rPr>
          <w:rFonts w:hint="eastAsia" w:hAnsi="宋体" w:cs="宋体"/>
          <w:color w:val="auto"/>
          <w:sz w:val="21"/>
          <w:szCs w:val="21"/>
          <w:highlight w:val="none"/>
          <w:u w:val="single"/>
          <w:lang w:val="en-US" w:eastAsia="zh-CN"/>
        </w:rPr>
        <w:t>11</w:t>
      </w:r>
      <w:r>
        <w:rPr>
          <w:rFonts w:hint="eastAsia" w:hAnsi="宋体" w:cs="宋体"/>
          <w:color w:val="auto"/>
          <w:sz w:val="21"/>
          <w:szCs w:val="21"/>
          <w:highlight w:val="none"/>
          <w:u w:val="single"/>
          <w:lang w:eastAsia="zh-CN"/>
        </w:rPr>
        <w:t>日</w:t>
      </w:r>
      <w:r>
        <w:rPr>
          <w:rFonts w:hint="eastAsia" w:hAnsi="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北京时间）前上传</w:t>
      </w:r>
      <w:r>
        <w:rPr>
          <w:rFonts w:hint="eastAsia" w:ascii="宋体" w:hAnsi="宋体" w:eastAsia="宋体" w:cs="宋体"/>
          <w:color w:val="auto"/>
          <w:sz w:val="21"/>
          <w:szCs w:val="21"/>
          <w:highlight w:val="none"/>
        </w:rPr>
        <w:t>磋商响应文件。</w:t>
      </w:r>
    </w:p>
    <w:p w14:paraId="476D1FA3">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一、项目基本情况</w:t>
      </w:r>
    </w:p>
    <w:p w14:paraId="3F37ED80">
      <w:pPr>
        <w:pStyle w:val="26"/>
        <w:keepNext w:val="0"/>
        <w:keepLines w:val="0"/>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hAnsi="宋体" w:cs="宋体"/>
          <w:b w:val="0"/>
          <w:bCs w:val="0"/>
          <w:color w:val="auto"/>
          <w:sz w:val="21"/>
          <w:szCs w:val="21"/>
          <w:highlight w:val="none"/>
          <w:lang w:eastAsia="zh-CN"/>
        </w:rPr>
        <w:t xml:space="preserve">TY2025-FW031-ZFCG031 </w:t>
      </w:r>
    </w:p>
    <w:p w14:paraId="396B5BA8">
      <w:pPr>
        <w:keepNext w:val="0"/>
        <w:keepLines w:val="0"/>
        <w:pageBreakBefore w:val="0"/>
        <w:tabs>
          <w:tab w:val="left" w:pos="1260"/>
        </w:tabs>
        <w:kinsoku/>
        <w:wordWrap/>
        <w:overflowPunct/>
        <w:topLinePunct w:val="0"/>
        <w:autoSpaceDE/>
        <w:autoSpaceDN/>
        <w:bidi w:val="0"/>
        <w:adjustRightInd/>
        <w:snapToGrid w:val="0"/>
        <w:spacing w:line="50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color w:val="auto"/>
          <w:sz w:val="21"/>
          <w:szCs w:val="21"/>
          <w:highlight w:val="none"/>
        </w:rPr>
        <w:t>政府采购计划文号：临[2025]309号</w:t>
      </w:r>
      <w:r>
        <w:rPr>
          <w:rFonts w:hint="eastAsia" w:hAnsi="宋体" w:cs="宋体"/>
          <w:b w:val="0"/>
          <w:bCs w:val="0"/>
          <w:color w:val="auto"/>
          <w:sz w:val="21"/>
          <w:szCs w:val="21"/>
          <w:highlight w:val="none"/>
          <w:lang w:val="en-US" w:eastAsia="zh-CN" w:bidi="ar-SA"/>
        </w:rPr>
        <w:t xml:space="preserve"> </w:t>
      </w:r>
    </w:p>
    <w:p w14:paraId="2DDF9E3F">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采购组织类型：分散采购委托代理  </w:t>
      </w:r>
    </w:p>
    <w:p w14:paraId="17C50567">
      <w:pPr>
        <w:keepNext w:val="0"/>
        <w:keepLines w:val="0"/>
        <w:pageBreakBefore w:val="0"/>
        <w:shd w:val="clear" w:color="auto" w:fill="FFFFFF"/>
        <w:tabs>
          <w:tab w:val="left" w:pos="1260"/>
        </w:tabs>
        <w:kinsoku/>
        <w:wordWrap/>
        <w:overflowPunct/>
        <w:topLinePunct w:val="0"/>
        <w:bidi w:val="0"/>
        <w:adjustRightInd/>
        <w:snapToGrid w:val="0"/>
        <w:spacing w:beforeAutospacing="0" w:afterAutospacing="0"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2025年金华市足球项目政转社赛事活动</w:t>
      </w:r>
    </w:p>
    <w:p w14:paraId="66DAE5DE">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式：竞争性磋商</w:t>
      </w:r>
    </w:p>
    <w:p w14:paraId="2F3961E8">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预算金额（人民币）：</w:t>
      </w:r>
      <w:r>
        <w:rPr>
          <w:rFonts w:hint="eastAsia" w:cs="宋体"/>
          <w:color w:val="auto"/>
          <w:sz w:val="21"/>
          <w:szCs w:val="21"/>
          <w:highlight w:val="none"/>
          <w:lang w:eastAsia="zh-CN"/>
        </w:rPr>
        <w:t>306万元</w:t>
      </w:r>
    </w:p>
    <w:p w14:paraId="51FE4644">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最高限价（人民币）：</w:t>
      </w:r>
      <w:r>
        <w:rPr>
          <w:rFonts w:hint="eastAsia" w:cs="宋体"/>
          <w:color w:val="auto"/>
          <w:sz w:val="21"/>
          <w:szCs w:val="21"/>
          <w:highlight w:val="none"/>
          <w:lang w:eastAsia="zh-CN"/>
        </w:rPr>
        <w:t>306万元</w:t>
      </w:r>
    </w:p>
    <w:p w14:paraId="2706653C">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采购需求：</w:t>
      </w:r>
    </w:p>
    <w:tbl>
      <w:tblPr>
        <w:tblStyle w:val="47"/>
        <w:tblW w:w="4974"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9"/>
        <w:gridCol w:w="2565"/>
        <w:gridCol w:w="749"/>
        <w:gridCol w:w="720"/>
        <w:gridCol w:w="2694"/>
        <w:gridCol w:w="1300"/>
      </w:tblGrid>
      <w:tr w14:paraId="1299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trPr>
        <w:tc>
          <w:tcPr>
            <w:tcW w:w="696" w:type="dxa"/>
            <w:tcBorders>
              <w:top w:val="single" w:color="auto" w:sz="4" w:space="0"/>
              <w:left w:val="single" w:color="auto" w:sz="4" w:space="0"/>
              <w:bottom w:val="single" w:color="auto" w:sz="4" w:space="0"/>
              <w:right w:val="single" w:color="auto" w:sz="4" w:space="0"/>
            </w:tcBorders>
            <w:vAlign w:val="center"/>
          </w:tcPr>
          <w:p w14:paraId="4503A205">
            <w:pPr>
              <w:widowControl/>
              <w:snapToGrid w:val="0"/>
              <w:spacing w:line="460" w:lineRule="exact"/>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序号</w:t>
            </w:r>
          </w:p>
        </w:tc>
        <w:tc>
          <w:tcPr>
            <w:tcW w:w="1079" w:type="dxa"/>
            <w:tcBorders>
              <w:top w:val="single" w:color="auto" w:sz="4" w:space="0"/>
              <w:left w:val="single" w:color="auto" w:sz="4" w:space="0"/>
              <w:bottom w:val="single" w:color="auto" w:sz="4" w:space="0"/>
              <w:right w:val="single" w:color="auto" w:sz="4" w:space="0"/>
            </w:tcBorders>
            <w:vAlign w:val="center"/>
          </w:tcPr>
          <w:p w14:paraId="68DBE949">
            <w:pPr>
              <w:widowControl/>
              <w:snapToGrid w:val="0"/>
              <w:spacing w:line="460" w:lineRule="exact"/>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标项名称</w:t>
            </w:r>
          </w:p>
        </w:tc>
        <w:tc>
          <w:tcPr>
            <w:tcW w:w="2565" w:type="dxa"/>
            <w:tcBorders>
              <w:top w:val="single" w:color="auto" w:sz="4" w:space="0"/>
              <w:left w:val="single" w:color="auto" w:sz="4" w:space="0"/>
              <w:bottom w:val="single" w:color="auto" w:sz="4" w:space="0"/>
              <w:right w:val="single" w:color="auto" w:sz="4" w:space="0"/>
            </w:tcBorders>
            <w:vAlign w:val="center"/>
          </w:tcPr>
          <w:p w14:paraId="4259EB7C">
            <w:pPr>
              <w:widowControl/>
              <w:snapToGrid w:val="0"/>
              <w:spacing w:line="460" w:lineRule="exact"/>
              <w:ind w:firstLine="199" w:firstLineChars="95"/>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简要技术要求</w:t>
            </w:r>
          </w:p>
        </w:tc>
        <w:tc>
          <w:tcPr>
            <w:tcW w:w="749" w:type="dxa"/>
            <w:tcBorders>
              <w:top w:val="single" w:color="auto" w:sz="4" w:space="0"/>
              <w:left w:val="single" w:color="auto" w:sz="4" w:space="0"/>
              <w:bottom w:val="single" w:color="auto" w:sz="4" w:space="0"/>
              <w:right w:val="single" w:color="auto" w:sz="4" w:space="0"/>
            </w:tcBorders>
            <w:vAlign w:val="center"/>
          </w:tcPr>
          <w:p w14:paraId="7D7D6481">
            <w:pPr>
              <w:tabs>
                <w:tab w:val="left" w:pos="1260"/>
              </w:tabs>
              <w:autoSpaceDE/>
              <w:autoSpaceDN/>
              <w:adjustRightInd/>
              <w:spacing w:line="460" w:lineRule="exact"/>
              <w:jc w:val="center"/>
              <w:textAlignment w:val="auto"/>
              <w:rPr>
                <w:rFonts w:hint="eastAsia" w:hAnsi="宋体" w:eastAsia="宋体" w:cs="宋体"/>
                <w:color w:val="auto"/>
                <w:kern w:val="0"/>
                <w:sz w:val="21"/>
                <w:szCs w:val="21"/>
                <w:highlight w:val="none"/>
              </w:rPr>
            </w:pPr>
            <w:r>
              <w:rPr>
                <w:rFonts w:hint="eastAsia" w:hAnsi="宋体" w:eastAsia="宋体" w:cs="宋体"/>
                <w:color w:val="auto"/>
                <w:sz w:val="21"/>
                <w:szCs w:val="21"/>
                <w:highlight w:val="none"/>
              </w:rPr>
              <w:t>服务机构</w:t>
            </w:r>
          </w:p>
        </w:tc>
        <w:tc>
          <w:tcPr>
            <w:tcW w:w="720" w:type="dxa"/>
            <w:tcBorders>
              <w:top w:val="single" w:color="auto" w:sz="4" w:space="0"/>
              <w:left w:val="single" w:color="auto" w:sz="4" w:space="0"/>
              <w:bottom w:val="single" w:color="auto" w:sz="4" w:space="0"/>
              <w:right w:val="single" w:color="auto" w:sz="4" w:space="0"/>
            </w:tcBorders>
            <w:vAlign w:val="center"/>
          </w:tcPr>
          <w:p w14:paraId="34C20FD9">
            <w:pPr>
              <w:snapToGrid w:val="0"/>
              <w:spacing w:line="460" w:lineRule="exact"/>
              <w:jc w:val="center"/>
              <w:rPr>
                <w:rFonts w:hint="default" w:hAnsi="宋体" w:eastAsia="宋体" w:cs="宋体"/>
                <w:color w:val="auto"/>
                <w:kern w:val="0"/>
                <w:sz w:val="21"/>
                <w:szCs w:val="21"/>
                <w:highlight w:val="none"/>
                <w:lang w:val="en-US" w:eastAsia="zh-CN"/>
              </w:rPr>
            </w:pPr>
            <w:r>
              <w:rPr>
                <w:rFonts w:hint="eastAsia" w:hAnsi="宋体" w:eastAsia="宋体" w:cs="宋体"/>
                <w:color w:val="auto"/>
                <w:sz w:val="21"/>
                <w:szCs w:val="21"/>
                <w:highlight w:val="none"/>
                <w:lang w:val="en-US" w:eastAsia="zh-CN"/>
              </w:rPr>
              <w:t>服务期限</w:t>
            </w:r>
          </w:p>
        </w:tc>
        <w:tc>
          <w:tcPr>
            <w:tcW w:w="2694" w:type="dxa"/>
            <w:tcBorders>
              <w:top w:val="single" w:color="auto" w:sz="4" w:space="0"/>
              <w:left w:val="single" w:color="auto" w:sz="4" w:space="0"/>
              <w:bottom w:val="single" w:color="auto" w:sz="4" w:space="0"/>
              <w:right w:val="single" w:color="auto" w:sz="4" w:space="0"/>
            </w:tcBorders>
            <w:vAlign w:val="center"/>
          </w:tcPr>
          <w:p w14:paraId="5F853EF5">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服务内容</w:t>
            </w:r>
          </w:p>
        </w:tc>
        <w:tc>
          <w:tcPr>
            <w:tcW w:w="1300" w:type="dxa"/>
            <w:tcBorders>
              <w:top w:val="single" w:color="auto" w:sz="4" w:space="0"/>
              <w:left w:val="single" w:color="auto" w:sz="4" w:space="0"/>
              <w:bottom w:val="single" w:color="auto" w:sz="4" w:space="0"/>
              <w:right w:val="single" w:color="auto" w:sz="4" w:space="0"/>
            </w:tcBorders>
            <w:vAlign w:val="center"/>
          </w:tcPr>
          <w:p w14:paraId="520D8836">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预算金额</w:t>
            </w:r>
          </w:p>
          <w:p w14:paraId="45F0FDAB">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（人民币）</w:t>
            </w:r>
          </w:p>
        </w:tc>
      </w:tr>
      <w:tr w14:paraId="4449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6" w:type="dxa"/>
            <w:vMerge w:val="restart"/>
            <w:tcBorders>
              <w:top w:val="single" w:color="auto" w:sz="4" w:space="0"/>
              <w:left w:val="single" w:color="auto" w:sz="4" w:space="0"/>
              <w:right w:val="single" w:color="auto" w:sz="4" w:space="0"/>
            </w:tcBorders>
            <w:vAlign w:val="center"/>
          </w:tcPr>
          <w:p w14:paraId="40BD6D3F">
            <w:pPr>
              <w:widowControl/>
              <w:snapToGrid w:val="0"/>
              <w:spacing w:line="460" w:lineRule="exact"/>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1</w:t>
            </w:r>
          </w:p>
        </w:tc>
        <w:tc>
          <w:tcPr>
            <w:tcW w:w="1079" w:type="dxa"/>
            <w:vMerge w:val="restart"/>
            <w:tcBorders>
              <w:top w:val="single" w:color="auto" w:sz="4" w:space="0"/>
              <w:left w:val="single" w:color="auto" w:sz="4" w:space="0"/>
              <w:right w:val="single" w:color="auto" w:sz="4" w:space="0"/>
            </w:tcBorders>
            <w:vAlign w:val="center"/>
          </w:tcPr>
          <w:p w14:paraId="333B3BA0">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2025年金华市足球项目政转社赛事活动</w:t>
            </w:r>
          </w:p>
        </w:tc>
        <w:tc>
          <w:tcPr>
            <w:tcW w:w="2565" w:type="dxa"/>
            <w:vMerge w:val="restart"/>
            <w:tcBorders>
              <w:top w:val="single" w:color="auto" w:sz="4" w:space="0"/>
              <w:left w:val="single" w:color="auto" w:sz="4" w:space="0"/>
              <w:right w:val="single" w:color="auto" w:sz="4" w:space="0"/>
            </w:tcBorders>
            <w:vAlign w:val="center"/>
          </w:tcPr>
          <w:p w14:paraId="08571F96">
            <w:pPr>
              <w:spacing w:line="460" w:lineRule="exact"/>
              <w:ind w:firstLine="0" w:firstLineChars="0"/>
              <w:jc w:val="center"/>
              <w:rPr>
                <w:rFonts w:hint="eastAsia"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主要包括</w:t>
            </w:r>
            <w:r>
              <w:rPr>
                <w:rFonts w:hint="eastAsia" w:ascii="宋体" w:hAnsi="宋体" w:eastAsia="宋体" w:cs="宋体"/>
                <w:color w:val="auto"/>
                <w:sz w:val="21"/>
                <w:szCs w:val="21"/>
                <w:highlight w:val="none"/>
              </w:rPr>
              <w:t>完成俱乐部、球员的注册，按</w:t>
            </w:r>
            <w:r>
              <w:rPr>
                <w:rFonts w:hint="eastAsia" w:ascii="宋体" w:hAnsi="宋体" w:eastAsia="宋体" w:cs="宋体"/>
                <w:color w:val="auto"/>
                <w:sz w:val="21"/>
                <w:szCs w:val="21"/>
                <w:highlight w:val="none"/>
                <w:lang w:val="en-US" w:eastAsia="zh-CN"/>
              </w:rPr>
              <w:t>采购方要求和</w:t>
            </w:r>
            <w:r>
              <w:rPr>
                <w:rFonts w:hint="eastAsia" w:ascii="宋体" w:hAnsi="宋体" w:eastAsia="宋体" w:cs="宋体"/>
                <w:color w:val="auto"/>
                <w:sz w:val="21"/>
                <w:szCs w:val="21"/>
                <w:highlight w:val="none"/>
              </w:rPr>
              <w:t>浙超组委会规范开展</w:t>
            </w:r>
            <w:r>
              <w:rPr>
                <w:rFonts w:hint="eastAsia" w:ascii="宋体" w:hAnsi="宋体" w:eastAsia="宋体" w:cs="宋体"/>
                <w:b w:val="0"/>
                <w:bCs w:val="0"/>
                <w:color w:val="auto"/>
                <w:sz w:val="21"/>
                <w:szCs w:val="21"/>
                <w:highlight w:val="none"/>
              </w:rPr>
              <w:t>前期筹备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赛事中期准备</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赛事后期工作</w:t>
            </w:r>
            <w:r>
              <w:rPr>
                <w:rFonts w:hint="eastAsia"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承办市级青少年足球赛事活动</w:t>
            </w:r>
            <w:r>
              <w:rPr>
                <w:rFonts w:hint="eastAsia" w:ascii="宋体" w:hAnsi="宋体" w:eastAsia="宋体" w:cs="宋体"/>
                <w:color w:val="auto"/>
                <w:sz w:val="21"/>
                <w:szCs w:val="21"/>
                <w:highlight w:val="none"/>
                <w:lang w:val="en-US" w:eastAsia="zh-CN"/>
              </w:rPr>
              <w:t>；参加（承办）省市级社会类足球赛事</w:t>
            </w:r>
            <w:r>
              <w:rPr>
                <w:rFonts w:hint="eastAsia"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具体</w:t>
            </w:r>
            <w:r>
              <w:rPr>
                <w:rFonts w:hint="eastAsia" w:hAnsi="宋体" w:eastAsia="宋体" w:cs="宋体"/>
                <w:color w:val="auto"/>
                <w:sz w:val="21"/>
                <w:szCs w:val="21"/>
                <w:highlight w:val="none"/>
              </w:rPr>
              <w:t>详见</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第二部分</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采购需求</w:t>
            </w:r>
            <w:r>
              <w:rPr>
                <w:rFonts w:hint="eastAsia" w:hAnsi="宋体" w:eastAsia="宋体" w:cs="宋体"/>
                <w:color w:val="auto"/>
                <w:sz w:val="21"/>
                <w:szCs w:val="21"/>
                <w:highlight w:val="none"/>
                <w:lang w:eastAsia="zh-CN"/>
              </w:rPr>
              <w:t>”</w:t>
            </w:r>
          </w:p>
        </w:tc>
        <w:tc>
          <w:tcPr>
            <w:tcW w:w="749" w:type="dxa"/>
            <w:vMerge w:val="restart"/>
            <w:vAlign w:val="center"/>
          </w:tcPr>
          <w:p w14:paraId="5BDEC0A7">
            <w:pPr>
              <w:tabs>
                <w:tab w:val="left" w:pos="1260"/>
              </w:tabs>
              <w:autoSpaceDE/>
              <w:autoSpaceDN/>
              <w:adjustRightInd/>
              <w:spacing w:line="460" w:lineRule="exact"/>
              <w:jc w:val="center"/>
              <w:textAlignment w:val="auto"/>
              <w:rPr>
                <w:rFonts w:hint="eastAsia" w:hAnsi="宋体" w:eastAsia="宋体" w:cs="宋体"/>
                <w:color w:val="auto"/>
                <w:kern w:val="0"/>
                <w:sz w:val="21"/>
                <w:szCs w:val="21"/>
                <w:highlight w:val="none"/>
              </w:rPr>
            </w:pPr>
            <w:r>
              <w:rPr>
                <w:rFonts w:hint="eastAsia" w:hAnsi="宋体" w:eastAsia="宋体" w:cs="宋体"/>
                <w:color w:val="auto"/>
                <w:sz w:val="21"/>
                <w:szCs w:val="21"/>
                <w:highlight w:val="none"/>
              </w:rPr>
              <w:t>1家</w:t>
            </w:r>
          </w:p>
        </w:tc>
        <w:tc>
          <w:tcPr>
            <w:tcW w:w="720" w:type="dxa"/>
            <w:vMerge w:val="restart"/>
            <w:vAlign w:val="center"/>
          </w:tcPr>
          <w:p w14:paraId="74B24510">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自合同签订之日起至赛事活动完成并通过验收</w:t>
            </w:r>
          </w:p>
        </w:tc>
        <w:tc>
          <w:tcPr>
            <w:tcW w:w="2694" w:type="dxa"/>
            <w:vAlign w:val="center"/>
          </w:tcPr>
          <w:p w14:paraId="6BC24024">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承办金华市青少年足球锦标赛</w:t>
            </w:r>
          </w:p>
        </w:tc>
        <w:tc>
          <w:tcPr>
            <w:tcW w:w="1300" w:type="dxa"/>
            <w:vAlign w:val="center"/>
          </w:tcPr>
          <w:p w14:paraId="7AAA9136">
            <w:pPr>
              <w:snapToGrid w:val="0"/>
              <w:spacing w:line="460" w:lineRule="exact"/>
              <w:jc w:val="center"/>
              <w:rPr>
                <w:rFonts w:hint="eastAsia"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20万元</w:t>
            </w:r>
          </w:p>
        </w:tc>
      </w:tr>
      <w:tr w14:paraId="4E6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96" w:type="dxa"/>
            <w:vMerge w:val="continue"/>
            <w:tcBorders>
              <w:left w:val="single" w:color="auto" w:sz="4" w:space="0"/>
              <w:right w:val="single" w:color="auto" w:sz="4" w:space="0"/>
            </w:tcBorders>
            <w:vAlign w:val="center"/>
          </w:tcPr>
          <w:p w14:paraId="1923F975">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3B3426A8">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2442573A">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340DEBB5">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60707339">
            <w:pPr>
              <w:rPr>
                <w:rFonts w:hint="eastAsia" w:ascii="宋体" w:hAnsi="宋体" w:eastAsia="宋体" w:cs="宋体"/>
                <w:b w:val="0"/>
                <w:bCs w:val="0"/>
                <w:color w:val="auto"/>
                <w:sz w:val="21"/>
                <w:szCs w:val="21"/>
                <w:highlight w:val="none"/>
                <w:lang w:val="en-US" w:eastAsia="zh-CN"/>
              </w:rPr>
            </w:pPr>
          </w:p>
        </w:tc>
        <w:tc>
          <w:tcPr>
            <w:tcW w:w="2694" w:type="dxa"/>
            <w:vAlign w:val="center"/>
          </w:tcPr>
          <w:p w14:paraId="27BDCC1C">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全年足球场地</w:t>
            </w:r>
            <w:r>
              <w:rPr>
                <w:rFonts w:hint="eastAsia" w:hAnsi="宋体" w:cs="宋体"/>
                <w:b w:val="0"/>
                <w:bCs w:val="0"/>
                <w:color w:val="auto"/>
                <w:sz w:val="21"/>
                <w:szCs w:val="21"/>
                <w:highlight w:val="none"/>
                <w:lang w:val="en-US" w:eastAsia="zh-CN"/>
              </w:rPr>
              <w:t>养护</w:t>
            </w:r>
            <w:r>
              <w:rPr>
                <w:rFonts w:hint="eastAsia" w:ascii="宋体" w:hAnsi="宋体" w:eastAsia="宋体" w:cs="宋体"/>
                <w:b w:val="0"/>
                <w:bCs w:val="0"/>
                <w:color w:val="auto"/>
                <w:sz w:val="21"/>
                <w:szCs w:val="21"/>
                <w:highlight w:val="none"/>
                <w:lang w:val="en-US" w:eastAsia="zh-CN"/>
              </w:rPr>
              <w:t>（用于</w:t>
            </w:r>
            <w:r>
              <w:rPr>
                <w:rFonts w:hint="eastAsia" w:hAnsi="宋体" w:cs="宋体"/>
                <w:b w:val="0"/>
                <w:bCs w:val="0"/>
                <w:color w:val="auto"/>
                <w:sz w:val="21"/>
                <w:szCs w:val="21"/>
                <w:highlight w:val="none"/>
                <w:lang w:val="en-US" w:eastAsia="zh-CN"/>
              </w:rPr>
              <w:t>金华艾青中学</w:t>
            </w:r>
            <w:r>
              <w:rPr>
                <w:rFonts w:hint="eastAsia" w:ascii="宋体" w:hAnsi="宋体" w:eastAsia="宋体" w:cs="宋体"/>
                <w:b w:val="0"/>
                <w:bCs w:val="0"/>
                <w:color w:val="auto"/>
                <w:sz w:val="21"/>
                <w:szCs w:val="21"/>
                <w:highlight w:val="none"/>
                <w:lang w:val="en-US" w:eastAsia="zh-CN"/>
              </w:rPr>
              <w:t>足球场的</w:t>
            </w:r>
            <w:r>
              <w:rPr>
                <w:rFonts w:hint="eastAsia" w:hAnsi="宋体" w:cs="宋体"/>
                <w:b w:val="0"/>
                <w:bCs w:val="0"/>
                <w:color w:val="auto"/>
                <w:sz w:val="21"/>
                <w:szCs w:val="21"/>
                <w:highlight w:val="none"/>
                <w:lang w:val="en-US" w:eastAsia="zh-CN"/>
              </w:rPr>
              <w:t>草坪养</w:t>
            </w:r>
            <w:r>
              <w:rPr>
                <w:rFonts w:hint="eastAsia" w:ascii="宋体" w:hAnsi="宋体" w:eastAsia="宋体" w:cs="宋体"/>
                <w:b w:val="0"/>
                <w:bCs w:val="0"/>
                <w:color w:val="auto"/>
                <w:sz w:val="21"/>
                <w:szCs w:val="21"/>
                <w:highlight w:val="none"/>
                <w:lang w:val="en-US" w:eastAsia="zh-CN"/>
              </w:rPr>
              <w:t>护）</w:t>
            </w:r>
          </w:p>
        </w:tc>
        <w:tc>
          <w:tcPr>
            <w:tcW w:w="1300" w:type="dxa"/>
            <w:vAlign w:val="center"/>
          </w:tcPr>
          <w:p w14:paraId="57EC3235">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万元</w:t>
            </w:r>
          </w:p>
        </w:tc>
      </w:tr>
      <w:tr w14:paraId="72D0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6" w:type="dxa"/>
            <w:vMerge w:val="continue"/>
            <w:tcBorders>
              <w:left w:val="single" w:color="auto" w:sz="4" w:space="0"/>
              <w:right w:val="single" w:color="auto" w:sz="4" w:space="0"/>
            </w:tcBorders>
            <w:vAlign w:val="center"/>
          </w:tcPr>
          <w:p w14:paraId="15B43DF1">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6D8007CE">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685C0CB3">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672DD0AC">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2C811B2D">
            <w:pPr>
              <w:rPr>
                <w:rFonts w:hint="eastAsia" w:ascii="宋体" w:hAnsi="宋体" w:eastAsia="宋体" w:cs="宋体"/>
                <w:b w:val="0"/>
                <w:bCs w:val="0"/>
                <w:color w:val="auto"/>
                <w:sz w:val="21"/>
                <w:szCs w:val="21"/>
                <w:highlight w:val="none"/>
                <w:lang w:val="en-US" w:eastAsia="zh-CN"/>
              </w:rPr>
            </w:pPr>
          </w:p>
        </w:tc>
        <w:tc>
          <w:tcPr>
            <w:tcW w:w="2694" w:type="dxa"/>
            <w:vAlign w:val="center"/>
          </w:tcPr>
          <w:p w14:paraId="1CC80AE0">
            <w:pP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举办</w:t>
            </w:r>
            <w:r>
              <w:rPr>
                <w:rFonts w:hint="eastAsia" w:ascii="宋体" w:hAnsi="宋体" w:eastAsia="宋体" w:cs="宋体"/>
                <w:b w:val="0"/>
                <w:bCs w:val="0"/>
                <w:color w:val="auto"/>
                <w:sz w:val="21"/>
                <w:szCs w:val="21"/>
                <w:highlight w:val="none"/>
                <w:lang w:val="en-US" w:eastAsia="zh-CN"/>
              </w:rPr>
              <w:t>金华市业余足球联赛</w:t>
            </w:r>
          </w:p>
        </w:tc>
        <w:tc>
          <w:tcPr>
            <w:tcW w:w="1300" w:type="dxa"/>
            <w:vAlign w:val="center"/>
          </w:tcPr>
          <w:p w14:paraId="2B0C6333">
            <w:pPr>
              <w:snapToGrid w:val="0"/>
              <w:spacing w:line="460" w:lineRule="exact"/>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w:t>
            </w:r>
          </w:p>
        </w:tc>
      </w:tr>
      <w:tr w14:paraId="1CC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vMerge w:val="continue"/>
            <w:tcBorders>
              <w:left w:val="single" w:color="auto" w:sz="4" w:space="0"/>
              <w:right w:val="single" w:color="auto" w:sz="4" w:space="0"/>
            </w:tcBorders>
            <w:vAlign w:val="center"/>
          </w:tcPr>
          <w:p w14:paraId="4A5CCB4C">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5EED2A7D">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0DFDDA46">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283D58F4">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7B796BA6">
            <w:pPr>
              <w:rPr>
                <w:rFonts w:hint="eastAsia" w:ascii="宋体" w:hAnsi="宋体" w:eastAsia="宋体" w:cs="宋体"/>
                <w:b w:val="0"/>
                <w:bCs w:val="0"/>
                <w:color w:val="auto"/>
                <w:sz w:val="21"/>
                <w:szCs w:val="21"/>
                <w:highlight w:val="none"/>
                <w:lang w:val="en-US" w:eastAsia="zh-CN"/>
              </w:rPr>
            </w:pPr>
          </w:p>
        </w:tc>
        <w:tc>
          <w:tcPr>
            <w:tcW w:w="2694" w:type="dxa"/>
            <w:vAlign w:val="center"/>
          </w:tcPr>
          <w:p w14:paraId="1CEC1859">
            <w:p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参加</w:t>
            </w:r>
            <w:r>
              <w:rPr>
                <w:rFonts w:hint="eastAsia" w:hAnsi="宋体" w:cs="宋体"/>
                <w:b w:val="0"/>
                <w:bCs w:val="0"/>
                <w:color w:val="auto"/>
                <w:sz w:val="21"/>
                <w:szCs w:val="21"/>
                <w:highlight w:val="none"/>
                <w:lang w:val="en-US" w:eastAsia="zh-CN"/>
              </w:rPr>
              <w:t>并承办</w:t>
            </w:r>
            <w:r>
              <w:rPr>
                <w:rFonts w:hint="eastAsia" w:ascii="宋体" w:hAnsi="宋体" w:eastAsia="宋体" w:cs="宋体"/>
                <w:b w:val="0"/>
                <w:bCs w:val="0"/>
                <w:color w:val="auto"/>
                <w:sz w:val="21"/>
                <w:szCs w:val="21"/>
                <w:highlight w:val="none"/>
                <w:lang w:val="en-US" w:eastAsia="zh-CN"/>
              </w:rPr>
              <w:t>浙江省足球超级联赛</w:t>
            </w:r>
          </w:p>
        </w:tc>
        <w:tc>
          <w:tcPr>
            <w:tcW w:w="1300" w:type="dxa"/>
            <w:vAlign w:val="center"/>
          </w:tcPr>
          <w:p w14:paraId="5C8F00E0">
            <w:pPr>
              <w:snapToGrid w:val="0"/>
              <w:spacing w:line="460" w:lineRule="exact"/>
              <w:jc w:val="center"/>
              <w:rPr>
                <w:rFonts w:hint="eastAsia" w:hAnsi="宋体" w:eastAsia="宋体" w:cs="宋体"/>
                <w:color w:val="auto"/>
                <w:kern w:val="0"/>
                <w:sz w:val="21"/>
                <w:szCs w:val="21"/>
                <w:highlight w:val="none"/>
                <w:lang w:eastAsia="zh-CN"/>
              </w:rPr>
            </w:pPr>
            <w:r>
              <w:rPr>
                <w:rFonts w:hint="eastAsia" w:hAnsi="宋体" w:eastAsia="宋体" w:cs="宋体"/>
                <w:color w:val="auto"/>
                <w:sz w:val="21"/>
                <w:szCs w:val="21"/>
                <w:highlight w:val="none"/>
                <w:lang w:val="en-US" w:eastAsia="zh-CN"/>
              </w:rPr>
              <w:t>130万元</w:t>
            </w:r>
          </w:p>
        </w:tc>
      </w:tr>
      <w:tr w14:paraId="6272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6" w:type="dxa"/>
            <w:vMerge w:val="continue"/>
            <w:tcBorders>
              <w:left w:val="single" w:color="auto" w:sz="4" w:space="0"/>
              <w:right w:val="single" w:color="auto" w:sz="4" w:space="0"/>
            </w:tcBorders>
            <w:vAlign w:val="center"/>
          </w:tcPr>
          <w:p w14:paraId="58CD5911">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111490CC">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33CBF7ED">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73560E02">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222873D5">
            <w:pPr>
              <w:rPr>
                <w:rFonts w:hint="eastAsia" w:ascii="宋体" w:hAnsi="宋体" w:eastAsia="宋体" w:cs="宋体"/>
                <w:b w:val="0"/>
                <w:bCs w:val="0"/>
                <w:color w:val="auto"/>
                <w:sz w:val="21"/>
                <w:szCs w:val="21"/>
                <w:highlight w:val="none"/>
                <w:lang w:val="en-US" w:eastAsia="zh-CN"/>
              </w:rPr>
            </w:pPr>
          </w:p>
        </w:tc>
        <w:tc>
          <w:tcPr>
            <w:tcW w:w="2694" w:type="dxa"/>
            <w:vAlign w:val="center"/>
          </w:tcPr>
          <w:p w14:paraId="53EB43A6">
            <w:pP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举办</w:t>
            </w:r>
            <w:r>
              <w:rPr>
                <w:rFonts w:hint="eastAsia" w:ascii="宋体" w:hAnsi="宋体" w:eastAsia="宋体" w:cs="宋体"/>
                <w:b w:val="0"/>
                <w:bCs w:val="0"/>
                <w:color w:val="auto"/>
                <w:sz w:val="21"/>
                <w:szCs w:val="21"/>
                <w:highlight w:val="none"/>
                <w:lang w:val="en-US" w:eastAsia="zh-CN"/>
              </w:rPr>
              <w:t>群众体育</w:t>
            </w:r>
            <w:r>
              <w:rPr>
                <w:rFonts w:hint="eastAsia" w:hAnsi="宋体" w:cs="宋体"/>
                <w:b w:val="0"/>
                <w:bCs w:val="0"/>
                <w:color w:val="auto"/>
                <w:sz w:val="21"/>
                <w:szCs w:val="21"/>
                <w:highlight w:val="none"/>
                <w:lang w:val="en-US" w:eastAsia="zh-CN"/>
              </w:rPr>
              <w:t>浙江省五人制足球冠军联赛</w:t>
            </w:r>
            <w:r>
              <w:rPr>
                <w:rFonts w:hint="eastAsia" w:ascii="宋体" w:hAnsi="宋体" w:eastAsia="宋体" w:cs="宋体"/>
                <w:b w:val="0"/>
                <w:bCs w:val="0"/>
                <w:color w:val="auto"/>
                <w:sz w:val="21"/>
                <w:szCs w:val="21"/>
                <w:highlight w:val="none"/>
                <w:lang w:val="en-US" w:eastAsia="zh-CN"/>
              </w:rPr>
              <w:t>金华市海选赛</w:t>
            </w:r>
          </w:p>
        </w:tc>
        <w:tc>
          <w:tcPr>
            <w:tcW w:w="1300" w:type="dxa"/>
            <w:vAlign w:val="center"/>
          </w:tcPr>
          <w:p w14:paraId="02C95BEC">
            <w:pPr>
              <w:snapToGrid w:val="0"/>
              <w:spacing w:line="460" w:lineRule="exact"/>
              <w:jc w:val="center"/>
              <w:rPr>
                <w:rFonts w:hint="eastAsia"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6万元</w:t>
            </w:r>
          </w:p>
        </w:tc>
      </w:tr>
      <w:tr w14:paraId="685E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96" w:type="dxa"/>
            <w:vMerge w:val="continue"/>
            <w:tcBorders>
              <w:left w:val="single" w:color="auto" w:sz="4" w:space="0"/>
              <w:right w:val="single" w:color="auto" w:sz="4" w:space="0"/>
            </w:tcBorders>
            <w:vAlign w:val="center"/>
          </w:tcPr>
          <w:p w14:paraId="328CE6FE">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66E281CD">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0D85824B">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21B85A28">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7EC30A8B">
            <w:pPr>
              <w:rPr>
                <w:rFonts w:hint="eastAsia" w:ascii="宋体" w:hAnsi="宋体" w:eastAsia="宋体" w:cs="宋体"/>
                <w:b w:val="0"/>
                <w:bCs w:val="0"/>
                <w:color w:val="auto"/>
                <w:sz w:val="21"/>
                <w:szCs w:val="21"/>
                <w:highlight w:val="none"/>
                <w:lang w:val="en-US" w:eastAsia="zh-CN"/>
              </w:rPr>
            </w:pPr>
          </w:p>
        </w:tc>
        <w:tc>
          <w:tcPr>
            <w:tcW w:w="2694" w:type="dxa"/>
            <w:vAlign w:val="center"/>
          </w:tcPr>
          <w:p w14:paraId="2494DB2C">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参加全国足球</w:t>
            </w:r>
            <w:r>
              <w:rPr>
                <w:rFonts w:hint="eastAsia" w:hAnsi="宋体" w:cs="宋体"/>
                <w:b w:val="0"/>
                <w:bCs w:val="0"/>
                <w:color w:val="auto"/>
                <w:sz w:val="21"/>
                <w:szCs w:val="21"/>
                <w:highlight w:val="none"/>
                <w:lang w:val="en-US" w:eastAsia="zh-CN"/>
              </w:rPr>
              <w:t>比</w:t>
            </w:r>
            <w:r>
              <w:rPr>
                <w:rFonts w:hint="eastAsia" w:ascii="宋体" w:hAnsi="宋体" w:eastAsia="宋体" w:cs="宋体"/>
                <w:b w:val="0"/>
                <w:bCs w:val="0"/>
                <w:color w:val="auto"/>
                <w:sz w:val="21"/>
                <w:szCs w:val="21"/>
                <w:highlight w:val="none"/>
                <w:lang w:val="en-US" w:eastAsia="zh-CN"/>
              </w:rPr>
              <w:t>赛</w:t>
            </w:r>
          </w:p>
        </w:tc>
        <w:tc>
          <w:tcPr>
            <w:tcW w:w="1300" w:type="dxa"/>
            <w:vAlign w:val="center"/>
          </w:tcPr>
          <w:p w14:paraId="5172CCBD">
            <w:pPr>
              <w:snapToGrid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40万元</w:t>
            </w:r>
          </w:p>
        </w:tc>
      </w:tr>
      <w:tr w14:paraId="41F2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6" w:type="dxa"/>
            <w:vMerge w:val="continue"/>
            <w:tcBorders>
              <w:left w:val="single" w:color="auto" w:sz="4" w:space="0"/>
              <w:right w:val="single" w:color="auto" w:sz="4" w:space="0"/>
            </w:tcBorders>
            <w:vAlign w:val="center"/>
          </w:tcPr>
          <w:p w14:paraId="5C0742B4">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3384E56F">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5F6A5CD5">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611B6A2C">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69660CE3">
            <w:pPr>
              <w:rPr>
                <w:rFonts w:hint="eastAsia" w:ascii="宋体" w:hAnsi="宋体" w:eastAsia="宋体" w:cs="宋体"/>
                <w:b w:val="0"/>
                <w:bCs w:val="0"/>
                <w:color w:val="auto"/>
                <w:sz w:val="21"/>
                <w:szCs w:val="21"/>
                <w:highlight w:val="none"/>
                <w:lang w:val="en-US" w:eastAsia="zh-CN"/>
              </w:rPr>
            </w:pPr>
          </w:p>
        </w:tc>
        <w:tc>
          <w:tcPr>
            <w:tcW w:w="2694" w:type="dxa"/>
            <w:vAlign w:val="center"/>
          </w:tcPr>
          <w:p w14:paraId="04B4C50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全国青少年女子u系列足球比赛（不包括比赛期间的场地使用费）</w:t>
            </w:r>
          </w:p>
        </w:tc>
        <w:tc>
          <w:tcPr>
            <w:tcW w:w="1300" w:type="dxa"/>
            <w:vAlign w:val="center"/>
          </w:tcPr>
          <w:p w14:paraId="29F781F0">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60万元</w:t>
            </w:r>
          </w:p>
        </w:tc>
      </w:tr>
      <w:tr w14:paraId="4F6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3" w:type="dxa"/>
            <w:gridSpan w:val="6"/>
            <w:tcBorders>
              <w:left w:val="single" w:color="auto" w:sz="4" w:space="0"/>
              <w:bottom w:val="single" w:color="auto" w:sz="4" w:space="0"/>
            </w:tcBorders>
            <w:vAlign w:val="center"/>
          </w:tcPr>
          <w:p w14:paraId="70294EEA">
            <w:pPr>
              <w:snapToGrid w:val="0"/>
              <w:spacing w:line="460" w:lineRule="exact"/>
              <w:jc w:val="center"/>
              <w:rPr>
                <w:rFonts w:hint="default"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合计</w:t>
            </w:r>
          </w:p>
        </w:tc>
        <w:tc>
          <w:tcPr>
            <w:tcW w:w="1300" w:type="dxa"/>
            <w:vAlign w:val="center"/>
          </w:tcPr>
          <w:p w14:paraId="162CF25F">
            <w:pPr>
              <w:snapToGrid w:val="0"/>
              <w:spacing w:line="460" w:lineRule="exact"/>
              <w:jc w:val="center"/>
              <w:rPr>
                <w:rFonts w:hint="eastAsia"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306</w:t>
            </w:r>
            <w:r>
              <w:rPr>
                <w:rFonts w:hint="eastAsia" w:hAnsi="宋体" w:eastAsia="宋体" w:cs="宋体"/>
                <w:color w:val="auto"/>
                <w:kern w:val="0"/>
                <w:sz w:val="21"/>
                <w:szCs w:val="21"/>
                <w:highlight w:val="none"/>
                <w:lang w:eastAsia="zh-CN"/>
              </w:rPr>
              <w:t>万元</w:t>
            </w:r>
          </w:p>
        </w:tc>
      </w:tr>
    </w:tbl>
    <w:p w14:paraId="4F47A9F7">
      <w:pPr>
        <w:tabs>
          <w:tab w:val="left" w:pos="1260"/>
        </w:tabs>
        <w:autoSpaceDE/>
        <w:autoSpaceDN/>
        <w:adjustRightInd/>
        <w:snapToGrid w:val="0"/>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本项目不接受联合体投标。</w:t>
      </w:r>
    </w:p>
    <w:p w14:paraId="58F5A1D6">
      <w:pPr>
        <w:adjustRightInd/>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申请人</w:t>
      </w:r>
      <w:r>
        <w:rPr>
          <w:rFonts w:hint="eastAsia" w:ascii="宋体" w:hAnsi="宋体" w:eastAsia="宋体" w:cs="宋体"/>
          <w:b/>
          <w:bCs/>
          <w:color w:val="auto"/>
          <w:sz w:val="21"/>
          <w:szCs w:val="21"/>
          <w:highlight w:val="none"/>
        </w:rPr>
        <w:t>的资格要求：</w:t>
      </w:r>
    </w:p>
    <w:p w14:paraId="229B8BF8">
      <w:pPr>
        <w:tabs>
          <w:tab w:val="left" w:pos="1260"/>
        </w:tabs>
        <w:snapToGrid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1815AC">
      <w:pPr>
        <w:tabs>
          <w:tab w:val="left" w:pos="1260"/>
        </w:tabs>
        <w:autoSpaceDE/>
        <w:autoSpaceDN/>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w:t>
      </w:r>
    </w:p>
    <w:p w14:paraId="77824EF6">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（1）落实政府采购政策需满足的资格要求：</w:t>
      </w:r>
    </w:p>
    <w:p w14:paraId="34EE929A">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无；</w:t>
      </w:r>
    </w:p>
    <w:p w14:paraId="44167897">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专门面向中小企业；</w:t>
      </w:r>
    </w:p>
    <w:p w14:paraId="025C13C0">
      <w:pPr>
        <w:snapToGrid w:val="0"/>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货物全部由符合政策要求的中小企业制造，提供中小企业声明函；</w:t>
      </w:r>
    </w:p>
    <w:p w14:paraId="6936BB2C">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☐货物全部由符合政策要求的小微企业制造，提供中小企业声明函；</w:t>
      </w:r>
    </w:p>
    <w:p w14:paraId="0C19785C">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工程全部由符合政策要求的中小企业承接，提供中小企业声明函；</w:t>
      </w:r>
    </w:p>
    <w:p w14:paraId="6E2BF953">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☐工程全部由符合政策要求的小微企业承接，提供中小企业声明函；</w:t>
      </w:r>
    </w:p>
    <w:p w14:paraId="7EE6D2F8">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服务全部由符合政策要求的中小企业承接，提供中小企业声明函；</w:t>
      </w:r>
    </w:p>
    <w:p w14:paraId="301A7680">
      <w:pPr>
        <w:spacing w:line="5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☐服务全部由符合政策要求的小微企业承接，提供中小企业声明函；</w:t>
      </w:r>
    </w:p>
    <w:p w14:paraId="211B21EE">
      <w:pPr>
        <w:tabs>
          <w:tab w:val="left" w:pos="1260"/>
        </w:tabs>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7A93B6E7">
      <w:pPr>
        <w:autoSpaceDE/>
        <w:autoSpaceDN/>
        <w:adjustRightInd/>
        <w:spacing w:line="500" w:lineRule="exact"/>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3.本项目的其它特定资格要求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p w14:paraId="3D9A91DE">
      <w:pPr>
        <w:spacing w:line="500" w:lineRule="exact"/>
        <w:ind w:firstLine="840" w:firstLineChars="400"/>
        <w:rPr>
          <w:rFonts w:hint="eastAsia"/>
          <w:color w:val="auto"/>
          <w:highlight w:val="none"/>
        </w:rPr>
      </w:pPr>
      <w:r>
        <w:rPr>
          <w:rFonts w:hint="eastAsia" w:ascii="宋体" w:hAnsi="宋体" w:eastAsia="宋体" w:cs="宋体"/>
          <w:color w:val="auto"/>
          <w:sz w:val="21"/>
          <w:szCs w:val="21"/>
          <w:highlight w:val="none"/>
        </w:rPr>
        <w:t>4.公益一类事业单位不属于政府购买服务的承接主体，不得参与本项目投标。</w:t>
      </w:r>
    </w:p>
    <w:p w14:paraId="236D916D">
      <w:pPr>
        <w:tabs>
          <w:tab w:val="left" w:pos="1260"/>
        </w:tabs>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三、供应商获取磋商文件（</w:t>
      </w:r>
      <w:r>
        <w:rPr>
          <w:rFonts w:hint="eastAsia" w:ascii="宋体" w:hAnsi="宋体" w:eastAsia="宋体" w:cs="宋体"/>
          <w:color w:val="auto"/>
          <w:sz w:val="21"/>
          <w:szCs w:val="21"/>
          <w:highlight w:val="none"/>
          <w:shd w:val="clear" w:color="auto" w:fill="FFFFFF"/>
        </w:rPr>
        <w:t>采购文件</w:t>
      </w:r>
      <w:r>
        <w:rPr>
          <w:rFonts w:hint="eastAsia" w:ascii="宋体" w:hAnsi="宋体" w:eastAsia="宋体" w:cs="宋体"/>
          <w:b/>
          <w:color w:val="auto"/>
          <w:sz w:val="21"/>
          <w:szCs w:val="21"/>
          <w:highlight w:val="none"/>
        </w:rPr>
        <w:t>）</w:t>
      </w:r>
    </w:p>
    <w:p w14:paraId="2B3F000B">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1.时间：本项目公告发布之日起至</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lang w:eastAsia="zh-CN"/>
        </w:rPr>
        <w:t>日</w:t>
      </w:r>
      <w:r>
        <w:rPr>
          <w:rFonts w:hint="eastAsia" w:ascii="宋体" w:hAnsi="宋体" w:eastAsia="宋体" w:cs="宋体"/>
          <w:color w:val="auto"/>
          <w:sz w:val="21"/>
          <w:szCs w:val="21"/>
          <w:highlight w:val="none"/>
        </w:rPr>
        <w:t>，每天上午 00:00至12:00 ，下午12:00至23:59（北京时间）</w:t>
      </w:r>
    </w:p>
    <w:p w14:paraId="3F26F646">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 采购文件获取地址及方式</w:t>
      </w:r>
    </w:p>
    <w:p w14:paraId="1034836C">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（1）获取地址（网址）：政采云平台线上获取（</w:t>
      </w:r>
      <w:r>
        <w:rPr>
          <w:rFonts w:hint="eastAsia" w:ascii="宋体" w:hAnsi="宋体" w:eastAsia="宋体" w:cs="宋体"/>
          <w:color w:val="auto"/>
          <w:sz w:val="21"/>
          <w:szCs w:val="21"/>
          <w:highlight w:val="none"/>
        </w:rPr>
        <w:t>https://www.zcygov.cn）</w:t>
      </w:r>
      <w:r>
        <w:rPr>
          <w:rFonts w:hint="eastAsia" w:ascii="宋体" w:hAnsi="宋体" w:eastAsia="宋体" w:cs="宋体"/>
          <w:color w:val="auto"/>
          <w:sz w:val="21"/>
          <w:szCs w:val="21"/>
          <w:highlight w:val="none"/>
          <w:shd w:val="clear" w:color="auto" w:fill="FFFFFF"/>
        </w:rPr>
        <w:t>。</w:t>
      </w:r>
    </w:p>
    <w:p w14:paraId="1B3FB52F">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（2）获取采购文件方式：供应商自行登录浙江省“政采云”平台（网址https://www.zcygov.cn）获取采购文件（供应商线上获取采购文件的流程：供应商</w:t>
      </w:r>
      <w:r>
        <w:rPr>
          <w:rFonts w:hint="eastAsia" w:ascii="宋体" w:hAnsi="宋体" w:eastAsia="宋体" w:cs="宋体"/>
          <w:color w:val="auto"/>
          <w:sz w:val="21"/>
          <w:szCs w:val="21"/>
          <w:highlight w:val="none"/>
          <w:shd w:val="clear" w:color="auto" w:fill="FFFFFF"/>
          <w:lang w:eastAsia="zh-CN"/>
        </w:rPr>
        <w:t>登录浙江省</w:t>
      </w:r>
      <w:r>
        <w:rPr>
          <w:rFonts w:hint="eastAsia" w:ascii="宋体" w:hAnsi="宋体" w:eastAsia="宋体" w:cs="宋体"/>
          <w:color w:val="auto"/>
          <w:sz w:val="21"/>
          <w:szCs w:val="21"/>
          <w:highlight w:val="none"/>
          <w:shd w:val="clear" w:color="auto" w:fill="FFFFFF"/>
        </w:rPr>
        <w:t>“政采云”平台并进入【项目采购】应用模块，点击左侧菜单的【获取采购文件】，点击对应项目的【申请获取采购文件】按钮，填写获取采购文件申请信息后，点右下角【确定】按钮提交）</w:t>
      </w:r>
    </w:p>
    <w:p w14:paraId="25044D61">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（3）售价（元）：  0 </w:t>
      </w:r>
    </w:p>
    <w:p w14:paraId="5E8439F1">
      <w:pPr>
        <w:spacing w:line="500" w:lineRule="exact"/>
        <w:ind w:firstLine="422" w:firstLineChars="200"/>
        <w:rPr>
          <w:rStyle w:val="50"/>
          <w:rFonts w:hint="eastAsia" w:ascii="宋体" w:hAnsi="宋体" w:eastAsia="宋体" w:cs="宋体"/>
          <w:bCs w:val="0"/>
          <w:color w:val="auto"/>
          <w:sz w:val="21"/>
          <w:szCs w:val="21"/>
          <w:highlight w:val="none"/>
        </w:rPr>
      </w:pPr>
      <w:r>
        <w:rPr>
          <w:rStyle w:val="50"/>
          <w:rFonts w:hint="eastAsia" w:ascii="宋体" w:hAnsi="宋体" w:eastAsia="宋体" w:cs="宋体"/>
          <w:color w:val="auto"/>
          <w:sz w:val="21"/>
          <w:szCs w:val="21"/>
          <w:highlight w:val="none"/>
        </w:rPr>
        <w:t>注：（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7C5069AE">
      <w:pPr>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rPr>
      </w:pPr>
      <w:r>
        <w:rPr>
          <w:rStyle w:val="50"/>
          <w:rFonts w:hint="eastAsia" w:ascii="宋体" w:hAnsi="宋体" w:eastAsia="宋体" w:cs="宋体"/>
          <w:color w:val="auto"/>
          <w:sz w:val="21"/>
          <w:szCs w:val="21"/>
          <w:highlight w:val="none"/>
        </w:rPr>
        <w:t>（2）采购代理机构将拒绝接受非报名人的投标文件（即“磋商响应文件”，下同）。</w:t>
      </w:r>
    </w:p>
    <w:p w14:paraId="0F35B695">
      <w:pPr>
        <w:tabs>
          <w:tab w:val="left" w:pos="1260"/>
        </w:tabs>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41" w:name="_Toc28359082"/>
      <w:bookmarkStart w:id="42" w:name="_Toc28359005"/>
      <w:bookmarkStart w:id="43" w:name="_Toc35393793"/>
      <w:bookmarkStart w:id="44" w:name="_Toc35393624"/>
      <w:r>
        <w:rPr>
          <w:rFonts w:hint="eastAsia" w:ascii="宋体" w:hAnsi="宋体" w:eastAsia="宋体" w:cs="宋体"/>
          <w:b/>
          <w:color w:val="auto"/>
          <w:sz w:val="21"/>
          <w:szCs w:val="21"/>
          <w:highlight w:val="none"/>
        </w:rPr>
        <w:t>四、提交磋商响应文件</w:t>
      </w:r>
      <w:bookmarkEnd w:id="41"/>
      <w:bookmarkEnd w:id="42"/>
      <w:r>
        <w:rPr>
          <w:rFonts w:hint="eastAsia" w:ascii="宋体" w:hAnsi="宋体" w:eastAsia="宋体" w:cs="宋体"/>
          <w:b/>
          <w:color w:val="auto"/>
          <w:sz w:val="21"/>
          <w:szCs w:val="21"/>
          <w:highlight w:val="none"/>
        </w:rPr>
        <w:t>截止时间、开启时间和地点</w:t>
      </w:r>
      <w:bookmarkEnd w:id="43"/>
      <w:bookmarkEnd w:id="44"/>
    </w:p>
    <w:p w14:paraId="58EC2337">
      <w:pPr>
        <w:tabs>
          <w:tab w:val="left" w:pos="1260"/>
        </w:tabs>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1.提交磋商响应文件截止时间：</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11</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09：30</w:t>
      </w:r>
      <w:r>
        <w:rPr>
          <w:rFonts w:hint="eastAsia" w:ascii="宋体" w:hAnsi="宋体" w:eastAsia="宋体" w:cs="宋体"/>
          <w:color w:val="auto"/>
          <w:sz w:val="21"/>
          <w:szCs w:val="21"/>
          <w:highlight w:val="none"/>
        </w:rPr>
        <w:t>时（北京时间）</w:t>
      </w:r>
    </w:p>
    <w:p w14:paraId="315E3D87">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投标地点（网址）：通过浙江政府采购网政府采购云平台实行在线投标响应（即“在线磋商响应”）。</w:t>
      </w:r>
    </w:p>
    <w:p w14:paraId="569C1C5F">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开</w:t>
      </w:r>
      <w:r>
        <w:rPr>
          <w:rFonts w:hint="eastAsia" w:ascii="宋体" w:hAnsi="宋体" w:eastAsia="宋体" w:cs="宋体"/>
          <w:color w:val="auto"/>
          <w:sz w:val="21"/>
          <w:szCs w:val="21"/>
          <w:highlight w:val="none"/>
        </w:rPr>
        <w:t>启</w:t>
      </w:r>
      <w:r>
        <w:rPr>
          <w:rFonts w:hint="eastAsia" w:ascii="宋体" w:hAnsi="宋体" w:eastAsia="宋体" w:cs="宋体"/>
          <w:color w:val="auto"/>
          <w:sz w:val="21"/>
          <w:szCs w:val="21"/>
          <w:highlight w:val="none"/>
          <w:shd w:val="clear" w:color="auto" w:fill="FFFFFF"/>
        </w:rPr>
        <w:t>时间：</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11</w:t>
      </w:r>
      <w:r>
        <w:rPr>
          <w:rFonts w:hint="eastAsia" w:cs="宋体"/>
          <w:color w:val="auto"/>
          <w:sz w:val="21"/>
          <w:szCs w:val="21"/>
          <w:highlight w:val="none"/>
          <w:lang w:eastAsia="zh-CN"/>
        </w:rPr>
        <w:t>日</w:t>
      </w:r>
      <w:r>
        <w:rPr>
          <w:rFonts w:hint="eastAsia" w:cs="宋体"/>
          <w:color w:val="auto"/>
          <w:sz w:val="21"/>
          <w:szCs w:val="21"/>
          <w:highlight w:val="none"/>
          <w:lang w:val="en-US" w:eastAsia="zh-CN"/>
        </w:rPr>
        <w:t>09：30</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shd w:val="clear" w:color="auto" w:fill="FFFFFF"/>
        </w:rPr>
        <w:t>（北京时间）</w:t>
      </w:r>
    </w:p>
    <w:p w14:paraId="434DA47F">
      <w:pPr>
        <w:pStyle w:val="43"/>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开</w:t>
      </w:r>
      <w:r>
        <w:rPr>
          <w:rFonts w:hint="eastAsia" w:ascii="宋体" w:hAnsi="宋体" w:eastAsia="宋体" w:cs="宋体"/>
          <w:color w:val="auto"/>
          <w:sz w:val="21"/>
          <w:szCs w:val="21"/>
          <w:highlight w:val="none"/>
        </w:rPr>
        <w:t>启</w:t>
      </w:r>
      <w:r>
        <w:rPr>
          <w:rFonts w:hint="eastAsia" w:ascii="宋体" w:hAnsi="宋体" w:eastAsia="宋体" w:cs="宋体"/>
          <w:color w:val="auto"/>
          <w:sz w:val="21"/>
          <w:szCs w:val="21"/>
          <w:highlight w:val="none"/>
          <w:shd w:val="clear" w:color="auto" w:fill="FFFFFF"/>
        </w:rPr>
        <w:t>地点（网址）：</w:t>
      </w:r>
      <w:r>
        <w:rPr>
          <w:rFonts w:hint="eastAsia" w:ascii="宋体" w:hAnsi="宋体" w:eastAsia="宋体" w:cs="宋体"/>
          <w:color w:val="auto"/>
          <w:sz w:val="21"/>
          <w:szCs w:val="21"/>
          <w:highlight w:val="none"/>
        </w:rPr>
        <w:t>金华市双龙南街858号金华财富大厦（金华市行政服务中心新办事大厅4楼开标</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室），本项目</w:t>
      </w:r>
      <w:r>
        <w:rPr>
          <w:rFonts w:hint="eastAsia" w:ascii="宋体" w:hAnsi="宋体" w:eastAsia="宋体" w:cs="宋体"/>
          <w:color w:val="auto"/>
          <w:sz w:val="21"/>
          <w:szCs w:val="21"/>
          <w:highlight w:val="none"/>
          <w:shd w:val="clear" w:color="auto" w:fill="FFFFFF"/>
        </w:rPr>
        <w:t>通过浙江政府采购网政府采</w:t>
      </w:r>
      <w:r>
        <w:rPr>
          <w:rFonts w:hint="eastAsia" w:ascii="宋体" w:hAnsi="宋体" w:eastAsia="宋体" w:cs="宋体"/>
          <w:color w:val="auto"/>
          <w:sz w:val="21"/>
          <w:szCs w:val="21"/>
          <w:highlight w:val="none"/>
        </w:rPr>
        <w:t>购云平台在线开标，</w:t>
      </w:r>
      <w:r>
        <w:rPr>
          <w:rStyle w:val="50"/>
          <w:rFonts w:hint="eastAsia" w:ascii="宋体" w:hAnsi="宋体" w:eastAsia="宋体" w:cs="宋体"/>
          <w:b w:val="0"/>
          <w:bCs w:val="0"/>
          <w:color w:val="auto"/>
          <w:sz w:val="21"/>
          <w:szCs w:val="21"/>
          <w:highlight w:val="none"/>
        </w:rPr>
        <w:t>供应商无需到开标现场，但须准时在线参加，直至评审结束。</w:t>
      </w:r>
      <w:r>
        <w:rPr>
          <w:rFonts w:hint="eastAsia" w:ascii="宋体" w:hAnsi="宋体" w:eastAsia="宋体" w:cs="宋体"/>
          <w:color w:val="auto"/>
          <w:sz w:val="21"/>
          <w:szCs w:val="21"/>
          <w:highlight w:val="none"/>
        </w:rPr>
        <w:t>开标截止时间后30分钟以内供应商登录“政采云”平台，用“项目采购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开标评标”功能进行解密投标文件。若供应商在规定时间内投标文件无法解密或解密失败（含未提交），则投标无效。</w:t>
      </w:r>
    </w:p>
    <w:p w14:paraId="4A771CEF">
      <w:pPr>
        <w:pStyle w:val="43"/>
        <w:spacing w:before="0" w:beforeAutospacing="0" w:after="0" w:afterAutospacing="0" w:line="500" w:lineRule="exact"/>
        <w:ind w:firstLine="422" w:firstLineChars="200"/>
        <w:jc w:val="both"/>
        <w:rPr>
          <w:rFonts w:hint="eastAsia" w:ascii="宋体" w:hAnsi="宋体" w:eastAsia="宋体" w:cs="宋体"/>
          <w:color w:val="auto"/>
          <w:sz w:val="21"/>
          <w:szCs w:val="21"/>
          <w:highlight w:val="none"/>
        </w:rPr>
      </w:pPr>
      <w:bookmarkStart w:id="45" w:name="_Toc28359084"/>
      <w:bookmarkStart w:id="46" w:name="_Toc35393625"/>
      <w:bookmarkStart w:id="47" w:name="_Toc35393794"/>
      <w:bookmarkStart w:id="48" w:name="_Toc28359007"/>
      <w:r>
        <w:rPr>
          <w:rStyle w:val="50"/>
          <w:rFonts w:hint="eastAsia" w:ascii="宋体" w:hAnsi="宋体" w:eastAsia="宋体" w:cs="宋体"/>
          <w:color w:val="auto"/>
          <w:sz w:val="21"/>
          <w:szCs w:val="21"/>
          <w:highlight w:val="none"/>
          <w:shd w:val="clear" w:color="auto" w:fill="FFFFFF"/>
        </w:rPr>
        <w:t>五、公告期限及其他事项</w:t>
      </w:r>
    </w:p>
    <w:p w14:paraId="131695D4">
      <w:pPr>
        <w:tabs>
          <w:tab w:val="left" w:pos="1260"/>
        </w:tabs>
        <w:autoSpaceDE/>
        <w:autoSpaceDN/>
        <w:adjustRightInd/>
        <w:spacing w:line="500" w:lineRule="exact"/>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认为采购文件使自己的权益受到损害的，可以自收到采购文件之日（获取采购文件截止日之后收到采购文件的，以获取截止日为准）或者采购文件公告期限届满之日（即为采购公告发布后的第6个工作日）起7个工作日内，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和采购代理机构提出质疑。质疑供应商对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、采购代理机构的答复不满意或者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02B32EEC">
      <w:pPr>
        <w:tabs>
          <w:tab w:val="left" w:pos="1260"/>
        </w:tabs>
        <w:autoSpaceDE/>
        <w:autoSpaceDN/>
        <w:adjustRightInd/>
        <w:spacing w:line="500" w:lineRule="exact"/>
        <w:ind w:firstLine="420" w:firstLineChars="200"/>
        <w:jc w:val="both"/>
        <w:textAlignment w:val="auto"/>
        <w:rPr>
          <w:rStyle w:val="50"/>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2.根据《浙江省政府采购供应商注册及诚信管理暂行办法》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浙财采监【2009】28号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文件，请各投标供应商及时办理浙江政府采购网“政府采购供应商注册”手续。如</w:t>
      </w:r>
      <w:r>
        <w:rPr>
          <w:rFonts w:hint="eastAsia"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供应商未在浙江省政府采购网正式注册入库的，采购代理机构将暂缓发出</w:t>
      </w:r>
      <w:r>
        <w:rPr>
          <w:rFonts w:hint="eastAsia"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通知书，因此造成的后果由该供应商承担。</w:t>
      </w:r>
    </w:p>
    <w:p w14:paraId="008EB165">
      <w:pPr>
        <w:spacing w:line="500" w:lineRule="exact"/>
        <w:ind w:firstLine="420" w:firstLineChars="200"/>
        <w:jc w:val="both"/>
        <w:rPr>
          <w:rFonts w:hint="eastAsia" w:ascii="宋体" w:hAnsi="宋体" w:eastAsia="宋体" w:cs="宋体"/>
          <w:color w:val="auto"/>
          <w:sz w:val="21"/>
          <w:szCs w:val="21"/>
          <w:highlight w:val="none"/>
        </w:rPr>
      </w:pPr>
      <w:r>
        <w:rPr>
          <w:rStyle w:val="50"/>
          <w:rFonts w:hint="eastAsia" w:ascii="宋体" w:hAnsi="宋体" w:eastAsia="宋体" w:cs="宋体"/>
          <w:b w:val="0"/>
          <w:bCs w:val="0"/>
          <w:color w:val="auto"/>
          <w:sz w:val="21"/>
          <w:szCs w:val="21"/>
          <w:highlight w:val="none"/>
        </w:rPr>
        <w:t>3.供</w:t>
      </w:r>
      <w:r>
        <w:rPr>
          <w:rFonts w:hint="eastAsia" w:ascii="宋体" w:hAnsi="宋体" w:eastAsia="宋体" w:cs="宋体"/>
          <w:color w:val="auto"/>
          <w:sz w:val="21"/>
          <w:szCs w:val="21"/>
          <w:highlight w:val="none"/>
        </w:rPr>
        <w:t>应商注册网址：</w:t>
      </w:r>
      <w:r>
        <w:rPr>
          <w:rFonts w:hint="eastAsia" w:ascii="宋体" w:hAnsi="宋体" w:eastAsia="宋体" w:cs="宋体"/>
          <w:color w:val="auto"/>
          <w:kern w:val="2"/>
          <w:sz w:val="21"/>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"https://middle.zcygov.cn/settle-front/" \l "/registry"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https://middle.zcygov.cn/settle-front/#/registry</w:t>
      </w:r>
      <w:r>
        <w:rPr>
          <w:rFonts w:hint="eastAsia" w:ascii="宋体" w:hAnsi="宋体" w:eastAsia="宋体" w:cs="宋体"/>
          <w:color w:val="auto"/>
          <w:sz w:val="21"/>
          <w:szCs w:val="21"/>
          <w:highlight w:val="none"/>
        </w:rPr>
        <w:fldChar w:fldCharType="end"/>
      </w:r>
    </w:p>
    <w:p w14:paraId="7A15B5ED">
      <w:pPr>
        <w:tabs>
          <w:tab w:val="left" w:pos="1260"/>
        </w:tabs>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rPr>
        <w:t>六、公告地址：</w:t>
      </w: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http://zfcg.czt.zj.gov.cn/)。</w:t>
      </w:r>
    </w:p>
    <w:p w14:paraId="440F9B5E">
      <w:pPr>
        <w:pStyle w:val="43"/>
        <w:spacing w:before="0" w:beforeAutospacing="0" w:after="0" w:afterAutospacing="0" w:line="500" w:lineRule="exact"/>
        <w:ind w:firstLine="422" w:firstLineChars="200"/>
        <w:rPr>
          <w:rFonts w:hint="eastAsia" w:ascii="宋体" w:hAnsi="宋体" w:eastAsia="宋体" w:cs="宋体"/>
          <w:color w:val="auto"/>
          <w:sz w:val="21"/>
          <w:szCs w:val="21"/>
          <w:highlight w:val="none"/>
        </w:rPr>
      </w:pPr>
      <w:r>
        <w:rPr>
          <w:rStyle w:val="50"/>
          <w:rFonts w:hint="eastAsia" w:ascii="宋体" w:hAnsi="宋体" w:eastAsia="宋体" w:cs="宋体"/>
          <w:color w:val="auto"/>
          <w:sz w:val="21"/>
          <w:szCs w:val="21"/>
          <w:highlight w:val="none"/>
          <w:shd w:val="clear" w:color="auto" w:fill="FFFFFF"/>
        </w:rPr>
        <w:t>七、电子投标事项特别说明</w:t>
      </w:r>
    </w:p>
    <w:p w14:paraId="1E52A5AB">
      <w:pPr>
        <w:pStyle w:val="43"/>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本项目实行电子投标，磋商响应供应商应按照本项目采购文件和政采云平台的要求编制、加密并递交响应文件。供应商在使用系统进行磋商响应的过程中遇到涉及平台使用的任何问题，可致电政采云平台技术支持热线咨询，联系方式：95763。</w:t>
      </w:r>
    </w:p>
    <w:p w14:paraId="6E33E8F2">
      <w:pPr>
        <w:pStyle w:val="43"/>
        <w:widowControl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2.供应商应在开标前完成 CA 数字证书办理。（办理流程详见http://zfcg.czt.zj.gov.cn/bidClientTemplate/2019-05-27/12945.html）。完成 CA 数字证书办理预计一周左右，建议各供应商抓紧时间办理。</w:t>
      </w:r>
    </w:p>
    <w:p w14:paraId="5FD5A774">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3.供应商通过政采云平台“电子交易客户端”制作响应文件，电子投标工具请供应商自行前往浙江省政府采购网下载并安装，（下载网址： http://zfcg.czt.zj.gov.cn/bidClientTemplate/2019-05-27/12946.html）。</w:t>
      </w:r>
    </w:p>
    <w:p w14:paraId="1C098C53">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4.供应商将加密的电子版响应文件于磋商响应截止时间前上传到政采云系统中。</w:t>
      </w:r>
    </w:p>
    <w:p w14:paraId="67500E98">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424F36C0">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注：建议使用谷歌浏览器，使用其他浏览器可能发生无法解密等未知情况。</w:t>
      </w:r>
    </w:p>
    <w:p w14:paraId="6083A0CE">
      <w:pPr>
        <w:pStyle w:val="43"/>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送达的磋商响应、响应文件，将被政采云平台拒收。</w:t>
      </w:r>
      <w:bookmarkEnd w:id="45"/>
      <w:bookmarkEnd w:id="46"/>
      <w:bookmarkEnd w:id="47"/>
      <w:bookmarkEnd w:id="48"/>
    </w:p>
    <w:p w14:paraId="453F7141">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八、其他补充事宜</w:t>
      </w:r>
    </w:p>
    <w:p w14:paraId="2ED676C4">
      <w:pPr>
        <w:tabs>
          <w:tab w:val="left" w:pos="1260"/>
        </w:tabs>
        <w:adjustRightInd/>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F6CC892">
      <w:pPr>
        <w:tabs>
          <w:tab w:val="left" w:pos="1260"/>
        </w:tabs>
        <w:autoSpaceDE/>
        <w:autoSpaceDN/>
        <w:adjustRightInd/>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询问质疑投诉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询问列表；鼓励供应商在线提起质疑，路径为：政采云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询问质疑投诉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质疑列表。质疑供应商对在线质疑答复不满意的，可在线提起投诉，路径为：浙江政府服务网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政府采购投诉处理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在线办理。</w:t>
      </w:r>
    </w:p>
    <w:p w14:paraId="347040E3">
      <w:pPr>
        <w:pStyle w:val="43"/>
        <w:snapToGrid w:val="0"/>
        <w:spacing w:before="0" w:beforeAutospacing="0" w:after="0" w:afterAutospacing="0" w:line="500" w:lineRule="exact"/>
        <w:ind w:firstLine="420" w:firstLineChars="200"/>
        <w:rPr>
          <w:rStyle w:val="50"/>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提出质疑，对其他内容的以书面形式向</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和采购代理机构提出质疑。质疑供应商对</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、采购代理机构的答复不满意或者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0078B915">
      <w:pPr>
        <w:tabs>
          <w:tab w:val="left" w:pos="1260"/>
        </w:tabs>
        <w:adjustRightInd/>
        <w:spacing w:line="500" w:lineRule="exact"/>
        <w:ind w:firstLine="42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4.其他事项：见磋商采购文件。 </w:t>
      </w:r>
    </w:p>
    <w:p w14:paraId="1D3142B3">
      <w:pPr>
        <w:tabs>
          <w:tab w:val="left" w:pos="1260"/>
        </w:tabs>
        <w:adjustRightInd/>
        <w:spacing w:line="500" w:lineRule="exact"/>
        <w:ind w:firstLine="42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5.企业信用融资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省财政厅、浙江银监局、省金融办制定了《浙江省政府采购支持中小企业信用融资试点办法》浙财采监[2012]13号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，所称的政府采购信用融资，是指银行业金融机构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以下简称银行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以政府采购诚信考核和信用审查为基础，凭借政府采购合同，按优于一般中小企业的贷款利率直接向申请贷款的供应商发放贷款的一种融资方式。供应商</w:t>
      </w:r>
      <w:r>
        <w:rPr>
          <w:rFonts w:hint="eastAsia" w:ascii="宋体" w:hAnsi="宋体" w:eastAsia="宋体" w:cs="宋体"/>
          <w:bCs/>
          <w:color w:val="auto"/>
          <w:sz w:val="21"/>
          <w:szCs w:val="21"/>
          <w:highlight w:val="none"/>
          <w:lang w:eastAsia="zh-CN"/>
        </w:rPr>
        <w:t>可登录</w:t>
      </w:r>
      <w:r>
        <w:rPr>
          <w:rFonts w:hint="eastAsia" w:ascii="宋体" w:hAnsi="宋体" w:eastAsia="宋体" w:cs="宋体"/>
          <w:bCs/>
          <w:color w:val="auto"/>
          <w:sz w:val="21"/>
          <w:szCs w:val="21"/>
          <w:highlight w:val="none"/>
        </w:rPr>
        <w:t>浙江政府采购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https://zfcg. czt.zj. 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的中小企业信用融资栏目了解相关信息。供应商可以通过浙江政府采购网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https://zfcg. czt.zj. 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首页的“政采云金融服务”模块进入申请，还可以通过政府采购云平台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https://www.zcygov.cn/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首页的“金融服务”模块进入申请。</w:t>
      </w:r>
    </w:p>
    <w:p w14:paraId="5A0FE1C1">
      <w:pPr>
        <w:widowControl/>
        <w:tabs>
          <w:tab w:val="left" w:pos="1260"/>
        </w:tabs>
        <w:autoSpaceDE/>
        <w:autoSpaceDN/>
        <w:adjustRightInd/>
        <w:spacing w:line="500" w:lineRule="exact"/>
        <w:ind w:firstLine="42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F6BB45F">
      <w:pPr>
        <w:widowControl/>
        <w:tabs>
          <w:tab w:val="left" w:pos="1260"/>
        </w:tabs>
        <w:autoSpaceDE/>
        <w:autoSpaceDN/>
        <w:adjustRightInd/>
        <w:spacing w:line="500" w:lineRule="exact"/>
        <w:ind w:firstLine="42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政府采购金融服务提示：</w:t>
      </w:r>
    </w:p>
    <w:p w14:paraId="7FFB1ED1">
      <w:pPr>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为扩大政府采购金融服务面，除政采云网上金融服务合作银行外，金华市范围增加线下合作银行两家，具体信息如下：</w:t>
      </w:r>
    </w:p>
    <w:p w14:paraId="7B25BE12">
      <w:pPr>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金华银行文创支行   联系人：姜  峰   联系电话： 13905792828   0579-82479020</w:t>
      </w:r>
    </w:p>
    <w:p w14:paraId="4FF3D94F">
      <w:pPr>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浙商银行金华分行   联系人：朱晨祥   联系电话： 15857978811   0579-82999581</w:t>
      </w:r>
    </w:p>
    <w:p w14:paraId="6F39046E">
      <w:pPr>
        <w:pStyle w:val="101"/>
        <w:spacing w:line="460" w:lineRule="exact"/>
        <w:ind w:firstLine="42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九、对本次采购提出询问、质疑、投诉，请按以下方式联系。</w:t>
      </w:r>
      <w:r>
        <w:rPr>
          <w:rFonts w:hint="eastAsia" w:ascii="宋体" w:hAnsi="宋体" w:eastAsia="宋体" w:cs="宋体"/>
          <w:color w:val="auto"/>
          <w:sz w:val="21"/>
          <w:szCs w:val="21"/>
          <w:highlight w:val="none"/>
        </w:rPr>
        <w:t>　　　　　　　　　　　　</w:t>
      </w:r>
    </w:p>
    <w:p w14:paraId="2F3525B6">
      <w:pPr>
        <w:pStyle w:val="43"/>
        <w:shd w:val="clear" w:color="auto" w:fill="FFFFFF"/>
        <w:adjustRightInd w:val="0"/>
        <w:snapToGrid w:val="0"/>
        <w:spacing w:before="0" w:beforeAutospacing="0" w:after="0" w:afterAutospacing="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信息</w:t>
      </w:r>
    </w:p>
    <w:p w14:paraId="107B1BE9">
      <w:pPr>
        <w:pStyle w:val="43"/>
        <w:shd w:val="clear" w:color="auto" w:fill="FFFFFF"/>
        <w:adjustRightInd w:val="0"/>
        <w:snapToGrid w:val="0"/>
        <w:spacing w:before="0" w:beforeAutospacing="0" w:after="0" w:afterAutospacing="0" w:line="460" w:lineRule="exac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名称：</w:t>
      </w:r>
      <w:r>
        <w:rPr>
          <w:rFonts w:hint="eastAsia" w:cs="宋体"/>
          <w:color w:val="auto"/>
          <w:kern w:val="2"/>
          <w:sz w:val="21"/>
          <w:szCs w:val="21"/>
          <w:highlight w:val="none"/>
          <w:lang w:eastAsia="zh-CN"/>
        </w:rPr>
        <w:t>金华市体育局</w:t>
      </w:r>
    </w:p>
    <w:p w14:paraId="6A19B5AD">
      <w:pPr>
        <w:spacing w:line="500" w:lineRule="exact"/>
        <w:ind w:firstLine="420" w:firstLineChars="200"/>
        <w:rPr>
          <w:rFonts w:hint="eastAsia" w:hAnsi="宋体" w:eastAsia="宋体" w:cs="宋体"/>
          <w:color w:val="auto"/>
          <w:sz w:val="21"/>
          <w:szCs w:val="21"/>
          <w:highlight w:val="none"/>
          <w:lang w:eastAsia="zh-CN"/>
        </w:rPr>
      </w:pPr>
      <w:r>
        <w:rPr>
          <w:rFonts w:hint="eastAsia" w:ascii="宋体" w:cs="宋体"/>
          <w:color w:val="auto"/>
          <w:sz w:val="21"/>
          <w:szCs w:val="21"/>
          <w:highlight w:val="none"/>
        </w:rPr>
        <w:t>地址：</w:t>
      </w:r>
      <w:r>
        <w:rPr>
          <w:rFonts w:hint="eastAsia" w:cs="宋体"/>
          <w:color w:val="auto"/>
          <w:sz w:val="21"/>
          <w:szCs w:val="21"/>
          <w:highlight w:val="none"/>
          <w:lang w:eastAsia="zh-CN"/>
        </w:rPr>
        <w:t>金华市婺城区创新街9号</w:t>
      </w:r>
    </w:p>
    <w:p w14:paraId="1FE0F793">
      <w:pPr>
        <w:spacing w:line="500" w:lineRule="exact"/>
        <w:ind w:firstLine="420" w:firstLineChars="200"/>
        <w:rPr>
          <w:rFonts w:hint="eastAsia" w:hAnsi="Times New Roman" w:cs="宋体"/>
          <w:color w:val="auto"/>
          <w:sz w:val="21"/>
          <w:szCs w:val="21"/>
          <w:highlight w:val="none"/>
        </w:rPr>
      </w:pPr>
      <w:r>
        <w:rPr>
          <w:rFonts w:hint="eastAsia" w:hAnsi="Times New Roman" w:cs="宋体"/>
          <w:color w:val="auto"/>
          <w:sz w:val="21"/>
          <w:szCs w:val="21"/>
          <w:highlight w:val="none"/>
        </w:rPr>
        <w:t>联系人：</w:t>
      </w:r>
      <w:r>
        <w:rPr>
          <w:rFonts w:hint="eastAsia" w:hAnsi="Times New Roman" w:cs="宋体"/>
          <w:color w:val="auto"/>
          <w:sz w:val="21"/>
          <w:szCs w:val="21"/>
          <w:highlight w:val="none"/>
          <w:lang w:val="en-US" w:eastAsia="zh-CN"/>
        </w:rPr>
        <w:t xml:space="preserve"> 唐</w:t>
      </w:r>
      <w:r>
        <w:rPr>
          <w:rFonts w:hint="eastAsia" w:cs="宋体"/>
          <w:color w:val="auto"/>
          <w:sz w:val="21"/>
          <w:szCs w:val="21"/>
          <w:highlight w:val="none"/>
          <w:lang w:val="en-US" w:eastAsia="zh-CN"/>
        </w:rPr>
        <w:t>先生</w:t>
      </w:r>
      <w:r>
        <w:rPr>
          <w:rFonts w:hint="eastAsia" w:hAnsi="Times New Roman" w:cs="宋体"/>
          <w:color w:val="auto"/>
          <w:sz w:val="21"/>
          <w:szCs w:val="21"/>
          <w:highlight w:val="none"/>
        </w:rPr>
        <w:t xml:space="preserve">     </w:t>
      </w:r>
    </w:p>
    <w:p w14:paraId="1E7113E6">
      <w:pPr>
        <w:spacing w:line="500" w:lineRule="exact"/>
        <w:ind w:firstLine="420" w:firstLineChars="200"/>
        <w:rPr>
          <w:rFonts w:hint="eastAsia" w:hAnsi="Times New Roman" w:eastAsia="宋体" w:cs="宋体"/>
          <w:color w:val="auto"/>
          <w:sz w:val="21"/>
          <w:szCs w:val="21"/>
          <w:highlight w:val="none"/>
          <w:lang w:val="en-US" w:eastAsia="zh-CN"/>
        </w:rPr>
      </w:pPr>
      <w:r>
        <w:rPr>
          <w:rFonts w:hint="eastAsia" w:hAnsi="Times New Roman" w:cs="宋体"/>
          <w:color w:val="auto"/>
          <w:sz w:val="21"/>
          <w:szCs w:val="21"/>
          <w:highlight w:val="none"/>
        </w:rPr>
        <w:t>联系电话：0579-</w:t>
      </w:r>
      <w:r>
        <w:rPr>
          <w:rFonts w:hint="eastAsia" w:hAnsi="Times New Roman" w:cs="宋体"/>
          <w:color w:val="auto"/>
          <w:sz w:val="21"/>
          <w:szCs w:val="21"/>
          <w:highlight w:val="none"/>
          <w:lang w:val="en-US" w:eastAsia="zh-CN"/>
        </w:rPr>
        <w:t>82467887</w:t>
      </w:r>
      <w:r>
        <w:rPr>
          <w:rFonts w:hint="eastAsia" w:hAnsi="Times New Roman" w:cs="宋体"/>
          <w:color w:val="auto"/>
          <w:sz w:val="21"/>
          <w:szCs w:val="21"/>
          <w:highlight w:val="none"/>
        </w:rPr>
        <w:t xml:space="preserve"> </w:t>
      </w:r>
      <w:r>
        <w:rPr>
          <w:rFonts w:hint="eastAsia" w:hAnsi="Times New Roman" w:cs="宋体"/>
          <w:color w:val="auto"/>
          <w:sz w:val="21"/>
          <w:szCs w:val="21"/>
          <w:highlight w:val="none"/>
          <w:lang w:val="en-US" w:eastAsia="zh-CN"/>
        </w:rPr>
        <w:t xml:space="preserve"> </w:t>
      </w:r>
    </w:p>
    <w:p w14:paraId="2E3AEC97">
      <w:pPr>
        <w:keepNext w:val="0"/>
        <w:keepLines w:val="0"/>
        <w:pageBreakBefore w:val="0"/>
        <w:kinsoku/>
        <w:wordWrap/>
        <w:overflowPunct/>
        <w:topLinePunct w:val="0"/>
        <w:autoSpaceDE/>
        <w:autoSpaceDN/>
        <w:bidi w:val="0"/>
        <w:adjustRightInd/>
        <w:snapToGrid/>
        <w:spacing w:line="500" w:lineRule="exact"/>
        <w:ind w:firstLine="420" w:firstLineChars="200"/>
        <w:jc w:val="left"/>
        <w:textAlignment w:val="auto"/>
        <w:rPr>
          <w:rFonts w:hint="eastAsia" w:hAnsi="Times New Roman" w:cs="宋体"/>
          <w:color w:val="auto"/>
          <w:sz w:val="21"/>
          <w:szCs w:val="21"/>
          <w:highlight w:val="none"/>
        </w:rPr>
      </w:pPr>
      <w:r>
        <w:rPr>
          <w:rFonts w:hint="eastAsia" w:hAnsi="Times New Roman" w:cs="宋体"/>
          <w:color w:val="auto"/>
          <w:sz w:val="21"/>
          <w:szCs w:val="21"/>
          <w:highlight w:val="none"/>
        </w:rPr>
        <w:t>质疑联系人：</w:t>
      </w:r>
      <w:r>
        <w:rPr>
          <w:rFonts w:hint="eastAsia" w:hAnsi="宋体" w:eastAsia="宋体" w:cs="宋体"/>
          <w:color w:val="auto"/>
          <w:sz w:val="21"/>
          <w:szCs w:val="21"/>
          <w:highlight w:val="none"/>
          <w:lang w:val="en-US" w:eastAsia="zh-CN"/>
        </w:rPr>
        <w:t>甘先生</w:t>
      </w:r>
      <w:r>
        <w:rPr>
          <w:rFonts w:hint="eastAsia" w:hAnsi="Times New Roman" w:cs="宋体"/>
          <w:color w:val="auto"/>
          <w:sz w:val="21"/>
          <w:szCs w:val="21"/>
          <w:highlight w:val="none"/>
          <w:lang w:val="en-US" w:eastAsia="zh-CN"/>
        </w:rPr>
        <w:t xml:space="preserve"> </w:t>
      </w:r>
      <w:r>
        <w:rPr>
          <w:rFonts w:hint="eastAsia" w:hAnsi="Times New Roman" w:cs="宋体"/>
          <w:color w:val="auto"/>
          <w:sz w:val="21"/>
          <w:szCs w:val="21"/>
          <w:highlight w:val="none"/>
        </w:rPr>
        <w:t xml:space="preserve">  </w:t>
      </w:r>
    </w:p>
    <w:p w14:paraId="0D122673">
      <w:pPr>
        <w:autoSpaceDE/>
        <w:autoSpaceDN/>
        <w:adjustRightInd/>
        <w:snapToGrid/>
        <w:spacing w:line="500" w:lineRule="exact"/>
        <w:ind w:firstLine="420" w:firstLineChars="200"/>
        <w:jc w:val="left"/>
        <w:rPr>
          <w:rFonts w:hint="eastAsia" w:hAnsi="Times New Roman" w:eastAsia="宋体" w:cs="宋体"/>
          <w:b w:val="0"/>
          <w:color w:val="auto"/>
          <w:sz w:val="21"/>
          <w:szCs w:val="21"/>
          <w:highlight w:val="none"/>
        </w:rPr>
      </w:pPr>
      <w:r>
        <w:rPr>
          <w:rFonts w:hint="eastAsia" w:hAnsi="Times New Roman" w:cs="宋体"/>
          <w:color w:val="auto"/>
          <w:sz w:val="21"/>
          <w:szCs w:val="21"/>
          <w:highlight w:val="none"/>
        </w:rPr>
        <w:t>质疑联系电话：</w:t>
      </w:r>
      <w:r>
        <w:rPr>
          <w:rFonts w:hint="eastAsia" w:ascii="宋体" w:hAnsi="宋体" w:eastAsia="宋体" w:cs="宋体"/>
          <w:color w:val="auto"/>
          <w:sz w:val="21"/>
          <w:szCs w:val="21"/>
          <w:highlight w:val="none"/>
          <w:lang w:val="en-US" w:eastAsia="zh-CN"/>
        </w:rPr>
        <w:t>0579-82465887</w:t>
      </w:r>
      <w:r>
        <w:rPr>
          <w:rFonts w:hint="eastAsia" w:hAnsi="Times New Roman" w:cs="宋体"/>
          <w:color w:val="auto"/>
          <w:sz w:val="21"/>
          <w:szCs w:val="21"/>
          <w:highlight w:val="none"/>
          <w:lang w:val="en-US" w:eastAsia="zh-CN"/>
        </w:rPr>
        <w:t xml:space="preserve"> </w:t>
      </w:r>
    </w:p>
    <w:p w14:paraId="7DEE4EC4">
      <w:pPr>
        <w:shd w:val="clear" w:color="auto" w:fill="FFFFFF"/>
        <w:tabs>
          <w:tab w:val="left" w:pos="1260"/>
        </w:tabs>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BA2B0C7">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名称：</w:t>
      </w:r>
      <w:r>
        <w:rPr>
          <w:rStyle w:val="141"/>
          <w:rFonts w:hint="eastAsia" w:ascii="宋体" w:hAnsi="宋体" w:eastAsia="宋体" w:cs="宋体"/>
          <w:color w:val="auto"/>
          <w:sz w:val="21"/>
          <w:szCs w:val="21"/>
          <w:highlight w:val="none"/>
        </w:rPr>
        <w:t>金华市天盈招标代理有限公司</w:t>
      </w:r>
      <w:r>
        <w:rPr>
          <w:rFonts w:hint="eastAsia" w:ascii="宋体" w:hAnsi="宋体" w:eastAsia="宋体" w:cs="宋体"/>
          <w:color w:val="auto"/>
          <w:sz w:val="21"/>
          <w:szCs w:val="21"/>
          <w:highlight w:val="none"/>
        </w:rPr>
        <w:t> 　　　　　　　　　　　</w:t>
      </w:r>
    </w:p>
    <w:p w14:paraId="764927AC">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地址：</w:t>
      </w:r>
      <w:r>
        <w:rPr>
          <w:rStyle w:val="141"/>
          <w:rFonts w:hint="eastAsia" w:ascii="宋体" w:hAnsi="宋体" w:eastAsia="宋体" w:cs="宋体"/>
          <w:color w:val="auto"/>
          <w:sz w:val="21"/>
          <w:szCs w:val="21"/>
          <w:highlight w:val="none"/>
        </w:rPr>
        <w:t>金华市创新街18号南楼四楼，农科教大楼西侧</w:t>
      </w:r>
      <w:r>
        <w:rPr>
          <w:rFonts w:hint="eastAsia" w:ascii="宋体" w:hAnsi="宋体" w:eastAsia="宋体" w:cs="宋体"/>
          <w:color w:val="auto"/>
          <w:sz w:val="21"/>
          <w:szCs w:val="21"/>
          <w:highlight w:val="none"/>
        </w:rPr>
        <w:t> </w:t>
      </w:r>
    </w:p>
    <w:p w14:paraId="65A17D4E">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cs="宋体"/>
          <w:color w:val="auto"/>
          <w:sz w:val="21"/>
          <w:szCs w:val="21"/>
          <w:highlight w:val="none"/>
          <w:lang w:val="en-US" w:eastAsia="zh-CN"/>
        </w:rPr>
        <w:t>汪兰华</w:t>
      </w:r>
      <w:r>
        <w:rPr>
          <w:rFonts w:hint="eastAsia" w:ascii="宋体" w:hAnsi="宋体" w:eastAsia="宋体" w:cs="宋体"/>
          <w:color w:val="auto"/>
          <w:sz w:val="21"/>
          <w:szCs w:val="21"/>
          <w:highlight w:val="none"/>
        </w:rPr>
        <w:t>  　　　　　　　　　　　</w:t>
      </w:r>
    </w:p>
    <w:p w14:paraId="3C05E5C8">
      <w:pPr>
        <w:pStyle w:val="43"/>
        <w:shd w:val="clear" w:color="auto" w:fill="FFFFFF"/>
        <w:adjustRightInd w:val="0"/>
        <w:snapToGrid w:val="0"/>
        <w:spacing w:before="0" w:beforeAutospacing="0" w:after="0" w:afterAutospacing="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项目联系方式（询问）：0579-</w:t>
      </w:r>
      <w:r>
        <w:rPr>
          <w:rFonts w:hint="eastAsia" w:cs="宋体"/>
          <w:color w:val="auto"/>
          <w:sz w:val="21"/>
          <w:szCs w:val="21"/>
          <w:highlight w:val="none"/>
          <w:lang w:val="en-US" w:eastAsia="zh-CN"/>
        </w:rPr>
        <w:t>82474058</w:t>
      </w:r>
    </w:p>
    <w:p w14:paraId="549D3221">
      <w:pPr>
        <w:shd w:val="clear" w:color="auto" w:fill="FFFFFF"/>
        <w:tabs>
          <w:tab w:val="left" w:pos="1260"/>
        </w:tabs>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质疑联系人（询问）：</w:t>
      </w:r>
      <w:r>
        <w:rPr>
          <w:rFonts w:hint="eastAsia" w:hAnsi="宋体" w:cs="宋体"/>
          <w:color w:val="auto"/>
          <w:sz w:val="21"/>
          <w:szCs w:val="21"/>
          <w:highlight w:val="none"/>
          <w:lang w:val="en-US" w:eastAsia="zh-CN"/>
        </w:rPr>
        <w:t>夏翰宇</w:t>
      </w:r>
      <w:r>
        <w:rPr>
          <w:rFonts w:hint="eastAsia" w:ascii="宋体" w:hAnsi="宋体" w:eastAsia="宋体" w:cs="宋体"/>
          <w:color w:val="auto"/>
          <w:sz w:val="21"/>
          <w:szCs w:val="21"/>
          <w:highlight w:val="none"/>
        </w:rPr>
        <w:t>   　　</w:t>
      </w:r>
    </w:p>
    <w:p w14:paraId="21A05728">
      <w:pPr>
        <w:shd w:val="clear" w:color="auto" w:fill="FFFFFF"/>
        <w:tabs>
          <w:tab w:val="left" w:pos="1260"/>
        </w:tabs>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质疑联系方式（询问）：0579-82474058</w:t>
      </w:r>
    </w:p>
    <w:p w14:paraId="60E5D308">
      <w:pPr>
        <w:tabs>
          <w:tab w:val="left" w:pos="1260"/>
        </w:tabs>
        <w:adjustRightInd/>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3.同级政府采购监督管理部门</w:t>
      </w:r>
    </w:p>
    <w:p w14:paraId="6061E46A">
      <w:pPr>
        <w:tabs>
          <w:tab w:val="left" w:pos="1260"/>
        </w:tabs>
        <w:adjustRightIn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w:t>
      </w:r>
      <w:r>
        <w:rPr>
          <w:rFonts w:hint="eastAsia" w:hAnsi="宋体" w:cs="宋体"/>
          <w:color w:val="auto"/>
          <w:sz w:val="21"/>
          <w:szCs w:val="21"/>
          <w:highlight w:val="none"/>
          <w:lang w:eastAsia="zh-CN"/>
        </w:rPr>
        <w:t>金华市财政局政府采购监管处</w:t>
      </w:r>
    </w:p>
    <w:p w14:paraId="35B2FE73">
      <w:pPr>
        <w:tabs>
          <w:tab w:val="left" w:pos="1260"/>
        </w:tabs>
        <w:adjustRightIn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地址：金华市双龙南街801号财政局510办公室</w:t>
      </w:r>
    </w:p>
    <w:p w14:paraId="2D6226BE">
      <w:pPr>
        <w:tabs>
          <w:tab w:val="left" w:pos="1260"/>
        </w:tabs>
        <w:adjustRightInd/>
        <w:spacing w:line="5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hAnsi="宋体" w:cs="宋体"/>
          <w:color w:val="auto"/>
          <w:sz w:val="21"/>
          <w:szCs w:val="21"/>
          <w:highlight w:val="none"/>
        </w:rPr>
        <w:t>徐女士</w:t>
      </w:r>
    </w:p>
    <w:p w14:paraId="31CF4FAF">
      <w:pPr>
        <w:tabs>
          <w:tab w:val="left" w:pos="1260"/>
        </w:tabs>
        <w:adjustRightInd/>
        <w:spacing w:line="50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监督投诉电话：</w:t>
      </w:r>
      <w:r>
        <w:rPr>
          <w:rFonts w:hint="eastAsia" w:hAnsi="宋体" w:eastAsia="宋体" w:cs="宋体"/>
          <w:color w:val="auto"/>
          <w:sz w:val="21"/>
          <w:szCs w:val="21"/>
          <w:highlight w:val="none"/>
          <w:lang w:eastAsia="zh-CN"/>
        </w:rPr>
        <w:t>0579-82</w:t>
      </w:r>
      <w:r>
        <w:rPr>
          <w:rFonts w:hint="eastAsia" w:hAnsi="宋体" w:eastAsia="宋体" w:cs="宋体"/>
          <w:color w:val="auto"/>
          <w:sz w:val="21"/>
          <w:szCs w:val="21"/>
          <w:highlight w:val="none"/>
          <w:lang w:val="en-US" w:eastAsia="zh-CN"/>
        </w:rPr>
        <w:t>468735</w:t>
      </w:r>
    </w:p>
    <w:p w14:paraId="58B2B048">
      <w:pPr>
        <w:tabs>
          <w:tab w:val="left" w:pos="1260"/>
        </w:tabs>
        <w:adjustRightInd/>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B64E42E">
      <w:pPr>
        <w:pStyle w:val="4"/>
        <w:spacing w:line="360" w:lineRule="auto"/>
        <w:ind w:left="360" w:leftChars="106" w:firstLine="2714" w:firstLineChars="901"/>
        <w:rPr>
          <w:rFonts w:hint="eastAsia" w:ascii="宋体" w:hAnsi="宋体" w:eastAsia="宋体" w:cs="宋体"/>
          <w:color w:val="auto"/>
          <w:sz w:val="30"/>
          <w:szCs w:val="30"/>
          <w:highlight w:val="none"/>
        </w:rPr>
      </w:pPr>
      <w:bookmarkStart w:id="49" w:name="_Toc11925"/>
      <w:bookmarkStart w:id="50" w:name="_Toc27729"/>
      <w:bookmarkStart w:id="51" w:name="_Toc27133"/>
      <w:bookmarkStart w:id="52" w:name="_Toc30797"/>
      <w:bookmarkStart w:id="53" w:name="_Toc32644"/>
      <w:bookmarkStart w:id="54" w:name="_Toc7911"/>
      <w:bookmarkStart w:id="55" w:name="_Toc23702"/>
      <w:bookmarkStart w:id="56" w:name="_Toc28241"/>
      <w:bookmarkStart w:id="57" w:name="_Toc15662"/>
      <w:bookmarkStart w:id="58" w:name="_Toc16899"/>
      <w:bookmarkStart w:id="59" w:name="_Toc8596"/>
      <w:bookmarkStart w:id="60" w:name="_Toc3103"/>
      <w:bookmarkStart w:id="61" w:name="_Toc26932"/>
      <w:bookmarkStart w:id="62" w:name="_Toc3449"/>
      <w:bookmarkStart w:id="63" w:name="_Toc4280"/>
      <w:bookmarkStart w:id="64" w:name="_Toc24167"/>
      <w:bookmarkStart w:id="65" w:name="_Toc6928"/>
      <w:bookmarkStart w:id="66" w:name="_Toc20320"/>
      <w:bookmarkStart w:id="67" w:name="_Toc1556"/>
      <w:bookmarkStart w:id="68" w:name="_Toc217289130"/>
      <w:bookmarkStart w:id="69" w:name="_Toc237176506"/>
      <w:bookmarkStart w:id="70" w:name="_Toc184785919"/>
      <w:bookmarkStart w:id="71" w:name="_Toc256977534"/>
      <w:bookmarkStart w:id="72" w:name="_Toc237193454"/>
      <w:bookmarkStart w:id="73" w:name="_Toc237414003"/>
      <w:bookmarkStart w:id="74" w:name="_Toc295737624"/>
      <w:bookmarkStart w:id="75" w:name="_Toc237189783"/>
      <w:bookmarkStart w:id="76" w:name="_Toc264211066"/>
      <w:bookmarkStart w:id="77" w:name="_Toc237182502"/>
      <w:bookmarkStart w:id="78" w:name="_Toc265065978"/>
      <w:bookmarkStart w:id="79" w:name="_Toc237340102"/>
      <w:bookmarkStart w:id="80" w:name="_Toc295910872"/>
      <w:bookmarkStart w:id="81" w:name="_Toc237413907"/>
      <w:bookmarkStart w:id="82" w:name="_Toc296074335"/>
      <w:r>
        <w:rPr>
          <w:rFonts w:hint="eastAsia" w:ascii="宋体" w:hAnsi="宋体" w:eastAsia="宋体" w:cs="宋体"/>
          <w:color w:val="auto"/>
          <w:sz w:val="30"/>
          <w:szCs w:val="30"/>
          <w:highlight w:val="none"/>
        </w:rPr>
        <w:t>第二部分  采购需求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56D0B02">
      <w:pPr>
        <w:keepNext w:val="0"/>
        <w:keepLines w:val="0"/>
        <w:pageBreakBefore w:val="0"/>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color w:val="auto"/>
          <w:sz w:val="21"/>
          <w:szCs w:val="21"/>
          <w:highlight w:val="none"/>
        </w:rPr>
      </w:pPr>
      <w:bookmarkStart w:id="83" w:name="_Toc26635"/>
      <w:bookmarkStart w:id="84" w:name="_Toc25588"/>
      <w:bookmarkStart w:id="85" w:name="_Toc8868"/>
      <w:bookmarkStart w:id="86" w:name="_Toc90489157"/>
      <w:bookmarkStart w:id="87" w:name="_Toc487792301"/>
      <w:bookmarkStart w:id="88" w:name="_Toc34119663"/>
      <w:bookmarkStart w:id="89" w:name="_Toc157047703"/>
      <w:bookmarkStart w:id="90" w:name="_Toc90489159"/>
      <w:bookmarkStart w:id="91" w:name="_Toc30200"/>
      <w:bookmarkStart w:id="92" w:name="_Toc20203"/>
      <w:bookmarkStart w:id="93" w:name="_Toc27050"/>
      <w:bookmarkStart w:id="94" w:name="_Toc32525"/>
      <w:bookmarkStart w:id="95" w:name="_Toc964"/>
      <w:bookmarkStart w:id="96" w:name="_Toc141164482"/>
      <w:bookmarkStart w:id="97" w:name="_Toc14363"/>
      <w:bookmarkStart w:id="98" w:name="_Toc157047657"/>
      <w:bookmarkStart w:id="99" w:name="_Toc16467"/>
      <w:bookmarkStart w:id="100" w:name="_Toc487792261"/>
      <w:bookmarkStart w:id="101" w:name="_Toc35415328"/>
      <w:bookmarkStart w:id="102" w:name="_Toc287611930"/>
      <w:bookmarkStart w:id="103" w:name="_Toc31315"/>
      <w:bookmarkStart w:id="104" w:name="_Toc5905"/>
      <w:r>
        <w:rPr>
          <w:rFonts w:hint="eastAsia" w:ascii="宋体" w:hAnsi="宋体" w:eastAsia="宋体" w:cs="宋体"/>
          <w:b/>
          <w:color w:val="auto"/>
          <w:sz w:val="21"/>
          <w:szCs w:val="21"/>
          <w:highlight w:val="none"/>
        </w:rPr>
        <w:t>一、采购内容</w:t>
      </w:r>
      <w:r>
        <w:rPr>
          <w:rFonts w:hint="eastAsia" w:ascii="宋体" w:hAnsi="宋体" w:eastAsia="宋体" w:cs="宋体"/>
          <w:b/>
          <w:color w:val="auto"/>
          <w:sz w:val="21"/>
          <w:szCs w:val="21"/>
          <w:highlight w:val="none"/>
          <w:lang w:val="en-US" w:eastAsia="zh-CN"/>
        </w:rPr>
        <w:t>简介</w:t>
      </w:r>
      <w:r>
        <w:rPr>
          <w:rFonts w:hint="eastAsia" w:ascii="宋体" w:hAnsi="宋体" w:eastAsia="宋体" w:cs="宋体"/>
          <w:b/>
          <w:color w:val="auto"/>
          <w:sz w:val="21"/>
          <w:szCs w:val="21"/>
          <w:highlight w:val="none"/>
        </w:rPr>
        <w:t>及</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预算</w:t>
      </w:r>
    </w:p>
    <w:tbl>
      <w:tblPr>
        <w:tblStyle w:val="47"/>
        <w:tblW w:w="4974"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9"/>
        <w:gridCol w:w="2565"/>
        <w:gridCol w:w="749"/>
        <w:gridCol w:w="720"/>
        <w:gridCol w:w="2694"/>
        <w:gridCol w:w="1300"/>
      </w:tblGrid>
      <w:tr w14:paraId="47C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96" w:type="dxa"/>
            <w:tcBorders>
              <w:top w:val="single" w:color="auto" w:sz="4" w:space="0"/>
              <w:left w:val="single" w:color="auto" w:sz="4" w:space="0"/>
              <w:bottom w:val="single" w:color="auto" w:sz="4" w:space="0"/>
              <w:right w:val="single" w:color="auto" w:sz="4" w:space="0"/>
            </w:tcBorders>
            <w:vAlign w:val="center"/>
          </w:tcPr>
          <w:p w14:paraId="478AECC0">
            <w:pPr>
              <w:widowControl/>
              <w:snapToGrid w:val="0"/>
              <w:spacing w:line="460" w:lineRule="exact"/>
              <w:jc w:val="center"/>
              <w:rPr>
                <w:rFonts w:hint="eastAsia" w:hAnsi="宋体" w:eastAsia="宋体" w:cs="宋体"/>
                <w:color w:val="auto"/>
                <w:kern w:val="0"/>
                <w:sz w:val="21"/>
                <w:szCs w:val="21"/>
                <w:highlight w:val="none"/>
              </w:rPr>
            </w:pPr>
            <w:bookmarkStart w:id="105" w:name="_Toc120115114"/>
            <w:r>
              <w:rPr>
                <w:rFonts w:hint="eastAsia" w:hAnsi="宋体" w:eastAsia="宋体" w:cs="宋体"/>
                <w:color w:val="auto"/>
                <w:kern w:val="0"/>
                <w:sz w:val="21"/>
                <w:szCs w:val="21"/>
                <w:highlight w:val="none"/>
              </w:rPr>
              <w:t>序号</w:t>
            </w:r>
          </w:p>
        </w:tc>
        <w:tc>
          <w:tcPr>
            <w:tcW w:w="1079" w:type="dxa"/>
            <w:tcBorders>
              <w:top w:val="single" w:color="auto" w:sz="4" w:space="0"/>
              <w:left w:val="single" w:color="auto" w:sz="4" w:space="0"/>
              <w:bottom w:val="single" w:color="auto" w:sz="4" w:space="0"/>
              <w:right w:val="single" w:color="auto" w:sz="4" w:space="0"/>
            </w:tcBorders>
            <w:vAlign w:val="center"/>
          </w:tcPr>
          <w:p w14:paraId="26EABA13">
            <w:pPr>
              <w:widowControl/>
              <w:snapToGrid w:val="0"/>
              <w:spacing w:line="460" w:lineRule="exact"/>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标项名称</w:t>
            </w:r>
          </w:p>
        </w:tc>
        <w:tc>
          <w:tcPr>
            <w:tcW w:w="2565" w:type="dxa"/>
            <w:tcBorders>
              <w:top w:val="single" w:color="auto" w:sz="4" w:space="0"/>
              <w:left w:val="single" w:color="auto" w:sz="4" w:space="0"/>
              <w:bottom w:val="single" w:color="auto" w:sz="4" w:space="0"/>
              <w:right w:val="single" w:color="auto" w:sz="4" w:space="0"/>
            </w:tcBorders>
            <w:vAlign w:val="center"/>
          </w:tcPr>
          <w:p w14:paraId="33069768">
            <w:pPr>
              <w:widowControl/>
              <w:snapToGrid w:val="0"/>
              <w:spacing w:line="460" w:lineRule="exact"/>
              <w:ind w:firstLine="199" w:firstLineChars="95"/>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简要技术要求</w:t>
            </w:r>
          </w:p>
        </w:tc>
        <w:tc>
          <w:tcPr>
            <w:tcW w:w="749" w:type="dxa"/>
            <w:tcBorders>
              <w:top w:val="single" w:color="auto" w:sz="4" w:space="0"/>
              <w:left w:val="single" w:color="auto" w:sz="4" w:space="0"/>
              <w:bottom w:val="single" w:color="auto" w:sz="4" w:space="0"/>
              <w:right w:val="single" w:color="auto" w:sz="4" w:space="0"/>
            </w:tcBorders>
            <w:vAlign w:val="center"/>
          </w:tcPr>
          <w:p w14:paraId="7991F241">
            <w:pPr>
              <w:tabs>
                <w:tab w:val="left" w:pos="1260"/>
              </w:tabs>
              <w:autoSpaceDE/>
              <w:autoSpaceDN/>
              <w:adjustRightInd/>
              <w:spacing w:line="460" w:lineRule="exact"/>
              <w:jc w:val="center"/>
              <w:textAlignment w:val="auto"/>
              <w:rPr>
                <w:rFonts w:hint="eastAsia" w:hAnsi="宋体" w:eastAsia="宋体" w:cs="宋体"/>
                <w:color w:val="auto"/>
                <w:kern w:val="0"/>
                <w:sz w:val="21"/>
                <w:szCs w:val="21"/>
                <w:highlight w:val="none"/>
              </w:rPr>
            </w:pPr>
            <w:r>
              <w:rPr>
                <w:rFonts w:hint="eastAsia" w:hAnsi="宋体" w:eastAsia="宋体" w:cs="宋体"/>
                <w:color w:val="auto"/>
                <w:sz w:val="21"/>
                <w:szCs w:val="21"/>
                <w:highlight w:val="none"/>
              </w:rPr>
              <w:t>服务机构</w:t>
            </w:r>
          </w:p>
        </w:tc>
        <w:tc>
          <w:tcPr>
            <w:tcW w:w="720" w:type="dxa"/>
            <w:tcBorders>
              <w:top w:val="single" w:color="auto" w:sz="4" w:space="0"/>
              <w:left w:val="single" w:color="auto" w:sz="4" w:space="0"/>
              <w:bottom w:val="single" w:color="auto" w:sz="4" w:space="0"/>
              <w:right w:val="single" w:color="auto" w:sz="4" w:space="0"/>
            </w:tcBorders>
            <w:vAlign w:val="center"/>
          </w:tcPr>
          <w:p w14:paraId="2EF4FC1E">
            <w:pPr>
              <w:snapToGrid w:val="0"/>
              <w:spacing w:line="460" w:lineRule="exact"/>
              <w:jc w:val="center"/>
              <w:rPr>
                <w:rFonts w:hint="default" w:hAnsi="宋体" w:eastAsia="宋体" w:cs="宋体"/>
                <w:color w:val="auto"/>
                <w:kern w:val="0"/>
                <w:sz w:val="21"/>
                <w:szCs w:val="21"/>
                <w:highlight w:val="none"/>
                <w:lang w:val="en-US" w:eastAsia="zh-CN"/>
              </w:rPr>
            </w:pPr>
            <w:r>
              <w:rPr>
                <w:rFonts w:hint="eastAsia" w:hAnsi="宋体" w:eastAsia="宋体" w:cs="宋体"/>
                <w:color w:val="auto"/>
                <w:sz w:val="21"/>
                <w:szCs w:val="21"/>
                <w:highlight w:val="none"/>
                <w:lang w:val="en-US" w:eastAsia="zh-CN"/>
              </w:rPr>
              <w:t>服务期限</w:t>
            </w:r>
          </w:p>
        </w:tc>
        <w:tc>
          <w:tcPr>
            <w:tcW w:w="2694" w:type="dxa"/>
            <w:tcBorders>
              <w:top w:val="single" w:color="auto" w:sz="4" w:space="0"/>
              <w:left w:val="single" w:color="auto" w:sz="4" w:space="0"/>
              <w:bottom w:val="single" w:color="auto" w:sz="4" w:space="0"/>
              <w:right w:val="single" w:color="auto" w:sz="4" w:space="0"/>
            </w:tcBorders>
            <w:vAlign w:val="center"/>
          </w:tcPr>
          <w:p w14:paraId="044C15BC">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服务内容</w:t>
            </w:r>
          </w:p>
        </w:tc>
        <w:tc>
          <w:tcPr>
            <w:tcW w:w="1300" w:type="dxa"/>
            <w:tcBorders>
              <w:top w:val="single" w:color="auto" w:sz="4" w:space="0"/>
              <w:left w:val="single" w:color="auto" w:sz="4" w:space="0"/>
              <w:bottom w:val="single" w:color="auto" w:sz="4" w:space="0"/>
              <w:right w:val="single" w:color="auto" w:sz="4" w:space="0"/>
            </w:tcBorders>
            <w:vAlign w:val="center"/>
          </w:tcPr>
          <w:p w14:paraId="1ABE6177">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预算金额</w:t>
            </w:r>
          </w:p>
          <w:p w14:paraId="10848D89">
            <w:pPr>
              <w:snapToGrid w:val="0"/>
              <w:spacing w:line="46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（人民币）</w:t>
            </w:r>
          </w:p>
        </w:tc>
      </w:tr>
      <w:tr w14:paraId="4C42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6" w:type="dxa"/>
            <w:vMerge w:val="restart"/>
            <w:tcBorders>
              <w:top w:val="single" w:color="auto" w:sz="4" w:space="0"/>
              <w:left w:val="single" w:color="auto" w:sz="4" w:space="0"/>
              <w:right w:val="single" w:color="auto" w:sz="4" w:space="0"/>
            </w:tcBorders>
            <w:vAlign w:val="center"/>
          </w:tcPr>
          <w:p w14:paraId="251A6586">
            <w:pPr>
              <w:widowControl/>
              <w:snapToGrid w:val="0"/>
              <w:spacing w:line="460" w:lineRule="exact"/>
              <w:jc w:val="center"/>
              <w:rPr>
                <w:rFonts w:hint="eastAsia" w:hAnsi="宋体" w:eastAsia="宋体" w:cs="宋体"/>
                <w:color w:val="auto"/>
                <w:kern w:val="0"/>
                <w:sz w:val="21"/>
                <w:szCs w:val="21"/>
                <w:highlight w:val="none"/>
              </w:rPr>
            </w:pPr>
            <w:r>
              <w:rPr>
                <w:rFonts w:hint="eastAsia" w:hAnsi="宋体" w:eastAsia="宋体" w:cs="宋体"/>
                <w:color w:val="auto"/>
                <w:kern w:val="0"/>
                <w:sz w:val="21"/>
                <w:szCs w:val="21"/>
                <w:highlight w:val="none"/>
              </w:rPr>
              <w:t>1</w:t>
            </w:r>
          </w:p>
        </w:tc>
        <w:tc>
          <w:tcPr>
            <w:tcW w:w="1079" w:type="dxa"/>
            <w:vMerge w:val="restart"/>
            <w:tcBorders>
              <w:top w:val="single" w:color="auto" w:sz="4" w:space="0"/>
              <w:left w:val="single" w:color="auto" w:sz="4" w:space="0"/>
              <w:right w:val="single" w:color="auto" w:sz="4" w:space="0"/>
            </w:tcBorders>
            <w:vAlign w:val="center"/>
          </w:tcPr>
          <w:p w14:paraId="393A0691">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2025年金华市足球项目政转社赛事活动</w:t>
            </w:r>
          </w:p>
        </w:tc>
        <w:tc>
          <w:tcPr>
            <w:tcW w:w="2565" w:type="dxa"/>
            <w:vMerge w:val="restart"/>
            <w:tcBorders>
              <w:top w:val="single" w:color="auto" w:sz="4" w:space="0"/>
              <w:left w:val="single" w:color="auto" w:sz="4" w:space="0"/>
              <w:right w:val="single" w:color="auto" w:sz="4" w:space="0"/>
            </w:tcBorders>
            <w:vAlign w:val="center"/>
          </w:tcPr>
          <w:p w14:paraId="0D9114B2">
            <w:pPr>
              <w:spacing w:line="460" w:lineRule="exact"/>
              <w:ind w:firstLine="0" w:firstLineChars="0"/>
              <w:jc w:val="center"/>
              <w:rPr>
                <w:rFonts w:hint="eastAsia"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主要包括</w:t>
            </w:r>
            <w:r>
              <w:rPr>
                <w:rFonts w:hint="eastAsia" w:ascii="宋体" w:hAnsi="宋体" w:eastAsia="宋体" w:cs="宋体"/>
                <w:color w:val="auto"/>
                <w:sz w:val="21"/>
                <w:szCs w:val="21"/>
                <w:highlight w:val="none"/>
              </w:rPr>
              <w:t>完成俱乐部、球员的注册，按</w:t>
            </w:r>
            <w:r>
              <w:rPr>
                <w:rFonts w:hint="eastAsia" w:ascii="宋体" w:hAnsi="宋体" w:eastAsia="宋体" w:cs="宋体"/>
                <w:color w:val="auto"/>
                <w:sz w:val="21"/>
                <w:szCs w:val="21"/>
                <w:highlight w:val="none"/>
                <w:lang w:val="en-US" w:eastAsia="zh-CN"/>
              </w:rPr>
              <w:t>采购方要求和</w:t>
            </w:r>
            <w:r>
              <w:rPr>
                <w:rFonts w:hint="eastAsia" w:ascii="宋体" w:hAnsi="宋体" w:eastAsia="宋体" w:cs="宋体"/>
                <w:color w:val="auto"/>
                <w:sz w:val="21"/>
                <w:szCs w:val="21"/>
                <w:highlight w:val="none"/>
              </w:rPr>
              <w:t>浙超组委会规范开展</w:t>
            </w:r>
            <w:r>
              <w:rPr>
                <w:rFonts w:hint="eastAsia" w:ascii="宋体" w:hAnsi="宋体" w:eastAsia="宋体" w:cs="宋体"/>
                <w:b w:val="0"/>
                <w:bCs w:val="0"/>
                <w:color w:val="auto"/>
                <w:sz w:val="21"/>
                <w:szCs w:val="21"/>
                <w:highlight w:val="none"/>
              </w:rPr>
              <w:t>前期筹备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赛事中期准备</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赛事后期工作</w:t>
            </w:r>
            <w:r>
              <w:rPr>
                <w:rFonts w:hint="eastAsia"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承办市级青少年足球赛事活动</w:t>
            </w:r>
            <w:r>
              <w:rPr>
                <w:rFonts w:hint="eastAsia" w:ascii="宋体" w:hAnsi="宋体" w:eastAsia="宋体" w:cs="宋体"/>
                <w:color w:val="auto"/>
                <w:sz w:val="21"/>
                <w:szCs w:val="21"/>
                <w:highlight w:val="none"/>
                <w:lang w:val="en-US" w:eastAsia="zh-CN"/>
              </w:rPr>
              <w:t>；参加（承办）省市级社会类足球赛事</w:t>
            </w:r>
            <w:r>
              <w:rPr>
                <w:rFonts w:hint="eastAsia"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具体</w:t>
            </w:r>
            <w:r>
              <w:rPr>
                <w:rFonts w:hint="eastAsia" w:hAnsi="宋体" w:eastAsia="宋体" w:cs="宋体"/>
                <w:color w:val="auto"/>
                <w:sz w:val="21"/>
                <w:szCs w:val="21"/>
                <w:highlight w:val="none"/>
              </w:rPr>
              <w:t>详见</w:t>
            </w:r>
            <w:r>
              <w:rPr>
                <w:rFonts w:hint="eastAsia" w:hAnsi="宋体" w:cs="宋体"/>
                <w:color w:val="auto"/>
                <w:sz w:val="21"/>
                <w:szCs w:val="21"/>
                <w:highlight w:val="none"/>
                <w:lang w:val="en-US" w:eastAsia="zh-CN"/>
              </w:rPr>
              <w:t>下文。</w:t>
            </w:r>
          </w:p>
        </w:tc>
        <w:tc>
          <w:tcPr>
            <w:tcW w:w="749" w:type="dxa"/>
            <w:vMerge w:val="restart"/>
            <w:vAlign w:val="center"/>
          </w:tcPr>
          <w:p w14:paraId="31412BBE">
            <w:pPr>
              <w:tabs>
                <w:tab w:val="left" w:pos="1260"/>
              </w:tabs>
              <w:autoSpaceDE/>
              <w:autoSpaceDN/>
              <w:adjustRightInd/>
              <w:spacing w:line="460" w:lineRule="exact"/>
              <w:jc w:val="center"/>
              <w:textAlignment w:val="auto"/>
              <w:rPr>
                <w:rFonts w:hint="eastAsia" w:hAnsi="宋体" w:eastAsia="宋体" w:cs="宋体"/>
                <w:color w:val="auto"/>
                <w:kern w:val="0"/>
                <w:sz w:val="21"/>
                <w:szCs w:val="21"/>
                <w:highlight w:val="none"/>
              </w:rPr>
            </w:pPr>
            <w:r>
              <w:rPr>
                <w:rFonts w:hint="eastAsia" w:hAnsi="宋体" w:eastAsia="宋体" w:cs="宋体"/>
                <w:color w:val="auto"/>
                <w:sz w:val="21"/>
                <w:szCs w:val="21"/>
                <w:highlight w:val="none"/>
              </w:rPr>
              <w:t>1家</w:t>
            </w:r>
          </w:p>
        </w:tc>
        <w:tc>
          <w:tcPr>
            <w:tcW w:w="720" w:type="dxa"/>
            <w:vMerge w:val="restart"/>
            <w:vAlign w:val="center"/>
          </w:tcPr>
          <w:p w14:paraId="2E0E407F">
            <w:pP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自合同签订之日起至赛事活动完成并通过验收</w:t>
            </w:r>
          </w:p>
        </w:tc>
        <w:tc>
          <w:tcPr>
            <w:tcW w:w="2694" w:type="dxa"/>
            <w:vAlign w:val="center"/>
          </w:tcPr>
          <w:p w14:paraId="3CC3F39A">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承办金华市青少年足球锦标赛</w:t>
            </w:r>
          </w:p>
        </w:tc>
        <w:tc>
          <w:tcPr>
            <w:tcW w:w="1300" w:type="dxa"/>
            <w:vAlign w:val="center"/>
          </w:tcPr>
          <w:p w14:paraId="1C34F6F9">
            <w:pPr>
              <w:snapToGrid w:val="0"/>
              <w:spacing w:line="460" w:lineRule="exact"/>
              <w:jc w:val="center"/>
              <w:rPr>
                <w:rFonts w:hint="eastAsia"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20万元</w:t>
            </w:r>
          </w:p>
        </w:tc>
      </w:tr>
      <w:tr w14:paraId="4E54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96" w:type="dxa"/>
            <w:vMerge w:val="continue"/>
            <w:tcBorders>
              <w:left w:val="single" w:color="auto" w:sz="4" w:space="0"/>
              <w:right w:val="single" w:color="auto" w:sz="4" w:space="0"/>
            </w:tcBorders>
            <w:vAlign w:val="center"/>
          </w:tcPr>
          <w:p w14:paraId="052A1598">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0AE4DF8E">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502AD714">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3A6DDF81">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3240ABA0">
            <w:pPr>
              <w:rPr>
                <w:rFonts w:hint="eastAsia" w:ascii="宋体" w:hAnsi="宋体" w:eastAsia="宋体" w:cs="宋体"/>
                <w:b w:val="0"/>
                <w:bCs w:val="0"/>
                <w:color w:val="auto"/>
                <w:sz w:val="21"/>
                <w:szCs w:val="21"/>
                <w:highlight w:val="none"/>
                <w:lang w:val="en-US" w:eastAsia="zh-CN"/>
              </w:rPr>
            </w:pPr>
          </w:p>
        </w:tc>
        <w:tc>
          <w:tcPr>
            <w:tcW w:w="2694" w:type="dxa"/>
            <w:vAlign w:val="center"/>
          </w:tcPr>
          <w:p w14:paraId="4BE8FFFC">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全年足球场地</w:t>
            </w:r>
            <w:r>
              <w:rPr>
                <w:rFonts w:hint="eastAsia" w:hAnsi="宋体" w:cs="宋体"/>
                <w:b w:val="0"/>
                <w:bCs w:val="0"/>
                <w:color w:val="auto"/>
                <w:sz w:val="21"/>
                <w:szCs w:val="21"/>
                <w:highlight w:val="none"/>
                <w:lang w:val="en-US" w:eastAsia="zh-CN"/>
              </w:rPr>
              <w:t>养护</w:t>
            </w:r>
            <w:r>
              <w:rPr>
                <w:rFonts w:hint="eastAsia" w:ascii="宋体" w:hAnsi="宋体" w:eastAsia="宋体" w:cs="宋体"/>
                <w:b w:val="0"/>
                <w:bCs w:val="0"/>
                <w:color w:val="auto"/>
                <w:sz w:val="21"/>
                <w:szCs w:val="21"/>
                <w:highlight w:val="none"/>
                <w:lang w:val="en-US" w:eastAsia="zh-CN"/>
              </w:rPr>
              <w:t>（用于</w:t>
            </w:r>
            <w:r>
              <w:rPr>
                <w:rFonts w:hint="eastAsia" w:hAnsi="宋体" w:cs="宋体"/>
                <w:b w:val="0"/>
                <w:bCs w:val="0"/>
                <w:color w:val="auto"/>
                <w:sz w:val="21"/>
                <w:szCs w:val="21"/>
                <w:highlight w:val="none"/>
                <w:lang w:val="en-US" w:eastAsia="zh-CN"/>
              </w:rPr>
              <w:t>金华艾青中学</w:t>
            </w:r>
            <w:r>
              <w:rPr>
                <w:rFonts w:hint="eastAsia" w:ascii="宋体" w:hAnsi="宋体" w:eastAsia="宋体" w:cs="宋体"/>
                <w:b w:val="0"/>
                <w:bCs w:val="0"/>
                <w:color w:val="auto"/>
                <w:sz w:val="21"/>
                <w:szCs w:val="21"/>
                <w:highlight w:val="none"/>
                <w:lang w:val="en-US" w:eastAsia="zh-CN"/>
              </w:rPr>
              <w:t>足球场的</w:t>
            </w:r>
            <w:r>
              <w:rPr>
                <w:rFonts w:hint="eastAsia" w:hAnsi="宋体" w:cs="宋体"/>
                <w:b w:val="0"/>
                <w:bCs w:val="0"/>
                <w:color w:val="auto"/>
                <w:sz w:val="21"/>
                <w:szCs w:val="21"/>
                <w:highlight w:val="none"/>
                <w:lang w:val="en-US" w:eastAsia="zh-CN"/>
              </w:rPr>
              <w:t>草坪养</w:t>
            </w:r>
            <w:r>
              <w:rPr>
                <w:rFonts w:hint="eastAsia" w:ascii="宋体" w:hAnsi="宋体" w:eastAsia="宋体" w:cs="宋体"/>
                <w:b w:val="0"/>
                <w:bCs w:val="0"/>
                <w:color w:val="auto"/>
                <w:sz w:val="21"/>
                <w:szCs w:val="21"/>
                <w:highlight w:val="none"/>
                <w:lang w:val="en-US" w:eastAsia="zh-CN"/>
              </w:rPr>
              <w:t>护）</w:t>
            </w:r>
          </w:p>
        </w:tc>
        <w:tc>
          <w:tcPr>
            <w:tcW w:w="1300" w:type="dxa"/>
            <w:vAlign w:val="center"/>
          </w:tcPr>
          <w:p w14:paraId="4F98E3B1">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万元</w:t>
            </w:r>
          </w:p>
        </w:tc>
      </w:tr>
      <w:tr w14:paraId="7F0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6" w:type="dxa"/>
            <w:vMerge w:val="continue"/>
            <w:tcBorders>
              <w:left w:val="single" w:color="auto" w:sz="4" w:space="0"/>
              <w:right w:val="single" w:color="auto" w:sz="4" w:space="0"/>
            </w:tcBorders>
            <w:vAlign w:val="center"/>
          </w:tcPr>
          <w:p w14:paraId="0622668C">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50368E32">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47268F05">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6673D3EE">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568555E8">
            <w:pPr>
              <w:rPr>
                <w:rFonts w:hint="eastAsia" w:ascii="宋体" w:hAnsi="宋体" w:eastAsia="宋体" w:cs="宋体"/>
                <w:b w:val="0"/>
                <w:bCs w:val="0"/>
                <w:color w:val="auto"/>
                <w:sz w:val="21"/>
                <w:szCs w:val="21"/>
                <w:highlight w:val="none"/>
                <w:lang w:val="en-US" w:eastAsia="zh-CN"/>
              </w:rPr>
            </w:pPr>
          </w:p>
        </w:tc>
        <w:tc>
          <w:tcPr>
            <w:tcW w:w="2694" w:type="dxa"/>
            <w:vAlign w:val="center"/>
          </w:tcPr>
          <w:p w14:paraId="5FC66DBE">
            <w:pP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举办</w:t>
            </w:r>
            <w:r>
              <w:rPr>
                <w:rFonts w:hint="eastAsia" w:ascii="宋体" w:hAnsi="宋体" w:eastAsia="宋体" w:cs="宋体"/>
                <w:b w:val="0"/>
                <w:bCs w:val="0"/>
                <w:color w:val="auto"/>
                <w:sz w:val="21"/>
                <w:szCs w:val="21"/>
                <w:highlight w:val="none"/>
                <w:lang w:val="en-US" w:eastAsia="zh-CN"/>
              </w:rPr>
              <w:t>金华市业余足球联赛</w:t>
            </w:r>
          </w:p>
        </w:tc>
        <w:tc>
          <w:tcPr>
            <w:tcW w:w="1300" w:type="dxa"/>
            <w:vAlign w:val="center"/>
          </w:tcPr>
          <w:p w14:paraId="15A31388">
            <w:pPr>
              <w:snapToGrid w:val="0"/>
              <w:spacing w:line="460" w:lineRule="exact"/>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万元</w:t>
            </w:r>
          </w:p>
        </w:tc>
      </w:tr>
      <w:tr w14:paraId="1085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vMerge w:val="continue"/>
            <w:tcBorders>
              <w:left w:val="single" w:color="auto" w:sz="4" w:space="0"/>
              <w:right w:val="single" w:color="auto" w:sz="4" w:space="0"/>
            </w:tcBorders>
            <w:vAlign w:val="center"/>
          </w:tcPr>
          <w:p w14:paraId="0F7A19F8">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573E1016">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467C7C1A">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3AF34B0E">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26E97AE3">
            <w:pPr>
              <w:rPr>
                <w:rFonts w:hint="eastAsia" w:ascii="宋体" w:hAnsi="宋体" w:eastAsia="宋体" w:cs="宋体"/>
                <w:b w:val="0"/>
                <w:bCs w:val="0"/>
                <w:color w:val="auto"/>
                <w:sz w:val="21"/>
                <w:szCs w:val="21"/>
                <w:highlight w:val="none"/>
                <w:lang w:val="en-US" w:eastAsia="zh-CN"/>
              </w:rPr>
            </w:pPr>
          </w:p>
        </w:tc>
        <w:tc>
          <w:tcPr>
            <w:tcW w:w="2694" w:type="dxa"/>
            <w:vAlign w:val="center"/>
          </w:tcPr>
          <w:p w14:paraId="77A34226">
            <w:p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参加</w:t>
            </w:r>
            <w:r>
              <w:rPr>
                <w:rFonts w:hint="eastAsia" w:hAnsi="宋体" w:cs="宋体"/>
                <w:b w:val="0"/>
                <w:bCs w:val="0"/>
                <w:color w:val="auto"/>
                <w:sz w:val="21"/>
                <w:szCs w:val="21"/>
                <w:highlight w:val="none"/>
                <w:lang w:val="en-US" w:eastAsia="zh-CN"/>
              </w:rPr>
              <w:t>并承办</w:t>
            </w:r>
            <w:r>
              <w:rPr>
                <w:rFonts w:hint="eastAsia" w:ascii="宋体" w:hAnsi="宋体" w:eastAsia="宋体" w:cs="宋体"/>
                <w:b w:val="0"/>
                <w:bCs w:val="0"/>
                <w:color w:val="auto"/>
                <w:sz w:val="21"/>
                <w:szCs w:val="21"/>
                <w:highlight w:val="none"/>
                <w:lang w:val="en-US" w:eastAsia="zh-CN"/>
              </w:rPr>
              <w:t>浙江省足球超级联赛</w:t>
            </w:r>
          </w:p>
        </w:tc>
        <w:tc>
          <w:tcPr>
            <w:tcW w:w="1300" w:type="dxa"/>
            <w:vAlign w:val="center"/>
          </w:tcPr>
          <w:p w14:paraId="0CEB8E23">
            <w:pPr>
              <w:snapToGrid w:val="0"/>
              <w:spacing w:line="460" w:lineRule="exact"/>
              <w:jc w:val="center"/>
              <w:rPr>
                <w:rFonts w:hint="eastAsia" w:hAnsi="宋体" w:eastAsia="宋体" w:cs="宋体"/>
                <w:color w:val="auto"/>
                <w:kern w:val="0"/>
                <w:sz w:val="21"/>
                <w:szCs w:val="21"/>
                <w:highlight w:val="none"/>
                <w:lang w:eastAsia="zh-CN"/>
              </w:rPr>
            </w:pPr>
            <w:r>
              <w:rPr>
                <w:rFonts w:hint="eastAsia" w:hAnsi="宋体" w:eastAsia="宋体" w:cs="宋体"/>
                <w:color w:val="auto"/>
                <w:sz w:val="21"/>
                <w:szCs w:val="21"/>
                <w:highlight w:val="none"/>
                <w:lang w:val="en-US" w:eastAsia="zh-CN"/>
              </w:rPr>
              <w:t>130万元</w:t>
            </w:r>
          </w:p>
        </w:tc>
      </w:tr>
      <w:tr w14:paraId="5C72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96" w:type="dxa"/>
            <w:vMerge w:val="continue"/>
            <w:tcBorders>
              <w:left w:val="single" w:color="auto" w:sz="4" w:space="0"/>
              <w:right w:val="single" w:color="auto" w:sz="4" w:space="0"/>
            </w:tcBorders>
            <w:vAlign w:val="center"/>
          </w:tcPr>
          <w:p w14:paraId="5E661776">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53604435">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5D7CB407">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549A120A">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2F81C384">
            <w:pPr>
              <w:rPr>
                <w:rFonts w:hint="eastAsia" w:ascii="宋体" w:hAnsi="宋体" w:eastAsia="宋体" w:cs="宋体"/>
                <w:b w:val="0"/>
                <w:bCs w:val="0"/>
                <w:color w:val="auto"/>
                <w:sz w:val="21"/>
                <w:szCs w:val="21"/>
                <w:highlight w:val="none"/>
                <w:lang w:val="en-US" w:eastAsia="zh-CN"/>
              </w:rPr>
            </w:pPr>
          </w:p>
        </w:tc>
        <w:tc>
          <w:tcPr>
            <w:tcW w:w="2694" w:type="dxa"/>
            <w:vAlign w:val="center"/>
          </w:tcPr>
          <w:p w14:paraId="468DD23E">
            <w:pP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举办</w:t>
            </w:r>
            <w:r>
              <w:rPr>
                <w:rFonts w:hint="eastAsia" w:ascii="宋体" w:hAnsi="宋体" w:eastAsia="宋体" w:cs="宋体"/>
                <w:b w:val="0"/>
                <w:bCs w:val="0"/>
                <w:color w:val="auto"/>
                <w:sz w:val="21"/>
                <w:szCs w:val="21"/>
                <w:highlight w:val="none"/>
                <w:lang w:val="en-US" w:eastAsia="zh-CN"/>
              </w:rPr>
              <w:t>群众体育</w:t>
            </w:r>
            <w:r>
              <w:rPr>
                <w:rFonts w:hint="eastAsia" w:hAnsi="宋体" w:cs="宋体"/>
                <w:b w:val="0"/>
                <w:bCs w:val="0"/>
                <w:color w:val="auto"/>
                <w:sz w:val="21"/>
                <w:szCs w:val="21"/>
                <w:highlight w:val="none"/>
                <w:lang w:val="en-US" w:eastAsia="zh-CN"/>
              </w:rPr>
              <w:t>浙江省五人制足球冠军联赛</w:t>
            </w:r>
            <w:r>
              <w:rPr>
                <w:rFonts w:hint="eastAsia" w:ascii="宋体" w:hAnsi="宋体" w:eastAsia="宋体" w:cs="宋体"/>
                <w:b w:val="0"/>
                <w:bCs w:val="0"/>
                <w:color w:val="auto"/>
                <w:sz w:val="21"/>
                <w:szCs w:val="21"/>
                <w:highlight w:val="none"/>
                <w:lang w:val="en-US" w:eastAsia="zh-CN"/>
              </w:rPr>
              <w:t>金华市海选赛</w:t>
            </w:r>
          </w:p>
        </w:tc>
        <w:tc>
          <w:tcPr>
            <w:tcW w:w="1300" w:type="dxa"/>
            <w:vAlign w:val="center"/>
          </w:tcPr>
          <w:p w14:paraId="61116ED3">
            <w:pPr>
              <w:snapToGrid w:val="0"/>
              <w:spacing w:line="460" w:lineRule="exact"/>
              <w:jc w:val="center"/>
              <w:rPr>
                <w:rFonts w:hint="eastAsia"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6万元</w:t>
            </w:r>
          </w:p>
        </w:tc>
      </w:tr>
      <w:tr w14:paraId="142A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96" w:type="dxa"/>
            <w:vMerge w:val="continue"/>
            <w:tcBorders>
              <w:left w:val="single" w:color="auto" w:sz="4" w:space="0"/>
              <w:right w:val="single" w:color="auto" w:sz="4" w:space="0"/>
            </w:tcBorders>
            <w:vAlign w:val="center"/>
          </w:tcPr>
          <w:p w14:paraId="31D83C33">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2A72B350">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26EDF569">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45325A26">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6F8D96FF">
            <w:pPr>
              <w:rPr>
                <w:rFonts w:hint="eastAsia" w:ascii="宋体" w:hAnsi="宋体" w:eastAsia="宋体" w:cs="宋体"/>
                <w:b w:val="0"/>
                <w:bCs w:val="0"/>
                <w:color w:val="auto"/>
                <w:sz w:val="21"/>
                <w:szCs w:val="21"/>
                <w:highlight w:val="none"/>
                <w:lang w:val="en-US" w:eastAsia="zh-CN"/>
              </w:rPr>
            </w:pPr>
          </w:p>
        </w:tc>
        <w:tc>
          <w:tcPr>
            <w:tcW w:w="2694" w:type="dxa"/>
            <w:vAlign w:val="center"/>
          </w:tcPr>
          <w:p w14:paraId="50F0187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参加全国足球</w:t>
            </w:r>
            <w:r>
              <w:rPr>
                <w:rFonts w:hint="eastAsia" w:hAnsi="宋体" w:cs="宋体"/>
                <w:b w:val="0"/>
                <w:bCs w:val="0"/>
                <w:color w:val="auto"/>
                <w:sz w:val="21"/>
                <w:szCs w:val="21"/>
                <w:highlight w:val="none"/>
                <w:lang w:val="en-US" w:eastAsia="zh-CN"/>
              </w:rPr>
              <w:t>比</w:t>
            </w:r>
            <w:r>
              <w:rPr>
                <w:rFonts w:hint="eastAsia" w:ascii="宋体" w:hAnsi="宋体" w:eastAsia="宋体" w:cs="宋体"/>
                <w:b w:val="0"/>
                <w:bCs w:val="0"/>
                <w:color w:val="auto"/>
                <w:sz w:val="21"/>
                <w:szCs w:val="21"/>
                <w:highlight w:val="none"/>
                <w:lang w:val="en-US" w:eastAsia="zh-CN"/>
              </w:rPr>
              <w:t>赛</w:t>
            </w:r>
          </w:p>
        </w:tc>
        <w:tc>
          <w:tcPr>
            <w:tcW w:w="1300" w:type="dxa"/>
            <w:vAlign w:val="center"/>
          </w:tcPr>
          <w:p w14:paraId="0DFC5018">
            <w:pPr>
              <w:snapToGrid w:val="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40万元</w:t>
            </w:r>
          </w:p>
        </w:tc>
      </w:tr>
      <w:tr w14:paraId="3A23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6" w:type="dxa"/>
            <w:vMerge w:val="continue"/>
            <w:tcBorders>
              <w:left w:val="single" w:color="auto" w:sz="4" w:space="0"/>
              <w:right w:val="single" w:color="auto" w:sz="4" w:space="0"/>
            </w:tcBorders>
            <w:vAlign w:val="center"/>
          </w:tcPr>
          <w:p w14:paraId="6C78AB79">
            <w:pPr>
              <w:widowControl/>
              <w:snapToGrid w:val="0"/>
              <w:spacing w:line="460" w:lineRule="exact"/>
              <w:jc w:val="center"/>
              <w:rPr>
                <w:rFonts w:hint="eastAsia" w:hAnsi="宋体" w:eastAsia="宋体" w:cs="宋体"/>
                <w:color w:val="auto"/>
                <w:kern w:val="0"/>
                <w:sz w:val="21"/>
                <w:szCs w:val="21"/>
                <w:highlight w:val="none"/>
              </w:rPr>
            </w:pPr>
          </w:p>
        </w:tc>
        <w:tc>
          <w:tcPr>
            <w:tcW w:w="1079" w:type="dxa"/>
            <w:vMerge w:val="continue"/>
            <w:tcBorders>
              <w:left w:val="single" w:color="auto" w:sz="4" w:space="0"/>
              <w:right w:val="single" w:color="auto" w:sz="4" w:space="0"/>
            </w:tcBorders>
            <w:vAlign w:val="center"/>
          </w:tcPr>
          <w:p w14:paraId="20D44F52">
            <w:pPr>
              <w:keepNext w:val="0"/>
              <w:keepLines w:val="0"/>
              <w:pageBreakBefore w:val="0"/>
              <w:widowControl w:val="0"/>
              <w:kinsoku/>
              <w:wordWrap/>
              <w:overflowPunct/>
              <w:topLinePunct w:val="0"/>
              <w:bidi w:val="0"/>
              <w:snapToGrid/>
              <w:spacing w:line="460" w:lineRule="exact"/>
              <w:jc w:val="center"/>
              <w:rPr>
                <w:rFonts w:hint="eastAsia" w:hAnsi="宋体" w:eastAsia="宋体" w:cs="宋体"/>
                <w:bCs/>
                <w:color w:val="auto"/>
                <w:sz w:val="21"/>
                <w:szCs w:val="21"/>
                <w:highlight w:val="none"/>
                <w:lang w:eastAsia="zh-CN"/>
              </w:rPr>
            </w:pPr>
          </w:p>
        </w:tc>
        <w:tc>
          <w:tcPr>
            <w:tcW w:w="2565" w:type="dxa"/>
            <w:vMerge w:val="continue"/>
            <w:tcBorders>
              <w:left w:val="single" w:color="auto" w:sz="4" w:space="0"/>
              <w:right w:val="single" w:color="auto" w:sz="4" w:space="0"/>
            </w:tcBorders>
            <w:vAlign w:val="center"/>
          </w:tcPr>
          <w:p w14:paraId="4B5A0331">
            <w:pPr>
              <w:spacing w:line="460" w:lineRule="exact"/>
              <w:ind w:firstLine="0" w:firstLineChars="0"/>
              <w:jc w:val="both"/>
              <w:rPr>
                <w:rFonts w:hint="eastAsia" w:ascii="宋体" w:hAnsi="宋体" w:eastAsia="宋体" w:cs="宋体"/>
                <w:color w:val="auto"/>
                <w:sz w:val="21"/>
                <w:szCs w:val="21"/>
                <w:highlight w:val="none"/>
                <w:lang w:val="en-US" w:eastAsia="zh-CN"/>
              </w:rPr>
            </w:pPr>
          </w:p>
        </w:tc>
        <w:tc>
          <w:tcPr>
            <w:tcW w:w="749" w:type="dxa"/>
            <w:vMerge w:val="continue"/>
            <w:vAlign w:val="center"/>
          </w:tcPr>
          <w:p w14:paraId="53FDF1D8">
            <w:pPr>
              <w:tabs>
                <w:tab w:val="left" w:pos="1260"/>
              </w:tabs>
              <w:autoSpaceDE/>
              <w:autoSpaceDN/>
              <w:adjustRightInd/>
              <w:spacing w:line="460" w:lineRule="exact"/>
              <w:jc w:val="center"/>
              <w:textAlignment w:val="auto"/>
              <w:rPr>
                <w:rFonts w:hint="eastAsia" w:hAnsi="宋体" w:eastAsia="宋体" w:cs="宋体"/>
                <w:color w:val="auto"/>
                <w:sz w:val="21"/>
                <w:szCs w:val="21"/>
                <w:highlight w:val="none"/>
              </w:rPr>
            </w:pPr>
          </w:p>
        </w:tc>
        <w:tc>
          <w:tcPr>
            <w:tcW w:w="720" w:type="dxa"/>
            <w:vMerge w:val="continue"/>
            <w:vAlign w:val="center"/>
          </w:tcPr>
          <w:p w14:paraId="44E1592F">
            <w:pPr>
              <w:rPr>
                <w:rFonts w:hint="eastAsia" w:ascii="宋体" w:hAnsi="宋体" w:eastAsia="宋体" w:cs="宋体"/>
                <w:b w:val="0"/>
                <w:bCs w:val="0"/>
                <w:color w:val="auto"/>
                <w:sz w:val="21"/>
                <w:szCs w:val="21"/>
                <w:highlight w:val="none"/>
                <w:lang w:val="en-US" w:eastAsia="zh-CN"/>
              </w:rPr>
            </w:pPr>
          </w:p>
        </w:tc>
        <w:tc>
          <w:tcPr>
            <w:tcW w:w="2694" w:type="dxa"/>
            <w:vAlign w:val="center"/>
          </w:tcPr>
          <w:p w14:paraId="3395142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全国青少年女子u系列足球比赛（不包括比赛期间的场地使用费）</w:t>
            </w:r>
          </w:p>
        </w:tc>
        <w:tc>
          <w:tcPr>
            <w:tcW w:w="1300" w:type="dxa"/>
            <w:vAlign w:val="center"/>
          </w:tcPr>
          <w:p w14:paraId="0AAB640A">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60万元</w:t>
            </w:r>
          </w:p>
        </w:tc>
      </w:tr>
      <w:tr w14:paraId="0669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3" w:type="dxa"/>
            <w:gridSpan w:val="6"/>
            <w:tcBorders>
              <w:left w:val="single" w:color="auto" w:sz="4" w:space="0"/>
              <w:bottom w:val="single" w:color="auto" w:sz="4" w:space="0"/>
            </w:tcBorders>
            <w:vAlign w:val="center"/>
          </w:tcPr>
          <w:p w14:paraId="68C4CCEE">
            <w:pPr>
              <w:snapToGrid w:val="0"/>
              <w:spacing w:line="460" w:lineRule="exact"/>
              <w:jc w:val="center"/>
              <w:rPr>
                <w:rFonts w:hint="default"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合计</w:t>
            </w:r>
          </w:p>
        </w:tc>
        <w:tc>
          <w:tcPr>
            <w:tcW w:w="1300" w:type="dxa"/>
            <w:vAlign w:val="center"/>
          </w:tcPr>
          <w:p w14:paraId="77B4767E">
            <w:pPr>
              <w:snapToGrid w:val="0"/>
              <w:spacing w:line="460" w:lineRule="exact"/>
              <w:jc w:val="center"/>
              <w:rPr>
                <w:rFonts w:hint="eastAsia" w:hAnsi="宋体" w:eastAsia="宋体" w:cs="宋体"/>
                <w:color w:val="auto"/>
                <w:kern w:val="0"/>
                <w:sz w:val="21"/>
                <w:szCs w:val="21"/>
                <w:highlight w:val="none"/>
                <w:lang w:eastAsia="zh-CN"/>
              </w:rPr>
            </w:pPr>
            <w:r>
              <w:rPr>
                <w:rFonts w:hint="eastAsia" w:hAnsi="宋体" w:cs="宋体"/>
                <w:color w:val="auto"/>
                <w:kern w:val="0"/>
                <w:sz w:val="21"/>
                <w:szCs w:val="21"/>
                <w:highlight w:val="none"/>
                <w:lang w:val="en-US" w:eastAsia="zh-CN"/>
              </w:rPr>
              <w:t>306</w:t>
            </w:r>
            <w:r>
              <w:rPr>
                <w:rFonts w:hint="eastAsia" w:hAnsi="宋体" w:eastAsia="宋体" w:cs="宋体"/>
                <w:color w:val="auto"/>
                <w:kern w:val="0"/>
                <w:sz w:val="21"/>
                <w:szCs w:val="21"/>
                <w:highlight w:val="none"/>
                <w:lang w:eastAsia="zh-CN"/>
              </w:rPr>
              <w:t>万元</w:t>
            </w:r>
          </w:p>
        </w:tc>
      </w:t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5"/>
    </w:tbl>
    <w:p w14:paraId="1C7C908C">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106" w:name="_Toc21373"/>
      <w:bookmarkStart w:id="107" w:name="_Toc24091"/>
      <w:bookmarkStart w:id="108" w:name="_Toc9024"/>
      <w:bookmarkStart w:id="109" w:name="_Toc4868"/>
      <w:bookmarkStart w:id="110" w:name="_Toc831"/>
      <w:bookmarkStart w:id="111" w:name="_Toc20653"/>
      <w:bookmarkStart w:id="112" w:name="_Toc23796"/>
      <w:bookmarkStart w:id="113" w:name="_Toc16620"/>
      <w:bookmarkStart w:id="114" w:name="_Toc30556"/>
      <w:bookmarkStart w:id="115" w:name="_Toc27795"/>
      <w:bookmarkStart w:id="116" w:name="_Toc16635"/>
      <w:bookmarkStart w:id="117" w:name="_Toc19506"/>
      <w:bookmarkStart w:id="118" w:name="_Toc2149"/>
      <w:bookmarkStart w:id="119" w:name="_Toc19302"/>
      <w:bookmarkStart w:id="120" w:name="_Toc19838"/>
      <w:bookmarkStart w:id="121" w:name="_Toc11044"/>
      <w:bookmarkStart w:id="122" w:name="_Toc31454"/>
      <w:bookmarkStart w:id="123" w:name="_Toc15849"/>
      <w:r>
        <w:rPr>
          <w:rFonts w:hint="eastAsia"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、项目工作范围</w:t>
      </w:r>
    </w:p>
    <w:p w14:paraId="4A3CA253">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完成俱乐部、球员的注册，上报省足协备案，按浙超组委会规范开展赛前各部门业务培训及金华赛区的比赛场地的确定，场地的软件和硬件要求符合比赛要求，做好赛区的接待工作包括省派官员</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比赛监督</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商务监督</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裁判监督及裁判员的吃住行和费用报销等，联系媒体参与比赛的报道，进行现场直播</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拍摄等，招募赛区工作人员包括旗手</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球童</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引导人员，根据要求部署安保人员，联系</w:t>
      </w:r>
      <w:r>
        <w:rPr>
          <w:rFonts w:hint="eastAsia" w:hAnsi="宋体" w:eastAsia="宋体" w:cs="宋体"/>
          <w:color w:val="auto"/>
          <w:sz w:val="21"/>
          <w:szCs w:val="21"/>
          <w:highlight w:val="none"/>
          <w:lang w:eastAsia="zh-CN"/>
        </w:rPr>
        <w:t>卫健委</w:t>
      </w:r>
      <w:r>
        <w:rPr>
          <w:rFonts w:hint="eastAsia" w:ascii="宋体" w:hAnsi="宋体" w:eastAsia="宋体" w:cs="宋体"/>
          <w:color w:val="auto"/>
          <w:sz w:val="21"/>
          <w:szCs w:val="21"/>
          <w:highlight w:val="none"/>
        </w:rPr>
        <w:t>安排急救车及救护人员，组织球迷主客场的助威活动，培养金华本土的足球文化，提高金华足球氛围在全省的地位。</w:t>
      </w:r>
    </w:p>
    <w:p w14:paraId="4396E79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挑选符合比赛要求的运动员和教练员组建金华代表队的日常训练，热身赛及参加浙超联赛，负责金华代表队的训练及比赛期间的吃住行的服务工作，比赛及训练中的医疗保障，赛前赛中及赛后的宣传工作等。</w:t>
      </w:r>
    </w:p>
    <w:p w14:paraId="02771B4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完成</w:t>
      </w:r>
      <w:r>
        <w:rPr>
          <w:rFonts w:hint="eastAsia" w:hAnsi="宋体" w:eastAsia="宋体" w:cs="宋体"/>
          <w:color w:val="auto"/>
          <w:sz w:val="21"/>
          <w:szCs w:val="21"/>
          <w:highlight w:val="none"/>
          <w:lang w:val="en-US" w:eastAsia="zh-CN"/>
        </w:rPr>
        <w:t>202</w:t>
      </w: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五冠金华市海选赛比赛组织安排。</w:t>
      </w:r>
    </w:p>
    <w:p w14:paraId="2D2FA8C7">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完成市级足球项目竞技体育赛事活动（</w:t>
      </w:r>
      <w:r>
        <w:rPr>
          <w:rFonts w:hint="eastAsia" w:hAnsi="宋体" w:cs="宋体"/>
          <w:color w:val="auto"/>
          <w:sz w:val="21"/>
          <w:szCs w:val="21"/>
          <w:highlight w:val="none"/>
          <w:lang w:val="en-US" w:eastAsia="zh-CN"/>
        </w:rPr>
        <w:t>如：</w:t>
      </w:r>
      <w:r>
        <w:rPr>
          <w:rFonts w:hint="eastAsia" w:ascii="宋体" w:hAnsi="宋体" w:eastAsia="宋体" w:cs="宋体"/>
          <w:color w:val="auto"/>
          <w:sz w:val="21"/>
          <w:szCs w:val="21"/>
          <w:highlight w:val="none"/>
        </w:rPr>
        <w:t>金华市青少年足球锦标赛</w:t>
      </w:r>
      <w:r>
        <w:rPr>
          <w:rFonts w:hint="eastAsia" w:hAnsi="宋体" w:cs="宋体"/>
          <w:color w:val="auto"/>
          <w:sz w:val="21"/>
          <w:szCs w:val="21"/>
          <w:highlight w:val="none"/>
          <w:lang w:val="en-US" w:eastAsia="zh-CN"/>
        </w:rPr>
        <w:t>等，见上表</w:t>
      </w:r>
      <w:r>
        <w:rPr>
          <w:rFonts w:hint="eastAsia" w:ascii="宋体" w:hAnsi="宋体" w:eastAsia="宋体" w:cs="宋体"/>
          <w:color w:val="auto"/>
          <w:sz w:val="21"/>
          <w:szCs w:val="21"/>
          <w:highlight w:val="none"/>
        </w:rPr>
        <w:t>）</w:t>
      </w:r>
    </w:p>
    <w:p w14:paraId="771F43B2">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、具体工作要求</w:t>
      </w:r>
    </w:p>
    <w:p w14:paraId="0140C56B">
      <w:pPr>
        <w:keepNext w:val="0"/>
        <w:keepLines w:val="0"/>
        <w:pageBreakBefore w:val="0"/>
        <w:widowControl w:val="0"/>
        <w:kinsoku/>
        <w:wordWrap/>
        <w:overflowPunct/>
        <w:topLinePunct w:val="0"/>
        <w:bidi w:val="0"/>
        <w:snapToGri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前期筹备</w:t>
      </w:r>
    </w:p>
    <w:p w14:paraId="35E1AD46">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（1）参加省足协组织的浙超联赛筹备会议，明确承办要求，参赛注意事项</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确定球队主教练、助理教练等教练组团队人员，签订工作合同</w:t>
      </w:r>
      <w:r>
        <w:rPr>
          <w:rFonts w:hint="eastAsia" w:ascii="宋体" w:hAnsi="宋体" w:eastAsia="宋体" w:cs="宋体"/>
          <w:color w:val="auto"/>
          <w:sz w:val="21"/>
          <w:szCs w:val="21"/>
          <w:highlight w:val="none"/>
          <w:lang w:val="en-US" w:eastAsia="zh-CN"/>
        </w:rPr>
        <w:t>；</w:t>
      </w:r>
    </w:p>
    <w:p w14:paraId="061D5DD2">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（2）组织完成</w:t>
      </w:r>
      <w:r>
        <w:rPr>
          <w:rFonts w:hint="eastAsia" w:hAnsi="宋体" w:cs="宋体"/>
          <w:color w:val="auto"/>
          <w:sz w:val="21"/>
          <w:szCs w:val="21"/>
          <w:highlight w:val="none"/>
          <w:lang w:val="en-US" w:eastAsia="zh-CN"/>
        </w:rPr>
        <w:t>2025年</w:t>
      </w:r>
      <w:r>
        <w:rPr>
          <w:rFonts w:hint="eastAsia" w:ascii="宋体" w:hAnsi="宋体" w:eastAsia="宋体" w:cs="宋体"/>
          <w:color w:val="auto"/>
          <w:sz w:val="21"/>
          <w:szCs w:val="21"/>
          <w:highlight w:val="none"/>
        </w:rPr>
        <w:t>五冠金华市海选赛</w:t>
      </w:r>
      <w:r>
        <w:rPr>
          <w:rFonts w:hint="eastAsia" w:ascii="宋体" w:hAnsi="宋体" w:eastAsia="宋体" w:cs="宋体"/>
          <w:color w:val="auto"/>
          <w:sz w:val="21"/>
          <w:szCs w:val="21"/>
          <w:highlight w:val="none"/>
          <w:lang w:val="en-US" w:eastAsia="zh-CN"/>
        </w:rPr>
        <w:t>；</w:t>
      </w:r>
    </w:p>
    <w:p w14:paraId="57DE53AE">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（3）组织完成市级足球项目竞技体育赛事活动（金华市青少年足球锦标赛</w:t>
      </w:r>
      <w:r>
        <w:rPr>
          <w:rFonts w:hint="eastAsia" w:hAnsi="宋体" w:cs="宋体"/>
          <w:color w:val="auto"/>
          <w:sz w:val="21"/>
          <w:szCs w:val="21"/>
          <w:highlight w:val="none"/>
          <w:lang w:val="en-US"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p w14:paraId="470C2D9A">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（4）帮助参加浙超俱乐部寻找优秀队员，根据球队的人员确定战术打法，制定浙超联赛期间训练计划，赛事开始前组织球员赴杭州、上海等地进行集训，与省足协进行对接，完成球员的转会、注册、备案</w:t>
      </w:r>
      <w:r>
        <w:rPr>
          <w:rFonts w:hint="eastAsia" w:ascii="宋体" w:hAnsi="宋体" w:eastAsia="宋体" w:cs="宋体"/>
          <w:color w:val="auto"/>
          <w:sz w:val="21"/>
          <w:szCs w:val="21"/>
          <w:highlight w:val="none"/>
          <w:lang w:val="en-US" w:eastAsia="zh-CN"/>
        </w:rPr>
        <w:t>；</w:t>
      </w:r>
    </w:p>
    <w:p w14:paraId="23CFD0DB">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（5）与球员签订合同，购买赛事期间的保险，完成球员的体检工作</w:t>
      </w:r>
      <w:r>
        <w:rPr>
          <w:rFonts w:hint="eastAsia" w:ascii="宋体" w:hAnsi="宋体" w:eastAsia="宋体" w:cs="宋体"/>
          <w:color w:val="auto"/>
          <w:sz w:val="21"/>
          <w:szCs w:val="21"/>
          <w:highlight w:val="none"/>
          <w:lang w:val="en-US" w:eastAsia="zh-CN"/>
        </w:rPr>
        <w:t>；</w:t>
      </w:r>
    </w:p>
    <w:p w14:paraId="7888D050">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（6）确定球队的冠名商及相关赞助，确定主客场球衣的款式、颜色及球员号码，以及为前期的赛事进行宣传预热及招商工作</w:t>
      </w:r>
      <w:r>
        <w:rPr>
          <w:rFonts w:hint="eastAsia" w:ascii="宋体" w:hAnsi="宋体" w:eastAsia="宋体" w:cs="宋体"/>
          <w:color w:val="auto"/>
          <w:sz w:val="21"/>
          <w:szCs w:val="21"/>
          <w:highlight w:val="none"/>
          <w:lang w:val="en-US" w:eastAsia="zh-CN"/>
        </w:rPr>
        <w:t>；</w:t>
      </w:r>
    </w:p>
    <w:p w14:paraId="09B9C896">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（7）为增强金华地区的球迷文化及足球氛围，扩大婺魂球迷人数，并取得省内主客场各方的认可。</w:t>
      </w:r>
    </w:p>
    <w:p w14:paraId="43A3A11E">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赛事中期准备</w:t>
      </w:r>
    </w:p>
    <w:p w14:paraId="5DBE7EE0">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做好赛事的组织、管理等工作，对运动员的健康证明、人身伤害保险等进行核查；编排竞赛和选派裁判员队伍，报组委会审核；</w:t>
      </w:r>
    </w:p>
    <w:p w14:paraId="39862CDA">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负责提出单项竞委会组成方案，报组委会审核；</w:t>
      </w:r>
    </w:p>
    <w:p w14:paraId="46AE6B78">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（3）安排好赛场、食宿、交通、医务等各项保障工作，保障住宿与赛场间的交通，安排好运动员的训练和生活；</w:t>
      </w:r>
    </w:p>
    <w:p w14:paraId="4E660422">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按照竞赛相关规定，做好裁判员的选派任用工作，并报市体育局训竞处审定，为运动队创造公开、公平、公正的良好比赛环境；</w:t>
      </w:r>
    </w:p>
    <w:p w14:paraId="00227033">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组委会名单须报市体育局训竞处审定；</w:t>
      </w:r>
    </w:p>
    <w:p w14:paraId="5935624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做好安全预案，确保人身、交通、财产、食品、赛事等方面的安全，防止安全事故的发生，确保比赛规范、安全、顺利；</w:t>
      </w:r>
    </w:p>
    <w:p w14:paraId="4E2E93F6">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赛事期间，市体育局训竞处视情况派人指导监督；</w:t>
      </w:r>
    </w:p>
    <w:p w14:paraId="5811DEBC">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及时做好信息宣传工作。</w:t>
      </w:r>
    </w:p>
    <w:p w14:paraId="2E1207B2">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赛事后期工作</w:t>
      </w:r>
    </w:p>
    <w:p w14:paraId="3F5F744C">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（1）按要求做好比赛总结及汇编材料3份；</w:t>
      </w:r>
    </w:p>
    <w:p w14:paraId="79463B70">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（2）提供赛事活动绩效自评报告；</w:t>
      </w:r>
    </w:p>
    <w:p w14:paraId="2B6CDFA7">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（3）提供比赛媒体宣传清单及照片集锦。</w:t>
      </w:r>
    </w:p>
    <w:p w14:paraId="020A4B58">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服务期限</w:t>
      </w:r>
    </w:p>
    <w:p w14:paraId="17B8F6D0">
      <w:pPr>
        <w:pStyle w:val="2"/>
        <w:keepNext w:val="0"/>
        <w:keepLines w:val="0"/>
        <w:pageBreakBefore w:val="0"/>
        <w:widowControl w:val="0"/>
        <w:kinsoku/>
        <w:wordWrap/>
        <w:overflowPunct/>
        <w:topLinePunct w:val="0"/>
        <w:bidi w:val="0"/>
        <w:snapToGrid/>
        <w:spacing w:after="0" w:line="500" w:lineRule="exact"/>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服务期限：自合同签订之日起至赛事活动完成并通过验收。如遇</w:t>
      </w:r>
      <w:r>
        <w:rPr>
          <w:rFonts w:hint="eastAsia" w:ascii="宋体" w:hAnsi="宋体"/>
          <w:color w:val="auto"/>
          <w:sz w:val="21"/>
          <w:highlight w:val="none"/>
        </w:rPr>
        <w:t>不可抗力</w:t>
      </w:r>
      <w:r>
        <w:rPr>
          <w:rFonts w:hint="eastAsia" w:ascii="宋体" w:hAnsi="宋体" w:eastAsia="宋体" w:cs="宋体"/>
          <w:b w:val="0"/>
          <w:bCs w:val="0"/>
          <w:color w:val="auto"/>
          <w:sz w:val="21"/>
          <w:szCs w:val="21"/>
          <w:highlight w:val="none"/>
          <w:lang w:val="en-US" w:eastAsia="zh-CN"/>
        </w:rPr>
        <w:t>等原因造成延误的，则按采购方的要求进行顺延直至完成全部工作。</w:t>
      </w:r>
    </w:p>
    <w:p w14:paraId="5945EB80">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、项目预算及</w:t>
      </w:r>
      <w:r>
        <w:rPr>
          <w:rFonts w:hint="eastAsia" w:ascii="宋体"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报价要求</w:t>
      </w:r>
    </w:p>
    <w:p w14:paraId="7F51E14D">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本项目预算金额为</w:t>
      </w:r>
      <w:r>
        <w:rPr>
          <w:rFonts w:hint="eastAsia" w:ascii="宋体" w:hAnsi="宋体" w:eastAsia="宋体" w:cs="宋体"/>
          <w:b w:val="0"/>
          <w:bCs/>
          <w:color w:val="auto"/>
          <w:sz w:val="21"/>
          <w:szCs w:val="21"/>
          <w:highlight w:val="none"/>
        </w:rPr>
        <w:t>人民币</w:t>
      </w:r>
      <w:r>
        <w:rPr>
          <w:rFonts w:hint="eastAsia" w:ascii="宋体" w:hAnsi="宋体" w:cs="宋体"/>
          <w:b w:val="0"/>
          <w:bCs/>
          <w:color w:val="auto"/>
          <w:sz w:val="21"/>
          <w:szCs w:val="21"/>
          <w:highlight w:val="none"/>
          <w:lang w:val="en-US" w:eastAsia="zh-CN"/>
        </w:rPr>
        <w:t>306万元</w:t>
      </w:r>
      <w:r>
        <w:rPr>
          <w:rFonts w:hint="eastAsia" w:ascii="宋体" w:hAnsi="宋体" w:eastAsia="宋体" w:cs="宋体"/>
          <w:b/>
          <w:color w:val="auto"/>
          <w:sz w:val="21"/>
          <w:szCs w:val="21"/>
          <w:highlight w:val="none"/>
        </w:rPr>
        <w:t>。</w:t>
      </w:r>
    </w:p>
    <w:p w14:paraId="636AB3BC">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本项目为交钥匙工程</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，项目费用（报价）包括采购文件中</w:t>
      </w:r>
      <w:r>
        <w:rPr>
          <w:rFonts w:hint="eastAsia" w:ascii="宋体" w:hAnsi="宋体" w:eastAsia="宋体" w:cs="宋体"/>
          <w:color w:val="auto"/>
          <w:sz w:val="21"/>
          <w:szCs w:val="21"/>
          <w:highlight w:val="none"/>
          <w:lang w:val="en-US" w:eastAsia="zh-CN"/>
        </w:rPr>
        <w:t>所要求全部工作</w:t>
      </w:r>
      <w:r>
        <w:rPr>
          <w:rFonts w:hint="eastAsia" w:ascii="宋体" w:hAnsi="宋体" w:eastAsia="宋体" w:cs="宋体"/>
          <w:color w:val="auto"/>
          <w:sz w:val="21"/>
          <w:szCs w:val="21"/>
          <w:highlight w:val="none"/>
        </w:rPr>
        <w:t>的赛事筹备、策划、组织、宣传、后勤保障、补给物资、证件等材料制作、交通费、</w:t>
      </w:r>
      <w:r>
        <w:rPr>
          <w:rFonts w:hint="eastAsia" w:ascii="宋体" w:hAnsi="宋体" w:cs="宋体"/>
          <w:color w:val="auto"/>
          <w:sz w:val="21"/>
          <w:szCs w:val="21"/>
          <w:highlight w:val="none"/>
          <w:lang w:val="en-US" w:eastAsia="zh-CN"/>
        </w:rPr>
        <w:t>住宿费、</w:t>
      </w:r>
      <w:r>
        <w:rPr>
          <w:rFonts w:hint="eastAsia" w:ascii="宋体" w:hAnsi="宋体" w:eastAsia="宋体" w:cs="宋体"/>
          <w:color w:val="auto"/>
          <w:sz w:val="21"/>
          <w:szCs w:val="21"/>
          <w:highlight w:val="none"/>
        </w:rPr>
        <w:t>人员费用、管理费用、项目执行费用，以及包括完成这些工作所必需的其他费用、利润、税金、</w:t>
      </w:r>
      <w:r>
        <w:rPr>
          <w:rFonts w:hint="eastAsia" w:ascii="宋体" w:hAnsi="宋体" w:cs="宋体"/>
          <w:color w:val="auto"/>
          <w:sz w:val="21"/>
          <w:szCs w:val="21"/>
          <w:highlight w:val="none"/>
          <w:lang w:val="en-US" w:eastAsia="zh-CN"/>
        </w:rPr>
        <w:t>代理服务费、</w:t>
      </w:r>
      <w:r>
        <w:rPr>
          <w:rFonts w:hint="eastAsia" w:ascii="宋体" w:hAnsi="宋体" w:eastAsia="宋体" w:cs="宋体"/>
          <w:color w:val="auto"/>
          <w:sz w:val="21"/>
          <w:szCs w:val="21"/>
          <w:highlight w:val="none"/>
        </w:rPr>
        <w:t>政策性文件规定及合同包含的所有风险及责任等各项应有费用外，项目实施过程中产生的任何费用，均由成交人承担，成交人所投报的价格在合同实施期间不做调整。</w:t>
      </w:r>
    </w:p>
    <w:p w14:paraId="70AB69E4">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成交供应商可以凭自身能力利用本活动平台获取广告、赞助等合法收益以弥补活动经费之不足并扩大盈利，但相关内容需经主办方审核备案，要求内容符合国家、省、市相关规定，并与本次活动形象、性质相符，如出现有损赛事及政府形象等相关问题，造成不良影响，采购人有权终止合同，拒绝支付合同款项，并追究成交供应商的法律责任。</w:t>
      </w:r>
    </w:p>
    <w:p w14:paraId="38A47520">
      <w:pPr>
        <w:pStyle w:val="63"/>
        <w:keepNext w:val="0"/>
        <w:keepLines w:val="0"/>
        <w:pageBreakBefore w:val="0"/>
        <w:widowControl w:val="0"/>
        <w:kinsoku/>
        <w:wordWrap/>
        <w:overflowPunct/>
        <w:topLinePunct w:val="0"/>
        <w:bidi w:val="0"/>
        <w:snapToGrid/>
        <w:spacing w:before="0" w:after="0" w:line="500" w:lineRule="exact"/>
        <w:ind w:firstLine="415" w:firstLineChars="198"/>
        <w:jc w:val="left"/>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4.经费使用及对外发布有关赛事的相关内容，均</w:t>
      </w:r>
      <w:r>
        <w:rPr>
          <w:rFonts w:hint="eastAsia" w:ascii="宋体" w:hAnsi="宋体" w:eastAsia="宋体" w:cs="宋体"/>
          <w:b w:val="0"/>
          <w:color w:val="auto"/>
          <w:kern w:val="2"/>
          <w:sz w:val="21"/>
          <w:szCs w:val="21"/>
          <w:highlight w:val="none"/>
          <w:lang w:val="en-US" w:eastAsia="zh-CN"/>
        </w:rPr>
        <w:t>须</w:t>
      </w:r>
      <w:r>
        <w:rPr>
          <w:rFonts w:hint="eastAsia" w:ascii="宋体" w:hAnsi="宋体" w:eastAsia="宋体" w:cs="宋体"/>
          <w:b w:val="0"/>
          <w:color w:val="auto"/>
          <w:kern w:val="2"/>
          <w:sz w:val="21"/>
          <w:szCs w:val="21"/>
          <w:highlight w:val="none"/>
        </w:rPr>
        <w:t>事先报市体育局训竞审定，方可实施。</w:t>
      </w:r>
    </w:p>
    <w:p w14:paraId="691FF8E3">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、付款方式</w:t>
      </w:r>
    </w:p>
    <w:p w14:paraId="50C4367E">
      <w:pPr>
        <w:snapToGrid w:val="0"/>
        <w:spacing w:line="5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合同价款分三次支付，具体约定如下：</w:t>
      </w:r>
    </w:p>
    <w:p w14:paraId="4D4D3C38">
      <w:pPr>
        <w:snapToGrid w:val="0"/>
        <w:spacing w:line="500" w:lineRule="exact"/>
        <w:ind w:firstLine="420" w:firstLineChars="200"/>
        <w:rPr>
          <w:rFonts w:hint="eastAsia"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hAnsi="宋体" w:cs="宋体"/>
          <w:b w:val="0"/>
          <w:bCs/>
          <w:color w:val="auto"/>
          <w:sz w:val="21"/>
          <w:szCs w:val="21"/>
          <w:highlight w:val="none"/>
          <w:lang w:eastAsia="zh-CN"/>
        </w:rPr>
        <w:t>2025年</w:t>
      </w:r>
      <w:r>
        <w:rPr>
          <w:rFonts w:hint="eastAsia" w:ascii="宋体" w:hAnsi="宋体" w:eastAsia="宋体" w:cs="宋体"/>
          <w:b w:val="0"/>
          <w:bCs/>
          <w:color w:val="auto"/>
          <w:sz w:val="21"/>
          <w:szCs w:val="21"/>
          <w:highlight w:val="none"/>
        </w:rPr>
        <w:t>合同签订后7个工作日内，采购人第一次支付合同总</w:t>
      </w:r>
      <w:r>
        <w:rPr>
          <w:rFonts w:hint="eastAsia" w:hAnsi="宋体" w:cs="宋体"/>
          <w:b w:val="0"/>
          <w:bCs/>
          <w:color w:val="auto"/>
          <w:sz w:val="21"/>
          <w:szCs w:val="21"/>
          <w:highlight w:val="none"/>
          <w:lang w:val="en-US" w:eastAsia="zh-CN"/>
        </w:rPr>
        <w:t>金额</w:t>
      </w:r>
      <w:r>
        <w:rPr>
          <w:rFonts w:hint="eastAsia" w:ascii="宋体" w:hAnsi="宋体" w:eastAsia="宋体" w:cs="宋体"/>
          <w:b w:val="0"/>
          <w:bCs/>
          <w:color w:val="auto"/>
          <w:sz w:val="21"/>
          <w:szCs w:val="21"/>
          <w:highlight w:val="none"/>
        </w:rPr>
        <w:t>的60％</w:t>
      </w:r>
      <w:r>
        <w:rPr>
          <w:rFonts w:hint="eastAsia" w:hAnsi="宋体" w:cs="宋体"/>
          <w:b w:val="0"/>
          <w:bCs/>
          <w:color w:val="auto"/>
          <w:sz w:val="21"/>
          <w:szCs w:val="21"/>
          <w:highlight w:val="none"/>
          <w:lang w:val="en-US" w:eastAsia="zh-CN"/>
        </w:rPr>
        <w:t>价款</w:t>
      </w:r>
      <w:r>
        <w:rPr>
          <w:rFonts w:hint="eastAsia" w:ascii="宋体" w:hAnsi="宋体" w:eastAsia="宋体" w:cs="宋体"/>
          <w:b w:val="0"/>
          <w:bCs/>
          <w:color w:val="auto"/>
          <w:sz w:val="21"/>
          <w:szCs w:val="21"/>
          <w:highlight w:val="none"/>
          <w:lang w:eastAsia="zh-CN"/>
        </w:rPr>
        <w:t>，</w:t>
      </w:r>
      <w:r>
        <w:rPr>
          <w:rFonts w:hint="eastAsia" w:hAnsi="宋体" w:eastAsia="宋体" w:cs="宋体"/>
          <w:color w:val="auto"/>
          <w:sz w:val="21"/>
          <w:szCs w:val="21"/>
          <w:highlight w:val="none"/>
        </w:rPr>
        <w:t>如在签订合同时，</w:t>
      </w:r>
      <w:r>
        <w:rPr>
          <w:rFonts w:hint="eastAsia" w:hAnsi="宋体" w:eastAsia="宋体" w:cs="宋体"/>
          <w:bCs/>
          <w:color w:val="auto"/>
          <w:sz w:val="21"/>
          <w:szCs w:val="21"/>
          <w:highlight w:val="none"/>
        </w:rPr>
        <w:t>成交人</w:t>
      </w:r>
      <w:r>
        <w:rPr>
          <w:rFonts w:hint="eastAsia" w:hAnsi="宋体" w:eastAsia="宋体" w:cs="宋体"/>
          <w:color w:val="auto"/>
          <w:sz w:val="21"/>
          <w:szCs w:val="21"/>
          <w:highlight w:val="none"/>
        </w:rPr>
        <w:t>明确表示无需预付款或者主动要求降低预付款比例的，可降低预付款比例，且须在合同签订前与采购方沟通确定，并提供无需预付款或者降低预付款比例的承诺，双方就此条款可对合同中的支付方式进行调整；</w:t>
      </w:r>
    </w:p>
    <w:p w14:paraId="2C36B4E9">
      <w:pPr>
        <w:snapToGrid w:val="0"/>
        <w:spacing w:line="500" w:lineRule="exact"/>
        <w:ind w:firstLine="420" w:firstLineChars="200"/>
        <w:rPr>
          <w:rFonts w:hint="eastAsia" w:hAnsi="宋体" w:eastAsia="宋体" w:cs="宋体"/>
          <w:b w:val="0"/>
          <w:bCs/>
          <w:color w:val="auto"/>
          <w:sz w:val="21"/>
          <w:szCs w:val="21"/>
          <w:highlight w:val="none"/>
          <w:lang w:val="en-US" w:eastAsia="zh-CN"/>
        </w:rPr>
      </w:pPr>
      <w:r>
        <w:rPr>
          <w:rFonts w:hint="eastAsia" w:hAnsi="宋体" w:eastAsia="宋体" w:cs="宋体"/>
          <w:b w:val="0"/>
          <w:bCs/>
          <w:color w:val="auto"/>
          <w:sz w:val="21"/>
          <w:szCs w:val="21"/>
          <w:highlight w:val="none"/>
          <w:lang w:val="en-US" w:eastAsia="zh-CN"/>
        </w:rPr>
        <w:t>2.</w:t>
      </w:r>
      <w:r>
        <w:rPr>
          <w:rFonts w:hint="eastAsia" w:hAnsi="宋体" w:eastAsia="宋体" w:cs="宋体"/>
          <w:color w:val="auto"/>
          <w:sz w:val="21"/>
          <w:szCs w:val="21"/>
          <w:highlight w:val="none"/>
        </w:rPr>
        <w:t>2025-2026年服务期间项目完成至总任务量的80%后</w:t>
      </w:r>
      <w:r>
        <w:rPr>
          <w:rFonts w:hint="eastAsia" w:hAnsi="宋体" w:eastAsia="宋体" w:cs="宋体"/>
          <w:b w:val="0"/>
          <w:bCs/>
          <w:color w:val="auto"/>
          <w:sz w:val="21"/>
          <w:szCs w:val="21"/>
          <w:highlight w:val="none"/>
          <w:lang w:val="en-US" w:eastAsia="zh-CN"/>
        </w:rPr>
        <w:t>，由采购人责任处室组织对其已完成的任务量进行认定与验收，经验收确认并提交验收报告后，采购人第二次支付合同总</w:t>
      </w:r>
      <w:r>
        <w:rPr>
          <w:rFonts w:hint="eastAsia" w:hAnsi="宋体" w:cs="宋体"/>
          <w:b w:val="0"/>
          <w:bCs/>
          <w:color w:val="auto"/>
          <w:sz w:val="21"/>
          <w:szCs w:val="21"/>
          <w:highlight w:val="none"/>
          <w:lang w:val="en-US" w:eastAsia="zh-CN"/>
        </w:rPr>
        <w:t>金额</w:t>
      </w:r>
      <w:r>
        <w:rPr>
          <w:rFonts w:hint="eastAsia" w:hAnsi="宋体" w:eastAsia="宋体" w:cs="宋体"/>
          <w:b w:val="0"/>
          <w:bCs/>
          <w:color w:val="auto"/>
          <w:sz w:val="21"/>
          <w:szCs w:val="21"/>
          <w:highlight w:val="none"/>
          <w:lang w:val="en-US" w:eastAsia="zh-CN"/>
        </w:rPr>
        <w:t>的20%</w:t>
      </w:r>
      <w:r>
        <w:rPr>
          <w:rFonts w:hint="eastAsia" w:hAnsi="宋体" w:cs="宋体"/>
          <w:b w:val="0"/>
          <w:bCs/>
          <w:color w:val="auto"/>
          <w:sz w:val="21"/>
          <w:szCs w:val="21"/>
          <w:highlight w:val="none"/>
          <w:lang w:val="en-US" w:eastAsia="zh-CN"/>
        </w:rPr>
        <w:t>价款</w:t>
      </w:r>
      <w:r>
        <w:rPr>
          <w:rFonts w:hint="eastAsia" w:hAnsi="宋体" w:eastAsia="宋体" w:cs="宋体"/>
          <w:b w:val="0"/>
          <w:bCs/>
          <w:color w:val="auto"/>
          <w:sz w:val="21"/>
          <w:szCs w:val="21"/>
          <w:highlight w:val="none"/>
          <w:lang w:val="en-US" w:eastAsia="zh-CN"/>
        </w:rPr>
        <w:t>；</w:t>
      </w:r>
    </w:p>
    <w:p w14:paraId="510ED307">
      <w:pPr>
        <w:snapToGrid w:val="0"/>
        <w:spacing w:line="500" w:lineRule="exact"/>
        <w:ind w:firstLine="420" w:firstLineChars="200"/>
        <w:rPr>
          <w:rFonts w:hint="eastAsia" w:hAnsi="宋体" w:eastAsia="宋体" w:cs="宋体"/>
          <w:b w:val="0"/>
          <w:bCs/>
          <w:color w:val="auto"/>
          <w:sz w:val="21"/>
          <w:szCs w:val="21"/>
          <w:highlight w:val="none"/>
          <w:lang w:val="en-US" w:eastAsia="zh-CN"/>
        </w:rPr>
      </w:pPr>
      <w:r>
        <w:rPr>
          <w:rFonts w:hint="eastAsia" w:hAnsi="宋体" w:eastAsia="宋体" w:cs="宋体"/>
          <w:b w:val="0"/>
          <w:bCs/>
          <w:color w:val="auto"/>
          <w:sz w:val="21"/>
          <w:szCs w:val="21"/>
          <w:highlight w:val="none"/>
          <w:lang w:val="en-US" w:eastAsia="zh-CN"/>
        </w:rPr>
        <w:t>3.项目结束后，由采购人对本项目进行绩效评价，采购人根据绩效评价结果按以下原则支付合同剩余价款：</w:t>
      </w:r>
    </w:p>
    <w:p w14:paraId="62435D2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（1）绩效评价结果为优秀，202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年采购人支付合同剩余价款的100%；</w:t>
      </w:r>
    </w:p>
    <w:p w14:paraId="0DE83E38">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（2）绩效评价结果为良好，202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年采购人支付合同剩余价款的90%，余额不再支付；</w:t>
      </w:r>
    </w:p>
    <w:p w14:paraId="01D4112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（3）绩效评价结果为中，202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年采购人支付合同剩余价款的80%，余额不再支付；</w:t>
      </w:r>
    </w:p>
    <w:p w14:paraId="45942FE2">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（4）绩效评价结果</w:t>
      </w:r>
      <w:r>
        <w:rPr>
          <w:rFonts w:hint="eastAsia" w:hAnsi="宋体" w:cs="宋体"/>
          <w:b w:val="0"/>
          <w:bCs/>
          <w:color w:val="auto"/>
          <w:sz w:val="21"/>
          <w:szCs w:val="21"/>
          <w:highlight w:val="none"/>
          <w:lang w:val="en-US" w:eastAsia="zh-CN"/>
        </w:rPr>
        <w:t>若</w:t>
      </w:r>
      <w:r>
        <w:rPr>
          <w:rFonts w:hint="eastAsia" w:hAnsi="宋体" w:eastAsia="宋体" w:cs="宋体"/>
          <w:b w:val="0"/>
          <w:bCs/>
          <w:color w:val="auto"/>
          <w:sz w:val="21"/>
          <w:szCs w:val="21"/>
          <w:highlight w:val="none"/>
          <w:lang w:val="en-US" w:eastAsia="zh-CN"/>
        </w:rPr>
        <w:t>不合格</w:t>
      </w:r>
      <w:r>
        <w:rPr>
          <w:rFonts w:hint="eastAsia" w:ascii="宋体" w:hAnsi="宋体" w:eastAsia="宋体" w:cs="宋体"/>
          <w:b w:val="0"/>
          <w:bCs/>
          <w:color w:val="auto"/>
          <w:sz w:val="21"/>
          <w:szCs w:val="21"/>
          <w:highlight w:val="none"/>
        </w:rPr>
        <w:t>或有下列情况之一的为较差，采购人不支付合同剩余价款；对采购人造成损失的，采购人有权要求成交人赔偿损失：</w:t>
      </w:r>
    </w:p>
    <w:p w14:paraId="33EA5E19">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① 违反采购文件规定，未经采购人批准擅自更改实施方案或改变实施内容；</w:t>
      </w:r>
    </w:p>
    <w:p w14:paraId="149FB2A9">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② 在绩效评价、稽查和其他相关检查中发现项目质量等方面存在重大问题；</w:t>
      </w:r>
    </w:p>
    <w:p w14:paraId="0E8481DA">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③ 项目发生安全事故或严重事故，或者造成重大经济损失和社会不良影响；</w:t>
      </w:r>
    </w:p>
    <w:p w14:paraId="457ED3BC">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④ 项目实施进度非因不可抗力因素严重滞后。</w:t>
      </w:r>
    </w:p>
    <w:p w14:paraId="07B62BFF">
      <w:pPr>
        <w:spacing w:line="500" w:lineRule="exact"/>
        <w:ind w:firstLine="420" w:firstLineChars="200"/>
        <w:jc w:val="both"/>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结算时承办方（成交人）须提供正式税务发票</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采购方是在承办方提供正式税务发票以后才付款。）</w:t>
      </w:r>
    </w:p>
    <w:p w14:paraId="44BF1DF7">
      <w:pPr>
        <w:spacing w:line="500" w:lineRule="exact"/>
        <w:ind w:firstLine="320" w:firstLineChars="100"/>
        <w:jc w:val="both"/>
        <w:rPr>
          <w:rFonts w:hint="eastAsia" w:hAnsi="宋体" w:eastAsia="宋体" w:cs="宋体"/>
          <w:color w:val="auto"/>
          <w:sz w:val="32"/>
          <w:szCs w:val="32"/>
          <w:highlight w:val="none"/>
        </w:rPr>
      </w:pPr>
    </w:p>
    <w:p w14:paraId="5C7DAB7A">
      <w:pPr>
        <w:pStyle w:val="17"/>
        <w:rPr>
          <w:rFonts w:hint="eastAsia" w:ascii="宋体" w:hAnsi="宋体" w:eastAsia="宋体" w:cs="宋体"/>
          <w:color w:val="auto"/>
          <w:sz w:val="32"/>
          <w:szCs w:val="32"/>
          <w:highlight w:val="none"/>
        </w:rPr>
      </w:pPr>
    </w:p>
    <w:p w14:paraId="0F6B3364">
      <w:pPr>
        <w:outlineLvl w:val="9"/>
        <w:rPr>
          <w:rFonts w:hint="eastAsia" w:hAnsi="宋体" w:eastAsia="宋体" w:cs="宋体"/>
          <w:color w:val="auto"/>
          <w:sz w:val="32"/>
          <w:szCs w:val="32"/>
          <w:highlight w:val="none"/>
        </w:rPr>
      </w:pPr>
    </w:p>
    <w:p w14:paraId="7D9F813C">
      <w:pPr>
        <w:outlineLvl w:val="9"/>
        <w:rPr>
          <w:rFonts w:hint="eastAsia" w:hAnsi="宋体" w:eastAsia="宋体" w:cs="宋体"/>
          <w:color w:val="auto"/>
          <w:sz w:val="32"/>
          <w:szCs w:val="32"/>
          <w:highlight w:val="none"/>
        </w:rPr>
      </w:pPr>
    </w:p>
    <w:p w14:paraId="33176303">
      <w:pPr>
        <w:outlineLvl w:val="9"/>
        <w:rPr>
          <w:rFonts w:hint="eastAsia" w:hAnsi="宋体" w:eastAsia="宋体" w:cs="宋体"/>
          <w:color w:val="auto"/>
          <w:sz w:val="32"/>
          <w:szCs w:val="32"/>
          <w:highlight w:val="none"/>
        </w:rPr>
      </w:pPr>
    </w:p>
    <w:p w14:paraId="7CAD0605">
      <w:pPr>
        <w:outlineLvl w:val="9"/>
        <w:rPr>
          <w:rFonts w:hint="eastAsia" w:hAnsi="宋体" w:eastAsia="宋体" w:cs="宋体"/>
          <w:color w:val="auto"/>
          <w:sz w:val="32"/>
          <w:szCs w:val="32"/>
          <w:highlight w:val="none"/>
        </w:rPr>
      </w:pPr>
    </w:p>
    <w:p w14:paraId="2171D817">
      <w:pPr>
        <w:outlineLvl w:val="9"/>
        <w:rPr>
          <w:rFonts w:hint="eastAsia" w:hAnsi="宋体" w:eastAsia="宋体" w:cs="宋体"/>
          <w:color w:val="auto"/>
          <w:sz w:val="32"/>
          <w:szCs w:val="32"/>
          <w:highlight w:val="none"/>
        </w:rPr>
      </w:pPr>
    </w:p>
    <w:p w14:paraId="10F17C2A">
      <w:pPr>
        <w:pStyle w:val="4"/>
        <w:keepNext w:val="0"/>
        <w:pageBreakBefore/>
        <w:autoSpaceDE/>
        <w:autoSpaceDN/>
        <w:spacing w:line="5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第三部分</w:t>
      </w:r>
      <w:bookmarkEnd w:id="68"/>
      <w:bookmarkEnd w:id="69"/>
      <w:bookmarkEnd w:id="70"/>
      <w:r>
        <w:rPr>
          <w:rFonts w:hint="eastAsia" w:ascii="宋体" w:hAnsi="宋体" w:eastAsia="宋体" w:cs="宋体"/>
          <w:color w:val="auto"/>
          <w:sz w:val="30"/>
          <w:szCs w:val="30"/>
          <w:highlight w:val="none"/>
        </w:rPr>
        <w:t xml:space="preserve">  响应供应商须知</w:t>
      </w:r>
      <w:bookmarkEnd w:id="71"/>
      <w:bookmarkEnd w:id="72"/>
      <w:bookmarkEnd w:id="73"/>
      <w:bookmarkEnd w:id="74"/>
      <w:bookmarkEnd w:id="75"/>
      <w:bookmarkEnd w:id="76"/>
      <w:bookmarkEnd w:id="77"/>
      <w:bookmarkEnd w:id="78"/>
      <w:bookmarkEnd w:id="79"/>
      <w:bookmarkEnd w:id="80"/>
      <w:bookmarkEnd w:id="81"/>
      <w:bookmarkEnd w:id="82"/>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227FDFE">
      <w:pPr>
        <w:snapToGrid w:val="0"/>
        <w:spacing w:beforeLines="50" w:afterLines="50" w:line="276" w:lineRule="auto"/>
        <w:ind w:left="238"/>
        <w:jc w:val="center"/>
        <w:outlineLvl w:val="0"/>
        <w:rPr>
          <w:rFonts w:hint="eastAsia" w:ascii="宋体" w:hAnsi="宋体" w:eastAsia="宋体" w:cs="宋体"/>
          <w:b/>
          <w:color w:val="auto"/>
          <w:sz w:val="30"/>
          <w:szCs w:val="30"/>
          <w:highlight w:val="none"/>
        </w:rPr>
      </w:pPr>
      <w:bookmarkStart w:id="124" w:name="_Toc374366047"/>
      <w:bookmarkStart w:id="125" w:name="_Toc20357"/>
      <w:bookmarkStart w:id="126" w:name="_Toc30167"/>
      <w:bookmarkStart w:id="127" w:name="_Toc23844"/>
      <w:bookmarkStart w:id="128" w:name="_Toc1263"/>
      <w:bookmarkStart w:id="129" w:name="_Toc18749"/>
      <w:bookmarkStart w:id="130" w:name="_Toc12338"/>
      <w:bookmarkStart w:id="131" w:name="_Toc30749"/>
      <w:bookmarkStart w:id="132" w:name="_Toc27173"/>
      <w:bookmarkStart w:id="133" w:name="_Toc25950"/>
      <w:bookmarkStart w:id="134" w:name="_Toc15518"/>
      <w:bookmarkStart w:id="135" w:name="_Toc6233"/>
      <w:bookmarkStart w:id="136" w:name="_Toc18907"/>
      <w:bookmarkStart w:id="137" w:name="_Toc26323"/>
      <w:bookmarkStart w:id="138" w:name="_Toc519072689"/>
      <w:bookmarkStart w:id="139" w:name="_Toc29190"/>
      <w:bookmarkStart w:id="140" w:name="_Toc4099"/>
      <w:bookmarkStart w:id="141" w:name="_Toc12935"/>
      <w:bookmarkStart w:id="142" w:name="_Toc421647255"/>
      <w:bookmarkStart w:id="143" w:name="_Toc18741"/>
      <w:bookmarkStart w:id="144" w:name="_Toc22676"/>
      <w:bookmarkStart w:id="145" w:name="_Toc16356"/>
      <w:r>
        <w:rPr>
          <w:rFonts w:hint="eastAsia" w:ascii="宋体" w:hAnsi="宋体" w:eastAsia="宋体" w:cs="宋体"/>
          <w:b/>
          <w:color w:val="auto"/>
          <w:sz w:val="30"/>
          <w:szCs w:val="30"/>
          <w:highlight w:val="none"/>
        </w:rPr>
        <w:t>前附表</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Style w:val="47"/>
        <w:tblW w:w="97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222"/>
        <w:gridCol w:w="6656"/>
      </w:tblGrid>
      <w:tr w14:paraId="0EA20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14:paraId="62CB742F">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878" w:type="dxa"/>
            <w:gridSpan w:val="2"/>
            <w:tcBorders>
              <w:top w:val="single" w:color="auto" w:sz="4" w:space="0"/>
              <w:left w:val="single" w:color="auto" w:sz="4" w:space="0"/>
              <w:bottom w:val="single" w:color="auto" w:sz="4" w:space="0"/>
            </w:tcBorders>
            <w:vAlign w:val="center"/>
          </w:tcPr>
          <w:p w14:paraId="498AA9F1">
            <w:pPr>
              <w:snapToGrid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687FC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69" w:type="dxa"/>
            <w:tcBorders>
              <w:top w:val="single" w:color="auto" w:sz="4" w:space="0"/>
              <w:bottom w:val="single" w:color="auto" w:sz="4" w:space="0"/>
              <w:right w:val="single" w:color="auto" w:sz="4" w:space="0"/>
            </w:tcBorders>
            <w:vAlign w:val="center"/>
          </w:tcPr>
          <w:p w14:paraId="0DC5B451">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78" w:type="dxa"/>
            <w:gridSpan w:val="2"/>
            <w:tcBorders>
              <w:top w:val="single" w:color="auto" w:sz="4" w:space="0"/>
              <w:left w:val="single" w:color="auto" w:sz="4" w:space="0"/>
              <w:bottom w:val="single" w:color="auto" w:sz="4" w:space="0"/>
            </w:tcBorders>
            <w:vAlign w:val="center"/>
          </w:tcPr>
          <w:p w14:paraId="356AFB63">
            <w:pPr>
              <w:tabs>
                <w:tab w:val="left" w:pos="1260"/>
              </w:tabs>
              <w:autoSpaceDE/>
              <w:autoSpaceDN/>
              <w:adjustRightInd/>
              <w:snapToGrid w:val="0"/>
              <w:spacing w:line="5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2025年金华市足球项目政转社赛事活动</w:t>
            </w:r>
          </w:p>
        </w:tc>
      </w:tr>
      <w:tr w14:paraId="3C56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bottom w:val="single" w:color="auto" w:sz="4" w:space="0"/>
              <w:right w:val="single" w:color="auto" w:sz="4" w:space="0"/>
            </w:tcBorders>
            <w:vAlign w:val="center"/>
          </w:tcPr>
          <w:p w14:paraId="051CE6BB">
            <w:pPr>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8878" w:type="dxa"/>
            <w:gridSpan w:val="2"/>
            <w:tcBorders>
              <w:top w:val="single" w:color="auto" w:sz="4" w:space="0"/>
              <w:left w:val="single" w:color="auto" w:sz="4" w:space="0"/>
              <w:bottom w:val="single" w:color="auto" w:sz="4" w:space="0"/>
            </w:tcBorders>
            <w:vAlign w:val="center"/>
          </w:tcPr>
          <w:p w14:paraId="0258EC9E">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磋商报价及费用：</w:t>
            </w:r>
          </w:p>
          <w:p w14:paraId="59799ED8">
            <w:pPr>
              <w:keepNext/>
              <w:spacing w:line="460" w:lineRule="exact"/>
              <w:rPr>
                <w:rFonts w:hint="eastAsia" w:ascii="宋体" w:hAnsi="宋体" w:eastAsia="宋体" w:cs="宋体"/>
                <w:b/>
                <w:bCs/>
                <w:color w:val="auto"/>
                <w:sz w:val="21"/>
                <w:szCs w:val="21"/>
                <w:highlight w:val="none"/>
              </w:rPr>
            </w:pPr>
            <w:bookmarkStart w:id="146" w:name="_Toc3543"/>
            <w:bookmarkStart w:id="147" w:name="_Toc30655"/>
            <w:r>
              <w:rPr>
                <w:rFonts w:hint="eastAsia" w:ascii="宋体" w:hAnsi="宋体" w:eastAsia="宋体" w:cs="宋体"/>
                <w:b/>
                <w:bCs/>
                <w:color w:val="auto"/>
                <w:sz w:val="21"/>
                <w:szCs w:val="21"/>
                <w:highlight w:val="none"/>
              </w:rPr>
              <w:t>1.本项目竞争性磋商应以人民币报价；</w:t>
            </w:r>
            <w:bookmarkEnd w:id="146"/>
            <w:bookmarkEnd w:id="147"/>
          </w:p>
          <w:p w14:paraId="23AE61F7">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2.不论磋商结果如何，响应供应商均应自行承担所有与竞争性磋商有关的全部费用；</w:t>
            </w:r>
          </w:p>
          <w:p w14:paraId="60176684">
            <w:pPr>
              <w:snapToGrid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3.响应供应商取得成交资格后，须向</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代理机构支付</w:t>
            </w:r>
            <w:r>
              <w:rPr>
                <w:rFonts w:hint="eastAsia" w:hAnsi="宋体" w:cs="宋体"/>
                <w:b/>
                <w:bCs/>
                <w:color w:val="auto"/>
                <w:sz w:val="21"/>
                <w:szCs w:val="21"/>
                <w:highlight w:val="none"/>
                <w:lang w:val="en-US" w:eastAsia="zh-CN"/>
              </w:rPr>
              <w:t>人民币壹万伍仟元</w:t>
            </w:r>
            <w:r>
              <w:rPr>
                <w:rFonts w:hint="eastAsia" w:ascii="宋体" w:hAnsi="宋体" w:eastAsia="宋体" w:cs="宋体"/>
                <w:b/>
                <w:bCs/>
                <w:color w:val="auto"/>
                <w:sz w:val="21"/>
                <w:szCs w:val="21"/>
                <w:highlight w:val="none"/>
              </w:rPr>
              <w:t>的采购代理服务费，成交人在收到</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通知书的同时向</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代理机构以银行转账等形式支付采购代理服务费： 户名：金华市天盈招标代理有限公司  开户银行：金华银行股份有限公司多湖支行  银行账号：0188990822000064。（汇款用途请注明“采购代理服务费”及项目编号）</w:t>
            </w:r>
          </w:p>
        </w:tc>
      </w:tr>
      <w:tr w14:paraId="6B99D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727AE272">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78" w:type="dxa"/>
            <w:gridSpan w:val="2"/>
            <w:tcBorders>
              <w:top w:val="single" w:color="auto" w:sz="4" w:space="0"/>
              <w:left w:val="single" w:color="auto" w:sz="4" w:space="0"/>
              <w:bottom w:val="single" w:color="auto" w:sz="4" w:space="0"/>
            </w:tcBorders>
            <w:vAlign w:val="center"/>
          </w:tcPr>
          <w:p w14:paraId="67FA76C1">
            <w:pPr>
              <w:snapToGrid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w:t>
            </w:r>
          </w:p>
          <w:p w14:paraId="7717079C">
            <w:pPr>
              <w:snapToGrid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响应供应商如认为磋商采购文件表述不清晰、存在歧视性、排他性或者其他违法内容的，应当于磋商响应文件递交截止时间5日前，以书面形式要求磋商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作出书面解释、澄清；磋商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将于磋商响应文件递交截止时间5日前答疑；答疑内容是磋商采购文件的组成部分，并将以书面形式送达所有已报名的响应供应商；因其他紧急情况影响本项目正常磋商采购活动的，磋商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将于磋商响应文件递交截止日期3天前书面通知所有已报名的响应供应商。</w:t>
            </w:r>
          </w:p>
        </w:tc>
      </w:tr>
      <w:tr w14:paraId="76120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3EB4917">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78" w:type="dxa"/>
            <w:gridSpan w:val="2"/>
            <w:tcBorders>
              <w:top w:val="single" w:color="auto" w:sz="4" w:space="0"/>
              <w:left w:val="single" w:color="auto" w:sz="4" w:space="0"/>
              <w:bottom w:val="single" w:color="auto" w:sz="4" w:space="0"/>
            </w:tcBorders>
            <w:vAlign w:val="center"/>
          </w:tcPr>
          <w:p w14:paraId="70C3BCF6">
            <w:pPr>
              <w:widowControl/>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政策落实：</w:t>
            </w:r>
          </w:p>
          <w:p w14:paraId="6B479E4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1.扶持中小企业（监狱企业、残疾人福利性单位）：</w:t>
            </w:r>
          </w:p>
          <w:p w14:paraId="392F2FAB">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FEA9D6D">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（1）项目预算</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人民币</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u w:val="single"/>
                <w:lang w:val="en-US" w:eastAsia="zh-CN"/>
              </w:rPr>
              <w:t>306万元</w:t>
            </w:r>
            <w:r>
              <w:rPr>
                <w:rFonts w:hint="eastAsia" w:ascii="宋体" w:hAnsi="宋体" w:eastAsia="宋体" w:cs="宋体"/>
                <w:color w:val="auto"/>
                <w:sz w:val="21"/>
                <w:szCs w:val="21"/>
                <w:highlight w:val="none"/>
              </w:rPr>
              <w:t>；</w:t>
            </w:r>
          </w:p>
          <w:p w14:paraId="183983C3">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（2）项目属性：</w:t>
            </w:r>
            <w:r>
              <w:rPr>
                <w:rFonts w:hint="eastAsia" w:ascii="宋体" w:hAnsi="宋体" w:eastAsia="宋体" w:cs="宋体"/>
                <w:color w:val="auto"/>
                <w:sz w:val="21"/>
                <w:szCs w:val="21"/>
                <w:highlight w:val="none"/>
                <w:u w:val="single"/>
              </w:rPr>
              <w:t xml:space="preserve"> ②   </w:t>
            </w:r>
            <w:r>
              <w:rPr>
                <w:rFonts w:hint="eastAsia" w:ascii="宋体" w:hAnsi="宋体" w:eastAsia="宋体" w:cs="宋体"/>
                <w:color w:val="auto"/>
                <w:sz w:val="21"/>
                <w:szCs w:val="21"/>
                <w:highlight w:val="none"/>
              </w:rPr>
              <w:t>（①货物类/②服务类/③工程类）</w:t>
            </w:r>
          </w:p>
          <w:p w14:paraId="41BCE00A">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hAnsi="宋体" w:cs="宋体"/>
                <w:color w:val="auto"/>
                <w:sz w:val="21"/>
                <w:szCs w:val="21"/>
                <w:highlight w:val="none"/>
                <w:u w:val="single"/>
                <w:lang w:eastAsia="zh-CN"/>
              </w:rPr>
              <w:t>文化、体育和娱乐业</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（具体根据《中小企业划型标准规定》执行）</w:t>
            </w:r>
          </w:p>
          <w:p w14:paraId="74D48EC3">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（是/否）属于预留份额专门面向中小企业采购的项目。</w:t>
            </w:r>
          </w:p>
          <w:p w14:paraId="7EF979CA">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0%的扣除，用扣除后的价格参加评审。</w:t>
            </w:r>
          </w:p>
          <w:p w14:paraId="6A93BE2E">
            <w:pPr>
              <w:tabs>
                <w:tab w:val="left" w:pos="1260"/>
              </w:tabs>
              <w:autoSpaceDE/>
              <w:autoSpaceDN/>
              <w:adjustRightInd/>
              <w:snapToGrid w:val="0"/>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2.节能产品、环境标志产品的强制采购政策</w:t>
            </w:r>
          </w:p>
          <w:p w14:paraId="2277F396">
            <w:pPr>
              <w:tabs>
                <w:tab w:val="left" w:pos="1260"/>
              </w:tabs>
              <w:autoSpaceDE/>
              <w:autoSpaceDN/>
              <w:adjustRightInd/>
              <w:snapToGrid w:val="0"/>
              <w:spacing w:line="4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提供的产品应具有国家确定的认证机构出具的、处于有效期之内的节能产品、环境标志产品认证证书，并在响应文件中提供该产品节能产品、环境标志产品认证证书，否则无效。（</w:t>
            </w:r>
            <w:r>
              <w:rPr>
                <w:rFonts w:hint="eastAsia" w:hAnsi="宋体" w:cs="宋体"/>
                <w:color w:val="auto"/>
                <w:sz w:val="21"/>
                <w:szCs w:val="21"/>
                <w:highlight w:val="none"/>
              </w:rPr>
              <w:t>注：本项目不适用。</w:t>
            </w:r>
            <w:r>
              <w:rPr>
                <w:rFonts w:hint="eastAsia" w:ascii="宋体" w:hAnsi="宋体" w:eastAsia="宋体" w:cs="宋体"/>
                <w:color w:val="auto"/>
                <w:sz w:val="21"/>
                <w:szCs w:val="21"/>
                <w:highlight w:val="none"/>
              </w:rPr>
              <w:t>）</w:t>
            </w:r>
          </w:p>
          <w:p w14:paraId="19FE50DF">
            <w:pPr>
              <w:tabs>
                <w:tab w:val="left" w:pos="1260"/>
              </w:tabs>
              <w:autoSpaceDE/>
              <w:autoSpaceDN/>
              <w:adjustRightInd/>
              <w:snapToGrid w:val="0"/>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3.节能产品、环境标志产品的优先采购政策</w:t>
            </w:r>
          </w:p>
          <w:p w14:paraId="3D439B36">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提供的产品应具有国家确定的认证机构出具的、处于有效期之内的节能产品、环境标志产品认证证书，并在响应文件中提供该产品节能产品、环境标志产品认证证书，（</w:t>
            </w:r>
            <w:r>
              <w:rPr>
                <w:rFonts w:hint="eastAsia" w:hAnsi="宋体" w:cs="宋体"/>
                <w:color w:val="auto"/>
                <w:sz w:val="21"/>
                <w:szCs w:val="21"/>
                <w:highlight w:val="none"/>
              </w:rPr>
              <w:t>注：本项目不适用。</w:t>
            </w:r>
            <w:r>
              <w:rPr>
                <w:rFonts w:hint="eastAsia" w:ascii="宋体" w:hAnsi="宋体" w:eastAsia="宋体" w:cs="宋体"/>
                <w:color w:val="auto"/>
                <w:sz w:val="21"/>
                <w:szCs w:val="21"/>
                <w:highlight w:val="none"/>
              </w:rPr>
              <w:t>）</w:t>
            </w:r>
          </w:p>
        </w:tc>
      </w:tr>
      <w:tr w14:paraId="2BBCC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37B3232A">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878" w:type="dxa"/>
            <w:gridSpan w:val="2"/>
            <w:tcBorders>
              <w:top w:val="single" w:color="auto" w:sz="4" w:space="0"/>
              <w:left w:val="single" w:color="auto" w:sz="4" w:space="0"/>
              <w:bottom w:val="single" w:color="auto" w:sz="4" w:space="0"/>
            </w:tcBorders>
            <w:vAlign w:val="center"/>
          </w:tcPr>
          <w:p w14:paraId="4001EADD">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信用查询：</w:t>
            </w:r>
          </w:p>
          <w:p w14:paraId="52A48D8F">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4B474D7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采购人</w:t>
            </w:r>
            <w:r>
              <w:rPr>
                <w:rFonts w:hint="eastAsia" w:ascii="宋体" w:hAnsi="宋体" w:eastAsia="宋体" w:cs="宋体"/>
                <w:color w:val="auto"/>
                <w:sz w:val="21"/>
                <w:szCs w:val="21"/>
                <w:highlight w:val="none"/>
              </w:rPr>
              <w:t>或采购代理机构将对本项目供应商的信用记录进行查询。查询渠道为信用中国网站（www.creditchina.gov.cn）、中国政府采购网（www.ccgp.gov.cn）；</w:t>
            </w:r>
          </w:p>
          <w:p w14:paraId="78A3040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047DF142">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02BCA0B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C45106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（5）联合体成员任意一方存在不良信用记录的，视同联合体存在不良信用记录。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ascii="宋体" w:hAnsi="宋体" w:eastAsia="宋体" w:cs="宋体"/>
                <w:color w:val="auto"/>
                <w:sz w:val="21"/>
                <w:szCs w:val="21"/>
                <w:highlight w:val="none"/>
                <w:lang w:eastAsia="zh-CN"/>
              </w:rPr>
              <w:t>）</w:t>
            </w:r>
          </w:p>
        </w:tc>
      </w:tr>
      <w:tr w14:paraId="07897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08C2CB14">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2" w:type="dxa"/>
            <w:tcBorders>
              <w:top w:val="single" w:color="auto" w:sz="4" w:space="0"/>
              <w:left w:val="single" w:color="auto" w:sz="4" w:space="0"/>
              <w:bottom w:val="single" w:color="auto" w:sz="4" w:space="0"/>
            </w:tcBorders>
            <w:vAlign w:val="center"/>
          </w:tcPr>
          <w:p w14:paraId="0DA10066">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本项目对应的中小企业划分标准所属行业</w:t>
            </w:r>
          </w:p>
        </w:tc>
        <w:tc>
          <w:tcPr>
            <w:tcW w:w="6656" w:type="dxa"/>
            <w:tcBorders>
              <w:top w:val="single" w:color="auto" w:sz="4" w:space="0"/>
              <w:left w:val="single" w:color="auto" w:sz="4" w:space="0"/>
              <w:bottom w:val="single" w:color="auto" w:sz="4" w:space="0"/>
            </w:tcBorders>
            <w:vAlign w:val="center"/>
          </w:tcPr>
          <w:p w14:paraId="7B7D6A03">
            <w:pPr>
              <w:snapToGrid w:val="0"/>
              <w:spacing w:line="5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根据《关于印发中小企业划型标准规定的通知》（工信部联企业〔2011〕300号），本项目</w:t>
            </w:r>
            <w:r>
              <w:rPr>
                <w:rFonts w:hint="eastAsia" w:ascii="宋体" w:hAnsi="宋体" w:eastAsia="宋体" w:cs="宋体"/>
                <w:snapToGrid w:val="0"/>
                <w:color w:val="auto"/>
                <w:sz w:val="21"/>
                <w:szCs w:val="21"/>
                <w:highlight w:val="none"/>
              </w:rPr>
              <w:t>对应的中小企业</w:t>
            </w:r>
            <w:r>
              <w:rPr>
                <w:rFonts w:hint="eastAsia" w:ascii="宋体" w:hAnsi="宋体" w:eastAsia="宋体" w:cs="宋体"/>
                <w:color w:val="auto"/>
                <w:sz w:val="21"/>
                <w:szCs w:val="21"/>
                <w:highlight w:val="none"/>
              </w:rPr>
              <w:t>按所属行业为</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文化、体育和娱乐业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4F7D5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8CBAD38">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22" w:type="dxa"/>
            <w:tcBorders>
              <w:top w:val="single" w:color="auto" w:sz="4" w:space="0"/>
              <w:left w:val="single" w:color="auto" w:sz="4" w:space="0"/>
              <w:bottom w:val="single" w:color="auto" w:sz="4" w:space="0"/>
            </w:tcBorders>
            <w:vAlign w:val="center"/>
          </w:tcPr>
          <w:p w14:paraId="067EBC6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节能产品</w:t>
            </w:r>
          </w:p>
        </w:tc>
        <w:tc>
          <w:tcPr>
            <w:tcW w:w="6656" w:type="dxa"/>
            <w:tcBorders>
              <w:top w:val="single" w:color="auto" w:sz="4" w:space="0"/>
              <w:left w:val="single" w:color="auto" w:sz="4" w:space="0"/>
              <w:bottom w:val="single" w:color="auto" w:sz="4" w:space="0"/>
            </w:tcBorders>
            <w:vAlign w:val="center"/>
          </w:tcPr>
          <w:p w14:paraId="1A69BBE4">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highlight w:val="none"/>
              </w:rPr>
              <w:t>□</w:t>
            </w:r>
            <w:r>
              <w:rPr>
                <w:rFonts w:hint="eastAsia" w:ascii="宋体" w:hAnsi="宋体" w:eastAsia="宋体" w:cs="宋体"/>
                <w:color w:val="auto"/>
                <w:sz w:val="21"/>
                <w:szCs w:val="21"/>
                <w:highlight w:val="none"/>
              </w:rPr>
              <w:t xml:space="preserve"> 强制采购节能产品</w:t>
            </w:r>
          </w:p>
          <w:p w14:paraId="719A7244">
            <w:pPr>
              <w:pStyle w:val="110"/>
              <w:adjustRightInd w:val="0"/>
              <w:snapToGrid w:val="0"/>
              <w:spacing w:before="0" w:line="460" w:lineRule="exact"/>
              <w:ind w:firstLine="0"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sym w:font="Wingdings 2" w:char="00A3"/>
            </w:r>
            <w:r>
              <w:rPr>
                <w:rFonts w:hint="eastAsia" w:ascii="宋体" w:hAnsi="宋体" w:eastAsia="宋体" w:cs="宋体"/>
                <w:color w:val="auto"/>
                <w:sz w:val="21"/>
                <w:highlight w:val="none"/>
              </w:rPr>
              <w:t xml:space="preserve"> 优先采购节能产品</w:t>
            </w:r>
          </w:p>
          <w:p w14:paraId="295529C2">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 xml:space="preserve"> 不适用</w:t>
            </w:r>
          </w:p>
        </w:tc>
      </w:tr>
      <w:tr w14:paraId="50021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7B08C975">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22" w:type="dxa"/>
            <w:tcBorders>
              <w:top w:val="single" w:color="auto" w:sz="4" w:space="0"/>
              <w:left w:val="single" w:color="auto" w:sz="4" w:space="0"/>
              <w:bottom w:val="single" w:color="auto" w:sz="4" w:space="0"/>
            </w:tcBorders>
            <w:vAlign w:val="center"/>
          </w:tcPr>
          <w:p w14:paraId="52FFD20B">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环境标志产品</w:t>
            </w:r>
          </w:p>
        </w:tc>
        <w:tc>
          <w:tcPr>
            <w:tcW w:w="6656" w:type="dxa"/>
            <w:tcBorders>
              <w:top w:val="single" w:color="auto" w:sz="4" w:space="0"/>
              <w:left w:val="single" w:color="auto" w:sz="4" w:space="0"/>
              <w:bottom w:val="single" w:color="auto" w:sz="4" w:space="0"/>
            </w:tcBorders>
            <w:vAlign w:val="center"/>
          </w:tcPr>
          <w:p w14:paraId="5C8E1AE6">
            <w:pPr>
              <w:pStyle w:val="110"/>
              <w:adjustRightInd w:val="0"/>
              <w:snapToGrid w:val="0"/>
              <w:spacing w:before="0" w:line="460" w:lineRule="exact"/>
              <w:ind w:firstLine="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sym w:font="Wingdings 2" w:char="00A3"/>
            </w:r>
            <w:r>
              <w:rPr>
                <w:rFonts w:hint="eastAsia" w:ascii="宋体" w:hAnsi="宋体" w:eastAsia="宋体" w:cs="宋体"/>
                <w:color w:val="auto"/>
                <w:sz w:val="21"/>
                <w:highlight w:val="none"/>
              </w:rPr>
              <w:t xml:space="preserve"> 优先采购环境标志产品</w:t>
            </w:r>
          </w:p>
          <w:p w14:paraId="51876B77">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 xml:space="preserve"> 不适用</w:t>
            </w:r>
          </w:p>
        </w:tc>
      </w:tr>
      <w:tr w14:paraId="4FC3C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5BAEFE01">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878" w:type="dxa"/>
            <w:gridSpan w:val="2"/>
            <w:tcBorders>
              <w:top w:val="single" w:color="auto" w:sz="4" w:space="0"/>
              <w:left w:val="single" w:color="auto" w:sz="4" w:space="0"/>
              <w:bottom w:val="single" w:color="auto" w:sz="4" w:space="0"/>
            </w:tcBorders>
            <w:vAlign w:val="center"/>
          </w:tcPr>
          <w:p w14:paraId="09ECED07">
            <w:pPr>
              <w:tabs>
                <w:tab w:val="left" w:pos="1260"/>
              </w:tabs>
              <w:autoSpaceDE/>
              <w:autoSpaceDN/>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磋商响应文件（磋商响应文件）的递交：</w:t>
            </w:r>
          </w:p>
          <w:p w14:paraId="7CB09928">
            <w:pPr>
              <w:tabs>
                <w:tab w:val="left" w:pos="1260"/>
              </w:tabs>
              <w:autoSpaceDE/>
              <w:autoSpaceDN/>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本项目磋商响应文件分资格文件、商务技术文件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 w:val="0"/>
                <w:bCs w:val="0"/>
                <w:color w:val="auto"/>
                <w:sz w:val="21"/>
                <w:szCs w:val="21"/>
                <w:highlight w:val="none"/>
              </w:rPr>
              <w:t>部分</w:t>
            </w:r>
            <w:r>
              <w:rPr>
                <w:rFonts w:hint="eastAsia" w:ascii="宋体" w:hAnsi="宋体" w:eastAsia="宋体" w:cs="宋体"/>
                <w:color w:val="auto"/>
                <w:sz w:val="21"/>
                <w:szCs w:val="21"/>
                <w:highlight w:val="none"/>
              </w:rPr>
              <w:t>。磋商响应供应商应以以下方式递交磋商响应文件：</w:t>
            </w:r>
          </w:p>
          <w:p w14:paraId="35373AB8">
            <w:pPr>
              <w:numPr>
                <w:ilvl w:val="255"/>
                <w:numId w:val="0"/>
              </w:numPr>
              <w:tabs>
                <w:tab w:val="left" w:pos="1260"/>
              </w:tabs>
              <w:autoSpaceDE/>
              <w:autoSpaceDN/>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★1.本项目实行“网上电子磋商响应、电子评标”，磋商响应供应商应于磋商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截止时间前在“政采云”（ 电子交易客户端）上传输、递交电子版磋商响应文件（包括资格文件、商务技术文件和报价文件）；</w:t>
            </w:r>
          </w:p>
          <w:p w14:paraId="3208A2FE">
            <w:pPr>
              <w:numPr>
                <w:ilvl w:val="255"/>
                <w:numId w:val="0"/>
              </w:numPr>
              <w:tabs>
                <w:tab w:val="left" w:pos="1260"/>
              </w:tabs>
              <w:autoSpaceDE/>
              <w:autoSpaceDN/>
              <w:spacing w:line="400" w:lineRule="exact"/>
              <w:jc w:val="both"/>
              <w:textAlignment w:val="auto"/>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2.本磋商响应文件所涉及的法定代表人或其授权代表签字或盖章的内容，如果磋商响应供应商没有法定代表人电子签章，</w:t>
            </w:r>
            <w:r>
              <w:rPr>
                <w:rFonts w:hint="eastAsia" w:ascii="宋体" w:hAnsi="宋体" w:eastAsia="宋体" w:cs="宋体"/>
                <w:bCs/>
                <w:color w:val="auto"/>
                <w:sz w:val="21"/>
                <w:szCs w:val="21"/>
                <w:highlight w:val="none"/>
                <w:lang w:eastAsia="zh-CN"/>
              </w:rPr>
              <w:t>涉及</w:t>
            </w:r>
            <w:r>
              <w:rPr>
                <w:rFonts w:hint="eastAsia" w:ascii="宋体" w:hAnsi="宋体" w:eastAsia="宋体" w:cs="宋体"/>
                <w:bCs/>
                <w:color w:val="auto"/>
                <w:sz w:val="21"/>
                <w:szCs w:val="21"/>
                <w:highlight w:val="none"/>
              </w:rPr>
              <w:t xml:space="preserve">法定代表人或其授权代表签字或盖章的内容，磋商响应供应商可以线下签字或盖章后扫描上传。   </w:t>
            </w:r>
          </w:p>
        </w:tc>
      </w:tr>
      <w:tr w14:paraId="6B0EB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1362D224">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878" w:type="dxa"/>
            <w:gridSpan w:val="2"/>
            <w:tcBorders>
              <w:top w:val="single" w:color="auto" w:sz="4" w:space="0"/>
              <w:left w:val="single" w:color="auto" w:sz="4" w:space="0"/>
              <w:bottom w:val="single" w:color="auto" w:sz="4" w:space="0"/>
            </w:tcBorders>
            <w:vAlign w:val="center"/>
          </w:tcPr>
          <w:p w14:paraId="7F277302">
            <w:pPr>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w:t>
            </w:r>
          </w:p>
          <w:p w14:paraId="01A20803">
            <w:pPr>
              <w:snapToGrid w:val="0"/>
              <w:spacing w:line="44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14:paraId="0E11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14:paraId="6017206D">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878" w:type="dxa"/>
            <w:gridSpan w:val="2"/>
            <w:tcBorders>
              <w:top w:val="single" w:color="auto" w:sz="4" w:space="0"/>
              <w:left w:val="single" w:color="auto" w:sz="4" w:space="0"/>
              <w:bottom w:val="single" w:color="auto" w:sz="4" w:space="0"/>
            </w:tcBorders>
            <w:vAlign w:val="center"/>
          </w:tcPr>
          <w:p w14:paraId="60DA069D">
            <w:pPr>
              <w:snapToGrid w:val="0"/>
              <w:spacing w:line="44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r>
              <w:rPr>
                <w:rFonts w:hint="eastAsia" w:hAnsi="宋体" w:cs="宋体"/>
                <w:color w:val="auto"/>
                <w:sz w:val="21"/>
                <w:szCs w:val="21"/>
                <w:highlight w:val="none"/>
                <w:lang w:eastAsia="zh-CN"/>
              </w:rPr>
              <w:t>2025年   月   日</w:t>
            </w:r>
            <w:r>
              <w:rPr>
                <w:rFonts w:hint="eastAsia" w:hAnsi="宋体" w:cs="宋体"/>
                <w:color w:val="auto"/>
                <w:sz w:val="21"/>
                <w:szCs w:val="21"/>
                <w:highlight w:val="none"/>
                <w:lang w:val="en-US" w:eastAsia="zh-CN"/>
              </w:rPr>
              <w:t>09：30</w:t>
            </w:r>
            <w:r>
              <w:rPr>
                <w:rFonts w:hint="eastAsia" w:ascii="宋体" w:hAnsi="宋体" w:eastAsia="宋体" w:cs="宋体"/>
                <w:color w:val="auto"/>
                <w:sz w:val="21"/>
                <w:szCs w:val="21"/>
                <w:highlight w:val="none"/>
              </w:rPr>
              <w:t>时，金华市双龙南街858号金华财富大厦（金华市行政服务中心新办事大厅4楼开标</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室）</w:t>
            </w:r>
          </w:p>
          <w:p w14:paraId="6B825DCA">
            <w:pPr>
              <w:snapToGrid w:val="0"/>
              <w:spacing w:line="44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截止开标时间，政采云（电子交易平台）自动提取所有</w:t>
            </w:r>
            <w:r>
              <w:rPr>
                <w:rFonts w:hint="eastAsia" w:ascii="宋体" w:hAnsi="宋体" w:eastAsia="宋体" w:cs="宋体"/>
                <w:bCs/>
                <w:color w:val="auto"/>
                <w:sz w:val="21"/>
                <w:szCs w:val="21"/>
                <w:highlight w:val="none"/>
              </w:rPr>
              <w:t>磋商响应文件</w:t>
            </w:r>
            <w:r>
              <w:rPr>
                <w:rFonts w:hint="eastAsia" w:ascii="宋体" w:hAnsi="宋体" w:eastAsia="宋体" w:cs="宋体"/>
                <w:color w:val="auto"/>
                <w:sz w:val="21"/>
                <w:szCs w:val="21"/>
                <w:highlight w:val="none"/>
              </w:rPr>
              <w:t>，磋商响应供应商须在解密时限内完成解密，解密时限为30分钟，磋商响应供应商在规定的时间内都已解密完成，则系统自动结束解密，采购代理机构开启</w:t>
            </w:r>
            <w:r>
              <w:rPr>
                <w:rFonts w:hint="eastAsia" w:ascii="宋体" w:hAnsi="宋体" w:eastAsia="宋体" w:cs="宋体"/>
                <w:bCs/>
                <w:color w:val="auto"/>
                <w:sz w:val="21"/>
                <w:szCs w:val="21"/>
                <w:highlight w:val="none"/>
              </w:rPr>
              <w:t>磋商响应文件</w:t>
            </w:r>
            <w:r>
              <w:rPr>
                <w:rFonts w:hint="eastAsia" w:ascii="宋体" w:hAnsi="宋体" w:eastAsia="宋体" w:cs="宋体"/>
                <w:color w:val="auto"/>
                <w:sz w:val="21"/>
                <w:szCs w:val="21"/>
                <w:highlight w:val="none"/>
              </w:rPr>
              <w:t>；除另有规定外，磋商响应供应商未能在约定的解密时限内完成解密的，系统将默认其自动放弃投标。</w:t>
            </w:r>
          </w:p>
        </w:tc>
      </w:tr>
      <w:tr w14:paraId="71E35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4B3DE9AD">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878" w:type="dxa"/>
            <w:gridSpan w:val="2"/>
            <w:tcBorders>
              <w:top w:val="single" w:color="auto" w:sz="4" w:space="0"/>
              <w:left w:val="single" w:color="auto" w:sz="4" w:space="0"/>
              <w:bottom w:val="single" w:color="auto" w:sz="4" w:space="0"/>
            </w:tcBorders>
            <w:vAlign w:val="center"/>
          </w:tcPr>
          <w:p w14:paraId="7FBF48C6">
            <w:pPr>
              <w:snapToGrid w:val="0"/>
              <w:spacing w:line="42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磋商办法：综合评分法</w:t>
            </w:r>
          </w:p>
        </w:tc>
      </w:tr>
      <w:tr w14:paraId="06731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6A4530EE">
            <w:pPr>
              <w:snapToGrid w:val="0"/>
              <w:spacing w:line="46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8878" w:type="dxa"/>
            <w:gridSpan w:val="2"/>
            <w:tcBorders>
              <w:top w:val="single" w:color="auto" w:sz="4" w:space="0"/>
              <w:left w:val="single" w:color="auto" w:sz="4" w:space="0"/>
              <w:bottom w:val="single" w:color="auto" w:sz="4" w:space="0"/>
            </w:tcBorders>
            <w:vAlign w:val="center"/>
          </w:tcPr>
          <w:p w14:paraId="0B589985">
            <w:pPr>
              <w:snapToGrid w:val="0"/>
              <w:spacing w:line="460" w:lineRule="exact"/>
              <w:textAlignment w:val="bottom"/>
              <w:rPr>
                <w:rFonts w:hint="eastAsia" w:ascii="宋体" w:hAnsi="宋体" w:eastAsia="宋体" w:cs="宋体"/>
                <w:color w:val="auto"/>
                <w:sz w:val="21"/>
                <w:szCs w:val="21"/>
                <w:highlight w:val="none"/>
                <w:lang w:val="en-US" w:eastAsia="zh-CN" w:bidi="ar-SA"/>
              </w:rPr>
            </w:pPr>
            <w:r>
              <w:rPr>
                <w:rFonts w:hint="eastAsia" w:ascii="宋体" w:hAnsi="宋体" w:eastAsia="宋体" w:cs="宋体"/>
                <w:b/>
                <w:color w:val="auto"/>
                <w:sz w:val="21"/>
                <w:szCs w:val="21"/>
                <w:highlight w:val="none"/>
              </w:rPr>
              <w:t>履约保证金的收取及退还</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无</w:t>
            </w:r>
          </w:p>
        </w:tc>
      </w:tr>
      <w:tr w14:paraId="3F02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352A30C0">
            <w:pPr>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8878" w:type="dxa"/>
            <w:gridSpan w:val="2"/>
            <w:tcBorders>
              <w:top w:val="single" w:color="auto" w:sz="4" w:space="0"/>
              <w:left w:val="single" w:color="auto" w:sz="4" w:space="0"/>
              <w:bottom w:val="single" w:color="auto" w:sz="4" w:space="0"/>
            </w:tcBorders>
            <w:vAlign w:val="center"/>
          </w:tcPr>
          <w:p w14:paraId="62DB2104">
            <w:pPr>
              <w:snapToGrid w:val="0"/>
              <w:spacing w:line="42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磋商结果公示：浙江政府采购网http://zfcg.czt.zj.gov.cn/)</w:t>
            </w:r>
          </w:p>
        </w:tc>
      </w:tr>
      <w:tr w14:paraId="7DA1E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7C32DAC6">
            <w:pPr>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8878" w:type="dxa"/>
            <w:gridSpan w:val="2"/>
            <w:tcBorders>
              <w:top w:val="single" w:color="auto" w:sz="4" w:space="0"/>
              <w:left w:val="single" w:color="auto" w:sz="4" w:space="0"/>
              <w:bottom w:val="single" w:color="auto" w:sz="4" w:space="0"/>
            </w:tcBorders>
            <w:vAlign w:val="center"/>
          </w:tcPr>
          <w:p w14:paraId="203164BB">
            <w:pPr>
              <w:snapToGrid w:val="0"/>
              <w:spacing w:line="42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签订合同时间：成交通知书发出后20日内。</w:t>
            </w:r>
          </w:p>
        </w:tc>
      </w:tr>
      <w:tr w14:paraId="1C7DA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56FE68A6">
            <w:pPr>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78" w:type="dxa"/>
            <w:gridSpan w:val="2"/>
            <w:tcBorders>
              <w:top w:val="single" w:color="auto" w:sz="4" w:space="0"/>
              <w:left w:val="single" w:color="auto" w:sz="4" w:space="0"/>
              <w:bottom w:val="single" w:color="auto" w:sz="4" w:space="0"/>
            </w:tcBorders>
            <w:vAlign w:val="center"/>
          </w:tcPr>
          <w:p w14:paraId="4FA11CB6">
            <w:pPr>
              <w:snapToGrid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磋商响应文件有效期：90天。</w:t>
            </w:r>
          </w:p>
        </w:tc>
      </w:tr>
      <w:tr w14:paraId="7B69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69" w:type="dxa"/>
            <w:tcBorders>
              <w:top w:val="single" w:color="auto" w:sz="4" w:space="0"/>
              <w:bottom w:val="single" w:color="auto" w:sz="4" w:space="0"/>
              <w:right w:val="single" w:color="auto" w:sz="4" w:space="0"/>
            </w:tcBorders>
            <w:vAlign w:val="center"/>
          </w:tcPr>
          <w:p w14:paraId="0973ADB0">
            <w:pPr>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8878" w:type="dxa"/>
            <w:gridSpan w:val="2"/>
            <w:tcBorders>
              <w:top w:val="single" w:color="auto" w:sz="4" w:space="0"/>
              <w:left w:val="single" w:color="auto" w:sz="4" w:space="0"/>
              <w:bottom w:val="single" w:color="auto" w:sz="4" w:space="0"/>
            </w:tcBorders>
            <w:vAlign w:val="center"/>
          </w:tcPr>
          <w:p w14:paraId="227F6F96">
            <w:pPr>
              <w:snapToGrid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解释：本磋商采购文件的解释权属于磋商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tc>
      </w:tr>
    </w:tbl>
    <w:p w14:paraId="75FB32D6">
      <w:pPr>
        <w:autoSpaceDE/>
        <w:autoSpaceDN/>
        <w:adjustRightInd/>
        <w:spacing w:line="500" w:lineRule="exact"/>
        <w:ind w:firstLine="632" w:firstLineChars="300"/>
        <w:jc w:val="both"/>
        <w:textAlignment w:val="auto"/>
        <w:rPr>
          <w:rFonts w:hint="eastAsia" w:ascii="宋体" w:hAnsi="宋体" w:eastAsia="宋体" w:cs="宋体"/>
          <w:b/>
          <w:color w:val="auto"/>
          <w:sz w:val="21"/>
          <w:szCs w:val="21"/>
          <w:highlight w:val="none"/>
        </w:rPr>
      </w:pPr>
      <w:bookmarkStart w:id="148" w:name="_Toc217289131"/>
      <w:bookmarkStart w:id="149" w:name="_Toc184785920"/>
      <w:bookmarkStart w:id="150" w:name="_Toc237176507"/>
      <w:r>
        <w:rPr>
          <w:rFonts w:hint="eastAsia" w:ascii="宋体" w:hAnsi="宋体" w:eastAsia="宋体" w:cs="宋体"/>
          <w:b/>
          <w:color w:val="auto"/>
          <w:sz w:val="21"/>
          <w:szCs w:val="21"/>
          <w:highlight w:val="none"/>
        </w:rPr>
        <w:t>一 、总  则</w:t>
      </w:r>
    </w:p>
    <w:p w14:paraId="2E8291C3">
      <w:pPr>
        <w:keepNext w:val="0"/>
        <w:keepLines w:val="0"/>
        <w:pageBreakBefore w:val="0"/>
        <w:widowControl w:val="0"/>
        <w:kinsoku/>
        <w:wordWrap/>
        <w:overflowPunct/>
        <w:topLinePunct w:val="0"/>
        <w:autoSpaceDE/>
        <w:autoSpaceDN/>
        <w:bidi w:val="0"/>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49A57E98">
      <w:pPr>
        <w:keepNext w:val="0"/>
        <w:keepLines w:val="0"/>
        <w:pageBreakBefore w:val="0"/>
        <w:widowControl w:val="0"/>
        <w:kinsoku/>
        <w:wordWrap/>
        <w:overflowPunct/>
        <w:topLinePunct w:val="0"/>
        <w:autoSpaceDE/>
        <w:autoSpaceDN/>
        <w:bidi w:val="0"/>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w:t>
      </w:r>
      <w:r>
        <w:rPr>
          <w:rFonts w:hint="eastAsia" w:ascii="宋体" w:hAnsi="宋体" w:eastAsia="宋体" w:cs="宋体"/>
          <w:color w:val="auto"/>
          <w:sz w:val="21"/>
          <w:szCs w:val="21"/>
          <w:highlight w:val="none"/>
          <w:lang w:eastAsia="zh-CN"/>
        </w:rPr>
        <w:t>2025年金华市足球项目政转社赛事活动</w:t>
      </w:r>
      <w:r>
        <w:rPr>
          <w:rFonts w:hint="eastAsia" w:ascii="宋体" w:hAnsi="宋体" w:eastAsia="宋体" w:cs="宋体"/>
          <w:color w:val="auto"/>
          <w:sz w:val="21"/>
          <w:szCs w:val="21"/>
          <w:highlight w:val="none"/>
        </w:rPr>
        <w:t>的竞争性磋商采购、磋商响应、确定成交人、验收、合同履约、付款等行为（法律、法规另有规定的，从其规定）。</w:t>
      </w:r>
    </w:p>
    <w:p w14:paraId="04E26C97">
      <w:pPr>
        <w:keepNext w:val="0"/>
        <w:keepLines w:val="0"/>
        <w:pageBreakBefore w:val="0"/>
        <w:widowControl w:val="0"/>
        <w:kinsoku/>
        <w:wordWrap/>
        <w:overflowPunct/>
        <w:topLinePunct w:val="0"/>
        <w:autoSpaceDE/>
        <w:autoSpaceDN/>
        <w:bidi w:val="0"/>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2B6D64C7">
      <w:pPr>
        <w:keepNext w:val="0"/>
        <w:keepLines w:val="0"/>
        <w:pageBreakBefore w:val="0"/>
        <w:widowControl w:val="0"/>
        <w:kinsoku/>
        <w:wordWrap/>
        <w:overflowPunct/>
        <w:topLinePunct w:val="0"/>
        <w:autoSpaceDE/>
        <w:autoSpaceDN/>
        <w:bidi w:val="0"/>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系指组织本次竞争性磋商采购的政府采购代理机构和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3DB65067">
      <w:pPr>
        <w:keepNext w:val="0"/>
        <w:keepLines w:val="0"/>
        <w:pageBreakBefore w:val="0"/>
        <w:widowControl w:val="0"/>
        <w:kinsoku/>
        <w:wordWrap/>
        <w:overflowPunct/>
        <w:topLinePunct w:val="0"/>
        <w:autoSpaceDE/>
        <w:autoSpaceDN/>
        <w:bidi w:val="0"/>
        <w:adjustRightInd/>
        <w:spacing w:line="50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2.“响应供应商”（又称“投标人”）系指响应</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的采购需求并向磋商</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提交磋商响应文件（又称“投标文件”）的单位或个人。</w:t>
      </w:r>
    </w:p>
    <w:p w14:paraId="1457700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产品</w:t>
      </w:r>
      <w:r>
        <w:rPr>
          <w:rFonts w:hint="eastAsia" w:ascii="宋体" w:hAnsi="宋体" w:eastAsia="宋体" w:cs="宋体"/>
          <w:color w:val="auto"/>
          <w:sz w:val="21"/>
          <w:szCs w:val="21"/>
          <w:highlight w:val="none"/>
        </w:rPr>
        <w:t>”系指供方按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文件规定，须向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人提供的</w:t>
      </w:r>
      <w:r>
        <w:rPr>
          <w:rFonts w:hint="eastAsia" w:ascii="宋体" w:hAnsi="宋体" w:eastAsia="宋体" w:cs="宋体"/>
          <w:color w:val="auto"/>
          <w:sz w:val="21"/>
          <w:szCs w:val="21"/>
          <w:highlight w:val="none"/>
          <w:lang w:eastAsia="zh-CN"/>
        </w:rPr>
        <w:t>2025年金华市足球项目政转社赛事活动</w:t>
      </w:r>
      <w:r>
        <w:rPr>
          <w:rFonts w:hint="eastAsia" w:hAnsi="宋体" w:cs="宋体"/>
          <w:color w:val="auto"/>
          <w:sz w:val="21"/>
          <w:szCs w:val="21"/>
          <w:highlight w:val="none"/>
          <w:lang w:val="en-US" w:eastAsia="zh-CN"/>
        </w:rPr>
        <w:t>的服务成果</w:t>
      </w:r>
      <w:r>
        <w:rPr>
          <w:rFonts w:hint="eastAsia" w:ascii="宋体" w:hAnsi="宋体" w:eastAsia="宋体" w:cs="宋体"/>
          <w:color w:val="auto"/>
          <w:sz w:val="21"/>
          <w:szCs w:val="21"/>
          <w:highlight w:val="none"/>
        </w:rPr>
        <w:t>。</w:t>
      </w:r>
    </w:p>
    <w:p w14:paraId="0F85558B">
      <w:pPr>
        <w:keepNext w:val="0"/>
        <w:keepLines w:val="0"/>
        <w:pageBreakBefore w:val="0"/>
        <w:widowControl w:val="0"/>
        <w:kinsoku/>
        <w:wordWrap/>
        <w:overflowPunct/>
        <w:topLinePunct w:val="0"/>
        <w:autoSpaceDE/>
        <w:autoSpaceDN/>
        <w:bidi w:val="0"/>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.“服务”系指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人受</w:t>
      </w:r>
      <w:r>
        <w:rPr>
          <w:rFonts w:hint="eastAsia" w:hAnsi="宋体" w:cs="宋体"/>
          <w:color w:val="auto"/>
          <w:sz w:val="21"/>
          <w:szCs w:val="21"/>
          <w:highlight w:val="none"/>
          <w:lang w:eastAsia="zh-CN"/>
        </w:rPr>
        <w:t>金华市体育局</w:t>
      </w:r>
      <w:r>
        <w:rPr>
          <w:rFonts w:hint="eastAsia" w:ascii="宋体" w:hAnsi="宋体" w:eastAsia="宋体" w:cs="宋体"/>
          <w:color w:val="auto"/>
          <w:sz w:val="21"/>
          <w:szCs w:val="21"/>
          <w:highlight w:val="none"/>
        </w:rPr>
        <w:t>委托提供</w:t>
      </w:r>
      <w:r>
        <w:rPr>
          <w:rFonts w:hint="eastAsia" w:hAnsi="宋体" w:cs="宋体"/>
          <w:color w:val="auto"/>
          <w:sz w:val="21"/>
          <w:szCs w:val="21"/>
          <w:highlight w:val="none"/>
          <w:lang w:eastAsia="zh-CN"/>
        </w:rPr>
        <w:t>足球项目政转社赛事活动</w:t>
      </w:r>
      <w:r>
        <w:rPr>
          <w:rFonts w:hint="eastAsia" w:hAnsi="宋体" w:cs="宋体"/>
          <w:color w:val="auto"/>
          <w:sz w:val="21"/>
          <w:szCs w:val="21"/>
          <w:highlight w:val="none"/>
          <w:lang w:val="en-US" w:eastAsia="zh-CN"/>
        </w:rPr>
        <w:t>的各项比赛等相关</w:t>
      </w:r>
      <w:r>
        <w:rPr>
          <w:rFonts w:hint="eastAsia" w:ascii="宋体" w:hAnsi="宋体" w:eastAsia="宋体" w:cs="宋体"/>
          <w:color w:val="auto"/>
          <w:sz w:val="21"/>
          <w:szCs w:val="21"/>
          <w:highlight w:val="none"/>
        </w:rPr>
        <w:t>服务以及其他类似的义务。</w:t>
      </w:r>
    </w:p>
    <w:p w14:paraId="0F4CBE1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.“项目”系指</w:t>
      </w:r>
      <w:r>
        <w:rPr>
          <w:rFonts w:hint="eastAsia" w:ascii="宋体" w:hAnsi="宋体" w:eastAsia="宋体" w:cs="宋体"/>
          <w:b w:val="0"/>
          <w:bCs w:val="0"/>
          <w:color w:val="auto"/>
          <w:sz w:val="21"/>
          <w:szCs w:val="21"/>
          <w:highlight w:val="none"/>
        </w:rPr>
        <w:t>响应供应商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文件规定向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人提供的</w:t>
      </w:r>
      <w:r>
        <w:rPr>
          <w:rFonts w:hint="eastAsia" w:ascii="宋体" w:hAnsi="宋体" w:eastAsia="宋体" w:cs="宋体"/>
          <w:color w:val="auto"/>
          <w:sz w:val="21"/>
          <w:szCs w:val="21"/>
          <w:highlight w:val="none"/>
          <w:lang w:val="en-US" w:eastAsia="zh-CN"/>
        </w:rPr>
        <w:t>产品和</w:t>
      </w:r>
      <w:r>
        <w:rPr>
          <w:rFonts w:hint="eastAsia" w:ascii="宋体" w:hAnsi="宋体" w:eastAsia="宋体" w:cs="宋体"/>
          <w:color w:val="auto"/>
          <w:sz w:val="21"/>
          <w:szCs w:val="21"/>
          <w:highlight w:val="none"/>
        </w:rPr>
        <w:t>服务。</w:t>
      </w:r>
    </w:p>
    <w:p w14:paraId="31A0F91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“书面形式”包括信函、传真、电报等。</w:t>
      </w:r>
    </w:p>
    <w:p w14:paraId="60C7B94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”系指实质性要求指标，“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”系指重要性指标条款。</w:t>
      </w:r>
    </w:p>
    <w:p w14:paraId="5BDD23AB">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lang w:val="en-US" w:eastAsia="zh-CN"/>
        </w:rPr>
        <w:t>方</w:t>
      </w:r>
      <w:r>
        <w:rPr>
          <w:rFonts w:hint="eastAsia" w:ascii="宋体" w:hAnsi="宋体" w:eastAsia="宋体" w:cs="宋体"/>
          <w:b/>
          <w:color w:val="auto"/>
          <w:sz w:val="21"/>
          <w:szCs w:val="21"/>
          <w:highlight w:val="none"/>
        </w:rPr>
        <w:t>式</w:t>
      </w:r>
    </w:p>
    <w:p w14:paraId="1F471119">
      <w:pPr>
        <w:autoSpaceDE/>
        <w:autoSpaceDN/>
        <w:adjustRightInd/>
        <w:spacing w:line="500" w:lineRule="exact"/>
        <w:ind w:firstLine="315" w:firstLineChars="15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本次采购采用竞争性磋商方式进行。</w:t>
      </w:r>
    </w:p>
    <w:p w14:paraId="51DE050B">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（四）磋商委托</w:t>
      </w:r>
    </w:p>
    <w:p w14:paraId="1E2EDF40">
      <w:pPr>
        <w:autoSpaceDE/>
        <w:autoSpaceDN/>
        <w:adjustRightInd/>
        <w:spacing w:line="500" w:lineRule="exact"/>
        <w:ind w:firstLine="525" w:firstLineChars="25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响应供应商代表须携带有效身份证件。如响应供应商代表不是法定代表人（或单位负责人），须有法定代表人（或单位负责人）出具的授权委托书（正本用原件，副本用复印件）。</w:t>
      </w:r>
    </w:p>
    <w:p w14:paraId="66DAF963">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（五）磋商费用</w:t>
      </w:r>
    </w:p>
    <w:p w14:paraId="4601F03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不论磋商结果如何，响应供应商均应自行承担所有与本次竞争性磋商有关的全部费用（磋商采购文件有相反规定除外）。</w:t>
      </w:r>
    </w:p>
    <w:p w14:paraId="20CB01FC">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（六）联合体的竞争性磋商</w:t>
      </w:r>
    </w:p>
    <w:p w14:paraId="2314F2C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1311A54B">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）转包与分包</w:t>
      </w:r>
    </w:p>
    <w:p w14:paraId="03497B1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2A2C5189">
      <w:pPr>
        <w:autoSpaceDE/>
        <w:autoSpaceDN/>
        <w:adjustRightInd/>
        <w:snapToGrid w:val="0"/>
        <w:spacing w:line="520" w:lineRule="exact"/>
        <w:ind w:firstLine="420" w:firstLineChars="200"/>
        <w:jc w:val="both"/>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val="en-US" w:eastAsia="zh-CN"/>
        </w:rPr>
        <w:t>本项目</w:t>
      </w:r>
      <w:r>
        <w:rPr>
          <w:rFonts w:hint="eastAsia" w:hAnsi="宋体" w:cs="宋体"/>
          <w:color w:val="auto"/>
          <w:sz w:val="21"/>
          <w:szCs w:val="21"/>
          <w:highlight w:val="none"/>
          <w:lang w:val="en-US" w:eastAsia="zh-CN"/>
        </w:rPr>
        <w:t>非</w:t>
      </w:r>
      <w:r>
        <w:rPr>
          <w:rFonts w:hint="eastAsia" w:ascii="宋体" w:hAnsi="宋体" w:eastAsia="宋体" w:cs="宋体"/>
          <w:color w:val="auto"/>
          <w:sz w:val="21"/>
          <w:szCs w:val="21"/>
          <w:highlight w:val="none"/>
        </w:rPr>
        <w:t>主体和关键部分</w:t>
      </w:r>
      <w:r>
        <w:rPr>
          <w:rFonts w:hint="eastAsia" w:hAnsi="宋体"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bidi="ar"/>
        </w:rPr>
        <w:t>经采购人同意，中标、成交供应商可以</w:t>
      </w:r>
      <w:r>
        <w:rPr>
          <w:rFonts w:hint="eastAsia" w:ascii="宋体" w:hAnsi="宋体" w:eastAsia="宋体" w:cs="宋体"/>
          <w:color w:val="auto"/>
          <w:sz w:val="21"/>
          <w:szCs w:val="21"/>
          <w:highlight w:val="none"/>
          <w:lang w:val="en-US" w:eastAsia="zh-CN" w:bidi="ar"/>
        </w:rPr>
        <w:t>根据《</w:t>
      </w:r>
      <w:r>
        <w:rPr>
          <w:rFonts w:hint="eastAsia" w:ascii="宋体" w:hAnsi="宋体" w:eastAsia="宋体" w:cs="宋体"/>
          <w:i w:val="0"/>
          <w:iCs w:val="0"/>
          <w:caps w:val="0"/>
          <w:color w:val="auto"/>
          <w:spacing w:val="0"/>
          <w:sz w:val="21"/>
          <w:szCs w:val="21"/>
          <w:highlight w:val="none"/>
          <w:shd w:val="clear" w:color="auto" w:fill="auto"/>
          <w:lang w:bidi="ar"/>
        </w:rPr>
        <w:t>中华人民共和国政府采购法</w:t>
      </w:r>
      <w:r>
        <w:rPr>
          <w:rFonts w:hint="eastAsia" w:ascii="宋体" w:hAnsi="宋体" w:eastAsia="宋体" w:cs="宋体"/>
          <w:color w:val="auto"/>
          <w:sz w:val="21"/>
          <w:szCs w:val="21"/>
          <w:highlight w:val="none"/>
          <w:lang w:val="en-US" w:eastAsia="zh-CN" w:bidi="ar"/>
        </w:rPr>
        <w:t>》第四十八条的规定</w:t>
      </w:r>
      <w:r>
        <w:rPr>
          <w:rFonts w:hint="eastAsia" w:ascii="宋体" w:hAnsi="宋体" w:eastAsia="宋体" w:cs="宋体"/>
          <w:color w:val="auto"/>
          <w:sz w:val="21"/>
          <w:szCs w:val="21"/>
          <w:highlight w:val="none"/>
          <w:lang w:eastAsia="zh-CN" w:bidi="ar"/>
        </w:rPr>
        <w:t>依法采取分包方式履行合同。</w:t>
      </w:r>
    </w:p>
    <w:p w14:paraId="0409F5F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hAnsi="宋体" w:cs="宋体"/>
          <w:color w:val="auto"/>
          <w:sz w:val="21"/>
          <w:szCs w:val="21"/>
          <w:highlight w:val="none"/>
        </w:rPr>
        <w:t>政府采购合同采用分包履行的，中标供应商就采购项目和分包项目向采购人负责，分包供应商就分包项目承担责任</w:t>
      </w:r>
      <w:r>
        <w:rPr>
          <w:rFonts w:hint="eastAsia" w:ascii="宋体" w:hAnsi="宋体" w:eastAsia="宋体" w:cs="宋体"/>
          <w:color w:val="auto"/>
          <w:sz w:val="21"/>
          <w:szCs w:val="21"/>
          <w:highlight w:val="none"/>
        </w:rPr>
        <w:t>。</w:t>
      </w:r>
    </w:p>
    <w:p w14:paraId="17A8DEC4">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3F68D7E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1.多家供应商参加竞争性磋商，如其中两家或两家以上供应商的法定代表人（或单位负责人）为同一人或相互之间存在投资关系且达到控股的</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评审时，取其中通过资格审查后的报价最低一家为有效供应商；当报价相同时，则以技术标最优一家为有效供应商；均相同时，由磋商小组集体决定。</w:t>
      </w:r>
    </w:p>
    <w:p w14:paraId="58177CBE">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highlight w:val="none"/>
        </w:rPr>
        <w:t>2.</w:t>
      </w:r>
      <w:r>
        <w:rPr>
          <w:rFonts w:hint="eastAsia" w:ascii="宋体" w:hAnsi="宋体" w:eastAsia="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63B6F792">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响应供应商参加竞争性磋商所使用的资格、信誉、荣誉、业绩与企业认证必须为本单位所拥有。响应供应商参加竞争性磋商所使用的采购项目实施人员必须为本单位员工</w:t>
      </w:r>
      <w:r>
        <w:rPr>
          <w:rFonts w:hint="eastAsia" w:hAnsi="宋体" w:cs="宋体"/>
          <w:color w:val="auto"/>
          <w:sz w:val="21"/>
          <w:szCs w:val="21"/>
          <w:highlight w:val="none"/>
          <w:lang w:val="en-US" w:eastAsia="zh-CN"/>
        </w:rPr>
        <w:t>及为本项目实施所聘请的专家学者和技术力量</w:t>
      </w:r>
      <w:r>
        <w:rPr>
          <w:rFonts w:hint="eastAsia" w:ascii="宋体" w:hAnsi="宋体" w:eastAsia="宋体" w:cs="宋体"/>
          <w:color w:val="auto"/>
          <w:sz w:val="21"/>
          <w:szCs w:val="21"/>
          <w:highlight w:val="none"/>
        </w:rPr>
        <w:t>。</w:t>
      </w:r>
    </w:p>
    <w:p w14:paraId="6C9CD16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.响应供应商应仔细阅读磋商采购文件的所有内容，按照磋商采购文件的要求提交磋商响应文件。响应供应商必须对磋商响应文件所提供的全部资料的真实性承担法律责任，并无条件接受采购代理机构、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及政府采购监督管理部门等对其中任何资料进行核实的要求。</w:t>
      </w:r>
    </w:p>
    <w:p w14:paraId="4CC6303D">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响应供应商在竞争性磋商采购活动中提供任何虚假材料均视为无效，并将报请监管部门查处；成交后发现的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成交供应商须根据我国的相关法律法规进行处罚，且民事赔偿并不免除违法响应供应商的行政与刑事责任。</w:t>
      </w:r>
    </w:p>
    <w:p w14:paraId="2F0C976E">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6D099D46">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1.响应供应商认为磋商采购文件、磋商采购过程或成交结果使自己的合法权益受到损害的，应当在知道或者应知其权益受到损害之日起七个工作日内，以书面形式向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、采购代理机构提出质疑。响应供应商对磋商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的质疑答复不满意或者磋商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未在规定时间内作出答复的，可以在答复期满后十五个工作日内向同级采购监管部门投诉。</w:t>
      </w:r>
    </w:p>
    <w:p w14:paraId="533C8ED7">
      <w:pPr>
        <w:autoSpaceDE/>
        <w:autoSpaceDN/>
        <w:adjustRightInd/>
        <w:spacing w:line="500" w:lineRule="exact"/>
        <w:ind w:firstLine="420" w:firstLineChars="200"/>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2.质疑、投诉应当符合中华人民共和国财政部令第94号《政府采购质疑和投诉办法》、财库【2014】214号《政府采购竞争性磋商采购方式管理暂行办法》等的规定，并分别采用财政部发布的《政府采购供应商质疑函范本》和《政府采购供应商投诉书范本》等书面形式，质疑书、投诉书均应明确阐述磋商采购文件、磋商采购过程或成交结果中使自己合法权益受到损害的实质性内容，提供相关事实、依据和证据及其来源或线索，便于有关单位调查、答复和处理。</w:t>
      </w:r>
      <w:r>
        <w:rPr>
          <w:rFonts w:hint="eastAsia" w:ascii="宋体" w:hAnsi="宋体" w:eastAsia="宋体" w:cs="宋体"/>
          <w:bCs/>
          <w:color w:val="auto"/>
          <w:sz w:val="21"/>
          <w:szCs w:val="21"/>
          <w:highlight w:val="none"/>
        </w:rPr>
        <w:t>质疑函范本、投诉书范本请到浙江政府采购网下载专区下载。</w:t>
      </w:r>
    </w:p>
    <w:p w14:paraId="4574B4F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zh-CN"/>
        </w:rPr>
        <w:t>须在法定质疑期内一次性提出针对同一采购程序环节的质疑。未按上述要求提供的质疑函，采购代理机构有权不予受理。</w:t>
      </w:r>
    </w:p>
    <w:p w14:paraId="0E003E51">
      <w:pPr>
        <w:autoSpaceDE/>
        <w:autoSpaceDN/>
        <w:adjustRightInd/>
        <w:spacing w:line="460" w:lineRule="exact"/>
        <w:ind w:left="415" w:leftChars="122"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4.以联合体形式参加政府采购活动的，其质疑投诉应当由组成联合体的所有联合体成员共同提出</w:t>
      </w:r>
      <w:r>
        <w:rPr>
          <w:rFonts w:hint="eastAsia" w:hAnsi="宋体" w:cs="宋体"/>
          <w:color w:val="auto"/>
          <w:sz w:val="21"/>
          <w:szCs w:val="21"/>
          <w:highlight w:val="none"/>
          <w:lang w:eastAsia="zh-CN"/>
        </w:rPr>
        <w:t>（</w:t>
      </w:r>
      <w:r>
        <w:rPr>
          <w:rFonts w:hint="eastAsia" w:ascii="宋体" w:hAnsi="宋体" w:eastAsia="宋体" w:cs="宋体"/>
          <w:color w:val="auto"/>
          <w:kern w:val="0"/>
          <w:sz w:val="21"/>
          <w:szCs w:val="21"/>
          <w:highlight w:val="none"/>
        </w:rPr>
        <w:t>注：本项目</w:t>
      </w:r>
      <w:r>
        <w:rPr>
          <w:rFonts w:hint="eastAsia" w:ascii="宋体" w:hAnsi="宋体" w:eastAsia="宋体" w:cs="宋体"/>
          <w:color w:val="auto"/>
          <w:kern w:val="0"/>
          <w:sz w:val="21"/>
          <w:szCs w:val="21"/>
          <w:highlight w:val="none"/>
          <w:lang w:val="en-US" w:eastAsia="zh-CN"/>
        </w:rPr>
        <w:t>不接受联合体投标</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AAC49C1">
      <w:pPr>
        <w:autoSpaceDE/>
        <w:autoSpaceDN/>
        <w:adjustRightInd/>
        <w:spacing w:line="460" w:lineRule="exact"/>
        <w:ind w:left="415" w:leftChars="122"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二、磋商文件</w:t>
      </w:r>
    </w:p>
    <w:p w14:paraId="51145FE9">
      <w:pPr>
        <w:pStyle w:val="101"/>
        <w:numPr>
          <w:ilvl w:val="0"/>
          <w:numId w:val="3"/>
        </w:numPr>
        <w:spacing w:line="460" w:lineRule="exact"/>
        <w:ind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磋商文件的构成。本磋商文件由以下部分组成：</w:t>
      </w:r>
    </w:p>
    <w:p w14:paraId="600D462F">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48A7F8D5">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p>
    <w:p w14:paraId="35FF31DF">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3.响应供应商须知</w:t>
      </w:r>
    </w:p>
    <w:p w14:paraId="034D3870">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4.磋商办法及评分标准</w:t>
      </w:r>
    </w:p>
    <w:p w14:paraId="7DDACB4C">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6EA686AC">
      <w:pPr>
        <w:pStyle w:val="12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6.应提交的响应文件格式范例</w:t>
      </w:r>
    </w:p>
    <w:p w14:paraId="1DC7B12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7.本项目磋商采购文件的澄清、答复、修改、补充的内容（如有）</w:t>
      </w:r>
    </w:p>
    <w:p w14:paraId="47C582B1">
      <w:pPr>
        <w:autoSpaceDE/>
        <w:autoSpaceDN/>
        <w:adjustRightInd/>
        <w:spacing w:line="500" w:lineRule="exact"/>
        <w:ind w:firstLine="211" w:firstLineChars="1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（二）响应供应商的风险</w:t>
      </w:r>
    </w:p>
    <w:p w14:paraId="457B85C8">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1.响应供应商没有按照磋商采购文件要求提供全部资料，或者响应供应商没有对磋商采购文件在各方面作出实质性响应是响应供应商的风险，并可能导致其递交的磋商响应文件被拒绝。</w:t>
      </w:r>
    </w:p>
    <w:p w14:paraId="3B414E37">
      <w:pPr>
        <w:pStyle w:val="2"/>
        <w:spacing w:after="0" w:line="500" w:lineRule="exact"/>
        <w:ind w:left="0" w:leftChars="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eastAsia="zh-CN"/>
        </w:rPr>
        <w:t>采购人</w:t>
      </w:r>
      <w:r>
        <w:rPr>
          <w:rFonts w:hint="eastAsia" w:ascii="宋体" w:hAnsi="宋体" w:eastAsia="宋体" w:cs="宋体"/>
          <w:color w:val="auto"/>
          <w:kern w:val="0"/>
          <w:highlight w:val="none"/>
        </w:rPr>
        <w:t>、采购代理机构不保证所有已完成报名的供应商都符合资格要求。</w:t>
      </w:r>
    </w:p>
    <w:p w14:paraId="1257B792">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（三）磋商采购文件的澄清与修改</w:t>
      </w:r>
    </w:p>
    <w:p w14:paraId="2814249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1.响应供应商应认真阅读本磋商采购文件，发现其中有误或有不合理要求的，响应供应商必须在</w:t>
      </w:r>
      <w:r>
        <w:rPr>
          <w:rFonts w:hint="eastAsia" w:ascii="宋体" w:hAnsi="宋体" w:eastAsia="宋体" w:cs="宋体"/>
          <w:b/>
          <w:color w:val="auto"/>
          <w:sz w:val="21"/>
          <w:szCs w:val="21"/>
          <w:highlight w:val="none"/>
        </w:rPr>
        <w:t>磋商响应文件递交截止时间5日前以书面形式要求磋商</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澄清。</w:t>
      </w:r>
      <w:r>
        <w:rPr>
          <w:rFonts w:hint="eastAsia" w:ascii="宋体" w:hAnsi="宋体" w:eastAsia="宋体" w:cs="宋体"/>
          <w:color w:val="auto"/>
          <w:sz w:val="21"/>
          <w:szCs w:val="21"/>
          <w:highlight w:val="none"/>
        </w:rPr>
        <w:t>采购代理机构对已发出的磋商采购文件进行必要澄清、答复、修改或补充的，应当在磋商采购文件要求提交磋商响应文件截止时间5日前，在财政部门指定的政府采购信息发布媒体上发布更正公告，并以书面形式通知所有磋商采购文件收受人。</w:t>
      </w:r>
    </w:p>
    <w:p w14:paraId="3DAF338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2.采购代理机构必须以书面形式答复响应供应商要求澄清的问题，并将不包含问题来源的答复书面通知所有购买磋商采购文件的响应供应商；除书面答复以外的其他澄清方式及澄清内容均无效。</w:t>
      </w:r>
    </w:p>
    <w:p w14:paraId="08A08E3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3.磋商采购文件澄清、答复、修改、补充的内容为磋商采购文件的组成部分。当磋商采购文件与磋商采购文件的答复、澄清、修改、补充通知就同一内容的表述不一致时，以最后发出的书面文件为准。</w:t>
      </w:r>
    </w:p>
    <w:p w14:paraId="7EF37836">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4.磋商采购文件的澄清、答复、修改或补充都应该通过本代理机构以法定形式发布，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非通过本机构，不得擅自澄清、答复、修改或补充磋商采购文件。</w:t>
      </w:r>
    </w:p>
    <w:p w14:paraId="082758DB">
      <w:pPr>
        <w:pStyle w:val="4"/>
        <w:bidi w:val="0"/>
        <w:ind w:firstLine="241" w:firstLineChars="100"/>
        <w:rPr>
          <w:rFonts w:hint="eastAsia"/>
          <w:color w:val="auto"/>
          <w:highlight w:val="none"/>
        </w:rPr>
      </w:pPr>
      <w:r>
        <w:rPr>
          <w:rFonts w:hint="eastAsia"/>
          <w:color w:val="auto"/>
          <w:highlight w:val="none"/>
        </w:rPr>
        <w:t>三、磋商响应文件的编制</w:t>
      </w:r>
    </w:p>
    <w:p w14:paraId="42632A37">
      <w:pPr>
        <w:pStyle w:val="4"/>
        <w:bidi w:val="0"/>
        <w:rPr>
          <w:rFonts w:hint="eastAsia"/>
          <w:color w:val="auto"/>
          <w:highlight w:val="none"/>
        </w:rPr>
      </w:pPr>
      <w:r>
        <w:rPr>
          <w:rFonts w:hint="eastAsia"/>
          <w:color w:val="auto"/>
          <w:highlight w:val="none"/>
        </w:rPr>
        <w:t>（一）磋商响应文件的组成</w:t>
      </w:r>
    </w:p>
    <w:p w14:paraId="42C29A67">
      <w:pPr>
        <w:snapToGrid w:val="0"/>
        <w:spacing w:line="500" w:lineRule="exact"/>
        <w:ind w:firstLine="422" w:firstLineChars="200"/>
        <w:rPr>
          <w:rFonts w:hint="eastAsia" w:ascii="宋体" w:hAnsi="宋体" w:eastAsia="宋体" w:cs="宋体"/>
          <w:b/>
          <w:color w:val="auto"/>
          <w:sz w:val="21"/>
          <w:szCs w:val="21"/>
          <w:highlight w:val="none"/>
        </w:rPr>
      </w:pPr>
      <w:bookmarkStart w:id="151" w:name="_Toc8176"/>
      <w:r>
        <w:rPr>
          <w:rFonts w:hint="eastAsia" w:ascii="宋体" w:hAnsi="宋体" w:eastAsia="宋体" w:cs="宋体"/>
          <w:b/>
          <w:color w:val="auto"/>
          <w:sz w:val="21"/>
          <w:szCs w:val="21"/>
          <w:highlight w:val="none"/>
        </w:rPr>
        <w:t>1.磋商响应文件为电子投标文件。</w:t>
      </w:r>
      <w:bookmarkEnd w:id="151"/>
    </w:p>
    <w:p w14:paraId="3DA832DD">
      <w:pPr>
        <w:snapToGrid w:val="0"/>
        <w:spacing w:line="500" w:lineRule="exact"/>
        <w:ind w:firstLine="422" w:firstLineChars="200"/>
        <w:rPr>
          <w:rFonts w:hint="eastAsia" w:ascii="宋体" w:hAnsi="宋体" w:eastAsia="宋体" w:cs="宋体"/>
          <w:b/>
          <w:color w:val="auto"/>
          <w:sz w:val="21"/>
          <w:szCs w:val="21"/>
          <w:highlight w:val="none"/>
        </w:rPr>
      </w:pPr>
      <w:bookmarkStart w:id="152" w:name="_Toc8263"/>
      <w:r>
        <w:rPr>
          <w:rFonts w:hint="eastAsia" w:ascii="宋体" w:hAnsi="宋体" w:eastAsia="宋体" w:cs="宋体"/>
          <w:b/>
          <w:color w:val="auto"/>
          <w:sz w:val="21"/>
          <w:szCs w:val="21"/>
          <w:highlight w:val="none"/>
        </w:rPr>
        <w:t>1.1电子投标文件：电子投标文件按政采云平台供应商项目采购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电子交易操作指南（</w:t>
      </w:r>
      <w:r>
        <w:rPr>
          <w:rFonts w:hint="eastAsia" w:ascii="宋体" w:hAnsi="宋体" w:eastAsia="宋体" w:cs="宋体"/>
          <w:color w:val="auto"/>
          <w:sz w:val="21"/>
          <w:szCs w:val="21"/>
          <w:highlight w:val="none"/>
          <w:shd w:val="clear" w:color="auto" w:fill="FFFFFF"/>
        </w:rPr>
        <w:t>https://edu.zcygov.cn/luban/e-biding?utm=a0004.2ef5001f.0001.0109.da8b35e0da8611e98d8937b7ef8a3544</w:t>
      </w:r>
      <w:r>
        <w:rPr>
          <w:rFonts w:hint="eastAsia" w:ascii="宋体" w:hAnsi="宋体" w:eastAsia="宋体" w:cs="宋体"/>
          <w:b/>
          <w:color w:val="auto"/>
          <w:sz w:val="21"/>
          <w:szCs w:val="21"/>
          <w:highlight w:val="none"/>
        </w:rPr>
        <w:t>）及本采购文件要求制作、加密并递交；</w:t>
      </w:r>
      <w:bookmarkEnd w:id="152"/>
    </w:p>
    <w:p w14:paraId="1478E5DE">
      <w:pPr>
        <w:snapToGrid w:val="0"/>
        <w:spacing w:line="500" w:lineRule="exact"/>
        <w:ind w:firstLine="422" w:firstLineChars="200"/>
        <w:rPr>
          <w:rFonts w:hint="eastAsia" w:ascii="宋体" w:hAnsi="宋体" w:eastAsia="宋体" w:cs="宋体"/>
          <w:b/>
          <w:color w:val="auto"/>
          <w:sz w:val="21"/>
          <w:szCs w:val="21"/>
          <w:highlight w:val="none"/>
        </w:rPr>
      </w:pPr>
      <w:bookmarkStart w:id="153" w:name="_Toc12235"/>
      <w:r>
        <w:rPr>
          <w:rFonts w:hint="eastAsia" w:ascii="宋体" w:hAnsi="宋体" w:eastAsia="宋体" w:cs="宋体"/>
          <w:b/>
          <w:color w:val="auto"/>
          <w:sz w:val="21"/>
          <w:szCs w:val="21"/>
          <w:highlight w:val="none"/>
        </w:rPr>
        <w:t>（二）投标文件的组成</w:t>
      </w:r>
      <w:bookmarkEnd w:id="153"/>
    </w:p>
    <w:p w14:paraId="4CBA05B2">
      <w:pPr>
        <w:snapToGrid w:val="0"/>
        <w:spacing w:line="500" w:lineRule="exact"/>
        <w:ind w:firstLine="422" w:firstLineChars="200"/>
        <w:rPr>
          <w:rFonts w:hint="eastAsia" w:ascii="宋体" w:hAnsi="宋体" w:eastAsia="宋体" w:cs="宋体"/>
          <w:b/>
          <w:color w:val="auto"/>
          <w:sz w:val="21"/>
          <w:szCs w:val="21"/>
          <w:highlight w:val="none"/>
        </w:rPr>
      </w:pPr>
      <w:bookmarkStart w:id="154" w:name="_Toc18439"/>
      <w:bookmarkStart w:id="155" w:name="_Toc29267"/>
      <w:r>
        <w:rPr>
          <w:rFonts w:hint="eastAsia" w:ascii="宋体" w:hAnsi="宋体" w:eastAsia="宋体" w:cs="宋体"/>
          <w:b/>
          <w:color w:val="auto"/>
          <w:sz w:val="21"/>
          <w:szCs w:val="21"/>
          <w:highlight w:val="none"/>
        </w:rPr>
        <w:t>磋商响应文件（电子投标文件）由资格文件、商务技术文件</w:t>
      </w:r>
      <w:r>
        <w:rPr>
          <w:rFonts w:hint="eastAsia" w:ascii="宋体" w:hAnsi="宋体" w:eastAsia="宋体" w:cs="宋体"/>
          <w:b/>
          <w:color w:val="auto"/>
          <w:sz w:val="21"/>
          <w:szCs w:val="21"/>
          <w:highlight w:val="none"/>
          <w:lang w:val="en-US" w:eastAsia="zh-CN"/>
        </w:rPr>
        <w:t>和</w:t>
      </w:r>
      <w:r>
        <w:rPr>
          <w:rFonts w:hint="eastAsia" w:ascii="宋体" w:hAnsi="宋体" w:eastAsia="宋体" w:cs="宋体"/>
          <w:b/>
          <w:color w:val="auto"/>
          <w:sz w:val="21"/>
          <w:szCs w:val="21"/>
          <w:highlight w:val="none"/>
        </w:rPr>
        <w:t>报价文件</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bCs/>
          <w:color w:val="auto"/>
          <w:sz w:val="21"/>
          <w:szCs w:val="21"/>
          <w:highlight w:val="none"/>
        </w:rPr>
        <w:t>部分</w:t>
      </w:r>
      <w:r>
        <w:rPr>
          <w:rFonts w:hint="eastAsia" w:ascii="宋体" w:hAnsi="宋体" w:eastAsia="宋体" w:cs="宋体"/>
          <w:b/>
          <w:color w:val="auto"/>
          <w:sz w:val="21"/>
          <w:szCs w:val="21"/>
          <w:highlight w:val="none"/>
        </w:rPr>
        <w:t>。</w:t>
      </w:r>
      <w:bookmarkEnd w:id="154"/>
    </w:p>
    <w:bookmarkEnd w:id="155"/>
    <w:p w14:paraId="6A3A3BA7">
      <w:pPr>
        <w:snapToGrid w:val="0"/>
        <w:spacing w:line="500" w:lineRule="exact"/>
        <w:ind w:firstLine="422" w:firstLineChars="200"/>
        <w:rPr>
          <w:rFonts w:hint="eastAsia" w:ascii="宋体" w:hAnsi="宋体" w:eastAsia="宋体" w:cs="宋体"/>
          <w:b/>
          <w:color w:val="auto"/>
          <w:sz w:val="21"/>
          <w:szCs w:val="21"/>
          <w:highlight w:val="none"/>
        </w:rPr>
      </w:pPr>
      <w:bookmarkStart w:id="156" w:name="_Toc12140"/>
      <w:r>
        <w:rPr>
          <w:rFonts w:hint="eastAsia" w:ascii="宋体" w:hAnsi="宋体" w:eastAsia="宋体" w:cs="宋体"/>
          <w:b/>
          <w:color w:val="auto"/>
          <w:sz w:val="21"/>
          <w:szCs w:val="21"/>
          <w:highlight w:val="none"/>
        </w:rPr>
        <w:t>磋商响应文件（电子投标文件）中所</w:t>
      </w:r>
      <w:r>
        <w:rPr>
          <w:rFonts w:hint="eastAsia" w:ascii="宋体" w:hAnsi="宋体" w:eastAsia="宋体" w:cs="宋体"/>
          <w:b/>
          <w:color w:val="auto"/>
          <w:sz w:val="21"/>
          <w:szCs w:val="21"/>
          <w:highlight w:val="none"/>
          <w:lang w:eastAsia="zh-CN"/>
        </w:rPr>
        <w:t>需</w:t>
      </w:r>
      <w:r>
        <w:rPr>
          <w:rFonts w:hint="eastAsia" w:ascii="宋体" w:hAnsi="宋体" w:eastAsia="宋体" w:cs="宋体"/>
          <w:b/>
          <w:color w:val="auto"/>
          <w:sz w:val="21"/>
          <w:szCs w:val="21"/>
          <w:highlight w:val="none"/>
        </w:rPr>
        <w:t>加盖公章部分均采用CA签章。</w:t>
      </w:r>
      <w:bookmarkEnd w:id="156"/>
    </w:p>
    <w:p w14:paraId="30CEDBE6">
      <w:pPr>
        <w:snapToGrid w:val="0"/>
        <w:spacing w:line="500" w:lineRule="exact"/>
        <w:ind w:firstLine="422" w:firstLineChars="200"/>
        <w:rPr>
          <w:rFonts w:hint="eastAsia" w:ascii="宋体" w:hAnsi="宋体" w:eastAsia="宋体" w:cs="宋体"/>
          <w:color w:val="auto"/>
          <w:sz w:val="21"/>
          <w:szCs w:val="21"/>
          <w:highlight w:val="none"/>
        </w:rPr>
      </w:pPr>
      <w:bookmarkStart w:id="157" w:name="_Toc8770"/>
      <w:r>
        <w:rPr>
          <w:rFonts w:hint="eastAsia" w:ascii="宋体" w:hAnsi="宋体" w:eastAsia="宋体" w:cs="宋体"/>
          <w:b/>
          <w:color w:val="auto"/>
          <w:sz w:val="21"/>
          <w:szCs w:val="21"/>
          <w:highlight w:val="none"/>
        </w:rPr>
        <w:t>注：本项目磋商响应价格的信息只允许出现在“报价文件”中，不得出现在资格文件、商务技术文件中。</w:t>
      </w:r>
      <w:bookmarkEnd w:id="157"/>
    </w:p>
    <w:p w14:paraId="5B58D451">
      <w:pPr>
        <w:snapToGrid w:val="0"/>
        <w:spacing w:line="460" w:lineRule="atLeast"/>
        <w:ind w:firstLine="422" w:firstLineChars="200"/>
        <w:textAlignment w:val="bottom"/>
        <w:rPr>
          <w:rFonts w:hint="eastAsia" w:ascii="宋体" w:hAnsi="宋体" w:eastAsia="宋体" w:cs="宋体"/>
          <w:color w:val="auto"/>
          <w:highlight w:val="none"/>
        </w:rPr>
      </w:pPr>
      <w:r>
        <w:rPr>
          <w:rFonts w:hint="eastAsia" w:ascii="宋体" w:hAnsi="宋体" w:eastAsia="宋体" w:cs="宋体"/>
          <w:b/>
          <w:color w:val="auto"/>
          <w:sz w:val="21"/>
          <w:szCs w:val="21"/>
          <w:highlight w:val="none"/>
        </w:rPr>
        <w:t>1.资格文件部分</w:t>
      </w:r>
    </w:p>
    <w:p w14:paraId="74DD146B">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有效期内的营业执照副本扫描件或复印件；</w:t>
      </w:r>
    </w:p>
    <w:p w14:paraId="752F739C">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）符合参加政府采购活动应当具备的一般条件的承诺函（格式见附件）</w:t>
      </w:r>
      <w:r>
        <w:rPr>
          <w:rFonts w:hint="eastAsia" w:ascii="宋体" w:hAnsi="宋体" w:eastAsia="宋体" w:cs="宋体"/>
          <w:color w:val="auto"/>
          <w:sz w:val="21"/>
          <w:szCs w:val="21"/>
          <w:highlight w:val="none"/>
          <w:lang w:eastAsia="zh-CN"/>
        </w:rPr>
        <w:t>。</w:t>
      </w:r>
    </w:p>
    <w:p w14:paraId="5BB21D4A">
      <w:pPr>
        <w:autoSpaceDE/>
        <w:autoSpaceDN/>
        <w:adjustRightInd/>
        <w:spacing w:line="46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2.商务技术文件</w:t>
      </w:r>
    </w:p>
    <w:p w14:paraId="089F8AE7">
      <w:pPr>
        <w:keepNext w:val="0"/>
        <w:keepLines w:val="0"/>
        <w:pageBreakBefore w:val="0"/>
        <w:kinsoku/>
        <w:overflowPunct/>
        <w:autoSpaceDE/>
        <w:autoSpaceDN/>
        <w:bidi w:val="0"/>
        <w:adjustRightInd/>
        <w:spacing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技术商务标自评得分汇总表；（格式内容参照技术商务评分表，格式见附件）；</w:t>
      </w:r>
    </w:p>
    <w:p w14:paraId="0612E387">
      <w:pPr>
        <w:keepNext w:val="0"/>
        <w:keepLines w:val="0"/>
        <w:pageBreakBefore w:val="0"/>
        <w:kinsoku/>
        <w:overflowPunct/>
        <w:autoSpaceDE/>
        <w:autoSpaceDN/>
        <w:bidi w:val="0"/>
        <w:adjustRightInd/>
        <w:spacing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情况表（格式见附件）；</w:t>
      </w:r>
    </w:p>
    <w:p w14:paraId="26E61450">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法定代表人身份证明、法定代表人授权委托书（格式见附件，如法定代表人本人参加的，则仅</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提供法定代表人身份证明及法定代表人身份证复印件）；</w:t>
      </w:r>
    </w:p>
    <w:p w14:paraId="6CCBFE8B">
      <w:pPr>
        <w:snapToGrid w:val="0"/>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整体</w:t>
      </w:r>
      <w:r>
        <w:rPr>
          <w:rFonts w:hint="eastAsia" w:ascii="宋体" w:hAnsi="宋体" w:eastAsia="宋体" w:cs="宋体"/>
          <w:b w:val="0"/>
          <w:bCs w:val="0"/>
          <w:color w:val="auto"/>
          <w:sz w:val="21"/>
          <w:szCs w:val="21"/>
          <w:highlight w:val="none"/>
        </w:rPr>
        <w:t>实施能力及</w:t>
      </w:r>
      <w:r>
        <w:rPr>
          <w:rFonts w:hint="eastAsia" w:hAnsi="宋体" w:cs="宋体"/>
          <w:b w:val="0"/>
          <w:bCs w:val="0"/>
          <w:color w:val="auto"/>
          <w:sz w:val="21"/>
          <w:szCs w:val="21"/>
          <w:highlight w:val="none"/>
          <w:lang w:val="en-US" w:eastAsia="zh-CN"/>
        </w:rPr>
        <w:t>活动</w:t>
      </w:r>
      <w:r>
        <w:rPr>
          <w:rFonts w:hint="eastAsia" w:ascii="宋体" w:hAnsi="宋体" w:eastAsia="宋体" w:cs="宋体"/>
          <w:b w:val="0"/>
          <w:bCs w:val="0"/>
          <w:color w:val="auto"/>
          <w:sz w:val="21"/>
          <w:szCs w:val="21"/>
          <w:highlight w:val="none"/>
        </w:rPr>
        <w:t>保障措施（格式</w:t>
      </w:r>
      <w:r>
        <w:rPr>
          <w:rFonts w:hint="eastAsia" w:hAnsi="宋体" w:cs="宋体"/>
          <w:b w:val="0"/>
          <w:bCs w:val="0"/>
          <w:color w:val="auto"/>
          <w:sz w:val="21"/>
          <w:szCs w:val="21"/>
          <w:highlight w:val="none"/>
          <w:lang w:val="en-US" w:eastAsia="zh-CN"/>
        </w:rPr>
        <w:t>自拟</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w:t>
      </w:r>
    </w:p>
    <w:p w14:paraId="42F9DD86">
      <w:pPr>
        <w:snapToGrid w:val="0"/>
        <w:spacing w:line="500" w:lineRule="exact"/>
        <w:ind w:firstLine="420" w:firstLineChars="200"/>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rPr>
        <w:t>实施</w:t>
      </w:r>
      <w:r>
        <w:rPr>
          <w:rFonts w:hint="eastAsia"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zh-CN" w:eastAsia="zh-Hans"/>
        </w:rPr>
        <w:t>服务承诺</w:t>
      </w:r>
      <w:r>
        <w:rPr>
          <w:rFonts w:hint="eastAsia" w:hAnsi="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（格式</w:t>
      </w:r>
      <w:r>
        <w:rPr>
          <w:rFonts w:hint="eastAsia" w:hAnsi="宋体" w:cs="宋体"/>
          <w:b w:val="0"/>
          <w:bCs w:val="0"/>
          <w:color w:val="auto"/>
          <w:sz w:val="21"/>
          <w:szCs w:val="21"/>
          <w:highlight w:val="none"/>
          <w:lang w:val="en-US" w:eastAsia="zh-CN"/>
        </w:rPr>
        <w:t>自拟</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w:t>
      </w:r>
    </w:p>
    <w:p w14:paraId="7E1C10B0">
      <w:pPr>
        <w:keepNext w:val="0"/>
        <w:keepLines w:val="0"/>
        <w:pageBreakBefore w:val="0"/>
        <w:numPr>
          <w:ilvl w:val="0"/>
          <w:numId w:val="0"/>
        </w:numPr>
        <w:kinsoku/>
        <w:overflowPunct/>
        <w:autoSpaceDE/>
        <w:autoSpaceDN/>
        <w:bidi w:val="0"/>
        <w:adjustRightInd/>
        <w:spacing w:line="500" w:lineRule="exact"/>
        <w:ind w:firstLine="420" w:firstLineChars="200"/>
        <w:jc w:val="both"/>
        <w:outlineLvl w:val="9"/>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6</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w:t>
      </w:r>
      <w:r>
        <w:rPr>
          <w:rFonts w:hint="eastAsia" w:hAnsi="宋体" w:cs="宋体"/>
          <w:b w:val="0"/>
          <w:bCs w:val="0"/>
          <w:color w:val="auto"/>
          <w:sz w:val="21"/>
          <w:szCs w:val="21"/>
          <w:highlight w:val="none"/>
          <w:lang w:val="en-US" w:eastAsia="zh-CN"/>
        </w:rPr>
        <w:t>2021年1月1日以来的同类项目</w:t>
      </w:r>
      <w:r>
        <w:rPr>
          <w:rFonts w:hint="eastAsia" w:ascii="宋体" w:hAnsi="宋体" w:eastAsia="宋体" w:cs="宋体"/>
          <w:b w:val="0"/>
          <w:bCs w:val="0"/>
          <w:color w:val="auto"/>
          <w:sz w:val="21"/>
          <w:szCs w:val="21"/>
          <w:highlight w:val="none"/>
        </w:rPr>
        <w:t>业绩（须提供对应采购合同</w:t>
      </w:r>
      <w:r>
        <w:rPr>
          <w:rFonts w:hint="eastAsia" w:hAnsi="宋体" w:cs="宋体"/>
          <w:b w:val="0"/>
          <w:bCs w:val="0"/>
          <w:color w:val="auto"/>
          <w:sz w:val="21"/>
          <w:szCs w:val="21"/>
          <w:highlight w:val="none"/>
          <w:lang w:val="en-US" w:eastAsia="zh-CN"/>
        </w:rPr>
        <w:t>扫描件或复印件并</w:t>
      </w:r>
      <w:r>
        <w:rPr>
          <w:rFonts w:hint="eastAsia" w:ascii="宋体" w:hAnsi="宋体" w:eastAsia="宋体" w:cs="宋体"/>
          <w:b w:val="0"/>
          <w:bCs w:val="0"/>
          <w:color w:val="auto"/>
          <w:sz w:val="21"/>
          <w:szCs w:val="21"/>
          <w:highlight w:val="none"/>
        </w:rPr>
        <w:t>加盖公章）（格式见附件）；</w:t>
      </w:r>
    </w:p>
    <w:p w14:paraId="7A930CCE">
      <w:pPr>
        <w:keepNext w:val="0"/>
        <w:keepLines w:val="0"/>
        <w:pageBreakBefore w:val="0"/>
        <w:numPr>
          <w:ilvl w:val="0"/>
          <w:numId w:val="0"/>
        </w:numPr>
        <w:kinsoku/>
        <w:overflowPunct/>
        <w:autoSpaceDE/>
        <w:autoSpaceDN/>
        <w:bidi w:val="0"/>
        <w:adjustRightInd/>
        <w:spacing w:line="500" w:lineRule="exact"/>
        <w:ind w:firstLine="420" w:firstLineChars="200"/>
        <w:jc w:val="both"/>
        <w:outlineLvl w:val="9"/>
        <w:rPr>
          <w:rFonts w:hint="eastAsia" w:eastAsia="宋体"/>
          <w:color w:val="auto"/>
          <w:highlight w:val="none"/>
          <w:lang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7</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w:t>
      </w:r>
      <w:r>
        <w:rPr>
          <w:rFonts w:hint="eastAsia" w:hAnsi="宋体" w:cs="宋体"/>
          <w:b w:val="0"/>
          <w:bCs w:val="0"/>
          <w:color w:val="auto"/>
          <w:sz w:val="21"/>
          <w:szCs w:val="21"/>
          <w:highlight w:val="none"/>
          <w:lang w:val="en-US" w:eastAsia="zh-CN"/>
        </w:rPr>
        <w:t>2021年1月1日以来获取的</w:t>
      </w:r>
      <w:r>
        <w:rPr>
          <w:rFonts w:hint="eastAsia" w:ascii="宋体" w:hAnsi="宋体" w:eastAsia="宋体" w:cs="宋体"/>
          <w:b w:val="0"/>
          <w:bCs w:val="0"/>
          <w:color w:val="auto"/>
          <w:sz w:val="21"/>
          <w:szCs w:val="21"/>
          <w:highlight w:val="none"/>
        </w:rPr>
        <w:t>企</w:t>
      </w:r>
      <w:r>
        <w:rPr>
          <w:rFonts w:hint="eastAsia" w:ascii="宋体" w:hAnsi="宋体" w:eastAsia="宋体" w:cs="宋体"/>
          <w:color w:val="auto"/>
          <w:sz w:val="21"/>
          <w:szCs w:val="21"/>
          <w:highlight w:val="none"/>
        </w:rPr>
        <w:t>业</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（须提供</w:t>
      </w:r>
      <w:r>
        <w:rPr>
          <w:rFonts w:hint="eastAsia" w:hAnsi="宋体" w:cs="宋体"/>
          <w:color w:val="auto"/>
          <w:sz w:val="21"/>
          <w:szCs w:val="21"/>
          <w:highlight w:val="none"/>
          <w:lang w:val="en-US" w:eastAsia="zh-CN"/>
        </w:rPr>
        <w:t>扫描件或复印件并</w:t>
      </w:r>
      <w:r>
        <w:rPr>
          <w:rFonts w:hint="eastAsia" w:ascii="宋体" w:hAnsi="宋体" w:eastAsia="宋体" w:cs="宋体"/>
          <w:color w:val="auto"/>
          <w:sz w:val="21"/>
          <w:szCs w:val="21"/>
          <w:highlight w:val="none"/>
        </w:rPr>
        <w:t>加盖公章）（格式见附件）；</w:t>
      </w:r>
    </w:p>
    <w:p w14:paraId="2EB8B56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拟投入本项目的服务人员配置表（格式见附件）；</w:t>
      </w:r>
    </w:p>
    <w:p w14:paraId="4399B365">
      <w:pPr>
        <w:snapToGrid w:val="0"/>
        <w:spacing w:line="500" w:lineRule="exact"/>
        <w:ind w:firstLine="420" w:firstLineChars="200"/>
        <w:rPr>
          <w:rFonts w:hint="eastAsia"/>
          <w:color w:val="auto"/>
          <w:highlight w:val="none"/>
        </w:rPr>
      </w:pPr>
      <w:r>
        <w:rPr>
          <w:rFonts w:hint="eastAsia" w:ascii="宋体" w:hAnsi="宋体" w:eastAsia="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）服务、商务要求响应表</w:t>
      </w:r>
      <w:r>
        <w:rPr>
          <w:rFonts w:hint="eastAsia" w:ascii="宋体" w:hAnsi="宋体" w:eastAsia="宋体" w:cs="宋体"/>
          <w:color w:val="auto"/>
          <w:sz w:val="21"/>
          <w:szCs w:val="21"/>
          <w:highlight w:val="none"/>
        </w:rPr>
        <w:t>（格式见附件）；</w:t>
      </w:r>
    </w:p>
    <w:p w14:paraId="356323F3">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）评分规则中涉及的所需提供的资料（格式</w:t>
      </w:r>
      <w:r>
        <w:rPr>
          <w:rFonts w:hint="eastAsia" w:hAnsi="宋体" w:cs="宋体"/>
          <w:color w:val="auto"/>
          <w:sz w:val="21"/>
          <w:szCs w:val="21"/>
          <w:highlight w:val="none"/>
        </w:rPr>
        <w:t>略</w:t>
      </w:r>
      <w:r>
        <w:rPr>
          <w:rFonts w:hint="eastAsia" w:ascii="宋体" w:hAnsi="宋体" w:eastAsia="宋体" w:cs="宋体"/>
          <w:color w:val="auto"/>
          <w:sz w:val="21"/>
          <w:szCs w:val="21"/>
          <w:highlight w:val="none"/>
        </w:rPr>
        <w:t>）；</w:t>
      </w:r>
    </w:p>
    <w:p w14:paraId="73B3C706">
      <w:pPr>
        <w:keepNext w:val="0"/>
        <w:keepLines w:val="0"/>
        <w:pageBreakBefore w:val="0"/>
        <w:kinsoku/>
        <w:overflowPunct/>
        <w:autoSpaceDE/>
        <w:autoSpaceDN/>
        <w:bidi w:val="0"/>
        <w:adjustRightInd/>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需要说明的其他文件和说明（格式</w:t>
      </w:r>
      <w:r>
        <w:rPr>
          <w:rFonts w:hint="eastAsia" w:hAnsi="宋体" w:cs="宋体"/>
          <w:color w:val="auto"/>
          <w:sz w:val="21"/>
          <w:szCs w:val="21"/>
          <w:highlight w:val="none"/>
          <w:lang w:val="en-US" w:eastAsia="zh-CN"/>
        </w:rPr>
        <w:t>自拟</w:t>
      </w:r>
      <w:r>
        <w:rPr>
          <w:rFonts w:hint="eastAsia" w:ascii="宋体" w:hAnsi="宋体" w:eastAsia="宋体" w:cs="宋体"/>
          <w:color w:val="auto"/>
          <w:sz w:val="21"/>
          <w:szCs w:val="21"/>
          <w:highlight w:val="none"/>
        </w:rPr>
        <w:t>）。</w:t>
      </w:r>
    </w:p>
    <w:p w14:paraId="05DFC49A">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注：资格文件、</w:t>
      </w: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中不得含有报价的信息，否则按废标处理。</w:t>
      </w:r>
    </w:p>
    <w:p w14:paraId="5B05AAE0">
      <w:pPr>
        <w:autoSpaceDE/>
        <w:autoSpaceDN/>
        <w:adjustRightInd/>
        <w:spacing w:line="48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3.报价文件部分</w:t>
      </w:r>
    </w:p>
    <w:p w14:paraId="07B18507">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（1）磋商响应函（加盖公章）（格式见附件）；</w:t>
      </w:r>
    </w:p>
    <w:p w14:paraId="0322C1BB">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（2）开标（报价）一览表（加盖公章）（格式见附件）；</w:t>
      </w:r>
    </w:p>
    <w:p w14:paraId="5E20162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）《中小企业声明函》（如有）；（本项目采购标的对应的中小企业划分标准所属行业为</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文化、体育和娱乐业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；格式见附件，如未提供的，评审时不给予政策性价格扣除）；</w:t>
      </w:r>
    </w:p>
    <w:p w14:paraId="2B768E3D">
      <w:pPr>
        <w:numPr>
          <w:ilvl w:val="255"/>
          <w:numId w:val="0"/>
        </w:num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）供应商针对报价需要说明的其他文件和说明（格式自拟）。</w:t>
      </w:r>
    </w:p>
    <w:p w14:paraId="3030DDEC">
      <w:pPr>
        <w:autoSpaceDE/>
        <w:autoSpaceDN/>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备注：供应商必须按后附表规定的格式完整、清晰、正确的填写，开标（报价）一览表中不得填报有选择性的报价方案。</w:t>
      </w:r>
    </w:p>
    <w:p w14:paraId="2764943B">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（三）磋商响应文件的语言及计量</w:t>
      </w:r>
    </w:p>
    <w:p w14:paraId="57BD1527">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★1.磋商响应文件以及供应商与磋商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就有关磋商事宜的所有来往函电，均应以中文汉语书写。除签名、盖章、专用名称等特殊情形外，以中文汉语以外的文字表述的磋商响应文件视同未提供。</w:t>
      </w:r>
    </w:p>
    <w:p w14:paraId="6D11944E">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★2.计量单位：磋商采购文件已有明确规定的，使用磋商采购文件规定的计量单位；磋商采购文件没有规定的，应采用中华人民共和国法定计量单位（货币单位：人民币元），否则视同未响应。</w:t>
      </w:r>
    </w:p>
    <w:p w14:paraId="0D50CFC4">
      <w:pPr>
        <w:autoSpaceDE/>
        <w:autoSpaceDN/>
        <w:adjustRightInd/>
        <w:spacing w:line="46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（四）磋商报价</w:t>
      </w:r>
    </w:p>
    <w:p w14:paraId="3FA5057C">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1.磋商报价应按竞争性磋商采购文件中相关附表格式填写。</w:t>
      </w:r>
    </w:p>
    <w:p w14:paraId="29515757">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★2.最终磋商报价是履行合同的最终结算总价，</w:t>
      </w:r>
      <w:r>
        <w:rPr>
          <w:rFonts w:hint="eastAsia" w:ascii="宋体" w:hAnsi="宋体" w:cs="宋体"/>
          <w:color w:val="auto"/>
          <w:sz w:val="21"/>
          <w:szCs w:val="21"/>
          <w:highlight w:val="none"/>
          <w:lang w:val="en-US" w:eastAsia="zh-CN"/>
        </w:rPr>
        <w:t>包含项目</w:t>
      </w:r>
      <w:r>
        <w:rPr>
          <w:rFonts w:hint="eastAsia" w:ascii="宋体" w:hAnsi="宋体" w:eastAsia="宋体" w:cs="宋体"/>
          <w:color w:val="auto"/>
          <w:sz w:val="21"/>
          <w:szCs w:val="21"/>
          <w:highlight w:val="none"/>
          <w:lang w:val="en-US" w:eastAsia="zh-CN"/>
        </w:rPr>
        <w:t>所要求全部工作</w:t>
      </w:r>
      <w:r>
        <w:rPr>
          <w:rFonts w:hint="eastAsia" w:ascii="宋体" w:hAnsi="宋体" w:eastAsia="宋体" w:cs="宋体"/>
          <w:color w:val="auto"/>
          <w:sz w:val="21"/>
          <w:szCs w:val="21"/>
          <w:highlight w:val="none"/>
        </w:rPr>
        <w:t>的赛事筹备、策划、组织、宣传、后勤保障、补给物资、证件等材料制作、交通费、</w:t>
      </w:r>
      <w:r>
        <w:rPr>
          <w:rFonts w:hint="eastAsia" w:ascii="宋体" w:hAnsi="宋体" w:cs="宋体"/>
          <w:color w:val="auto"/>
          <w:sz w:val="21"/>
          <w:szCs w:val="21"/>
          <w:highlight w:val="none"/>
          <w:lang w:val="en-US" w:eastAsia="zh-CN"/>
        </w:rPr>
        <w:t>住宿费、</w:t>
      </w:r>
      <w:r>
        <w:rPr>
          <w:rFonts w:hint="eastAsia" w:ascii="宋体" w:hAnsi="宋体" w:eastAsia="宋体" w:cs="宋体"/>
          <w:color w:val="auto"/>
          <w:sz w:val="21"/>
          <w:szCs w:val="21"/>
          <w:highlight w:val="none"/>
        </w:rPr>
        <w:t>人员费用、管理费用、项目执行费用，以及包括完成这些工作所必需的其他费用、利润、税金、</w:t>
      </w:r>
      <w:r>
        <w:rPr>
          <w:rFonts w:hint="eastAsia" w:ascii="宋体" w:hAnsi="宋体" w:cs="宋体"/>
          <w:color w:val="auto"/>
          <w:sz w:val="21"/>
          <w:szCs w:val="21"/>
          <w:highlight w:val="none"/>
          <w:lang w:val="en-US" w:eastAsia="zh-CN"/>
        </w:rPr>
        <w:t>代理服务费、</w:t>
      </w:r>
      <w:r>
        <w:rPr>
          <w:rFonts w:hint="eastAsia" w:ascii="宋体" w:hAnsi="宋体" w:eastAsia="宋体" w:cs="宋体"/>
          <w:color w:val="auto"/>
          <w:sz w:val="21"/>
          <w:szCs w:val="21"/>
          <w:highlight w:val="none"/>
        </w:rPr>
        <w:t>政策性文件规定及合同包含的所有风险及责任等各项应有费用外，项目实施过程中产生的任何费用，均由成交人承担，成交人所投报的价格在合同实施期间不做调整</w:t>
      </w:r>
      <w:r>
        <w:rPr>
          <w:rFonts w:hint="eastAsia" w:ascii="宋体" w:hAnsi="宋体" w:cs="宋体"/>
          <w:color w:val="auto"/>
          <w:sz w:val="21"/>
          <w:szCs w:val="21"/>
          <w:highlight w:val="none"/>
          <w:lang w:eastAsia="zh-CN"/>
        </w:rPr>
        <w:t>，</w:t>
      </w:r>
      <w:r>
        <w:rPr>
          <w:rFonts w:hint="eastAsia" w:hAnsi="宋体" w:eastAsia="宋体" w:cs="宋体"/>
          <w:color w:val="auto"/>
          <w:sz w:val="21"/>
          <w:szCs w:val="21"/>
          <w:highlight w:val="none"/>
        </w:rPr>
        <w:t>均应已包含在报价中。</w:t>
      </w:r>
      <w:r>
        <w:rPr>
          <w:rFonts w:hint="eastAsia" w:ascii="宋体" w:hAnsi="宋体" w:eastAsia="宋体" w:cs="宋体"/>
          <w:color w:val="auto"/>
          <w:sz w:val="21"/>
          <w:szCs w:val="21"/>
          <w:highlight w:val="none"/>
        </w:rPr>
        <w:t>磋商响应供应商须充分考虑实际服务内容和需求，针对自身实际情况，核算所需的成本及合理的利润，自行报价</w:t>
      </w:r>
      <w:r>
        <w:rPr>
          <w:rFonts w:hint="eastAsia" w:ascii="宋体" w:hAnsi="宋体" w:cs="宋体"/>
          <w:color w:val="auto"/>
          <w:sz w:val="21"/>
          <w:szCs w:val="21"/>
          <w:highlight w:val="none"/>
          <w:lang w:eastAsia="zh-CN"/>
        </w:rPr>
        <w:t>。</w:t>
      </w:r>
    </w:p>
    <w:p w14:paraId="6DFEEBBA">
      <w:pPr>
        <w:widowControl/>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3.本项目竞争性磋商</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高于最高限价的报价将作无效报价处理。</w:t>
      </w:r>
    </w:p>
    <w:p w14:paraId="3A99484C">
      <w:pPr>
        <w:autoSpaceDE/>
        <w:autoSpaceDN/>
        <w:adjustRightInd/>
        <w:snapToGrid w:val="0"/>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4.首次磋商报价</w:t>
      </w:r>
    </w:p>
    <w:p w14:paraId="66C1A9F6">
      <w:pPr>
        <w:autoSpaceDE/>
        <w:autoSpaceDN/>
        <w:adjustRightInd/>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color w:val="auto"/>
          <w:sz w:val="21"/>
          <w:szCs w:val="21"/>
          <w:highlight w:val="none"/>
        </w:rPr>
        <w:t>供应商在报价文件中应就本项目的服务费进行首次磋商报价</w:t>
      </w:r>
      <w:r>
        <w:rPr>
          <w:rFonts w:hint="eastAsia" w:ascii="宋体" w:hAnsi="宋体" w:eastAsia="宋体" w:cs="宋体"/>
          <w:bCs/>
          <w:color w:val="auto"/>
          <w:sz w:val="21"/>
          <w:szCs w:val="21"/>
          <w:highlight w:val="none"/>
        </w:rPr>
        <w:t>。供</w:t>
      </w:r>
      <w:r>
        <w:rPr>
          <w:rFonts w:hint="eastAsia" w:ascii="宋体" w:hAnsi="宋体" w:eastAsia="宋体" w:cs="宋体"/>
          <w:color w:val="auto"/>
          <w:sz w:val="21"/>
          <w:szCs w:val="21"/>
          <w:highlight w:val="none"/>
        </w:rPr>
        <w:t>应商应结合自身综合实力、市场行情、本项目具体特点和技术要求进行首次磋商报价。</w:t>
      </w:r>
    </w:p>
    <w:p w14:paraId="5BAA3348">
      <w:pPr>
        <w:autoSpaceDE/>
        <w:autoSpaceDN/>
        <w:adjustRightInd/>
        <w:snapToGrid w:val="0"/>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（2）磋商响应文件只允许有一个首次磋商报价。</w:t>
      </w:r>
    </w:p>
    <w:p w14:paraId="1C54F4FA">
      <w:pPr>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5.最终磋商报价</w:t>
      </w:r>
    </w:p>
    <w:p w14:paraId="4D9BDF7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在磋商谈判过程中，磋商小组可与供应商进行多轮谈判、磋商；供应商应按磋商小组要求</w:t>
      </w:r>
      <w:r>
        <w:rPr>
          <w:rFonts w:hint="eastAsia" w:ascii="宋体" w:hAnsi="宋体" w:eastAsia="宋体" w:cs="宋体"/>
          <w:color w:val="auto"/>
          <w:sz w:val="21"/>
          <w:szCs w:val="21"/>
          <w:highlight w:val="none"/>
          <w:shd w:val="clear" w:color="auto" w:fill="FFFFFF"/>
        </w:rPr>
        <w:t>在规定时间内进行最终</w:t>
      </w: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shd w:val="clear" w:color="auto" w:fill="FFFFFF"/>
        </w:rPr>
        <w:t>报价</w:t>
      </w:r>
      <w:r>
        <w:rPr>
          <w:rFonts w:hint="eastAsia" w:ascii="宋体" w:hAnsi="宋体" w:eastAsia="宋体" w:cs="宋体"/>
          <w:color w:val="auto"/>
          <w:sz w:val="21"/>
          <w:szCs w:val="21"/>
          <w:highlight w:val="none"/>
        </w:rPr>
        <w:t>，被认可并接受的最终磋商报价是履行合同的结算总价。</w:t>
      </w:r>
    </w:p>
    <w:p w14:paraId="5C94EFB7">
      <w:pPr>
        <w:numPr>
          <w:ilvl w:val="0"/>
          <w:numId w:val="0"/>
        </w:numPr>
        <w:autoSpaceDE/>
        <w:autoSpaceDN/>
        <w:adjustRightInd/>
        <w:snapToGrid w:val="0"/>
        <w:spacing w:line="500" w:lineRule="exact"/>
        <w:ind w:firstLine="422" w:firstLineChars="200"/>
        <w:jc w:val="left"/>
        <w:textAlignment w:val="auto"/>
        <w:rPr>
          <w:rFonts w:hint="eastAsia" w:hAnsi="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bidi="ar-SA"/>
        </w:rPr>
        <w:t>6.</w:t>
      </w:r>
      <w:r>
        <w:rPr>
          <w:rFonts w:hint="eastAsia" w:ascii="宋体" w:hAnsi="宋体" w:eastAsia="宋体" w:cs="宋体"/>
          <w:b/>
          <w:bCs/>
          <w:color w:val="auto"/>
          <w:sz w:val="21"/>
          <w:szCs w:val="21"/>
          <w:highlight w:val="none"/>
          <w:lang w:val="en-US" w:eastAsia="zh-CN"/>
        </w:rPr>
        <w:t>供应商不得进行影响产品（或服务）质量或者诚信履约的恶意报价。</w:t>
      </w:r>
      <w:r>
        <w:rPr>
          <w:rFonts w:hint="eastAsia" w:ascii="宋体" w:hAnsi="宋体" w:eastAsia="宋体" w:cs="宋体"/>
          <w:color w:val="auto"/>
          <w:sz w:val="21"/>
          <w:szCs w:val="21"/>
          <w:highlight w:val="none"/>
          <w:lang w:val="en-US" w:eastAsia="zh-CN"/>
        </w:rPr>
        <w:t>供应商在项目评审前准备好报价核算、报价明细、报价说明等材料，以备评审专家核查</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本项目约定，供应商报价低于项目预算50%的，应当在报价文件中详细阐述不影响服务质量或者诚信履约的具体原因</w:t>
      </w:r>
      <w:r>
        <w:rPr>
          <w:rFonts w:hint="eastAsia" w:hAnsi="宋体" w:cs="宋体"/>
          <w:b/>
          <w:bCs/>
          <w:color w:val="auto"/>
          <w:sz w:val="21"/>
          <w:szCs w:val="21"/>
          <w:highlight w:val="none"/>
          <w:u w:val="single"/>
          <w:lang w:val="en-US" w:eastAsia="zh-CN"/>
        </w:rPr>
        <w:t>。</w:t>
      </w:r>
    </w:p>
    <w:p w14:paraId="6BE672BA">
      <w:pPr>
        <w:numPr>
          <w:ilvl w:val="0"/>
          <w:numId w:val="0"/>
        </w:numPr>
        <w:autoSpaceDE/>
        <w:autoSpaceDN/>
        <w:adjustRightInd/>
        <w:snapToGrid w:val="0"/>
        <w:spacing w:line="5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（四）磋商响应文件的有效期</w:t>
      </w:r>
    </w:p>
    <w:p w14:paraId="06E9BB0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★1.自磋商响应文件递交截止日起90天磋商响应文件应保持有效。有效期不足的磋商响应文件将被拒绝。</w:t>
      </w:r>
    </w:p>
    <w:p w14:paraId="1EB5DB5E">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可与供应商协商延长磋商响应文件的有效期，这种要求和答复均以书面形式进行。</w:t>
      </w:r>
    </w:p>
    <w:p w14:paraId="08BEA4FB">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3.响应供应商可拒绝接受延期要求。同意延长有效期的供应商不能以此为由修改磋商响应文件。 </w:t>
      </w:r>
    </w:p>
    <w:p w14:paraId="1EB8AB1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4.成交供应商的磋商响应文件自磋商之日起至合同履行完毕止均应保持有效。</w:t>
      </w:r>
    </w:p>
    <w:p w14:paraId="66EA0C33">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（五）磋商响应文件的签署和份数</w:t>
      </w:r>
    </w:p>
    <w:p w14:paraId="4A9320D8">
      <w:pPr>
        <w:widowControl/>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highlight w:val="none"/>
        </w:rPr>
        <w:t>电子</w:t>
      </w:r>
      <w:r>
        <w:rPr>
          <w:rFonts w:hint="eastAsia" w:ascii="宋体" w:hAnsi="宋体" w:eastAsia="宋体" w:cs="宋体"/>
          <w:color w:val="auto"/>
          <w:sz w:val="21"/>
          <w:szCs w:val="21"/>
          <w:highlight w:val="none"/>
        </w:rPr>
        <w:t>磋商响应文件（投标文件）</w:t>
      </w:r>
      <w:r>
        <w:rPr>
          <w:rFonts w:hint="eastAsia" w:ascii="宋体" w:hAnsi="宋体" w:eastAsia="宋体" w:cs="宋体"/>
          <w:color w:val="auto"/>
          <w:sz w:val="21"/>
          <w:highlight w:val="none"/>
        </w:rPr>
        <w:t>部分：</w:t>
      </w:r>
    </w:p>
    <w:p w14:paraId="214C6F62">
      <w:pPr>
        <w:widowControl/>
        <w:snapToGrid w:val="0"/>
        <w:spacing w:line="46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供应商应根据“政采云供应商项目采购</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电子交易操作指南”及本采购文件规定的格式和顺序编制电子投标文件并进行关联定位。</w:t>
      </w:r>
    </w:p>
    <w:p w14:paraId="7DC111CD">
      <w:pPr>
        <w:widowControl/>
        <w:autoSpaceDE/>
        <w:autoSpaceDN/>
        <w:adjustRightInd/>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szCs w:val="21"/>
          <w:highlight w:val="none"/>
        </w:rPr>
        <w:t>磋商响应文件</w:t>
      </w:r>
      <w:r>
        <w:rPr>
          <w:rFonts w:hint="eastAsia" w:ascii="宋体" w:hAnsi="宋体" w:eastAsia="宋体" w:cs="宋体"/>
          <w:color w:val="auto"/>
          <w:sz w:val="21"/>
          <w:highlight w:val="none"/>
        </w:rPr>
        <w:t>的盖章：</w:t>
      </w:r>
      <w:r>
        <w:rPr>
          <w:rFonts w:hint="eastAsia" w:ascii="宋体" w:hAnsi="宋体" w:eastAsia="宋体" w:cs="宋体"/>
          <w:color w:val="auto"/>
          <w:sz w:val="21"/>
          <w:szCs w:val="21"/>
          <w:highlight w:val="none"/>
        </w:rPr>
        <w:t>磋商响应文件</w:t>
      </w:r>
      <w:r>
        <w:rPr>
          <w:rFonts w:hint="eastAsia" w:ascii="宋体" w:hAnsi="宋体" w:eastAsia="宋体" w:cs="宋体"/>
          <w:color w:val="auto"/>
          <w:sz w:val="21"/>
          <w:highlight w:val="none"/>
        </w:rPr>
        <w:t>中所涉及的加盖公章均可采用CA电子签章，或</w:t>
      </w:r>
      <w:r>
        <w:rPr>
          <w:rFonts w:hint="eastAsia" w:ascii="宋体" w:hAnsi="宋体" w:eastAsia="宋体" w:cs="宋体"/>
          <w:color w:val="auto"/>
          <w:sz w:val="21"/>
          <w:highlight w:val="none"/>
          <w:lang w:val="en-US" w:eastAsia="zh-CN"/>
        </w:rPr>
        <w:t>响应供应商</w:t>
      </w:r>
      <w:r>
        <w:rPr>
          <w:rFonts w:hint="eastAsia" w:ascii="宋体" w:hAnsi="宋体" w:eastAsia="宋体" w:cs="宋体"/>
          <w:color w:val="auto"/>
          <w:sz w:val="21"/>
          <w:highlight w:val="none"/>
        </w:rPr>
        <w:t>可以线下盖章后扫描上传。联合体投标的，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sz w:val="21"/>
          <w:highlight w:val="none"/>
        </w:rPr>
        <w:t>须由联合体牵头人在规定位置盖章（除采购文件中有特殊要求的，以具体约定为准）。</w:t>
      </w:r>
    </w:p>
    <w:p w14:paraId="6A6E9458">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highlight w:val="none"/>
        </w:rPr>
        <w:t>3.法定代表人或其授权代表签字或盖章：本</w:t>
      </w:r>
      <w:r>
        <w:rPr>
          <w:rFonts w:hint="eastAsia" w:ascii="宋体" w:hAnsi="宋体" w:eastAsia="宋体" w:cs="宋体"/>
          <w:color w:val="auto"/>
          <w:sz w:val="21"/>
          <w:highlight w:val="none"/>
          <w:lang w:val="en-US" w:eastAsia="zh-CN"/>
        </w:rPr>
        <w:t>磋商采购</w:t>
      </w:r>
      <w:r>
        <w:rPr>
          <w:rFonts w:hint="eastAsia" w:ascii="宋体" w:hAnsi="宋体" w:eastAsia="宋体" w:cs="宋体"/>
          <w:color w:val="auto"/>
          <w:sz w:val="21"/>
          <w:highlight w:val="none"/>
        </w:rPr>
        <w:t>文件所涉及的法定代表人或其授权代表签字或盖章的内容，投标单位可采用法定代表人电子签章，也可以线下签字或盖章后扫描上传。</w:t>
      </w:r>
    </w:p>
    <w:p w14:paraId="57692536">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（六）磋商响应文件（投标文件）的包装、递交、修改和撤回</w:t>
      </w:r>
    </w:p>
    <w:p w14:paraId="60A5F1E3">
      <w:pPr>
        <w:widowControl/>
        <w:autoSpaceDE/>
        <w:autoSpaceDN/>
        <w:adjustRightInd/>
        <w:snapToGrid w:val="0"/>
        <w:spacing w:line="460" w:lineRule="exact"/>
        <w:ind w:firstLine="42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1.供应商应当在投标截止时间前在“政采云”（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
          <w:bCs/>
          <w:color w:val="auto"/>
          <w:sz w:val="21"/>
          <w:szCs w:val="21"/>
          <w:highlight w:val="none"/>
        </w:rPr>
        <w:t>）上自行上传加密的电子投标文件。</w:t>
      </w:r>
    </w:p>
    <w:p w14:paraId="338E9A8C">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供应商未在“政采云”（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color w:val="auto"/>
          <w:sz w:val="21"/>
          <w:szCs w:val="21"/>
          <w:highlight w:val="none"/>
        </w:rPr>
        <w:t>）上自行上传加密的电子投标文件的，投标无效。</w:t>
      </w:r>
    </w:p>
    <w:p w14:paraId="07C8225A">
      <w:pPr>
        <w:autoSpaceDE/>
        <w:autoSpaceDN/>
        <w:adjustRightIn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8D3D9F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4.截止开标时间，政采云（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color w:val="auto"/>
          <w:sz w:val="21"/>
          <w:szCs w:val="21"/>
          <w:highlight w:val="none"/>
        </w:rPr>
        <w:t>）自动提取所有投标文件，供应商须在解密时限内完成解密，解密时限由财政部门设置，供应商在规定的时间内都已解密完成，则系统自动结束解密，采购代理机构开启投标文件；供应商超过解密时限的，系统默认自动放弃。</w:t>
      </w:r>
    </w:p>
    <w:p w14:paraId="7D2F66CD">
      <w:pPr>
        <w:autoSpaceDE/>
        <w:autoSpaceDN/>
        <w:adjustRightInd/>
        <w:spacing w:line="500" w:lineRule="exact"/>
        <w:ind w:firstLine="211" w:firstLineChars="1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（七）磋商响应文件无效的情形</w:t>
      </w:r>
    </w:p>
    <w:p w14:paraId="7649176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实质上没有响应磋商采购文件要求的磋商响应文件将被视为无效。响应供应商不得通过修正或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不合要求的偏离或保留从而使其磋商响应文件成为实质上响应</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需求，但经磋商小组认定属于响应供应商疏忽、笔误所造成的差错，应当允许其在磋商结束之前进行修改或者补正（可以是复印件、传真件等，原件必须加盖单位公章）。修改或者补正磋商响应文件必须以书面形式进行，并应在成交结果公告之前查核原件。限期内不补正或经补正后仍不符合磋商采购文件要求的，应认定其为无效。响应供应商修改、补正磋商响应文件后，不影响磋商小组对其磋商响应文件所</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的评价和评分结果。</w:t>
      </w:r>
    </w:p>
    <w:p w14:paraId="48160A75">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1.在符合性审查和商务评审时，如发现下列情形之一的，磋商响应文件将被视为无效：</w:t>
      </w:r>
    </w:p>
    <w:p w14:paraId="40998C40">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（1）资格证明文件不全的，或者不符合磋商采购文件标明的资格要求的；</w:t>
      </w:r>
    </w:p>
    <w:p w14:paraId="6C114A5F">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（2）磋商响应文件无法定代表人或其授权委托人签字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或未提供法定代表人授权委托书或者填写项目不齐全的；</w:t>
      </w:r>
    </w:p>
    <w:p w14:paraId="1F1AC155">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（3）授权代表人未能出具身份证明或与法定代表人（或单位负责人）授权委托人身份不符的；</w:t>
      </w:r>
    </w:p>
    <w:p w14:paraId="599EF129">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（4）磋商响应文件格式不规范、项目不齐全或者内容虚假的；</w:t>
      </w:r>
    </w:p>
    <w:p w14:paraId="5DBA8386">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（5）磋商响应文件的实质性内容未使用中文表述、意思表述不明确、前后矛盾或者使用计量单位不符合磋商采购文件要求的（经磋商小组认定并允许其当场更正的笔误除外）；</w:t>
      </w:r>
    </w:p>
    <w:p w14:paraId="395E346F">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（6）磋商响应文件有效期、</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、付款方式不符合磋商采购文件中规定的实质性要求的；</w:t>
      </w:r>
    </w:p>
    <w:p w14:paraId="50FD8D28">
      <w:pPr>
        <w:widowControl/>
        <w:autoSpaceDE/>
        <w:autoSpaceDN/>
        <w:adjustRightInd/>
        <w:spacing w:line="500" w:lineRule="exact"/>
        <w:ind w:firstLine="315" w:firstLineChars="15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（7）电子</w:t>
      </w:r>
      <w:r>
        <w:rPr>
          <w:rFonts w:hint="eastAsia" w:ascii="宋体" w:hAnsi="宋体" w:eastAsia="宋体" w:cs="宋体"/>
          <w:color w:val="auto"/>
          <w:sz w:val="21"/>
          <w:highlight w:val="none"/>
          <w:lang w:val="en-US" w:eastAsia="zh-CN"/>
        </w:rPr>
        <w:t>磋商响应</w:t>
      </w:r>
      <w:r>
        <w:rPr>
          <w:rFonts w:hint="eastAsia" w:ascii="宋体" w:hAnsi="宋体" w:eastAsia="宋体" w:cs="宋体"/>
          <w:color w:val="auto"/>
          <w:sz w:val="21"/>
          <w:highlight w:val="none"/>
        </w:rPr>
        <w:t>文件解密失败的；</w:t>
      </w:r>
    </w:p>
    <w:p w14:paraId="4E2DE947">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）未实质性响应磋商采购文件要求或者磋商响应文件有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不能接受的附加条件的。</w:t>
      </w:r>
    </w:p>
    <w:p w14:paraId="757E73C9">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2.在技术评审时，如发现下列情形之一的，磋商响应文件将被视为无效：</w:t>
      </w:r>
    </w:p>
    <w:p w14:paraId="5735A9A4">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（1）不符合法律、法规和磋商采购文件中规定的其他实质性要求的（磋商小组一致认定）的；</w:t>
      </w:r>
    </w:p>
    <w:p w14:paraId="16A2B1EF">
      <w:pPr>
        <w:autoSpaceDE/>
        <w:autoSpaceDN/>
        <w:adjustRightInd/>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未提供或未如实提供供应货物的技术参数，或者</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文件标明的响应或偏离与事实不符或虚假响应的；</w:t>
      </w:r>
    </w:p>
    <w:p w14:paraId="05571322">
      <w:pPr>
        <w:autoSpaceDE/>
        <w:autoSpaceDN/>
        <w:adjustRightInd/>
        <w:spacing w:line="500" w:lineRule="exact"/>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（3）明显不符合</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文件要求的规格型号、质量标准，或者与采购文件中“★”的技术指标、主要功能项目发生实质性偏离的；</w:t>
      </w:r>
    </w:p>
    <w:p w14:paraId="2B1C3AA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（4）允许偏离的技术、性能指标或者辅助功能项目发生负偏离达10项（含）以上的</w:t>
      </w:r>
    </w:p>
    <w:p w14:paraId="734AD23F">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）与其他参加本次磋商的响应供应商的磋商响应文件（技术文件）的文字表述内容相同连续20行以上或者差错相同2处以上的。</w:t>
      </w:r>
    </w:p>
    <w:p w14:paraId="67198791">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）提供不真实材料的；</w:t>
      </w:r>
    </w:p>
    <w:p w14:paraId="7B3FE94E">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）法律、法规、规章等规定的其他情形。</w:t>
      </w:r>
    </w:p>
    <w:p w14:paraId="574E103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3.在报价评审时，如发现下列情形之一的，磋商响应文件将被视为无效：</w:t>
      </w:r>
    </w:p>
    <w:p w14:paraId="3A28947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（1）未采用人民币报价或者未按照磋商采购文件标明的报价方式报价的；</w:t>
      </w:r>
    </w:p>
    <w:p w14:paraId="595061EA">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（2）报价超出最高限价，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不能支付的；</w:t>
      </w:r>
    </w:p>
    <w:p w14:paraId="543A4EFF">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）评标委员会一致认为将获得成交候选资格的</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报价或某些分项报价明显不合理，有降低质量、不能诚信履约的可能，且该</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未在规定期限内作出解释，或所作解释不合理，经评标委员会取得一致意见后，确定该投标无效的</w:t>
      </w:r>
    </w:p>
    <w:p w14:paraId="6281E98D">
      <w:pPr>
        <w:autoSpaceDE/>
        <w:autoSpaceDN/>
        <w:adjustRightInd/>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highlight w:val="none"/>
        </w:rPr>
        <w:t>在线制作</w:t>
      </w:r>
      <w:r>
        <w:rPr>
          <w:rFonts w:hint="eastAsia" w:ascii="宋体" w:hAnsi="宋体" w:eastAsia="宋体" w:cs="宋体"/>
          <w:color w:val="auto"/>
          <w:sz w:val="21"/>
          <w:highlight w:val="none"/>
          <w:lang w:val="en-US" w:eastAsia="zh-CN"/>
        </w:rPr>
        <w:t>磋商响应</w:t>
      </w:r>
      <w:r>
        <w:rPr>
          <w:rFonts w:hint="eastAsia" w:ascii="宋体" w:hAnsi="宋体" w:eastAsia="宋体" w:cs="宋体"/>
          <w:color w:val="auto"/>
          <w:sz w:val="21"/>
          <w:highlight w:val="none"/>
        </w:rPr>
        <w:t>文件时《</w:t>
      </w:r>
      <w:r>
        <w:rPr>
          <w:rFonts w:hint="eastAsia" w:ascii="宋体" w:hAnsi="宋体" w:eastAsia="宋体" w:cs="宋体"/>
          <w:color w:val="auto"/>
          <w:sz w:val="21"/>
          <w:highlight w:val="none"/>
          <w:lang w:eastAsia="zh-CN"/>
        </w:rPr>
        <w:t>开标（报价）一览表</w:t>
      </w:r>
      <w:r>
        <w:rPr>
          <w:rFonts w:hint="eastAsia" w:ascii="宋体" w:hAnsi="宋体" w:eastAsia="宋体" w:cs="宋体"/>
          <w:color w:val="auto"/>
          <w:sz w:val="21"/>
          <w:highlight w:val="none"/>
        </w:rPr>
        <w:t>》中填写的金额与解密后“电子加密</w:t>
      </w:r>
      <w:r>
        <w:rPr>
          <w:rFonts w:hint="eastAsia" w:ascii="宋体" w:hAnsi="宋体" w:eastAsia="宋体" w:cs="宋体"/>
          <w:color w:val="auto"/>
          <w:sz w:val="21"/>
          <w:highlight w:val="none"/>
          <w:lang w:val="en-US" w:eastAsia="zh-CN"/>
        </w:rPr>
        <w:t>磋商响应</w:t>
      </w:r>
      <w:r>
        <w:rPr>
          <w:rFonts w:hint="eastAsia" w:ascii="宋体" w:hAnsi="宋体" w:eastAsia="宋体" w:cs="宋体"/>
          <w:color w:val="auto"/>
          <w:sz w:val="21"/>
          <w:highlight w:val="none"/>
        </w:rPr>
        <w:t>文件”中《</w:t>
      </w:r>
      <w:r>
        <w:rPr>
          <w:rFonts w:hint="eastAsia" w:ascii="宋体" w:hAnsi="宋体" w:eastAsia="宋体" w:cs="宋体"/>
          <w:color w:val="auto"/>
          <w:sz w:val="21"/>
          <w:highlight w:val="none"/>
          <w:lang w:eastAsia="zh-CN"/>
        </w:rPr>
        <w:t>开标（报价）一览表</w:t>
      </w:r>
      <w:r>
        <w:rPr>
          <w:rFonts w:hint="eastAsia" w:ascii="宋体" w:hAnsi="宋体" w:eastAsia="宋体" w:cs="宋体"/>
          <w:color w:val="auto"/>
          <w:sz w:val="21"/>
          <w:highlight w:val="none"/>
        </w:rPr>
        <w:t>》填写的金额不一致的，以解密后“电子加密</w:t>
      </w:r>
      <w:r>
        <w:rPr>
          <w:rFonts w:hint="eastAsia" w:ascii="宋体" w:hAnsi="宋体" w:eastAsia="宋体" w:cs="宋体"/>
          <w:color w:val="auto"/>
          <w:sz w:val="21"/>
          <w:highlight w:val="none"/>
          <w:lang w:val="en-US" w:eastAsia="zh-CN"/>
        </w:rPr>
        <w:t>磋商响应</w:t>
      </w:r>
      <w:r>
        <w:rPr>
          <w:rFonts w:hint="eastAsia" w:ascii="宋体" w:hAnsi="宋体" w:eastAsia="宋体" w:cs="宋体"/>
          <w:color w:val="auto"/>
          <w:sz w:val="21"/>
          <w:highlight w:val="none"/>
        </w:rPr>
        <w:t>文件”中《</w:t>
      </w:r>
      <w:r>
        <w:rPr>
          <w:rFonts w:hint="eastAsia" w:ascii="宋体" w:hAnsi="宋体" w:eastAsia="宋体" w:cs="宋体"/>
          <w:color w:val="auto"/>
          <w:sz w:val="21"/>
          <w:highlight w:val="none"/>
          <w:lang w:eastAsia="zh-CN"/>
        </w:rPr>
        <w:t>开标（报价）一览表</w:t>
      </w:r>
      <w:r>
        <w:rPr>
          <w:rFonts w:hint="eastAsia" w:ascii="宋体" w:hAnsi="宋体" w:eastAsia="宋体" w:cs="宋体"/>
          <w:color w:val="auto"/>
          <w:sz w:val="21"/>
          <w:highlight w:val="none"/>
        </w:rPr>
        <w:t>》填写的金额为准，投标供应商拒绝接受此调整的，按无效投标处理</w:t>
      </w:r>
    </w:p>
    <w:p w14:paraId="084FDCE5">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4.在评审时，存在下列情形之一的，投标无效：</w:t>
      </w:r>
    </w:p>
    <w:p w14:paraId="3A5D12BA">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文件由同一单位或者个人编制；</w:t>
      </w:r>
    </w:p>
    <w:p w14:paraId="183E8ED0">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委托同一单位或者个人办理投标事宜；</w:t>
      </w:r>
    </w:p>
    <w:p w14:paraId="3F391057">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文件载明的项目管理成员或者联系人员为同一人；</w:t>
      </w:r>
    </w:p>
    <w:p w14:paraId="4239E75D">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文件异常一致或者投标报价呈规律性差异；</w:t>
      </w:r>
    </w:p>
    <w:p w14:paraId="7F9CD88F">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文件相互混装；</w:t>
      </w:r>
    </w:p>
    <w:p w14:paraId="5E1E632F">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bookmarkStart w:id="279" w:name="_GoBack"/>
      <w:r>
        <w:rPr>
          <w:rFonts w:hint="eastAsia" w:ascii="宋体" w:hAnsi="宋体" w:eastAsia="宋体" w:cs="宋体"/>
          <w:color w:val="auto"/>
          <w:sz w:val="21"/>
          <w:szCs w:val="21"/>
          <w:highlight w:val="none"/>
        </w:rPr>
        <w:t>法律、法规和</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文件规定的其他无效情形。</w:t>
      </w:r>
      <w:bookmarkEnd w:id="279"/>
    </w:p>
    <w:p w14:paraId="5C2C59F1">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5.参加同一个标项的</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存在下列情形之一的，投标无效：</w:t>
      </w:r>
    </w:p>
    <w:p w14:paraId="205509B3">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不同响应供应商的电子磋商响应文件上传计算机的IP地址、</w:t>
      </w:r>
      <w:r>
        <w:rPr>
          <w:rFonts w:hint="eastAsia" w:ascii="宋体" w:hAnsi="宋体" w:eastAsia="宋体" w:cs="宋体"/>
          <w:color w:val="auto"/>
          <w:sz w:val="21"/>
          <w:szCs w:val="21"/>
          <w:highlight w:val="none"/>
        </w:rPr>
        <w:t>网卡MAC地址、CPU序列号或硬盘序列号等硬件信息相同的；</w:t>
      </w:r>
    </w:p>
    <w:p w14:paraId="22F85EE9">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）上传的电子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文件若出现使用本项目其他</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的数字证书加密的，或者加盖本项目其他</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的电子印章的；</w:t>
      </w:r>
    </w:p>
    <w:p w14:paraId="472397F9">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文件的内容存在</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处(含)以上错误一致的；</w:t>
      </w:r>
    </w:p>
    <w:p w14:paraId="5CDCAA98">
      <w:pPr>
        <w:keepNext w:val="0"/>
        <w:keepLines w:val="0"/>
        <w:pageBreakBefore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的联系人为同一人或不同联系人的联系电话一致的。</w:t>
      </w:r>
    </w:p>
    <w:p w14:paraId="0F1CF3F7">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被拒绝的磋商响应文件为无效磋商响应文件。</w:t>
      </w:r>
    </w:p>
    <w:p w14:paraId="3E2CED28">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四、磋商流程</w:t>
      </w:r>
    </w:p>
    <w:p w14:paraId="1D303468">
      <w:pPr>
        <w:autoSpaceDE/>
        <w:autoSpaceDN/>
        <w:adjustRightInd/>
        <w:spacing w:line="500" w:lineRule="exact"/>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（一）磋商准备</w:t>
      </w:r>
    </w:p>
    <w:p w14:paraId="4B3337B1">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在规定的时间和地点举行磋商会议，响应供应商的法定代表人（或单位负责人）或其授权代表应参加磋商会议并签到。响应供应商的法定代表人（或单位负责人）或其授权代表未按时签到的，视同放弃磋商活动的监督权利、认可磋商结果。</w:t>
      </w:r>
    </w:p>
    <w:p w14:paraId="18EC2ED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（二）磋商程序</w:t>
      </w:r>
    </w:p>
    <w:p w14:paraId="77C18C20">
      <w:pPr>
        <w:autoSpaceDE/>
        <w:autoSpaceDN/>
        <w:adjustRightInd/>
        <w:spacing w:line="50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1.磋商会议由采购代理机构主持，主持人宣布磋商会议开始；</w:t>
      </w:r>
    </w:p>
    <w:p w14:paraId="4E49E270">
      <w:pPr>
        <w:autoSpaceDE/>
        <w:autoSpaceDN/>
        <w:adjustRightInd/>
        <w:spacing w:line="50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2.在开标后投标供应商</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“政采云”平台，用“项目采购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开标评标”功能进行解密（磋商响应文件）投标文件。若投标供应商在规定时间内无法解密或解密失败的，视为投标文件撤回。</w:t>
      </w:r>
    </w:p>
    <w:p w14:paraId="1A26A6FC">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采购代理机构先对供应商的资格进行审查，如磋商小组对响应文件有疑问，对供应商进行在线询标，供应商须在澄清截止时间前上传澄清函，若在澄清截止时间前未进行有效澄清的，逾期将不再接受澄清。资格审查不合格的供应商不再进入</w:t>
      </w:r>
      <w:r>
        <w:rPr>
          <w:rFonts w:hint="eastAsia" w:ascii="宋体" w:hAnsi="宋体" w:eastAsia="宋体" w:cs="宋体"/>
          <w:bCs/>
          <w:color w:val="auto"/>
          <w:sz w:val="21"/>
          <w:szCs w:val="21"/>
          <w:highlight w:val="none"/>
        </w:rPr>
        <w:t>商务技术文件和报价文件的评审。</w:t>
      </w:r>
    </w:p>
    <w:p w14:paraId="56AEE45E">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磋商小组先对商务技术文件进行评审，如对磋商响应文件有疑问，对供应商进行在线询标，供应商须在发起的澄清截止时间前上传澄清函，若在发起的澄清截止时间前未进行有效澄清的，逾期将不再接受澄清。商务技术文件不合格的供应商不再进入报价文件评审。</w:t>
      </w:r>
    </w:p>
    <w:p w14:paraId="7A6AB5C5">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5.商务技术文件评分结束后，然后在线开启报价文件，进行价格磋商，要求供应商提交最后报价。</w:t>
      </w:r>
    </w:p>
    <w:p w14:paraId="2AE7F405">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6.商务技术文件评审结果在线公布后，在线开启最后报价，并由评标委员会进行报价评审。</w:t>
      </w:r>
    </w:p>
    <w:p w14:paraId="12742737">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7.综合评审结果在线公布各供应商得分汇总，并在线提交（宣布）成交候选人。</w:t>
      </w:r>
    </w:p>
    <w:p w14:paraId="1433BBE4">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8.评审结束后，代理机构宣布开标结束，并公布采购结果。</w:t>
      </w:r>
    </w:p>
    <w:p w14:paraId="4769D875">
      <w:pPr>
        <w:autoSpaceDE/>
        <w:autoSpaceDN/>
        <w:adjustRightInd/>
        <w:spacing w:line="500" w:lineRule="exact"/>
        <w:ind w:firstLine="525" w:firstLineChars="25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注：政采云公司如对电子化开标及评审程序有调整的，按调整后的程序操作。</w:t>
      </w:r>
    </w:p>
    <w:p w14:paraId="3EE05C16">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五、磋商规则</w:t>
      </w:r>
    </w:p>
    <w:p w14:paraId="085BE3CE">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（一）组建磋商小组</w:t>
      </w:r>
    </w:p>
    <w:p w14:paraId="23C8BA7D">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和采购代理机构将根据本项目的特点依法组建磋商小组，磋商小组由磋商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和有关技术、经济等方面三名或以上单数的专家组成，其中技术、经济等方面的专家不少于成员总数的三分之二。专家统一在政府采购专家管理系统（政采云）的专家库中随机抽取。</w:t>
      </w:r>
    </w:p>
    <w:p w14:paraId="307E6E65">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（二）磋商的方式</w:t>
      </w:r>
    </w:p>
    <w:p w14:paraId="5C5B6ABB">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本项目采用不公开方式磋商，磋商的依据为磋商采购文件和磋商响应文件。</w:t>
      </w:r>
    </w:p>
    <w:p w14:paraId="7B165573">
      <w:pPr>
        <w:pStyle w:val="67"/>
        <w:adjustRightInd w:val="0"/>
        <w:snapToGrid w:val="0"/>
        <w:spacing w:before="0" w:line="500" w:lineRule="exact"/>
        <w:ind w:firstLine="42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（三）磋商响应文件鉴定</w:t>
      </w:r>
    </w:p>
    <w:p w14:paraId="16C78F4C">
      <w:pPr>
        <w:pStyle w:val="67"/>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1.在磋商前，磋商小组对每份</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进行符合性等方面的预审，如</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被确认为无效，采购代理机构将及时通知该供应商。</w:t>
      </w:r>
    </w:p>
    <w:p w14:paraId="05FE066D">
      <w:pPr>
        <w:pStyle w:val="67"/>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2.就本条款而言，实质上响应要求的</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，应该与文件的规定主要要求、条件、条款和规范相符，无显著差异或保留。</w:t>
      </w:r>
    </w:p>
    <w:p w14:paraId="7DA949EA">
      <w:pPr>
        <w:pStyle w:val="67"/>
        <w:adjustRightInd w:val="0"/>
        <w:snapToGrid w:val="0"/>
        <w:spacing w:before="0" w:line="5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实质上不响应磋商采购文件的要求，不允许通过修正或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不符合要求的差异或保留，使之成为具有响应性。</w:t>
      </w:r>
    </w:p>
    <w:p w14:paraId="0AE169FA">
      <w:pPr>
        <w:pStyle w:val="67"/>
        <w:adjustRightInd w:val="0"/>
        <w:snapToGrid w:val="0"/>
        <w:spacing w:before="0" w:line="4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4.磋商响应文件中开标（报价）一览表内容与磋商响应文件中相应内容不一致的，以开标（报价）一览表为准；</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的大写金额和小写金额不一致的，以大写金额为准；总价金额与按单价汇总金额不一致的，以单价金额计算结果为准；单价金额小数点或者百分比有明显错位的，以开标（报价）一览表的总价为准，并修改单价；对不同文字文本</w:t>
      </w:r>
      <w:r>
        <w:rPr>
          <w:rFonts w:hint="eastAsia" w:ascii="宋体" w:hAnsi="宋体" w:eastAsia="宋体" w:cs="宋体"/>
          <w:color w:val="auto"/>
          <w:sz w:val="21"/>
          <w:szCs w:val="21"/>
          <w:highlight w:val="none"/>
          <w:lang w:val="zh-CN"/>
        </w:rPr>
        <w:t>磋商响应文件</w:t>
      </w:r>
      <w:r>
        <w:rPr>
          <w:rFonts w:hint="eastAsia" w:ascii="宋体" w:hAnsi="宋体" w:eastAsia="宋体" w:cs="宋体"/>
          <w:color w:val="auto"/>
          <w:sz w:val="21"/>
          <w:szCs w:val="21"/>
          <w:highlight w:val="none"/>
        </w:rPr>
        <w:t>的解释发生异议的，以中文文本为准。同时出现两种以上不一致的，按照前款规定的顺序修正。修正后的报价经响应供应商确认后产生约束力，供应商不确认的，其磋商报价无效。</w:t>
      </w:r>
    </w:p>
    <w:p w14:paraId="0574E5CE">
      <w:pPr>
        <w:pStyle w:val="26"/>
        <w:snapToGrid w:val="0"/>
        <w:spacing w:line="50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（四）磋商原则</w:t>
      </w:r>
    </w:p>
    <w:p w14:paraId="6B50FCAF">
      <w:pPr>
        <w:pStyle w:val="26"/>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1.竞争优选。</w:t>
      </w:r>
    </w:p>
    <w:p w14:paraId="497BA8CB">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2.坚持公开、公平、公正、科学合理的原则。</w:t>
      </w:r>
    </w:p>
    <w:p w14:paraId="5E62C96B">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3.价格合理，方案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产品先进可行。</w:t>
      </w:r>
    </w:p>
    <w:p w14:paraId="0559D22C">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4.反对不正当竞争。</w:t>
      </w:r>
    </w:p>
    <w:p w14:paraId="1E45ABC0">
      <w:pPr>
        <w:snapToGrid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5.磋商小组将遵循评审原则的前提下，对供应商提供的</w:t>
      </w:r>
      <w:r>
        <w:rPr>
          <w:rFonts w:hint="eastAsia" w:ascii="宋体" w:hAnsi="宋体" w:eastAsia="宋体" w:cs="宋体"/>
          <w:color w:val="auto"/>
          <w:sz w:val="21"/>
          <w:szCs w:val="21"/>
          <w:highlight w:val="none"/>
        </w:rPr>
        <w:t>货物及</w:t>
      </w:r>
      <w:r>
        <w:rPr>
          <w:rFonts w:hint="eastAsia" w:ascii="宋体" w:hAnsi="宋体" w:eastAsia="宋体" w:cs="宋体"/>
          <w:color w:val="auto"/>
          <w:sz w:val="21"/>
          <w:szCs w:val="21"/>
          <w:highlight w:val="none"/>
          <w:lang w:val="zh-CN"/>
        </w:rPr>
        <w:t>服务、磋商价格、履约能力等进行分析。</w:t>
      </w:r>
    </w:p>
    <w:p w14:paraId="4D6FAE51">
      <w:pPr>
        <w:pStyle w:val="26"/>
        <w:snapToGrid w:val="0"/>
        <w:spacing w:line="500" w:lineRule="exact"/>
        <w:ind w:firstLine="420" w:firstLineChars="200"/>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6.客观、公正对待所有供应商，对所有磋商评价，均采用相同的程序和标准。</w:t>
      </w:r>
    </w:p>
    <w:p w14:paraId="5DE79F68">
      <w:pPr>
        <w:pStyle w:val="26"/>
        <w:snapToGrid w:val="0"/>
        <w:spacing w:line="500" w:lineRule="exact"/>
        <w:ind w:firstLine="420" w:firstLineChars="200"/>
        <w:rPr>
          <w:rFonts w:hint="eastAsia" w:ascii="宋体" w:hAnsi="宋体" w:eastAsia="宋体" w:cs="宋体"/>
          <w:color w:val="auto"/>
          <w:sz w:val="21"/>
          <w:highlight w:val="none"/>
          <w:lang w:val="zh-CN"/>
        </w:rPr>
      </w:pPr>
      <w:bookmarkStart w:id="158" w:name="_Toc12327"/>
      <w:bookmarkStart w:id="159" w:name="_Toc31509"/>
      <w:r>
        <w:rPr>
          <w:rFonts w:hint="eastAsia" w:ascii="宋体" w:hAnsi="宋体" w:eastAsia="宋体" w:cs="宋体"/>
          <w:color w:val="auto"/>
          <w:sz w:val="21"/>
          <w:highlight w:val="none"/>
          <w:lang w:val="zh-CN"/>
        </w:rPr>
        <w:t>7.在磋商响应期间，供应商不得向磋商小组成员询问磋商情况，不得进行旨在影响磋商结果的活动，否则将废除其磋商资格。</w:t>
      </w:r>
      <w:bookmarkEnd w:id="158"/>
      <w:bookmarkEnd w:id="159"/>
    </w:p>
    <w:p w14:paraId="715C64B5">
      <w:pPr>
        <w:pStyle w:val="26"/>
        <w:snapToGrid w:val="0"/>
        <w:spacing w:line="500" w:lineRule="exact"/>
        <w:ind w:firstLine="420" w:firstLineChars="200"/>
        <w:rPr>
          <w:rFonts w:hint="eastAsia" w:ascii="宋体" w:hAnsi="宋体" w:eastAsia="宋体" w:cs="宋体"/>
          <w:color w:val="auto"/>
          <w:sz w:val="21"/>
          <w:highlight w:val="none"/>
          <w:lang w:val="zh-CN"/>
        </w:rPr>
      </w:pPr>
      <w:bookmarkStart w:id="160" w:name="_Toc22482"/>
      <w:bookmarkStart w:id="161" w:name="_Toc3525"/>
      <w:r>
        <w:rPr>
          <w:rFonts w:hint="eastAsia" w:ascii="宋体" w:hAnsi="宋体" w:eastAsia="宋体" w:cs="宋体"/>
          <w:color w:val="auto"/>
          <w:sz w:val="21"/>
          <w:highlight w:val="none"/>
          <w:lang w:val="zh-CN"/>
        </w:rPr>
        <w:t>8.在磋商过程中，磋商小组成员不得与供应商私下交换意见，在竞争性磋商工作结束后，凡与磋商情况有接触的人不得将磋商情况扩散出磋商小组成员之外。</w:t>
      </w:r>
      <w:bookmarkEnd w:id="160"/>
      <w:bookmarkEnd w:id="161"/>
    </w:p>
    <w:p w14:paraId="03FCED6B">
      <w:pPr>
        <w:pStyle w:val="26"/>
        <w:snapToGrid w:val="0"/>
        <w:spacing w:line="500" w:lineRule="exact"/>
        <w:ind w:firstLine="420" w:firstLineChars="200"/>
        <w:rPr>
          <w:rFonts w:hint="eastAsia" w:ascii="宋体" w:hAnsi="宋体" w:eastAsia="宋体" w:cs="宋体"/>
          <w:color w:val="auto"/>
          <w:sz w:val="21"/>
          <w:highlight w:val="none"/>
          <w:lang w:val="zh-CN"/>
        </w:rPr>
      </w:pPr>
      <w:bookmarkStart w:id="162" w:name="_Toc16282"/>
      <w:bookmarkStart w:id="163" w:name="_Toc12142"/>
      <w:r>
        <w:rPr>
          <w:rFonts w:hint="eastAsia" w:ascii="宋体" w:hAnsi="宋体" w:eastAsia="宋体" w:cs="宋体"/>
          <w:color w:val="auto"/>
          <w:sz w:val="21"/>
          <w:highlight w:val="none"/>
          <w:lang w:val="zh-CN"/>
        </w:rPr>
        <w:t>9.采购人不向未成交人解释未成交原因，不退还磋商响应文件。</w:t>
      </w:r>
      <w:bookmarkEnd w:id="162"/>
      <w:bookmarkEnd w:id="163"/>
    </w:p>
    <w:p w14:paraId="004038FC">
      <w:pPr>
        <w:pStyle w:val="26"/>
        <w:snapToGrid w:val="0"/>
        <w:spacing w:line="500" w:lineRule="exact"/>
        <w:ind w:firstLine="422" w:firstLineChars="200"/>
        <w:rPr>
          <w:rFonts w:hint="eastAsia" w:ascii="宋体" w:hAnsi="宋体" w:eastAsia="宋体" w:cs="宋体"/>
          <w:b/>
          <w:color w:val="auto"/>
          <w:sz w:val="21"/>
          <w:highlight w:val="none"/>
          <w:lang w:val="zh-CN"/>
        </w:rPr>
      </w:pPr>
      <w:bookmarkStart w:id="164" w:name="_Toc998"/>
      <w:r>
        <w:rPr>
          <w:rFonts w:hint="eastAsia" w:ascii="宋体" w:hAnsi="宋体" w:eastAsia="宋体" w:cs="宋体"/>
          <w:b/>
          <w:color w:val="auto"/>
          <w:sz w:val="21"/>
          <w:highlight w:val="none"/>
        </w:rPr>
        <w:t>（五）</w:t>
      </w:r>
      <w:r>
        <w:rPr>
          <w:rFonts w:hint="eastAsia" w:ascii="宋体" w:hAnsi="宋体" w:eastAsia="宋体" w:cs="宋体"/>
          <w:b/>
          <w:color w:val="auto"/>
          <w:sz w:val="21"/>
          <w:highlight w:val="none"/>
          <w:lang w:val="zh-CN"/>
        </w:rPr>
        <w:t>磋商程序</w:t>
      </w:r>
      <w:bookmarkEnd w:id="164"/>
    </w:p>
    <w:p w14:paraId="7261C1A1">
      <w:pPr>
        <w:tabs>
          <w:tab w:val="left" w:pos="0"/>
        </w:tabs>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1.根据公开、公平、公正、诚信科学的原则，组织竞争性磋商采购。</w:t>
      </w:r>
    </w:p>
    <w:p w14:paraId="32EE6331">
      <w:pPr>
        <w:tabs>
          <w:tab w:val="left" w:pos="0"/>
        </w:tabs>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2.具体工作流程：</w:t>
      </w:r>
    </w:p>
    <w:p w14:paraId="7B57FF3E">
      <w:pPr>
        <w:tabs>
          <w:tab w:val="left" w:pos="0"/>
        </w:tabs>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（1）磋商小组所有成员应当集中与单一供应商分别进行磋商，并给予所有参加磋商的供应商平等的磋商机会。</w:t>
      </w:r>
    </w:p>
    <w:p w14:paraId="1F9B972A">
      <w:pPr>
        <w:tabs>
          <w:tab w:val="left" w:pos="0"/>
        </w:tabs>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（2）在磋商过程中，磋商小组可以根据磋商采购文件和磋商情况实质性变动采购需求中的技术、服务要求以及合同草案条款。实质性变动的内容，须经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代表确认。</w:t>
      </w:r>
    </w:p>
    <w:p w14:paraId="0C0D893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（3）磋商采购文件作出的实质性变动是磋商采购文件的有效组成部分，磋商小组应当及时以书面形式同时通知所有参加磋商的供应商。</w:t>
      </w:r>
    </w:p>
    <w:p w14:paraId="6455102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（4）供应商应当按照磋商采购文件的变动情况和磋商小组的要求重新提交响应文件，并由其法定代表人或授权代表签字或者加盖公章。由授权代表签字的，应当附法定代表人授权书。</w:t>
      </w:r>
    </w:p>
    <w:p w14:paraId="38D65198">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（六）最后报价</w:t>
      </w:r>
    </w:p>
    <w:p w14:paraId="14B3451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1.磋商结束后，磋商小组应当要求所有实质性响应的供应商在规定时间内提交最后报价。</w:t>
      </w:r>
    </w:p>
    <w:p w14:paraId="389A4ED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2.最后报价是磋商响应文件的有效组成部分。</w:t>
      </w:r>
    </w:p>
    <w:p w14:paraId="5D981E2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3.已提交磋商响应文件的供应商，在提交最后报价之前，若因磋商文件实质性变动导致供应商无法满足采购需求的，允许供应商退出磋商。</w:t>
      </w:r>
    </w:p>
    <w:p w14:paraId="6CC2BBD5">
      <w:pPr>
        <w:pStyle w:val="26"/>
        <w:snapToGrid w:val="0"/>
        <w:spacing w:line="5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4.资信商务技术文件评审结果在线公布后，采购代理机构将在线开启最后报价。</w:t>
      </w:r>
    </w:p>
    <w:p w14:paraId="5F20A91E">
      <w:pPr>
        <w:tabs>
          <w:tab w:val="left" w:pos="0"/>
        </w:tabs>
        <w:spacing w:line="500" w:lineRule="exact"/>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（七） 磋商办法。</w:t>
      </w:r>
      <w:r>
        <w:rPr>
          <w:rFonts w:hint="eastAsia" w:ascii="宋体" w:hAnsi="宋体" w:eastAsia="宋体" w:cs="宋体"/>
          <w:color w:val="auto"/>
          <w:sz w:val="21"/>
          <w:szCs w:val="21"/>
          <w:highlight w:val="none"/>
        </w:rPr>
        <w:t>具体磋商内容及评分标准等详见《第四部分：磋商办法及评分标准》。</w:t>
      </w:r>
    </w:p>
    <w:p w14:paraId="0E88836F">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（八）磋商过程的监控</w:t>
      </w:r>
    </w:p>
    <w:p w14:paraId="0B986991">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本项目磋商过程实行全程录音、录像监控，响应供应商在磋商过程中所进行的试图影响磋商结果的不公正活动，可能导致其磋商采购活动被拒绝。</w:t>
      </w:r>
    </w:p>
    <w:p w14:paraId="63131762">
      <w:pPr>
        <w:autoSpaceDE/>
        <w:autoSpaceDN/>
        <w:adjustRightIn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（九）中止电子交易活动的情形</w:t>
      </w:r>
    </w:p>
    <w:p w14:paraId="09F4BB25">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磋商过程中出现以下情形，导致电子交易平台无法正常运行，或者无法保证电子交易的公平、公正和安全时，中止电子交易活动：</w:t>
      </w:r>
    </w:p>
    <w:p w14:paraId="7EB2F2EB">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1447272A">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291E2C99">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44B365EC">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0614749C">
      <w:pPr>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23603C79">
      <w:pPr>
        <w:autoSpaceDE/>
        <w:autoSpaceDN/>
        <w:adjustRightInd/>
        <w:spacing w:line="50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6C434891">
      <w:pPr>
        <w:autoSpaceDE/>
        <w:autoSpaceDN/>
        <w:adjustRightIn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确定成交人</w:t>
      </w:r>
    </w:p>
    <w:p w14:paraId="1D4AFDC0">
      <w:pPr>
        <w:snapToGrid w:val="0"/>
        <w:spacing w:line="460" w:lineRule="exact"/>
        <w:ind w:firstLine="417" w:firstLineChars="19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将根据磋商采购文件和有关规定，履行评审工作职责，以《磋商办法及评分标准》为标准，全面衡量各供应商对磋商文件的响应情况。对实质上响应磋商文件的供应商，以打分的方法，排出推荐成交的供应商的先后顺序，并按顺序提出授标建议。评审结果报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同意，最终确定成交人。</w:t>
      </w:r>
    </w:p>
    <w:p w14:paraId="0A4CFA25">
      <w:pPr>
        <w:snapToGrid w:val="0"/>
        <w:spacing w:line="46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应当根据磋商小组推荐的顺序确定成交人，不得在磋商小组推荐的成交候选人以外确定成交人。</w:t>
      </w:r>
    </w:p>
    <w:p w14:paraId="45DAEA46">
      <w:pPr>
        <w:autoSpaceDE/>
        <w:autoSpaceDN/>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3.采购代理机构在磋商结束后2个工作日内将磋商报告交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w:t>
      </w:r>
    </w:p>
    <w:p w14:paraId="13902987">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4.响应供应商对磋商结果无异议的，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应在收到磋商报告后5个工作日内对磋商结果进行确认。如有响应供应商对磋商结果提出质疑的，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可在质疑处理完毕后确定成交供应商。</w:t>
      </w:r>
    </w:p>
    <w:p w14:paraId="6CBE9504">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5.磋商结果公示期：1个工作日。</w:t>
      </w:r>
    </w:p>
    <w:p w14:paraId="6996A31A">
      <w:pPr>
        <w:autoSpaceDE/>
        <w:autoSpaceDN/>
        <w:adjustRightInd/>
        <w:spacing w:line="4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6.磋商结果公示的同时采购代理机构以书面形式发出《成交通知书》。</w:t>
      </w:r>
    </w:p>
    <w:p w14:paraId="2B5C971E">
      <w:pPr>
        <w:autoSpaceDE/>
        <w:autoSpaceDN/>
        <w:adjustRightInd/>
        <w:spacing w:line="500" w:lineRule="exact"/>
        <w:ind w:firstLine="316" w:firstLineChars="150"/>
        <w:jc w:val="both"/>
        <w:textAlignment w:val="auto"/>
        <w:rPr>
          <w:rFonts w:hint="eastAsia" w:ascii="宋体" w:hAnsi="宋体" w:eastAsia="宋体" w:cs="宋体"/>
          <w:b/>
          <w:color w:val="auto"/>
          <w:sz w:val="21"/>
          <w:szCs w:val="21"/>
          <w:highlight w:val="none"/>
        </w:rPr>
      </w:pPr>
      <w:bookmarkStart w:id="165" w:name="_Toc25299"/>
      <w:r>
        <w:rPr>
          <w:rFonts w:hint="eastAsia" w:ascii="宋体" w:hAnsi="宋体" w:eastAsia="宋体" w:cs="宋体"/>
          <w:b/>
          <w:color w:val="auto"/>
          <w:sz w:val="21"/>
          <w:szCs w:val="21"/>
          <w:highlight w:val="none"/>
        </w:rPr>
        <w:t>七、合同授予</w:t>
      </w:r>
      <w:bookmarkEnd w:id="165"/>
    </w:p>
    <w:p w14:paraId="5E9D66B9">
      <w:pPr>
        <w:pStyle w:val="3"/>
        <w:adjustRightInd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1.合同的签订</w:t>
      </w:r>
    </w:p>
    <w:p w14:paraId="3514310F">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1.1除不可抗力等特殊情况外，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原则上应当在成交通知书发出之日起20日内，与成交人按照采购文件确定的事项签订政府采购合同，并在签订之日起2个工作日内将政府采购合同在浙江政府采购网上公告。</w:t>
      </w:r>
    </w:p>
    <w:p w14:paraId="356EFAB5">
      <w:pPr>
        <w:pStyle w:val="67"/>
        <w:adjustRightInd w:val="0"/>
        <w:snapToGrid w:val="0"/>
        <w:spacing w:before="0" w:line="50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3B274999">
      <w:pPr>
        <w:pStyle w:val="67"/>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1.3如签订合同并生效后，供应商无故拒绝或延期，除按照合同条款处理外，列入不良行为记录一次，并给予通报。</w:t>
      </w:r>
    </w:p>
    <w:p w14:paraId="4037E0B7">
      <w:pPr>
        <w:pStyle w:val="67"/>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1.4成交人拒绝与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可以按照评审报告推荐的中标或者成交候选人名单排序，确定下一候选人为成交人，也可以重新开展政府采购活动。</w:t>
      </w:r>
    </w:p>
    <w:p w14:paraId="0D83FCAC">
      <w:pPr>
        <w:pStyle w:val="67"/>
        <w:adjustRightInd w:val="0"/>
        <w:snapToGrid w:val="0"/>
        <w:spacing w:before="0"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1.5采购合同由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与成交人根据采购文件、磋商响应文件等内容通过政府采购电子交易平台在线签订，自动备案。</w:t>
      </w:r>
    </w:p>
    <w:p w14:paraId="129AFF60">
      <w:pPr>
        <w:pStyle w:val="67"/>
        <w:adjustRightInd w:val="0"/>
        <w:snapToGrid w:val="0"/>
        <w:spacing w:before="0" w:line="500" w:lineRule="exact"/>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14:paraId="01EB4E2D">
      <w:pPr>
        <w:pStyle w:val="3"/>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.预付款</w:t>
      </w:r>
    </w:p>
    <w:p w14:paraId="61F1DBA8">
      <w:pPr>
        <w:tabs>
          <w:tab w:val="left" w:pos="0"/>
        </w:tabs>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可不适用前述规定。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根据项目特点、供应商诚信等因素，可以要求供应商提交银行、保险公司等金融机构出具的预付款保函或其他担保措施。政府采购预付款应在</w:t>
      </w:r>
      <w:r>
        <w:rPr>
          <w:rFonts w:hint="eastAsia" w:ascii="宋体" w:hAnsi="宋体" w:eastAsia="宋体" w:cs="宋体"/>
          <w:color w:val="auto"/>
          <w:sz w:val="21"/>
          <w:szCs w:val="21"/>
          <w:highlight w:val="none"/>
          <w:u w:val="single"/>
        </w:rPr>
        <w:t>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14:paraId="579DEEF4">
      <w:pPr>
        <w:tabs>
          <w:tab w:val="left" w:pos="0"/>
        </w:tabs>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b w:val="0"/>
          <w:bCs w:val="0"/>
          <w:color w:val="auto"/>
          <w:sz w:val="21"/>
          <w:szCs w:val="21"/>
          <w:highlight w:val="none"/>
        </w:rPr>
        <w:t>本项目预付款的约定详见</w:t>
      </w:r>
      <w:r>
        <w:rPr>
          <w:rFonts w:hint="eastAsia" w:ascii="宋体" w:hAnsi="宋体" w:eastAsia="宋体" w:cs="宋体"/>
          <w:color w:val="auto"/>
          <w:sz w:val="21"/>
          <w:szCs w:val="21"/>
          <w:highlight w:val="none"/>
        </w:rPr>
        <w:t>磋商采购文件“第二</w:t>
      </w:r>
      <w:r>
        <w:rPr>
          <w:rFonts w:hint="eastAsia" w:hAnsi="宋体" w:cs="宋体"/>
          <w:color w:val="auto"/>
          <w:sz w:val="21"/>
          <w:szCs w:val="21"/>
          <w:highlight w:val="none"/>
          <w:lang w:val="en-US" w:eastAsia="zh-CN"/>
        </w:rPr>
        <w:t>部分</w:t>
      </w:r>
      <w:r>
        <w:rPr>
          <w:rFonts w:hint="eastAsia" w:ascii="宋体" w:hAnsi="宋体" w:eastAsia="宋体" w:cs="宋体"/>
          <w:color w:val="auto"/>
          <w:sz w:val="21"/>
          <w:szCs w:val="21"/>
          <w:highlight w:val="none"/>
        </w:rPr>
        <w:t>采购需求”之“</w:t>
      </w:r>
      <w:r>
        <w:rPr>
          <w:rFonts w:hint="eastAsia" w:hAnsi="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rPr>
        <w:t>、付款方式</w:t>
      </w:r>
      <w:r>
        <w:rPr>
          <w:rFonts w:hint="eastAsia" w:ascii="宋体" w:hAnsi="宋体" w:eastAsia="宋体" w:cs="宋体"/>
          <w:color w:val="auto"/>
          <w:sz w:val="21"/>
          <w:szCs w:val="21"/>
          <w:highlight w:val="none"/>
        </w:rPr>
        <w:t>”。</w:t>
      </w:r>
    </w:p>
    <w:p w14:paraId="78153787">
      <w:pPr>
        <w:pStyle w:val="3"/>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.资金支付</w:t>
      </w:r>
    </w:p>
    <w:p w14:paraId="587C58E1">
      <w:pPr>
        <w:pStyle w:val="3"/>
        <w:adjustRightInd w:val="0"/>
        <w:snapToGrid w:val="0"/>
        <w:spacing w:line="5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应当及时</w:t>
      </w:r>
      <w:r>
        <w:rPr>
          <w:rFonts w:hint="eastAsia" w:ascii="宋体" w:hAnsi="宋体" w:eastAsia="宋体" w:cs="宋体"/>
          <w:color w:val="auto"/>
          <w:sz w:val="21"/>
          <w:szCs w:val="21"/>
          <w:highlight w:val="none"/>
        </w:rPr>
        <w:t>组织项目验收，</w:t>
      </w:r>
      <w:r>
        <w:rPr>
          <w:rFonts w:hint="eastAsia" w:ascii="宋体" w:hAnsi="宋体" w:eastAsia="宋体" w:cs="宋体"/>
          <w:b/>
          <w:bCs/>
          <w:color w:val="auto"/>
          <w:sz w:val="21"/>
          <w:szCs w:val="21"/>
          <w:highlight w:val="none"/>
        </w:rPr>
        <w:t>不得以政府部门审计作为支付供应商款项的条件。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对于满足合同约定支付条件的，</w:t>
      </w:r>
      <w:r>
        <w:rPr>
          <w:rFonts w:hint="eastAsia" w:ascii="宋体" w:hAnsi="宋体" w:eastAsia="宋体" w:cs="宋体"/>
          <w:b/>
          <w:bCs/>
          <w:color w:val="auto"/>
          <w:sz w:val="21"/>
          <w:szCs w:val="21"/>
          <w:highlight w:val="none"/>
        </w:rPr>
        <w:t>自收到发票后7个工作日内</w:t>
      </w:r>
      <w:r>
        <w:rPr>
          <w:rFonts w:hint="eastAsia" w:ascii="宋体" w:hAnsi="宋体" w:eastAsia="宋体" w:cs="宋体"/>
          <w:color w:val="auto"/>
          <w:sz w:val="21"/>
          <w:szCs w:val="21"/>
          <w:highlight w:val="none"/>
        </w:rPr>
        <w:t>将资金支付到合同约定的供应商账户。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不得以机构变动、人员更替、政策调整、单位放假、履行内部付款流程，或者在合同未作约定的情况下以等待竣工验收批复、决算审计等为由迟延付款。迟延支付中小企业款项的，供应商可要求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支付逾期利息。</w:t>
      </w:r>
    </w:p>
    <w:p w14:paraId="0B2BC0B1">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bookmarkStart w:id="166" w:name="_Toc97649962"/>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的资金支付按本磋商采购文件“第二</w:t>
      </w:r>
      <w:r>
        <w:rPr>
          <w:rFonts w:hint="eastAsia" w:hAnsi="宋体" w:cs="宋体"/>
          <w:color w:val="auto"/>
          <w:sz w:val="21"/>
          <w:szCs w:val="21"/>
          <w:highlight w:val="none"/>
          <w:lang w:val="en-US" w:eastAsia="zh-CN"/>
        </w:rPr>
        <w:t>部分</w:t>
      </w:r>
      <w:r>
        <w:rPr>
          <w:rFonts w:hint="eastAsia" w:ascii="宋体" w:hAnsi="宋体" w:eastAsia="宋体" w:cs="宋体"/>
          <w:color w:val="auto"/>
          <w:sz w:val="21"/>
          <w:szCs w:val="21"/>
          <w:highlight w:val="none"/>
        </w:rPr>
        <w:t>采购需求”</w:t>
      </w:r>
      <w:r>
        <w:rPr>
          <w:rFonts w:hint="eastAsia" w:ascii="宋体" w:hAnsi="宋体" w:eastAsia="宋体" w:cs="宋体"/>
          <w:b w:val="0"/>
          <w:bCs w:val="0"/>
          <w:color w:val="auto"/>
          <w:sz w:val="21"/>
          <w:szCs w:val="21"/>
          <w:highlight w:val="none"/>
        </w:rPr>
        <w:t>之“</w:t>
      </w:r>
      <w:r>
        <w:rPr>
          <w:rFonts w:hint="eastAsia" w:hAnsi="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rPr>
        <w:t>、付款方式”</w:t>
      </w:r>
      <w:r>
        <w:rPr>
          <w:rFonts w:hint="eastAsia" w:ascii="宋体" w:hAnsi="宋体" w:eastAsia="宋体" w:cs="宋体"/>
          <w:color w:val="auto"/>
          <w:sz w:val="21"/>
          <w:szCs w:val="21"/>
          <w:highlight w:val="none"/>
        </w:rPr>
        <w:t>执行并在合同中进行约定。</w:t>
      </w:r>
    </w:p>
    <w:p w14:paraId="5D86AAD4">
      <w:pPr>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八、项目验收</w:t>
      </w:r>
      <w:bookmarkEnd w:id="166"/>
    </w:p>
    <w:p w14:paraId="565A9D15">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973D4A">
      <w:pPr>
        <w:tabs>
          <w:tab w:val="left" w:pos="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可以邀请参加本项目的其他供应商或者第三方机构参与验收。参与验收的供应商或者第三方机构的意见作为验收书的参考资料一并存档。</w:t>
      </w:r>
    </w:p>
    <w:p w14:paraId="0AD4A952">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3.严格按照采购合同开展履约验收。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D70177">
      <w:pPr>
        <w:autoSpaceDE/>
        <w:autoSpaceDN/>
        <w:snapToGrid w:val="0"/>
        <w:spacing w:line="5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原则上应当在</w:t>
      </w:r>
      <w:r>
        <w:rPr>
          <w:rFonts w:hint="eastAsia" w:ascii="宋体" w:hAnsi="宋体" w:eastAsia="宋体" w:cs="宋体"/>
          <w:b/>
          <w:bCs/>
          <w:color w:val="auto"/>
          <w:sz w:val="21"/>
          <w:szCs w:val="21"/>
          <w:highlight w:val="none"/>
        </w:rPr>
        <w:t>履约验收之日起2个工作日内</w:t>
      </w:r>
      <w:r>
        <w:rPr>
          <w:rFonts w:hint="eastAsia" w:ascii="宋体" w:hAnsi="宋体" w:eastAsia="宋体" w:cs="宋体"/>
          <w:color w:val="auto"/>
          <w:sz w:val="21"/>
          <w:szCs w:val="21"/>
          <w:highlight w:val="none"/>
        </w:rPr>
        <w:t>，将</w:t>
      </w:r>
      <w:r>
        <w:rPr>
          <w:rFonts w:hint="eastAsia" w:ascii="宋体" w:hAnsi="宋体" w:eastAsia="宋体" w:cs="宋体"/>
          <w:b/>
          <w:bCs/>
          <w:color w:val="auto"/>
          <w:sz w:val="21"/>
          <w:szCs w:val="21"/>
          <w:highlight w:val="none"/>
        </w:rPr>
        <w:t>履约验收结果在浙江政府采购网上公告。</w:t>
      </w:r>
    </w:p>
    <w:p w14:paraId="77D65657">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5.验收合格的项目，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将根据采购合同的约定及时向供应商支付采购资金、退还履约保证金。</w:t>
      </w:r>
    </w:p>
    <w:p w14:paraId="7695D861">
      <w:pPr>
        <w:autoSpaceDE/>
        <w:autoSpaceDN/>
        <w:adjustRightInd/>
        <w:spacing w:line="500" w:lineRule="exact"/>
        <w:ind w:firstLine="420" w:firstLineChars="200"/>
        <w:jc w:val="both"/>
        <w:textAlignment w:val="auto"/>
        <w:rPr>
          <w:rFonts w:hint="eastAsia" w:ascii="宋体" w:hAnsi="宋体" w:eastAsia="宋体" w:cs="宋体"/>
          <w:b/>
          <w:color w:val="auto"/>
          <w:sz w:val="24"/>
          <w:szCs w:val="24"/>
          <w:highlight w:val="none"/>
        </w:rPr>
      </w:pPr>
      <w:bookmarkStart w:id="167" w:name="_Toc20376"/>
      <w:r>
        <w:rPr>
          <w:rFonts w:hint="eastAsia" w:ascii="宋体" w:hAnsi="宋体" w:eastAsia="宋体" w:cs="宋体"/>
          <w:color w:val="auto"/>
          <w:sz w:val="21"/>
          <w:szCs w:val="21"/>
          <w:highlight w:val="none"/>
        </w:rPr>
        <w:t>验收不合格的项目，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应当及时报告本级财政部门。</w:t>
      </w:r>
      <w:bookmarkEnd w:id="167"/>
    </w:p>
    <w:p w14:paraId="5CD4A081">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九、电子投标特别提醒</w:t>
      </w:r>
    </w:p>
    <w:p w14:paraId="26106DDD">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1.请所有供应商在政采云系统准时参加线上开标活动</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并且要求法定代表人或授权委托人全程在线。</w:t>
      </w:r>
    </w:p>
    <w:p w14:paraId="5DBF619A">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2.投标截止时间后，代理机构将线上开启解密，供应商需及时用CA锁在线解密，解密时间一般为半小时（解密时限由财政部门设置），逾期解密，供应商自行承担风险。</w:t>
      </w:r>
    </w:p>
    <w:p w14:paraId="54A2C824">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3.解密响应文件的CA锁必须跟制作响应文件的CA锁为同一个，否则将导致解密失败。</w:t>
      </w:r>
    </w:p>
    <w:p w14:paraId="074EC993">
      <w:pPr>
        <w:widowControl/>
        <w:autoSpaceDE/>
        <w:autoSpaceDN/>
        <w:adjustRightInd/>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48"/>
    <w:bookmarkEnd w:id="149"/>
    <w:bookmarkEnd w:id="150"/>
    <w:p w14:paraId="2583FE8C">
      <w:pPr>
        <w:pStyle w:val="4"/>
        <w:spacing w:line="480" w:lineRule="exact"/>
        <w:jc w:val="center"/>
        <w:rPr>
          <w:rFonts w:hint="eastAsia" w:ascii="宋体" w:hAnsi="宋体" w:eastAsia="宋体" w:cs="宋体"/>
          <w:color w:val="auto"/>
          <w:sz w:val="30"/>
          <w:szCs w:val="30"/>
          <w:highlight w:val="none"/>
        </w:rPr>
      </w:pPr>
      <w:bookmarkStart w:id="168" w:name="_Toc4828"/>
      <w:bookmarkStart w:id="169" w:name="_Toc8056"/>
      <w:bookmarkStart w:id="170" w:name="_Toc7966"/>
      <w:bookmarkStart w:id="171" w:name="_Toc30406"/>
      <w:bookmarkStart w:id="172" w:name="_Toc12051"/>
      <w:bookmarkStart w:id="173" w:name="_Toc10461"/>
      <w:bookmarkStart w:id="174" w:name="_Toc354841320"/>
      <w:bookmarkStart w:id="175" w:name="_Toc783"/>
      <w:bookmarkStart w:id="176" w:name="_Toc7454"/>
      <w:bookmarkStart w:id="177" w:name="_Toc2991"/>
      <w:bookmarkStart w:id="178" w:name="_Toc14625"/>
      <w:bookmarkStart w:id="179" w:name="_Toc1684"/>
      <w:bookmarkStart w:id="180" w:name="_Toc1187"/>
      <w:bookmarkStart w:id="181" w:name="_Toc26810"/>
      <w:bookmarkStart w:id="182" w:name="_Toc26369"/>
      <w:bookmarkStart w:id="183" w:name="_Toc29935"/>
      <w:bookmarkStart w:id="184" w:name="_Toc25151"/>
      <w:bookmarkStart w:id="185" w:name="_Toc18723"/>
      <w:bookmarkStart w:id="186" w:name="_Toc18319"/>
      <w:bookmarkStart w:id="187" w:name="_Toc20688"/>
      <w:bookmarkStart w:id="188" w:name="_Toc296074345"/>
      <w:bookmarkStart w:id="189" w:name="_Toc295737634"/>
      <w:bookmarkStart w:id="190" w:name="_Toc237414013"/>
      <w:bookmarkStart w:id="191" w:name="_Toc256977544"/>
      <w:bookmarkStart w:id="192" w:name="_Toc295910882"/>
      <w:bookmarkStart w:id="193" w:name="_Toc237193456"/>
      <w:bookmarkStart w:id="194" w:name="_Toc237189785"/>
      <w:bookmarkStart w:id="195" w:name="_Toc265065988"/>
      <w:bookmarkStart w:id="196" w:name="_Toc237413918"/>
      <w:bookmarkStart w:id="197" w:name="_Toc237340112"/>
      <w:bookmarkStart w:id="198" w:name="_Toc264211076"/>
      <w:r>
        <w:rPr>
          <w:rFonts w:hint="eastAsia" w:ascii="宋体" w:hAnsi="宋体" w:eastAsia="宋体" w:cs="宋体"/>
          <w:color w:val="auto"/>
          <w:sz w:val="30"/>
          <w:szCs w:val="30"/>
          <w:highlight w:val="none"/>
        </w:rPr>
        <w:t>第四部分  磋商办法及评分标准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537CEE8">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为公正、公平、科学地选择成交供应商，按照《中华人民共和国政府采购法》等有关法律法规的规定，并结合本项目的实际，制定本办法。</w:t>
      </w:r>
    </w:p>
    <w:p w14:paraId="5BCBBA73">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本办法适用本项目的磋商。</w:t>
      </w:r>
    </w:p>
    <w:p w14:paraId="6FF2C097">
      <w:pPr>
        <w:pStyle w:val="43"/>
        <w:adjustRightInd w:val="0"/>
        <w:snapToGrid w:val="0"/>
        <w:spacing w:before="0" w:beforeAutospacing="0" w:after="0" w:afterAutospacing="0"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一、评审纪律和要求</w:t>
      </w:r>
    </w:p>
    <w:p w14:paraId="56DC78D0">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1.评审专家必须公平、公正评审，遵纪守法，客观、廉洁地履行职责。</w:t>
      </w:r>
    </w:p>
    <w:p w14:paraId="756F3B7D">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2.评审专家在评审开始前，应关闭并上交随身携带的各种通信工具。</w:t>
      </w:r>
    </w:p>
    <w:p w14:paraId="48E1FCC5">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3.评审专家在评审过程中，未经许可不得中途离开评审现场，不得迟到早退。</w:t>
      </w:r>
    </w:p>
    <w:p w14:paraId="7395B10C">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4.评审专家和工作人员不得透露评审过程中的讨论情况和评审结果。</w:t>
      </w:r>
    </w:p>
    <w:p w14:paraId="749A96CF">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时，评审专家须按招标文件规定的程序、条件和标准，对供应商竞争性谈判响应文件的合规性、完整性和有效性进行审查、比较和评估，其中对供应商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招标文件要求相偏离的，应对其偏离情形进行必要的核实，并在工作底稿中予以说明；如属于实质性偏离或符合无效竞争性谈判响应文件的，可询问供应商，并允许供应商进行陈述申辩，但不允许其对偏离条款进行补充、修正或撤回</w:t>
      </w:r>
      <w:r>
        <w:rPr>
          <w:rFonts w:hint="eastAsia" w:ascii="宋体" w:hAnsi="宋体" w:eastAsia="宋体" w:cs="宋体"/>
          <w:color w:val="auto"/>
          <w:sz w:val="21"/>
          <w:szCs w:val="21"/>
          <w:highlight w:val="none"/>
        </w:rPr>
        <w:t>。</w:t>
      </w:r>
    </w:p>
    <w:p w14:paraId="4FD401F0">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、采购代理机构不得向评审委员会的评审专家</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倾向性、误导性的解释或者说明。</w:t>
      </w:r>
    </w:p>
    <w:p w14:paraId="4718F23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14:paraId="41B902A8">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8.评审专家在评审过程中不得将自己的观点强加给其他评审专家，评审专家应自主发表见解，对评审意见承担个人责任。</w:t>
      </w:r>
    </w:p>
    <w:p w14:paraId="4B85021E">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
          <w:bCs/>
          <w:color w:val="auto"/>
          <w:sz w:val="21"/>
          <w:szCs w:val="21"/>
          <w:highlight w:val="none"/>
        </w:rPr>
        <w:t>评审结束后，评审委员会应向采购代理机构提交项目评审报告。评审报告是</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确定成交人的合法依据，评审委员会应当如实、客观地反映评审情况，按招标文件的评审办法和细则的规定推荐</w:t>
      </w:r>
      <w:r>
        <w:rPr>
          <w:rFonts w:hint="eastAsia" w:hAnsi="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候选人，说明推荐理由，并重点对</w:t>
      </w:r>
      <w:r>
        <w:rPr>
          <w:rFonts w:hint="eastAsia" w:hAnsi="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候选人的技术、服务和价格等情况进行评价和比较。如排名第一的供应商报价为最高报价的，评审报告中须对其报价的合理性等进行分析和特别说明</w:t>
      </w:r>
      <w:r>
        <w:rPr>
          <w:rFonts w:hint="eastAsia" w:ascii="宋体" w:hAnsi="宋体" w:eastAsia="宋体" w:cs="宋体"/>
          <w:color w:val="auto"/>
          <w:sz w:val="21"/>
          <w:szCs w:val="21"/>
          <w:highlight w:val="none"/>
        </w:rPr>
        <w:t>。</w:t>
      </w:r>
    </w:p>
    <w:p w14:paraId="1A0F682C">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58B2C00">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11.评审专家应当遵守评审工作纪律，不得泄露评审文件、评审情况和评审中获悉的商业秘密。</w:t>
      </w:r>
    </w:p>
    <w:p w14:paraId="01231CF5">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评审委员会在评审过程中发现供应商有行贿、提供虚假材料或者串通等违法行为的，应当及时向财政部门报告。</w:t>
      </w:r>
    </w:p>
    <w:p w14:paraId="4CAE1612">
      <w:pPr>
        <w:autoSpaceDE/>
        <w:autoSpaceDN/>
        <w:snapToGrid w:val="0"/>
        <w:spacing w:line="5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12.招标文件内容违反国家有关强制性规定的，评审委员会应当停止评审并向采购代理机构说明情况。</w:t>
      </w:r>
    </w:p>
    <w:p w14:paraId="519C8A3B">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13.评审专家应当配合采购代理机构答复供应商提出的质疑。</w:t>
      </w:r>
    </w:p>
    <w:p w14:paraId="1B22177D">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14.评审专家应当配合财政部门的投诉处理工作。</w:t>
      </w:r>
    </w:p>
    <w:p w14:paraId="1DA37FF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15.评审专家有如下行为之一的，责令改正，给予警告，可以并处一千元以下的罚款：</w:t>
      </w:r>
    </w:p>
    <w:p w14:paraId="6C837D73">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①明知应当回避而未主动回避的；</w:t>
      </w:r>
    </w:p>
    <w:p w14:paraId="39D4E454">
      <w:pPr>
        <w:autoSpaceDE/>
        <w:autoSpaceDN/>
        <w:snapToGrid w:val="0"/>
        <w:spacing w:line="500" w:lineRule="exact"/>
        <w:ind w:firstLine="376"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pacing w:val="-11"/>
          <w:sz w:val="21"/>
          <w:szCs w:val="21"/>
          <w:highlight w:val="none"/>
        </w:rPr>
        <w:t>②在得知自己为评审专家身份后至评审结束前时段内私下接触供应商的</w:t>
      </w:r>
      <w:r>
        <w:rPr>
          <w:rFonts w:hint="eastAsia" w:ascii="宋体" w:hAnsi="宋体" w:eastAsia="宋体" w:cs="宋体"/>
          <w:color w:val="auto"/>
          <w:sz w:val="21"/>
          <w:szCs w:val="21"/>
          <w:highlight w:val="none"/>
        </w:rPr>
        <w:t>；</w:t>
      </w:r>
    </w:p>
    <w:p w14:paraId="2682E1A6">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③在评审过程中擅离职守，影响评审程序正常进行的；</w:t>
      </w:r>
    </w:p>
    <w:p w14:paraId="04135F93">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④在评审过程有明显不合理或者不正当倾向性的；</w:t>
      </w:r>
    </w:p>
    <w:p w14:paraId="7E4451D0">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⑤未按招标文件规定的评审方法和标准进行评审的。</w:t>
      </w:r>
    </w:p>
    <w:p w14:paraId="4F3FE3E4">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⑥上述①至⑤行为影响</w:t>
      </w:r>
      <w:r>
        <w:rPr>
          <w:rFonts w:hint="eastAsia" w:hAnsi="宋体" w:cs="宋体"/>
          <w:color w:val="auto"/>
          <w:sz w:val="21"/>
          <w:szCs w:val="21"/>
          <w:highlight w:val="none"/>
          <w:lang w:eastAsia="zh-CN"/>
        </w:rPr>
        <w:t>成交</w:t>
      </w:r>
      <w:r>
        <w:rPr>
          <w:rFonts w:hint="eastAsia" w:ascii="宋体" w:hAnsi="宋体" w:eastAsia="宋体" w:cs="宋体"/>
          <w:color w:val="auto"/>
          <w:sz w:val="21"/>
          <w:szCs w:val="21"/>
          <w:highlight w:val="none"/>
        </w:rPr>
        <w:t>结果的，</w:t>
      </w:r>
      <w:r>
        <w:rPr>
          <w:rFonts w:hint="eastAsia" w:hAnsi="宋体" w:cs="宋体"/>
          <w:color w:val="auto"/>
          <w:sz w:val="21"/>
          <w:szCs w:val="21"/>
          <w:highlight w:val="none"/>
          <w:lang w:eastAsia="zh-CN"/>
        </w:rPr>
        <w:t>成交</w:t>
      </w:r>
      <w:r>
        <w:rPr>
          <w:rFonts w:hint="eastAsia" w:ascii="宋体" w:hAnsi="宋体" w:eastAsia="宋体" w:cs="宋体"/>
          <w:color w:val="auto"/>
          <w:sz w:val="21"/>
          <w:szCs w:val="21"/>
          <w:highlight w:val="none"/>
        </w:rPr>
        <w:t>结果无效。</w:t>
      </w:r>
    </w:p>
    <w:p w14:paraId="25BD51D9">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93D2DF1">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政府采购评审专家与供应商存在利害关系未回避的，处2万元以上5万元以下的罚款，禁止其参加政府采购评审活动。</w:t>
      </w:r>
    </w:p>
    <w:p w14:paraId="5A95F16D">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政府采购评审专家收受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、采购代理机构、供应商贿赂或者获取其他不正当利益，构成犯罪的，依法追究刑事责任；尚不构成犯罪的，处2万元以上5万元以下的罚款，禁止其参加政府采购评审活动。</w:t>
      </w:r>
    </w:p>
    <w:p w14:paraId="75BD3FE6">
      <w:pPr>
        <w:autoSpaceDE/>
        <w:autoSpaceDN/>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政府采购评审专家有上述违法行为的，其评审意见无效，不得获取评审费；有违法所得的，没收违法所得；给他人造成损失的，依法承担民事责任。</w:t>
      </w:r>
    </w:p>
    <w:p w14:paraId="1454F9D3">
      <w:pPr>
        <w:pStyle w:val="43"/>
        <w:adjustRightInd w:val="0"/>
        <w:snapToGrid w:val="0"/>
        <w:spacing w:before="0" w:beforeAutospacing="0" w:after="0" w:afterAutospacing="0"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二、评标定标时对政府采购政策的落实要求</w:t>
      </w:r>
    </w:p>
    <w:p w14:paraId="24BCC992">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1.采购项目需要落实的政府采购政策</w:t>
      </w:r>
    </w:p>
    <w:p w14:paraId="50D6B6E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本项目原则上采购本国生产的货物、工程和服务，不允许采购进口产品。除非</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、采购机构不会对其加以限制，仍将按照公平竞争原则实施采购）。</w:t>
      </w:r>
    </w:p>
    <w:p w14:paraId="2D3AC9FD">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支持绿色发展</w:t>
      </w:r>
    </w:p>
    <w:p w14:paraId="5206EFC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拟采购的产品属于品目清单范围的，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拟采购的产品属于政府强制采购的节能产品品目清单范围的，供应商未按采购文件要求提供国家确定的认证机构出具的、处于有效期之内的节能产品认证证书的，投标无效。</w:t>
      </w:r>
    </w:p>
    <w:p w14:paraId="17A9A51C">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86B248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1.3支持中小企业发展</w:t>
      </w:r>
    </w:p>
    <w:p w14:paraId="2B61CF94">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229E4037">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6B341F2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1.3.2在政府采购活动中，供应商提供的货物、工程或者服务符合下列情形的，享受中小企业扶持政策：</w:t>
      </w:r>
    </w:p>
    <w:p w14:paraId="37995B6C">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1.3.2.1在货物采购项目中，货物由中小企业制造，即货物由中小企业生产且使用该中小企业商号或者注册商标；</w:t>
      </w:r>
    </w:p>
    <w:p w14:paraId="1D4C3AE2">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1.3.2.2在工程采购项目中，工程由中小企业承建，即工程施工单位为中小企业；</w:t>
      </w:r>
    </w:p>
    <w:p w14:paraId="040D266E">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1.3.2.3在服务采购项目中，服务由中小企业承接，即提供服务的人员为中小企业依照《中华人民共和国劳动合同法》订立劳动合同的从业人员。</w:t>
      </w:r>
    </w:p>
    <w:p w14:paraId="33EF8788">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14:paraId="0F7F163D">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64EF486F">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582B01C">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1.3.4符合《关于促进残疾人就业政府采购政策的通知》（财库〔2017〕141号）规定的条件并提供《残疾人福利性单位声明函》的残疾人福利性单位视同小型、微型企业；</w:t>
      </w:r>
    </w:p>
    <w:p w14:paraId="61F43137">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614C85">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BBA2BF0">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1.3.7中小企业享受扶持政策获得政府采购合同的，小微企业不得将合同分包给大中型企业，中型企业不得将合同分包给大型企业。</w:t>
      </w:r>
    </w:p>
    <w:p w14:paraId="650F47E4">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1.4支持创新发展</w:t>
      </w:r>
    </w:p>
    <w:p w14:paraId="220790EF">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优先采购被认定为首台套产品和“制造精品”的自主创新产品。</w:t>
      </w:r>
    </w:p>
    <w:p w14:paraId="590BB9D9">
      <w:pPr>
        <w:pStyle w:val="43"/>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color w:val="auto"/>
          <w:sz w:val="21"/>
          <w:szCs w:val="21"/>
          <w:highlight w:val="none"/>
        </w:rPr>
        <w:t>。</w:t>
      </w:r>
    </w:p>
    <w:p w14:paraId="0A6F7190">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bookmarkStart w:id="199" w:name="_Toc15807"/>
      <w:r>
        <w:rPr>
          <w:rFonts w:hint="eastAsia" w:ascii="宋体" w:hAnsi="宋体" w:eastAsia="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，所称的政府采购信用融资，是指银行业金融机构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以下简称银行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以政府采购诚信考核和信用审查为基础，凭借政府采购合同，按优于一般中小企业的贷款利率直接向申请贷款的供应商发放贷款的一种融资方式。供应商</w:t>
      </w:r>
      <w:r>
        <w:rPr>
          <w:rFonts w:hint="eastAsia" w:ascii="宋体" w:hAnsi="宋体" w:eastAsia="宋体" w:cs="宋体"/>
          <w:color w:val="auto"/>
          <w:sz w:val="21"/>
          <w:szCs w:val="21"/>
          <w:highlight w:val="none"/>
          <w:lang w:eastAsia="zh-CN"/>
        </w:rPr>
        <w:t>可登录</w:t>
      </w:r>
      <w:r>
        <w:rPr>
          <w:rFonts w:hint="eastAsia" w:ascii="宋体" w:hAnsi="宋体" w:eastAsia="宋体" w:cs="宋体"/>
          <w:color w:val="auto"/>
          <w:sz w:val="21"/>
          <w:szCs w:val="21"/>
          <w:highlight w:val="none"/>
        </w:rPr>
        <w:t>浙江政府采购</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https://zfcg. czt.zj. gov.cn/</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 xml:space="preserve">的中小企业信用融资栏目了解相关信息。 </w:t>
      </w:r>
      <w:r>
        <w:rPr>
          <w:rFonts w:hint="eastAsia" w:ascii="宋体" w:hAnsi="宋体" w:eastAsia="宋体" w:cs="宋体"/>
          <w:bCs/>
          <w:color w:val="auto"/>
          <w:sz w:val="21"/>
          <w:szCs w:val="21"/>
          <w:highlight w:val="none"/>
        </w:rPr>
        <w:t>供应商可以通过浙江政府采购网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https://zfcg. czt.zj. 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首页的“政采云金融服务”模块进入申请，还可以通过政府采购云平台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https://www.zcygov.cn/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首页的“金融服务”模块进入申请。</w:t>
      </w:r>
      <w:bookmarkEnd w:id="199"/>
    </w:p>
    <w:p w14:paraId="18D73F5D">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bookmarkStart w:id="200" w:name="_Toc3994"/>
      <w:r>
        <w:rPr>
          <w:rFonts w:hint="eastAsia" w:ascii="宋体" w:hAnsi="宋体" w:eastAsia="宋体" w:cs="宋体"/>
          <w:b/>
          <w:color w:val="auto"/>
          <w:sz w:val="21"/>
          <w:szCs w:val="21"/>
          <w:highlight w:val="none"/>
        </w:rPr>
        <w:t>三、磋商内容及标准</w:t>
      </w:r>
      <w:bookmarkEnd w:id="200"/>
    </w:p>
    <w:p w14:paraId="57376E80">
      <w:pPr>
        <w:autoSpaceDE/>
        <w:autoSpaceDN/>
        <w:adjustRightInd/>
        <w:spacing w:line="50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1.本次磋商采用综合评分法</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总分为100分，</w:t>
      </w:r>
      <w:r>
        <w:rPr>
          <w:rFonts w:hint="eastAsia" w:ascii="宋体" w:hAnsi="宋体" w:eastAsia="宋体" w:cs="宋体"/>
          <w:b/>
          <w:bCs/>
          <w:color w:val="auto"/>
          <w:sz w:val="21"/>
          <w:szCs w:val="21"/>
          <w:highlight w:val="none"/>
          <w:lang w:val="en-US" w:eastAsia="zh-CN"/>
        </w:rPr>
        <w:t>由</w:t>
      </w:r>
      <w:r>
        <w:rPr>
          <w:rFonts w:hint="eastAsia" w:ascii="宋体" w:hAnsi="宋体" w:eastAsia="宋体" w:cs="宋体"/>
          <w:b/>
          <w:bCs/>
          <w:color w:val="auto"/>
          <w:sz w:val="21"/>
          <w:szCs w:val="21"/>
          <w:highlight w:val="none"/>
        </w:rPr>
        <w:t>价格分（磋商报价得分）</w:t>
      </w:r>
      <w:r>
        <w:rPr>
          <w:rFonts w:hint="eastAsia" w:hAnsi="宋体" w:cs="宋体"/>
          <w:b/>
          <w:bCs/>
          <w:color w:val="auto"/>
          <w:sz w:val="21"/>
          <w:szCs w:val="21"/>
          <w:highlight w:val="none"/>
          <w:lang w:eastAsia="zh-CN"/>
        </w:rPr>
        <w:t>15</w:t>
      </w:r>
      <w:r>
        <w:rPr>
          <w:rFonts w:hint="eastAsia" w:hAnsi="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rPr>
        <w:t>、技术商务分</w:t>
      </w:r>
      <w:r>
        <w:rPr>
          <w:rFonts w:hint="eastAsia" w:hAnsi="宋体" w:cs="宋体"/>
          <w:b/>
          <w:bCs/>
          <w:color w:val="auto"/>
          <w:sz w:val="21"/>
          <w:szCs w:val="21"/>
          <w:highlight w:val="none"/>
          <w:lang w:eastAsia="zh-CN"/>
        </w:rPr>
        <w:t>85</w:t>
      </w:r>
      <w:r>
        <w:rPr>
          <w:rFonts w:hint="eastAsia" w:hAnsi="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rPr>
        <w:t>二部分</w:t>
      </w:r>
      <w:r>
        <w:rPr>
          <w:rFonts w:hint="eastAsia" w:ascii="宋体" w:hAnsi="宋体" w:eastAsia="宋体" w:cs="宋体"/>
          <w:b/>
          <w:bCs/>
          <w:color w:val="auto"/>
          <w:sz w:val="21"/>
          <w:szCs w:val="21"/>
          <w:highlight w:val="none"/>
          <w:lang w:val="en-US" w:eastAsia="zh-CN"/>
        </w:rPr>
        <w:t>组成</w:t>
      </w:r>
      <w:r>
        <w:rPr>
          <w:rFonts w:hint="eastAsia" w:ascii="宋体" w:hAnsi="宋体" w:eastAsia="宋体" w:cs="宋体"/>
          <w:color w:val="auto"/>
          <w:sz w:val="21"/>
          <w:szCs w:val="21"/>
          <w:highlight w:val="none"/>
        </w:rPr>
        <w:t>。合格响应供应商的磋商得分为各项目汇总得分，成交候选资格按磋商汇总得分由高到低顺序排列；汇总得分相同的，按价格分</w:t>
      </w:r>
      <w:r>
        <w:rPr>
          <w:rFonts w:hint="eastAsia" w:hAnsi="宋体" w:cs="宋体"/>
          <w:color w:val="auto"/>
          <w:sz w:val="21"/>
          <w:szCs w:val="21"/>
          <w:highlight w:val="none"/>
          <w:lang w:val="en-US" w:eastAsia="zh-CN"/>
        </w:rPr>
        <w:t>得分</w:t>
      </w:r>
      <w:r>
        <w:rPr>
          <w:rFonts w:hint="eastAsia" w:ascii="宋体" w:hAnsi="宋体" w:eastAsia="宋体" w:cs="宋体"/>
          <w:color w:val="auto"/>
          <w:sz w:val="21"/>
          <w:szCs w:val="21"/>
          <w:highlight w:val="none"/>
        </w:rPr>
        <w:t>由高到低顺序排列。排名第一的响应供应商为成交候选人，排名第二的响应供应商为候补成交候选人其他响应供应商成交候选资格</w:t>
      </w:r>
      <w:r>
        <w:rPr>
          <w:rFonts w:hint="eastAsia" w:ascii="宋体" w:hAnsi="宋体" w:eastAsia="宋体" w:cs="宋体"/>
          <w:color w:val="auto"/>
          <w:sz w:val="21"/>
          <w:szCs w:val="21"/>
          <w:highlight w:val="none"/>
          <w:lang w:eastAsia="zh-CN"/>
        </w:rPr>
        <w:t>以此类推</w:t>
      </w:r>
      <w:r>
        <w:rPr>
          <w:rFonts w:hint="eastAsia" w:ascii="宋体" w:hAnsi="宋体" w:eastAsia="宋体" w:cs="宋体"/>
          <w:color w:val="auto"/>
          <w:sz w:val="21"/>
          <w:szCs w:val="21"/>
          <w:highlight w:val="none"/>
        </w:rPr>
        <w:t>。评分过程中采用四舍五入法，并保留小数2位。</w:t>
      </w:r>
    </w:p>
    <w:p w14:paraId="79D86AF4">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响应供应商磋商综合得分=价格分+技术商务分</w:t>
      </w:r>
    </w:p>
    <w:p w14:paraId="4D95D39A">
      <w:pPr>
        <w:autoSpaceDE/>
        <w:autoSpaceDN/>
        <w:adjustRightInd/>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2.价格分</w:t>
      </w:r>
      <w:r>
        <w:rPr>
          <w:rFonts w:hint="eastAsia" w:ascii="宋体" w:hAnsi="宋体" w:eastAsia="宋体" w:cs="宋体"/>
          <w:b/>
          <w:color w:val="auto"/>
          <w:sz w:val="21"/>
          <w:szCs w:val="21"/>
          <w:highlight w:val="none"/>
          <w:lang w:eastAsia="zh-CN"/>
        </w:rPr>
        <w:t>：</w:t>
      </w:r>
    </w:p>
    <w:p w14:paraId="73E8D6DB">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价格分采用低价优先法计算，即：以满足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文件要求且进行了政策性价格扣除后，以评审价格的最低价者定为</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基准价，其价格分为满分。其他合格响应供应商的价格分统一按照下列公式计算：</w:t>
      </w:r>
    </w:p>
    <w:p w14:paraId="4B7C6E28">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其他合格响应供应商的价格分=（</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基准价/</w:t>
      </w:r>
      <w:r>
        <w:rPr>
          <w:rFonts w:hint="eastAsia" w:ascii="宋体" w:hAnsi="宋体" w:eastAsia="宋体" w:cs="宋体"/>
          <w:b w:val="0"/>
          <w:color w:val="auto"/>
          <w:sz w:val="21"/>
          <w:szCs w:val="21"/>
          <w:highlight w:val="none"/>
        </w:rPr>
        <w:t>该供应商的</w:t>
      </w:r>
      <w:r>
        <w:rPr>
          <w:rFonts w:hint="eastAsia" w:ascii="宋体" w:hAnsi="宋体" w:eastAsia="宋体" w:cs="宋体"/>
          <w:color w:val="auto"/>
          <w:sz w:val="21"/>
          <w:szCs w:val="21"/>
          <w:highlight w:val="none"/>
        </w:rPr>
        <w:t>评审价格）×</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%×100</w:t>
      </w:r>
    </w:p>
    <w:p w14:paraId="580D3B57">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color w:val="auto"/>
          <w:sz w:val="21"/>
          <w:szCs w:val="21"/>
          <w:highlight w:val="none"/>
        </w:rPr>
        <w:t>价格评审过程中，评标委员会认为</w:t>
      </w:r>
      <w:r>
        <w:rPr>
          <w:rFonts w:hint="eastAsia" w:ascii="宋体" w:hAnsi="宋体" w:eastAsia="宋体" w:cs="宋体"/>
          <w:color w:val="auto"/>
          <w:sz w:val="21"/>
          <w:szCs w:val="21"/>
          <w:highlight w:val="none"/>
        </w:rPr>
        <w:t>响应</w:t>
      </w:r>
      <w:r>
        <w:rPr>
          <w:rFonts w:hint="eastAsia"/>
          <w:color w:val="auto"/>
          <w:sz w:val="21"/>
          <w:szCs w:val="21"/>
          <w:highlight w:val="none"/>
          <w:lang w:val="en-US" w:eastAsia="zh-CN"/>
        </w:rPr>
        <w:t>供应商</w:t>
      </w:r>
      <w:r>
        <w:rPr>
          <w:rFonts w:hint="eastAsia"/>
          <w:color w:val="auto"/>
          <w:sz w:val="21"/>
          <w:szCs w:val="21"/>
          <w:highlight w:val="none"/>
        </w:rPr>
        <w:t>的报价明显低于其他通过符合性审查</w:t>
      </w:r>
      <w:r>
        <w:rPr>
          <w:rFonts w:hint="eastAsia" w:ascii="宋体" w:hAnsi="宋体" w:eastAsia="宋体" w:cs="宋体"/>
          <w:color w:val="auto"/>
          <w:sz w:val="21"/>
          <w:szCs w:val="21"/>
          <w:highlight w:val="none"/>
        </w:rPr>
        <w:t>响应</w:t>
      </w:r>
      <w:r>
        <w:rPr>
          <w:rFonts w:hint="eastAsia"/>
          <w:color w:val="auto"/>
          <w:sz w:val="21"/>
          <w:szCs w:val="21"/>
          <w:highlight w:val="none"/>
          <w:lang w:val="en-US" w:eastAsia="zh-CN"/>
        </w:rPr>
        <w:t>供应商</w:t>
      </w:r>
      <w:r>
        <w:rPr>
          <w:rFonts w:hint="eastAsia"/>
          <w:color w:val="auto"/>
          <w:sz w:val="21"/>
          <w:szCs w:val="21"/>
          <w:highlight w:val="none"/>
        </w:rPr>
        <w:t>的报价且报价低于项目预算50%时，有可能影响产品（或服务）质量或者不能诚信履约的，应当要求其在评标现场合理的时间内提供书面说明，以详细阐述不影响产品（或服务）质量或者诚信履约的具体原因，必要时提交相关证明材料；</w:t>
      </w:r>
      <w:r>
        <w:rPr>
          <w:rFonts w:hint="eastAsia" w:ascii="宋体" w:hAnsi="宋体" w:eastAsia="宋体" w:cs="宋体"/>
          <w:color w:val="auto"/>
          <w:sz w:val="21"/>
          <w:szCs w:val="21"/>
          <w:highlight w:val="none"/>
        </w:rPr>
        <w:t>响应</w:t>
      </w:r>
      <w:r>
        <w:rPr>
          <w:rFonts w:hint="eastAsia"/>
          <w:color w:val="auto"/>
          <w:sz w:val="21"/>
          <w:szCs w:val="21"/>
          <w:highlight w:val="none"/>
          <w:lang w:val="en-US" w:eastAsia="zh-CN"/>
        </w:rPr>
        <w:t>供应商</w:t>
      </w:r>
      <w:r>
        <w:rPr>
          <w:rFonts w:hint="eastAsia"/>
          <w:color w:val="auto"/>
          <w:sz w:val="21"/>
          <w:szCs w:val="21"/>
          <w:highlight w:val="none"/>
        </w:rPr>
        <w:t>不能证明其报价合理性的，评标委员会应当将其作为无效投标处理。在有效</w:t>
      </w:r>
      <w:r>
        <w:rPr>
          <w:rFonts w:hint="eastAsia" w:ascii="宋体" w:hAnsi="宋体" w:eastAsia="宋体" w:cs="宋体"/>
          <w:color w:val="auto"/>
          <w:sz w:val="21"/>
          <w:szCs w:val="21"/>
          <w:highlight w:val="none"/>
        </w:rPr>
        <w:t>响应</w:t>
      </w:r>
      <w:r>
        <w:rPr>
          <w:rFonts w:hint="eastAsia"/>
          <w:color w:val="auto"/>
          <w:sz w:val="21"/>
          <w:szCs w:val="21"/>
          <w:highlight w:val="none"/>
          <w:lang w:val="en-US" w:eastAsia="zh-CN"/>
        </w:rPr>
        <w:t>供应商</w:t>
      </w:r>
      <w:r>
        <w:rPr>
          <w:rFonts w:hint="eastAsia"/>
          <w:color w:val="auto"/>
          <w:sz w:val="21"/>
          <w:szCs w:val="21"/>
          <w:highlight w:val="none"/>
        </w:rPr>
        <w:t>数满足法定人数的前提下，评标委员会依次确定满足</w:t>
      </w:r>
      <w:r>
        <w:rPr>
          <w:rFonts w:hint="eastAsia"/>
          <w:color w:val="auto"/>
          <w:sz w:val="21"/>
          <w:szCs w:val="21"/>
          <w:highlight w:val="none"/>
          <w:lang w:val="en-US" w:eastAsia="zh-CN"/>
        </w:rPr>
        <w:t>磋商采购</w:t>
      </w:r>
      <w:r>
        <w:rPr>
          <w:rFonts w:hint="eastAsia"/>
          <w:color w:val="auto"/>
          <w:sz w:val="21"/>
          <w:szCs w:val="21"/>
          <w:highlight w:val="none"/>
        </w:rPr>
        <w:t>文件要求且</w:t>
      </w:r>
      <w:r>
        <w:rPr>
          <w:rFonts w:hint="eastAsia" w:ascii="宋体" w:hAnsi="宋体" w:eastAsia="宋体" w:cs="宋体"/>
          <w:color w:val="auto"/>
          <w:sz w:val="21"/>
          <w:szCs w:val="21"/>
          <w:highlight w:val="none"/>
        </w:rPr>
        <w:t>最终磋商报价</w:t>
      </w:r>
      <w:r>
        <w:rPr>
          <w:rFonts w:hint="eastAsia"/>
          <w:color w:val="auto"/>
          <w:sz w:val="21"/>
          <w:szCs w:val="21"/>
          <w:highlight w:val="none"/>
        </w:rPr>
        <w:t>最低的有效报价为评标基准价</w:t>
      </w:r>
      <w:r>
        <w:rPr>
          <w:rFonts w:hint="eastAsia" w:ascii="宋体" w:hAnsi="宋体" w:eastAsia="宋体" w:cs="宋体"/>
          <w:color w:val="auto"/>
          <w:sz w:val="21"/>
          <w:szCs w:val="21"/>
          <w:highlight w:val="none"/>
        </w:rPr>
        <w:t>。</w:t>
      </w:r>
    </w:p>
    <w:p w14:paraId="2568F59B">
      <w:pPr>
        <w:autoSpaceDE/>
        <w:autoSpaceDN/>
        <w:adjustRightInd/>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报价超过采购人设定的上限价（即：预算金额</w:t>
      </w:r>
      <w:r>
        <w:rPr>
          <w:rFonts w:hint="eastAsia" w:hAnsi="宋体" w:cs="宋体"/>
          <w:color w:val="auto"/>
          <w:sz w:val="21"/>
          <w:szCs w:val="21"/>
          <w:highlight w:val="none"/>
          <w:lang w:val="en-US" w:eastAsia="zh-CN"/>
        </w:rPr>
        <w:t>人民币306万元</w:t>
      </w:r>
      <w:r>
        <w:rPr>
          <w:rFonts w:hint="eastAsia" w:ascii="宋体" w:hAnsi="宋体" w:eastAsia="宋体" w:cs="宋体"/>
          <w:color w:val="auto"/>
          <w:sz w:val="21"/>
          <w:szCs w:val="21"/>
          <w:highlight w:val="none"/>
        </w:rPr>
        <w:t>），按投标无效处理。</w:t>
      </w:r>
    </w:p>
    <w:p w14:paraId="07723211">
      <w:pPr>
        <w:autoSpaceDE/>
        <w:autoSpaceDN/>
        <w:adjustRightInd/>
        <w:spacing w:line="46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依照《政府采购促进中小企业发展管理办法》、《国务院关于印发扎实稳住经济一揽子政策措施的通知》、《浙江省财政厅关于进一步发挥政府采购政策功能全力推动经济稳进提质的通知》、《财政部 民政部 中国残疾人联合会关于促进残疾人就业政府采购政策的通知》（财库〔2017〕141号）、《财政部、司法部关于政府采购支持监狱企业发展有关问题的通知》（财库〔2014〕68号）的规定，对符合相关要求的有效</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，按照以下比例给予相应的价格扣除，以确定该</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的报价评审价格：</w:t>
      </w:r>
    </w:p>
    <w:tbl>
      <w:tblPr>
        <w:tblStyle w:val="47"/>
        <w:tblW w:w="9165" w:type="dxa"/>
        <w:jc w:val="center"/>
        <w:tblLayout w:type="fixed"/>
        <w:tblCellMar>
          <w:top w:w="0" w:type="dxa"/>
          <w:left w:w="108" w:type="dxa"/>
          <w:bottom w:w="0" w:type="dxa"/>
          <w:right w:w="108" w:type="dxa"/>
        </w:tblCellMar>
      </w:tblPr>
      <w:tblGrid>
        <w:gridCol w:w="728"/>
        <w:gridCol w:w="4615"/>
        <w:gridCol w:w="970"/>
        <w:gridCol w:w="2852"/>
      </w:tblGrid>
      <w:tr w14:paraId="2707ECE1">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14:paraId="1F5D692F">
            <w:pPr>
              <w:snapToGrid w:val="0"/>
              <w:spacing w:line="460" w:lineRule="exact"/>
              <w:ind w:left="149"/>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序号</w:t>
            </w:r>
          </w:p>
        </w:tc>
        <w:tc>
          <w:tcPr>
            <w:tcW w:w="4615"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37C62826">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情形</w:t>
            </w:r>
          </w:p>
        </w:tc>
        <w:tc>
          <w:tcPr>
            <w:tcW w:w="970"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10F0315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评审价格扣除比例</w:t>
            </w:r>
          </w:p>
        </w:tc>
        <w:tc>
          <w:tcPr>
            <w:tcW w:w="2852"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14:paraId="0821405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计算公式</w:t>
            </w:r>
          </w:p>
        </w:tc>
      </w:tr>
      <w:tr w14:paraId="5C90EEFA">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1FCB588">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w:t>
            </w:r>
          </w:p>
        </w:tc>
        <w:tc>
          <w:tcPr>
            <w:tcW w:w="461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AD3CC91">
            <w:pPr>
              <w:snapToGrid w:val="0"/>
              <w:spacing w:line="460" w:lineRule="exact"/>
              <w:rPr>
                <w:rFonts w:hint="eastAsia" w:ascii="宋体" w:hAnsi="宋体" w:eastAsia="宋体" w:cs="宋体"/>
                <w:color w:val="auto"/>
                <w:spacing w:val="-1"/>
                <w:kern w:val="2"/>
                <w:sz w:val="21"/>
                <w:szCs w:val="21"/>
                <w:highlight w:val="none"/>
              </w:rPr>
            </w:pPr>
            <w:r>
              <w:rPr>
                <w:rFonts w:hint="eastAsia" w:hAnsi="宋体" w:cs="宋体"/>
                <w:color w:val="auto"/>
                <w:spacing w:val="-1"/>
                <w:sz w:val="21"/>
                <w:szCs w:val="21"/>
                <w:highlight w:val="none"/>
              </w:rPr>
              <w:t>服务全部</w:t>
            </w:r>
            <w:r>
              <w:rPr>
                <w:rFonts w:hint="eastAsia" w:hAnsi="宋体" w:cs="宋体"/>
                <w:color w:val="auto"/>
                <w:sz w:val="21"/>
                <w:szCs w:val="21"/>
                <w:highlight w:val="none"/>
              </w:rPr>
              <w:t>由小型或微型企业承接，即提供服务的人员为小型或微型企业依照《中华人民共和国劳动合同法》订立劳动合同的从业人员</w:t>
            </w:r>
          </w:p>
        </w:tc>
        <w:tc>
          <w:tcPr>
            <w:tcW w:w="97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2C27CB8">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rPr>
              <w:t>%</w:t>
            </w:r>
          </w:p>
        </w:tc>
        <w:tc>
          <w:tcPr>
            <w:tcW w:w="285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5F5F7BB">
            <w:pPr>
              <w:snapToGrid w:val="0"/>
              <w:spacing w:line="460" w:lineRule="exact"/>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评审价格＝</w:t>
            </w:r>
            <w:r>
              <w:rPr>
                <w:rFonts w:hint="eastAsia" w:ascii="宋体" w:hAnsi="宋体" w:eastAsia="宋体" w:cs="宋体"/>
                <w:color w:val="auto"/>
                <w:spacing w:val="-1"/>
                <w:sz w:val="21"/>
                <w:szCs w:val="21"/>
                <w:highlight w:val="none"/>
                <w:lang w:val="en-US" w:eastAsia="zh-CN"/>
              </w:rPr>
              <w:t>最后磋商</w:t>
            </w:r>
            <w:r>
              <w:rPr>
                <w:rFonts w:hint="eastAsia" w:ascii="宋体" w:hAnsi="宋体" w:eastAsia="宋体" w:cs="宋体"/>
                <w:color w:val="auto"/>
                <w:spacing w:val="-1"/>
                <w:sz w:val="21"/>
                <w:szCs w:val="21"/>
                <w:highlight w:val="none"/>
              </w:rPr>
              <w:t>报价×(1-</w:t>
            </w:r>
            <w:r>
              <w:rPr>
                <w:rFonts w:hint="eastAsia" w:ascii="宋体" w:hAnsi="宋体" w:eastAsia="宋体" w:cs="宋体"/>
                <w:color w:val="auto"/>
                <w:spacing w:val="-1"/>
                <w:sz w:val="21"/>
                <w:szCs w:val="21"/>
                <w:highlight w:val="none"/>
                <w:lang w:val="en-US" w:eastAsia="zh-CN"/>
              </w:rPr>
              <w:t>10</w:t>
            </w:r>
            <w:r>
              <w:rPr>
                <w:rFonts w:hint="eastAsia" w:ascii="宋体" w:hAnsi="宋体" w:eastAsia="宋体" w:cs="宋体"/>
                <w:color w:val="auto"/>
                <w:spacing w:val="-1"/>
                <w:sz w:val="21"/>
                <w:szCs w:val="21"/>
                <w:highlight w:val="none"/>
              </w:rPr>
              <w:t>%)</w:t>
            </w:r>
          </w:p>
        </w:tc>
      </w:tr>
    </w:tbl>
    <w:p w14:paraId="672610CA">
      <w:pPr>
        <w:pStyle w:val="2"/>
        <w:adjustRightInd w:val="0"/>
        <w:snapToGrid w:val="0"/>
        <w:spacing w:after="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w:t>
      </w:r>
      <w:r>
        <w:rPr>
          <w:rFonts w:hint="eastAsia" w:hAnsi="宋体" w:cs="宋体"/>
          <w:color w:val="auto"/>
          <w:kern w:val="2"/>
          <w:sz w:val="21"/>
          <w:szCs w:val="21"/>
          <w:highlight w:val="none"/>
        </w:rPr>
        <w:t>服务全部由大型或中型企业承接的，不享受以上评审价格扣除优惠</w:t>
      </w:r>
      <w:r>
        <w:rPr>
          <w:rFonts w:hint="eastAsia" w:ascii="宋体" w:hAnsi="宋体" w:eastAsia="宋体" w:cs="宋体"/>
          <w:color w:val="auto"/>
          <w:sz w:val="21"/>
          <w:szCs w:val="21"/>
          <w:highlight w:val="none"/>
        </w:rPr>
        <w:t>；②“中小企业”是指在中华人民共和国境内依法设立，依据国务院批准的中小企业划分标准确定的中型企业、小型企业和微型企业，但与大企业的负责人为同一人，或者与大企业存在直接控股、管理关系的除外；本项目采购标的对应的中小企业划分标准所属行业为中小企业划型标准规定（工信部联企业〔2011〕300号）中的</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文化、体育和娱乐业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行业；③符合中小企业划分标准的个体工商户，在本项目采购活动中视同中小企业；④残疾人福利性单位或监狱企业视同小型、微型企业执行。</w:t>
      </w:r>
    </w:p>
    <w:p w14:paraId="66D5CDFD">
      <w:pPr>
        <w:pStyle w:val="2"/>
        <w:numPr>
          <w:ilvl w:val="0"/>
          <w:numId w:val="4"/>
        </w:numPr>
        <w:adjustRightInd w:val="0"/>
        <w:snapToGrid w:val="0"/>
        <w:spacing w:after="0" w:line="500" w:lineRule="exact"/>
        <w:ind w:left="0" w:leftChars="0" w:firstLine="422" w:firstLineChars="200"/>
        <w:outlineLvl w:val="9"/>
        <w:rPr>
          <w:rFonts w:hint="eastAsia" w:ascii="宋体" w:hAnsi="宋体" w:eastAsia="宋体" w:cs="宋体"/>
          <w:b/>
          <w:color w:val="auto"/>
          <w:highlight w:val="none"/>
          <w:lang w:eastAsia="zh-CN"/>
        </w:rPr>
      </w:pPr>
      <w:r>
        <w:rPr>
          <w:rFonts w:hint="eastAsia" w:ascii="宋体" w:hAnsi="宋体" w:eastAsia="宋体" w:cs="宋体"/>
          <w:b/>
          <w:color w:val="auto"/>
          <w:highlight w:val="none"/>
        </w:rPr>
        <w:t>技术商务分评分标准</w:t>
      </w:r>
      <w:r>
        <w:rPr>
          <w:rFonts w:hint="eastAsia" w:ascii="宋体" w:hAnsi="宋体" w:eastAsia="宋体" w:cs="宋体"/>
          <w:b/>
          <w:color w:val="auto"/>
          <w:highlight w:val="none"/>
          <w:lang w:eastAsia="zh-CN"/>
        </w:rPr>
        <w:t>（</w:t>
      </w:r>
      <w:r>
        <w:rPr>
          <w:rFonts w:hint="eastAsia" w:ascii="宋体" w:hAnsi="宋体" w:cs="宋体"/>
          <w:b/>
          <w:color w:val="auto"/>
          <w:highlight w:val="none"/>
          <w:lang w:val="en-US" w:eastAsia="zh-CN"/>
        </w:rPr>
        <w:t>85分</w:t>
      </w:r>
      <w:r>
        <w:rPr>
          <w:rFonts w:hint="eastAsia" w:ascii="宋体" w:hAnsi="宋体" w:eastAsia="宋体" w:cs="宋体"/>
          <w:b/>
          <w:color w:val="auto"/>
          <w:highlight w:val="none"/>
          <w:lang w:eastAsia="zh-CN"/>
        </w:rPr>
        <w:t>）</w:t>
      </w:r>
    </w:p>
    <w:tbl>
      <w:tblPr>
        <w:tblStyle w:val="47"/>
        <w:tblW w:w="9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110"/>
        <w:gridCol w:w="6997"/>
        <w:gridCol w:w="1043"/>
      </w:tblGrid>
      <w:tr w14:paraId="32372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8D2DB2C">
            <w:pPr>
              <w:pStyle w:val="3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tcBorders>
              <w:top w:val="single" w:color="auto" w:sz="4" w:space="0"/>
              <w:left w:val="single" w:color="auto" w:sz="4" w:space="0"/>
              <w:bottom w:val="single" w:color="auto" w:sz="4" w:space="0"/>
              <w:right w:val="single" w:color="auto" w:sz="4" w:space="0"/>
            </w:tcBorders>
            <w:vAlign w:val="center"/>
          </w:tcPr>
          <w:p w14:paraId="68810939">
            <w:pPr>
              <w:pStyle w:val="3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997" w:type="dxa"/>
            <w:tcBorders>
              <w:top w:val="single" w:color="auto" w:sz="4" w:space="0"/>
              <w:left w:val="single" w:color="auto" w:sz="4" w:space="0"/>
              <w:bottom w:val="single" w:color="auto" w:sz="4" w:space="0"/>
              <w:right w:val="single" w:color="auto" w:sz="4" w:space="0"/>
            </w:tcBorders>
            <w:vAlign w:val="center"/>
          </w:tcPr>
          <w:p w14:paraId="44DAA0D1">
            <w:pPr>
              <w:pStyle w:val="3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32A3EE39">
            <w:pPr>
              <w:pStyle w:val="3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分值</w:t>
            </w:r>
          </w:p>
        </w:tc>
      </w:tr>
      <w:tr w14:paraId="007F3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670" w:type="dxa"/>
            <w:vMerge w:val="restart"/>
            <w:tcBorders>
              <w:top w:val="single" w:color="auto" w:sz="4" w:space="0"/>
              <w:left w:val="single" w:color="auto" w:sz="4" w:space="0"/>
              <w:right w:val="single" w:color="auto" w:sz="4" w:space="0"/>
            </w:tcBorders>
            <w:vAlign w:val="center"/>
          </w:tcPr>
          <w:p w14:paraId="3E70CBEB">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p>
        </w:tc>
        <w:tc>
          <w:tcPr>
            <w:tcW w:w="1110" w:type="dxa"/>
            <w:vMerge w:val="restart"/>
            <w:tcBorders>
              <w:top w:val="single" w:color="auto" w:sz="4" w:space="0"/>
              <w:left w:val="single" w:color="auto" w:sz="4" w:space="0"/>
              <w:right w:val="single" w:color="auto" w:sz="4" w:space="0"/>
            </w:tcBorders>
            <w:vAlign w:val="center"/>
          </w:tcPr>
          <w:p w14:paraId="5C63336D">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赛事活动的组织实施方案</w:t>
            </w:r>
            <w:r>
              <w:rPr>
                <w:rFonts w:hint="eastAsia" w:ascii="宋体" w:hAnsi="宋体" w:eastAsia="宋体" w:cs="宋体"/>
                <w:b w:val="0"/>
                <w:bCs w:val="0"/>
                <w:color w:val="auto"/>
                <w:sz w:val="21"/>
                <w:szCs w:val="21"/>
                <w:highlight w:val="none"/>
              </w:rPr>
              <w:t>及保障措施</w:t>
            </w:r>
          </w:p>
        </w:tc>
        <w:tc>
          <w:tcPr>
            <w:tcW w:w="6997" w:type="dxa"/>
            <w:tcBorders>
              <w:top w:val="single" w:color="auto" w:sz="4" w:space="0"/>
              <w:left w:val="single" w:color="auto" w:sz="4" w:space="0"/>
              <w:bottom w:val="single" w:color="auto" w:sz="4" w:space="0"/>
              <w:right w:val="single" w:color="auto" w:sz="4" w:space="0"/>
            </w:tcBorders>
            <w:vAlign w:val="center"/>
          </w:tcPr>
          <w:p w14:paraId="125A46BE">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金华市青少年足球锦标赛的组织实施方案及保障措施：赛事规划科学、合理（0.5分），赛事组织机构健全、职责分工明确（0.5分），参赛队伍管理科学、规范（0.5分），赛事宣传有力、有效（0.5分），赛事执行与比赛管理合乎规范、规则（0.5分），裁判安排能确保比赛公平公正（0.5分），安全保障、后勤保障、财务保障、法律保障、技术支持、环境保护等各类保障措施落实到位（0.5分），应急预案科学、可行（0.5分），能确保赛事活动有序、顺利进行，并提升赛事质量和影响力的，最高得4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43DA2103">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p>
        </w:tc>
      </w:tr>
      <w:tr w14:paraId="266E4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 w:type="dxa"/>
            <w:vMerge w:val="continue"/>
            <w:tcBorders>
              <w:left w:val="single" w:color="auto" w:sz="4" w:space="0"/>
              <w:right w:val="single" w:color="auto" w:sz="4" w:space="0"/>
            </w:tcBorders>
            <w:vAlign w:val="center"/>
          </w:tcPr>
          <w:p w14:paraId="2DD8BAB3">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110" w:type="dxa"/>
            <w:vMerge w:val="continue"/>
            <w:tcBorders>
              <w:left w:val="single" w:color="auto" w:sz="4" w:space="0"/>
              <w:right w:val="single" w:color="auto" w:sz="4" w:space="0"/>
            </w:tcBorders>
            <w:vAlign w:val="center"/>
          </w:tcPr>
          <w:p w14:paraId="0B3D1F0C">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97" w:type="dxa"/>
            <w:tcBorders>
              <w:top w:val="single" w:color="auto" w:sz="4" w:space="0"/>
              <w:left w:val="single" w:color="auto" w:sz="4" w:space="0"/>
              <w:bottom w:val="single" w:color="auto" w:sz="4" w:space="0"/>
              <w:right w:val="single" w:color="auto" w:sz="4" w:space="0"/>
            </w:tcBorders>
            <w:vAlign w:val="center"/>
          </w:tcPr>
          <w:p w14:paraId="67BC7658">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金华市业余足球联赛</w:t>
            </w:r>
            <w:r>
              <w:rPr>
                <w:rFonts w:hint="eastAsia" w:hAnsi="宋体" w:cs="宋体"/>
                <w:color w:val="auto"/>
                <w:sz w:val="21"/>
                <w:szCs w:val="21"/>
                <w:highlight w:val="none"/>
                <w:lang w:val="en-US" w:eastAsia="zh-CN"/>
              </w:rPr>
              <w:t>的组织实施方案及保障措施：赛事规划科学、合理（0.5分），赛事组织机构健全、职责分工明确（0.5分），参赛队伍管理科学、规范（0.5分），赛事宣传有力、有效（0.5分），赛事执行与比赛管理合乎规范、规则（0.5分），裁判安排能确保比赛公平公正（0.5分），安全保障、后勤保障、财务保障、法律保障、技术支持、环境保护等各类保障措施落实到位（0.5分），应急预案科学、可行（0.5分），能确保赛事活动有序、顺利进行，并提升赛事质量和影响力的，最高得4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34C5314A">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r>
      <w:tr w14:paraId="43484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 w:type="dxa"/>
            <w:vMerge w:val="continue"/>
            <w:tcBorders>
              <w:left w:val="single" w:color="auto" w:sz="4" w:space="0"/>
              <w:right w:val="single" w:color="auto" w:sz="4" w:space="0"/>
            </w:tcBorders>
            <w:vAlign w:val="center"/>
          </w:tcPr>
          <w:p w14:paraId="4DA96374">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110" w:type="dxa"/>
            <w:vMerge w:val="continue"/>
            <w:tcBorders>
              <w:left w:val="single" w:color="auto" w:sz="4" w:space="0"/>
              <w:right w:val="single" w:color="auto" w:sz="4" w:space="0"/>
            </w:tcBorders>
            <w:vAlign w:val="center"/>
          </w:tcPr>
          <w:p w14:paraId="42BB6698">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97" w:type="dxa"/>
            <w:tcBorders>
              <w:top w:val="single" w:color="auto" w:sz="4" w:space="0"/>
              <w:left w:val="single" w:color="auto" w:sz="4" w:space="0"/>
              <w:bottom w:val="single" w:color="auto" w:sz="4" w:space="0"/>
              <w:right w:val="single" w:color="auto" w:sz="4" w:space="0"/>
            </w:tcBorders>
            <w:vAlign w:val="center"/>
          </w:tcPr>
          <w:p w14:paraId="744676B1">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hAnsi="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浙江省足球超级联赛</w:t>
            </w:r>
            <w:r>
              <w:rPr>
                <w:rFonts w:hint="eastAsia" w:hAnsi="宋体" w:cs="宋体"/>
                <w:b w:val="0"/>
                <w:bCs w:val="0"/>
                <w:color w:val="auto"/>
                <w:sz w:val="21"/>
                <w:szCs w:val="21"/>
                <w:highlight w:val="none"/>
                <w:lang w:val="en-US" w:eastAsia="zh-CN"/>
              </w:rPr>
              <w:t>的</w:t>
            </w:r>
            <w:r>
              <w:rPr>
                <w:rFonts w:hint="eastAsia" w:ascii="宋体" w:hAnsi="宋体" w:eastAsia="宋体" w:cs="宋体"/>
                <w:b w:val="0"/>
                <w:bCs w:val="0"/>
                <w:i w:val="0"/>
                <w:iCs w:val="0"/>
                <w:caps w:val="0"/>
                <w:color w:val="auto"/>
                <w:spacing w:val="0"/>
                <w:sz w:val="21"/>
                <w:szCs w:val="21"/>
                <w:highlight w:val="none"/>
                <w:shd w:val="clear"/>
              </w:rPr>
              <w:t>组织参赛工作方案</w:t>
            </w:r>
            <w:r>
              <w:rPr>
                <w:rFonts w:hint="eastAsia" w:hAnsi="宋体" w:cs="宋体"/>
                <w:b w:val="0"/>
                <w:bCs w:val="0"/>
                <w:color w:val="auto"/>
                <w:sz w:val="21"/>
                <w:szCs w:val="21"/>
                <w:highlight w:val="none"/>
                <w:lang w:val="en-US" w:eastAsia="zh-CN"/>
              </w:rPr>
              <w:t>：参赛目标定位准确（1分），组织机构健全且职责分工明确（1分），参赛工作计划（包括但不限于</w:t>
            </w:r>
            <w:r>
              <w:rPr>
                <w:rFonts w:hint="eastAsia" w:hAnsi="宋体" w:cs="宋体"/>
                <w:b w:val="0"/>
                <w:bCs w:val="0"/>
                <w:i w:val="0"/>
                <w:iCs w:val="0"/>
                <w:caps w:val="0"/>
                <w:color w:val="auto"/>
                <w:spacing w:val="0"/>
                <w:sz w:val="21"/>
                <w:szCs w:val="21"/>
                <w:highlight w:val="none"/>
                <w:shd w:val="clear"/>
                <w:lang w:val="en-US" w:eastAsia="zh-CN"/>
              </w:rPr>
              <w:t>招募和培训参赛人员、资源调配、比赛策略和时间安排等内容</w:t>
            </w:r>
            <w:r>
              <w:rPr>
                <w:rFonts w:hint="eastAsia" w:hAnsi="宋体" w:cs="宋体"/>
                <w:b w:val="0"/>
                <w:bCs w:val="0"/>
                <w:color w:val="auto"/>
                <w:sz w:val="21"/>
                <w:szCs w:val="21"/>
                <w:highlight w:val="none"/>
                <w:lang w:val="en-US" w:eastAsia="zh-CN"/>
              </w:rPr>
              <w:t>）详细、具体且工作有序（2分），后勤工作落实到位（1分），宣传推广工作具体、可行且预期有效（1分）的。</w:t>
            </w:r>
          </w:p>
          <w:p w14:paraId="6AFB5263">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主场赛事承办规划科学、合理（1分），赛事组织机构健全、职责分工明确（1分），参赛队伍管理科学、规范（1.5分），赛事宣传有力、有效（1分），赛事执行与比赛管理合乎规范、规则（2分），安全保障、后勤保障、财务保障、法律保障、技术支持、环境保护等各类保障措施落实到位（2分），应急预案科学、可行（1.5分），能确保赛事活动有序、顺利进行，并提升赛事质量和影响力的，最高得16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045312DF">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16</w:t>
            </w:r>
          </w:p>
        </w:tc>
      </w:tr>
      <w:tr w14:paraId="7DE6D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 w:type="dxa"/>
            <w:vMerge w:val="continue"/>
            <w:tcBorders>
              <w:left w:val="single" w:color="auto" w:sz="4" w:space="0"/>
              <w:right w:val="single" w:color="auto" w:sz="4" w:space="0"/>
            </w:tcBorders>
            <w:vAlign w:val="center"/>
          </w:tcPr>
          <w:p w14:paraId="212388B9">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110" w:type="dxa"/>
            <w:vMerge w:val="continue"/>
            <w:tcBorders>
              <w:left w:val="single" w:color="auto" w:sz="4" w:space="0"/>
              <w:right w:val="single" w:color="auto" w:sz="4" w:space="0"/>
            </w:tcBorders>
            <w:vAlign w:val="center"/>
          </w:tcPr>
          <w:p w14:paraId="4DA5604E">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97" w:type="dxa"/>
            <w:tcBorders>
              <w:top w:val="single" w:color="auto" w:sz="4" w:space="0"/>
              <w:left w:val="single" w:color="auto" w:sz="4" w:space="0"/>
              <w:bottom w:val="single" w:color="auto" w:sz="4" w:space="0"/>
              <w:right w:val="single" w:color="auto" w:sz="4" w:space="0"/>
            </w:tcBorders>
            <w:shd w:val="clear" w:color="auto" w:fill="auto"/>
            <w:vAlign w:val="center"/>
          </w:tcPr>
          <w:p w14:paraId="136FA10B">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浙江省五人制足球冠军联赛金华市海选赛</w:t>
            </w:r>
            <w:r>
              <w:rPr>
                <w:rFonts w:hint="eastAsia" w:hAnsi="宋体" w:cs="宋体"/>
                <w:color w:val="auto"/>
                <w:sz w:val="21"/>
                <w:szCs w:val="21"/>
                <w:highlight w:val="none"/>
                <w:lang w:val="en-US" w:eastAsia="zh-CN"/>
              </w:rPr>
              <w:t>的组织实施方案及保障措施：赛事规划科学、合理（0.5分），赛事组织机构健全、职责分工明确（0.5分），参赛队伍管理科学、规范（0.5分），赛事宣传有力、有效（0.5分），赛事执行与比赛管理合乎规范、规则（0.5分），裁判安排能确保比赛公平公正（0.5分），安全保障、后勤保障、财务保障、法律保障、技术支持、环境保护等各类保障措施落实到位（0.5分），应急预案科学、可行（0.5分），能确保赛事活动有序、顺利进行，并提升赛事质量和影响力的，最高得4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0D5BE3A8">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r>
      <w:tr w14:paraId="15097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 w:type="dxa"/>
            <w:vMerge w:val="continue"/>
            <w:tcBorders>
              <w:left w:val="single" w:color="auto" w:sz="4" w:space="0"/>
              <w:right w:val="single" w:color="auto" w:sz="4" w:space="0"/>
            </w:tcBorders>
            <w:vAlign w:val="center"/>
          </w:tcPr>
          <w:p w14:paraId="065C655A">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110" w:type="dxa"/>
            <w:vMerge w:val="continue"/>
            <w:tcBorders>
              <w:left w:val="single" w:color="auto" w:sz="4" w:space="0"/>
              <w:right w:val="single" w:color="auto" w:sz="4" w:space="0"/>
            </w:tcBorders>
            <w:vAlign w:val="center"/>
          </w:tcPr>
          <w:p w14:paraId="34A44138">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97" w:type="dxa"/>
            <w:tcBorders>
              <w:top w:val="single" w:color="auto" w:sz="4" w:space="0"/>
              <w:left w:val="single" w:color="auto" w:sz="4" w:space="0"/>
              <w:bottom w:val="single" w:color="auto" w:sz="4" w:space="0"/>
              <w:right w:val="single" w:color="auto" w:sz="4" w:space="0"/>
            </w:tcBorders>
            <w:vAlign w:val="center"/>
          </w:tcPr>
          <w:p w14:paraId="74EAD60D">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全国足球</w:t>
            </w:r>
            <w:r>
              <w:rPr>
                <w:rFonts w:hint="eastAsia" w:hAnsi="宋体" w:cs="宋体"/>
                <w:b w:val="0"/>
                <w:bCs w:val="0"/>
                <w:color w:val="auto"/>
                <w:sz w:val="21"/>
                <w:szCs w:val="21"/>
                <w:highlight w:val="none"/>
                <w:lang w:val="en-US" w:eastAsia="zh-CN"/>
              </w:rPr>
              <w:t>比</w:t>
            </w:r>
            <w:r>
              <w:rPr>
                <w:rFonts w:hint="eastAsia" w:ascii="宋体" w:hAnsi="宋体" w:eastAsia="宋体" w:cs="宋体"/>
                <w:b w:val="0"/>
                <w:bCs w:val="0"/>
                <w:color w:val="auto"/>
                <w:sz w:val="21"/>
                <w:szCs w:val="21"/>
                <w:highlight w:val="none"/>
                <w:lang w:val="en-US" w:eastAsia="zh-CN"/>
              </w:rPr>
              <w:t>赛</w:t>
            </w:r>
            <w:r>
              <w:rPr>
                <w:rFonts w:hint="eastAsia" w:hAnsi="宋体" w:cs="宋体"/>
                <w:b w:val="0"/>
                <w:bCs w:val="0"/>
                <w:color w:val="auto"/>
                <w:sz w:val="21"/>
                <w:szCs w:val="21"/>
                <w:highlight w:val="none"/>
                <w:lang w:val="en-US" w:eastAsia="zh-CN"/>
              </w:rPr>
              <w:t>的</w:t>
            </w:r>
            <w:r>
              <w:rPr>
                <w:rFonts w:hint="eastAsia" w:ascii="宋体" w:hAnsi="宋体" w:eastAsia="宋体" w:cs="宋体"/>
                <w:b w:val="0"/>
                <w:bCs w:val="0"/>
                <w:i w:val="0"/>
                <w:iCs w:val="0"/>
                <w:caps w:val="0"/>
                <w:color w:val="auto"/>
                <w:spacing w:val="0"/>
                <w:sz w:val="21"/>
                <w:szCs w:val="21"/>
                <w:highlight w:val="none"/>
                <w:shd w:val="clear"/>
              </w:rPr>
              <w:t>组织参赛工作方案</w:t>
            </w:r>
            <w:r>
              <w:rPr>
                <w:rFonts w:hint="eastAsia" w:hAnsi="宋体" w:cs="宋体"/>
                <w:b w:val="0"/>
                <w:bCs w:val="0"/>
                <w:i w:val="0"/>
                <w:iCs w:val="0"/>
                <w:caps w:val="0"/>
                <w:color w:val="auto"/>
                <w:spacing w:val="0"/>
                <w:sz w:val="21"/>
                <w:szCs w:val="21"/>
                <w:highlight w:val="none"/>
                <w:shd w:val="clear"/>
                <w:lang w:eastAsia="zh-CN"/>
              </w:rPr>
              <w:t>：</w:t>
            </w:r>
            <w:r>
              <w:rPr>
                <w:rFonts w:hint="eastAsia" w:hAnsi="宋体" w:cs="宋体"/>
                <w:b w:val="0"/>
                <w:bCs w:val="0"/>
                <w:color w:val="auto"/>
                <w:sz w:val="21"/>
                <w:szCs w:val="21"/>
                <w:highlight w:val="none"/>
                <w:lang w:val="en-US" w:eastAsia="zh-CN"/>
              </w:rPr>
              <w:t>参赛目标定位准确（1分），组织机构健全且职责分工明确（1分），参赛工作计划（包括但不限于</w:t>
            </w:r>
            <w:r>
              <w:rPr>
                <w:rFonts w:hint="eastAsia" w:hAnsi="宋体" w:cs="宋体"/>
                <w:b w:val="0"/>
                <w:bCs w:val="0"/>
                <w:i w:val="0"/>
                <w:iCs w:val="0"/>
                <w:caps w:val="0"/>
                <w:color w:val="auto"/>
                <w:spacing w:val="0"/>
                <w:sz w:val="21"/>
                <w:szCs w:val="21"/>
                <w:highlight w:val="none"/>
                <w:shd w:val="clear"/>
                <w:lang w:val="en-US" w:eastAsia="zh-CN"/>
              </w:rPr>
              <w:t>招募和培训参赛人员、资源调配、比赛策略和时间安排等内容</w:t>
            </w:r>
            <w:r>
              <w:rPr>
                <w:rFonts w:hint="eastAsia" w:hAnsi="宋体" w:cs="宋体"/>
                <w:b w:val="0"/>
                <w:bCs w:val="0"/>
                <w:color w:val="auto"/>
                <w:sz w:val="21"/>
                <w:szCs w:val="21"/>
                <w:highlight w:val="none"/>
                <w:lang w:val="en-US" w:eastAsia="zh-CN"/>
              </w:rPr>
              <w:t>）详细、具体且工作有序（2分），后勤工作落实到位（1分），宣传推广工作具体、可行且预期有效（1分）的，</w:t>
            </w:r>
            <w:r>
              <w:rPr>
                <w:rFonts w:hint="eastAsia" w:hAnsi="宋体" w:cs="宋体"/>
                <w:color w:val="auto"/>
                <w:sz w:val="21"/>
                <w:szCs w:val="21"/>
                <w:highlight w:val="none"/>
                <w:lang w:val="en-US" w:eastAsia="zh-CN"/>
              </w:rPr>
              <w:t>最高得6分；有不足或不合理的，每处扣0.5分，扣完为止。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7C49D6FC">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r>
      <w:tr w14:paraId="1E42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670" w:type="dxa"/>
            <w:vMerge w:val="continue"/>
            <w:tcBorders>
              <w:left w:val="single" w:color="auto" w:sz="4" w:space="0"/>
              <w:right w:val="single" w:color="auto" w:sz="4" w:space="0"/>
            </w:tcBorders>
            <w:vAlign w:val="center"/>
          </w:tcPr>
          <w:p w14:paraId="68345FDE">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110" w:type="dxa"/>
            <w:vMerge w:val="continue"/>
            <w:tcBorders>
              <w:left w:val="single" w:color="auto" w:sz="4" w:space="0"/>
              <w:right w:val="single" w:color="auto" w:sz="4" w:space="0"/>
            </w:tcBorders>
            <w:vAlign w:val="center"/>
          </w:tcPr>
          <w:p w14:paraId="6997CD81">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997" w:type="dxa"/>
            <w:tcBorders>
              <w:top w:val="single" w:color="auto" w:sz="4" w:space="0"/>
              <w:left w:val="single" w:color="auto" w:sz="4" w:space="0"/>
              <w:bottom w:val="single" w:color="auto" w:sz="4" w:space="0"/>
              <w:right w:val="single" w:color="auto" w:sz="4" w:space="0"/>
            </w:tcBorders>
            <w:vAlign w:val="center"/>
          </w:tcPr>
          <w:p w14:paraId="6EA50865">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全国青少年女子u系列足球比赛</w:t>
            </w:r>
            <w:r>
              <w:rPr>
                <w:rFonts w:hint="eastAsia" w:hAnsi="宋体" w:cs="宋体"/>
                <w:b w:val="0"/>
                <w:bCs w:val="0"/>
                <w:color w:val="auto"/>
                <w:sz w:val="21"/>
                <w:szCs w:val="21"/>
                <w:highlight w:val="none"/>
                <w:lang w:val="en-US" w:eastAsia="zh-CN"/>
              </w:rPr>
              <w:t>的</w:t>
            </w:r>
            <w:r>
              <w:rPr>
                <w:rFonts w:hint="eastAsia" w:ascii="宋体" w:hAnsi="宋体" w:eastAsia="宋体" w:cs="宋体"/>
                <w:b w:val="0"/>
                <w:bCs w:val="0"/>
                <w:i w:val="0"/>
                <w:iCs w:val="0"/>
                <w:caps w:val="0"/>
                <w:color w:val="auto"/>
                <w:spacing w:val="0"/>
                <w:sz w:val="21"/>
                <w:szCs w:val="21"/>
                <w:highlight w:val="none"/>
                <w:shd w:val="clear"/>
              </w:rPr>
              <w:t>组织工作方案</w:t>
            </w:r>
            <w:r>
              <w:rPr>
                <w:rFonts w:hint="eastAsia" w:hAnsi="宋体" w:cs="宋体"/>
                <w:b w:val="0"/>
                <w:bCs w:val="0"/>
                <w:i w:val="0"/>
                <w:iCs w:val="0"/>
                <w:caps w:val="0"/>
                <w:color w:val="auto"/>
                <w:spacing w:val="0"/>
                <w:sz w:val="21"/>
                <w:szCs w:val="21"/>
                <w:highlight w:val="none"/>
                <w:shd w:val="clear"/>
                <w:lang w:eastAsia="zh-CN"/>
              </w:rPr>
              <w:t>：</w:t>
            </w:r>
            <w:r>
              <w:rPr>
                <w:rFonts w:hint="eastAsia" w:hAnsi="宋体" w:cs="宋体"/>
                <w:color w:val="auto"/>
                <w:sz w:val="21"/>
                <w:szCs w:val="21"/>
                <w:highlight w:val="none"/>
                <w:lang w:val="en-US" w:eastAsia="zh-CN"/>
              </w:rPr>
              <w:t>赛事规划科学、合理（1分），赛事组织机构健全、职责分工明确（1分），参赛队伍管理科学、规范（1.5分），赛事宣传有力、有效（1分），赛事执行与比赛管理合乎规范、规则（2分），裁判安排能确保比赛公平公正（1分），安全保障、后勤保障、财务保障、法律保障、技术支持、环境保护等各类保障措施落实到位（2分），应急预案科学、可行（0.5分），能确保赛事活动有序、顺利进行，并提升赛事质量和影响力的，最高得10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53A861D1">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r>
      <w:tr w14:paraId="76145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70" w:type="dxa"/>
            <w:tcBorders>
              <w:top w:val="single" w:color="auto" w:sz="4" w:space="0"/>
              <w:left w:val="single" w:color="auto" w:sz="4" w:space="0"/>
              <w:right w:val="single" w:color="auto" w:sz="4" w:space="0"/>
            </w:tcBorders>
            <w:vAlign w:val="center"/>
          </w:tcPr>
          <w:p w14:paraId="20D1DFD0">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2</w:t>
            </w:r>
          </w:p>
        </w:tc>
        <w:tc>
          <w:tcPr>
            <w:tcW w:w="1110" w:type="dxa"/>
            <w:tcBorders>
              <w:top w:val="single" w:color="auto" w:sz="4" w:space="0"/>
              <w:left w:val="single" w:color="auto" w:sz="4" w:space="0"/>
              <w:right w:val="single" w:color="auto" w:sz="4" w:space="0"/>
            </w:tcBorders>
            <w:vAlign w:val="center"/>
          </w:tcPr>
          <w:p w14:paraId="658E4D43">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Hans"/>
              </w:rPr>
            </w:pPr>
            <w:r>
              <w:rPr>
                <w:rFonts w:hint="eastAsia" w:hAnsi="宋体" w:cs="宋体"/>
                <w:b w:val="0"/>
                <w:bCs w:val="0"/>
                <w:color w:val="auto"/>
                <w:sz w:val="21"/>
                <w:szCs w:val="21"/>
                <w:highlight w:val="none"/>
                <w:lang w:val="en-US" w:eastAsia="zh-CN"/>
              </w:rPr>
              <w:t>足球训练及</w:t>
            </w:r>
            <w:r>
              <w:rPr>
                <w:rFonts w:hint="eastAsia" w:ascii="宋体" w:hAnsi="宋体" w:eastAsia="宋体" w:cs="宋体"/>
                <w:b w:val="0"/>
                <w:bCs w:val="0"/>
                <w:color w:val="auto"/>
                <w:sz w:val="21"/>
                <w:szCs w:val="21"/>
                <w:highlight w:val="none"/>
                <w:lang w:val="en-US" w:eastAsia="zh-CN"/>
              </w:rPr>
              <w:t>足球</w:t>
            </w:r>
            <w:r>
              <w:rPr>
                <w:rFonts w:hint="eastAsia" w:hAnsi="宋体" w:cs="宋体"/>
                <w:b w:val="0"/>
                <w:bCs w:val="0"/>
                <w:color w:val="auto"/>
                <w:sz w:val="21"/>
                <w:szCs w:val="21"/>
                <w:highlight w:val="none"/>
                <w:lang w:val="en-US" w:eastAsia="zh-CN"/>
              </w:rPr>
              <w:t>赛</w:t>
            </w:r>
            <w:r>
              <w:rPr>
                <w:rFonts w:hint="eastAsia" w:ascii="宋体" w:hAnsi="宋体" w:eastAsia="宋体" w:cs="宋体"/>
                <w:b w:val="0"/>
                <w:bCs w:val="0"/>
                <w:color w:val="auto"/>
                <w:sz w:val="21"/>
                <w:szCs w:val="21"/>
                <w:highlight w:val="none"/>
                <w:lang w:val="en-US" w:eastAsia="zh-CN"/>
              </w:rPr>
              <w:t>场</w:t>
            </w:r>
            <w:r>
              <w:rPr>
                <w:rFonts w:hint="eastAsia" w:hAnsi="宋体" w:cs="宋体"/>
                <w:b w:val="0"/>
                <w:bCs w:val="0"/>
                <w:color w:val="auto"/>
                <w:sz w:val="21"/>
                <w:szCs w:val="21"/>
                <w:highlight w:val="none"/>
                <w:lang w:val="en-US" w:eastAsia="zh-CN"/>
              </w:rPr>
              <w:t>地的维护方案</w:t>
            </w:r>
          </w:p>
        </w:tc>
        <w:tc>
          <w:tcPr>
            <w:tcW w:w="6997" w:type="dxa"/>
            <w:tcBorders>
              <w:top w:val="single" w:color="auto" w:sz="4" w:space="0"/>
              <w:left w:val="single" w:color="auto" w:sz="4" w:space="0"/>
              <w:bottom w:val="single" w:color="auto" w:sz="4" w:space="0"/>
              <w:right w:val="single" w:color="auto" w:sz="4" w:space="0"/>
            </w:tcBorders>
            <w:vAlign w:val="center"/>
          </w:tcPr>
          <w:p w14:paraId="2C32E300">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维护方案（包括但不限于草坪管理、场地平整、划线、排水系统维护、场地清洁、季节性维护、使用管理等）具体、科学、周到，措施有效，能满足训练或赛事活动需要和场地日常管理要求的最高得6分；有不足或不合理的，每处扣0.5分，扣完为止。</w:t>
            </w:r>
          </w:p>
        </w:tc>
        <w:tc>
          <w:tcPr>
            <w:tcW w:w="1043" w:type="dxa"/>
            <w:tcBorders>
              <w:top w:val="single" w:color="auto" w:sz="4" w:space="0"/>
              <w:left w:val="single" w:color="auto" w:sz="4" w:space="0"/>
              <w:bottom w:val="single" w:color="auto" w:sz="4" w:space="0"/>
              <w:right w:val="single" w:color="auto" w:sz="4" w:space="0"/>
            </w:tcBorders>
            <w:vAlign w:val="center"/>
          </w:tcPr>
          <w:p w14:paraId="79D387EE">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w:t>
            </w:r>
          </w:p>
        </w:tc>
      </w:tr>
      <w:tr w14:paraId="1E3FC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670" w:type="dxa"/>
            <w:vMerge w:val="restart"/>
            <w:tcBorders>
              <w:top w:val="single" w:color="auto" w:sz="4" w:space="0"/>
              <w:left w:val="single" w:color="auto" w:sz="4" w:space="0"/>
              <w:right w:val="single" w:color="auto" w:sz="4" w:space="0"/>
            </w:tcBorders>
            <w:vAlign w:val="center"/>
          </w:tcPr>
          <w:p w14:paraId="29CD0C6F">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w:t>
            </w:r>
          </w:p>
        </w:tc>
        <w:tc>
          <w:tcPr>
            <w:tcW w:w="1110" w:type="dxa"/>
            <w:vMerge w:val="restart"/>
            <w:tcBorders>
              <w:top w:val="single" w:color="auto" w:sz="4" w:space="0"/>
              <w:left w:val="single" w:color="auto" w:sz="4" w:space="0"/>
              <w:right w:val="single" w:color="auto" w:sz="4" w:space="0"/>
            </w:tcBorders>
            <w:vAlign w:val="center"/>
          </w:tcPr>
          <w:p w14:paraId="54FBA2D1">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eastAsia="zh-Hans"/>
              </w:rPr>
            </w:pPr>
            <w:r>
              <w:rPr>
                <w:rFonts w:hint="eastAsia" w:ascii="宋体" w:hAnsi="宋体" w:eastAsia="宋体" w:cs="宋体"/>
                <w:b w:val="0"/>
                <w:bCs w:val="0"/>
                <w:color w:val="auto"/>
                <w:sz w:val="21"/>
                <w:szCs w:val="21"/>
                <w:highlight w:val="none"/>
                <w:lang w:val="en-US" w:eastAsia="zh-Hans"/>
              </w:rPr>
              <w:t>合同</w:t>
            </w:r>
            <w:r>
              <w:rPr>
                <w:rFonts w:hint="eastAsia" w:ascii="宋体" w:hAnsi="宋体" w:eastAsia="宋体" w:cs="宋体"/>
                <w:b w:val="0"/>
                <w:bCs w:val="0"/>
                <w:color w:val="auto"/>
                <w:sz w:val="21"/>
                <w:szCs w:val="21"/>
                <w:highlight w:val="none"/>
                <w:lang w:val="zh-CN" w:eastAsia="zh-Hans"/>
              </w:rPr>
              <w:t>期间服务承诺</w:t>
            </w:r>
          </w:p>
        </w:tc>
        <w:tc>
          <w:tcPr>
            <w:tcW w:w="6997" w:type="dxa"/>
            <w:tcBorders>
              <w:top w:val="single" w:color="auto" w:sz="4" w:space="0"/>
              <w:left w:val="single" w:color="auto" w:sz="4" w:space="0"/>
              <w:bottom w:val="single" w:color="auto" w:sz="4" w:space="0"/>
              <w:right w:val="single" w:color="auto" w:sz="4" w:space="0"/>
            </w:tcBorders>
            <w:vAlign w:val="center"/>
          </w:tcPr>
          <w:p w14:paraId="5144A9AC">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期间服务承诺</w:t>
            </w:r>
            <w:r>
              <w:rPr>
                <w:rFonts w:hint="eastAsia" w:ascii="宋体" w:hAnsi="宋体" w:eastAsia="宋体" w:cs="宋体"/>
                <w:color w:val="auto"/>
                <w:sz w:val="21"/>
                <w:szCs w:val="21"/>
                <w:highlight w:val="none"/>
                <w:lang w:val="en-US" w:eastAsia="zh-CN"/>
              </w:rPr>
              <w:t>全面周到且切实可行的得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分；合同</w:t>
            </w:r>
            <w:r>
              <w:rPr>
                <w:rFonts w:hint="eastAsia" w:ascii="宋体" w:hAnsi="宋体" w:eastAsia="宋体" w:cs="宋体"/>
                <w:color w:val="auto"/>
                <w:sz w:val="21"/>
                <w:szCs w:val="21"/>
                <w:highlight w:val="none"/>
                <w:lang w:val="zh-CN" w:eastAsia="zh-CN"/>
              </w:rPr>
              <w:t>期间服务承诺</w:t>
            </w:r>
            <w:r>
              <w:rPr>
                <w:rFonts w:hint="eastAsia" w:ascii="宋体" w:hAnsi="宋体" w:eastAsia="宋体" w:cs="宋体"/>
                <w:color w:val="auto"/>
                <w:sz w:val="21"/>
                <w:szCs w:val="21"/>
                <w:highlight w:val="none"/>
                <w:lang w:val="en-US" w:eastAsia="zh-CN"/>
              </w:rPr>
              <w:t>基本满足招标需求的得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分；合同</w:t>
            </w:r>
            <w:r>
              <w:rPr>
                <w:rFonts w:hint="eastAsia" w:ascii="宋体" w:hAnsi="宋体" w:eastAsia="宋体" w:cs="宋体"/>
                <w:color w:val="auto"/>
                <w:sz w:val="21"/>
                <w:szCs w:val="21"/>
                <w:highlight w:val="none"/>
                <w:lang w:val="zh-CN" w:eastAsia="zh-CN"/>
              </w:rPr>
              <w:t>期间服务承诺</w:t>
            </w:r>
            <w:r>
              <w:rPr>
                <w:rFonts w:hint="eastAsia" w:ascii="宋体" w:hAnsi="宋体" w:eastAsia="宋体" w:cs="宋体"/>
                <w:color w:val="auto"/>
                <w:sz w:val="21"/>
                <w:szCs w:val="21"/>
                <w:highlight w:val="none"/>
                <w:lang w:val="en-US" w:eastAsia="zh-CN"/>
              </w:rPr>
              <w:t>不全面或有瑕疵的得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分。未提供承诺函的不得分（承诺函自拟）</w:t>
            </w:r>
            <w:r>
              <w:rPr>
                <w:rFonts w:hint="eastAsia" w:hAnsi="宋体" w:cs="宋体"/>
                <w:color w:val="auto"/>
                <w:sz w:val="21"/>
                <w:szCs w:val="21"/>
                <w:highlight w:val="none"/>
                <w:lang w:val="en-US"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14:paraId="451BC843">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04E79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0" w:type="dxa"/>
            <w:vMerge w:val="continue"/>
            <w:tcBorders>
              <w:left w:val="single" w:color="auto" w:sz="4" w:space="0"/>
              <w:bottom w:val="single" w:color="auto" w:sz="4" w:space="0"/>
              <w:right w:val="single" w:color="auto" w:sz="4" w:space="0"/>
            </w:tcBorders>
            <w:vAlign w:val="center"/>
          </w:tcPr>
          <w:p w14:paraId="38BA6550">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110" w:type="dxa"/>
            <w:vMerge w:val="continue"/>
            <w:tcBorders>
              <w:left w:val="single" w:color="auto" w:sz="4" w:space="0"/>
              <w:bottom w:val="single" w:color="auto" w:sz="4" w:space="0"/>
              <w:right w:val="single" w:color="auto" w:sz="4" w:space="0"/>
            </w:tcBorders>
            <w:vAlign w:val="center"/>
          </w:tcPr>
          <w:p w14:paraId="670222C6">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p>
        </w:tc>
        <w:tc>
          <w:tcPr>
            <w:tcW w:w="6997" w:type="dxa"/>
            <w:tcBorders>
              <w:top w:val="single" w:color="auto" w:sz="4" w:space="0"/>
              <w:left w:val="single" w:color="auto" w:sz="4" w:space="0"/>
              <w:bottom w:val="single" w:color="auto" w:sz="4" w:space="0"/>
              <w:right w:val="single" w:color="auto" w:sz="4" w:space="0"/>
            </w:tcBorders>
            <w:vAlign w:val="center"/>
          </w:tcPr>
          <w:p w14:paraId="21226EBB">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投标人必须充分考虑合同期间参加活动相关人员的突发意外情况，承诺为参加所有相关人员购买意外险的得2分。未提供承诺函的不得分（承诺函自拟）</w:t>
            </w:r>
          </w:p>
        </w:tc>
        <w:tc>
          <w:tcPr>
            <w:tcW w:w="1043" w:type="dxa"/>
            <w:tcBorders>
              <w:top w:val="single" w:color="auto" w:sz="4" w:space="0"/>
              <w:left w:val="single" w:color="auto" w:sz="4" w:space="0"/>
              <w:bottom w:val="single" w:color="auto" w:sz="4" w:space="0"/>
              <w:right w:val="single" w:color="auto" w:sz="4" w:space="0"/>
            </w:tcBorders>
            <w:vAlign w:val="center"/>
          </w:tcPr>
          <w:p w14:paraId="016C6C42">
            <w:pPr>
              <w:pStyle w:val="26"/>
              <w:keepNext w:val="0"/>
              <w:keepLines w:val="0"/>
              <w:pageBreakBefore w:val="0"/>
              <w:kinsoku/>
              <w:wordWrap/>
              <w:overflowPunct/>
              <w:topLinePunct w:val="0"/>
              <w:autoSpaceDE/>
              <w:autoSpaceDN/>
              <w:bidi w:val="0"/>
              <w:adjustRightInd/>
              <w:snapToGrid/>
              <w:spacing w:line="460" w:lineRule="exact"/>
              <w:ind w:firstLine="210" w:firstLineChars="1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14:paraId="186B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3D7F7DE">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4</w:t>
            </w:r>
          </w:p>
        </w:tc>
        <w:tc>
          <w:tcPr>
            <w:tcW w:w="1110" w:type="dxa"/>
            <w:tcBorders>
              <w:top w:val="single" w:color="auto" w:sz="4" w:space="0"/>
              <w:left w:val="single" w:color="auto" w:sz="4" w:space="0"/>
              <w:bottom w:val="single" w:color="auto" w:sz="4" w:space="0"/>
              <w:right w:val="single" w:color="auto" w:sz="4" w:space="0"/>
            </w:tcBorders>
            <w:vAlign w:val="center"/>
          </w:tcPr>
          <w:p w14:paraId="00D15D54">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企业业绩</w:t>
            </w:r>
          </w:p>
        </w:tc>
        <w:tc>
          <w:tcPr>
            <w:tcW w:w="6997" w:type="dxa"/>
            <w:tcBorders>
              <w:top w:val="single" w:color="auto" w:sz="4" w:space="0"/>
              <w:left w:val="single" w:color="auto" w:sz="4" w:space="0"/>
              <w:bottom w:val="single" w:color="auto" w:sz="4" w:space="0"/>
              <w:right w:val="single" w:color="auto" w:sz="4" w:space="0"/>
            </w:tcBorders>
            <w:vAlign w:val="center"/>
          </w:tcPr>
          <w:p w14:paraId="61BD960A">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年1月1日（以签订时间为准）至今同类项目业绩，每提供一个得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26EBC65">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注：提供</w:t>
            </w:r>
            <w:r>
              <w:rPr>
                <w:rFonts w:hint="eastAsia" w:ascii="宋体" w:hAnsi="宋体" w:eastAsia="宋体" w:cs="宋体"/>
                <w:b/>
                <w:bCs/>
                <w:color w:val="auto"/>
                <w:sz w:val="21"/>
                <w:szCs w:val="21"/>
                <w:highlight w:val="none"/>
                <w:u w:val="single"/>
                <w:lang w:val="en-US" w:eastAsia="zh-CN"/>
              </w:rPr>
              <w:t>对应</w:t>
            </w:r>
            <w:r>
              <w:rPr>
                <w:rFonts w:hint="eastAsia" w:ascii="宋体" w:hAnsi="宋体" w:eastAsia="宋体" w:cs="宋体"/>
                <w:b/>
                <w:bCs/>
                <w:color w:val="auto"/>
                <w:sz w:val="21"/>
                <w:szCs w:val="21"/>
                <w:highlight w:val="none"/>
                <w:u w:val="single"/>
              </w:rPr>
              <w:t>合同扫描</w:t>
            </w:r>
            <w:r>
              <w:rPr>
                <w:rFonts w:hint="eastAsia" w:ascii="宋体" w:hAnsi="宋体" w:eastAsia="宋体" w:cs="宋体"/>
                <w:b/>
                <w:bCs/>
                <w:color w:val="auto"/>
                <w:sz w:val="21"/>
                <w:szCs w:val="21"/>
                <w:highlight w:val="none"/>
                <w:u w:val="single"/>
                <w:lang w:val="en-US" w:eastAsia="zh-CN"/>
              </w:rPr>
              <w:t>件或复印</w:t>
            </w:r>
            <w:r>
              <w:rPr>
                <w:rFonts w:hint="eastAsia" w:ascii="宋体" w:hAnsi="宋体" w:eastAsia="宋体" w:cs="宋体"/>
                <w:b/>
                <w:bCs/>
                <w:color w:val="auto"/>
                <w:sz w:val="21"/>
                <w:szCs w:val="21"/>
                <w:highlight w:val="none"/>
                <w:u w:val="single"/>
              </w:rPr>
              <w:t>件</w:t>
            </w:r>
            <w:r>
              <w:rPr>
                <w:rFonts w:hint="eastAsia" w:ascii="宋体" w:hAnsi="宋体" w:eastAsia="宋体" w:cs="宋体"/>
                <w:b/>
                <w:bCs/>
                <w:color w:val="auto"/>
                <w:sz w:val="21"/>
                <w:szCs w:val="21"/>
                <w:highlight w:val="none"/>
                <w:u w:val="single"/>
                <w:lang w:val="en-US" w:eastAsia="zh-CN"/>
              </w:rPr>
              <w:t>并</w:t>
            </w:r>
            <w:r>
              <w:rPr>
                <w:rFonts w:hint="eastAsia" w:ascii="宋体" w:hAnsi="宋体" w:eastAsia="宋体" w:cs="宋体"/>
                <w:b/>
                <w:bCs/>
                <w:color w:val="auto"/>
                <w:sz w:val="21"/>
                <w:szCs w:val="21"/>
                <w:highlight w:val="none"/>
                <w:u w:val="single"/>
              </w:rPr>
              <w:t>加盖公章，</w:t>
            </w:r>
            <w:r>
              <w:rPr>
                <w:rFonts w:hint="eastAsia" w:ascii="宋体" w:hAnsi="宋体" w:eastAsia="宋体" w:cs="宋体"/>
                <w:b/>
                <w:bCs/>
                <w:color w:val="auto"/>
                <w:sz w:val="21"/>
                <w:szCs w:val="21"/>
                <w:highlight w:val="none"/>
                <w:u w:val="single"/>
                <w:lang w:val="en-US" w:eastAsia="zh-CN"/>
              </w:rPr>
              <w:t>未</w:t>
            </w:r>
            <w:r>
              <w:rPr>
                <w:rFonts w:hint="eastAsia" w:ascii="宋体" w:hAnsi="宋体" w:eastAsia="宋体" w:cs="宋体"/>
                <w:b/>
                <w:bCs/>
                <w:color w:val="auto"/>
                <w:sz w:val="21"/>
                <w:szCs w:val="21"/>
                <w:highlight w:val="none"/>
                <w:u w:val="single"/>
              </w:rPr>
              <w:t>提供</w:t>
            </w:r>
            <w:r>
              <w:rPr>
                <w:rFonts w:hint="eastAsia" w:ascii="宋体" w:hAnsi="宋体" w:eastAsia="宋体" w:cs="宋体"/>
                <w:b/>
                <w:bCs/>
                <w:color w:val="auto"/>
                <w:sz w:val="21"/>
                <w:szCs w:val="21"/>
                <w:highlight w:val="none"/>
                <w:u w:val="single"/>
                <w:lang w:val="en-US" w:eastAsia="zh-CN"/>
              </w:rPr>
              <w:t>的</w:t>
            </w:r>
            <w:r>
              <w:rPr>
                <w:rFonts w:hint="eastAsia" w:ascii="宋体" w:hAnsi="宋体" w:eastAsia="宋体" w:cs="宋体"/>
                <w:b/>
                <w:bCs/>
                <w:color w:val="auto"/>
                <w:sz w:val="21"/>
                <w:szCs w:val="21"/>
                <w:highlight w:val="none"/>
                <w:u w:val="single"/>
              </w:rPr>
              <w:t>不得分。</w:t>
            </w:r>
          </w:p>
        </w:tc>
        <w:tc>
          <w:tcPr>
            <w:tcW w:w="1043" w:type="dxa"/>
            <w:tcBorders>
              <w:top w:val="single" w:color="auto" w:sz="4" w:space="0"/>
              <w:left w:val="single" w:color="auto" w:sz="4" w:space="0"/>
              <w:bottom w:val="single" w:color="auto" w:sz="4" w:space="0"/>
              <w:right w:val="single" w:color="auto" w:sz="4" w:space="0"/>
            </w:tcBorders>
            <w:vAlign w:val="center"/>
          </w:tcPr>
          <w:p w14:paraId="20BD3986">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14:paraId="6332C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7C3BAD6">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vAlign w:val="center"/>
          </w:tcPr>
          <w:p w14:paraId="4270EE93">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企业</w:t>
            </w:r>
            <w:r>
              <w:rPr>
                <w:rFonts w:hint="eastAsia" w:ascii="宋体" w:hAnsi="宋体" w:eastAsia="宋体" w:cs="宋体"/>
                <w:b w:val="0"/>
                <w:bCs w:val="0"/>
                <w:color w:val="auto"/>
                <w:sz w:val="21"/>
                <w:szCs w:val="21"/>
                <w:highlight w:val="none"/>
                <w:lang w:val="en-US" w:eastAsia="zh-CN"/>
              </w:rPr>
              <w:t>荣誉</w:t>
            </w:r>
          </w:p>
        </w:tc>
        <w:tc>
          <w:tcPr>
            <w:tcW w:w="6997" w:type="dxa"/>
            <w:tcBorders>
              <w:top w:val="single" w:color="auto" w:sz="4" w:space="0"/>
              <w:left w:val="single" w:color="auto" w:sz="4" w:space="0"/>
              <w:bottom w:val="single" w:color="auto" w:sz="4" w:space="0"/>
              <w:right w:val="single" w:color="auto" w:sz="4" w:space="0"/>
            </w:tcBorders>
            <w:vAlign w:val="center"/>
          </w:tcPr>
          <w:p w14:paraId="08487B84">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按投标人提供2021年1月1日至今获得过省级</w:t>
            </w:r>
            <w:r>
              <w:rPr>
                <w:rFonts w:hint="eastAsia" w:hAnsi="宋体" w:cs="宋体"/>
                <w:b w:val="0"/>
                <w:bCs w:val="0"/>
                <w:color w:val="auto"/>
                <w:sz w:val="21"/>
                <w:szCs w:val="21"/>
                <w:highlight w:val="none"/>
                <w:u w:val="none"/>
                <w:lang w:val="en-US" w:eastAsia="zh-CN"/>
              </w:rPr>
              <w:t>以上行业主管单位或政府所属部、委、办、局授予</w:t>
            </w:r>
            <w:r>
              <w:rPr>
                <w:rFonts w:hint="eastAsia" w:ascii="宋体" w:hAnsi="宋体" w:eastAsia="宋体" w:cs="宋体"/>
                <w:b w:val="0"/>
                <w:bCs w:val="0"/>
                <w:color w:val="auto"/>
                <w:sz w:val="21"/>
                <w:szCs w:val="21"/>
                <w:highlight w:val="none"/>
                <w:u w:val="none"/>
                <w:lang w:val="en-US" w:eastAsia="zh-CN"/>
              </w:rPr>
              <w:t>的荣誉得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分；投标人获得过市级，包含市政府所属的部、委、办、局或区、县政府授予的荣誉得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r>
              <w:rPr>
                <w:rFonts w:hint="eastAsia" w:ascii="宋体" w:hAnsi="宋体" w:eastAsia="宋体" w:cs="宋体"/>
                <w:b w:val="0"/>
                <w:bCs w:val="0"/>
                <w:color w:val="auto"/>
                <w:sz w:val="21"/>
                <w:szCs w:val="21"/>
                <w:highlight w:val="none"/>
                <w:u w:val="none"/>
                <w:lang w:eastAsia="zh-CN"/>
              </w:rPr>
              <w:t>。</w:t>
            </w:r>
          </w:p>
          <w:p w14:paraId="41431EE7">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注：提供</w:t>
            </w:r>
            <w:r>
              <w:rPr>
                <w:rFonts w:hint="eastAsia" w:ascii="宋体" w:hAnsi="宋体" w:eastAsia="宋体" w:cs="宋体"/>
                <w:b/>
                <w:bCs/>
                <w:color w:val="auto"/>
                <w:sz w:val="21"/>
                <w:szCs w:val="21"/>
                <w:highlight w:val="none"/>
                <w:u w:val="single"/>
                <w:lang w:val="en-US" w:eastAsia="zh-CN"/>
              </w:rPr>
              <w:t>相关</w:t>
            </w:r>
            <w:r>
              <w:rPr>
                <w:rFonts w:hint="eastAsia" w:ascii="宋体" w:hAnsi="宋体" w:eastAsia="宋体" w:cs="宋体"/>
                <w:b/>
                <w:bCs/>
                <w:color w:val="auto"/>
                <w:sz w:val="21"/>
                <w:szCs w:val="21"/>
                <w:highlight w:val="none"/>
                <w:u w:val="single"/>
              </w:rPr>
              <w:t>证书扫描件</w:t>
            </w:r>
            <w:r>
              <w:rPr>
                <w:rFonts w:hint="eastAsia" w:ascii="宋体" w:hAnsi="宋体" w:eastAsia="宋体" w:cs="宋体"/>
                <w:b/>
                <w:bCs/>
                <w:color w:val="auto"/>
                <w:sz w:val="21"/>
                <w:szCs w:val="21"/>
                <w:highlight w:val="none"/>
                <w:u w:val="single"/>
                <w:lang w:val="en-US" w:eastAsia="zh-CN"/>
              </w:rPr>
              <w:t>并</w:t>
            </w:r>
            <w:r>
              <w:rPr>
                <w:rFonts w:hint="eastAsia" w:ascii="宋体" w:hAnsi="宋体" w:eastAsia="宋体" w:cs="宋体"/>
                <w:b/>
                <w:bCs/>
                <w:color w:val="auto"/>
                <w:sz w:val="21"/>
                <w:szCs w:val="21"/>
                <w:highlight w:val="none"/>
                <w:u w:val="single"/>
              </w:rPr>
              <w:t>加盖公章，不提供不得分。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5068C509">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2</w:t>
            </w:r>
            <w:r>
              <w:rPr>
                <w:rFonts w:hint="eastAsia" w:ascii="宋体" w:hAnsi="宋体" w:eastAsia="宋体" w:cs="宋体"/>
                <w:color w:val="auto"/>
                <w:sz w:val="21"/>
                <w:szCs w:val="21"/>
                <w:highlight w:val="none"/>
              </w:rPr>
              <w:t>分</w:t>
            </w:r>
          </w:p>
        </w:tc>
      </w:tr>
      <w:tr w14:paraId="4EACE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9F018FB">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6</w:t>
            </w:r>
          </w:p>
        </w:tc>
        <w:tc>
          <w:tcPr>
            <w:tcW w:w="1110" w:type="dxa"/>
            <w:tcBorders>
              <w:top w:val="single" w:color="auto" w:sz="4" w:space="0"/>
              <w:left w:val="single" w:color="auto" w:sz="4" w:space="0"/>
              <w:bottom w:val="single" w:color="auto" w:sz="4" w:space="0"/>
              <w:right w:val="single" w:color="auto" w:sz="4" w:space="0"/>
            </w:tcBorders>
            <w:vAlign w:val="center"/>
          </w:tcPr>
          <w:p w14:paraId="214F1545">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项目人员配备</w:t>
            </w:r>
          </w:p>
        </w:tc>
        <w:tc>
          <w:tcPr>
            <w:tcW w:w="6997" w:type="dxa"/>
            <w:tcBorders>
              <w:top w:val="single" w:color="auto" w:sz="4" w:space="0"/>
              <w:left w:val="single" w:color="auto" w:sz="4" w:space="0"/>
              <w:bottom w:val="single" w:color="auto" w:sz="4" w:space="0"/>
              <w:right w:val="single" w:color="auto" w:sz="4" w:space="0"/>
            </w:tcBorders>
            <w:vAlign w:val="center"/>
          </w:tcPr>
          <w:p w14:paraId="0B651D4C">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1.活动赛事承办期间有专人负责与相关部门对接、协调的得3分</w:t>
            </w:r>
            <w:r>
              <w:rPr>
                <w:rFonts w:hint="eastAsia" w:hAnsi="宋体" w:cs="宋体"/>
                <w:b w:val="0"/>
                <w:bCs w:val="0"/>
                <w:color w:val="auto"/>
                <w:sz w:val="21"/>
                <w:szCs w:val="21"/>
                <w:highlight w:val="none"/>
                <w:lang w:val="en-US" w:eastAsia="zh-CN"/>
              </w:rPr>
              <w:t>，拥有体育类资质或荣誉的加1分。</w:t>
            </w:r>
          </w:p>
          <w:p w14:paraId="6B9DBB5C">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2.根据活动赛季赛事承办期间，提供的接待人员与工作人员安排计划表评分；人员安排充分、岗位明确的得6分</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人员安排基本满足需求的得4分；人员安排不充分、岗位不明确的得2分。</w:t>
            </w:r>
          </w:p>
          <w:p w14:paraId="3EB015FD">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3.满足本项目要求的主要裁判员人数达到</w:t>
            </w:r>
            <w:r>
              <w:rPr>
                <w:rFonts w:hint="eastAsia"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名的得2分，每增加</w:t>
            </w: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名加1分，最高得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3C3B275F">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4.配备医疗急救小组人员达到2人的得2分，每增加1人加1分，最高得4分。</w:t>
            </w:r>
          </w:p>
          <w:p w14:paraId="338ADC10">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注：提供人员配备表及相关裁判员和医疗卫生相关证书扫描件，未提供的不得分。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53F95F26">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20</w:t>
            </w:r>
            <w:r>
              <w:rPr>
                <w:rFonts w:hint="eastAsia" w:ascii="宋体" w:hAnsi="宋体" w:eastAsia="宋体" w:cs="宋体"/>
                <w:color w:val="auto"/>
                <w:sz w:val="21"/>
                <w:szCs w:val="21"/>
                <w:highlight w:val="none"/>
              </w:rPr>
              <w:t>分</w:t>
            </w:r>
          </w:p>
        </w:tc>
      </w:tr>
      <w:tr w14:paraId="66D4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AC48F6D">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7</w:t>
            </w:r>
          </w:p>
        </w:tc>
        <w:tc>
          <w:tcPr>
            <w:tcW w:w="1110" w:type="dxa"/>
            <w:tcBorders>
              <w:top w:val="single" w:color="auto" w:sz="4" w:space="0"/>
              <w:left w:val="single" w:color="auto" w:sz="4" w:space="0"/>
              <w:bottom w:val="single" w:color="auto" w:sz="4" w:space="0"/>
              <w:right w:val="single" w:color="auto" w:sz="4" w:space="0"/>
            </w:tcBorders>
            <w:vAlign w:val="center"/>
          </w:tcPr>
          <w:p w14:paraId="489B97F3">
            <w:pPr>
              <w:spacing w:line="460" w:lineRule="exact"/>
              <w:jc w:val="center"/>
              <w:textAlignment w:val="baseline"/>
              <w:rPr>
                <w:rFonts w:hint="default"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合理化建议</w:t>
            </w:r>
          </w:p>
        </w:tc>
        <w:tc>
          <w:tcPr>
            <w:tcW w:w="6997" w:type="dxa"/>
            <w:tcBorders>
              <w:top w:val="single" w:color="auto" w:sz="4" w:space="0"/>
              <w:left w:val="single" w:color="auto" w:sz="4" w:space="0"/>
              <w:bottom w:val="single" w:color="auto" w:sz="4" w:space="0"/>
              <w:right w:val="single" w:color="auto" w:sz="4" w:space="0"/>
            </w:tcBorders>
            <w:vAlign w:val="center"/>
          </w:tcPr>
          <w:p w14:paraId="0DAF1298">
            <w:pPr>
              <w:pStyle w:val="43"/>
              <w:widowControl/>
              <w:pBdr>
                <w:top w:val="none" w:color="auto" w:sz="0" w:space="0"/>
                <w:left w:val="none" w:color="auto" w:sz="0" w:space="0"/>
                <w:bottom w:val="none" w:color="auto" w:sz="0" w:space="0"/>
                <w:right w:val="none" w:color="auto" w:sz="0" w:space="0"/>
              </w:pBdr>
              <w:shd w:val="clear" w:fill="FFFFFF"/>
              <w:spacing w:before="132" w:after="378"/>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投</w:t>
            </w:r>
            <w:r>
              <w:rPr>
                <w:rFonts w:hint="eastAsia" w:hAnsi="宋体" w:cs="宋体"/>
                <w:color w:val="auto"/>
                <w:kern w:val="2"/>
                <w:sz w:val="21"/>
                <w:szCs w:val="21"/>
                <w:highlight w:val="none"/>
                <w:lang w:val="en-US" w:eastAsia="zh-CN"/>
              </w:rPr>
              <w:t>标人对金华市青少年足球水平的了解与认识，并结合</w:t>
            </w:r>
            <w:r>
              <w:rPr>
                <w:rFonts w:hint="eastAsia" w:ascii="宋体" w:hAnsi="宋体" w:eastAsia="宋体" w:cs="宋体"/>
                <w:i w:val="0"/>
                <w:iCs w:val="0"/>
                <w:caps w:val="0"/>
                <w:color w:val="auto"/>
                <w:spacing w:val="0"/>
                <w:kern w:val="2"/>
                <w:sz w:val="21"/>
                <w:szCs w:val="21"/>
                <w:highlight w:val="none"/>
                <w:shd w:val="clear"/>
              </w:rPr>
              <w:t>《关于深化体教融合 促进青少年健康发展的意见》</w:t>
            </w:r>
            <w:r>
              <w:rPr>
                <w:rFonts w:hint="eastAsia" w:ascii="宋体" w:hAnsi="宋体" w:cs="宋体"/>
                <w:i w:val="0"/>
                <w:iCs w:val="0"/>
                <w:caps w:val="0"/>
                <w:color w:val="auto"/>
                <w:spacing w:val="0"/>
                <w:kern w:val="2"/>
                <w:sz w:val="21"/>
                <w:szCs w:val="21"/>
                <w:highlight w:val="none"/>
                <w:shd w:val="clear"/>
                <w:lang w:eastAsia="zh-CN"/>
              </w:rPr>
              <w:t>、</w:t>
            </w:r>
            <w:r>
              <w:rPr>
                <w:rFonts w:hint="eastAsia" w:ascii="宋体" w:hAnsi="宋体" w:eastAsia="宋体" w:cs="宋体"/>
                <w:i w:val="0"/>
                <w:iCs w:val="0"/>
                <w:caps w:val="0"/>
                <w:color w:val="auto"/>
                <w:spacing w:val="0"/>
                <w:kern w:val="2"/>
                <w:sz w:val="21"/>
                <w:szCs w:val="21"/>
                <w:highlight w:val="none"/>
                <w:shd w:val="clear"/>
              </w:rPr>
              <w:t>《中国青少年足球联赛赛事组织工作方案（2022-2024年）》</w:t>
            </w:r>
            <w:r>
              <w:rPr>
                <w:rFonts w:hint="eastAsia" w:hAnsi="宋体" w:cs="宋体"/>
                <w:i w:val="0"/>
                <w:iCs w:val="0"/>
                <w:caps w:val="0"/>
                <w:color w:val="auto"/>
                <w:spacing w:val="0"/>
                <w:kern w:val="2"/>
                <w:sz w:val="21"/>
                <w:szCs w:val="21"/>
                <w:highlight w:val="none"/>
                <w:shd w:val="clear"/>
                <w:lang w:val="en-US" w:eastAsia="zh-CN"/>
              </w:rPr>
              <w:t>等</w:t>
            </w:r>
            <w:r>
              <w:rPr>
                <w:rFonts w:hint="eastAsia" w:ascii="宋体" w:hAnsi="宋体" w:eastAsia="宋体" w:cs="宋体"/>
                <w:i w:val="0"/>
                <w:iCs w:val="0"/>
                <w:caps w:val="0"/>
                <w:color w:val="auto"/>
                <w:spacing w:val="0"/>
                <w:kern w:val="2"/>
                <w:sz w:val="21"/>
                <w:szCs w:val="21"/>
                <w:highlight w:val="none"/>
                <w:shd w:val="clear"/>
              </w:rPr>
              <w:t>有关精神和要求，</w:t>
            </w:r>
            <w:r>
              <w:rPr>
                <w:rFonts w:hint="eastAsia" w:hAnsi="宋体" w:cs="宋体"/>
                <w:i w:val="0"/>
                <w:iCs w:val="0"/>
                <w:caps w:val="0"/>
                <w:color w:val="auto"/>
                <w:spacing w:val="0"/>
                <w:kern w:val="2"/>
                <w:sz w:val="21"/>
                <w:szCs w:val="21"/>
                <w:highlight w:val="none"/>
                <w:shd w:val="clear"/>
                <w:lang w:val="en-US" w:eastAsia="zh-CN"/>
              </w:rPr>
              <w:t>对</w:t>
            </w:r>
            <w:r>
              <w:rPr>
                <w:rFonts w:hint="eastAsia" w:cs="宋体"/>
                <w:i w:val="0"/>
                <w:iCs w:val="0"/>
                <w:caps w:val="0"/>
                <w:color w:val="auto"/>
                <w:spacing w:val="0"/>
                <w:kern w:val="2"/>
                <w:sz w:val="21"/>
                <w:szCs w:val="21"/>
                <w:highlight w:val="none"/>
                <w:shd w:val="clear"/>
                <w:lang w:val="en-US" w:eastAsia="zh-CN"/>
              </w:rPr>
              <w:t>金华市</w:t>
            </w:r>
            <w:r>
              <w:rPr>
                <w:rFonts w:hint="eastAsia" w:ascii="宋体" w:hAnsi="宋体" w:eastAsia="宋体" w:cs="宋体"/>
                <w:i w:val="0"/>
                <w:iCs w:val="0"/>
                <w:caps w:val="0"/>
                <w:color w:val="auto"/>
                <w:spacing w:val="0"/>
                <w:kern w:val="2"/>
                <w:sz w:val="21"/>
                <w:szCs w:val="21"/>
                <w:highlight w:val="none"/>
                <w:shd w:val="clear"/>
              </w:rPr>
              <w:t>足球人才培养</w:t>
            </w:r>
            <w:r>
              <w:rPr>
                <w:rFonts w:hint="eastAsia" w:ascii="宋体" w:hAnsi="宋体" w:cs="宋体"/>
                <w:i w:val="0"/>
                <w:iCs w:val="0"/>
                <w:caps w:val="0"/>
                <w:color w:val="auto"/>
                <w:spacing w:val="0"/>
                <w:kern w:val="2"/>
                <w:sz w:val="21"/>
                <w:szCs w:val="21"/>
                <w:highlight w:val="none"/>
                <w:shd w:val="clear"/>
                <w:lang w:eastAsia="zh-CN"/>
              </w:rPr>
              <w:t>、</w:t>
            </w:r>
            <w:r>
              <w:rPr>
                <w:rFonts w:hint="eastAsia" w:ascii="宋体" w:hAnsi="宋体" w:cs="宋体"/>
                <w:i w:val="0"/>
                <w:iCs w:val="0"/>
                <w:caps w:val="0"/>
                <w:color w:val="auto"/>
                <w:spacing w:val="0"/>
                <w:kern w:val="2"/>
                <w:sz w:val="21"/>
                <w:szCs w:val="21"/>
                <w:highlight w:val="none"/>
                <w:shd w:val="clear"/>
                <w:lang w:val="en-US" w:eastAsia="zh-CN"/>
              </w:rPr>
              <w:t>训练、</w:t>
            </w:r>
            <w:r>
              <w:rPr>
                <w:rFonts w:hint="eastAsia" w:ascii="宋体" w:hAnsi="宋体" w:eastAsia="宋体" w:cs="宋体"/>
                <w:i w:val="0"/>
                <w:iCs w:val="0"/>
                <w:caps w:val="0"/>
                <w:color w:val="auto"/>
                <w:spacing w:val="0"/>
                <w:kern w:val="2"/>
                <w:sz w:val="21"/>
                <w:szCs w:val="21"/>
                <w:highlight w:val="none"/>
                <w:shd w:val="clear"/>
              </w:rPr>
              <w:t>优秀球员选拔</w:t>
            </w:r>
            <w:r>
              <w:rPr>
                <w:rFonts w:hint="eastAsia" w:ascii="宋体" w:hAnsi="宋体" w:cs="宋体"/>
                <w:i w:val="0"/>
                <w:iCs w:val="0"/>
                <w:caps w:val="0"/>
                <w:color w:val="auto"/>
                <w:spacing w:val="0"/>
                <w:kern w:val="2"/>
                <w:sz w:val="21"/>
                <w:szCs w:val="21"/>
                <w:highlight w:val="none"/>
                <w:shd w:val="clear"/>
                <w:lang w:eastAsia="zh-CN"/>
              </w:rPr>
              <w:t>、</w:t>
            </w:r>
            <w:r>
              <w:rPr>
                <w:rFonts w:hint="eastAsia" w:ascii="宋体" w:hAnsi="宋体" w:eastAsia="宋体" w:cs="宋体"/>
                <w:i w:val="0"/>
                <w:iCs w:val="0"/>
                <w:caps w:val="0"/>
                <w:color w:val="auto"/>
                <w:spacing w:val="0"/>
                <w:kern w:val="2"/>
                <w:sz w:val="21"/>
                <w:szCs w:val="21"/>
                <w:highlight w:val="none"/>
                <w:shd w:val="clear"/>
              </w:rPr>
              <w:t>地方青少年赛事发展</w:t>
            </w:r>
            <w:r>
              <w:rPr>
                <w:rFonts w:hint="eastAsia" w:cs="宋体"/>
                <w:i w:val="0"/>
                <w:iCs w:val="0"/>
                <w:caps w:val="0"/>
                <w:color w:val="auto"/>
                <w:spacing w:val="0"/>
                <w:kern w:val="2"/>
                <w:sz w:val="21"/>
                <w:szCs w:val="21"/>
                <w:highlight w:val="none"/>
                <w:shd w:val="clear"/>
                <w:lang w:val="en-US" w:eastAsia="zh-CN"/>
              </w:rPr>
              <w:t>等提出合理化建议，并提出服务期内拟采取的</w:t>
            </w:r>
            <w:r>
              <w:rPr>
                <w:rFonts w:hint="eastAsia" w:ascii="宋体" w:hAnsi="宋体" w:eastAsia="宋体" w:cs="宋体"/>
                <w:i w:val="0"/>
                <w:iCs w:val="0"/>
                <w:caps w:val="0"/>
                <w:color w:val="auto"/>
                <w:spacing w:val="0"/>
                <w:kern w:val="2"/>
                <w:sz w:val="21"/>
                <w:szCs w:val="21"/>
                <w:highlight w:val="none"/>
                <w:shd w:val="clear"/>
              </w:rPr>
              <w:t>创新</w:t>
            </w:r>
            <w:r>
              <w:rPr>
                <w:rFonts w:hint="eastAsia" w:cs="宋体"/>
                <w:i w:val="0"/>
                <w:iCs w:val="0"/>
                <w:caps w:val="0"/>
                <w:color w:val="auto"/>
                <w:spacing w:val="0"/>
                <w:kern w:val="2"/>
                <w:sz w:val="21"/>
                <w:szCs w:val="21"/>
                <w:highlight w:val="none"/>
                <w:shd w:val="clear"/>
                <w:lang w:val="en-US" w:eastAsia="zh-CN"/>
              </w:rPr>
              <w:t>工作</w:t>
            </w:r>
            <w:r>
              <w:rPr>
                <w:rFonts w:hint="eastAsia" w:ascii="宋体" w:hAnsi="宋体" w:eastAsia="宋体" w:cs="宋体"/>
                <w:i w:val="0"/>
                <w:iCs w:val="0"/>
                <w:caps w:val="0"/>
                <w:color w:val="auto"/>
                <w:spacing w:val="0"/>
                <w:kern w:val="2"/>
                <w:sz w:val="21"/>
                <w:szCs w:val="21"/>
                <w:highlight w:val="none"/>
                <w:shd w:val="clear"/>
              </w:rPr>
              <w:t>方式</w:t>
            </w:r>
            <w:r>
              <w:rPr>
                <w:rFonts w:hint="eastAsia" w:ascii="宋体" w:hAnsi="宋体" w:cs="宋体"/>
                <w:i w:val="0"/>
                <w:iCs w:val="0"/>
                <w:caps w:val="0"/>
                <w:color w:val="auto"/>
                <w:spacing w:val="0"/>
                <w:kern w:val="2"/>
                <w:sz w:val="21"/>
                <w:szCs w:val="21"/>
                <w:highlight w:val="none"/>
                <w:shd w:val="clear"/>
                <w:lang w:eastAsia="zh-CN"/>
              </w:rPr>
              <w:t>。</w:t>
            </w:r>
            <w:r>
              <w:rPr>
                <w:rFonts w:hint="eastAsia" w:ascii="宋体" w:hAnsi="宋体" w:eastAsia="宋体" w:cs="宋体"/>
                <w:color w:val="auto"/>
                <w:sz w:val="21"/>
                <w:szCs w:val="21"/>
                <w:highlight w:val="none"/>
              </w:rPr>
              <w:t>最高得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tc>
        <w:tc>
          <w:tcPr>
            <w:tcW w:w="1043" w:type="dxa"/>
            <w:tcBorders>
              <w:top w:val="single" w:color="auto" w:sz="4" w:space="0"/>
              <w:left w:val="single" w:color="auto" w:sz="4" w:space="0"/>
              <w:bottom w:val="single" w:color="auto" w:sz="4" w:space="0"/>
              <w:right w:val="single" w:color="auto" w:sz="4" w:space="0"/>
            </w:tcBorders>
            <w:vAlign w:val="center"/>
          </w:tcPr>
          <w:p w14:paraId="6B19D45C">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r>
      <w:tr w14:paraId="50733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9C7C09E">
            <w:pPr>
              <w:pStyle w:val="28"/>
              <w:keepNext w:val="0"/>
              <w:keepLines w:val="0"/>
              <w:pageBreakBefore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8</w:t>
            </w:r>
          </w:p>
        </w:tc>
        <w:tc>
          <w:tcPr>
            <w:tcW w:w="1110" w:type="dxa"/>
            <w:tcBorders>
              <w:top w:val="single" w:color="auto" w:sz="4" w:space="0"/>
              <w:left w:val="single" w:color="auto" w:sz="4" w:space="0"/>
              <w:bottom w:val="single" w:color="auto" w:sz="4" w:space="0"/>
              <w:right w:val="single" w:color="auto" w:sz="4" w:space="0"/>
            </w:tcBorders>
            <w:vAlign w:val="center"/>
          </w:tcPr>
          <w:p w14:paraId="6D068A90">
            <w:pPr>
              <w:spacing w:line="460" w:lineRule="exact"/>
              <w:jc w:val="center"/>
              <w:textAlignment w:val="baseline"/>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rPr>
              <w:t>政策分</w:t>
            </w:r>
          </w:p>
        </w:tc>
        <w:tc>
          <w:tcPr>
            <w:tcW w:w="6997" w:type="dxa"/>
            <w:tcBorders>
              <w:top w:val="single" w:color="auto" w:sz="4" w:space="0"/>
              <w:left w:val="single" w:color="auto" w:sz="4" w:space="0"/>
              <w:bottom w:val="single" w:color="auto" w:sz="4" w:space="0"/>
              <w:right w:val="single" w:color="auto" w:sz="4" w:space="0"/>
            </w:tcBorders>
            <w:vAlign w:val="center"/>
          </w:tcPr>
          <w:p w14:paraId="4CD5F93D">
            <w:pPr>
              <w:spacing w:line="460" w:lineRule="exact"/>
              <w:textAlignment w:val="baseline"/>
              <w:rPr>
                <w:rFonts w:hint="eastAsia" w:ascii="宋体" w:hAnsi="宋体" w:eastAsia="宋体" w:cs="宋体"/>
                <w:b/>
                <w:bCs/>
                <w:color w:val="auto"/>
                <w:sz w:val="21"/>
                <w:szCs w:val="21"/>
                <w:highlight w:val="none"/>
                <w:lang w:val="en-US" w:eastAsia="zh-CN"/>
              </w:rPr>
            </w:pPr>
            <w:r>
              <w:rPr>
                <w:rFonts w:hint="eastAsia" w:hAnsi="宋体" w:cs="宋体"/>
                <w:color w:val="auto"/>
                <w:sz w:val="21"/>
                <w:szCs w:val="21"/>
                <w:highlight w:val="none"/>
              </w:rPr>
              <w:t>响应供应商符合《政府采购货物和服务招标投标管理办法》第五条规定，属“节约能源、保护环境、扶持不发达地区和少数民族地区等”政府采购政策扶持对象的（注：“促进中小企业发展”等政府采购政策评审时将在“价格分”中进行政策性价格扣除的类目，此处不予以计分），提供相关证明材料和政策依据，每符合一项得1分，最高可得2分；未提供相关证明材料的不得分。（提供相关证明材料和政策依据备查）。</w:t>
            </w:r>
          </w:p>
        </w:tc>
        <w:tc>
          <w:tcPr>
            <w:tcW w:w="1043" w:type="dxa"/>
            <w:tcBorders>
              <w:top w:val="single" w:color="auto" w:sz="4" w:space="0"/>
              <w:left w:val="single" w:color="auto" w:sz="4" w:space="0"/>
              <w:bottom w:val="single" w:color="auto" w:sz="4" w:space="0"/>
              <w:right w:val="single" w:color="auto" w:sz="4" w:space="0"/>
            </w:tcBorders>
            <w:vAlign w:val="center"/>
          </w:tcPr>
          <w:p w14:paraId="0D231FCD">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1592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777" w:type="dxa"/>
            <w:gridSpan w:val="3"/>
            <w:tcBorders>
              <w:top w:val="single" w:color="auto" w:sz="4" w:space="0"/>
              <w:left w:val="single" w:color="auto" w:sz="4" w:space="0"/>
              <w:bottom w:val="single" w:color="auto" w:sz="4" w:space="0"/>
              <w:right w:val="single" w:color="auto" w:sz="4" w:space="0"/>
            </w:tcBorders>
            <w:vAlign w:val="center"/>
          </w:tcPr>
          <w:p w14:paraId="7A3E70EE">
            <w:pPr>
              <w:spacing w:line="460" w:lineRule="exact"/>
              <w:jc w:val="center"/>
              <w:textAlignment w:val="baseline"/>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总分</w:t>
            </w:r>
          </w:p>
        </w:tc>
        <w:tc>
          <w:tcPr>
            <w:tcW w:w="1043" w:type="dxa"/>
            <w:tcBorders>
              <w:top w:val="single" w:color="auto" w:sz="4" w:space="0"/>
              <w:left w:val="single" w:color="auto" w:sz="4" w:space="0"/>
              <w:bottom w:val="single" w:color="auto" w:sz="4" w:space="0"/>
              <w:right w:val="single" w:color="auto" w:sz="4" w:space="0"/>
            </w:tcBorders>
            <w:vAlign w:val="center"/>
          </w:tcPr>
          <w:p w14:paraId="1F4421D5">
            <w:pPr>
              <w:pStyle w:val="26"/>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85</w:t>
            </w:r>
          </w:p>
        </w:tc>
      </w:tr>
    </w:tbl>
    <w:p w14:paraId="25BCA4EF">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四、技术商务分的计算</w:t>
      </w:r>
    </w:p>
    <w:p w14:paraId="3E05E1C0">
      <w:pPr>
        <w:autoSpaceDE/>
        <w:autoSpaceDN/>
        <w:adjustRightInd/>
        <w:spacing w:line="5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技术商务分按照磋商小组评判专家成员的独立评分结果汇总数后的算术平均分计算，计算公式：技术商务分=（磋商小组所有成员评分合计数）/（磋商小组组成人员数）。</w:t>
      </w:r>
    </w:p>
    <w:p w14:paraId="471EA2E3">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五、成交原则</w:t>
      </w:r>
    </w:p>
    <w:p w14:paraId="4D3314EA">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1.严格按照采购文件规定“综合评分法，得分最高者成交”的原则确定成交供应商，法律法规和国家政策另有规定的从其规定。</w:t>
      </w:r>
    </w:p>
    <w:p w14:paraId="57210CF1">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2.经成交结果公示期满无异议，成交候选供应商即成为成交供应商。</w:t>
      </w:r>
    </w:p>
    <w:p w14:paraId="6424AA99">
      <w:pPr>
        <w:autoSpaceDE/>
        <w:autoSpaceDN/>
        <w:adjustRightInd/>
        <w:spacing w:line="500" w:lineRule="exact"/>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六、保密及其它注意事项</w:t>
      </w:r>
    </w:p>
    <w:p w14:paraId="0298470A">
      <w:pPr>
        <w:autoSpaceDE/>
        <w:autoSpaceDN/>
        <w:adjustRightInd/>
        <w:spacing w:line="500" w:lineRule="exact"/>
        <w:ind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1.评审是磋商过程中的重要环节，评审工作在磋商小组成员内独立进行。磋商小组将遵照评分原则，公正、公平、客观地对待所有供应商。</w:t>
      </w:r>
    </w:p>
    <w:p w14:paraId="5807189D">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2.在磋商期间，供应商不得向磋商小组询问评分情况，不得进行旨在影响磋商评审结果的活动。</w:t>
      </w:r>
    </w:p>
    <w:p w14:paraId="093940E2">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3.为保证确定成交人的公正性，在磋商评审过程中，磋商小组成员不得与供应商私下交换意见。在磋商工作结束后与磋商评审工作有接触的任何人，不得将评分情况外泄。</w:t>
      </w:r>
    </w:p>
    <w:p w14:paraId="73EAF8AE">
      <w:pPr>
        <w:spacing w:line="500" w:lineRule="exact"/>
        <w:rPr>
          <w:rFonts w:hint="eastAsia" w:ascii="宋体" w:hAnsi="宋体" w:eastAsia="宋体" w:cs="宋体"/>
          <w:color w:val="auto"/>
          <w:highlight w:val="none"/>
        </w:rPr>
      </w:pPr>
      <w:bookmarkStart w:id="201" w:name="_Toc19020"/>
      <w:r>
        <w:rPr>
          <w:rFonts w:hint="eastAsia" w:ascii="宋体" w:hAnsi="宋体" w:eastAsia="宋体" w:cs="宋体"/>
          <w:color w:val="auto"/>
          <w:highlight w:val="none"/>
        </w:rPr>
        <w:br w:type="page"/>
      </w:r>
    </w:p>
    <w:p w14:paraId="3DCFA278">
      <w:pPr>
        <w:pStyle w:val="4"/>
        <w:spacing w:beforeLines="50" w:afterLines="50" w:line="360" w:lineRule="auto"/>
        <w:jc w:val="center"/>
        <w:rPr>
          <w:rFonts w:hint="eastAsia" w:ascii="宋体" w:hAnsi="宋体" w:eastAsia="宋体" w:cs="宋体"/>
          <w:color w:val="auto"/>
          <w:sz w:val="32"/>
          <w:szCs w:val="32"/>
          <w:highlight w:val="none"/>
        </w:rPr>
      </w:pPr>
      <w:bookmarkStart w:id="202" w:name="_Toc28740"/>
      <w:bookmarkStart w:id="203" w:name="_Toc23104"/>
      <w:bookmarkStart w:id="204" w:name="_Toc30824"/>
      <w:bookmarkStart w:id="205" w:name="_Toc1110"/>
      <w:bookmarkStart w:id="206" w:name="_Toc30140"/>
      <w:bookmarkStart w:id="207" w:name="_Toc727"/>
      <w:bookmarkStart w:id="208" w:name="_Toc31064"/>
      <w:bookmarkStart w:id="209" w:name="_Toc3295"/>
      <w:bookmarkStart w:id="210" w:name="_Toc579"/>
      <w:bookmarkStart w:id="211" w:name="_Toc19876"/>
      <w:bookmarkStart w:id="212" w:name="_Toc3974"/>
      <w:bookmarkStart w:id="213" w:name="_Toc20673"/>
      <w:bookmarkStart w:id="214" w:name="_Toc7308"/>
      <w:bookmarkStart w:id="215" w:name="_Toc8633"/>
      <w:bookmarkStart w:id="216" w:name="_Toc29758"/>
      <w:bookmarkStart w:id="217" w:name="_Toc22859"/>
      <w:bookmarkStart w:id="218" w:name="_Toc14202"/>
      <w:bookmarkStart w:id="219" w:name="_Toc4860"/>
      <w:r>
        <w:rPr>
          <w:rFonts w:hint="eastAsia" w:ascii="宋体" w:hAnsi="宋体" w:eastAsia="宋体" w:cs="宋体"/>
          <w:color w:val="auto"/>
          <w:sz w:val="32"/>
          <w:szCs w:val="32"/>
          <w:highlight w:val="none"/>
        </w:rPr>
        <w:t>第五部分  合同主要条款</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188"/>
    <w:bookmarkEnd w:id="189"/>
    <w:bookmarkEnd w:id="190"/>
    <w:bookmarkEnd w:id="191"/>
    <w:bookmarkEnd w:id="192"/>
    <w:bookmarkEnd w:id="193"/>
    <w:bookmarkEnd w:id="194"/>
    <w:bookmarkEnd w:id="195"/>
    <w:bookmarkEnd w:id="196"/>
    <w:bookmarkEnd w:id="197"/>
    <w:bookmarkEnd w:id="198"/>
    <w:p w14:paraId="1322CDD5">
      <w:pPr>
        <w:spacing w:line="460" w:lineRule="exact"/>
        <w:ind w:firstLine="420" w:firstLineChars="200"/>
        <w:jc w:val="both"/>
        <w:rPr>
          <w:rFonts w:hint="eastAsia" w:ascii="宋体" w:hAnsi="宋体" w:eastAsia="宋体" w:cs="宋体"/>
          <w:color w:val="auto"/>
          <w:sz w:val="21"/>
          <w:szCs w:val="21"/>
          <w:highlight w:val="none"/>
        </w:rPr>
      </w:pPr>
      <w:bookmarkStart w:id="220" w:name="_Toc237182505"/>
      <w:bookmarkStart w:id="221" w:name="_Toc295737635"/>
      <w:bookmarkStart w:id="222" w:name="_Toc264211077"/>
      <w:bookmarkStart w:id="223" w:name="_Toc295910883"/>
      <w:bookmarkStart w:id="224" w:name="_Toc499294825"/>
      <w:bookmarkStart w:id="225" w:name="_Toc265065989"/>
      <w:bookmarkStart w:id="226" w:name="_Toc296074346"/>
      <w:bookmarkStart w:id="227" w:name="_Toc184785934"/>
      <w:bookmarkStart w:id="228" w:name="_Toc256977545"/>
      <w:bookmarkStart w:id="229" w:name="_Toc237340113"/>
      <w:bookmarkStart w:id="230" w:name="_Toc237193457"/>
      <w:bookmarkStart w:id="231" w:name="_Toc217289136"/>
      <w:bookmarkStart w:id="232" w:name="_Toc237176512"/>
      <w:bookmarkStart w:id="233" w:name="_Toc237414014"/>
      <w:bookmarkStart w:id="234" w:name="_Toc237413919"/>
      <w:bookmarkStart w:id="235" w:name="_Toc237189786"/>
      <w:r>
        <w:rPr>
          <w:rFonts w:hint="eastAsia" w:ascii="宋体" w:hAnsi="宋体" w:eastAsia="宋体" w:cs="宋体"/>
          <w:color w:val="auto"/>
          <w:sz w:val="21"/>
          <w:szCs w:val="21"/>
          <w:highlight w:val="none"/>
        </w:rPr>
        <w:t xml:space="preserve">项目名称：                                         </w:t>
      </w:r>
    </w:p>
    <w:p w14:paraId="6F3402EA">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3CA7B3E8">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 </w:t>
      </w:r>
    </w:p>
    <w:p w14:paraId="4312E0A4">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乙方（供应商）： </w:t>
      </w:r>
    </w:p>
    <w:p w14:paraId="3CB9DC83">
      <w:pPr>
        <w:spacing w:line="4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ascii="宋体" w:hAnsi="宋体" w:eastAsia="宋体" w:cs="宋体"/>
          <w:color w:val="auto"/>
          <w:kern w:val="2"/>
          <w:sz w:val="21"/>
          <w:highlight w:val="none"/>
        </w:rPr>
        <w:t>竞争性磋商采购</w:t>
      </w:r>
      <w:r>
        <w:rPr>
          <w:rFonts w:hint="eastAsia" w:ascii="宋体" w:hAnsi="宋体" w:eastAsia="宋体" w:cs="宋体"/>
          <w:color w:val="auto"/>
          <w:sz w:val="21"/>
          <w:szCs w:val="21"/>
          <w:highlight w:val="none"/>
        </w:rPr>
        <w:t>的结果，签署本合同。</w:t>
      </w:r>
    </w:p>
    <w:p w14:paraId="658E33D9">
      <w:pPr>
        <w:autoSpaceDE/>
        <w:adjustRightInd/>
        <w:spacing w:line="500" w:lineRule="exact"/>
        <w:ind w:firstLine="422" w:firstLineChars="200"/>
        <w:contextualSpacing/>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下列文件为本合同不可分割部分：</w:t>
      </w:r>
    </w:p>
    <w:p w14:paraId="42706C4D">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3E135D54">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2.乙方的磋商响应文件。</w:t>
      </w:r>
    </w:p>
    <w:p w14:paraId="212F4312">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3.甲方的磋商采购文件。</w:t>
      </w:r>
    </w:p>
    <w:p w14:paraId="7A0298FA">
      <w:pPr>
        <w:autoSpaceDE/>
        <w:adjustRightInd/>
        <w:spacing w:line="500" w:lineRule="exact"/>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4.乙方在磋商过程中所作的其它承诺、声明、书面澄清等。</w:t>
      </w:r>
    </w:p>
    <w:p w14:paraId="3469770B">
      <w:pPr>
        <w:keepNext w:val="0"/>
        <w:keepLines w:val="0"/>
        <w:pageBreakBefore w:val="0"/>
        <w:numPr>
          <w:ilvl w:val="0"/>
          <w:numId w:val="0"/>
        </w:numPr>
        <w:kinsoku/>
        <w:wordWrap/>
        <w:overflowPunct/>
        <w:topLinePunct w:val="0"/>
        <w:bidi w:val="0"/>
        <w:snapToGrid w:val="0"/>
        <w:spacing w:line="500" w:lineRule="exact"/>
        <w:ind w:left="0" w:leftChars="0" w:firstLine="422" w:firstLineChars="200"/>
        <w:outlineLvl w:val="9"/>
        <w:rPr>
          <w:rFonts w:hint="eastAsia" w:hAnsi="宋体" w:cs="宋体"/>
          <w:b/>
          <w:bCs w:val="0"/>
          <w:color w:val="auto"/>
          <w:sz w:val="21"/>
          <w:szCs w:val="21"/>
          <w:highlight w:val="none"/>
          <w:lang w:val="en-US" w:eastAsia="zh-CN"/>
        </w:rPr>
      </w:pPr>
      <w:r>
        <w:rPr>
          <w:rFonts w:hint="eastAsia" w:hAnsi="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w:t>
      </w:r>
      <w:r>
        <w:rPr>
          <w:rFonts w:hint="eastAsia" w:hAnsi="宋体" w:cs="宋体"/>
          <w:b/>
          <w:bCs w:val="0"/>
          <w:color w:val="auto"/>
          <w:sz w:val="21"/>
          <w:szCs w:val="21"/>
          <w:highlight w:val="none"/>
          <w:lang w:val="en-US" w:eastAsia="zh-CN"/>
        </w:rPr>
        <w:t>合同金额</w:t>
      </w:r>
    </w:p>
    <w:p w14:paraId="29FD99B5">
      <w:pPr>
        <w:spacing w:line="460" w:lineRule="exact"/>
        <w:ind w:firstLine="420" w:firstLineChars="200"/>
        <w:jc w:val="both"/>
        <w:rPr>
          <w:rFonts w:hint="default"/>
          <w:color w:val="auto"/>
          <w:highlight w:val="none"/>
          <w:lang w:val="en-US" w:eastAsia="zh-CN"/>
        </w:rPr>
      </w:pPr>
      <w:r>
        <w:rPr>
          <w:rFonts w:hint="eastAsia" w:hAnsi="宋体" w:eastAsia="宋体" w:cs="宋体"/>
          <w:color w:val="auto"/>
          <w:sz w:val="21"/>
          <w:szCs w:val="21"/>
          <w:highlight w:val="none"/>
        </w:rPr>
        <w:t>本</w:t>
      </w:r>
      <w:r>
        <w:rPr>
          <w:rFonts w:hint="eastAsia" w:hAnsi="宋体" w:cs="宋体"/>
          <w:color w:val="auto"/>
          <w:sz w:val="21"/>
          <w:szCs w:val="21"/>
          <w:highlight w:val="none"/>
          <w:lang w:val="en-US" w:eastAsia="zh-CN"/>
        </w:rPr>
        <w:t>项目活动</w:t>
      </w:r>
      <w:r>
        <w:rPr>
          <w:rFonts w:hint="eastAsia" w:hAnsi="宋体" w:eastAsia="宋体" w:cs="宋体"/>
          <w:color w:val="auto"/>
          <w:sz w:val="21"/>
          <w:szCs w:val="21"/>
          <w:highlight w:val="none"/>
        </w:rPr>
        <w:t>合同金额为（大写）：________________元（￥_______________元）人民币。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w:t>
      </w:r>
      <w:r>
        <w:rPr>
          <w:rFonts w:hint="eastAsia" w:ascii="宋体" w:hAnsi="宋体" w:eastAsia="宋体" w:cs="宋体"/>
          <w:b w:val="0"/>
          <w:bCs w:val="0"/>
          <w:color w:val="auto"/>
          <w:sz w:val="21"/>
          <w:szCs w:val="21"/>
          <w:highlight w:val="none"/>
          <w:lang w:val="en-US" w:eastAsia="zh-CN"/>
        </w:rPr>
        <w:t>承办金华市青少年足球锦标赛</w:t>
      </w:r>
      <w:r>
        <w:rPr>
          <w:rFonts w:hint="eastAsia" w:ascii="宋体" w:hAnsi="宋体" w:eastAsia="宋体" w:cs="宋体"/>
          <w:color w:val="auto"/>
          <w:sz w:val="21"/>
          <w:szCs w:val="21"/>
          <w:highlight w:val="none"/>
          <w:lang w:val="en-US" w:eastAsia="zh-CN"/>
        </w:rPr>
        <w:t>活动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w:t>
      </w:r>
      <w:r>
        <w:rPr>
          <w:rFonts w:hint="eastAsia" w:ascii="宋体" w:hAnsi="宋体" w:eastAsia="宋体" w:cs="宋体"/>
          <w:b w:val="0"/>
          <w:bCs w:val="0"/>
          <w:color w:val="auto"/>
          <w:sz w:val="21"/>
          <w:szCs w:val="21"/>
          <w:highlight w:val="none"/>
          <w:lang w:val="en-US" w:eastAsia="zh-CN"/>
        </w:rPr>
        <w:t>全年训练足球场地（用于足球场市级足球赛地的维护）</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金华市业余足球联赛</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参加浙江省足球超级联赛</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参加群众体育五冠金华市海选赛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hAnsi="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参加全国足球城市联赛两个阶段</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全国青少年女子u系列足球比赛（不包括比赛期间的场地使用费）</w:t>
      </w:r>
      <w:r>
        <w:rPr>
          <w:rFonts w:hint="eastAsia"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w:t>
      </w:r>
    </w:p>
    <w:p w14:paraId="3486C968">
      <w:pPr>
        <w:keepNext w:val="0"/>
        <w:keepLines w:val="0"/>
        <w:pageBreakBefore w:val="0"/>
        <w:numPr>
          <w:ilvl w:val="0"/>
          <w:numId w:val="0"/>
        </w:numPr>
        <w:kinsoku/>
        <w:wordWrap/>
        <w:overflowPunct/>
        <w:topLinePunct w:val="0"/>
        <w:bidi w:val="0"/>
        <w:snapToGrid w:val="0"/>
        <w:spacing w:line="500" w:lineRule="exact"/>
        <w:ind w:left="0" w:leftChars="0" w:firstLine="422" w:firstLineChars="200"/>
        <w:outlineLvl w:val="9"/>
        <w:rPr>
          <w:rFonts w:hint="eastAsia"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三、</w:t>
      </w:r>
      <w:r>
        <w:rPr>
          <w:rFonts w:hint="eastAsia" w:hAnsi="宋体" w:cs="宋体"/>
          <w:b/>
          <w:bCs w:val="0"/>
          <w:color w:val="auto"/>
          <w:sz w:val="21"/>
          <w:szCs w:val="21"/>
          <w:highlight w:val="none"/>
          <w:lang w:val="en-US" w:eastAsia="zh-CN"/>
        </w:rPr>
        <w:t>合同</w:t>
      </w:r>
      <w:r>
        <w:rPr>
          <w:rFonts w:hint="eastAsia" w:ascii="宋体" w:hAnsi="宋体" w:eastAsia="宋体" w:cs="宋体"/>
          <w:b/>
          <w:bCs/>
          <w:color w:val="auto"/>
          <w:sz w:val="21"/>
          <w:szCs w:val="21"/>
          <w:highlight w:val="none"/>
          <w:lang w:val="en-US" w:eastAsia="zh-CN"/>
        </w:rPr>
        <w:t>服务</w:t>
      </w:r>
      <w:r>
        <w:rPr>
          <w:rFonts w:hint="eastAsia" w:hAnsi="宋体" w:cs="宋体"/>
          <w:b/>
          <w:bCs/>
          <w:color w:val="auto"/>
          <w:sz w:val="21"/>
          <w:szCs w:val="21"/>
          <w:highlight w:val="none"/>
          <w:lang w:val="en-US" w:eastAsia="zh-CN"/>
        </w:rPr>
        <w:t>内容</w:t>
      </w:r>
    </w:p>
    <w:p w14:paraId="5F7D743E">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完成俱乐部、球员的注册，上报省足协备案，按浙超组委会规范开展赛前各部门业务培训及金华赛区的比赛场地的确定，场地的软件和硬件要求符合比赛要求，做好赛区的接待工作包括省派官员</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比赛监督</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商务监督</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裁判监督及裁判员的吃住行和费用报销等，联系媒体参与比赛的报道，进行现场直播</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拍摄等，招募赛区工作人员包括旗手</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球童</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引导人员，根据要求部署安保人员，联系</w:t>
      </w:r>
      <w:r>
        <w:rPr>
          <w:rFonts w:hint="eastAsia" w:hAnsi="宋体" w:eastAsia="宋体" w:cs="宋体"/>
          <w:color w:val="auto"/>
          <w:sz w:val="21"/>
          <w:szCs w:val="21"/>
          <w:highlight w:val="none"/>
          <w:lang w:eastAsia="zh-CN"/>
        </w:rPr>
        <w:t>卫健委</w:t>
      </w:r>
      <w:r>
        <w:rPr>
          <w:rFonts w:hint="eastAsia" w:ascii="宋体" w:hAnsi="宋体" w:eastAsia="宋体" w:cs="宋体"/>
          <w:color w:val="auto"/>
          <w:sz w:val="21"/>
          <w:szCs w:val="21"/>
          <w:highlight w:val="none"/>
        </w:rPr>
        <w:t>安排急救车及救护人员，组织球迷主客场的助威活动，培养金华本土的足球文化，提高金华足球氛围在全省的地位。</w:t>
      </w:r>
    </w:p>
    <w:p w14:paraId="5246DC27">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挑选符合比赛要求的运动员和教练员组建金华代表队的日常训练，热身赛及参加浙超联赛，负责金华代表队的训练及比赛期间的吃住行的服务工作，比赛及训练中的医疗保障，赛前赛中及赛后的宣传工作等。</w:t>
      </w:r>
    </w:p>
    <w:p w14:paraId="5BA8FDA4">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w:t>
      </w:r>
      <w:r>
        <w:rPr>
          <w:rFonts w:hint="eastAsia" w:hAnsi="宋体" w:eastAsia="宋体" w:cs="宋体"/>
          <w:color w:val="auto"/>
          <w:sz w:val="21"/>
          <w:szCs w:val="21"/>
          <w:highlight w:val="none"/>
          <w:lang w:val="en-US" w:eastAsia="zh-CN"/>
        </w:rPr>
        <w:t>202</w:t>
      </w:r>
      <w:r>
        <w:rPr>
          <w:rFonts w:hint="eastAsia" w:hAnsi="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五冠金华市海选赛比赛组织安排。</w:t>
      </w:r>
    </w:p>
    <w:p w14:paraId="12E7F2E4">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完成市级足球项目竞技体育赛事活动（金华市青少年足球锦标赛）</w:t>
      </w:r>
    </w:p>
    <w:p w14:paraId="7E83885C">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工作要求</w:t>
      </w:r>
    </w:p>
    <w:p w14:paraId="3328B56F">
      <w:pPr>
        <w:keepNext w:val="0"/>
        <w:keepLines w:val="0"/>
        <w:pageBreakBefore w:val="0"/>
        <w:widowControl w:val="0"/>
        <w:kinsoku/>
        <w:wordWrap/>
        <w:overflowPunct/>
        <w:topLinePunct w:val="0"/>
        <w:bidi w:val="0"/>
        <w:snapToGri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前期筹备</w:t>
      </w:r>
    </w:p>
    <w:p w14:paraId="3D351764">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参加省足协组织的浙超联赛筹备会议，明确承办要求，参赛注意事项</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确定球队主教练、助理教练等教练组团队人员，签订工作合同</w:t>
      </w:r>
      <w:r>
        <w:rPr>
          <w:rFonts w:hint="eastAsia" w:ascii="宋体" w:hAnsi="宋体" w:eastAsia="宋体" w:cs="宋体"/>
          <w:color w:val="auto"/>
          <w:sz w:val="21"/>
          <w:szCs w:val="21"/>
          <w:highlight w:val="none"/>
          <w:lang w:val="en-US" w:eastAsia="zh-CN"/>
        </w:rPr>
        <w:t>；</w:t>
      </w:r>
    </w:p>
    <w:p w14:paraId="13CD885A">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组织完成</w:t>
      </w:r>
      <w:r>
        <w:rPr>
          <w:rFonts w:hint="eastAsia" w:hAnsi="宋体" w:cs="宋体"/>
          <w:color w:val="auto"/>
          <w:sz w:val="21"/>
          <w:szCs w:val="21"/>
          <w:highlight w:val="none"/>
          <w:lang w:val="en-US" w:eastAsia="zh-CN"/>
        </w:rPr>
        <w:t>2025年</w:t>
      </w:r>
      <w:r>
        <w:rPr>
          <w:rFonts w:hint="eastAsia" w:ascii="宋体" w:hAnsi="宋体" w:eastAsia="宋体" w:cs="宋体"/>
          <w:color w:val="auto"/>
          <w:sz w:val="21"/>
          <w:szCs w:val="21"/>
          <w:highlight w:val="none"/>
        </w:rPr>
        <w:t>五冠金华市海选赛</w:t>
      </w:r>
      <w:r>
        <w:rPr>
          <w:rFonts w:hint="eastAsia" w:ascii="宋体" w:hAnsi="宋体" w:eastAsia="宋体" w:cs="宋体"/>
          <w:color w:val="auto"/>
          <w:sz w:val="21"/>
          <w:szCs w:val="21"/>
          <w:highlight w:val="none"/>
          <w:lang w:val="en-US" w:eastAsia="zh-CN"/>
        </w:rPr>
        <w:t>；</w:t>
      </w:r>
    </w:p>
    <w:p w14:paraId="5F903848">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组织完成市级足球项目竞技体育赛事活动（金华市青少年足球锦标赛）</w:t>
      </w:r>
      <w:r>
        <w:rPr>
          <w:rFonts w:hint="eastAsia" w:ascii="宋体" w:hAnsi="宋体" w:eastAsia="宋体" w:cs="宋体"/>
          <w:color w:val="auto"/>
          <w:sz w:val="21"/>
          <w:szCs w:val="21"/>
          <w:highlight w:val="none"/>
          <w:lang w:val="en-US" w:eastAsia="zh-CN"/>
        </w:rPr>
        <w:t>；</w:t>
      </w:r>
    </w:p>
    <w:p w14:paraId="23697A33">
      <w:pPr>
        <w:keepNext w:val="0"/>
        <w:keepLines w:val="0"/>
        <w:pageBreakBefore w:val="0"/>
        <w:widowControl w:val="0"/>
        <w:kinsoku/>
        <w:wordWrap/>
        <w:overflowPunct/>
        <w:topLinePunct w:val="0"/>
        <w:bidi w:val="0"/>
        <w:snapToGrid/>
        <w:spacing w:line="50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帮助参加浙超俱乐部寻找优秀队员，根据球队的人员确定战术打法，制定浙超联赛期间训练计划，赛事开始前组织球员赴杭州、上海等地进行集训，与省足协进行对接，完成球员的转会、注册、备案</w:t>
      </w:r>
      <w:r>
        <w:rPr>
          <w:rFonts w:hint="eastAsia" w:ascii="宋体" w:hAnsi="宋体" w:eastAsia="宋体" w:cs="宋体"/>
          <w:color w:val="auto"/>
          <w:sz w:val="21"/>
          <w:szCs w:val="21"/>
          <w:highlight w:val="none"/>
          <w:lang w:val="en-US" w:eastAsia="zh-CN"/>
        </w:rPr>
        <w:t>；</w:t>
      </w:r>
    </w:p>
    <w:p w14:paraId="0F03389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与球员签订合同，购买赛事期间的保险，完成球员的体检工作</w:t>
      </w:r>
      <w:r>
        <w:rPr>
          <w:rFonts w:hint="eastAsia" w:ascii="宋体" w:hAnsi="宋体" w:eastAsia="宋体" w:cs="宋体"/>
          <w:color w:val="auto"/>
          <w:sz w:val="21"/>
          <w:szCs w:val="21"/>
          <w:highlight w:val="none"/>
          <w:lang w:val="en-US" w:eastAsia="zh-CN"/>
        </w:rPr>
        <w:t>；</w:t>
      </w:r>
    </w:p>
    <w:p w14:paraId="22AF4C6A">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确定球队的冠名商及相关赞助，确定主客场球衣的款式、颜色及球员号码，以及为前期的赛事进行宣传预热及招商工作</w:t>
      </w:r>
      <w:r>
        <w:rPr>
          <w:rFonts w:hint="eastAsia" w:ascii="宋体" w:hAnsi="宋体" w:eastAsia="宋体" w:cs="宋体"/>
          <w:color w:val="auto"/>
          <w:sz w:val="21"/>
          <w:szCs w:val="21"/>
          <w:highlight w:val="none"/>
          <w:lang w:val="en-US" w:eastAsia="zh-CN"/>
        </w:rPr>
        <w:t>；</w:t>
      </w:r>
    </w:p>
    <w:p w14:paraId="3719D31A">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（7）为增强金华地区的球迷文化及足球氛围，扩大婺魂球迷人数，并取得省内主客场各方的认可。</w:t>
      </w:r>
    </w:p>
    <w:p w14:paraId="6B53DEEB">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赛事中期准备</w:t>
      </w:r>
    </w:p>
    <w:p w14:paraId="4AEBA8D3">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做好赛事的组织、管理等工作，对运动员的健康证明、人身伤害保险等进行核查；编排竞赛和选派裁判员队伍，报组委会审核；</w:t>
      </w:r>
    </w:p>
    <w:p w14:paraId="16B76B35">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负责提出单项竞委会组成方案，报组委会审核；</w:t>
      </w:r>
    </w:p>
    <w:p w14:paraId="42A0FC3B">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安排好赛场、食宿、交通、医务等各项保障工作，保障住宿与赛场间的交通，安排好运动员的训练和生活；</w:t>
      </w:r>
    </w:p>
    <w:p w14:paraId="54908491">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按照竞赛相关规定，做好裁判员的选派任用工作，并报市体育局训竞处审定，为运动队创造公开、公平、公正的良好比赛环境；</w:t>
      </w:r>
    </w:p>
    <w:p w14:paraId="4B894FBC">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组委会名单须报市体育局训竞处审定；</w:t>
      </w:r>
    </w:p>
    <w:p w14:paraId="0E29B4CB">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做好安全预案，确保人身、交通、财产、食品、赛事等方面的安全，防止安全事故的发生，确保比赛规范、安全、顺利；</w:t>
      </w:r>
    </w:p>
    <w:p w14:paraId="10CE680E">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赛事期间，市体育局训竞处视情况派人指导监督；</w:t>
      </w:r>
    </w:p>
    <w:p w14:paraId="455E2AFA">
      <w:pPr>
        <w:keepNext w:val="0"/>
        <w:keepLines w:val="0"/>
        <w:pageBreakBefore w:val="0"/>
        <w:widowControl w:val="0"/>
        <w:kinsoku/>
        <w:wordWrap/>
        <w:overflowPunct/>
        <w:topLinePunct w:val="0"/>
        <w:bidi w:val="0"/>
        <w:snapToGri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及时做好信息宣传工作。</w:t>
      </w:r>
    </w:p>
    <w:p w14:paraId="61622C93">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赛事后期工作</w:t>
      </w:r>
    </w:p>
    <w:p w14:paraId="26D94926">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按要求做好比赛总结及汇编材料3份；</w:t>
      </w:r>
    </w:p>
    <w:p w14:paraId="77709AF5">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提供赛事活动绩效自评报告；</w:t>
      </w:r>
    </w:p>
    <w:p w14:paraId="7C65B281">
      <w:pPr>
        <w:pStyle w:val="2"/>
        <w:keepNext w:val="0"/>
        <w:keepLines w:val="0"/>
        <w:pageBreakBefore w:val="0"/>
        <w:widowControl w:val="0"/>
        <w:kinsoku/>
        <w:wordWrap/>
        <w:overflowPunct/>
        <w:topLinePunct w:val="0"/>
        <w:bidi w:val="0"/>
        <w:snapToGrid/>
        <w:spacing w:after="0" w:line="500" w:lineRule="exact"/>
        <w:ind w:left="0" w:leftChars="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提供比赛媒体宣传清单及照片集锦。</w:t>
      </w:r>
    </w:p>
    <w:p w14:paraId="49E39B4B">
      <w:pPr>
        <w:pStyle w:val="2"/>
        <w:keepNext w:val="0"/>
        <w:keepLines w:val="0"/>
        <w:pageBreakBefore w:val="0"/>
        <w:widowControl w:val="0"/>
        <w:kinsoku/>
        <w:wordWrap/>
        <w:overflowPunct/>
        <w:topLinePunct w:val="0"/>
        <w:bidi w:val="0"/>
        <w:snapToGrid/>
        <w:spacing w:after="0" w:line="500" w:lineRule="exact"/>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lang w:val="en-US" w:eastAsia="zh-CN"/>
        </w:rPr>
        <w:t>服务期限</w:t>
      </w:r>
    </w:p>
    <w:p w14:paraId="3076C420">
      <w:pPr>
        <w:pStyle w:val="2"/>
        <w:keepNext w:val="0"/>
        <w:keepLines w:val="0"/>
        <w:pageBreakBefore w:val="0"/>
        <w:widowControl w:val="0"/>
        <w:kinsoku/>
        <w:wordWrap/>
        <w:overflowPunct/>
        <w:topLinePunct w:val="0"/>
        <w:bidi w:val="0"/>
        <w:snapToGrid/>
        <w:spacing w:after="0" w:line="500" w:lineRule="exact"/>
        <w:ind w:left="0" w:leftChars="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自合同签订之日起至赛事活动完成并通过验收。如遇</w:t>
      </w:r>
      <w:r>
        <w:rPr>
          <w:rFonts w:hint="eastAsia" w:ascii="宋体" w:hAnsi="宋体"/>
          <w:color w:val="auto"/>
          <w:sz w:val="21"/>
          <w:highlight w:val="none"/>
        </w:rPr>
        <w:t>不可抗力</w:t>
      </w:r>
      <w:r>
        <w:rPr>
          <w:rFonts w:hint="eastAsia" w:ascii="宋体" w:hAnsi="宋体" w:eastAsia="宋体" w:cs="宋体"/>
          <w:b w:val="0"/>
          <w:bCs w:val="0"/>
          <w:color w:val="auto"/>
          <w:sz w:val="21"/>
          <w:szCs w:val="21"/>
          <w:highlight w:val="none"/>
          <w:lang w:val="en-US" w:eastAsia="zh-CN"/>
        </w:rPr>
        <w:t>等原因造成延误的，则按</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的要求进行顺延直至完成全部工作。</w:t>
      </w:r>
    </w:p>
    <w:p w14:paraId="6D56D554">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七、</w:t>
      </w:r>
      <w:r>
        <w:rPr>
          <w:rFonts w:hint="eastAsia" w:hAnsi="宋体" w:eastAsia="宋体" w:cs="宋体"/>
          <w:b/>
          <w:color w:val="auto"/>
          <w:sz w:val="21"/>
          <w:highlight w:val="none"/>
        </w:rPr>
        <w:t>甲方权利和义务：</w:t>
      </w:r>
    </w:p>
    <w:p w14:paraId="6D8921A8">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1.根据甲方要求及乙方</w:t>
      </w:r>
      <w:r>
        <w:rPr>
          <w:rFonts w:hint="eastAsia" w:hAnsi="宋体" w:cs="宋体"/>
          <w:color w:val="auto"/>
          <w:sz w:val="21"/>
          <w:highlight w:val="none"/>
          <w:lang w:val="en-US" w:eastAsia="zh-CN"/>
        </w:rPr>
        <w:t>竞争性磋商</w:t>
      </w:r>
      <w:r>
        <w:rPr>
          <w:rFonts w:hint="eastAsia" w:hAnsi="宋体" w:eastAsia="宋体" w:cs="宋体"/>
          <w:color w:val="auto"/>
          <w:sz w:val="21"/>
          <w:highlight w:val="none"/>
        </w:rPr>
        <w:t>响应文件中的承诺，对乙方提供的服务及履行本合同情况实行验收考核。</w:t>
      </w:r>
    </w:p>
    <w:p w14:paraId="3A5A7F0D">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2.因突发事件及重大活动，甲方需调动乙方人员、设备时，乙方应无条件服从安排予以配合。  </w:t>
      </w:r>
    </w:p>
    <w:p w14:paraId="73D4D9D9">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八</w:t>
      </w:r>
      <w:r>
        <w:rPr>
          <w:rFonts w:hint="eastAsia" w:hAnsi="宋体" w:eastAsia="宋体" w:cs="宋体"/>
          <w:b/>
          <w:color w:val="auto"/>
          <w:sz w:val="21"/>
          <w:highlight w:val="none"/>
        </w:rPr>
        <w:t>、乙方权利和义务：</w:t>
      </w:r>
    </w:p>
    <w:p w14:paraId="3E9D1077">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1.乙方根据甲方采购文件的要求及响应文件所作的承诺，积极主动保质保量地完成</w:t>
      </w:r>
      <w:r>
        <w:rPr>
          <w:rFonts w:hint="eastAsia" w:hAnsi="宋体" w:eastAsia="宋体" w:cs="宋体"/>
          <w:color w:val="auto"/>
          <w:sz w:val="21"/>
          <w:highlight w:val="none"/>
          <w:lang w:eastAsia="zh-CN"/>
        </w:rPr>
        <w:t>202</w:t>
      </w:r>
      <w:r>
        <w:rPr>
          <w:rFonts w:hint="eastAsia" w:hAnsi="宋体" w:cs="宋体"/>
          <w:color w:val="auto"/>
          <w:sz w:val="21"/>
          <w:highlight w:val="none"/>
          <w:lang w:eastAsia="zh-CN"/>
        </w:rPr>
        <w:t>5</w:t>
      </w:r>
      <w:r>
        <w:rPr>
          <w:rFonts w:hint="eastAsia" w:hAnsi="宋体" w:eastAsia="宋体" w:cs="宋体"/>
          <w:color w:val="auto"/>
          <w:sz w:val="21"/>
          <w:highlight w:val="none"/>
          <w:lang w:eastAsia="zh-CN"/>
        </w:rPr>
        <w:t>年金华市足球政转社赛事活动项目</w:t>
      </w:r>
      <w:r>
        <w:rPr>
          <w:rFonts w:hint="eastAsia" w:hAnsi="宋体" w:eastAsia="宋体" w:cs="宋体"/>
          <w:color w:val="auto"/>
          <w:sz w:val="21"/>
          <w:highlight w:val="none"/>
        </w:rPr>
        <w:t>工作；</w:t>
      </w:r>
    </w:p>
    <w:p w14:paraId="3DC483F5">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2.接受并主动配合甲方及行业管理部门的检查；</w:t>
      </w:r>
    </w:p>
    <w:p w14:paraId="5DBC774E">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3.服务范围之外的突击性、突发性工作，乙方须服从甲方的安排，不得无故拖延；</w:t>
      </w:r>
    </w:p>
    <w:p w14:paraId="52FC1F71">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九</w:t>
      </w:r>
      <w:r>
        <w:rPr>
          <w:rFonts w:hint="eastAsia" w:hAnsi="宋体" w:eastAsia="宋体" w:cs="宋体"/>
          <w:b/>
          <w:color w:val="auto"/>
          <w:sz w:val="21"/>
          <w:highlight w:val="none"/>
        </w:rPr>
        <w:t>、不可抗力</w:t>
      </w:r>
    </w:p>
    <w:p w14:paraId="09CF979C">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合同一方因不可抗力不能履行合同的，应当及时通知对方，以减轻可能给对方造成的损失，并应当在合理期限内提供证明。</w:t>
      </w:r>
    </w:p>
    <w:p w14:paraId="247BB922">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十</w:t>
      </w:r>
      <w:r>
        <w:rPr>
          <w:rFonts w:hint="eastAsia" w:hAnsi="宋体" w:eastAsia="宋体" w:cs="宋体"/>
          <w:b/>
          <w:color w:val="auto"/>
          <w:sz w:val="21"/>
          <w:highlight w:val="none"/>
        </w:rPr>
        <w:t>、合同的解除和转让</w:t>
      </w:r>
    </w:p>
    <w:p w14:paraId="681A8698">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1.合同的解除</w:t>
      </w:r>
    </w:p>
    <w:p w14:paraId="0C3F86F1">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（1）甲方和乙方协商一致，可以解除合同。</w:t>
      </w:r>
    </w:p>
    <w:p w14:paraId="3D66E0C1">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（2）有下列情形之一，合同一方可以解除合同：</w:t>
      </w:r>
    </w:p>
    <w:p w14:paraId="2F56B209">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 ① 因不可抗力致使不能实现合同目的，未受不可抗力影响的一方有权解除合同；</w:t>
      </w:r>
    </w:p>
    <w:p w14:paraId="2602F083">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 ② 因合同一方违约导致合同不能履行，另一方有权解除合同。</w:t>
      </w:r>
    </w:p>
    <w:p w14:paraId="2FA1DB29">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 ③ 有权解除合同的一方，应当在违约事实或不可抗力发生之后三十天内书面通知对方以主张解除合同，合同在书面通知到达对方时解除。</w:t>
      </w:r>
    </w:p>
    <w:p w14:paraId="7E88F22C">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 2.合同的转让</w:t>
      </w:r>
    </w:p>
    <w:p w14:paraId="42C13145">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合同的部分和全部都不得转让。</w:t>
      </w:r>
    </w:p>
    <w:p w14:paraId="3FE154FD">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十一</w:t>
      </w:r>
      <w:r>
        <w:rPr>
          <w:rFonts w:hint="eastAsia" w:hAnsi="宋体" w:eastAsia="宋体" w:cs="宋体"/>
          <w:b/>
          <w:color w:val="auto"/>
          <w:sz w:val="21"/>
          <w:highlight w:val="none"/>
        </w:rPr>
        <w:t>、合同的生效</w:t>
      </w:r>
    </w:p>
    <w:p w14:paraId="53B51F1F">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本合同在双方签字盖章后即生效。</w:t>
      </w:r>
    </w:p>
    <w:p w14:paraId="3F9AF930">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lang w:val="en-US" w:eastAsia="zh-CN"/>
        </w:rPr>
        <w:t>十二</w:t>
      </w:r>
      <w:r>
        <w:rPr>
          <w:rFonts w:hint="eastAsia" w:hAnsi="宋体" w:eastAsia="宋体" w:cs="宋体"/>
          <w:b/>
          <w:color w:val="auto"/>
          <w:sz w:val="21"/>
          <w:highlight w:val="none"/>
        </w:rPr>
        <w:t>、争议解决</w:t>
      </w:r>
    </w:p>
    <w:p w14:paraId="7AB83474">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甲乙双方因合同发生争议，签约双方应友好协商解决。协商不成，任何一方可以向甲方所在地人民法院起诉。</w:t>
      </w:r>
    </w:p>
    <w:p w14:paraId="2CBF5F3F">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十</w:t>
      </w:r>
      <w:r>
        <w:rPr>
          <w:rFonts w:hint="eastAsia" w:hAnsi="宋体" w:eastAsia="宋体" w:cs="宋体"/>
          <w:b/>
          <w:color w:val="auto"/>
          <w:sz w:val="21"/>
          <w:highlight w:val="none"/>
          <w:lang w:val="en-US" w:eastAsia="zh-CN"/>
        </w:rPr>
        <w:t>三</w:t>
      </w:r>
      <w:r>
        <w:rPr>
          <w:rFonts w:hint="eastAsia" w:hAnsi="宋体" w:eastAsia="宋体" w:cs="宋体"/>
          <w:b/>
          <w:color w:val="auto"/>
          <w:sz w:val="21"/>
          <w:highlight w:val="none"/>
        </w:rPr>
        <w:t>、违约责任</w:t>
      </w:r>
    </w:p>
    <w:p w14:paraId="1239DC6F">
      <w:pPr>
        <w:tabs>
          <w:tab w:val="left" w:pos="180"/>
          <w:tab w:val="left" w:pos="720"/>
          <w:tab w:val="left" w:pos="900"/>
        </w:tabs>
        <w:spacing w:line="460" w:lineRule="exact"/>
        <w:ind w:left="480"/>
        <w:rPr>
          <w:rFonts w:hint="eastAsia" w:hAnsi="宋体" w:eastAsia="宋体" w:cs="宋体"/>
          <w:color w:val="auto"/>
          <w:sz w:val="21"/>
          <w:szCs w:val="21"/>
          <w:highlight w:val="none"/>
          <w:lang w:val="en-GB"/>
        </w:rPr>
      </w:pPr>
      <w:r>
        <w:rPr>
          <w:rFonts w:hint="eastAsia" w:hAnsi="宋体" w:eastAsia="宋体" w:cs="宋体"/>
          <w:color w:val="auto"/>
          <w:sz w:val="21"/>
          <w:szCs w:val="21"/>
          <w:highlight w:val="none"/>
          <w:lang w:val="en-GB"/>
        </w:rPr>
        <w:t>1.甲方未能按</w:t>
      </w:r>
      <w:r>
        <w:rPr>
          <w:rFonts w:hint="eastAsia" w:hAnsi="宋体" w:eastAsia="宋体" w:cs="宋体"/>
          <w:color w:val="auto"/>
          <w:sz w:val="21"/>
          <w:szCs w:val="21"/>
          <w:highlight w:val="none"/>
        </w:rPr>
        <w:t>合同</w:t>
      </w:r>
      <w:r>
        <w:rPr>
          <w:rFonts w:hint="eastAsia" w:hAnsi="宋体" w:eastAsia="宋体" w:cs="宋体"/>
          <w:color w:val="auto"/>
          <w:sz w:val="21"/>
          <w:szCs w:val="21"/>
          <w:highlight w:val="none"/>
          <w:lang w:val="en-GB"/>
        </w:rPr>
        <w:t>规定时间向乙方支付</w:t>
      </w:r>
      <w:r>
        <w:rPr>
          <w:rFonts w:hint="eastAsia" w:hAnsi="宋体" w:eastAsia="宋体" w:cs="宋体"/>
          <w:color w:val="auto"/>
          <w:sz w:val="21"/>
          <w:szCs w:val="21"/>
          <w:highlight w:val="none"/>
        </w:rPr>
        <w:t>服务</w:t>
      </w:r>
      <w:r>
        <w:rPr>
          <w:rFonts w:hint="eastAsia" w:hAnsi="宋体" w:eastAsia="宋体" w:cs="宋体"/>
          <w:color w:val="auto"/>
          <w:sz w:val="21"/>
          <w:szCs w:val="21"/>
          <w:highlight w:val="none"/>
          <w:lang w:val="en-GB"/>
        </w:rPr>
        <w:t>费用</w:t>
      </w:r>
      <w:r>
        <w:rPr>
          <w:rFonts w:hint="eastAsia" w:hAnsi="宋体" w:eastAsia="宋体" w:cs="宋体"/>
          <w:color w:val="auto"/>
          <w:sz w:val="21"/>
          <w:szCs w:val="21"/>
          <w:highlight w:val="none"/>
        </w:rPr>
        <w:t>时</w:t>
      </w:r>
      <w:r>
        <w:rPr>
          <w:rFonts w:hint="eastAsia" w:hAnsi="宋体" w:eastAsia="宋体" w:cs="宋体"/>
          <w:color w:val="auto"/>
          <w:sz w:val="21"/>
          <w:szCs w:val="21"/>
          <w:highlight w:val="none"/>
          <w:lang w:val="en-GB"/>
        </w:rPr>
        <w:t>，</w:t>
      </w:r>
      <w:r>
        <w:rPr>
          <w:rFonts w:hint="eastAsia" w:hAnsi="宋体" w:eastAsia="宋体" w:cs="宋体"/>
          <w:color w:val="auto"/>
          <w:sz w:val="21"/>
          <w:szCs w:val="21"/>
          <w:highlight w:val="none"/>
        </w:rPr>
        <w:t>按每延迟一日</w:t>
      </w:r>
      <w:r>
        <w:rPr>
          <w:rFonts w:hint="eastAsia" w:hAnsi="宋体" w:eastAsia="宋体" w:cs="宋体"/>
          <w:color w:val="auto"/>
          <w:sz w:val="21"/>
          <w:szCs w:val="21"/>
          <w:highlight w:val="none"/>
          <w:lang w:val="en-GB"/>
        </w:rPr>
        <w:t>支付</w:t>
      </w:r>
      <w:r>
        <w:rPr>
          <w:rFonts w:hint="eastAsia" w:hAnsi="宋体" w:eastAsia="宋体" w:cs="宋体"/>
          <w:color w:val="auto"/>
          <w:sz w:val="21"/>
          <w:szCs w:val="21"/>
          <w:highlight w:val="none"/>
        </w:rPr>
        <w:t>万分</w:t>
      </w:r>
      <w:r>
        <w:rPr>
          <w:rFonts w:hint="eastAsia" w:hAnsi="宋体" w:eastAsia="宋体" w:cs="宋体"/>
          <w:color w:val="auto"/>
          <w:sz w:val="21"/>
          <w:szCs w:val="21"/>
          <w:highlight w:val="none"/>
          <w:u w:val="single"/>
        </w:rPr>
        <w:t>之   的</w:t>
      </w:r>
      <w:r>
        <w:rPr>
          <w:rFonts w:hint="eastAsia" w:hAnsi="宋体" w:eastAsia="宋体" w:cs="宋体"/>
          <w:color w:val="auto"/>
          <w:sz w:val="21"/>
          <w:szCs w:val="21"/>
          <w:highlight w:val="none"/>
        </w:rPr>
        <w:t xml:space="preserve">违约金；      </w:t>
      </w:r>
    </w:p>
    <w:p w14:paraId="5ACE303E">
      <w:pPr>
        <w:tabs>
          <w:tab w:val="left" w:pos="180"/>
          <w:tab w:val="left" w:pos="720"/>
          <w:tab w:val="left" w:pos="900"/>
        </w:tabs>
        <w:spacing w:line="460" w:lineRule="exact"/>
        <w:ind w:left="480"/>
        <w:rPr>
          <w:rFonts w:hint="eastAsia" w:hAnsi="宋体" w:cs="宋体"/>
          <w:color w:val="auto"/>
          <w:sz w:val="21"/>
          <w:szCs w:val="21"/>
          <w:highlight w:val="none"/>
          <w:lang w:val="en-US" w:eastAsia="zh-CN"/>
        </w:rPr>
      </w:pPr>
      <w:r>
        <w:rPr>
          <w:rFonts w:hint="eastAsia" w:hAnsi="宋体" w:eastAsia="宋体" w:cs="宋体"/>
          <w:color w:val="auto"/>
          <w:sz w:val="21"/>
          <w:szCs w:val="21"/>
          <w:highlight w:val="none"/>
          <w:lang w:val="en-GB"/>
        </w:rPr>
        <w:t>2.乙方未按甲方要求执行合同出现违约行为时，由乙方负责，并向甲方退还</w:t>
      </w:r>
      <w:r>
        <w:rPr>
          <w:rFonts w:hint="eastAsia" w:hAnsi="宋体" w:eastAsia="宋体" w:cs="宋体"/>
          <w:color w:val="auto"/>
          <w:sz w:val="21"/>
          <w:szCs w:val="21"/>
          <w:highlight w:val="none"/>
        </w:rPr>
        <w:t>服务</w:t>
      </w:r>
      <w:r>
        <w:rPr>
          <w:rFonts w:hint="eastAsia" w:hAnsi="宋体" w:eastAsia="宋体" w:cs="宋体"/>
          <w:color w:val="auto"/>
          <w:sz w:val="21"/>
          <w:szCs w:val="21"/>
          <w:highlight w:val="none"/>
          <w:lang w:val="en-GB"/>
        </w:rPr>
        <w:t>费用</w:t>
      </w:r>
      <w:r>
        <w:rPr>
          <w:rFonts w:hint="eastAsia" w:hAnsi="宋体" w:eastAsia="宋体" w:cs="宋体"/>
          <w:color w:val="auto"/>
          <w:sz w:val="21"/>
          <w:szCs w:val="21"/>
          <w:highlight w:val="none"/>
        </w:rPr>
        <w:t>或</w:t>
      </w:r>
      <w:r>
        <w:rPr>
          <w:rFonts w:hint="eastAsia" w:hAnsi="宋体" w:cs="宋体"/>
          <w:color w:val="auto"/>
          <w:sz w:val="21"/>
          <w:szCs w:val="21"/>
          <w:highlight w:val="none"/>
          <w:lang w:val="en-US" w:eastAsia="zh-CN"/>
        </w:rPr>
        <w:t>支付违约金；</w:t>
      </w:r>
    </w:p>
    <w:p w14:paraId="530F21F8">
      <w:pPr>
        <w:tabs>
          <w:tab w:val="left" w:pos="180"/>
          <w:tab w:val="left" w:pos="720"/>
          <w:tab w:val="left" w:pos="900"/>
        </w:tabs>
        <w:spacing w:line="460" w:lineRule="exact"/>
        <w:ind w:left="480"/>
        <w:rPr>
          <w:rFonts w:hint="eastAsia" w:hAnsi="宋体" w:eastAsia="宋体" w:cs="宋体"/>
          <w:color w:val="auto"/>
          <w:sz w:val="21"/>
          <w:szCs w:val="21"/>
          <w:highlight w:val="none"/>
          <w:lang w:val="en-GB"/>
        </w:rPr>
      </w:pPr>
      <w:r>
        <w:rPr>
          <w:rFonts w:hint="eastAsia" w:hAnsi="宋体" w:cs="宋体"/>
          <w:color w:val="auto"/>
          <w:sz w:val="21"/>
          <w:highlight w:val="none"/>
          <w:lang w:val="en-US" w:eastAsia="zh-CN"/>
        </w:rPr>
        <w:t>3.</w:t>
      </w:r>
      <w:r>
        <w:rPr>
          <w:rFonts w:hint="eastAsia" w:hAnsi="宋体" w:eastAsia="宋体" w:cs="宋体"/>
          <w:color w:val="auto"/>
          <w:sz w:val="21"/>
          <w:highlight w:val="none"/>
        </w:rPr>
        <w:t>因不可抗力不能履行合同的，根据不可抗力的影响，部分或者全部免除责任。但因合同一方迟延履行后发生严重后果的，不能免除责任</w:t>
      </w:r>
    </w:p>
    <w:p w14:paraId="4F374E6B">
      <w:pPr>
        <w:pStyle w:val="26"/>
        <w:tabs>
          <w:tab w:val="left" w:pos="540"/>
        </w:tabs>
        <w:snapToGrid w:val="0"/>
        <w:spacing w:line="500" w:lineRule="exact"/>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十</w:t>
      </w:r>
      <w:r>
        <w:rPr>
          <w:rFonts w:hint="eastAsia" w:hAnsi="宋体" w:eastAsia="宋体" w:cs="宋体"/>
          <w:b/>
          <w:color w:val="auto"/>
          <w:sz w:val="21"/>
          <w:highlight w:val="none"/>
          <w:lang w:val="en-US" w:eastAsia="zh-CN"/>
        </w:rPr>
        <w:t>四</w:t>
      </w:r>
      <w:r>
        <w:rPr>
          <w:rFonts w:hint="eastAsia" w:hAnsi="宋体" w:eastAsia="宋体" w:cs="宋体"/>
          <w:b/>
          <w:color w:val="auto"/>
          <w:sz w:val="21"/>
          <w:highlight w:val="none"/>
        </w:rPr>
        <w:t>、合同生效及其它：</w:t>
      </w:r>
    </w:p>
    <w:p w14:paraId="513E49F9">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1.合同经双方法定代表人或授权委托代理人签字并加盖单位公章后生效。</w:t>
      </w:r>
    </w:p>
    <w:p w14:paraId="75BCE0D7">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2.本合同未尽事宜，遵照《中华人民共和国民法典》有关条文执行。</w:t>
      </w:r>
    </w:p>
    <w:p w14:paraId="492799AA">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3.本合同正本一式六份，具有同等法律效力，甲乙双方各执二份，采购代理机构二份。   </w:t>
      </w:r>
    </w:p>
    <w:p w14:paraId="4D5D4E39">
      <w:pPr>
        <w:pStyle w:val="26"/>
        <w:tabs>
          <w:tab w:val="left" w:pos="540"/>
        </w:tabs>
        <w:snapToGrid w:val="0"/>
        <w:spacing w:line="500" w:lineRule="exact"/>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4.</w:t>
      </w:r>
      <w:r>
        <w:rPr>
          <w:rFonts w:hint="eastAsia" w:hAnsi="宋体" w:eastAsia="宋体" w:cs="宋体"/>
          <w:color w:val="auto"/>
          <w:sz w:val="21"/>
          <w:highlight w:val="none"/>
        </w:rPr>
        <w:t>本合同有效期限自签订之日起生效。</w:t>
      </w:r>
    </w:p>
    <w:tbl>
      <w:tblPr>
        <w:tblStyle w:val="4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14:paraId="010B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trPr>
        <w:tc>
          <w:tcPr>
            <w:tcW w:w="3226" w:type="dxa"/>
            <w:tcBorders>
              <w:top w:val="single" w:color="auto" w:sz="4" w:space="0"/>
              <w:left w:val="single" w:color="auto" w:sz="4" w:space="0"/>
              <w:right w:val="single" w:color="auto" w:sz="4" w:space="0"/>
            </w:tcBorders>
          </w:tcPr>
          <w:p w14:paraId="480DBC6A">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甲方单位名称（章）：</w:t>
            </w:r>
          </w:p>
          <w:p w14:paraId="4F920274">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单位地址：</w:t>
            </w:r>
          </w:p>
          <w:p w14:paraId="3DC0F0A9">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p w14:paraId="09661B6E">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p>
          <w:p w14:paraId="70EE1800">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p>
          <w:p w14:paraId="27F977F1">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p w14:paraId="09840BF8">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 号：</w:t>
            </w:r>
          </w:p>
          <w:p w14:paraId="461768C9">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3407" w:type="dxa"/>
            <w:tcBorders>
              <w:top w:val="single" w:color="auto" w:sz="4" w:space="0"/>
              <w:left w:val="single" w:color="auto" w:sz="4" w:space="0"/>
              <w:right w:val="single" w:color="auto" w:sz="4" w:space="0"/>
            </w:tcBorders>
          </w:tcPr>
          <w:p w14:paraId="017C8627">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乙方单位名称（章）：</w:t>
            </w:r>
          </w:p>
          <w:p w14:paraId="001B927D">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单位地址：</w:t>
            </w:r>
          </w:p>
          <w:p w14:paraId="74A316CC">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p w14:paraId="6B276729">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p>
          <w:p w14:paraId="05109E8D">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p>
          <w:p w14:paraId="68079C91">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p w14:paraId="21175E49">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 号：</w:t>
            </w:r>
          </w:p>
          <w:p w14:paraId="43BEFC09">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2723" w:type="dxa"/>
            <w:tcBorders>
              <w:top w:val="single" w:color="auto" w:sz="4" w:space="0"/>
              <w:left w:val="single" w:color="auto" w:sz="4" w:space="0"/>
              <w:right w:val="single" w:color="auto" w:sz="4" w:space="0"/>
            </w:tcBorders>
          </w:tcPr>
          <w:p w14:paraId="46B44254">
            <w:pPr>
              <w:spacing w:line="460" w:lineRule="exact"/>
              <w:ind w:right="-170" w:righ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采购代理机构意见：</w:t>
            </w:r>
          </w:p>
          <w:p w14:paraId="477B336C">
            <w:pPr>
              <w:spacing w:line="460" w:lineRule="exact"/>
              <w:ind w:right="-170" w:rightChars="-50"/>
              <w:rPr>
                <w:rFonts w:hint="eastAsia" w:ascii="宋体" w:hAnsi="宋体" w:eastAsia="宋体" w:cs="宋体"/>
                <w:bCs/>
                <w:color w:val="auto"/>
                <w:sz w:val="21"/>
                <w:szCs w:val="21"/>
                <w:highlight w:val="none"/>
              </w:rPr>
            </w:pPr>
          </w:p>
          <w:p w14:paraId="6E98E518">
            <w:pPr>
              <w:spacing w:line="460" w:lineRule="exact"/>
              <w:ind w:firstLine="1260" w:firstLineChars="6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  月  日</w:t>
            </w:r>
          </w:p>
        </w:tc>
      </w:tr>
    </w:tbl>
    <w:p w14:paraId="7919F996">
      <w:pPr>
        <w:autoSpaceDE/>
        <w:autoSpaceDN/>
        <w:adjustRightInd/>
        <w:snapToGrid w:val="0"/>
        <w:spacing w:line="480" w:lineRule="exact"/>
        <w:ind w:firstLine="420" w:firstLineChars="200"/>
        <w:jc w:val="both"/>
        <w:textAlignment w:val="auto"/>
        <w:rPr>
          <w:rFonts w:hint="eastAsia" w:ascii="宋体" w:hAnsi="宋体" w:eastAsia="宋体" w:cs="宋体"/>
          <w:color w:val="auto"/>
          <w:kern w:val="2"/>
          <w:sz w:val="21"/>
          <w:highlight w:val="none"/>
        </w:rPr>
      </w:pPr>
    </w:p>
    <w:p w14:paraId="20E03F50">
      <w:pPr>
        <w:pStyle w:val="46"/>
        <w:ind w:firstLine="211"/>
        <w:rPr>
          <w:rFonts w:hint="eastAsia" w:ascii="宋体" w:hAnsi="宋体" w:eastAsia="宋体" w:cs="宋体"/>
          <w:color w:val="auto"/>
          <w:highlight w:val="none"/>
        </w:rPr>
      </w:pPr>
      <w:r>
        <w:rPr>
          <w:rFonts w:hint="eastAsia" w:ascii="宋体" w:hAnsi="宋体" w:eastAsia="宋体" w:cs="宋体"/>
          <w:b/>
          <w:color w:val="auto"/>
          <w:sz w:val="21"/>
          <w:szCs w:val="21"/>
          <w:highlight w:val="none"/>
        </w:rPr>
        <w:t>注：此合同样本仅作参考，</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、供应商可根据采购项目的实际情况进行修改。</w:t>
      </w:r>
    </w:p>
    <w:p w14:paraId="23D071CD">
      <w:pPr>
        <w:widowControl/>
        <w:autoSpaceDE/>
        <w:autoSpaceDN/>
        <w:adjustRightInd/>
        <w:textAlignment w:val="auto"/>
        <w:rPr>
          <w:rFonts w:hint="eastAsia" w:ascii="宋体" w:hAnsi="宋体" w:eastAsia="宋体" w:cs="宋体"/>
          <w:color w:val="auto"/>
          <w:sz w:val="28"/>
          <w:highlight w:val="none"/>
        </w:rPr>
      </w:pPr>
      <w:r>
        <w:rPr>
          <w:rFonts w:hint="eastAsia" w:ascii="宋体" w:hAnsi="宋体" w:eastAsia="宋体" w:cs="宋体"/>
          <w:color w:val="auto"/>
          <w:highlight w:val="none"/>
        </w:rPr>
        <w:br w:type="page"/>
      </w:r>
    </w:p>
    <w:p w14:paraId="13855FEB">
      <w:pPr>
        <w:pStyle w:val="46"/>
        <w:ind w:firstLine="280"/>
        <w:rPr>
          <w:rFonts w:hint="eastAsia" w:ascii="宋体" w:hAnsi="宋体" w:eastAsia="宋体" w:cs="宋体"/>
          <w:color w:val="auto"/>
          <w:highlight w:val="none"/>
        </w:rPr>
      </w:pPr>
    </w:p>
    <w:p w14:paraId="2CC6865E">
      <w:pPr>
        <w:pStyle w:val="4"/>
        <w:spacing w:beforeLines="50" w:afterLines="50" w:line="360" w:lineRule="auto"/>
        <w:jc w:val="center"/>
        <w:rPr>
          <w:rFonts w:hint="eastAsia" w:ascii="宋体" w:hAnsi="宋体" w:eastAsia="宋体" w:cs="宋体"/>
          <w:color w:val="auto"/>
          <w:sz w:val="32"/>
          <w:szCs w:val="32"/>
          <w:highlight w:val="none"/>
        </w:rPr>
      </w:pPr>
      <w:bookmarkStart w:id="236" w:name="_Toc20011"/>
      <w:bookmarkStart w:id="237" w:name="_Toc10347"/>
      <w:bookmarkStart w:id="238" w:name="_Toc2884"/>
      <w:bookmarkStart w:id="239" w:name="_Toc23493"/>
      <w:bookmarkStart w:id="240" w:name="_Toc24581"/>
      <w:bookmarkStart w:id="241" w:name="_Toc18872"/>
      <w:bookmarkStart w:id="242" w:name="_Toc23223"/>
      <w:bookmarkStart w:id="243" w:name="_Toc6719"/>
      <w:bookmarkStart w:id="244" w:name="_Toc23611"/>
      <w:bookmarkStart w:id="245" w:name="_Toc24956"/>
      <w:bookmarkStart w:id="246" w:name="_Toc14760"/>
      <w:bookmarkStart w:id="247" w:name="_Toc20700"/>
      <w:bookmarkStart w:id="248" w:name="_Toc29780"/>
      <w:bookmarkStart w:id="249" w:name="_Toc4589"/>
      <w:bookmarkStart w:id="250" w:name="_Toc28934"/>
      <w:bookmarkStart w:id="251" w:name="_Toc25076"/>
      <w:bookmarkStart w:id="252" w:name="_Toc23780"/>
      <w:bookmarkStart w:id="253" w:name="_Toc102"/>
      <w:bookmarkStart w:id="254" w:name="_Toc19293"/>
      <w:r>
        <w:rPr>
          <w:rFonts w:hint="eastAsia" w:ascii="宋体" w:hAnsi="宋体" w:eastAsia="宋体" w:cs="宋体"/>
          <w:color w:val="auto"/>
          <w:sz w:val="32"/>
          <w:szCs w:val="32"/>
          <w:highlight w:val="none"/>
        </w:rPr>
        <w:t>第六部分</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color w:val="auto"/>
          <w:sz w:val="32"/>
          <w:szCs w:val="32"/>
          <w:highlight w:val="none"/>
        </w:rPr>
        <w:t xml:space="preserve">  应递交的响应文件格式范例</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E10325E">
      <w:pPr>
        <w:snapToGrid w:val="0"/>
        <w:spacing w:beforeLines="50" w:after="50"/>
        <w:rPr>
          <w:rFonts w:hint="eastAsia" w:ascii="宋体" w:hAnsi="宋体" w:eastAsia="宋体" w:cs="宋体"/>
          <w:color w:val="auto"/>
          <w:sz w:val="21"/>
          <w:szCs w:val="21"/>
          <w:highlight w:val="none"/>
        </w:rPr>
      </w:pPr>
      <w:bookmarkStart w:id="255" w:name="_Toc296074347"/>
      <w:bookmarkStart w:id="256" w:name="_Toc265065990"/>
      <w:bookmarkStart w:id="257" w:name="_Toc499294826"/>
      <w:bookmarkStart w:id="258" w:name="_Toc237176513"/>
      <w:bookmarkStart w:id="259" w:name="_Toc374366051"/>
      <w:bookmarkStart w:id="260" w:name="_Toc295910884"/>
      <w:bookmarkStart w:id="261" w:name="_Toc237340114"/>
      <w:bookmarkStart w:id="262" w:name="_Toc237182506"/>
      <w:bookmarkStart w:id="263" w:name="_Toc184785935"/>
      <w:bookmarkStart w:id="264" w:name="_Toc237413920"/>
      <w:bookmarkStart w:id="265" w:name="_Toc264211078"/>
      <w:bookmarkStart w:id="266" w:name="_Toc237189787"/>
      <w:bookmarkStart w:id="267" w:name="_Toc217289137"/>
      <w:bookmarkStart w:id="268" w:name="_Toc237193458"/>
      <w:bookmarkStart w:id="269" w:name="_Toc256977546"/>
      <w:bookmarkStart w:id="270" w:name="_Toc237414015"/>
      <w:bookmarkStart w:id="271" w:name="_Toc295737636"/>
    </w:p>
    <w:p w14:paraId="29C22348">
      <w:pPr>
        <w:snapToGrid w:val="0"/>
        <w:spacing w:beforeLines="50" w:after="50"/>
        <w:jc w:val="center"/>
        <w:rPr>
          <w:rFonts w:hint="eastAsia" w:ascii="宋体" w:hAnsi="宋体" w:eastAsia="宋体" w:cs="宋体"/>
          <w:color w:val="auto"/>
          <w:sz w:val="21"/>
          <w:szCs w:val="21"/>
          <w:highlight w:val="none"/>
        </w:rPr>
      </w:pPr>
    </w:p>
    <w:p w14:paraId="33ED45B5">
      <w:pPr>
        <w:snapToGrid w:val="0"/>
        <w:spacing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竞争性磋商响应文件</w:t>
      </w:r>
    </w:p>
    <w:p w14:paraId="6969D2F2">
      <w:pPr>
        <w:snapToGrid w:val="0"/>
        <w:spacing w:beforeLines="50" w:after="50"/>
        <w:rPr>
          <w:rFonts w:hint="eastAsia" w:ascii="宋体" w:hAnsi="宋体" w:eastAsia="宋体" w:cs="宋体"/>
          <w:color w:val="auto"/>
          <w:sz w:val="30"/>
          <w:szCs w:val="30"/>
          <w:highlight w:val="none"/>
        </w:rPr>
      </w:pPr>
    </w:p>
    <w:p w14:paraId="123196B1">
      <w:pPr>
        <w:snapToGrid w:val="0"/>
        <w:spacing w:beforeLines="50" w:after="50"/>
        <w:ind w:left="1676" w:leftChars="14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F6B1958">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657AF725">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磋商响应文件名称：资格文件、商务技术文件或报价文件</w:t>
      </w:r>
    </w:p>
    <w:p w14:paraId="35485CC8">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w:t>
      </w:r>
    </w:p>
    <w:p w14:paraId="69E60F00">
      <w:pPr>
        <w:snapToGrid w:val="0"/>
        <w:spacing w:beforeLines="50" w:after="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响应供应商地址：</w:t>
      </w:r>
    </w:p>
    <w:p w14:paraId="6F7E6647">
      <w:pPr>
        <w:snapToGrid w:val="0"/>
        <w:spacing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90618A5">
      <w:pPr>
        <w:snapToGrid w:val="0"/>
        <w:spacing w:beforeLines="50" w:after="50"/>
        <w:ind w:firstLine="480" w:firstLineChars="200"/>
        <w:rPr>
          <w:rFonts w:hint="eastAsia" w:ascii="宋体" w:hAnsi="宋体" w:eastAsia="宋体" w:cs="宋体"/>
          <w:color w:val="auto"/>
          <w:sz w:val="24"/>
          <w:szCs w:val="24"/>
          <w:highlight w:val="none"/>
        </w:rPr>
      </w:pPr>
    </w:p>
    <w:p w14:paraId="648261E1">
      <w:pPr>
        <w:snapToGrid w:val="0"/>
        <w:spacing w:beforeLines="50" w:after="50"/>
        <w:ind w:firstLine="2160" w:firstLineChars="900"/>
        <w:rPr>
          <w:rFonts w:hint="eastAsia" w:ascii="宋体" w:hAnsi="宋体" w:eastAsia="宋体" w:cs="宋体"/>
          <w:color w:val="auto"/>
          <w:sz w:val="24"/>
          <w:szCs w:val="24"/>
          <w:highlight w:val="none"/>
        </w:rPr>
      </w:pPr>
    </w:p>
    <w:p w14:paraId="526FE77F">
      <w:pPr>
        <w:snapToGrid w:val="0"/>
        <w:spacing w:beforeLines="50" w:after="50"/>
        <w:ind w:firstLine="2160" w:firstLineChars="900"/>
        <w:rPr>
          <w:rFonts w:hint="eastAsia" w:ascii="宋体" w:hAnsi="宋体" w:eastAsia="宋体" w:cs="宋体"/>
          <w:color w:val="auto"/>
          <w:sz w:val="24"/>
          <w:szCs w:val="24"/>
          <w:highlight w:val="none"/>
        </w:rPr>
      </w:pPr>
    </w:p>
    <w:p w14:paraId="062F2827">
      <w:pPr>
        <w:snapToGrid w:val="0"/>
        <w:spacing w:beforeLines="50" w:after="50"/>
        <w:ind w:firstLine="2160" w:firstLineChars="900"/>
        <w:rPr>
          <w:rFonts w:hint="eastAsia" w:ascii="宋体" w:hAnsi="宋体" w:eastAsia="宋体" w:cs="宋体"/>
          <w:color w:val="auto"/>
          <w:sz w:val="24"/>
          <w:szCs w:val="24"/>
          <w:highlight w:val="none"/>
        </w:rPr>
      </w:pPr>
    </w:p>
    <w:p w14:paraId="31B53359">
      <w:pPr>
        <w:snapToGrid w:val="0"/>
        <w:spacing w:beforeLines="50" w:after="50"/>
        <w:ind w:firstLine="2160" w:firstLineChars="900"/>
        <w:rPr>
          <w:rFonts w:hint="eastAsia" w:ascii="宋体" w:hAnsi="宋体" w:eastAsia="宋体" w:cs="宋体"/>
          <w:color w:val="auto"/>
          <w:sz w:val="24"/>
          <w:szCs w:val="24"/>
          <w:highlight w:val="none"/>
        </w:rPr>
      </w:pPr>
    </w:p>
    <w:p w14:paraId="039714DA">
      <w:pPr>
        <w:snapToGrid w:val="0"/>
        <w:spacing w:before="50" w:after="50"/>
        <w:rPr>
          <w:rFonts w:hint="eastAsia" w:ascii="宋体" w:hAnsi="宋体" w:eastAsia="宋体" w:cs="宋体"/>
          <w:b/>
          <w:color w:val="auto"/>
          <w:sz w:val="22"/>
          <w:szCs w:val="21"/>
          <w:highlight w:val="none"/>
        </w:rPr>
      </w:pPr>
    </w:p>
    <w:p w14:paraId="25A12B22">
      <w:pPr>
        <w:snapToGrid w:val="0"/>
        <w:spacing w:before="50" w:after="50"/>
        <w:ind w:left="720"/>
        <w:rPr>
          <w:rFonts w:hint="eastAsia" w:ascii="宋体" w:hAnsi="宋体" w:eastAsia="宋体" w:cs="宋体"/>
          <w:b/>
          <w:color w:val="auto"/>
          <w:sz w:val="22"/>
          <w:szCs w:val="21"/>
          <w:highlight w:val="none"/>
        </w:rPr>
      </w:pPr>
      <w:r>
        <w:rPr>
          <w:rFonts w:hint="eastAsia" w:ascii="宋体" w:hAnsi="宋体" w:eastAsia="宋体" w:cs="宋体"/>
          <w:b/>
          <w:color w:val="auto"/>
          <w:sz w:val="22"/>
          <w:szCs w:val="21"/>
          <w:highlight w:val="none"/>
        </w:rPr>
        <w:br w:type="page"/>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14:paraId="3BD716C6">
      <w:pPr>
        <w:snapToGrid w:val="0"/>
        <w:spacing w:line="460" w:lineRule="atLeast"/>
        <w:ind w:firstLine="422" w:firstLineChars="200"/>
        <w:textAlignment w:val="bottom"/>
        <w:rPr>
          <w:rFonts w:hint="eastAsia" w:ascii="宋体" w:hAnsi="宋体" w:eastAsia="宋体" w:cs="宋体"/>
          <w:color w:val="auto"/>
          <w:highlight w:val="none"/>
        </w:rPr>
      </w:pPr>
      <w:r>
        <w:rPr>
          <w:rFonts w:hint="eastAsia" w:ascii="宋体" w:hAnsi="宋体" w:eastAsia="宋体" w:cs="宋体"/>
          <w:b/>
          <w:color w:val="auto"/>
          <w:sz w:val="21"/>
          <w:szCs w:val="21"/>
          <w:highlight w:val="none"/>
        </w:rPr>
        <w:t>（一）资格文件部分</w:t>
      </w:r>
    </w:p>
    <w:p w14:paraId="4A22EBA0">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有效期内的营业执照副本扫描件或复印件；</w:t>
      </w:r>
    </w:p>
    <w:p w14:paraId="28E5CA94">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）符合参加政府采购活动应当具备的一般条件的承诺函（格式见附件）</w:t>
      </w:r>
      <w:r>
        <w:rPr>
          <w:rFonts w:hint="eastAsia" w:ascii="宋体" w:hAnsi="宋体" w:eastAsia="宋体" w:cs="宋体"/>
          <w:color w:val="auto"/>
          <w:sz w:val="21"/>
          <w:szCs w:val="21"/>
          <w:highlight w:val="none"/>
          <w:lang w:eastAsia="zh-CN"/>
        </w:rPr>
        <w:t>。</w:t>
      </w:r>
    </w:p>
    <w:p w14:paraId="568D60A6">
      <w:pPr>
        <w:rPr>
          <w:rFonts w:hint="eastAsia" w:ascii="宋体" w:hAnsi="宋体" w:eastAsia="宋体" w:cs="宋体"/>
          <w:b/>
          <w:color w:val="auto"/>
          <w:sz w:val="24"/>
          <w:szCs w:val="24"/>
          <w:highlight w:val="none"/>
        </w:rPr>
      </w:pPr>
    </w:p>
    <w:p w14:paraId="201023A6">
      <w:pPr>
        <w:pStyle w:val="2"/>
        <w:ind w:left="680"/>
        <w:rPr>
          <w:rFonts w:hint="eastAsia" w:ascii="宋体" w:hAnsi="宋体" w:eastAsia="宋体" w:cs="宋体"/>
          <w:b/>
          <w:color w:val="auto"/>
          <w:sz w:val="24"/>
          <w:szCs w:val="24"/>
          <w:highlight w:val="none"/>
        </w:rPr>
      </w:pPr>
    </w:p>
    <w:p w14:paraId="18AB8FDF">
      <w:pPr>
        <w:pStyle w:val="63"/>
        <w:rPr>
          <w:rFonts w:hint="eastAsia" w:ascii="宋体" w:hAnsi="宋体" w:eastAsia="宋体" w:cs="宋体"/>
          <w:color w:val="auto"/>
          <w:sz w:val="24"/>
          <w:szCs w:val="24"/>
          <w:highlight w:val="none"/>
        </w:rPr>
      </w:pPr>
    </w:p>
    <w:p w14:paraId="625AE82A">
      <w:pPr>
        <w:rPr>
          <w:rFonts w:hint="eastAsia" w:ascii="宋体" w:hAnsi="宋体" w:eastAsia="宋体" w:cs="宋体"/>
          <w:b/>
          <w:color w:val="auto"/>
          <w:sz w:val="24"/>
          <w:szCs w:val="24"/>
          <w:highlight w:val="none"/>
        </w:rPr>
      </w:pPr>
    </w:p>
    <w:p w14:paraId="64CABBFB">
      <w:pPr>
        <w:pStyle w:val="2"/>
        <w:ind w:left="680"/>
        <w:rPr>
          <w:rFonts w:hint="eastAsia" w:ascii="宋体" w:hAnsi="宋体" w:eastAsia="宋体" w:cs="宋体"/>
          <w:b/>
          <w:color w:val="auto"/>
          <w:sz w:val="24"/>
          <w:szCs w:val="24"/>
          <w:highlight w:val="none"/>
        </w:rPr>
      </w:pPr>
    </w:p>
    <w:p w14:paraId="26C1B742">
      <w:pPr>
        <w:pStyle w:val="63"/>
        <w:rPr>
          <w:rFonts w:hint="eastAsia" w:ascii="宋体" w:hAnsi="宋体" w:eastAsia="宋体" w:cs="宋体"/>
          <w:color w:val="auto"/>
          <w:sz w:val="24"/>
          <w:szCs w:val="24"/>
          <w:highlight w:val="none"/>
        </w:rPr>
      </w:pPr>
    </w:p>
    <w:p w14:paraId="0B9CA01E">
      <w:pPr>
        <w:rPr>
          <w:rFonts w:hint="eastAsia" w:ascii="宋体" w:hAnsi="宋体" w:eastAsia="宋体" w:cs="宋体"/>
          <w:b/>
          <w:color w:val="auto"/>
          <w:sz w:val="24"/>
          <w:szCs w:val="24"/>
          <w:highlight w:val="none"/>
        </w:rPr>
      </w:pPr>
    </w:p>
    <w:p w14:paraId="2CAC09FF">
      <w:pPr>
        <w:pStyle w:val="2"/>
        <w:ind w:left="680"/>
        <w:rPr>
          <w:rFonts w:hint="eastAsia" w:ascii="宋体" w:hAnsi="宋体" w:eastAsia="宋体" w:cs="宋体"/>
          <w:b/>
          <w:color w:val="auto"/>
          <w:sz w:val="24"/>
          <w:szCs w:val="24"/>
          <w:highlight w:val="none"/>
        </w:rPr>
      </w:pPr>
    </w:p>
    <w:p w14:paraId="0540E992">
      <w:pPr>
        <w:pStyle w:val="63"/>
        <w:rPr>
          <w:rFonts w:hint="eastAsia" w:ascii="宋体" w:hAnsi="宋体" w:eastAsia="宋体" w:cs="宋体"/>
          <w:color w:val="auto"/>
          <w:sz w:val="24"/>
          <w:szCs w:val="24"/>
          <w:highlight w:val="none"/>
        </w:rPr>
      </w:pPr>
    </w:p>
    <w:p w14:paraId="57135D15">
      <w:pPr>
        <w:rPr>
          <w:rFonts w:hint="eastAsia" w:ascii="宋体" w:hAnsi="宋体" w:eastAsia="宋体" w:cs="宋体"/>
          <w:b/>
          <w:color w:val="auto"/>
          <w:sz w:val="24"/>
          <w:szCs w:val="24"/>
          <w:highlight w:val="none"/>
        </w:rPr>
      </w:pPr>
    </w:p>
    <w:p w14:paraId="52EB2195">
      <w:pPr>
        <w:pStyle w:val="2"/>
        <w:ind w:left="680"/>
        <w:rPr>
          <w:rFonts w:hint="eastAsia" w:ascii="宋体" w:hAnsi="宋体" w:eastAsia="宋体" w:cs="宋体"/>
          <w:b/>
          <w:color w:val="auto"/>
          <w:sz w:val="24"/>
          <w:szCs w:val="24"/>
          <w:highlight w:val="none"/>
        </w:rPr>
      </w:pPr>
    </w:p>
    <w:p w14:paraId="3FEDBB7D">
      <w:pPr>
        <w:pStyle w:val="63"/>
        <w:rPr>
          <w:rFonts w:hint="eastAsia" w:ascii="宋体" w:hAnsi="宋体" w:eastAsia="宋体" w:cs="宋体"/>
          <w:color w:val="auto"/>
          <w:sz w:val="24"/>
          <w:szCs w:val="24"/>
          <w:highlight w:val="none"/>
        </w:rPr>
      </w:pPr>
    </w:p>
    <w:p w14:paraId="729F196B">
      <w:pPr>
        <w:rPr>
          <w:rFonts w:hint="eastAsia" w:ascii="宋体" w:hAnsi="宋体" w:eastAsia="宋体" w:cs="宋体"/>
          <w:color w:val="auto"/>
          <w:sz w:val="24"/>
          <w:szCs w:val="24"/>
          <w:highlight w:val="none"/>
        </w:rPr>
      </w:pPr>
    </w:p>
    <w:p w14:paraId="1F1D6B40">
      <w:pPr>
        <w:pStyle w:val="2"/>
        <w:ind w:left="680"/>
        <w:rPr>
          <w:rFonts w:hint="eastAsia" w:ascii="宋体" w:hAnsi="宋体" w:eastAsia="宋体" w:cs="宋体"/>
          <w:color w:val="auto"/>
          <w:sz w:val="24"/>
          <w:szCs w:val="24"/>
          <w:highlight w:val="none"/>
        </w:rPr>
      </w:pPr>
    </w:p>
    <w:p w14:paraId="1D102A83">
      <w:pPr>
        <w:rPr>
          <w:rFonts w:hint="eastAsia" w:ascii="宋体" w:hAnsi="宋体" w:eastAsia="宋体" w:cs="宋体"/>
          <w:color w:val="auto"/>
          <w:sz w:val="24"/>
          <w:szCs w:val="24"/>
          <w:highlight w:val="none"/>
        </w:rPr>
      </w:pPr>
    </w:p>
    <w:p w14:paraId="19B7ADA0">
      <w:pPr>
        <w:pStyle w:val="2"/>
        <w:ind w:left="680"/>
        <w:rPr>
          <w:rFonts w:hint="eastAsia" w:ascii="宋体" w:hAnsi="宋体" w:eastAsia="宋体" w:cs="宋体"/>
          <w:color w:val="auto"/>
          <w:sz w:val="24"/>
          <w:szCs w:val="24"/>
          <w:highlight w:val="none"/>
        </w:rPr>
      </w:pPr>
    </w:p>
    <w:p w14:paraId="6E8BC838">
      <w:pPr>
        <w:rPr>
          <w:rFonts w:hint="eastAsia" w:ascii="宋体" w:hAnsi="宋体" w:eastAsia="宋体" w:cs="宋体"/>
          <w:color w:val="auto"/>
          <w:sz w:val="24"/>
          <w:szCs w:val="24"/>
          <w:highlight w:val="none"/>
        </w:rPr>
      </w:pPr>
    </w:p>
    <w:p w14:paraId="551ABA3F">
      <w:pPr>
        <w:pStyle w:val="2"/>
        <w:ind w:left="680"/>
        <w:rPr>
          <w:rFonts w:hint="eastAsia" w:ascii="宋体" w:hAnsi="宋体" w:eastAsia="宋体" w:cs="宋体"/>
          <w:color w:val="auto"/>
          <w:sz w:val="24"/>
          <w:szCs w:val="24"/>
          <w:highlight w:val="none"/>
        </w:rPr>
      </w:pPr>
    </w:p>
    <w:p w14:paraId="3A78FE33">
      <w:pPr>
        <w:rPr>
          <w:rFonts w:hint="eastAsia" w:ascii="宋体" w:hAnsi="宋体" w:eastAsia="宋体" w:cs="宋体"/>
          <w:color w:val="auto"/>
          <w:sz w:val="24"/>
          <w:szCs w:val="24"/>
          <w:highlight w:val="none"/>
        </w:rPr>
      </w:pPr>
    </w:p>
    <w:p w14:paraId="52C96D36">
      <w:pPr>
        <w:pStyle w:val="2"/>
        <w:ind w:left="680"/>
        <w:rPr>
          <w:rFonts w:hint="eastAsia" w:ascii="宋体" w:hAnsi="宋体" w:eastAsia="宋体" w:cs="宋体"/>
          <w:color w:val="auto"/>
          <w:sz w:val="24"/>
          <w:szCs w:val="24"/>
          <w:highlight w:val="none"/>
        </w:rPr>
      </w:pPr>
    </w:p>
    <w:p w14:paraId="0B0376BD">
      <w:pPr>
        <w:rPr>
          <w:rFonts w:hint="eastAsia" w:ascii="宋体" w:hAnsi="宋体" w:eastAsia="宋体" w:cs="宋体"/>
          <w:color w:val="auto"/>
          <w:sz w:val="24"/>
          <w:szCs w:val="24"/>
          <w:highlight w:val="none"/>
        </w:rPr>
      </w:pPr>
    </w:p>
    <w:p w14:paraId="44B4A4EB">
      <w:pPr>
        <w:pStyle w:val="2"/>
        <w:ind w:left="680"/>
        <w:rPr>
          <w:rFonts w:hint="eastAsia" w:ascii="宋体" w:hAnsi="宋体" w:eastAsia="宋体" w:cs="宋体"/>
          <w:color w:val="auto"/>
          <w:sz w:val="24"/>
          <w:szCs w:val="24"/>
          <w:highlight w:val="none"/>
        </w:rPr>
      </w:pPr>
    </w:p>
    <w:p w14:paraId="0C94CD88">
      <w:pPr>
        <w:rPr>
          <w:rFonts w:hint="eastAsia" w:ascii="宋体" w:hAnsi="宋体" w:eastAsia="宋体" w:cs="宋体"/>
          <w:color w:val="auto"/>
          <w:sz w:val="24"/>
          <w:szCs w:val="24"/>
          <w:highlight w:val="none"/>
        </w:rPr>
      </w:pPr>
    </w:p>
    <w:p w14:paraId="05347AC0">
      <w:pPr>
        <w:pStyle w:val="9"/>
        <w:rPr>
          <w:rFonts w:hint="eastAsia" w:ascii="宋体" w:hAnsi="宋体" w:eastAsia="宋体" w:cs="宋体"/>
          <w:color w:val="auto"/>
          <w:sz w:val="24"/>
          <w:szCs w:val="24"/>
          <w:highlight w:val="none"/>
        </w:rPr>
      </w:pPr>
    </w:p>
    <w:p w14:paraId="706F4CB8">
      <w:pPr>
        <w:pStyle w:val="3"/>
        <w:rPr>
          <w:rFonts w:hint="eastAsia" w:ascii="宋体" w:hAnsi="宋体" w:eastAsia="宋体" w:cs="宋体"/>
          <w:color w:val="auto"/>
          <w:highlight w:val="none"/>
        </w:rPr>
      </w:pPr>
    </w:p>
    <w:p w14:paraId="24B32198">
      <w:pPr>
        <w:rPr>
          <w:rFonts w:hint="eastAsia" w:ascii="宋体" w:hAnsi="宋体" w:eastAsia="宋体" w:cs="宋体"/>
          <w:color w:val="auto"/>
          <w:sz w:val="24"/>
          <w:szCs w:val="24"/>
          <w:highlight w:val="none"/>
        </w:rPr>
      </w:pPr>
    </w:p>
    <w:p w14:paraId="537377BA">
      <w:pPr>
        <w:pStyle w:val="2"/>
        <w:ind w:left="680"/>
        <w:rPr>
          <w:rFonts w:hint="eastAsia" w:ascii="宋体" w:hAnsi="宋体" w:eastAsia="宋体" w:cs="宋体"/>
          <w:color w:val="auto"/>
          <w:sz w:val="24"/>
          <w:szCs w:val="24"/>
          <w:highlight w:val="none"/>
        </w:rPr>
      </w:pPr>
    </w:p>
    <w:p w14:paraId="153ADE5D">
      <w:pPr>
        <w:rPr>
          <w:rFonts w:hint="eastAsia" w:ascii="宋体" w:hAnsi="宋体" w:eastAsia="宋体" w:cs="宋体"/>
          <w:color w:val="auto"/>
          <w:sz w:val="24"/>
          <w:szCs w:val="24"/>
          <w:highlight w:val="none"/>
        </w:rPr>
      </w:pPr>
    </w:p>
    <w:p w14:paraId="34AD2AE5">
      <w:pPr>
        <w:pStyle w:val="2"/>
        <w:ind w:left="680"/>
        <w:rPr>
          <w:rFonts w:hint="eastAsia" w:ascii="宋体" w:hAnsi="宋体" w:eastAsia="宋体" w:cs="宋体"/>
          <w:color w:val="auto"/>
          <w:highlight w:val="none"/>
        </w:rPr>
      </w:pPr>
    </w:p>
    <w:p w14:paraId="103CC0C1">
      <w:pPr>
        <w:rPr>
          <w:rFonts w:hint="eastAsia" w:ascii="宋体" w:hAnsi="宋体" w:eastAsia="宋体" w:cs="宋体"/>
          <w:color w:val="auto"/>
          <w:highlight w:val="none"/>
        </w:rPr>
      </w:pPr>
    </w:p>
    <w:p w14:paraId="55096EEC">
      <w:pPr>
        <w:rPr>
          <w:rFonts w:hint="eastAsia" w:ascii="宋体" w:hAnsi="宋体" w:eastAsia="宋体" w:cs="宋体"/>
          <w:color w:val="auto"/>
          <w:highlight w:val="none"/>
        </w:rPr>
      </w:pPr>
    </w:p>
    <w:p w14:paraId="1B36348D">
      <w:pPr>
        <w:rPr>
          <w:rFonts w:hint="eastAsia" w:ascii="宋体" w:hAnsi="宋体" w:eastAsia="宋体" w:cs="宋体"/>
          <w:color w:val="auto"/>
          <w:highlight w:val="none"/>
        </w:rPr>
      </w:pPr>
    </w:p>
    <w:p w14:paraId="204FC5AF">
      <w:pPr>
        <w:keepNext/>
        <w:keepLines/>
        <w:outlineLvl w:val="9"/>
        <w:rPr>
          <w:rFonts w:hint="eastAsia" w:ascii="宋体" w:hAnsi="宋体" w:eastAsia="宋体" w:cs="宋体"/>
          <w:bCs w:val="0"/>
          <w:color w:val="auto"/>
          <w:sz w:val="24"/>
          <w:szCs w:val="24"/>
          <w:highlight w:val="none"/>
        </w:rPr>
      </w:pPr>
      <w:bookmarkStart w:id="272" w:name="_Toc31016"/>
      <w:r>
        <w:rPr>
          <w:rFonts w:hint="eastAsia" w:ascii="宋体" w:hAnsi="宋体" w:eastAsia="宋体" w:cs="宋体"/>
          <w:bCs w:val="0"/>
          <w:color w:val="auto"/>
          <w:sz w:val="24"/>
          <w:szCs w:val="24"/>
          <w:highlight w:val="none"/>
          <w:lang w:eastAsia="zh-CN"/>
        </w:rPr>
        <w:t>1</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有效期内的营业执照副本扫描件或复印件；</w:t>
      </w:r>
      <w:bookmarkEnd w:id="272"/>
    </w:p>
    <w:p w14:paraId="4FEC61ED">
      <w:pPr>
        <w:spacing w:line="500" w:lineRule="exact"/>
        <w:ind w:firstLine="480"/>
        <w:jc w:val="center"/>
        <w:rPr>
          <w:rFonts w:hint="eastAsia" w:ascii="宋体" w:hAnsi="宋体" w:eastAsia="宋体" w:cs="宋体"/>
          <w:b/>
          <w:color w:val="auto"/>
          <w:sz w:val="24"/>
          <w:szCs w:val="24"/>
          <w:highlight w:val="none"/>
        </w:rPr>
      </w:pPr>
    </w:p>
    <w:p w14:paraId="40C66B08">
      <w:pPr>
        <w:pStyle w:val="63"/>
        <w:rPr>
          <w:rFonts w:hint="eastAsia" w:ascii="宋体" w:hAnsi="宋体" w:eastAsia="宋体" w:cs="宋体"/>
          <w:color w:val="auto"/>
          <w:highlight w:val="none"/>
        </w:rPr>
      </w:pPr>
      <w:bookmarkStart w:id="273" w:name="_Toc374366059"/>
    </w:p>
    <w:p w14:paraId="496291E0">
      <w:pPr>
        <w:snapToGrid w:val="0"/>
        <w:spacing w:line="360" w:lineRule="auto"/>
        <w:ind w:right="480"/>
        <w:jc w:val="center"/>
        <w:rPr>
          <w:rFonts w:hint="eastAsia" w:ascii="宋体" w:hAnsi="宋体" w:eastAsia="宋体" w:cs="宋体"/>
          <w:b/>
          <w:color w:val="auto"/>
          <w:sz w:val="24"/>
          <w:szCs w:val="22"/>
          <w:highlight w:val="none"/>
        </w:rPr>
      </w:pPr>
    </w:p>
    <w:p w14:paraId="50B104B8">
      <w:pPr>
        <w:snapToGrid w:val="0"/>
        <w:spacing w:line="360" w:lineRule="auto"/>
        <w:ind w:right="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2"/>
          <w:highlight w:val="none"/>
          <w:lang w:val="en-US" w:eastAsia="zh-CN"/>
        </w:rPr>
        <w:t>2</w:t>
      </w:r>
      <w:r>
        <w:rPr>
          <w:rFonts w:hint="eastAsia" w:ascii="宋体" w:hAnsi="宋体" w:eastAsia="宋体" w:cs="宋体"/>
          <w:b/>
          <w:color w:val="auto"/>
          <w:sz w:val="24"/>
          <w:szCs w:val="22"/>
          <w:highlight w:val="none"/>
        </w:rPr>
        <w:t>.符合参加政府采购活动应当具备的一般条件的承诺函</w:t>
      </w:r>
    </w:p>
    <w:p w14:paraId="1CEDA0D0">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）、（采购代理机构）：</w:t>
      </w:r>
    </w:p>
    <w:p w14:paraId="619ED0E9">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我方（联合体）参与（项目名称）【招标编号：（采购编号）】政府采购活动，郑重承诺：</w:t>
      </w:r>
    </w:p>
    <w:p w14:paraId="3653B115">
      <w:pPr>
        <w:snapToGrid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65133078">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0D5EC6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40736D8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EF8759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D71CD86">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275DB41">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5EF491D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、中国政府采购网（www.ccgp.gov.cn）列入失信被执行人、重大税收违法案件当事人名单、政府采购严重违法失信行为记录名单。</w:t>
      </w:r>
    </w:p>
    <w:p w14:paraId="0F862718">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26C2E26B">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02ED8932">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653023A0">
      <w:pPr>
        <w:snapToGrid w:val="0"/>
        <w:spacing w:line="500" w:lineRule="exact"/>
        <w:ind w:firstLine="2400" w:firstLineChars="1000"/>
        <w:rPr>
          <w:rFonts w:hint="eastAsia" w:ascii="宋体" w:hAnsi="宋体" w:eastAsia="宋体" w:cs="宋体"/>
          <w:color w:val="auto"/>
          <w:sz w:val="24"/>
          <w:szCs w:val="24"/>
          <w:highlight w:val="none"/>
          <w:lang w:val="zh-CN"/>
        </w:rPr>
      </w:pPr>
    </w:p>
    <w:p w14:paraId="3F996F89">
      <w:pPr>
        <w:snapToGrid w:val="0"/>
        <w:spacing w:line="5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val="zh-CN"/>
        </w:rPr>
        <w:t>：</w:t>
      </w:r>
    </w:p>
    <w:p w14:paraId="75A5A5BF">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097908E3">
      <w:pPr>
        <w:ind w:firstLine="630" w:firstLineChars="300"/>
        <w:rPr>
          <w:rFonts w:hint="eastAsia" w:ascii="宋体" w:hAnsi="宋体" w:eastAsia="宋体" w:cs="宋体"/>
          <w:color w:val="auto"/>
          <w:sz w:val="21"/>
          <w:szCs w:val="21"/>
          <w:highlight w:val="none"/>
        </w:rPr>
      </w:pPr>
    </w:p>
    <w:p w14:paraId="749B088D">
      <w:pPr>
        <w:pStyle w:val="2"/>
        <w:ind w:left="680"/>
        <w:rPr>
          <w:rFonts w:hint="eastAsia" w:ascii="宋体" w:hAnsi="宋体" w:eastAsia="宋体" w:cs="宋体"/>
          <w:color w:val="auto"/>
          <w:highlight w:val="none"/>
        </w:rPr>
      </w:pPr>
    </w:p>
    <w:p w14:paraId="423D58F4">
      <w:pPr>
        <w:snapToGrid w:val="0"/>
        <w:spacing w:before="50" w:after="50"/>
        <w:ind w:right="-1323" w:rightChars="-389"/>
        <w:rPr>
          <w:rFonts w:hint="eastAsia" w:ascii="宋体" w:hAnsi="宋体" w:eastAsia="宋体" w:cs="宋体"/>
          <w:color w:val="auto"/>
          <w:sz w:val="21"/>
          <w:szCs w:val="21"/>
          <w:highlight w:val="none"/>
        </w:rPr>
      </w:pPr>
    </w:p>
    <w:p w14:paraId="735997C5">
      <w:pPr>
        <w:pStyle w:val="2"/>
        <w:ind w:left="680"/>
        <w:rPr>
          <w:rFonts w:hint="eastAsia" w:ascii="宋体" w:hAnsi="宋体" w:eastAsia="宋体" w:cs="宋体"/>
          <w:color w:val="auto"/>
          <w:highlight w:val="none"/>
        </w:rPr>
      </w:pPr>
    </w:p>
    <w:p w14:paraId="3121D0EF">
      <w:pPr>
        <w:widowControl/>
        <w:snapToGrid w:val="0"/>
        <w:spacing w:before="120" w:after="50"/>
        <w:rPr>
          <w:rFonts w:hint="eastAsia" w:ascii="宋体" w:hAnsi="宋体" w:eastAsia="宋体" w:cs="宋体"/>
          <w:b/>
          <w:color w:val="auto"/>
          <w:sz w:val="24"/>
          <w:highlight w:val="none"/>
        </w:rPr>
      </w:pPr>
      <w:bookmarkStart w:id="274" w:name="_Toc637_WPSOffice_Level1"/>
      <w:bookmarkStart w:id="275" w:name="_Toc5760_WPSOffice_Level1"/>
      <w:bookmarkStart w:id="276" w:name="_Toc15336_WPSOffice_Level1"/>
      <w:r>
        <w:rPr>
          <w:rFonts w:hint="eastAsia" w:ascii="宋体" w:hAnsi="宋体" w:eastAsia="宋体" w:cs="宋体"/>
          <w:b/>
          <w:color w:val="auto"/>
          <w:sz w:val="24"/>
          <w:highlight w:val="none"/>
        </w:rPr>
        <w:t>（二）商务技术文件（参考格式）</w:t>
      </w:r>
    </w:p>
    <w:p w14:paraId="15057B80">
      <w:pPr>
        <w:keepNext w:val="0"/>
        <w:keepLines w:val="0"/>
        <w:pageBreakBefore w:val="0"/>
        <w:kinsoku/>
        <w:overflowPunct/>
        <w:autoSpaceDE/>
        <w:autoSpaceDN/>
        <w:bidi w:val="0"/>
        <w:adjustRightInd/>
        <w:spacing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技术商务标自评得分汇总表；（格式内容参照技术商务评分表，格式见附件）；</w:t>
      </w:r>
    </w:p>
    <w:p w14:paraId="504A68D6">
      <w:pPr>
        <w:keepNext w:val="0"/>
        <w:keepLines w:val="0"/>
        <w:pageBreakBefore w:val="0"/>
        <w:kinsoku/>
        <w:overflowPunct/>
        <w:autoSpaceDE/>
        <w:autoSpaceDN/>
        <w:bidi w:val="0"/>
        <w:adjustRightInd/>
        <w:spacing w:line="5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情况表（格式见附件）；</w:t>
      </w:r>
    </w:p>
    <w:p w14:paraId="54CEC702">
      <w:pPr>
        <w:autoSpaceDE/>
        <w:autoSpaceDN/>
        <w:adjustRightIn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法定代表人身份证明、法定代表人授权委托书（格式见附件，如法定代表人本人参加的，则仅</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提供法定代表人身份证明及法定代表人身份证复印件）；</w:t>
      </w:r>
    </w:p>
    <w:p w14:paraId="5B041267">
      <w:pPr>
        <w:snapToGrid w:val="0"/>
        <w:spacing w:line="5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val="en-US" w:eastAsia="zh-CN"/>
        </w:rPr>
        <w:t>整体</w:t>
      </w:r>
      <w:r>
        <w:rPr>
          <w:rFonts w:hint="eastAsia" w:ascii="宋体" w:hAnsi="宋体" w:eastAsia="宋体" w:cs="宋体"/>
          <w:b w:val="0"/>
          <w:bCs w:val="0"/>
          <w:color w:val="auto"/>
          <w:sz w:val="21"/>
          <w:szCs w:val="21"/>
          <w:highlight w:val="none"/>
        </w:rPr>
        <w:t>实施能力及</w:t>
      </w:r>
      <w:r>
        <w:rPr>
          <w:rFonts w:hint="eastAsia" w:hAnsi="宋体" w:cs="宋体"/>
          <w:b w:val="0"/>
          <w:bCs w:val="0"/>
          <w:color w:val="auto"/>
          <w:sz w:val="21"/>
          <w:szCs w:val="21"/>
          <w:highlight w:val="none"/>
          <w:lang w:val="en-US" w:eastAsia="zh-CN"/>
        </w:rPr>
        <w:t>活动</w:t>
      </w:r>
      <w:r>
        <w:rPr>
          <w:rFonts w:hint="eastAsia" w:ascii="宋体" w:hAnsi="宋体" w:eastAsia="宋体" w:cs="宋体"/>
          <w:b w:val="0"/>
          <w:bCs w:val="0"/>
          <w:color w:val="auto"/>
          <w:sz w:val="21"/>
          <w:szCs w:val="21"/>
          <w:highlight w:val="none"/>
        </w:rPr>
        <w:t>保障措施（格式</w:t>
      </w:r>
      <w:r>
        <w:rPr>
          <w:rFonts w:hint="eastAsia" w:hAnsi="宋体" w:cs="宋体"/>
          <w:b w:val="0"/>
          <w:bCs w:val="0"/>
          <w:color w:val="auto"/>
          <w:sz w:val="21"/>
          <w:szCs w:val="21"/>
          <w:highlight w:val="none"/>
          <w:lang w:val="en-US" w:eastAsia="zh-CN"/>
        </w:rPr>
        <w:t>自拟</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w:t>
      </w:r>
    </w:p>
    <w:p w14:paraId="642289A3">
      <w:pPr>
        <w:snapToGrid w:val="0"/>
        <w:spacing w:line="500" w:lineRule="exact"/>
        <w:ind w:firstLine="420" w:firstLineChars="200"/>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rPr>
        <w:t>实施</w:t>
      </w:r>
      <w:r>
        <w:rPr>
          <w:rFonts w:hint="eastAsia"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zh-CN" w:eastAsia="zh-Hans"/>
        </w:rPr>
        <w:t>服务承诺</w:t>
      </w:r>
      <w:r>
        <w:rPr>
          <w:rFonts w:hint="eastAsia" w:hAnsi="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（格式</w:t>
      </w:r>
      <w:r>
        <w:rPr>
          <w:rFonts w:hint="eastAsia" w:hAnsi="宋体" w:cs="宋体"/>
          <w:b w:val="0"/>
          <w:bCs w:val="0"/>
          <w:color w:val="auto"/>
          <w:sz w:val="21"/>
          <w:szCs w:val="21"/>
          <w:highlight w:val="none"/>
          <w:lang w:val="en-US" w:eastAsia="zh-CN"/>
        </w:rPr>
        <w:t>自拟</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w:t>
      </w:r>
    </w:p>
    <w:p w14:paraId="1F3C9526">
      <w:pPr>
        <w:keepNext w:val="0"/>
        <w:keepLines w:val="0"/>
        <w:pageBreakBefore w:val="0"/>
        <w:numPr>
          <w:ilvl w:val="0"/>
          <w:numId w:val="0"/>
        </w:numPr>
        <w:kinsoku/>
        <w:overflowPunct/>
        <w:autoSpaceDE/>
        <w:autoSpaceDN/>
        <w:bidi w:val="0"/>
        <w:adjustRightInd/>
        <w:spacing w:line="500" w:lineRule="exact"/>
        <w:ind w:firstLine="420" w:firstLineChars="200"/>
        <w:jc w:val="both"/>
        <w:outlineLvl w:val="9"/>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6</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w:t>
      </w:r>
      <w:r>
        <w:rPr>
          <w:rFonts w:hint="eastAsia" w:hAnsi="宋体" w:cs="宋体"/>
          <w:b w:val="0"/>
          <w:bCs w:val="0"/>
          <w:color w:val="auto"/>
          <w:sz w:val="21"/>
          <w:szCs w:val="21"/>
          <w:highlight w:val="none"/>
          <w:lang w:val="en-US" w:eastAsia="zh-CN"/>
        </w:rPr>
        <w:t>2021年1月1日以来的同类项目</w:t>
      </w:r>
      <w:r>
        <w:rPr>
          <w:rFonts w:hint="eastAsia" w:ascii="宋体" w:hAnsi="宋体" w:eastAsia="宋体" w:cs="宋体"/>
          <w:b w:val="0"/>
          <w:bCs w:val="0"/>
          <w:color w:val="auto"/>
          <w:sz w:val="21"/>
          <w:szCs w:val="21"/>
          <w:highlight w:val="none"/>
        </w:rPr>
        <w:t>业绩（须提供对应采购合同</w:t>
      </w:r>
      <w:r>
        <w:rPr>
          <w:rFonts w:hint="eastAsia" w:hAnsi="宋体" w:cs="宋体"/>
          <w:b w:val="0"/>
          <w:bCs w:val="0"/>
          <w:color w:val="auto"/>
          <w:sz w:val="21"/>
          <w:szCs w:val="21"/>
          <w:highlight w:val="none"/>
          <w:lang w:val="en-US" w:eastAsia="zh-CN"/>
        </w:rPr>
        <w:t>扫描件或复印件并</w:t>
      </w:r>
      <w:r>
        <w:rPr>
          <w:rFonts w:hint="eastAsia" w:ascii="宋体" w:hAnsi="宋体" w:eastAsia="宋体" w:cs="宋体"/>
          <w:b w:val="0"/>
          <w:bCs w:val="0"/>
          <w:color w:val="auto"/>
          <w:sz w:val="21"/>
          <w:szCs w:val="21"/>
          <w:highlight w:val="none"/>
        </w:rPr>
        <w:t>加盖公章）（格式见附件）；</w:t>
      </w:r>
    </w:p>
    <w:p w14:paraId="75837D01">
      <w:pPr>
        <w:keepNext w:val="0"/>
        <w:keepLines w:val="0"/>
        <w:pageBreakBefore w:val="0"/>
        <w:numPr>
          <w:ilvl w:val="0"/>
          <w:numId w:val="0"/>
        </w:numPr>
        <w:kinsoku/>
        <w:overflowPunct/>
        <w:autoSpaceDE/>
        <w:autoSpaceDN/>
        <w:bidi w:val="0"/>
        <w:adjustRightInd/>
        <w:spacing w:line="500" w:lineRule="exact"/>
        <w:ind w:firstLine="420" w:firstLineChars="200"/>
        <w:jc w:val="both"/>
        <w:outlineLvl w:val="9"/>
        <w:rPr>
          <w:rFonts w:hint="eastAsia" w:eastAsia="宋体"/>
          <w:color w:val="auto"/>
          <w:highlight w:val="none"/>
          <w:lang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7</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供应商</w:t>
      </w:r>
      <w:r>
        <w:rPr>
          <w:rFonts w:hint="eastAsia" w:hAnsi="宋体" w:cs="宋体"/>
          <w:b w:val="0"/>
          <w:bCs w:val="0"/>
          <w:color w:val="auto"/>
          <w:sz w:val="21"/>
          <w:szCs w:val="21"/>
          <w:highlight w:val="none"/>
          <w:lang w:val="en-US" w:eastAsia="zh-CN"/>
        </w:rPr>
        <w:t>2021年1月1日以来获取的</w:t>
      </w:r>
      <w:r>
        <w:rPr>
          <w:rFonts w:hint="eastAsia" w:ascii="宋体" w:hAnsi="宋体" w:eastAsia="宋体" w:cs="宋体"/>
          <w:b w:val="0"/>
          <w:bCs w:val="0"/>
          <w:color w:val="auto"/>
          <w:sz w:val="21"/>
          <w:szCs w:val="21"/>
          <w:highlight w:val="none"/>
        </w:rPr>
        <w:t>企</w:t>
      </w:r>
      <w:r>
        <w:rPr>
          <w:rFonts w:hint="eastAsia" w:ascii="宋体" w:hAnsi="宋体" w:eastAsia="宋体" w:cs="宋体"/>
          <w:color w:val="auto"/>
          <w:sz w:val="21"/>
          <w:szCs w:val="21"/>
          <w:highlight w:val="none"/>
        </w:rPr>
        <w:t>业</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（须提供</w:t>
      </w:r>
      <w:r>
        <w:rPr>
          <w:rFonts w:hint="eastAsia" w:hAnsi="宋体" w:cs="宋体"/>
          <w:color w:val="auto"/>
          <w:sz w:val="21"/>
          <w:szCs w:val="21"/>
          <w:highlight w:val="none"/>
          <w:lang w:val="en-US" w:eastAsia="zh-CN"/>
        </w:rPr>
        <w:t>扫描件或复印件并</w:t>
      </w:r>
      <w:r>
        <w:rPr>
          <w:rFonts w:hint="eastAsia" w:ascii="宋体" w:hAnsi="宋体" w:eastAsia="宋体" w:cs="宋体"/>
          <w:color w:val="auto"/>
          <w:sz w:val="21"/>
          <w:szCs w:val="21"/>
          <w:highlight w:val="none"/>
        </w:rPr>
        <w:t>加盖公章）（格式见附件）；</w:t>
      </w:r>
    </w:p>
    <w:p w14:paraId="2A28CDD3">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拟投入本项目的服务人员配置表（格式见附件）；</w:t>
      </w:r>
    </w:p>
    <w:p w14:paraId="15C01DDA">
      <w:pPr>
        <w:snapToGrid w:val="0"/>
        <w:spacing w:line="500" w:lineRule="exact"/>
        <w:ind w:firstLine="420" w:firstLineChars="200"/>
        <w:rPr>
          <w:rFonts w:hint="eastAsia"/>
          <w:color w:val="auto"/>
          <w:highlight w:val="none"/>
        </w:rPr>
      </w:pPr>
      <w:r>
        <w:rPr>
          <w:rFonts w:hint="eastAsia" w:ascii="宋体" w:hAnsi="宋体" w:eastAsia="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）服务、商务要求响应表</w:t>
      </w:r>
      <w:r>
        <w:rPr>
          <w:rFonts w:hint="eastAsia" w:ascii="宋体" w:hAnsi="宋体" w:eastAsia="宋体" w:cs="宋体"/>
          <w:color w:val="auto"/>
          <w:sz w:val="21"/>
          <w:szCs w:val="21"/>
          <w:highlight w:val="none"/>
        </w:rPr>
        <w:t>（格式见附件）；</w:t>
      </w:r>
    </w:p>
    <w:p w14:paraId="6FB6F8A9">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）评分规则中涉及的所需提供的资料（格式</w:t>
      </w:r>
      <w:r>
        <w:rPr>
          <w:rFonts w:hint="eastAsia" w:hAnsi="宋体" w:cs="宋体"/>
          <w:color w:val="auto"/>
          <w:sz w:val="21"/>
          <w:szCs w:val="21"/>
          <w:highlight w:val="none"/>
        </w:rPr>
        <w:t>略</w:t>
      </w:r>
      <w:r>
        <w:rPr>
          <w:rFonts w:hint="eastAsia" w:ascii="宋体" w:hAnsi="宋体" w:eastAsia="宋体" w:cs="宋体"/>
          <w:color w:val="auto"/>
          <w:sz w:val="21"/>
          <w:szCs w:val="21"/>
          <w:highlight w:val="none"/>
        </w:rPr>
        <w:t>）；</w:t>
      </w:r>
    </w:p>
    <w:p w14:paraId="0D98518F">
      <w:pPr>
        <w:keepNext w:val="0"/>
        <w:keepLines w:val="0"/>
        <w:pageBreakBefore w:val="0"/>
        <w:kinsoku/>
        <w:overflowPunct/>
        <w:autoSpaceDE/>
        <w:autoSpaceDN/>
        <w:bidi w:val="0"/>
        <w:adjustRightInd/>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需要说明的其他文件和说明（格式</w:t>
      </w:r>
      <w:r>
        <w:rPr>
          <w:rFonts w:hint="eastAsia" w:hAnsi="宋体" w:cs="宋体"/>
          <w:color w:val="auto"/>
          <w:sz w:val="21"/>
          <w:szCs w:val="21"/>
          <w:highlight w:val="none"/>
          <w:lang w:val="en-US" w:eastAsia="zh-CN"/>
        </w:rPr>
        <w:t>自拟</w:t>
      </w:r>
      <w:r>
        <w:rPr>
          <w:rFonts w:hint="eastAsia" w:ascii="宋体" w:hAnsi="宋体" w:eastAsia="宋体" w:cs="宋体"/>
          <w:color w:val="auto"/>
          <w:sz w:val="21"/>
          <w:szCs w:val="21"/>
          <w:highlight w:val="none"/>
        </w:rPr>
        <w:t>）。</w:t>
      </w:r>
    </w:p>
    <w:p w14:paraId="5E7654F4">
      <w:pPr>
        <w:autoSpaceDE/>
        <w:autoSpaceDN/>
        <w:adjustRightInd/>
        <w:spacing w:line="500" w:lineRule="exact"/>
        <w:ind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（★商务技术文件中不能出现报价信息）</w:t>
      </w:r>
    </w:p>
    <w:p w14:paraId="349C1602">
      <w:pPr>
        <w:pStyle w:val="26"/>
        <w:snapToGrid w:val="0"/>
        <w:jc w:val="center"/>
        <w:rPr>
          <w:rFonts w:hint="eastAsia" w:ascii="宋体" w:hAnsi="宋体" w:eastAsia="宋体" w:cs="宋体"/>
          <w:b/>
          <w:color w:val="auto"/>
          <w:sz w:val="28"/>
          <w:szCs w:val="20"/>
          <w:highlight w:val="none"/>
        </w:rPr>
      </w:pPr>
    </w:p>
    <w:p w14:paraId="3277465C">
      <w:pPr>
        <w:widowControl/>
        <w:autoSpaceDE/>
        <w:autoSpaceDN/>
        <w:adjustRightInd/>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747A3EC">
      <w:pPr>
        <w:snapToGrid w:val="0"/>
        <w:spacing w:before="50" w:after="50"/>
        <w:rPr>
          <w:rFonts w:hint="eastAsia" w:ascii="宋体" w:hAnsi="宋体" w:eastAsia="宋体" w:cs="宋体"/>
          <w:b/>
          <w:color w:val="auto"/>
          <w:sz w:val="24"/>
          <w:highlight w:val="none"/>
        </w:rPr>
      </w:pPr>
    </w:p>
    <w:p w14:paraId="4F6ACA69">
      <w:pPr>
        <w:snapToGrid w:val="0"/>
        <w:spacing w:before="5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1.供应商商务技术文件自评得分汇总表（格式参照技术商务评分表，需标注对应页码）</w:t>
      </w:r>
    </w:p>
    <w:tbl>
      <w:tblPr>
        <w:tblStyle w:val="47"/>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27AE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49779664">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5" w:type="dxa"/>
            <w:vAlign w:val="center"/>
          </w:tcPr>
          <w:p w14:paraId="4B42AE7D">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90" w:type="dxa"/>
            <w:vAlign w:val="center"/>
          </w:tcPr>
          <w:p w14:paraId="1FEC2E50">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766" w:type="dxa"/>
            <w:vAlign w:val="center"/>
          </w:tcPr>
          <w:p w14:paraId="597D6276">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 w:type="dxa"/>
            <w:vAlign w:val="center"/>
          </w:tcPr>
          <w:p w14:paraId="6D324DA8">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w:t>
            </w:r>
          </w:p>
        </w:tc>
        <w:tc>
          <w:tcPr>
            <w:tcW w:w="1937" w:type="dxa"/>
            <w:vAlign w:val="center"/>
          </w:tcPr>
          <w:p w14:paraId="229D65AE">
            <w:pPr>
              <w:widowControl/>
              <w:autoSpaceDE/>
              <w:autoSpaceDN/>
              <w:adjustRightInd/>
              <w:snapToGrid w:val="0"/>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磋商响应文件响应页码</w:t>
            </w:r>
          </w:p>
        </w:tc>
      </w:tr>
    </w:tbl>
    <w:p w14:paraId="1D2D864C">
      <w:pPr>
        <w:widowControl/>
        <w:autoSpaceDE/>
        <w:autoSpaceDN/>
        <w:adjustRightInd/>
        <w:snapToGrid w:val="0"/>
        <w:jc w:val="center"/>
        <w:textAlignment w:val="auto"/>
        <w:rPr>
          <w:rFonts w:hint="eastAsia" w:ascii="宋体" w:hAnsi="宋体" w:eastAsia="宋体" w:cs="宋体"/>
          <w:b/>
          <w:color w:val="auto"/>
          <w:sz w:val="28"/>
          <w:highlight w:val="none"/>
        </w:rPr>
      </w:pPr>
    </w:p>
    <w:p w14:paraId="23E3DF62">
      <w:pPr>
        <w:pStyle w:val="26"/>
        <w:snapToGrid w:val="0"/>
        <w:jc w:val="center"/>
        <w:rPr>
          <w:rFonts w:hint="eastAsia" w:ascii="宋体" w:hAnsi="宋体" w:eastAsia="宋体" w:cs="宋体"/>
          <w:b/>
          <w:color w:val="auto"/>
          <w:sz w:val="28"/>
          <w:szCs w:val="20"/>
          <w:highlight w:val="none"/>
        </w:rPr>
      </w:pPr>
      <w:r>
        <w:rPr>
          <w:rFonts w:hint="eastAsia" w:ascii="宋体" w:hAnsi="宋体" w:eastAsia="宋体" w:cs="宋体"/>
          <w:b/>
          <w:color w:val="auto"/>
          <w:sz w:val="28"/>
          <w:szCs w:val="20"/>
          <w:highlight w:val="none"/>
          <w:lang w:val="en-US" w:eastAsia="zh-CN"/>
        </w:rPr>
        <w:t>2</w:t>
      </w:r>
      <w:r>
        <w:rPr>
          <w:rFonts w:hint="eastAsia" w:ascii="宋体" w:hAnsi="宋体" w:eastAsia="宋体" w:cs="宋体"/>
          <w:b/>
          <w:color w:val="auto"/>
          <w:sz w:val="28"/>
          <w:szCs w:val="20"/>
          <w:highlight w:val="none"/>
        </w:rPr>
        <w:t>.响应供应商情况表</w:t>
      </w:r>
      <w:bookmarkEnd w:id="274"/>
      <w:bookmarkEnd w:id="275"/>
      <w:bookmarkEnd w:id="276"/>
    </w:p>
    <w:tbl>
      <w:tblPr>
        <w:tblStyle w:val="47"/>
        <w:tblpPr w:leftFromText="180" w:rightFromText="180" w:vertAnchor="text" w:horzAnchor="margin" w:tblpX="250" w:tblpY="31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3923"/>
        <w:gridCol w:w="1559"/>
        <w:gridCol w:w="1876"/>
      </w:tblGrid>
      <w:tr w14:paraId="071F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72" w:type="dxa"/>
            <w:vAlign w:val="center"/>
          </w:tcPr>
          <w:p w14:paraId="592F62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923" w:type="dxa"/>
            <w:vAlign w:val="center"/>
          </w:tcPr>
          <w:p w14:paraId="7F18AA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2C454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59" w:type="dxa"/>
            <w:vAlign w:val="center"/>
          </w:tcPr>
          <w:p w14:paraId="52BC45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876" w:type="dxa"/>
          </w:tcPr>
          <w:p w14:paraId="5C7394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2B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72" w:type="dxa"/>
            <w:vAlign w:val="center"/>
          </w:tcPr>
          <w:p w14:paraId="404D8F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3923" w:type="dxa"/>
            <w:vAlign w:val="center"/>
          </w:tcPr>
          <w:p w14:paraId="2502CF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2CD2C9C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59" w:type="dxa"/>
            <w:vAlign w:val="center"/>
          </w:tcPr>
          <w:p w14:paraId="3E0D40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876" w:type="dxa"/>
          </w:tcPr>
          <w:p w14:paraId="72EA861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1DC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72" w:type="dxa"/>
            <w:vAlign w:val="center"/>
          </w:tcPr>
          <w:p w14:paraId="2AA82B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3923" w:type="dxa"/>
            <w:vAlign w:val="center"/>
          </w:tcPr>
          <w:p w14:paraId="57AAF3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067DC8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59" w:type="dxa"/>
            <w:vAlign w:val="center"/>
          </w:tcPr>
          <w:p w14:paraId="6DA156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876" w:type="dxa"/>
          </w:tcPr>
          <w:p w14:paraId="72A97A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61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72" w:type="dxa"/>
            <w:vMerge w:val="restart"/>
            <w:vAlign w:val="center"/>
          </w:tcPr>
          <w:p w14:paraId="0D9836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D841E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及账号</w:t>
            </w:r>
          </w:p>
        </w:tc>
        <w:tc>
          <w:tcPr>
            <w:tcW w:w="3923" w:type="dxa"/>
            <w:vAlign w:val="center"/>
          </w:tcPr>
          <w:p w14:paraId="3B2E56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59" w:type="dxa"/>
            <w:vAlign w:val="center"/>
          </w:tcPr>
          <w:p w14:paraId="39EE9D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876" w:type="dxa"/>
          </w:tcPr>
          <w:p w14:paraId="632CF03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DD3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72" w:type="dxa"/>
            <w:vMerge w:val="continue"/>
            <w:vAlign w:val="center"/>
          </w:tcPr>
          <w:p w14:paraId="29C8522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923" w:type="dxa"/>
            <w:vAlign w:val="center"/>
          </w:tcPr>
          <w:p w14:paraId="35500CA8">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1559" w:type="dxa"/>
            <w:vAlign w:val="center"/>
          </w:tcPr>
          <w:p w14:paraId="12660B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1876" w:type="dxa"/>
          </w:tcPr>
          <w:p w14:paraId="59ED94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52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72" w:type="dxa"/>
          </w:tcPr>
          <w:p w14:paraId="2B0ECE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法人证书登记号/统一社会信用代码</w:t>
            </w:r>
          </w:p>
        </w:tc>
        <w:tc>
          <w:tcPr>
            <w:tcW w:w="3923" w:type="dxa"/>
          </w:tcPr>
          <w:p w14:paraId="3A8053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0C0E8C5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559" w:type="dxa"/>
          </w:tcPr>
          <w:p w14:paraId="2286BCA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p w14:paraId="1CF3CD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w:t>
            </w:r>
          </w:p>
        </w:tc>
        <w:tc>
          <w:tcPr>
            <w:tcW w:w="1876" w:type="dxa"/>
          </w:tcPr>
          <w:p w14:paraId="220816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A5B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572" w:type="dxa"/>
            <w:vMerge w:val="restart"/>
            <w:vAlign w:val="center"/>
          </w:tcPr>
          <w:p w14:paraId="19C84D3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人员情况</w:t>
            </w:r>
          </w:p>
        </w:tc>
        <w:tc>
          <w:tcPr>
            <w:tcW w:w="7358" w:type="dxa"/>
            <w:gridSpan w:val="3"/>
            <w:vAlign w:val="center"/>
          </w:tcPr>
          <w:p w14:paraId="25588A12">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      人。</w:t>
            </w:r>
          </w:p>
        </w:tc>
      </w:tr>
      <w:tr w14:paraId="6D92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72" w:type="dxa"/>
            <w:vMerge w:val="continue"/>
            <w:vAlign w:val="center"/>
          </w:tcPr>
          <w:p w14:paraId="6A466A75">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7358" w:type="dxa"/>
            <w:gridSpan w:val="3"/>
            <w:vAlign w:val="center"/>
          </w:tcPr>
          <w:p w14:paraId="664F2BDF">
            <w:pPr>
              <w:keepNext w:val="0"/>
              <w:keepLines w:val="0"/>
              <w:widowControl/>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职称或技术等级：高级    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中级    人, 初级   人。</w:t>
            </w:r>
          </w:p>
        </w:tc>
      </w:tr>
      <w:tr w14:paraId="556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572" w:type="dxa"/>
            <w:vAlign w:val="center"/>
          </w:tcPr>
          <w:p w14:paraId="2559A1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单位概况</w:t>
            </w:r>
          </w:p>
        </w:tc>
        <w:tc>
          <w:tcPr>
            <w:tcW w:w="7358" w:type="dxa"/>
            <w:gridSpan w:val="3"/>
          </w:tcPr>
          <w:p w14:paraId="401EAB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39779B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A404D9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3114D0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7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572" w:type="dxa"/>
            <w:vAlign w:val="center"/>
          </w:tcPr>
          <w:p w14:paraId="7EA551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优势及特长</w:t>
            </w:r>
          </w:p>
        </w:tc>
        <w:tc>
          <w:tcPr>
            <w:tcW w:w="7358" w:type="dxa"/>
            <w:gridSpan w:val="3"/>
          </w:tcPr>
          <w:p w14:paraId="31B1009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CE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1572" w:type="dxa"/>
            <w:vAlign w:val="center"/>
          </w:tcPr>
          <w:p w14:paraId="3F97AD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获得的相关荣誉证书</w:t>
            </w:r>
          </w:p>
        </w:tc>
        <w:tc>
          <w:tcPr>
            <w:tcW w:w="7358" w:type="dxa"/>
            <w:gridSpan w:val="3"/>
          </w:tcPr>
          <w:p w14:paraId="090128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0B167BA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04FEFE5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荣誉证书复印件附后（加盖单位公章）</w:t>
            </w:r>
          </w:p>
        </w:tc>
      </w:tr>
    </w:tbl>
    <w:p w14:paraId="48C2AD62">
      <w:pPr>
        <w:pStyle w:val="26"/>
        <w:snapToGrid w:val="0"/>
        <w:spacing w:afterLines="50"/>
        <w:ind w:right="480" w:firstLine="6240" w:firstLineChars="2600"/>
        <w:rPr>
          <w:rFonts w:hint="eastAsia" w:ascii="宋体" w:hAnsi="宋体" w:eastAsia="宋体" w:cs="宋体"/>
          <w:color w:val="auto"/>
          <w:sz w:val="24"/>
          <w:szCs w:val="24"/>
          <w:highlight w:val="none"/>
        </w:rPr>
      </w:pPr>
    </w:p>
    <w:p w14:paraId="7F2C001C">
      <w:pPr>
        <w:pStyle w:val="9"/>
        <w:rPr>
          <w:rFonts w:hint="eastAsia" w:ascii="宋体" w:hAnsi="宋体" w:eastAsia="宋体" w:cs="宋体"/>
          <w:color w:val="auto"/>
          <w:sz w:val="24"/>
          <w:szCs w:val="24"/>
          <w:highlight w:val="none"/>
        </w:rPr>
      </w:pPr>
    </w:p>
    <w:p w14:paraId="3D612D4C">
      <w:pPr>
        <w:pStyle w:val="3"/>
        <w:rPr>
          <w:rFonts w:hint="eastAsia" w:ascii="宋体" w:hAnsi="宋体" w:eastAsia="宋体" w:cs="宋体"/>
          <w:color w:val="auto"/>
          <w:sz w:val="24"/>
          <w:szCs w:val="24"/>
          <w:highlight w:val="none"/>
        </w:rPr>
      </w:pPr>
    </w:p>
    <w:p w14:paraId="74DCF45D">
      <w:pPr>
        <w:pStyle w:val="3"/>
        <w:rPr>
          <w:rFonts w:hint="eastAsia" w:ascii="宋体" w:hAnsi="宋体" w:eastAsia="宋体" w:cs="宋体"/>
          <w:color w:val="auto"/>
          <w:sz w:val="24"/>
          <w:szCs w:val="24"/>
          <w:highlight w:val="none"/>
        </w:rPr>
      </w:pPr>
    </w:p>
    <w:p w14:paraId="5D8D6EB8">
      <w:pPr>
        <w:pStyle w:val="3"/>
        <w:rPr>
          <w:rFonts w:hint="eastAsia" w:ascii="宋体" w:hAnsi="宋体" w:eastAsia="宋体" w:cs="宋体"/>
          <w:color w:val="auto"/>
          <w:sz w:val="24"/>
          <w:szCs w:val="24"/>
          <w:highlight w:val="none"/>
        </w:rPr>
      </w:pPr>
    </w:p>
    <w:p w14:paraId="58802D19">
      <w:pPr>
        <w:pStyle w:val="3"/>
        <w:rPr>
          <w:rFonts w:hint="eastAsia" w:ascii="宋体" w:hAnsi="宋体" w:eastAsia="宋体" w:cs="宋体"/>
          <w:color w:val="auto"/>
          <w:sz w:val="24"/>
          <w:szCs w:val="24"/>
          <w:highlight w:val="none"/>
        </w:rPr>
      </w:pPr>
    </w:p>
    <w:p w14:paraId="26AD2A51">
      <w:pPr>
        <w:pStyle w:val="3"/>
        <w:rPr>
          <w:rFonts w:hint="eastAsia" w:ascii="宋体" w:hAnsi="宋体" w:eastAsia="宋体" w:cs="宋体"/>
          <w:color w:val="auto"/>
          <w:sz w:val="24"/>
          <w:szCs w:val="24"/>
          <w:highlight w:val="none"/>
        </w:rPr>
      </w:pPr>
    </w:p>
    <w:p w14:paraId="3261006B">
      <w:pPr>
        <w:pStyle w:val="3"/>
        <w:rPr>
          <w:rFonts w:hint="eastAsia" w:ascii="宋体" w:hAnsi="宋体" w:eastAsia="宋体" w:cs="宋体"/>
          <w:color w:val="auto"/>
          <w:sz w:val="24"/>
          <w:szCs w:val="24"/>
          <w:highlight w:val="none"/>
        </w:rPr>
      </w:pPr>
    </w:p>
    <w:p w14:paraId="11BE84BC">
      <w:pPr>
        <w:pStyle w:val="3"/>
        <w:rPr>
          <w:rFonts w:hint="eastAsia" w:ascii="宋体" w:hAnsi="宋体" w:eastAsia="宋体" w:cs="宋体"/>
          <w:color w:val="auto"/>
          <w:sz w:val="24"/>
          <w:szCs w:val="24"/>
          <w:highlight w:val="none"/>
        </w:rPr>
      </w:pPr>
    </w:p>
    <w:p w14:paraId="4478BFF2">
      <w:pPr>
        <w:pStyle w:val="3"/>
        <w:rPr>
          <w:rFonts w:hint="eastAsia" w:ascii="宋体" w:hAnsi="宋体" w:eastAsia="宋体" w:cs="宋体"/>
          <w:color w:val="auto"/>
          <w:sz w:val="24"/>
          <w:szCs w:val="24"/>
          <w:highlight w:val="none"/>
        </w:rPr>
      </w:pPr>
    </w:p>
    <w:p w14:paraId="522ED5CD">
      <w:pPr>
        <w:pStyle w:val="3"/>
        <w:rPr>
          <w:rFonts w:hint="eastAsia" w:ascii="宋体" w:hAnsi="宋体" w:eastAsia="宋体" w:cs="宋体"/>
          <w:color w:val="auto"/>
          <w:sz w:val="24"/>
          <w:szCs w:val="24"/>
          <w:highlight w:val="none"/>
        </w:rPr>
      </w:pPr>
    </w:p>
    <w:p w14:paraId="11F22E1C">
      <w:pPr>
        <w:pStyle w:val="3"/>
        <w:rPr>
          <w:rFonts w:hint="eastAsia" w:ascii="宋体" w:hAnsi="宋体" w:eastAsia="宋体" w:cs="宋体"/>
          <w:color w:val="auto"/>
          <w:sz w:val="24"/>
          <w:szCs w:val="24"/>
          <w:highlight w:val="none"/>
        </w:rPr>
      </w:pPr>
    </w:p>
    <w:p w14:paraId="3649C5F2">
      <w:pPr>
        <w:pStyle w:val="3"/>
        <w:rPr>
          <w:rFonts w:hint="eastAsia" w:ascii="宋体" w:hAnsi="宋体" w:eastAsia="宋体" w:cs="宋体"/>
          <w:color w:val="auto"/>
          <w:sz w:val="24"/>
          <w:szCs w:val="24"/>
          <w:highlight w:val="none"/>
        </w:rPr>
      </w:pPr>
    </w:p>
    <w:p w14:paraId="1F3C369B">
      <w:pPr>
        <w:pStyle w:val="3"/>
        <w:rPr>
          <w:rFonts w:hint="eastAsia" w:ascii="宋体" w:hAnsi="宋体" w:eastAsia="宋体" w:cs="宋体"/>
          <w:color w:val="auto"/>
          <w:sz w:val="24"/>
          <w:szCs w:val="24"/>
          <w:highlight w:val="none"/>
        </w:rPr>
      </w:pPr>
    </w:p>
    <w:p w14:paraId="34930600">
      <w:pPr>
        <w:pStyle w:val="3"/>
        <w:rPr>
          <w:rFonts w:hint="eastAsia" w:ascii="宋体" w:hAnsi="宋体" w:eastAsia="宋体" w:cs="宋体"/>
          <w:color w:val="auto"/>
          <w:sz w:val="24"/>
          <w:szCs w:val="24"/>
          <w:highlight w:val="none"/>
        </w:rPr>
      </w:pPr>
    </w:p>
    <w:p w14:paraId="23511ADF">
      <w:pPr>
        <w:pStyle w:val="3"/>
        <w:rPr>
          <w:rFonts w:hint="eastAsia" w:ascii="宋体" w:hAnsi="宋体" w:eastAsia="宋体" w:cs="宋体"/>
          <w:color w:val="auto"/>
          <w:sz w:val="24"/>
          <w:szCs w:val="24"/>
          <w:highlight w:val="none"/>
        </w:rPr>
      </w:pPr>
    </w:p>
    <w:p w14:paraId="6626BE99">
      <w:pPr>
        <w:pStyle w:val="3"/>
        <w:rPr>
          <w:rFonts w:hint="eastAsia" w:ascii="宋体" w:hAnsi="宋体" w:eastAsia="宋体" w:cs="宋体"/>
          <w:color w:val="auto"/>
          <w:sz w:val="24"/>
          <w:szCs w:val="24"/>
          <w:highlight w:val="none"/>
        </w:rPr>
      </w:pPr>
    </w:p>
    <w:p w14:paraId="68A90EB7">
      <w:pPr>
        <w:pStyle w:val="3"/>
        <w:rPr>
          <w:rFonts w:hint="eastAsia" w:ascii="宋体" w:hAnsi="宋体" w:eastAsia="宋体" w:cs="宋体"/>
          <w:color w:val="auto"/>
          <w:sz w:val="24"/>
          <w:szCs w:val="24"/>
          <w:highlight w:val="none"/>
        </w:rPr>
      </w:pPr>
    </w:p>
    <w:p w14:paraId="78CFBF9D">
      <w:pPr>
        <w:pStyle w:val="3"/>
        <w:rPr>
          <w:rFonts w:hint="eastAsia" w:ascii="宋体" w:hAnsi="宋体" w:eastAsia="宋体" w:cs="宋体"/>
          <w:color w:val="auto"/>
          <w:sz w:val="24"/>
          <w:szCs w:val="24"/>
          <w:highlight w:val="none"/>
        </w:rPr>
      </w:pPr>
    </w:p>
    <w:p w14:paraId="72E69B36">
      <w:pPr>
        <w:pStyle w:val="3"/>
        <w:rPr>
          <w:rFonts w:hint="eastAsia" w:ascii="宋体" w:hAnsi="宋体" w:eastAsia="宋体" w:cs="宋体"/>
          <w:color w:val="auto"/>
          <w:sz w:val="24"/>
          <w:szCs w:val="24"/>
          <w:highlight w:val="none"/>
        </w:rPr>
      </w:pPr>
    </w:p>
    <w:p w14:paraId="527F1A2D">
      <w:pPr>
        <w:pStyle w:val="3"/>
        <w:rPr>
          <w:rFonts w:hint="eastAsia" w:ascii="宋体" w:hAnsi="宋体" w:eastAsia="宋体" w:cs="宋体"/>
          <w:color w:val="auto"/>
          <w:sz w:val="24"/>
          <w:szCs w:val="24"/>
          <w:highlight w:val="none"/>
        </w:rPr>
      </w:pPr>
    </w:p>
    <w:p w14:paraId="56E470D0">
      <w:pPr>
        <w:pStyle w:val="3"/>
        <w:rPr>
          <w:rFonts w:hint="eastAsia" w:ascii="宋体" w:hAnsi="宋体" w:eastAsia="宋体" w:cs="宋体"/>
          <w:color w:val="auto"/>
          <w:sz w:val="24"/>
          <w:szCs w:val="24"/>
          <w:highlight w:val="none"/>
        </w:rPr>
      </w:pPr>
    </w:p>
    <w:p w14:paraId="7228CE0B">
      <w:pPr>
        <w:pStyle w:val="3"/>
        <w:rPr>
          <w:rFonts w:hint="eastAsia" w:ascii="宋体" w:hAnsi="宋体" w:eastAsia="宋体" w:cs="宋体"/>
          <w:color w:val="auto"/>
          <w:sz w:val="24"/>
          <w:szCs w:val="24"/>
          <w:highlight w:val="none"/>
        </w:rPr>
      </w:pPr>
    </w:p>
    <w:p w14:paraId="30B9C0F9">
      <w:pPr>
        <w:pStyle w:val="3"/>
        <w:rPr>
          <w:rFonts w:hint="eastAsia" w:ascii="宋体" w:hAnsi="宋体" w:eastAsia="宋体" w:cs="宋体"/>
          <w:color w:val="auto"/>
          <w:sz w:val="24"/>
          <w:szCs w:val="24"/>
          <w:highlight w:val="none"/>
        </w:rPr>
      </w:pPr>
    </w:p>
    <w:p w14:paraId="3D53BFE9">
      <w:pPr>
        <w:pStyle w:val="3"/>
        <w:rPr>
          <w:rFonts w:hint="eastAsia" w:ascii="宋体" w:hAnsi="宋体" w:eastAsia="宋体" w:cs="宋体"/>
          <w:color w:val="auto"/>
          <w:sz w:val="24"/>
          <w:szCs w:val="24"/>
          <w:highlight w:val="none"/>
        </w:rPr>
      </w:pPr>
    </w:p>
    <w:p w14:paraId="4B1B39B2">
      <w:pPr>
        <w:pStyle w:val="3"/>
        <w:rPr>
          <w:rFonts w:hint="eastAsia" w:ascii="宋体" w:hAnsi="宋体" w:eastAsia="宋体" w:cs="宋体"/>
          <w:color w:val="auto"/>
          <w:sz w:val="24"/>
          <w:szCs w:val="24"/>
          <w:highlight w:val="none"/>
        </w:rPr>
      </w:pPr>
    </w:p>
    <w:p w14:paraId="0599E561">
      <w:pPr>
        <w:pStyle w:val="3"/>
        <w:rPr>
          <w:rFonts w:hint="eastAsia" w:ascii="宋体" w:hAnsi="宋体" w:eastAsia="宋体" w:cs="宋体"/>
          <w:color w:val="auto"/>
          <w:sz w:val="24"/>
          <w:szCs w:val="24"/>
          <w:highlight w:val="none"/>
        </w:rPr>
      </w:pPr>
    </w:p>
    <w:p w14:paraId="2B9CA939">
      <w:pPr>
        <w:pStyle w:val="3"/>
        <w:rPr>
          <w:rFonts w:hint="eastAsia" w:ascii="宋体" w:hAnsi="宋体" w:eastAsia="宋体" w:cs="宋体"/>
          <w:color w:val="auto"/>
          <w:sz w:val="24"/>
          <w:szCs w:val="24"/>
          <w:highlight w:val="none"/>
        </w:rPr>
      </w:pPr>
    </w:p>
    <w:p w14:paraId="4A20E5C6">
      <w:pPr>
        <w:pStyle w:val="3"/>
        <w:rPr>
          <w:rFonts w:hint="eastAsia" w:ascii="宋体" w:hAnsi="宋体" w:eastAsia="宋体" w:cs="宋体"/>
          <w:color w:val="auto"/>
          <w:sz w:val="24"/>
          <w:szCs w:val="24"/>
          <w:highlight w:val="none"/>
        </w:rPr>
      </w:pPr>
    </w:p>
    <w:p w14:paraId="4E582625">
      <w:pPr>
        <w:pStyle w:val="3"/>
        <w:rPr>
          <w:rFonts w:hint="eastAsia" w:ascii="宋体" w:hAnsi="宋体" w:eastAsia="宋体" w:cs="宋体"/>
          <w:color w:val="auto"/>
          <w:sz w:val="24"/>
          <w:szCs w:val="24"/>
          <w:highlight w:val="none"/>
        </w:rPr>
      </w:pPr>
    </w:p>
    <w:p w14:paraId="1DE54ACA">
      <w:pPr>
        <w:pStyle w:val="26"/>
        <w:snapToGrid w:val="0"/>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注：此表在不改变表式的情况下，可自行制作</w:t>
      </w:r>
    </w:p>
    <w:p w14:paraId="0F2582C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14:paraId="02B4A5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p>
    <w:p w14:paraId="07071301">
      <w:pPr>
        <w:snapToGrid w:val="0"/>
        <w:spacing w:before="50" w:after="50" w:line="50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br w:type="page"/>
      </w:r>
    </w:p>
    <w:p w14:paraId="3EA97DD0">
      <w:pPr>
        <w:spacing w:line="500" w:lineRule="exact"/>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color w:val="auto"/>
          <w:sz w:val="24"/>
          <w:szCs w:val="24"/>
          <w:highlight w:val="none"/>
        </w:rPr>
        <w:t>法定代表人身份证明、法定代表人授权委托书</w:t>
      </w:r>
    </w:p>
    <w:p w14:paraId="67842F73">
      <w:pPr>
        <w:rPr>
          <w:rFonts w:hint="eastAsia" w:ascii="宋体" w:hAnsi="宋体" w:eastAsia="宋体" w:cs="宋体"/>
          <w:color w:val="auto"/>
          <w:sz w:val="24"/>
          <w:szCs w:val="24"/>
          <w:highlight w:val="none"/>
        </w:rPr>
      </w:pPr>
    </w:p>
    <w:p w14:paraId="277BB23F">
      <w:pPr>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w:t>
      </w:r>
    </w:p>
    <w:p w14:paraId="01046EA0">
      <w:pPr>
        <w:jc w:val="center"/>
        <w:rPr>
          <w:rFonts w:hint="eastAsia" w:ascii="宋体" w:hAnsi="宋体" w:eastAsia="宋体" w:cs="宋体"/>
          <w:color w:val="auto"/>
          <w:sz w:val="24"/>
          <w:szCs w:val="24"/>
          <w:highlight w:val="none"/>
        </w:rPr>
      </w:pPr>
    </w:p>
    <w:p w14:paraId="514B657A">
      <w:pPr>
        <w:spacing w:line="360" w:lineRule="auto"/>
        <w:textAlignment w:val="auto"/>
        <w:rPr>
          <w:rFonts w:hint="eastAsia" w:ascii="宋体" w:hAnsi="宋体" w:eastAsia="宋体" w:cs="宋体"/>
          <w:color w:val="auto"/>
          <w:sz w:val="24"/>
          <w:szCs w:val="24"/>
          <w:highlight w:val="none"/>
        </w:rPr>
      </w:pPr>
    </w:p>
    <w:p w14:paraId="34A5ED7D">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3A45B22F">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7D910D46">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44FE45D">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E7CEA80">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72A3FE2E">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供应商</w:t>
      </w:r>
      <w:r>
        <w:rPr>
          <w:rFonts w:hint="eastAsia" w:ascii="宋体" w:hAnsi="宋体" w:eastAsia="宋体" w:cs="宋体"/>
          <w:b w:val="0"/>
          <w:bCs/>
          <w:color w:val="auto"/>
          <w:sz w:val="24"/>
          <w:szCs w:val="24"/>
          <w:highlight w:val="none"/>
          <w:lang w:val="en-US" w:eastAsia="zh-CN"/>
        </w:rPr>
        <w:t>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78E3727E">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DB41339">
      <w:pPr>
        <w:spacing w:line="360" w:lineRule="auto"/>
        <w:ind w:firstLine="5280" w:firstLineChars="2200"/>
        <w:textAlignment w:val="auto"/>
        <w:rPr>
          <w:rFonts w:hint="eastAsia" w:ascii="宋体" w:hAnsi="宋体" w:eastAsia="宋体" w:cs="宋体"/>
          <w:color w:val="auto"/>
          <w:sz w:val="24"/>
          <w:szCs w:val="24"/>
          <w:highlight w:val="none"/>
        </w:rPr>
      </w:pPr>
    </w:p>
    <w:p w14:paraId="167ABD7D">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法定代表人身份证（正反面）复印件粘贴处：</w:t>
      </w:r>
    </w:p>
    <w:p w14:paraId="36B0D013">
      <w:pPr>
        <w:spacing w:line="360" w:lineRule="auto"/>
        <w:ind w:firstLine="5280" w:firstLineChars="2200"/>
        <w:textAlignment w:val="auto"/>
        <w:rPr>
          <w:rFonts w:hint="eastAsia" w:ascii="宋体" w:hAnsi="宋体" w:eastAsia="宋体" w:cs="宋体"/>
          <w:color w:val="auto"/>
          <w:sz w:val="24"/>
          <w:szCs w:val="24"/>
          <w:highlight w:val="none"/>
        </w:rPr>
      </w:pPr>
    </w:p>
    <w:p w14:paraId="314BB41D">
      <w:pPr>
        <w:spacing w:line="360" w:lineRule="auto"/>
        <w:ind w:firstLine="5280" w:firstLineChars="2200"/>
        <w:textAlignment w:val="auto"/>
        <w:rPr>
          <w:rFonts w:hint="eastAsia" w:ascii="宋体" w:hAnsi="宋体" w:eastAsia="宋体" w:cs="宋体"/>
          <w:color w:val="auto"/>
          <w:sz w:val="24"/>
          <w:szCs w:val="24"/>
          <w:highlight w:val="none"/>
        </w:rPr>
      </w:pPr>
    </w:p>
    <w:p w14:paraId="5B015D96">
      <w:pPr>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单位公章</w:t>
      </w:r>
      <w:r>
        <w:rPr>
          <w:rFonts w:hint="eastAsia" w:ascii="宋体" w:hAnsi="宋体" w:eastAsia="宋体" w:cs="宋体"/>
          <w:color w:val="auto"/>
          <w:sz w:val="24"/>
          <w:szCs w:val="24"/>
          <w:highlight w:val="none"/>
          <w:lang w:eastAsia="zh-CN"/>
        </w:rPr>
        <w:t>）</w:t>
      </w:r>
    </w:p>
    <w:p w14:paraId="2A2F856C">
      <w:pPr>
        <w:spacing w:line="360" w:lineRule="auto"/>
        <w:ind w:firstLine="1440" w:firstLineChars="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6E3BC401">
      <w:pPr>
        <w:rPr>
          <w:rFonts w:hint="eastAsia" w:ascii="宋体" w:hAnsi="宋体" w:eastAsia="宋体" w:cs="宋体"/>
          <w:color w:val="auto"/>
          <w:highlight w:val="none"/>
        </w:rPr>
      </w:pPr>
    </w:p>
    <w:p w14:paraId="4F0AE068">
      <w:pPr>
        <w:snapToGrid w:val="0"/>
        <w:spacing w:before="50" w:after="50"/>
        <w:jc w:val="center"/>
        <w:rPr>
          <w:rFonts w:hint="eastAsia" w:ascii="宋体" w:hAnsi="宋体" w:eastAsia="宋体" w:cs="宋体"/>
          <w:b/>
          <w:color w:val="auto"/>
          <w:sz w:val="28"/>
          <w:highlight w:val="none"/>
        </w:rPr>
      </w:pPr>
    </w:p>
    <w:p w14:paraId="784BACA5">
      <w:pPr>
        <w:snapToGrid w:val="0"/>
        <w:spacing w:before="50" w:after="5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BA9FDB6">
      <w:pPr>
        <w:snapToGrid w:val="0"/>
        <w:spacing w:before="50" w:after="50"/>
        <w:jc w:val="center"/>
        <w:rPr>
          <w:rFonts w:hint="eastAsia" w:ascii="宋体" w:hAnsi="宋体" w:eastAsia="宋体" w:cs="宋体"/>
          <w:b/>
          <w:color w:val="auto"/>
          <w:sz w:val="28"/>
          <w:highlight w:val="none"/>
        </w:rPr>
      </w:pPr>
    </w:p>
    <w:p w14:paraId="70344F58">
      <w:pPr>
        <w:snapToGrid w:val="0"/>
        <w:spacing w:before="50" w:after="5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法定代表人授权委托书</w:t>
      </w:r>
    </w:p>
    <w:p w14:paraId="0DD2272F">
      <w:pPr>
        <w:spacing w:line="360" w:lineRule="auto"/>
        <w:rPr>
          <w:rFonts w:hint="eastAsia" w:ascii="宋体" w:hAnsi="宋体" w:eastAsia="宋体" w:cs="宋体"/>
          <w:color w:val="auto"/>
          <w:sz w:val="24"/>
          <w:szCs w:val="24"/>
          <w:highlight w:val="none"/>
        </w:rPr>
      </w:pPr>
    </w:p>
    <w:p w14:paraId="6C1557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107B24F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法定代表人（或单位负责人）------------------------授----------------（全权代表姓名）为全权代表，参加贵公司组织的-----------------------采购活动，全权处理采购活动中的一切事宜。</w:t>
      </w:r>
    </w:p>
    <w:p w14:paraId="7F6795BD">
      <w:pPr>
        <w:spacing w:line="400" w:lineRule="exact"/>
        <w:rPr>
          <w:rFonts w:hint="eastAsia" w:ascii="宋体" w:hAnsi="宋体" w:eastAsia="宋体" w:cs="宋体"/>
          <w:color w:val="auto"/>
          <w:sz w:val="24"/>
          <w:szCs w:val="24"/>
          <w:highlight w:val="none"/>
        </w:rPr>
      </w:pPr>
    </w:p>
    <w:p w14:paraId="31D3B934">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D15353D">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姓名____________职务_______身份证号码_________________ </w:t>
      </w:r>
    </w:p>
    <w:p w14:paraId="27F350D2">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详细通讯地址________________________邮政编码__________________ </w:t>
      </w:r>
    </w:p>
    <w:p w14:paraId="3DE01E82">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电话__________________传真_____________________ </w:t>
      </w:r>
    </w:p>
    <w:p w14:paraId="4627220A">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手机__________________电子邮箱_________________</w:t>
      </w:r>
    </w:p>
    <w:p w14:paraId="6B7CDF69">
      <w:pPr>
        <w:autoSpaceDE/>
        <w:autoSpaceDN/>
        <w:adjustRightInd/>
        <w:spacing w:line="500" w:lineRule="exact"/>
        <w:jc w:val="both"/>
        <w:textAlignment w:val="auto"/>
        <w:rPr>
          <w:rFonts w:hint="eastAsia" w:ascii="宋体" w:hAnsi="宋体" w:eastAsia="宋体" w:cs="宋体"/>
          <w:color w:val="auto"/>
          <w:sz w:val="24"/>
          <w:szCs w:val="24"/>
          <w:highlight w:val="none"/>
        </w:rPr>
      </w:pPr>
    </w:p>
    <w:p w14:paraId="5B7352D8">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法定代表人（或单位负责人）身份证（正反面）复印件粘贴处：</w:t>
      </w:r>
    </w:p>
    <w:p w14:paraId="2E154BC9">
      <w:pPr>
        <w:autoSpaceDE/>
        <w:autoSpaceDN/>
        <w:adjustRightInd/>
        <w:spacing w:line="500" w:lineRule="exact"/>
        <w:jc w:val="both"/>
        <w:textAlignment w:val="auto"/>
        <w:rPr>
          <w:rFonts w:hint="eastAsia" w:ascii="宋体" w:hAnsi="宋体" w:eastAsia="宋体" w:cs="宋体"/>
          <w:color w:val="auto"/>
          <w:sz w:val="24"/>
          <w:szCs w:val="24"/>
          <w:highlight w:val="none"/>
        </w:rPr>
      </w:pPr>
    </w:p>
    <w:p w14:paraId="72579CC6">
      <w:pPr>
        <w:autoSpaceDE/>
        <w:autoSpaceDN/>
        <w:adjustRightInd/>
        <w:spacing w:line="5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授权代表身份证（正反面）复印件粘贴处：</w:t>
      </w:r>
    </w:p>
    <w:p w14:paraId="45E80BA6">
      <w:pPr>
        <w:autoSpaceDE/>
        <w:autoSpaceDN/>
        <w:adjustRightInd/>
        <w:spacing w:line="500" w:lineRule="exact"/>
        <w:jc w:val="both"/>
        <w:textAlignment w:val="auto"/>
        <w:rPr>
          <w:rFonts w:hint="eastAsia" w:ascii="宋体" w:hAnsi="宋体" w:eastAsia="宋体" w:cs="宋体"/>
          <w:b/>
          <w:bCs/>
          <w:color w:val="auto"/>
          <w:sz w:val="24"/>
          <w:szCs w:val="24"/>
          <w:highlight w:val="none"/>
        </w:rPr>
      </w:pPr>
    </w:p>
    <w:p w14:paraId="0BAA8F81">
      <w:pPr>
        <w:autoSpaceDE/>
        <w:autoSpaceDN/>
        <w:adjustRightInd/>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color w:val="auto"/>
          <w:sz w:val="24"/>
          <w:szCs w:val="24"/>
          <w:highlight w:val="none"/>
        </w:rPr>
        <w:t>（公章）：     </w:t>
      </w:r>
    </w:p>
    <w:p w14:paraId="557F64C2">
      <w:pPr>
        <w:autoSpaceDE/>
        <w:autoSpaceDN/>
        <w:adjustRightInd/>
        <w:spacing w:line="500" w:lineRule="exact"/>
        <w:ind w:firstLine="3360" w:firstLineChars="14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法定代表人（或单位负责人）签字（或盖章）： </w:t>
      </w:r>
    </w:p>
    <w:p w14:paraId="48FB3762">
      <w:pPr>
        <w:autoSpaceDE/>
        <w:autoSpaceDN/>
        <w:adjustRightInd/>
        <w:spacing w:line="500" w:lineRule="exact"/>
        <w:ind w:firstLine="3840" w:firstLineChars="16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被授权人（全权代表）签字（或盖章）：</w:t>
      </w:r>
    </w:p>
    <w:p w14:paraId="14B3D68B">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日期：____年____月____日</w:t>
      </w:r>
    </w:p>
    <w:p w14:paraId="47BF4549">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p>
    <w:p w14:paraId="7AD1F59E">
      <w:pPr>
        <w:autoSpaceDE/>
        <w:autoSpaceDN/>
        <w:adjustRightInd/>
        <w:spacing w:line="500" w:lineRule="exact"/>
        <w:ind w:firstLine="5280" w:firstLineChars="2200"/>
        <w:jc w:val="both"/>
        <w:textAlignment w:val="auto"/>
        <w:rPr>
          <w:rFonts w:hint="eastAsia" w:ascii="宋体" w:hAnsi="宋体" w:eastAsia="宋体" w:cs="宋体"/>
          <w:color w:val="auto"/>
          <w:sz w:val="24"/>
          <w:szCs w:val="24"/>
          <w:highlight w:val="none"/>
        </w:rPr>
      </w:pPr>
    </w:p>
    <w:p w14:paraId="77AD82B6">
      <w:pPr>
        <w:widowControl/>
        <w:autoSpaceDE/>
        <w:autoSpaceDN/>
        <w:adjustRightInd/>
        <w:textAlignment w:val="auto"/>
        <w:rPr>
          <w:rFonts w:hint="eastAsia" w:ascii="宋体" w:hAnsi="宋体" w:eastAsia="宋体" w:cs="宋体"/>
          <w:b/>
          <w:bCs/>
          <w:color w:val="auto"/>
          <w:kern w:val="2"/>
          <w:sz w:val="21"/>
          <w:szCs w:val="21"/>
          <w:highlight w:val="none"/>
        </w:rPr>
      </w:pPr>
    </w:p>
    <w:p w14:paraId="2A79001C">
      <w:pPr>
        <w:widowControl/>
        <w:autoSpaceDE/>
        <w:autoSpaceDN/>
        <w:adjustRightInd/>
        <w:textAlignment w:val="auto"/>
        <w:rPr>
          <w:rFonts w:hint="eastAsia" w:ascii="宋体" w:hAnsi="宋体" w:eastAsia="宋体" w:cs="宋体"/>
          <w:b/>
          <w:bCs/>
          <w:color w:val="auto"/>
          <w:kern w:val="2"/>
          <w:sz w:val="21"/>
          <w:szCs w:val="21"/>
          <w:highlight w:val="none"/>
        </w:rPr>
      </w:pPr>
    </w:p>
    <w:p w14:paraId="647CE500">
      <w:pPr>
        <w:widowControl/>
        <w:autoSpaceDE/>
        <w:autoSpaceDN/>
        <w:adjustRightInd/>
        <w:textAlignment w:val="auto"/>
        <w:rPr>
          <w:rFonts w:hint="eastAsia" w:ascii="宋体" w:hAnsi="宋体" w:eastAsia="宋体" w:cs="宋体"/>
          <w:b/>
          <w:bCs/>
          <w:color w:val="auto"/>
          <w:kern w:val="2"/>
          <w:sz w:val="21"/>
          <w:szCs w:val="21"/>
          <w:highlight w:val="none"/>
        </w:rPr>
      </w:pPr>
    </w:p>
    <w:p w14:paraId="2EB0CAB9">
      <w:pPr>
        <w:widowControl/>
        <w:autoSpaceDE/>
        <w:autoSpaceDN/>
        <w:adjustRightInd/>
        <w:textAlignment w:val="auto"/>
        <w:rPr>
          <w:rFonts w:hint="eastAsia" w:ascii="宋体" w:hAnsi="宋体" w:eastAsia="宋体" w:cs="宋体"/>
          <w:b/>
          <w:bCs/>
          <w:color w:val="auto"/>
          <w:kern w:val="2"/>
          <w:sz w:val="21"/>
          <w:szCs w:val="21"/>
          <w:highlight w:val="none"/>
        </w:rPr>
      </w:pPr>
    </w:p>
    <w:p w14:paraId="575FF4A5">
      <w:pPr>
        <w:widowControl/>
        <w:autoSpaceDE/>
        <w:autoSpaceDN/>
        <w:adjustRightInd/>
        <w:textAlignment w:val="auto"/>
        <w:rPr>
          <w:rFonts w:hint="eastAsia" w:ascii="宋体" w:hAnsi="宋体" w:eastAsia="宋体" w:cs="宋体"/>
          <w:b/>
          <w:bCs/>
          <w:color w:val="auto"/>
          <w:kern w:val="2"/>
          <w:sz w:val="21"/>
          <w:szCs w:val="21"/>
          <w:highlight w:val="none"/>
        </w:rPr>
      </w:pPr>
    </w:p>
    <w:p w14:paraId="2FA8629B">
      <w:pPr>
        <w:widowControl/>
        <w:autoSpaceDE/>
        <w:autoSpaceDN/>
        <w:adjustRightInd/>
        <w:textAlignment w:val="auto"/>
        <w:rPr>
          <w:rFonts w:hint="eastAsia" w:ascii="宋体" w:hAnsi="宋体" w:eastAsia="宋体" w:cs="宋体"/>
          <w:b/>
          <w:bCs/>
          <w:color w:val="auto"/>
          <w:kern w:val="2"/>
          <w:sz w:val="21"/>
          <w:szCs w:val="21"/>
          <w:highlight w:val="none"/>
        </w:rPr>
      </w:pPr>
    </w:p>
    <w:p w14:paraId="55D53C4C">
      <w:pPr>
        <w:widowControl/>
        <w:autoSpaceDE/>
        <w:autoSpaceDN/>
        <w:adjustRightInd/>
        <w:textAlignment w:val="auto"/>
        <w:rPr>
          <w:rFonts w:hint="eastAsia" w:ascii="宋体" w:hAnsi="宋体" w:eastAsia="宋体" w:cs="宋体"/>
          <w:b/>
          <w:bCs/>
          <w:color w:val="auto"/>
          <w:kern w:val="2"/>
          <w:sz w:val="21"/>
          <w:szCs w:val="21"/>
          <w:highlight w:val="none"/>
        </w:rPr>
      </w:pPr>
    </w:p>
    <w:p w14:paraId="1BD4C2EB">
      <w:pPr>
        <w:widowControl/>
        <w:autoSpaceDE/>
        <w:autoSpaceDN/>
        <w:adjustRightInd/>
        <w:textAlignment w:val="auto"/>
        <w:rPr>
          <w:rFonts w:hint="eastAsia" w:ascii="宋体" w:hAnsi="宋体" w:eastAsia="宋体" w:cs="宋体"/>
          <w:b/>
          <w:bCs/>
          <w:color w:val="auto"/>
          <w:kern w:val="2"/>
          <w:sz w:val="21"/>
          <w:szCs w:val="21"/>
          <w:highlight w:val="none"/>
        </w:rPr>
      </w:pPr>
    </w:p>
    <w:p w14:paraId="5402CAB0">
      <w:pPr>
        <w:snapToGrid w:val="0"/>
        <w:spacing w:line="500" w:lineRule="exact"/>
        <w:ind w:firstLine="562" w:firstLineChars="200"/>
        <w:rPr>
          <w:rFonts w:hint="eastAsia" w:hAnsi="宋体" w:cs="宋体"/>
          <w:b/>
          <w:bCs/>
          <w:color w:val="auto"/>
          <w:sz w:val="28"/>
          <w:szCs w:val="28"/>
          <w:highlight w:val="none"/>
          <w:lang w:val="en-US" w:eastAsia="zh-CN"/>
        </w:rPr>
      </w:pPr>
    </w:p>
    <w:p w14:paraId="2FB1351A">
      <w:pPr>
        <w:snapToGrid w:val="0"/>
        <w:spacing w:line="500" w:lineRule="exact"/>
        <w:ind w:firstLine="562" w:firstLineChars="200"/>
        <w:rPr>
          <w:rFonts w:hint="eastAsia" w:ascii="宋体" w:hAnsi="宋体" w:eastAsia="宋体" w:cs="宋体"/>
          <w:b w:val="0"/>
          <w:bCs w:val="0"/>
          <w:color w:val="auto"/>
          <w:sz w:val="21"/>
          <w:szCs w:val="21"/>
          <w:highlight w:val="none"/>
        </w:rPr>
      </w:pPr>
      <w:r>
        <w:rPr>
          <w:rFonts w:hint="eastAsia"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val="en-US" w:eastAsia="zh-CN"/>
        </w:rPr>
        <w:t>整体</w:t>
      </w:r>
      <w:r>
        <w:rPr>
          <w:rFonts w:hint="eastAsia" w:ascii="宋体" w:hAnsi="宋体" w:eastAsia="宋体" w:cs="宋体"/>
          <w:b/>
          <w:bCs/>
          <w:color w:val="auto"/>
          <w:sz w:val="28"/>
          <w:szCs w:val="28"/>
          <w:highlight w:val="none"/>
        </w:rPr>
        <w:t>实施能力及</w:t>
      </w:r>
      <w:r>
        <w:rPr>
          <w:rFonts w:hint="eastAsia" w:hAnsi="宋体" w:cs="宋体"/>
          <w:b/>
          <w:bCs/>
          <w:color w:val="auto"/>
          <w:sz w:val="28"/>
          <w:szCs w:val="28"/>
          <w:highlight w:val="none"/>
          <w:lang w:val="en-US" w:eastAsia="zh-CN"/>
        </w:rPr>
        <w:t>活动</w:t>
      </w:r>
      <w:r>
        <w:rPr>
          <w:rFonts w:hint="eastAsia" w:ascii="宋体" w:hAnsi="宋体" w:eastAsia="宋体" w:cs="宋体"/>
          <w:b/>
          <w:bCs/>
          <w:color w:val="auto"/>
          <w:sz w:val="28"/>
          <w:szCs w:val="28"/>
          <w:highlight w:val="none"/>
        </w:rPr>
        <w:t>保障措施（格式</w:t>
      </w:r>
      <w:r>
        <w:rPr>
          <w:rFonts w:hint="eastAsia" w:ascii="宋体" w:hAnsi="宋体" w:eastAsia="宋体" w:cs="宋体"/>
          <w:b/>
          <w:bCs/>
          <w:color w:val="auto"/>
          <w:sz w:val="28"/>
          <w:szCs w:val="28"/>
          <w:highlight w:val="none"/>
          <w:lang w:val="en-US" w:eastAsia="zh-CN"/>
        </w:rPr>
        <w:t>自拟</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w:t>
      </w:r>
    </w:p>
    <w:p w14:paraId="13FA2393">
      <w:pPr>
        <w:snapToGrid w:val="0"/>
        <w:spacing w:line="500" w:lineRule="exact"/>
        <w:ind w:firstLine="562" w:firstLineChars="200"/>
        <w:rPr>
          <w:rFonts w:hint="eastAsia" w:hAnsi="宋体" w:cs="宋体"/>
          <w:b/>
          <w:bCs/>
          <w:color w:val="auto"/>
          <w:sz w:val="28"/>
          <w:szCs w:val="28"/>
          <w:highlight w:val="none"/>
          <w:lang w:val="en-US" w:eastAsia="zh-CN"/>
        </w:rPr>
      </w:pPr>
    </w:p>
    <w:p w14:paraId="3232867C">
      <w:pPr>
        <w:snapToGrid w:val="0"/>
        <w:spacing w:line="500" w:lineRule="exact"/>
        <w:ind w:firstLine="562" w:firstLineChars="200"/>
        <w:rPr>
          <w:rFonts w:hint="eastAsia" w:hAnsi="宋体" w:cs="宋体"/>
          <w:b/>
          <w:bCs/>
          <w:color w:val="auto"/>
          <w:sz w:val="28"/>
          <w:szCs w:val="28"/>
          <w:highlight w:val="none"/>
          <w:lang w:val="en-US" w:eastAsia="zh-CN"/>
        </w:rPr>
      </w:pPr>
    </w:p>
    <w:p w14:paraId="6250632B">
      <w:pPr>
        <w:snapToGrid w:val="0"/>
        <w:spacing w:line="500" w:lineRule="exact"/>
        <w:ind w:firstLine="562" w:firstLineChars="200"/>
        <w:rPr>
          <w:rFonts w:hint="eastAsia" w:hAnsi="宋体" w:cs="宋体"/>
          <w:b/>
          <w:bCs/>
          <w:color w:val="auto"/>
          <w:sz w:val="28"/>
          <w:szCs w:val="28"/>
          <w:highlight w:val="none"/>
          <w:lang w:val="en-US" w:eastAsia="zh-CN"/>
        </w:rPr>
      </w:pPr>
    </w:p>
    <w:p w14:paraId="05AD4D7D">
      <w:pPr>
        <w:snapToGrid w:val="0"/>
        <w:spacing w:line="500" w:lineRule="exact"/>
        <w:ind w:firstLine="562" w:firstLineChars="200"/>
        <w:rPr>
          <w:rFonts w:hint="eastAsia" w:hAnsi="宋体" w:cs="宋体"/>
          <w:b/>
          <w:bCs/>
          <w:color w:val="auto"/>
          <w:sz w:val="28"/>
          <w:szCs w:val="28"/>
          <w:highlight w:val="none"/>
          <w:lang w:val="en-US" w:eastAsia="zh-CN"/>
        </w:rPr>
      </w:pPr>
    </w:p>
    <w:p w14:paraId="64DB8250">
      <w:pPr>
        <w:snapToGrid w:val="0"/>
        <w:spacing w:line="500" w:lineRule="exact"/>
        <w:ind w:firstLine="562" w:firstLineChars="200"/>
        <w:rPr>
          <w:rFonts w:hint="eastAsia" w:hAnsi="宋体" w:cs="宋体"/>
          <w:b/>
          <w:bCs/>
          <w:color w:val="auto"/>
          <w:sz w:val="28"/>
          <w:szCs w:val="28"/>
          <w:highlight w:val="none"/>
          <w:lang w:val="en-US" w:eastAsia="zh-CN"/>
        </w:rPr>
      </w:pPr>
    </w:p>
    <w:p w14:paraId="1461CEB5">
      <w:pPr>
        <w:snapToGrid w:val="0"/>
        <w:spacing w:line="500" w:lineRule="exact"/>
        <w:ind w:firstLine="562" w:firstLineChars="200"/>
        <w:rPr>
          <w:rFonts w:hint="eastAsia" w:hAnsi="宋体" w:cs="宋体"/>
          <w:b/>
          <w:bCs/>
          <w:color w:val="auto"/>
          <w:sz w:val="28"/>
          <w:szCs w:val="28"/>
          <w:highlight w:val="none"/>
          <w:lang w:val="en-US" w:eastAsia="zh-CN"/>
        </w:rPr>
      </w:pPr>
    </w:p>
    <w:p w14:paraId="554B8949">
      <w:pPr>
        <w:snapToGrid w:val="0"/>
        <w:spacing w:line="500" w:lineRule="exact"/>
        <w:ind w:firstLine="562" w:firstLineChars="200"/>
        <w:rPr>
          <w:rFonts w:hint="eastAsia" w:hAnsi="宋体" w:cs="宋体"/>
          <w:b/>
          <w:bCs/>
          <w:color w:val="auto"/>
          <w:sz w:val="28"/>
          <w:szCs w:val="28"/>
          <w:highlight w:val="none"/>
          <w:lang w:val="en-US" w:eastAsia="zh-CN"/>
        </w:rPr>
      </w:pPr>
    </w:p>
    <w:p w14:paraId="2F04CE34">
      <w:pPr>
        <w:snapToGrid w:val="0"/>
        <w:spacing w:line="500" w:lineRule="exact"/>
        <w:ind w:firstLine="562" w:firstLineChars="200"/>
        <w:rPr>
          <w:rFonts w:hint="eastAsia" w:hAnsi="宋体" w:cs="宋体"/>
          <w:b/>
          <w:bCs/>
          <w:color w:val="auto"/>
          <w:sz w:val="28"/>
          <w:szCs w:val="28"/>
          <w:highlight w:val="none"/>
          <w:lang w:val="en-US" w:eastAsia="zh-CN"/>
        </w:rPr>
      </w:pPr>
    </w:p>
    <w:p w14:paraId="0E2CE640">
      <w:pPr>
        <w:snapToGrid w:val="0"/>
        <w:spacing w:line="500" w:lineRule="exact"/>
        <w:ind w:firstLine="562" w:firstLineChars="200"/>
        <w:rPr>
          <w:rFonts w:hint="eastAsia" w:hAnsi="宋体" w:cs="宋体"/>
          <w:b/>
          <w:bCs/>
          <w:color w:val="auto"/>
          <w:sz w:val="28"/>
          <w:szCs w:val="28"/>
          <w:highlight w:val="none"/>
          <w:lang w:val="en-US" w:eastAsia="zh-CN"/>
        </w:rPr>
      </w:pPr>
    </w:p>
    <w:p w14:paraId="0FE25714">
      <w:pPr>
        <w:snapToGrid w:val="0"/>
        <w:spacing w:line="500" w:lineRule="exact"/>
        <w:ind w:firstLine="562" w:firstLineChars="200"/>
        <w:rPr>
          <w:rFonts w:hint="eastAsia" w:hAnsi="宋体" w:cs="宋体"/>
          <w:b/>
          <w:bCs/>
          <w:color w:val="auto"/>
          <w:sz w:val="28"/>
          <w:szCs w:val="28"/>
          <w:highlight w:val="none"/>
          <w:lang w:val="en-US" w:eastAsia="zh-CN"/>
        </w:rPr>
      </w:pPr>
    </w:p>
    <w:p w14:paraId="6E582673">
      <w:pPr>
        <w:snapToGrid w:val="0"/>
        <w:spacing w:line="500" w:lineRule="exact"/>
        <w:ind w:firstLine="562" w:firstLineChars="200"/>
        <w:rPr>
          <w:rFonts w:hint="eastAsia" w:hAnsi="宋体" w:cs="宋体"/>
          <w:b/>
          <w:bCs/>
          <w:color w:val="auto"/>
          <w:sz w:val="28"/>
          <w:szCs w:val="28"/>
          <w:highlight w:val="none"/>
          <w:lang w:val="en-US" w:eastAsia="zh-CN"/>
        </w:rPr>
      </w:pPr>
    </w:p>
    <w:p w14:paraId="67E8BE4C">
      <w:pPr>
        <w:snapToGrid w:val="0"/>
        <w:spacing w:line="500" w:lineRule="exact"/>
        <w:ind w:firstLine="562" w:firstLineChars="200"/>
        <w:rPr>
          <w:rFonts w:hint="eastAsia" w:ascii="宋体" w:hAnsi="宋体" w:eastAsia="宋体" w:cs="宋体"/>
          <w:b/>
          <w:bCs/>
          <w:color w:val="auto"/>
          <w:sz w:val="28"/>
          <w:szCs w:val="28"/>
          <w:highlight w:val="none"/>
        </w:rPr>
      </w:pPr>
      <w:r>
        <w:rPr>
          <w:rFonts w:hint="eastAsia" w:hAnsi="宋体" w:cs="宋体"/>
          <w:b/>
          <w:bCs/>
          <w:color w:val="auto"/>
          <w:sz w:val="28"/>
          <w:szCs w:val="28"/>
          <w:highlight w:val="none"/>
          <w:lang w:val="en-US" w:eastAsia="zh-CN"/>
        </w:rPr>
        <w:t>5.对</w:t>
      </w:r>
      <w:r>
        <w:rPr>
          <w:rFonts w:hint="eastAsia" w:ascii="宋体" w:hAnsi="宋体" w:eastAsia="宋体" w:cs="宋体"/>
          <w:b/>
          <w:bCs/>
          <w:color w:val="auto"/>
          <w:sz w:val="28"/>
          <w:szCs w:val="28"/>
          <w:highlight w:val="none"/>
        </w:rPr>
        <w:t>实施</w:t>
      </w:r>
      <w:r>
        <w:rPr>
          <w:rFonts w:hint="eastAsia" w:hAnsi="宋体" w:cs="宋体"/>
          <w:b/>
          <w:bCs/>
          <w:color w:val="auto"/>
          <w:sz w:val="28"/>
          <w:szCs w:val="28"/>
          <w:highlight w:val="none"/>
          <w:lang w:val="en-US" w:eastAsia="zh-CN"/>
        </w:rPr>
        <w:t>项目</w:t>
      </w:r>
      <w:r>
        <w:rPr>
          <w:rFonts w:hint="eastAsia" w:ascii="宋体" w:hAnsi="宋体" w:eastAsia="宋体" w:cs="宋体"/>
          <w:b/>
          <w:bCs/>
          <w:color w:val="auto"/>
          <w:sz w:val="28"/>
          <w:szCs w:val="28"/>
          <w:highlight w:val="none"/>
          <w:lang w:val="zh-CN" w:eastAsia="zh-Hans"/>
        </w:rPr>
        <w:t>服务承诺</w:t>
      </w:r>
      <w:r>
        <w:rPr>
          <w:rFonts w:hint="eastAsia" w:hAnsi="宋体" w:cs="宋体"/>
          <w:b/>
          <w:bCs/>
          <w:color w:val="auto"/>
          <w:sz w:val="28"/>
          <w:szCs w:val="28"/>
          <w:highlight w:val="none"/>
          <w:lang w:val="en-US" w:eastAsia="zh-CN"/>
        </w:rPr>
        <w:t>等</w:t>
      </w:r>
      <w:r>
        <w:rPr>
          <w:rFonts w:hint="eastAsia" w:ascii="宋体" w:hAnsi="宋体" w:eastAsia="宋体" w:cs="宋体"/>
          <w:b/>
          <w:bCs/>
          <w:color w:val="auto"/>
          <w:sz w:val="28"/>
          <w:szCs w:val="28"/>
          <w:highlight w:val="none"/>
        </w:rPr>
        <w:t>（格式</w:t>
      </w:r>
      <w:r>
        <w:rPr>
          <w:rFonts w:hint="eastAsia" w:hAnsi="宋体" w:cs="宋体"/>
          <w:b/>
          <w:bCs/>
          <w:color w:val="auto"/>
          <w:sz w:val="28"/>
          <w:szCs w:val="28"/>
          <w:highlight w:val="none"/>
          <w:lang w:val="en-US" w:eastAsia="zh-CN"/>
        </w:rPr>
        <w:t>自拟</w:t>
      </w:r>
      <w:r>
        <w:rPr>
          <w:rFonts w:hint="eastAsia" w:ascii="宋体" w:hAnsi="宋体" w:eastAsia="宋体" w:cs="宋体"/>
          <w:b/>
          <w:bCs/>
          <w:color w:val="auto"/>
          <w:sz w:val="28"/>
          <w:szCs w:val="28"/>
          <w:highlight w:val="none"/>
        </w:rPr>
        <w:t>）</w:t>
      </w:r>
      <w:r>
        <w:rPr>
          <w:rFonts w:hint="eastAsia" w:hAnsi="宋体" w:cs="宋体"/>
          <w:b/>
          <w:bCs/>
          <w:color w:val="auto"/>
          <w:sz w:val="28"/>
          <w:szCs w:val="28"/>
          <w:highlight w:val="none"/>
          <w:lang w:val="en-US" w:eastAsia="zh-CN"/>
        </w:rPr>
        <w:t>；</w:t>
      </w:r>
    </w:p>
    <w:p w14:paraId="4E83DF5E">
      <w:pPr>
        <w:keepNext w:val="0"/>
        <w:keepLines w:val="0"/>
        <w:pageBreakBefore/>
        <w:widowControl w:val="0"/>
        <w:numPr>
          <w:ilvl w:val="0"/>
          <w:numId w:val="0"/>
        </w:numPr>
        <w:kinsoku/>
        <w:wordWrap/>
        <w:overflowPunct/>
        <w:topLinePunct w:val="0"/>
        <w:autoSpaceDE/>
        <w:autoSpaceDN/>
        <w:bidi w:val="0"/>
        <w:adjustRightInd/>
        <w:snapToGrid/>
        <w:spacing w:line="500" w:lineRule="exact"/>
        <w:ind w:left="1020" w:leftChars="0"/>
        <w:jc w:val="both"/>
        <w:textAlignment w:val="baseline"/>
        <w:outlineLvl w:val="9"/>
        <w:rPr>
          <w:rFonts w:hint="eastAsia" w:ascii="宋体" w:hAnsi="宋体" w:eastAsia="宋体" w:cs="宋体"/>
          <w:b w:val="0"/>
          <w:bCs w:val="0"/>
          <w:color w:val="auto"/>
          <w:sz w:val="21"/>
          <w:szCs w:val="21"/>
          <w:highlight w:val="none"/>
        </w:rPr>
      </w:pPr>
      <w:r>
        <w:rPr>
          <w:rFonts w:hint="eastAsia"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供应商</w:t>
      </w:r>
      <w:r>
        <w:rPr>
          <w:rFonts w:hint="eastAsia" w:hAnsi="宋体" w:cs="宋体"/>
          <w:b/>
          <w:bCs/>
          <w:color w:val="auto"/>
          <w:sz w:val="28"/>
          <w:szCs w:val="28"/>
          <w:highlight w:val="none"/>
          <w:lang w:val="en-US" w:eastAsia="zh-CN"/>
        </w:rPr>
        <w:t>2021年1月1日以来的同类项目</w:t>
      </w:r>
      <w:r>
        <w:rPr>
          <w:rFonts w:hint="eastAsia" w:ascii="宋体" w:hAnsi="宋体" w:eastAsia="宋体" w:cs="宋体"/>
          <w:b/>
          <w:bCs/>
          <w:color w:val="auto"/>
          <w:sz w:val="28"/>
          <w:szCs w:val="28"/>
          <w:highlight w:val="none"/>
        </w:rPr>
        <w:t>业绩（须提供对应采购合同</w:t>
      </w:r>
      <w:r>
        <w:rPr>
          <w:rFonts w:hint="eastAsia" w:hAnsi="宋体" w:cs="宋体"/>
          <w:b/>
          <w:bCs/>
          <w:color w:val="auto"/>
          <w:sz w:val="28"/>
          <w:szCs w:val="28"/>
          <w:highlight w:val="none"/>
          <w:lang w:val="en-US" w:eastAsia="zh-CN"/>
        </w:rPr>
        <w:t>扫描件或复印件并</w:t>
      </w:r>
      <w:r>
        <w:rPr>
          <w:rFonts w:hint="eastAsia" w:ascii="宋体" w:hAnsi="宋体" w:eastAsia="宋体" w:cs="宋体"/>
          <w:b/>
          <w:bCs/>
          <w:color w:val="auto"/>
          <w:sz w:val="28"/>
          <w:szCs w:val="28"/>
          <w:highlight w:val="none"/>
        </w:rPr>
        <w:t>加盖公章）</w:t>
      </w:r>
    </w:p>
    <w:p w14:paraId="2393CA22">
      <w:pPr>
        <w:snapToGrid w:val="0"/>
        <w:spacing w:before="50" w:after="50"/>
        <w:jc w:val="both"/>
        <w:rPr>
          <w:rFonts w:hint="eastAsia" w:ascii="宋体" w:hAnsi="宋体" w:eastAsia="宋体" w:cs="宋体"/>
          <w:b/>
          <w:bCs/>
          <w:color w:val="auto"/>
          <w:sz w:val="24"/>
          <w:highlight w:val="none"/>
        </w:rPr>
      </w:pPr>
    </w:p>
    <w:tbl>
      <w:tblPr>
        <w:tblStyle w:val="4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35"/>
        <w:gridCol w:w="1786"/>
        <w:gridCol w:w="1791"/>
        <w:gridCol w:w="1602"/>
        <w:gridCol w:w="901"/>
      </w:tblGrid>
      <w:tr w14:paraId="3296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6501B1A3">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7FD1058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名 称</w:t>
            </w:r>
          </w:p>
        </w:tc>
        <w:tc>
          <w:tcPr>
            <w:tcW w:w="1786" w:type="dxa"/>
            <w:tcBorders>
              <w:top w:val="single" w:color="auto" w:sz="4" w:space="0"/>
              <w:left w:val="single" w:color="auto" w:sz="4" w:space="0"/>
              <w:bottom w:val="single" w:color="auto" w:sz="4" w:space="0"/>
              <w:right w:val="single" w:color="auto" w:sz="4" w:space="0"/>
            </w:tcBorders>
            <w:vAlign w:val="center"/>
          </w:tcPr>
          <w:p w14:paraId="44B1456A">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项目起止时间</w:t>
            </w:r>
          </w:p>
        </w:tc>
        <w:tc>
          <w:tcPr>
            <w:tcW w:w="1791" w:type="dxa"/>
            <w:tcBorders>
              <w:top w:val="single" w:color="auto" w:sz="4" w:space="0"/>
              <w:left w:val="single" w:color="auto" w:sz="4" w:space="0"/>
              <w:bottom w:val="single" w:color="auto" w:sz="4" w:space="0"/>
              <w:right w:val="single" w:color="auto" w:sz="4" w:space="0"/>
            </w:tcBorders>
            <w:vAlign w:val="center"/>
          </w:tcPr>
          <w:p w14:paraId="3CFA7C8F">
            <w:pPr>
              <w:widowControl/>
              <w:snapToGrid w:val="0"/>
              <w:jc w:val="center"/>
              <w:rPr>
                <w:rFonts w:hint="eastAsia" w:ascii="宋体" w:hAnsi="宋体" w:eastAsia="宋体" w:cs="宋体"/>
                <w:color w:val="auto"/>
                <w:sz w:val="24"/>
                <w:highlight w:val="none"/>
              </w:rPr>
            </w:pP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单位</w:t>
            </w:r>
          </w:p>
        </w:tc>
        <w:tc>
          <w:tcPr>
            <w:tcW w:w="1602" w:type="dxa"/>
            <w:tcBorders>
              <w:top w:val="single" w:color="auto" w:sz="4" w:space="0"/>
              <w:left w:val="single" w:color="auto" w:sz="4" w:space="0"/>
              <w:bottom w:val="single" w:color="auto" w:sz="4" w:space="0"/>
              <w:right w:val="single" w:color="auto" w:sz="4" w:space="0"/>
            </w:tcBorders>
            <w:vAlign w:val="center"/>
          </w:tcPr>
          <w:p w14:paraId="12DE55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25F3970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901" w:type="dxa"/>
            <w:tcBorders>
              <w:top w:val="single" w:color="auto" w:sz="4" w:space="0"/>
              <w:left w:val="single" w:color="auto" w:sz="4" w:space="0"/>
              <w:bottom w:val="single" w:color="auto" w:sz="4" w:space="0"/>
              <w:right w:val="single" w:color="auto" w:sz="4" w:space="0"/>
            </w:tcBorders>
            <w:vAlign w:val="center"/>
          </w:tcPr>
          <w:p w14:paraId="72E906F1">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A2E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4F170227">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w:t>
            </w:r>
          </w:p>
        </w:tc>
        <w:tc>
          <w:tcPr>
            <w:tcW w:w="2835" w:type="dxa"/>
            <w:tcBorders>
              <w:top w:val="single" w:color="auto" w:sz="4" w:space="0"/>
              <w:left w:val="single" w:color="auto" w:sz="4" w:space="0"/>
              <w:bottom w:val="single" w:color="auto" w:sz="4" w:space="0"/>
              <w:right w:val="single" w:color="auto" w:sz="4" w:space="0"/>
            </w:tcBorders>
            <w:vAlign w:val="center"/>
          </w:tcPr>
          <w:p w14:paraId="2258A524">
            <w:pPr>
              <w:widowControl/>
              <w:snapToGrid w:val="0"/>
              <w:jc w:val="left"/>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3A1E97E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4B1F44E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68EF2B2B">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690FAA7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3330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190FE066">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2</w:t>
            </w:r>
          </w:p>
        </w:tc>
        <w:tc>
          <w:tcPr>
            <w:tcW w:w="2835" w:type="dxa"/>
            <w:tcBorders>
              <w:top w:val="single" w:color="auto" w:sz="4" w:space="0"/>
              <w:left w:val="single" w:color="auto" w:sz="4" w:space="0"/>
              <w:bottom w:val="single" w:color="auto" w:sz="4" w:space="0"/>
              <w:right w:val="single" w:color="auto" w:sz="4" w:space="0"/>
            </w:tcBorders>
            <w:vAlign w:val="center"/>
          </w:tcPr>
          <w:p w14:paraId="5E1BD982">
            <w:pPr>
              <w:widowControl/>
              <w:snapToGrid w:val="0"/>
              <w:jc w:val="left"/>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540457C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3FFA5F7C">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50769823">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31E6EFA">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FA8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70A5ACE5">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3</w:t>
            </w:r>
          </w:p>
        </w:tc>
        <w:tc>
          <w:tcPr>
            <w:tcW w:w="2835" w:type="dxa"/>
            <w:tcBorders>
              <w:top w:val="single" w:color="auto" w:sz="4" w:space="0"/>
              <w:left w:val="single" w:color="auto" w:sz="4" w:space="0"/>
              <w:bottom w:val="single" w:color="auto" w:sz="4" w:space="0"/>
              <w:right w:val="single" w:color="auto" w:sz="4" w:space="0"/>
            </w:tcBorders>
            <w:vAlign w:val="center"/>
          </w:tcPr>
          <w:p w14:paraId="063EA38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1775F593">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29634EF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64100F6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1CD5A18B">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35B1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259CA31">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4</w:t>
            </w:r>
          </w:p>
        </w:tc>
        <w:tc>
          <w:tcPr>
            <w:tcW w:w="2835" w:type="dxa"/>
            <w:tcBorders>
              <w:top w:val="single" w:color="auto" w:sz="4" w:space="0"/>
              <w:left w:val="single" w:color="auto" w:sz="4" w:space="0"/>
              <w:bottom w:val="single" w:color="auto" w:sz="4" w:space="0"/>
              <w:right w:val="single" w:color="auto" w:sz="4" w:space="0"/>
            </w:tcBorders>
            <w:vAlign w:val="center"/>
          </w:tcPr>
          <w:p w14:paraId="16923B94">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07EAFB8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727E3ED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0A5284B8">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54D5B98">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1514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5D1E79CC">
            <w:pPr>
              <w:widowControl/>
              <w:snapToGrid w:val="0"/>
              <w:jc w:val="center"/>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w:t>
            </w:r>
          </w:p>
        </w:tc>
        <w:tc>
          <w:tcPr>
            <w:tcW w:w="2835" w:type="dxa"/>
            <w:tcBorders>
              <w:top w:val="single" w:color="auto" w:sz="4" w:space="0"/>
              <w:left w:val="single" w:color="auto" w:sz="4" w:space="0"/>
              <w:bottom w:val="single" w:color="auto" w:sz="4" w:space="0"/>
              <w:right w:val="single" w:color="auto" w:sz="4" w:space="0"/>
            </w:tcBorders>
            <w:vAlign w:val="center"/>
          </w:tcPr>
          <w:p w14:paraId="4359E33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50708B01">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5AFB5C10">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4C3F2FB4">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54042A2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743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50176A6">
            <w:pPr>
              <w:widowControl/>
              <w:snapToGrid w:val="0"/>
              <w:jc w:val="center"/>
              <w:rPr>
                <w:rFonts w:hint="eastAsia" w:ascii="宋体" w:hAnsi="宋体" w:eastAsia="宋体" w:cs="宋体"/>
                <w:color w:val="auto"/>
                <w:sz w:val="24"/>
                <w:highlight w:val="none"/>
                <w:lang w:val="en-US" w:eastAsia="zh-CN"/>
              </w:rPr>
            </w:pPr>
          </w:p>
        </w:tc>
        <w:tc>
          <w:tcPr>
            <w:tcW w:w="2835" w:type="dxa"/>
            <w:tcBorders>
              <w:top w:val="single" w:color="auto" w:sz="4" w:space="0"/>
              <w:left w:val="single" w:color="auto" w:sz="4" w:space="0"/>
              <w:bottom w:val="single" w:color="auto" w:sz="4" w:space="0"/>
              <w:right w:val="single" w:color="auto" w:sz="4" w:space="0"/>
            </w:tcBorders>
            <w:vAlign w:val="center"/>
          </w:tcPr>
          <w:p w14:paraId="001CA25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1872A4CA">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736AAE0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61BE2D3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417D061">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066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659AABFC">
            <w:pPr>
              <w:widowControl/>
              <w:snapToGrid w:val="0"/>
              <w:jc w:val="center"/>
              <w:rPr>
                <w:rFonts w:hint="eastAsia" w:ascii="宋体" w:hAnsi="宋体" w:eastAsia="宋体" w:cs="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0439945">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2D03C43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18373775">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73CE1E5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4453E64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D1E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6FEC904">
            <w:pPr>
              <w:widowControl/>
              <w:snapToGrid w:val="0"/>
              <w:jc w:val="center"/>
              <w:rPr>
                <w:rFonts w:hint="eastAsia" w:ascii="宋体" w:hAnsi="宋体" w:eastAsia="宋体" w:cs="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117473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86" w:type="dxa"/>
            <w:tcBorders>
              <w:top w:val="single" w:color="auto" w:sz="4" w:space="0"/>
              <w:left w:val="single" w:color="auto" w:sz="4" w:space="0"/>
              <w:bottom w:val="single" w:color="auto" w:sz="4" w:space="0"/>
              <w:right w:val="single" w:color="auto" w:sz="4" w:space="0"/>
            </w:tcBorders>
            <w:vAlign w:val="center"/>
          </w:tcPr>
          <w:p w14:paraId="572D991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91" w:type="dxa"/>
            <w:tcBorders>
              <w:top w:val="single" w:color="auto" w:sz="4" w:space="0"/>
              <w:left w:val="single" w:color="auto" w:sz="4" w:space="0"/>
              <w:bottom w:val="single" w:color="auto" w:sz="4" w:space="0"/>
              <w:right w:val="single" w:color="auto" w:sz="4" w:space="0"/>
            </w:tcBorders>
            <w:vAlign w:val="center"/>
          </w:tcPr>
          <w:p w14:paraId="2736FE9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top w:val="single" w:color="auto" w:sz="4" w:space="0"/>
              <w:left w:val="single" w:color="auto" w:sz="4" w:space="0"/>
              <w:bottom w:val="single" w:color="auto" w:sz="4" w:space="0"/>
              <w:right w:val="single" w:color="auto" w:sz="4" w:space="0"/>
            </w:tcBorders>
            <w:vAlign w:val="center"/>
          </w:tcPr>
          <w:p w14:paraId="5D563A6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1" w:type="dxa"/>
            <w:tcBorders>
              <w:top w:val="single" w:color="auto" w:sz="4" w:space="0"/>
              <w:left w:val="single" w:color="auto" w:sz="4" w:space="0"/>
              <w:bottom w:val="single" w:color="auto" w:sz="4" w:space="0"/>
              <w:right w:val="single" w:color="auto" w:sz="4" w:space="0"/>
            </w:tcBorders>
            <w:vAlign w:val="center"/>
          </w:tcPr>
          <w:p w14:paraId="097567E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7D2280D7">
      <w:pPr>
        <w:spacing w:line="300" w:lineRule="auto"/>
        <w:jc w:val="center"/>
        <w:rPr>
          <w:rFonts w:hint="eastAsia" w:ascii="宋体" w:hAnsi="宋体" w:eastAsia="宋体" w:cs="宋体"/>
          <w:color w:val="auto"/>
          <w:sz w:val="21"/>
          <w:szCs w:val="21"/>
          <w:highlight w:val="none"/>
        </w:rPr>
      </w:pPr>
    </w:p>
    <w:p w14:paraId="394C9EEE">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供应商全称（加盖公章）：            </w:t>
      </w:r>
    </w:p>
    <w:p w14:paraId="3395AAAB">
      <w:pPr>
        <w:spacing w:line="300" w:lineRule="auto"/>
        <w:jc w:val="center"/>
        <w:rPr>
          <w:rFonts w:hint="eastAsia" w:ascii="宋体" w:hAnsi="宋体" w:eastAsia="宋体" w:cs="宋体"/>
          <w:color w:val="auto"/>
          <w:sz w:val="24"/>
          <w:highlight w:val="none"/>
        </w:rPr>
      </w:pPr>
    </w:p>
    <w:p w14:paraId="1320D312">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p>
    <w:p w14:paraId="2BD93B6E">
      <w:pPr>
        <w:spacing w:line="300" w:lineRule="auto"/>
        <w:jc w:val="center"/>
        <w:rPr>
          <w:rFonts w:hint="eastAsia" w:ascii="宋体" w:hAnsi="宋体" w:eastAsia="宋体" w:cs="宋体"/>
          <w:color w:val="auto"/>
          <w:sz w:val="24"/>
          <w:highlight w:val="none"/>
        </w:rPr>
      </w:pPr>
    </w:p>
    <w:p w14:paraId="734C9574">
      <w:pPr>
        <w:autoSpaceDE/>
        <w:autoSpaceDN/>
        <w:adjustRightInd/>
        <w:spacing w:line="50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4F181F5">
      <w:pPr>
        <w:widowControl/>
        <w:autoSpaceDE/>
        <w:autoSpaceDN/>
        <w:adjustRightInd/>
        <w:textAlignment w:val="auto"/>
        <w:rPr>
          <w:rFonts w:hint="eastAsia" w:ascii="宋体" w:hAnsi="宋体" w:eastAsia="宋体" w:cs="宋体"/>
          <w:b/>
          <w:bCs/>
          <w:color w:val="auto"/>
          <w:kern w:val="2"/>
          <w:sz w:val="21"/>
          <w:szCs w:val="21"/>
          <w:highlight w:val="none"/>
        </w:rPr>
      </w:pPr>
    </w:p>
    <w:bookmarkEnd w:id="273"/>
    <w:p w14:paraId="02250907">
      <w:pPr>
        <w:widowControl/>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22D6485F">
      <w:pPr>
        <w:keepNext w:val="0"/>
        <w:keepLines w:val="0"/>
        <w:pageBreakBefore w:val="0"/>
        <w:numPr>
          <w:ilvl w:val="0"/>
          <w:numId w:val="0"/>
        </w:numPr>
        <w:kinsoku/>
        <w:overflowPunct/>
        <w:autoSpaceDE/>
        <w:autoSpaceDN/>
        <w:bidi w:val="0"/>
        <w:adjustRightInd/>
        <w:spacing w:line="500" w:lineRule="exact"/>
        <w:ind w:firstLine="562" w:firstLineChars="200"/>
        <w:jc w:val="both"/>
        <w:outlineLvl w:val="9"/>
        <w:rPr>
          <w:rFonts w:hint="eastAsia" w:hAnsi="宋体" w:cs="宋体"/>
          <w:b/>
          <w:bCs/>
          <w:color w:val="auto"/>
          <w:sz w:val="28"/>
          <w:szCs w:val="28"/>
          <w:highlight w:val="none"/>
          <w:lang w:val="en-US" w:eastAsia="zh-CN"/>
        </w:rPr>
      </w:pPr>
    </w:p>
    <w:p w14:paraId="25F5AD50">
      <w:pPr>
        <w:keepNext w:val="0"/>
        <w:keepLines w:val="0"/>
        <w:pageBreakBefore w:val="0"/>
        <w:numPr>
          <w:ilvl w:val="0"/>
          <w:numId w:val="0"/>
        </w:numPr>
        <w:kinsoku/>
        <w:overflowPunct/>
        <w:autoSpaceDE/>
        <w:autoSpaceDN/>
        <w:bidi w:val="0"/>
        <w:adjustRightInd/>
        <w:spacing w:line="500" w:lineRule="exact"/>
        <w:ind w:firstLine="482" w:firstLineChars="200"/>
        <w:jc w:val="both"/>
        <w:outlineLvl w:val="9"/>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供应商</w:t>
      </w:r>
      <w:r>
        <w:rPr>
          <w:rFonts w:hint="eastAsia" w:hAnsi="宋体" w:cs="宋体"/>
          <w:b/>
          <w:bCs/>
          <w:color w:val="auto"/>
          <w:sz w:val="24"/>
          <w:szCs w:val="24"/>
          <w:highlight w:val="none"/>
          <w:lang w:val="en-US" w:eastAsia="zh-CN"/>
        </w:rPr>
        <w:t>2021年1月1日以来获取的</w:t>
      </w:r>
      <w:r>
        <w:rPr>
          <w:rFonts w:hint="eastAsia" w:ascii="宋体" w:hAnsi="宋体" w:eastAsia="宋体" w:cs="宋体"/>
          <w:b/>
          <w:bCs/>
          <w:color w:val="auto"/>
          <w:sz w:val="24"/>
          <w:szCs w:val="24"/>
          <w:highlight w:val="none"/>
        </w:rPr>
        <w:t>企业</w:t>
      </w:r>
      <w:r>
        <w:rPr>
          <w:rFonts w:hint="eastAsia" w:ascii="宋体" w:hAnsi="宋体" w:eastAsia="宋体" w:cs="宋体"/>
          <w:b/>
          <w:bCs/>
          <w:color w:val="auto"/>
          <w:sz w:val="24"/>
          <w:szCs w:val="24"/>
          <w:highlight w:val="none"/>
          <w:lang w:val="en-US" w:eastAsia="zh-CN"/>
        </w:rPr>
        <w:t>荣誉</w:t>
      </w:r>
      <w:r>
        <w:rPr>
          <w:rFonts w:hint="eastAsia" w:ascii="宋体" w:hAnsi="宋体" w:eastAsia="宋体" w:cs="宋体"/>
          <w:b/>
          <w:bCs/>
          <w:color w:val="auto"/>
          <w:sz w:val="24"/>
          <w:szCs w:val="24"/>
          <w:highlight w:val="none"/>
        </w:rPr>
        <w:t>（须提供</w:t>
      </w:r>
      <w:r>
        <w:rPr>
          <w:rFonts w:hint="eastAsia" w:hAnsi="宋体" w:cs="宋体"/>
          <w:b/>
          <w:bCs/>
          <w:color w:val="auto"/>
          <w:sz w:val="24"/>
          <w:szCs w:val="24"/>
          <w:highlight w:val="none"/>
          <w:lang w:val="en-US" w:eastAsia="zh-CN"/>
        </w:rPr>
        <w:t>扫描件或复印件并</w:t>
      </w:r>
      <w:r>
        <w:rPr>
          <w:rFonts w:hint="eastAsia" w:ascii="宋体" w:hAnsi="宋体" w:eastAsia="宋体" w:cs="宋体"/>
          <w:b/>
          <w:bCs/>
          <w:color w:val="auto"/>
          <w:sz w:val="24"/>
          <w:szCs w:val="24"/>
          <w:highlight w:val="none"/>
        </w:rPr>
        <w:t>加盖公章）</w:t>
      </w:r>
    </w:p>
    <w:p w14:paraId="30A45401">
      <w:pPr>
        <w:snapToGrid w:val="0"/>
        <w:spacing w:before="50" w:after="50"/>
        <w:jc w:val="both"/>
        <w:rPr>
          <w:rFonts w:hint="eastAsia" w:ascii="宋体" w:hAnsi="宋体" w:eastAsia="宋体" w:cs="宋体"/>
          <w:b/>
          <w:bCs/>
          <w:color w:val="auto"/>
          <w:sz w:val="24"/>
          <w:highlight w:val="none"/>
        </w:rPr>
      </w:pPr>
    </w:p>
    <w:tbl>
      <w:tblPr>
        <w:tblStyle w:val="4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72"/>
        <w:gridCol w:w="2184"/>
        <w:gridCol w:w="1764"/>
        <w:gridCol w:w="1476"/>
      </w:tblGrid>
      <w:tr w14:paraId="5021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69CBA29">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72" w:type="dxa"/>
            <w:tcBorders>
              <w:top w:val="single" w:color="auto" w:sz="4" w:space="0"/>
              <w:left w:val="single" w:color="auto" w:sz="4" w:space="0"/>
              <w:bottom w:val="single" w:color="auto" w:sz="4" w:space="0"/>
              <w:right w:val="single" w:color="auto" w:sz="4" w:space="0"/>
            </w:tcBorders>
            <w:vAlign w:val="center"/>
          </w:tcPr>
          <w:p w14:paraId="4CBA67A7">
            <w:pPr>
              <w:widowControl/>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szCs w:val="24"/>
                <w:highlight w:val="none"/>
              </w:rPr>
              <w:t>企业</w:t>
            </w:r>
            <w:r>
              <w:rPr>
                <w:rFonts w:hint="eastAsia" w:ascii="宋体" w:hAnsi="宋体" w:eastAsia="宋体" w:cs="宋体"/>
                <w:b/>
                <w:bCs/>
                <w:color w:val="auto"/>
                <w:sz w:val="24"/>
                <w:szCs w:val="24"/>
                <w:highlight w:val="none"/>
                <w:lang w:val="en-US" w:eastAsia="zh-CN"/>
              </w:rPr>
              <w:t>荣誉</w:t>
            </w:r>
          </w:p>
        </w:tc>
        <w:tc>
          <w:tcPr>
            <w:tcW w:w="2184" w:type="dxa"/>
            <w:tcBorders>
              <w:top w:val="single" w:color="auto" w:sz="4" w:space="0"/>
              <w:left w:val="single" w:color="auto" w:sz="4" w:space="0"/>
              <w:bottom w:val="single" w:color="auto" w:sz="4" w:space="0"/>
              <w:right w:val="single" w:color="auto" w:sz="4" w:space="0"/>
            </w:tcBorders>
            <w:vAlign w:val="center"/>
          </w:tcPr>
          <w:p w14:paraId="5DE95D13">
            <w:pPr>
              <w:widowControl/>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1"/>
                <w:szCs w:val="21"/>
                <w:highlight w:val="none"/>
                <w:u w:val="none"/>
                <w:lang w:val="en-US" w:eastAsia="zh-CN"/>
              </w:rPr>
              <w:t>授予</w:t>
            </w:r>
            <w:r>
              <w:rPr>
                <w:rFonts w:hint="eastAsia" w:hAnsi="宋体" w:cs="宋体"/>
                <w:b w:val="0"/>
                <w:bCs w:val="0"/>
                <w:color w:val="auto"/>
                <w:sz w:val="21"/>
                <w:szCs w:val="21"/>
                <w:highlight w:val="none"/>
                <w:u w:val="none"/>
                <w:lang w:val="en-US" w:eastAsia="zh-CN"/>
              </w:rPr>
              <w:t>时间</w:t>
            </w:r>
          </w:p>
        </w:tc>
        <w:tc>
          <w:tcPr>
            <w:tcW w:w="1764" w:type="dxa"/>
            <w:tcBorders>
              <w:top w:val="single" w:color="auto" w:sz="4" w:space="0"/>
              <w:left w:val="single" w:color="auto" w:sz="4" w:space="0"/>
              <w:bottom w:val="single" w:color="auto" w:sz="4" w:space="0"/>
              <w:right w:val="single" w:color="auto" w:sz="4" w:space="0"/>
            </w:tcBorders>
            <w:vAlign w:val="center"/>
          </w:tcPr>
          <w:p w14:paraId="7EE80B0F">
            <w:pPr>
              <w:widowControl/>
              <w:snapToGrid w:val="0"/>
              <w:jc w:val="center"/>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数量</w:t>
            </w:r>
          </w:p>
        </w:tc>
        <w:tc>
          <w:tcPr>
            <w:tcW w:w="1476" w:type="dxa"/>
            <w:tcBorders>
              <w:top w:val="single" w:color="auto" w:sz="4" w:space="0"/>
              <w:left w:val="single" w:color="auto" w:sz="4" w:space="0"/>
              <w:bottom w:val="single" w:color="auto" w:sz="4" w:space="0"/>
              <w:right w:val="single" w:color="auto" w:sz="4" w:space="0"/>
            </w:tcBorders>
            <w:vAlign w:val="center"/>
          </w:tcPr>
          <w:p w14:paraId="3E62F5D7">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A8A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C6E7506">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w:t>
            </w:r>
          </w:p>
        </w:tc>
        <w:tc>
          <w:tcPr>
            <w:tcW w:w="2872" w:type="dxa"/>
            <w:tcBorders>
              <w:top w:val="single" w:color="auto" w:sz="4" w:space="0"/>
              <w:left w:val="single" w:color="auto" w:sz="4" w:space="0"/>
              <w:bottom w:val="single" w:color="auto" w:sz="4" w:space="0"/>
              <w:right w:val="single" w:color="auto" w:sz="4" w:space="0"/>
            </w:tcBorders>
            <w:vAlign w:val="center"/>
          </w:tcPr>
          <w:p w14:paraId="524BA5C3">
            <w:pPr>
              <w:widowControl/>
              <w:snapToGrid w:val="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u w:val="none"/>
                <w:lang w:val="en-US" w:eastAsia="zh-CN"/>
              </w:rPr>
              <w:t>获得过国家级</w:t>
            </w:r>
            <w:r>
              <w:rPr>
                <w:rFonts w:hint="eastAsia"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包含国务院所属的部、委、办、局授予的荣誉</w:t>
            </w:r>
          </w:p>
        </w:tc>
        <w:tc>
          <w:tcPr>
            <w:tcW w:w="2184" w:type="dxa"/>
            <w:tcBorders>
              <w:top w:val="single" w:color="auto" w:sz="4" w:space="0"/>
              <w:left w:val="single" w:color="auto" w:sz="4" w:space="0"/>
              <w:bottom w:val="single" w:color="auto" w:sz="4" w:space="0"/>
              <w:right w:val="single" w:color="auto" w:sz="4" w:space="0"/>
            </w:tcBorders>
            <w:vAlign w:val="center"/>
          </w:tcPr>
          <w:p w14:paraId="4BB8B9AB">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53B04A28">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7F5973FC">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C4A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E7D893">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2</w:t>
            </w:r>
          </w:p>
        </w:tc>
        <w:tc>
          <w:tcPr>
            <w:tcW w:w="2872" w:type="dxa"/>
            <w:tcBorders>
              <w:top w:val="single" w:color="auto" w:sz="4" w:space="0"/>
              <w:left w:val="single" w:color="auto" w:sz="4" w:space="0"/>
              <w:bottom w:val="single" w:color="auto" w:sz="4" w:space="0"/>
              <w:right w:val="single" w:color="auto" w:sz="4" w:space="0"/>
            </w:tcBorders>
            <w:vAlign w:val="center"/>
          </w:tcPr>
          <w:p w14:paraId="489E4082">
            <w:pPr>
              <w:widowControl/>
              <w:snapToGrid w:val="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u w:val="none"/>
                <w:lang w:val="en-US" w:eastAsia="zh-CN"/>
              </w:rPr>
              <w:t>获得过省级，包含省政府所属的部、委、办、局（厅）授予的荣誉</w:t>
            </w:r>
          </w:p>
        </w:tc>
        <w:tc>
          <w:tcPr>
            <w:tcW w:w="2184" w:type="dxa"/>
            <w:tcBorders>
              <w:top w:val="single" w:color="auto" w:sz="4" w:space="0"/>
              <w:left w:val="single" w:color="auto" w:sz="4" w:space="0"/>
              <w:bottom w:val="single" w:color="auto" w:sz="4" w:space="0"/>
              <w:right w:val="single" w:color="auto" w:sz="4" w:space="0"/>
            </w:tcBorders>
            <w:vAlign w:val="center"/>
          </w:tcPr>
          <w:p w14:paraId="084ACA35">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4260F1E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79F0312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B99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C68E3D1">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3</w:t>
            </w:r>
          </w:p>
        </w:tc>
        <w:tc>
          <w:tcPr>
            <w:tcW w:w="2872" w:type="dxa"/>
            <w:tcBorders>
              <w:top w:val="single" w:color="auto" w:sz="4" w:space="0"/>
              <w:left w:val="single" w:color="auto" w:sz="4" w:space="0"/>
              <w:bottom w:val="single" w:color="auto" w:sz="4" w:space="0"/>
              <w:right w:val="single" w:color="auto" w:sz="4" w:space="0"/>
            </w:tcBorders>
            <w:vAlign w:val="center"/>
          </w:tcPr>
          <w:p w14:paraId="6BE5C594">
            <w:pPr>
              <w:widowControl/>
              <w:snapToGrid w:val="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u w:val="none"/>
                <w:lang w:val="en-US" w:eastAsia="zh-CN"/>
              </w:rPr>
              <w:t>获得过市级，包含市政府所属的部、委、办、局或区、县政府授予的荣誉</w:t>
            </w:r>
          </w:p>
        </w:tc>
        <w:tc>
          <w:tcPr>
            <w:tcW w:w="2184" w:type="dxa"/>
            <w:tcBorders>
              <w:top w:val="single" w:color="auto" w:sz="4" w:space="0"/>
              <w:left w:val="single" w:color="auto" w:sz="4" w:space="0"/>
              <w:bottom w:val="single" w:color="auto" w:sz="4" w:space="0"/>
              <w:right w:val="single" w:color="auto" w:sz="4" w:space="0"/>
            </w:tcBorders>
            <w:vAlign w:val="center"/>
          </w:tcPr>
          <w:p w14:paraId="65E92AA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0D393B31">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602C0528">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294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BEE690B">
            <w:pPr>
              <w:widowControl/>
              <w:snapToGrid w:val="0"/>
              <w:jc w:val="center"/>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4</w:t>
            </w:r>
          </w:p>
        </w:tc>
        <w:tc>
          <w:tcPr>
            <w:tcW w:w="2872" w:type="dxa"/>
            <w:tcBorders>
              <w:top w:val="single" w:color="auto" w:sz="4" w:space="0"/>
              <w:left w:val="single" w:color="auto" w:sz="4" w:space="0"/>
              <w:bottom w:val="single" w:color="auto" w:sz="4" w:space="0"/>
              <w:right w:val="single" w:color="auto" w:sz="4" w:space="0"/>
            </w:tcBorders>
            <w:vAlign w:val="center"/>
          </w:tcPr>
          <w:p w14:paraId="0BED32B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84" w:type="dxa"/>
            <w:tcBorders>
              <w:top w:val="single" w:color="auto" w:sz="4" w:space="0"/>
              <w:left w:val="single" w:color="auto" w:sz="4" w:space="0"/>
              <w:bottom w:val="single" w:color="auto" w:sz="4" w:space="0"/>
              <w:right w:val="single" w:color="auto" w:sz="4" w:space="0"/>
            </w:tcBorders>
            <w:vAlign w:val="center"/>
          </w:tcPr>
          <w:p w14:paraId="44C2162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51B70197">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00754D30">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21E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453C4">
            <w:pPr>
              <w:widowControl/>
              <w:snapToGrid w:val="0"/>
              <w:jc w:val="center"/>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w:t>
            </w:r>
          </w:p>
        </w:tc>
        <w:tc>
          <w:tcPr>
            <w:tcW w:w="2872" w:type="dxa"/>
            <w:tcBorders>
              <w:top w:val="single" w:color="auto" w:sz="4" w:space="0"/>
              <w:left w:val="single" w:color="auto" w:sz="4" w:space="0"/>
              <w:bottom w:val="single" w:color="auto" w:sz="4" w:space="0"/>
              <w:right w:val="single" w:color="auto" w:sz="4" w:space="0"/>
            </w:tcBorders>
            <w:vAlign w:val="center"/>
          </w:tcPr>
          <w:p w14:paraId="7F93D80C">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84" w:type="dxa"/>
            <w:tcBorders>
              <w:top w:val="single" w:color="auto" w:sz="4" w:space="0"/>
              <w:left w:val="single" w:color="auto" w:sz="4" w:space="0"/>
              <w:bottom w:val="single" w:color="auto" w:sz="4" w:space="0"/>
              <w:right w:val="single" w:color="auto" w:sz="4" w:space="0"/>
            </w:tcBorders>
            <w:vAlign w:val="center"/>
          </w:tcPr>
          <w:p w14:paraId="7E7AF21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6F1670DE">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433D2EC3">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C15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B348298">
            <w:pPr>
              <w:widowControl/>
              <w:snapToGrid w:val="0"/>
              <w:jc w:val="center"/>
              <w:rPr>
                <w:rFonts w:hint="eastAsia" w:ascii="宋体" w:hAnsi="宋体" w:eastAsia="宋体" w:cs="宋体"/>
                <w:color w:val="auto"/>
                <w:sz w:val="24"/>
                <w:highlight w:val="none"/>
                <w:lang w:val="en-US" w:eastAsia="zh-CN"/>
              </w:rPr>
            </w:pPr>
          </w:p>
        </w:tc>
        <w:tc>
          <w:tcPr>
            <w:tcW w:w="2872" w:type="dxa"/>
            <w:tcBorders>
              <w:top w:val="single" w:color="auto" w:sz="4" w:space="0"/>
              <w:left w:val="single" w:color="auto" w:sz="4" w:space="0"/>
              <w:bottom w:val="single" w:color="auto" w:sz="4" w:space="0"/>
              <w:right w:val="single" w:color="auto" w:sz="4" w:space="0"/>
            </w:tcBorders>
            <w:vAlign w:val="center"/>
          </w:tcPr>
          <w:p w14:paraId="5D103D05">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84" w:type="dxa"/>
            <w:tcBorders>
              <w:top w:val="single" w:color="auto" w:sz="4" w:space="0"/>
              <w:left w:val="single" w:color="auto" w:sz="4" w:space="0"/>
              <w:bottom w:val="single" w:color="auto" w:sz="4" w:space="0"/>
              <w:right w:val="single" w:color="auto" w:sz="4" w:space="0"/>
            </w:tcBorders>
            <w:vAlign w:val="center"/>
          </w:tcPr>
          <w:p w14:paraId="211F72FD">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04261DE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1288820B">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3FE8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AC53207">
            <w:pPr>
              <w:widowControl/>
              <w:snapToGrid w:val="0"/>
              <w:jc w:val="center"/>
              <w:rPr>
                <w:rFonts w:hint="eastAsia" w:ascii="宋体" w:hAnsi="宋体" w:eastAsia="宋体" w:cs="宋体"/>
                <w:color w:val="auto"/>
                <w:sz w:val="24"/>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7A7F3576">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84" w:type="dxa"/>
            <w:tcBorders>
              <w:top w:val="single" w:color="auto" w:sz="4" w:space="0"/>
              <w:left w:val="single" w:color="auto" w:sz="4" w:space="0"/>
              <w:bottom w:val="single" w:color="auto" w:sz="4" w:space="0"/>
              <w:right w:val="single" w:color="auto" w:sz="4" w:space="0"/>
            </w:tcBorders>
            <w:vAlign w:val="center"/>
          </w:tcPr>
          <w:p w14:paraId="3EEF8147">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2790A8FC">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747D124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AE8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945253F">
            <w:pPr>
              <w:widowControl/>
              <w:snapToGrid w:val="0"/>
              <w:jc w:val="center"/>
              <w:rPr>
                <w:rFonts w:hint="eastAsia" w:ascii="宋体" w:hAnsi="宋体" w:eastAsia="宋体" w:cs="宋体"/>
                <w:color w:val="auto"/>
                <w:sz w:val="24"/>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7B4CABC0">
            <w:pPr>
              <w:widowControl/>
              <w:snapToGrid w:val="0"/>
              <w:jc w:val="center"/>
              <w:rPr>
                <w:rFonts w:hint="eastAsia" w:ascii="宋体" w:hAnsi="宋体" w:eastAsia="宋体" w:cs="宋体"/>
                <w:color w:val="auto"/>
                <w:sz w:val="24"/>
                <w:highlight w:val="none"/>
              </w:rPr>
            </w:pPr>
          </w:p>
        </w:tc>
        <w:tc>
          <w:tcPr>
            <w:tcW w:w="2184" w:type="dxa"/>
            <w:tcBorders>
              <w:top w:val="single" w:color="auto" w:sz="4" w:space="0"/>
              <w:left w:val="single" w:color="auto" w:sz="4" w:space="0"/>
              <w:bottom w:val="single" w:color="auto" w:sz="4" w:space="0"/>
              <w:right w:val="single" w:color="auto" w:sz="4" w:space="0"/>
            </w:tcBorders>
            <w:vAlign w:val="center"/>
          </w:tcPr>
          <w:p w14:paraId="1313CE32">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64" w:type="dxa"/>
            <w:tcBorders>
              <w:top w:val="single" w:color="auto" w:sz="4" w:space="0"/>
              <w:left w:val="single" w:color="auto" w:sz="4" w:space="0"/>
              <w:bottom w:val="single" w:color="auto" w:sz="4" w:space="0"/>
              <w:right w:val="single" w:color="auto" w:sz="4" w:space="0"/>
            </w:tcBorders>
            <w:vAlign w:val="center"/>
          </w:tcPr>
          <w:p w14:paraId="702BF527">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476" w:type="dxa"/>
            <w:tcBorders>
              <w:top w:val="single" w:color="auto" w:sz="4" w:space="0"/>
              <w:left w:val="single" w:color="auto" w:sz="4" w:space="0"/>
              <w:bottom w:val="single" w:color="auto" w:sz="4" w:space="0"/>
              <w:right w:val="single" w:color="auto" w:sz="4" w:space="0"/>
            </w:tcBorders>
            <w:vAlign w:val="center"/>
          </w:tcPr>
          <w:p w14:paraId="66635B9F">
            <w:pPr>
              <w:widowControl/>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4A2AC45E">
      <w:pPr>
        <w:spacing w:line="300" w:lineRule="auto"/>
        <w:jc w:val="center"/>
        <w:rPr>
          <w:rFonts w:hint="eastAsia" w:ascii="宋体" w:hAnsi="宋体" w:eastAsia="宋体" w:cs="宋体"/>
          <w:color w:val="auto"/>
          <w:sz w:val="21"/>
          <w:szCs w:val="21"/>
          <w:highlight w:val="none"/>
        </w:rPr>
      </w:pPr>
    </w:p>
    <w:p w14:paraId="4E70EA01">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供应商全称（加盖公章）：            </w:t>
      </w:r>
    </w:p>
    <w:p w14:paraId="5ADF036F">
      <w:pPr>
        <w:spacing w:line="300" w:lineRule="auto"/>
        <w:jc w:val="center"/>
        <w:rPr>
          <w:rFonts w:hint="eastAsia" w:ascii="宋体" w:hAnsi="宋体" w:eastAsia="宋体" w:cs="宋体"/>
          <w:color w:val="auto"/>
          <w:sz w:val="24"/>
          <w:highlight w:val="none"/>
        </w:rPr>
      </w:pPr>
    </w:p>
    <w:p w14:paraId="2306BE85">
      <w:pPr>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p>
    <w:p w14:paraId="033F10DF">
      <w:pPr>
        <w:spacing w:line="300" w:lineRule="auto"/>
        <w:jc w:val="center"/>
        <w:rPr>
          <w:rFonts w:hint="eastAsia" w:ascii="宋体" w:hAnsi="宋体" w:eastAsia="宋体" w:cs="宋体"/>
          <w:color w:val="auto"/>
          <w:sz w:val="24"/>
          <w:highlight w:val="none"/>
        </w:rPr>
      </w:pPr>
    </w:p>
    <w:p w14:paraId="2F218725">
      <w:pPr>
        <w:autoSpaceDE/>
        <w:autoSpaceDN/>
        <w:adjustRightInd/>
        <w:spacing w:line="500" w:lineRule="exact"/>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64DFE67">
      <w:pPr>
        <w:pStyle w:val="4"/>
        <w:rPr>
          <w:rFonts w:hint="eastAsia"/>
          <w:color w:val="auto"/>
          <w:highlight w:val="none"/>
          <w:lang w:eastAsia="zh-CN"/>
        </w:rPr>
      </w:pPr>
    </w:p>
    <w:p w14:paraId="5ABEAA73">
      <w:pPr>
        <w:pStyle w:val="2"/>
        <w:keepNext w:val="0"/>
        <w:keepLines w:val="0"/>
        <w:pageBreakBefore/>
        <w:widowControl w:val="0"/>
        <w:kinsoku/>
        <w:wordWrap/>
        <w:overflowPunct/>
        <w:topLinePunct w:val="0"/>
        <w:autoSpaceDE/>
        <w:autoSpaceDN/>
        <w:bidi w:val="0"/>
        <w:adjustRightInd/>
        <w:snapToGrid/>
        <w:spacing w:before="312" w:beforeLines="100" w:after="0" w:line="360" w:lineRule="auto"/>
        <w:ind w:left="0" w:leftChars="0" w:hanging="68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拟投入本项目的服务人员配置表</w:t>
      </w:r>
    </w:p>
    <w:tbl>
      <w:tblPr>
        <w:tblStyle w:val="47"/>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807"/>
        <w:gridCol w:w="1353"/>
        <w:gridCol w:w="1680"/>
      </w:tblGrid>
      <w:tr w14:paraId="53291D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A4E1572">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2520" w:type="dxa"/>
            <w:tcBorders>
              <w:top w:val="single" w:color="000000" w:sz="4" w:space="0"/>
              <w:left w:val="single" w:color="000000" w:sz="4" w:space="0"/>
              <w:bottom w:val="single" w:color="000000" w:sz="4" w:space="0"/>
              <w:right w:val="single" w:color="000000" w:sz="4" w:space="0"/>
            </w:tcBorders>
            <w:vAlign w:val="center"/>
          </w:tcPr>
          <w:p w14:paraId="7859AFD8">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本项目主要工作</w:t>
            </w:r>
          </w:p>
        </w:tc>
        <w:tc>
          <w:tcPr>
            <w:tcW w:w="720" w:type="dxa"/>
            <w:tcBorders>
              <w:top w:val="single" w:color="000000" w:sz="4" w:space="0"/>
              <w:left w:val="single" w:color="000000" w:sz="4" w:space="0"/>
              <w:bottom w:val="single" w:color="000000" w:sz="4" w:space="0"/>
              <w:right w:val="single" w:color="000000" w:sz="4" w:space="0"/>
            </w:tcBorders>
            <w:vAlign w:val="center"/>
          </w:tcPr>
          <w:p w14:paraId="208D4BA7">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年龄</w:t>
            </w:r>
          </w:p>
        </w:tc>
        <w:tc>
          <w:tcPr>
            <w:tcW w:w="720" w:type="dxa"/>
            <w:tcBorders>
              <w:top w:val="single" w:color="000000" w:sz="4" w:space="0"/>
              <w:left w:val="single" w:color="000000" w:sz="4" w:space="0"/>
              <w:bottom w:val="single" w:color="000000" w:sz="4" w:space="0"/>
              <w:right w:val="single" w:color="000000" w:sz="4" w:space="0"/>
            </w:tcBorders>
            <w:vAlign w:val="center"/>
          </w:tcPr>
          <w:p w14:paraId="4A903B60">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性别</w:t>
            </w:r>
          </w:p>
        </w:tc>
        <w:tc>
          <w:tcPr>
            <w:tcW w:w="720" w:type="dxa"/>
            <w:tcBorders>
              <w:top w:val="single" w:color="000000" w:sz="4" w:space="0"/>
              <w:left w:val="single" w:color="000000" w:sz="4" w:space="0"/>
              <w:bottom w:val="single" w:color="000000" w:sz="4" w:space="0"/>
              <w:right w:val="single" w:color="000000" w:sz="4" w:space="0"/>
            </w:tcBorders>
            <w:vAlign w:val="center"/>
          </w:tcPr>
          <w:p w14:paraId="430C46EE">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w:t>
            </w:r>
          </w:p>
        </w:tc>
        <w:tc>
          <w:tcPr>
            <w:tcW w:w="807" w:type="dxa"/>
            <w:tcBorders>
              <w:top w:val="single" w:color="000000" w:sz="4" w:space="0"/>
              <w:left w:val="single" w:color="000000" w:sz="4" w:space="0"/>
              <w:bottom w:val="single" w:color="000000" w:sz="4" w:space="0"/>
              <w:right w:val="single" w:color="000000" w:sz="4" w:space="0"/>
            </w:tcBorders>
            <w:vAlign w:val="center"/>
          </w:tcPr>
          <w:p w14:paraId="28BD2340">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val="en-US" w:eastAsia="zh-CN"/>
              </w:rPr>
              <w:t>学历</w:t>
            </w:r>
          </w:p>
        </w:tc>
        <w:tc>
          <w:tcPr>
            <w:tcW w:w="1353" w:type="dxa"/>
            <w:tcBorders>
              <w:top w:val="single" w:color="000000" w:sz="4" w:space="0"/>
              <w:left w:val="single" w:color="000000" w:sz="4" w:space="0"/>
              <w:bottom w:val="single" w:color="000000" w:sz="4" w:space="0"/>
              <w:right w:val="single" w:color="000000" w:sz="4" w:space="0"/>
            </w:tcBorders>
            <w:vAlign w:val="center"/>
          </w:tcPr>
          <w:p w14:paraId="5B04ADE6">
            <w:pPr>
              <w:keepNext w:val="0"/>
              <w:keepLines w:val="0"/>
              <w:suppressLineNumbers w:val="0"/>
              <w:spacing w:before="0" w:beforeAutospacing="0" w:after="0" w:afterAutospacing="0" w:line="460" w:lineRule="exact"/>
              <w:ind w:left="0" w:right="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职称</w:t>
            </w:r>
            <w:r>
              <w:rPr>
                <w:rFonts w:hint="eastAsia" w:hAnsi="宋体" w:cs="宋体"/>
                <w:bCs/>
                <w:color w:val="auto"/>
                <w:sz w:val="21"/>
                <w:szCs w:val="21"/>
                <w:highlight w:val="none"/>
                <w:lang w:val="en-US" w:eastAsia="zh-CN"/>
              </w:rPr>
              <w:t>或资格</w:t>
            </w:r>
          </w:p>
        </w:tc>
        <w:tc>
          <w:tcPr>
            <w:tcW w:w="1680" w:type="dxa"/>
            <w:tcBorders>
              <w:top w:val="single" w:color="000000" w:sz="4" w:space="0"/>
              <w:left w:val="single" w:color="000000" w:sz="4" w:space="0"/>
              <w:bottom w:val="single" w:color="000000" w:sz="4" w:space="0"/>
              <w:right w:val="single" w:color="000000" w:sz="4" w:space="0"/>
            </w:tcBorders>
            <w:vAlign w:val="center"/>
          </w:tcPr>
          <w:p w14:paraId="666153FC">
            <w:pPr>
              <w:keepNext w:val="0"/>
              <w:keepLines w:val="0"/>
              <w:suppressLineNumbers w:val="0"/>
              <w:spacing w:before="0" w:beforeAutospacing="0" w:after="0" w:afterAutospacing="0" w:line="46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r>
      <w:tr w14:paraId="32F36B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32E361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24A22E6">
            <w:pPr>
              <w:pStyle w:val="129"/>
              <w:keepNext w:val="0"/>
              <w:keepLines w:val="0"/>
              <w:widowControl w:val="0"/>
              <w:suppressLineNumbers w:val="0"/>
              <w:pBdr>
                <w:left w:val="none" w:color="auto" w:sz="0" w:space="0"/>
                <w:bottom w:val="none" w:color="auto" w:sz="0" w:space="0"/>
                <w:right w:val="none" w:color="auto" w:sz="0" w:space="0"/>
              </w:pBdr>
              <w:spacing w:before="0" w:beforeAutospacing="0" w:after="0" w:afterAutospacing="0" w:line="4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720" w:type="dxa"/>
            <w:tcBorders>
              <w:top w:val="single" w:color="000000" w:sz="4" w:space="0"/>
              <w:left w:val="single" w:color="000000" w:sz="4" w:space="0"/>
              <w:bottom w:val="single" w:color="000000" w:sz="4" w:space="0"/>
              <w:right w:val="single" w:color="000000" w:sz="4" w:space="0"/>
            </w:tcBorders>
            <w:vAlign w:val="center"/>
          </w:tcPr>
          <w:p w14:paraId="6415D54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38F919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A2DF03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2C0EE2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7EFE7AE">
            <w:pPr>
              <w:pStyle w:val="21"/>
              <w:keepNext w:val="0"/>
              <w:keepLines w:val="0"/>
              <w:suppressLineNumbers w:val="0"/>
              <w:spacing w:before="0" w:beforeAutospacing="0" w:after="0" w:afterAutospacing="0" w:line="460" w:lineRule="exact"/>
              <w:ind w:left="850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C4349A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43F1FA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5570C2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19B0187">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720" w:type="dxa"/>
            <w:tcBorders>
              <w:top w:val="single" w:color="000000" w:sz="4" w:space="0"/>
              <w:left w:val="single" w:color="000000" w:sz="4" w:space="0"/>
              <w:bottom w:val="single" w:color="000000" w:sz="4" w:space="0"/>
              <w:right w:val="single" w:color="000000" w:sz="4" w:space="0"/>
            </w:tcBorders>
            <w:vAlign w:val="center"/>
          </w:tcPr>
          <w:p w14:paraId="0F28E36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EC7EC9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CE67F6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0A9CEF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D9D976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53931F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740A9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3ED877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2B2EAE0">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6E1B59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A6AD1D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FD10C9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23303A2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82CF40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F5CFBC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32FA4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3E27AD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852C54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BA6927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936EFF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2C3916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37C780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9016CB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CD47B9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0C6E1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192F5F5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4F293E8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9AF9DF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94E0AB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9F623C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1DB9C0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BD30F6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1CD287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2CD53F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EE46D7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4102CD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65B85F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19BAEB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CCAE2B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D9A835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802E15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CD16D2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52DE3A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A57E91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E11175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F2A9CC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C2141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8C159A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8C1891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121AE9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486A06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6C3C5B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0FC5FE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352CCB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9AC89C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C6544C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97B3FF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2C97FD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B45758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462E19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61D9A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94639B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69145CD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0FE5A6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20067B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1C4014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18E0E8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032423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ABA8EB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41B10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45DEF5F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488E1D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B714A5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03D195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A7DE41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560756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956656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DA2D3E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1BE14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7D7BB65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36A4F7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3B0E7B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3DBDD0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40B7E1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62D1B4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8C9138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86A131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50553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5C341E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3B5466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53C28D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1C5537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28950D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3FE294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7A20BF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02FBB3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3A77D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28AAC1C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3FF08FEF">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229E03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470E9C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65F445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66627E9">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69C1A85">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325D9B8A">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7F18A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61ACE7C0">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73DACDD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EDD4CF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9BD3C9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2689BC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76D32B4">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4CC954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5EE66BA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4FB0A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5528B0B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569855B1">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7EF900E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9E10C4B">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34732B17">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28AE17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0F169C3">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F02B41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r w14:paraId="6E72D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000000" w:sz="4" w:space="0"/>
              <w:left w:val="single" w:color="000000" w:sz="4" w:space="0"/>
              <w:bottom w:val="single" w:color="000000" w:sz="4" w:space="0"/>
              <w:right w:val="single" w:color="000000" w:sz="4" w:space="0"/>
            </w:tcBorders>
            <w:vAlign w:val="center"/>
          </w:tcPr>
          <w:p w14:paraId="05EEE27E">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2520" w:type="dxa"/>
            <w:tcBorders>
              <w:top w:val="single" w:color="000000" w:sz="4" w:space="0"/>
              <w:left w:val="single" w:color="000000" w:sz="4" w:space="0"/>
              <w:bottom w:val="single" w:color="000000" w:sz="4" w:space="0"/>
              <w:right w:val="single" w:color="000000" w:sz="4" w:space="0"/>
            </w:tcBorders>
            <w:vAlign w:val="center"/>
          </w:tcPr>
          <w:p w14:paraId="286B74D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572598F6">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D534D2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27A68138">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6FE519C">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CFE47AD">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28B5242">
            <w:pPr>
              <w:keepNext w:val="0"/>
              <w:keepLines w:val="0"/>
              <w:suppressLineNumbers w:val="0"/>
              <w:spacing w:before="0" w:beforeAutospacing="0" w:after="0" w:afterAutospacing="0" w:line="460" w:lineRule="exact"/>
              <w:ind w:left="0" w:right="0"/>
              <w:rPr>
                <w:rFonts w:hint="eastAsia" w:ascii="宋体" w:hAnsi="宋体" w:eastAsia="宋体" w:cs="宋体"/>
                <w:color w:val="auto"/>
                <w:sz w:val="21"/>
                <w:szCs w:val="21"/>
                <w:highlight w:val="none"/>
              </w:rPr>
            </w:pPr>
          </w:p>
        </w:tc>
      </w:tr>
    </w:tbl>
    <w:p w14:paraId="35B1A962">
      <w:pPr>
        <w:spacing w:line="4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注：1.本表应附毕业证书（或学位证书）、职称证书、身份证、</w:t>
      </w:r>
      <w:r>
        <w:rPr>
          <w:rFonts w:hint="eastAsia" w:ascii="宋体" w:hAnsi="宋体" w:eastAsia="宋体" w:cs="宋体"/>
          <w:color w:val="auto"/>
          <w:kern w:val="2"/>
          <w:sz w:val="21"/>
          <w:szCs w:val="21"/>
          <w:highlight w:val="none"/>
        </w:rPr>
        <w:t>资质资格证书、荣誉证书、社保证明</w:t>
      </w:r>
      <w:r>
        <w:rPr>
          <w:rFonts w:hint="eastAsia" w:ascii="宋体" w:hAnsi="宋体" w:eastAsia="宋体" w:cs="宋体"/>
          <w:color w:val="auto"/>
          <w:sz w:val="21"/>
          <w:szCs w:val="21"/>
          <w:highlight w:val="none"/>
        </w:rPr>
        <w:t>等证明文件复印件。</w:t>
      </w:r>
    </w:p>
    <w:p w14:paraId="49C139F5">
      <w:pPr>
        <w:spacing w:line="46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2.表格可以延续。</w:t>
      </w:r>
    </w:p>
    <w:p w14:paraId="2E375B65">
      <w:pPr>
        <w:spacing w:line="460" w:lineRule="atLeast"/>
        <w:ind w:firstLine="480"/>
        <w:rPr>
          <w:rFonts w:hint="eastAsia" w:ascii="宋体" w:hAnsi="宋体" w:eastAsia="宋体" w:cs="宋体"/>
          <w:color w:val="auto"/>
          <w:sz w:val="21"/>
          <w:szCs w:val="21"/>
          <w:highlight w:val="none"/>
        </w:rPr>
      </w:pPr>
    </w:p>
    <w:p w14:paraId="5BD623E3">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供应商全称（加盖公章）：              </w:t>
      </w:r>
    </w:p>
    <w:p w14:paraId="327FA6BB">
      <w:pPr>
        <w:spacing w:line="300" w:lineRule="auto"/>
        <w:ind w:firstLine="420" w:firstLineChars="200"/>
        <w:jc w:val="center"/>
        <w:rPr>
          <w:rFonts w:hint="eastAsia" w:ascii="宋体" w:hAnsi="宋体" w:eastAsia="宋体" w:cs="宋体"/>
          <w:color w:val="auto"/>
          <w:sz w:val="21"/>
          <w:szCs w:val="21"/>
          <w:highlight w:val="none"/>
        </w:rPr>
      </w:pPr>
    </w:p>
    <w:p w14:paraId="3625CAA1">
      <w:pPr>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720D9A5B">
      <w:pPr>
        <w:spacing w:line="300" w:lineRule="auto"/>
        <w:jc w:val="center"/>
        <w:rPr>
          <w:rFonts w:hint="eastAsia" w:ascii="宋体" w:hAnsi="宋体" w:eastAsia="宋体" w:cs="宋体"/>
          <w:color w:val="auto"/>
          <w:sz w:val="21"/>
          <w:szCs w:val="21"/>
          <w:highlight w:val="none"/>
        </w:rPr>
      </w:pPr>
    </w:p>
    <w:p w14:paraId="4E618837">
      <w:pPr>
        <w:widowControl/>
        <w:autoSpaceDE/>
        <w:autoSpaceDN/>
        <w:adjustRightIn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A6AFC0C">
      <w:pPr>
        <w:pStyle w:val="2"/>
        <w:rPr>
          <w:rFonts w:hint="eastAsia" w:ascii="宋体" w:hAnsi="宋体" w:eastAsia="宋体" w:cs="宋体"/>
          <w:b/>
          <w:bCs/>
          <w:color w:val="auto"/>
          <w:sz w:val="21"/>
          <w:szCs w:val="21"/>
          <w:highlight w:val="none"/>
          <w:lang w:val="en-US" w:eastAsia="zh-CN"/>
        </w:rPr>
      </w:pPr>
    </w:p>
    <w:p w14:paraId="254C99AB">
      <w:pPr>
        <w:pStyle w:val="2"/>
        <w:rPr>
          <w:rFonts w:hint="eastAsia" w:ascii="宋体" w:hAnsi="宋体" w:eastAsia="宋体" w:cs="宋体"/>
          <w:b/>
          <w:bCs/>
          <w:color w:val="auto"/>
          <w:sz w:val="21"/>
          <w:szCs w:val="21"/>
          <w:highlight w:val="none"/>
          <w:lang w:val="en-US" w:eastAsia="zh-CN"/>
        </w:rPr>
      </w:pPr>
    </w:p>
    <w:p w14:paraId="73933863">
      <w:pPr>
        <w:pStyle w:val="2"/>
        <w:rPr>
          <w:rFonts w:hint="eastAsia" w:ascii="宋体" w:hAnsi="宋体" w:eastAsia="宋体" w:cs="宋体"/>
          <w:b/>
          <w:bCs/>
          <w:color w:val="auto"/>
          <w:sz w:val="21"/>
          <w:szCs w:val="21"/>
          <w:highlight w:val="none"/>
          <w:lang w:val="en-US" w:eastAsia="zh-CN"/>
        </w:rPr>
      </w:pPr>
    </w:p>
    <w:p w14:paraId="14FEE0AA">
      <w:pPr>
        <w:ind w:firstLine="210" w:firstLineChars="100"/>
        <w:rPr>
          <w:rFonts w:hint="eastAsia" w:ascii="宋体" w:hAnsi="宋体" w:eastAsia="宋体" w:cs="宋体"/>
          <w:color w:val="auto"/>
          <w:sz w:val="21"/>
          <w:szCs w:val="21"/>
          <w:highlight w:val="none"/>
        </w:rPr>
      </w:pPr>
    </w:p>
    <w:p w14:paraId="15E7F3FD">
      <w:pPr>
        <w:keepNext w:val="0"/>
        <w:keepLines w:val="0"/>
        <w:pageBreakBefore/>
        <w:widowControl w:val="0"/>
        <w:kinsoku/>
        <w:wordWrap/>
        <w:overflowPunct/>
        <w:topLinePunct w:val="0"/>
        <w:autoSpaceDE w:val="0"/>
        <w:autoSpaceDN w:val="0"/>
        <w:bidi w:val="0"/>
        <w:adjustRightInd w:val="0"/>
        <w:snapToGrid w:val="0"/>
        <w:spacing w:line="440" w:lineRule="exact"/>
        <w:ind w:firstLine="482" w:firstLineChars="200"/>
        <w:jc w:val="center"/>
        <w:textAlignment w:val="baseline"/>
        <w:rPr>
          <w:rFonts w:hint="eastAsia" w:ascii="宋体" w:hAnsi="宋体" w:eastAsia="宋体" w:cs="宋体"/>
          <w:b/>
          <w:bCs/>
          <w:color w:val="auto"/>
          <w:sz w:val="24"/>
          <w:szCs w:val="24"/>
          <w:highlight w:val="none"/>
          <w:lang w:eastAsia="zh-CN" w:bidi="ar"/>
        </w:rPr>
      </w:pPr>
      <w:r>
        <w:rPr>
          <w:rFonts w:hint="eastAsia" w:hAnsi="宋体" w:cs="宋体"/>
          <w:b/>
          <w:bCs/>
          <w:color w:val="auto"/>
          <w:sz w:val="24"/>
          <w:szCs w:val="24"/>
          <w:highlight w:val="none"/>
          <w:lang w:val="en-US" w:eastAsia="zh-CN" w:bidi="ar"/>
        </w:rPr>
        <w:t>9</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服务、商务要求响应表</w:t>
      </w:r>
    </w:p>
    <w:tbl>
      <w:tblPr>
        <w:tblStyle w:val="47"/>
        <w:tblW w:w="904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91"/>
        <w:gridCol w:w="3230"/>
        <w:gridCol w:w="1779"/>
      </w:tblGrid>
      <w:tr w14:paraId="4BE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8" w:type="dxa"/>
            <w:vAlign w:val="center"/>
          </w:tcPr>
          <w:p w14:paraId="36460620">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2791" w:type="dxa"/>
            <w:vAlign w:val="center"/>
          </w:tcPr>
          <w:p w14:paraId="5FE38BEE">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采购文件的服务要求</w:t>
            </w:r>
          </w:p>
        </w:tc>
        <w:tc>
          <w:tcPr>
            <w:tcW w:w="3230" w:type="dxa"/>
            <w:vAlign w:val="center"/>
          </w:tcPr>
          <w:p w14:paraId="4DA91A1C">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文件的服务承诺</w:t>
            </w:r>
          </w:p>
        </w:tc>
        <w:tc>
          <w:tcPr>
            <w:tcW w:w="1779" w:type="dxa"/>
            <w:vAlign w:val="center"/>
          </w:tcPr>
          <w:p w14:paraId="701A8724">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14:paraId="008F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1E299580">
            <w:pPr>
              <w:spacing w:line="300" w:lineRule="auto"/>
              <w:jc w:val="center"/>
              <w:rPr>
                <w:rFonts w:hint="eastAsia" w:ascii="宋体" w:hAnsi="宋体" w:eastAsia="宋体" w:cs="宋体"/>
                <w:color w:val="auto"/>
                <w:sz w:val="21"/>
                <w:szCs w:val="21"/>
                <w:highlight w:val="none"/>
              </w:rPr>
            </w:pPr>
          </w:p>
        </w:tc>
        <w:tc>
          <w:tcPr>
            <w:tcW w:w="2791" w:type="dxa"/>
            <w:vAlign w:val="center"/>
          </w:tcPr>
          <w:p w14:paraId="4D5A63DC">
            <w:pPr>
              <w:spacing w:line="300" w:lineRule="auto"/>
              <w:jc w:val="center"/>
              <w:rPr>
                <w:rFonts w:hint="eastAsia" w:ascii="宋体" w:hAnsi="宋体" w:eastAsia="宋体" w:cs="宋体"/>
                <w:color w:val="auto"/>
                <w:sz w:val="21"/>
                <w:szCs w:val="21"/>
                <w:highlight w:val="none"/>
              </w:rPr>
            </w:pPr>
          </w:p>
        </w:tc>
        <w:tc>
          <w:tcPr>
            <w:tcW w:w="3230" w:type="dxa"/>
            <w:vAlign w:val="center"/>
          </w:tcPr>
          <w:p w14:paraId="501FD401">
            <w:pPr>
              <w:spacing w:line="300" w:lineRule="auto"/>
              <w:jc w:val="center"/>
              <w:rPr>
                <w:rFonts w:hint="eastAsia" w:ascii="宋体" w:hAnsi="宋体" w:eastAsia="宋体" w:cs="宋体"/>
                <w:color w:val="auto"/>
                <w:sz w:val="21"/>
                <w:szCs w:val="21"/>
                <w:highlight w:val="none"/>
              </w:rPr>
            </w:pPr>
          </w:p>
        </w:tc>
        <w:tc>
          <w:tcPr>
            <w:tcW w:w="1779" w:type="dxa"/>
            <w:vAlign w:val="center"/>
          </w:tcPr>
          <w:p w14:paraId="023CFDBC">
            <w:pPr>
              <w:spacing w:line="300" w:lineRule="auto"/>
              <w:jc w:val="center"/>
              <w:rPr>
                <w:rFonts w:hint="eastAsia" w:ascii="宋体" w:hAnsi="宋体" w:eastAsia="宋体" w:cs="宋体"/>
                <w:color w:val="auto"/>
                <w:sz w:val="21"/>
                <w:szCs w:val="21"/>
                <w:highlight w:val="none"/>
              </w:rPr>
            </w:pPr>
          </w:p>
        </w:tc>
      </w:tr>
      <w:tr w14:paraId="5E20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2F838C15">
            <w:pPr>
              <w:spacing w:line="300" w:lineRule="auto"/>
              <w:jc w:val="center"/>
              <w:rPr>
                <w:rFonts w:hint="eastAsia" w:ascii="宋体" w:hAnsi="宋体" w:eastAsia="宋体" w:cs="宋体"/>
                <w:color w:val="auto"/>
                <w:sz w:val="21"/>
                <w:szCs w:val="21"/>
                <w:highlight w:val="none"/>
              </w:rPr>
            </w:pPr>
          </w:p>
        </w:tc>
        <w:tc>
          <w:tcPr>
            <w:tcW w:w="2791" w:type="dxa"/>
            <w:vAlign w:val="center"/>
          </w:tcPr>
          <w:p w14:paraId="3E51FE22">
            <w:pPr>
              <w:spacing w:line="300" w:lineRule="auto"/>
              <w:jc w:val="center"/>
              <w:rPr>
                <w:rFonts w:hint="eastAsia" w:ascii="宋体" w:hAnsi="宋体" w:eastAsia="宋体" w:cs="宋体"/>
                <w:color w:val="auto"/>
                <w:sz w:val="21"/>
                <w:szCs w:val="21"/>
                <w:highlight w:val="none"/>
              </w:rPr>
            </w:pPr>
          </w:p>
        </w:tc>
        <w:tc>
          <w:tcPr>
            <w:tcW w:w="3230" w:type="dxa"/>
            <w:vAlign w:val="center"/>
          </w:tcPr>
          <w:p w14:paraId="4D0DAFD1">
            <w:pPr>
              <w:spacing w:line="300" w:lineRule="auto"/>
              <w:jc w:val="center"/>
              <w:rPr>
                <w:rFonts w:hint="eastAsia" w:ascii="宋体" w:hAnsi="宋体" w:eastAsia="宋体" w:cs="宋体"/>
                <w:color w:val="auto"/>
                <w:sz w:val="21"/>
                <w:szCs w:val="21"/>
                <w:highlight w:val="none"/>
              </w:rPr>
            </w:pPr>
          </w:p>
        </w:tc>
        <w:tc>
          <w:tcPr>
            <w:tcW w:w="1779" w:type="dxa"/>
            <w:vAlign w:val="center"/>
          </w:tcPr>
          <w:p w14:paraId="06972445">
            <w:pPr>
              <w:spacing w:line="300" w:lineRule="auto"/>
              <w:jc w:val="center"/>
              <w:rPr>
                <w:rFonts w:hint="eastAsia" w:ascii="宋体" w:hAnsi="宋体" w:eastAsia="宋体" w:cs="宋体"/>
                <w:color w:val="auto"/>
                <w:sz w:val="21"/>
                <w:szCs w:val="21"/>
                <w:highlight w:val="none"/>
              </w:rPr>
            </w:pPr>
          </w:p>
        </w:tc>
      </w:tr>
      <w:tr w14:paraId="5D37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61876849">
            <w:pPr>
              <w:spacing w:line="300" w:lineRule="auto"/>
              <w:jc w:val="center"/>
              <w:rPr>
                <w:rFonts w:hint="eastAsia" w:ascii="宋体" w:hAnsi="宋体" w:eastAsia="宋体" w:cs="宋体"/>
                <w:color w:val="auto"/>
                <w:sz w:val="21"/>
                <w:szCs w:val="21"/>
                <w:highlight w:val="none"/>
              </w:rPr>
            </w:pPr>
          </w:p>
        </w:tc>
        <w:tc>
          <w:tcPr>
            <w:tcW w:w="2791" w:type="dxa"/>
            <w:vAlign w:val="center"/>
          </w:tcPr>
          <w:p w14:paraId="3A414066">
            <w:pPr>
              <w:spacing w:line="300" w:lineRule="auto"/>
              <w:jc w:val="center"/>
              <w:rPr>
                <w:rFonts w:hint="eastAsia" w:ascii="宋体" w:hAnsi="宋体" w:eastAsia="宋体" w:cs="宋体"/>
                <w:color w:val="auto"/>
                <w:sz w:val="21"/>
                <w:szCs w:val="21"/>
                <w:highlight w:val="none"/>
              </w:rPr>
            </w:pPr>
          </w:p>
        </w:tc>
        <w:tc>
          <w:tcPr>
            <w:tcW w:w="3230" w:type="dxa"/>
            <w:vAlign w:val="center"/>
          </w:tcPr>
          <w:p w14:paraId="41688F33">
            <w:pPr>
              <w:spacing w:line="300" w:lineRule="auto"/>
              <w:jc w:val="center"/>
              <w:rPr>
                <w:rFonts w:hint="eastAsia" w:ascii="宋体" w:hAnsi="宋体" w:eastAsia="宋体" w:cs="宋体"/>
                <w:color w:val="auto"/>
                <w:sz w:val="21"/>
                <w:szCs w:val="21"/>
                <w:highlight w:val="none"/>
              </w:rPr>
            </w:pPr>
          </w:p>
        </w:tc>
        <w:tc>
          <w:tcPr>
            <w:tcW w:w="1779" w:type="dxa"/>
            <w:vAlign w:val="center"/>
          </w:tcPr>
          <w:p w14:paraId="04AA6BF3">
            <w:pPr>
              <w:spacing w:line="300" w:lineRule="auto"/>
              <w:jc w:val="center"/>
              <w:rPr>
                <w:rFonts w:hint="eastAsia" w:ascii="宋体" w:hAnsi="宋体" w:eastAsia="宋体" w:cs="宋体"/>
                <w:color w:val="auto"/>
                <w:sz w:val="21"/>
                <w:szCs w:val="21"/>
                <w:highlight w:val="none"/>
              </w:rPr>
            </w:pPr>
          </w:p>
        </w:tc>
      </w:tr>
      <w:tr w14:paraId="2596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7506AD41">
            <w:pPr>
              <w:spacing w:line="300" w:lineRule="auto"/>
              <w:jc w:val="center"/>
              <w:rPr>
                <w:rFonts w:hint="eastAsia" w:ascii="宋体" w:hAnsi="宋体" w:eastAsia="宋体" w:cs="宋体"/>
                <w:color w:val="auto"/>
                <w:sz w:val="21"/>
                <w:szCs w:val="21"/>
                <w:highlight w:val="none"/>
              </w:rPr>
            </w:pPr>
          </w:p>
        </w:tc>
        <w:tc>
          <w:tcPr>
            <w:tcW w:w="2791" w:type="dxa"/>
            <w:vAlign w:val="center"/>
          </w:tcPr>
          <w:p w14:paraId="5AB6ACF0">
            <w:pPr>
              <w:spacing w:line="300" w:lineRule="auto"/>
              <w:jc w:val="center"/>
              <w:rPr>
                <w:rFonts w:hint="eastAsia" w:ascii="宋体" w:hAnsi="宋体" w:eastAsia="宋体" w:cs="宋体"/>
                <w:color w:val="auto"/>
                <w:sz w:val="21"/>
                <w:szCs w:val="21"/>
                <w:highlight w:val="none"/>
              </w:rPr>
            </w:pPr>
          </w:p>
        </w:tc>
        <w:tc>
          <w:tcPr>
            <w:tcW w:w="3230" w:type="dxa"/>
            <w:vAlign w:val="center"/>
          </w:tcPr>
          <w:p w14:paraId="7E94D899">
            <w:pPr>
              <w:spacing w:line="300" w:lineRule="auto"/>
              <w:jc w:val="center"/>
              <w:rPr>
                <w:rFonts w:hint="eastAsia" w:ascii="宋体" w:hAnsi="宋体" w:eastAsia="宋体" w:cs="宋体"/>
                <w:color w:val="auto"/>
                <w:sz w:val="21"/>
                <w:szCs w:val="21"/>
                <w:highlight w:val="none"/>
              </w:rPr>
            </w:pPr>
          </w:p>
        </w:tc>
        <w:tc>
          <w:tcPr>
            <w:tcW w:w="1779" w:type="dxa"/>
            <w:vAlign w:val="center"/>
          </w:tcPr>
          <w:p w14:paraId="207E9F3C">
            <w:pPr>
              <w:spacing w:line="300" w:lineRule="auto"/>
              <w:jc w:val="center"/>
              <w:rPr>
                <w:rFonts w:hint="eastAsia" w:ascii="宋体" w:hAnsi="宋体" w:eastAsia="宋体" w:cs="宋体"/>
                <w:color w:val="auto"/>
                <w:sz w:val="21"/>
                <w:szCs w:val="21"/>
                <w:highlight w:val="none"/>
              </w:rPr>
            </w:pPr>
          </w:p>
        </w:tc>
      </w:tr>
      <w:tr w14:paraId="1AD1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0634AF10">
            <w:pPr>
              <w:spacing w:line="300" w:lineRule="auto"/>
              <w:jc w:val="center"/>
              <w:rPr>
                <w:rFonts w:hint="eastAsia" w:ascii="宋体" w:hAnsi="宋体" w:eastAsia="宋体" w:cs="宋体"/>
                <w:color w:val="auto"/>
                <w:sz w:val="21"/>
                <w:szCs w:val="21"/>
                <w:highlight w:val="none"/>
              </w:rPr>
            </w:pPr>
          </w:p>
        </w:tc>
        <w:tc>
          <w:tcPr>
            <w:tcW w:w="2791" w:type="dxa"/>
            <w:vAlign w:val="center"/>
          </w:tcPr>
          <w:p w14:paraId="47849976">
            <w:pPr>
              <w:spacing w:line="300" w:lineRule="auto"/>
              <w:jc w:val="center"/>
              <w:rPr>
                <w:rFonts w:hint="eastAsia" w:ascii="宋体" w:hAnsi="宋体" w:eastAsia="宋体" w:cs="宋体"/>
                <w:color w:val="auto"/>
                <w:sz w:val="21"/>
                <w:szCs w:val="21"/>
                <w:highlight w:val="none"/>
              </w:rPr>
            </w:pPr>
          </w:p>
        </w:tc>
        <w:tc>
          <w:tcPr>
            <w:tcW w:w="3230" w:type="dxa"/>
            <w:vAlign w:val="center"/>
          </w:tcPr>
          <w:p w14:paraId="1F91D215">
            <w:pPr>
              <w:spacing w:line="300" w:lineRule="auto"/>
              <w:jc w:val="center"/>
              <w:rPr>
                <w:rFonts w:hint="eastAsia" w:ascii="宋体" w:hAnsi="宋体" w:eastAsia="宋体" w:cs="宋体"/>
                <w:color w:val="auto"/>
                <w:sz w:val="21"/>
                <w:szCs w:val="21"/>
                <w:highlight w:val="none"/>
              </w:rPr>
            </w:pPr>
          </w:p>
        </w:tc>
        <w:tc>
          <w:tcPr>
            <w:tcW w:w="1779" w:type="dxa"/>
            <w:vAlign w:val="center"/>
          </w:tcPr>
          <w:p w14:paraId="022197C8">
            <w:pPr>
              <w:spacing w:line="300" w:lineRule="auto"/>
              <w:jc w:val="center"/>
              <w:rPr>
                <w:rFonts w:hint="eastAsia" w:ascii="宋体" w:hAnsi="宋体" w:eastAsia="宋体" w:cs="宋体"/>
                <w:color w:val="auto"/>
                <w:sz w:val="21"/>
                <w:szCs w:val="21"/>
                <w:highlight w:val="none"/>
              </w:rPr>
            </w:pPr>
          </w:p>
        </w:tc>
      </w:tr>
      <w:tr w14:paraId="6DFD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2A6BC802">
            <w:pPr>
              <w:spacing w:line="300" w:lineRule="auto"/>
              <w:jc w:val="center"/>
              <w:rPr>
                <w:rFonts w:hint="eastAsia" w:ascii="宋体" w:hAnsi="宋体" w:eastAsia="宋体" w:cs="宋体"/>
                <w:color w:val="auto"/>
                <w:sz w:val="21"/>
                <w:szCs w:val="21"/>
                <w:highlight w:val="none"/>
              </w:rPr>
            </w:pPr>
          </w:p>
        </w:tc>
        <w:tc>
          <w:tcPr>
            <w:tcW w:w="2791" w:type="dxa"/>
            <w:vAlign w:val="center"/>
          </w:tcPr>
          <w:p w14:paraId="7F2AC0CB">
            <w:pPr>
              <w:spacing w:line="300" w:lineRule="auto"/>
              <w:jc w:val="center"/>
              <w:rPr>
                <w:rFonts w:hint="eastAsia" w:ascii="宋体" w:hAnsi="宋体" w:eastAsia="宋体" w:cs="宋体"/>
                <w:color w:val="auto"/>
                <w:sz w:val="21"/>
                <w:szCs w:val="21"/>
                <w:highlight w:val="none"/>
              </w:rPr>
            </w:pPr>
          </w:p>
        </w:tc>
        <w:tc>
          <w:tcPr>
            <w:tcW w:w="3230" w:type="dxa"/>
            <w:vAlign w:val="center"/>
          </w:tcPr>
          <w:p w14:paraId="1B8636A5">
            <w:pPr>
              <w:spacing w:line="300" w:lineRule="auto"/>
              <w:jc w:val="center"/>
              <w:rPr>
                <w:rFonts w:hint="eastAsia" w:ascii="宋体" w:hAnsi="宋体" w:eastAsia="宋体" w:cs="宋体"/>
                <w:color w:val="auto"/>
                <w:sz w:val="21"/>
                <w:szCs w:val="21"/>
                <w:highlight w:val="none"/>
              </w:rPr>
            </w:pPr>
          </w:p>
        </w:tc>
        <w:tc>
          <w:tcPr>
            <w:tcW w:w="1779" w:type="dxa"/>
            <w:vAlign w:val="center"/>
          </w:tcPr>
          <w:p w14:paraId="5F29CD62">
            <w:pPr>
              <w:spacing w:line="300" w:lineRule="auto"/>
              <w:jc w:val="center"/>
              <w:rPr>
                <w:rFonts w:hint="eastAsia" w:ascii="宋体" w:hAnsi="宋体" w:eastAsia="宋体" w:cs="宋体"/>
                <w:color w:val="auto"/>
                <w:sz w:val="21"/>
                <w:szCs w:val="21"/>
                <w:highlight w:val="none"/>
              </w:rPr>
            </w:pPr>
          </w:p>
        </w:tc>
      </w:tr>
      <w:tr w14:paraId="5135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368D8B9F">
            <w:pPr>
              <w:spacing w:line="300" w:lineRule="auto"/>
              <w:jc w:val="center"/>
              <w:rPr>
                <w:rFonts w:hint="eastAsia" w:ascii="宋体" w:hAnsi="宋体" w:eastAsia="宋体" w:cs="宋体"/>
                <w:color w:val="auto"/>
                <w:sz w:val="21"/>
                <w:szCs w:val="21"/>
                <w:highlight w:val="none"/>
              </w:rPr>
            </w:pPr>
          </w:p>
        </w:tc>
        <w:tc>
          <w:tcPr>
            <w:tcW w:w="2791" w:type="dxa"/>
            <w:vAlign w:val="center"/>
          </w:tcPr>
          <w:p w14:paraId="720F31F7">
            <w:pPr>
              <w:spacing w:line="300" w:lineRule="auto"/>
              <w:jc w:val="center"/>
              <w:rPr>
                <w:rFonts w:hint="eastAsia" w:ascii="宋体" w:hAnsi="宋体" w:eastAsia="宋体" w:cs="宋体"/>
                <w:color w:val="auto"/>
                <w:sz w:val="21"/>
                <w:szCs w:val="21"/>
                <w:highlight w:val="none"/>
              </w:rPr>
            </w:pPr>
          </w:p>
        </w:tc>
        <w:tc>
          <w:tcPr>
            <w:tcW w:w="3230" w:type="dxa"/>
            <w:vAlign w:val="center"/>
          </w:tcPr>
          <w:p w14:paraId="5BBF0EDB">
            <w:pPr>
              <w:spacing w:line="300" w:lineRule="auto"/>
              <w:jc w:val="center"/>
              <w:rPr>
                <w:rFonts w:hint="eastAsia" w:ascii="宋体" w:hAnsi="宋体" w:eastAsia="宋体" w:cs="宋体"/>
                <w:color w:val="auto"/>
                <w:sz w:val="21"/>
                <w:szCs w:val="21"/>
                <w:highlight w:val="none"/>
              </w:rPr>
            </w:pPr>
          </w:p>
        </w:tc>
        <w:tc>
          <w:tcPr>
            <w:tcW w:w="1779" w:type="dxa"/>
            <w:vAlign w:val="center"/>
          </w:tcPr>
          <w:p w14:paraId="0AA5501F">
            <w:pPr>
              <w:spacing w:line="300" w:lineRule="auto"/>
              <w:jc w:val="center"/>
              <w:rPr>
                <w:rFonts w:hint="eastAsia" w:ascii="宋体" w:hAnsi="宋体" w:eastAsia="宋体" w:cs="宋体"/>
                <w:color w:val="auto"/>
                <w:sz w:val="21"/>
                <w:szCs w:val="21"/>
                <w:highlight w:val="none"/>
              </w:rPr>
            </w:pPr>
          </w:p>
        </w:tc>
      </w:tr>
      <w:tr w14:paraId="5CE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3385AE6D">
            <w:pPr>
              <w:spacing w:line="300" w:lineRule="auto"/>
              <w:jc w:val="center"/>
              <w:rPr>
                <w:rFonts w:hint="eastAsia" w:ascii="宋体" w:hAnsi="宋体" w:eastAsia="宋体" w:cs="宋体"/>
                <w:color w:val="auto"/>
                <w:sz w:val="21"/>
                <w:szCs w:val="21"/>
                <w:highlight w:val="none"/>
              </w:rPr>
            </w:pPr>
          </w:p>
        </w:tc>
        <w:tc>
          <w:tcPr>
            <w:tcW w:w="2791" w:type="dxa"/>
            <w:vAlign w:val="center"/>
          </w:tcPr>
          <w:p w14:paraId="1E4CDAA6">
            <w:pPr>
              <w:spacing w:line="300" w:lineRule="auto"/>
              <w:jc w:val="center"/>
              <w:rPr>
                <w:rFonts w:hint="eastAsia" w:ascii="宋体" w:hAnsi="宋体" w:eastAsia="宋体" w:cs="宋体"/>
                <w:color w:val="auto"/>
                <w:sz w:val="21"/>
                <w:szCs w:val="21"/>
                <w:highlight w:val="none"/>
              </w:rPr>
            </w:pPr>
          </w:p>
        </w:tc>
        <w:tc>
          <w:tcPr>
            <w:tcW w:w="3230" w:type="dxa"/>
            <w:vAlign w:val="center"/>
          </w:tcPr>
          <w:p w14:paraId="420E7912">
            <w:pPr>
              <w:spacing w:line="300" w:lineRule="auto"/>
              <w:jc w:val="center"/>
              <w:rPr>
                <w:rFonts w:hint="eastAsia" w:ascii="宋体" w:hAnsi="宋体" w:eastAsia="宋体" w:cs="宋体"/>
                <w:color w:val="auto"/>
                <w:sz w:val="21"/>
                <w:szCs w:val="21"/>
                <w:highlight w:val="none"/>
              </w:rPr>
            </w:pPr>
          </w:p>
        </w:tc>
        <w:tc>
          <w:tcPr>
            <w:tcW w:w="1779" w:type="dxa"/>
            <w:vAlign w:val="center"/>
          </w:tcPr>
          <w:p w14:paraId="69B189DD">
            <w:pPr>
              <w:spacing w:line="300" w:lineRule="auto"/>
              <w:jc w:val="center"/>
              <w:rPr>
                <w:rFonts w:hint="eastAsia" w:ascii="宋体" w:hAnsi="宋体" w:eastAsia="宋体" w:cs="宋体"/>
                <w:color w:val="auto"/>
                <w:sz w:val="21"/>
                <w:szCs w:val="21"/>
                <w:highlight w:val="none"/>
              </w:rPr>
            </w:pPr>
          </w:p>
        </w:tc>
      </w:tr>
      <w:tr w14:paraId="5189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6C6496C7">
            <w:pPr>
              <w:spacing w:line="300" w:lineRule="auto"/>
              <w:jc w:val="center"/>
              <w:rPr>
                <w:rFonts w:hint="eastAsia" w:ascii="宋体" w:hAnsi="宋体" w:eastAsia="宋体" w:cs="宋体"/>
                <w:color w:val="auto"/>
                <w:sz w:val="21"/>
                <w:szCs w:val="21"/>
                <w:highlight w:val="none"/>
              </w:rPr>
            </w:pPr>
          </w:p>
        </w:tc>
        <w:tc>
          <w:tcPr>
            <w:tcW w:w="2791" w:type="dxa"/>
            <w:vAlign w:val="center"/>
          </w:tcPr>
          <w:p w14:paraId="1A987EDC">
            <w:pPr>
              <w:spacing w:line="300" w:lineRule="auto"/>
              <w:jc w:val="center"/>
              <w:rPr>
                <w:rFonts w:hint="eastAsia" w:ascii="宋体" w:hAnsi="宋体" w:eastAsia="宋体" w:cs="宋体"/>
                <w:color w:val="auto"/>
                <w:sz w:val="21"/>
                <w:szCs w:val="21"/>
                <w:highlight w:val="none"/>
              </w:rPr>
            </w:pPr>
          </w:p>
        </w:tc>
        <w:tc>
          <w:tcPr>
            <w:tcW w:w="3230" w:type="dxa"/>
            <w:vAlign w:val="center"/>
          </w:tcPr>
          <w:p w14:paraId="43E99131">
            <w:pPr>
              <w:spacing w:line="300" w:lineRule="auto"/>
              <w:jc w:val="center"/>
              <w:rPr>
                <w:rFonts w:hint="eastAsia" w:ascii="宋体" w:hAnsi="宋体" w:eastAsia="宋体" w:cs="宋体"/>
                <w:color w:val="auto"/>
                <w:sz w:val="21"/>
                <w:szCs w:val="21"/>
                <w:highlight w:val="none"/>
              </w:rPr>
            </w:pPr>
          </w:p>
        </w:tc>
        <w:tc>
          <w:tcPr>
            <w:tcW w:w="1779" w:type="dxa"/>
            <w:vAlign w:val="center"/>
          </w:tcPr>
          <w:p w14:paraId="17010BDD">
            <w:pPr>
              <w:spacing w:line="300" w:lineRule="auto"/>
              <w:jc w:val="center"/>
              <w:rPr>
                <w:rFonts w:hint="eastAsia" w:ascii="宋体" w:hAnsi="宋体" w:eastAsia="宋体" w:cs="宋体"/>
                <w:color w:val="auto"/>
                <w:sz w:val="21"/>
                <w:szCs w:val="21"/>
                <w:highlight w:val="none"/>
              </w:rPr>
            </w:pPr>
          </w:p>
        </w:tc>
      </w:tr>
      <w:tr w14:paraId="031F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vAlign w:val="center"/>
          </w:tcPr>
          <w:p w14:paraId="0D5581EE">
            <w:pPr>
              <w:spacing w:line="300" w:lineRule="auto"/>
              <w:jc w:val="center"/>
              <w:rPr>
                <w:rFonts w:hint="eastAsia" w:ascii="宋体" w:hAnsi="宋体" w:eastAsia="宋体" w:cs="宋体"/>
                <w:color w:val="auto"/>
                <w:sz w:val="21"/>
                <w:szCs w:val="21"/>
                <w:highlight w:val="none"/>
              </w:rPr>
            </w:pPr>
          </w:p>
        </w:tc>
        <w:tc>
          <w:tcPr>
            <w:tcW w:w="2791" w:type="dxa"/>
            <w:vAlign w:val="center"/>
          </w:tcPr>
          <w:p w14:paraId="5E34B86F">
            <w:pPr>
              <w:spacing w:line="300" w:lineRule="auto"/>
              <w:jc w:val="center"/>
              <w:rPr>
                <w:rFonts w:hint="eastAsia" w:ascii="宋体" w:hAnsi="宋体" w:eastAsia="宋体" w:cs="宋体"/>
                <w:color w:val="auto"/>
                <w:sz w:val="21"/>
                <w:szCs w:val="21"/>
                <w:highlight w:val="none"/>
              </w:rPr>
            </w:pPr>
          </w:p>
        </w:tc>
        <w:tc>
          <w:tcPr>
            <w:tcW w:w="3230" w:type="dxa"/>
            <w:vAlign w:val="center"/>
          </w:tcPr>
          <w:p w14:paraId="14CEEE44">
            <w:pPr>
              <w:spacing w:line="300" w:lineRule="auto"/>
              <w:jc w:val="center"/>
              <w:rPr>
                <w:rFonts w:hint="eastAsia" w:ascii="宋体" w:hAnsi="宋体" w:eastAsia="宋体" w:cs="宋体"/>
                <w:color w:val="auto"/>
                <w:sz w:val="21"/>
                <w:szCs w:val="21"/>
                <w:highlight w:val="none"/>
              </w:rPr>
            </w:pPr>
          </w:p>
        </w:tc>
        <w:tc>
          <w:tcPr>
            <w:tcW w:w="1779" w:type="dxa"/>
            <w:vAlign w:val="center"/>
          </w:tcPr>
          <w:p w14:paraId="07760918">
            <w:pPr>
              <w:spacing w:line="300" w:lineRule="auto"/>
              <w:jc w:val="center"/>
              <w:rPr>
                <w:rFonts w:hint="eastAsia" w:ascii="宋体" w:hAnsi="宋体" w:eastAsia="宋体" w:cs="宋体"/>
                <w:color w:val="auto"/>
                <w:sz w:val="21"/>
                <w:szCs w:val="21"/>
                <w:highlight w:val="none"/>
              </w:rPr>
            </w:pPr>
          </w:p>
        </w:tc>
      </w:tr>
    </w:tbl>
    <w:p w14:paraId="374C275C">
      <w:pPr>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注：行数不够可自行添加，有偏离请在技术偏离表中详细说明。</w:t>
      </w:r>
    </w:p>
    <w:p w14:paraId="070C433A">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0B5FEBDA">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14:paraId="4280DE2E">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189C09C">
      <w:pPr>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6A2151B">
      <w:pPr>
        <w:keepNext w:val="0"/>
        <w:keepLines w:val="0"/>
        <w:pageBreakBefore w:val="0"/>
        <w:kinsoku/>
        <w:overflowPunct/>
        <w:bidi w:val="0"/>
        <w:snapToGrid w:val="0"/>
        <w:spacing w:line="500" w:lineRule="exact"/>
        <w:ind w:firstLine="422" w:firstLineChars="200"/>
        <w:outlineLvl w:val="9"/>
        <w:rPr>
          <w:rFonts w:hint="eastAsia" w:ascii="宋体" w:hAnsi="宋体" w:eastAsia="宋体" w:cs="宋体"/>
          <w:b/>
          <w:bCs/>
          <w:color w:val="auto"/>
          <w:sz w:val="21"/>
          <w:szCs w:val="21"/>
          <w:highlight w:val="none"/>
          <w:lang w:val="en-US" w:eastAsia="zh-CN"/>
        </w:rPr>
      </w:pPr>
    </w:p>
    <w:p w14:paraId="751BE0B9">
      <w:pPr>
        <w:keepNext w:val="0"/>
        <w:keepLines w:val="0"/>
        <w:pageBreakBefore w:val="0"/>
        <w:kinsoku/>
        <w:overflowPunct/>
        <w:bidi w:val="0"/>
        <w:snapToGrid w:val="0"/>
        <w:spacing w:line="500" w:lineRule="exact"/>
        <w:ind w:firstLine="422" w:firstLineChars="200"/>
        <w:outlineLvl w:val="9"/>
        <w:rPr>
          <w:rFonts w:hint="eastAsia" w:ascii="宋体" w:hAnsi="宋体" w:eastAsia="宋体" w:cs="宋体"/>
          <w:b/>
          <w:bCs/>
          <w:color w:val="auto"/>
          <w:sz w:val="21"/>
          <w:szCs w:val="21"/>
          <w:highlight w:val="none"/>
          <w:lang w:val="en-US" w:eastAsia="zh-CN"/>
        </w:rPr>
      </w:pPr>
    </w:p>
    <w:p w14:paraId="0C8C10EC">
      <w:pPr>
        <w:pStyle w:val="2"/>
        <w:rPr>
          <w:rFonts w:hint="eastAsia" w:ascii="宋体" w:hAnsi="宋体" w:eastAsia="宋体" w:cs="宋体"/>
          <w:b/>
          <w:bCs/>
          <w:color w:val="auto"/>
          <w:sz w:val="21"/>
          <w:szCs w:val="21"/>
          <w:highlight w:val="none"/>
          <w:lang w:val="en-US" w:eastAsia="zh-CN"/>
        </w:rPr>
      </w:pPr>
    </w:p>
    <w:p w14:paraId="66CAF597">
      <w:pPr>
        <w:pStyle w:val="2"/>
        <w:rPr>
          <w:rFonts w:hint="eastAsia" w:ascii="宋体" w:hAnsi="宋体" w:eastAsia="宋体" w:cs="宋体"/>
          <w:b/>
          <w:bCs/>
          <w:color w:val="auto"/>
          <w:sz w:val="21"/>
          <w:szCs w:val="21"/>
          <w:highlight w:val="none"/>
          <w:lang w:val="en-US" w:eastAsia="zh-CN"/>
        </w:rPr>
      </w:pPr>
    </w:p>
    <w:p w14:paraId="44DB76AB">
      <w:pPr>
        <w:pStyle w:val="2"/>
        <w:rPr>
          <w:rFonts w:hint="eastAsia" w:ascii="宋体" w:hAnsi="宋体" w:eastAsia="宋体" w:cs="宋体"/>
          <w:b/>
          <w:bCs/>
          <w:color w:val="auto"/>
          <w:sz w:val="21"/>
          <w:szCs w:val="21"/>
          <w:highlight w:val="none"/>
          <w:lang w:val="en-US" w:eastAsia="zh-CN"/>
        </w:rPr>
      </w:pPr>
    </w:p>
    <w:p w14:paraId="0E767A22">
      <w:pPr>
        <w:pStyle w:val="2"/>
        <w:rPr>
          <w:rFonts w:hint="eastAsia" w:ascii="宋体" w:hAnsi="宋体" w:eastAsia="宋体" w:cs="宋体"/>
          <w:b/>
          <w:bCs/>
          <w:color w:val="auto"/>
          <w:sz w:val="21"/>
          <w:szCs w:val="21"/>
          <w:highlight w:val="none"/>
          <w:lang w:val="en-US" w:eastAsia="zh-CN"/>
        </w:rPr>
      </w:pPr>
    </w:p>
    <w:p w14:paraId="41A39034">
      <w:pPr>
        <w:pStyle w:val="2"/>
        <w:rPr>
          <w:rFonts w:hint="eastAsia" w:ascii="宋体" w:hAnsi="宋体" w:eastAsia="宋体" w:cs="宋体"/>
          <w:b/>
          <w:bCs/>
          <w:color w:val="auto"/>
          <w:sz w:val="21"/>
          <w:szCs w:val="21"/>
          <w:highlight w:val="none"/>
          <w:lang w:val="en-US" w:eastAsia="zh-CN"/>
        </w:rPr>
      </w:pPr>
    </w:p>
    <w:p w14:paraId="0FCE0523">
      <w:pPr>
        <w:pStyle w:val="2"/>
        <w:rPr>
          <w:rFonts w:hint="eastAsia" w:ascii="宋体" w:hAnsi="宋体" w:eastAsia="宋体" w:cs="宋体"/>
          <w:b/>
          <w:bCs/>
          <w:color w:val="auto"/>
          <w:sz w:val="21"/>
          <w:szCs w:val="21"/>
          <w:highlight w:val="none"/>
          <w:lang w:val="en-US" w:eastAsia="zh-CN"/>
        </w:rPr>
      </w:pPr>
    </w:p>
    <w:p w14:paraId="4B21EE01">
      <w:pPr>
        <w:pStyle w:val="2"/>
        <w:rPr>
          <w:rFonts w:hint="eastAsia" w:ascii="宋体" w:hAnsi="宋体" w:eastAsia="宋体" w:cs="宋体"/>
          <w:b/>
          <w:bCs/>
          <w:color w:val="auto"/>
          <w:sz w:val="21"/>
          <w:szCs w:val="21"/>
          <w:highlight w:val="none"/>
          <w:lang w:val="en-US" w:eastAsia="zh-CN"/>
        </w:rPr>
      </w:pPr>
    </w:p>
    <w:p w14:paraId="7E63F317">
      <w:pPr>
        <w:pStyle w:val="2"/>
        <w:rPr>
          <w:rFonts w:hint="eastAsia" w:ascii="宋体" w:hAnsi="宋体" w:eastAsia="宋体" w:cs="宋体"/>
          <w:b/>
          <w:bCs/>
          <w:color w:val="auto"/>
          <w:sz w:val="21"/>
          <w:szCs w:val="21"/>
          <w:highlight w:val="none"/>
          <w:lang w:val="en-US" w:eastAsia="zh-CN"/>
        </w:rPr>
      </w:pPr>
    </w:p>
    <w:p w14:paraId="4665CB42">
      <w:pPr>
        <w:pStyle w:val="2"/>
        <w:rPr>
          <w:rFonts w:hint="eastAsia" w:ascii="宋体" w:hAnsi="宋体" w:eastAsia="宋体" w:cs="宋体"/>
          <w:b/>
          <w:bCs/>
          <w:color w:val="auto"/>
          <w:sz w:val="21"/>
          <w:szCs w:val="21"/>
          <w:highlight w:val="none"/>
          <w:lang w:val="en-US" w:eastAsia="zh-CN"/>
        </w:rPr>
      </w:pPr>
    </w:p>
    <w:p w14:paraId="4B82B082">
      <w:pPr>
        <w:widowControl/>
        <w:autoSpaceDE/>
        <w:autoSpaceDN/>
        <w:adjustRightInd/>
        <w:textAlignment w:val="auto"/>
        <w:rPr>
          <w:rFonts w:hint="eastAsia" w:ascii="宋体" w:hAnsi="宋体" w:eastAsia="宋体" w:cs="宋体"/>
          <w:color w:val="auto"/>
          <w:sz w:val="21"/>
          <w:szCs w:val="21"/>
          <w:highlight w:val="none"/>
        </w:rPr>
      </w:pPr>
    </w:p>
    <w:p w14:paraId="7CC60C98">
      <w:pPr>
        <w:snapToGrid w:val="0"/>
        <w:spacing w:line="500" w:lineRule="exact"/>
        <w:ind w:firstLine="562" w:firstLineChars="200"/>
        <w:rPr>
          <w:rFonts w:hint="eastAsia" w:hAnsi="宋体" w:cs="宋体"/>
          <w:b/>
          <w:bCs/>
          <w:color w:val="auto"/>
          <w:sz w:val="28"/>
          <w:szCs w:val="28"/>
          <w:highlight w:val="none"/>
          <w:lang w:val="en-US" w:eastAsia="zh-CN"/>
        </w:rPr>
      </w:pPr>
    </w:p>
    <w:p w14:paraId="18CFA664">
      <w:pPr>
        <w:snapToGrid w:val="0"/>
        <w:spacing w:line="500" w:lineRule="exact"/>
        <w:ind w:firstLine="482" w:firstLineChars="20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评分规则中涉及的所需提供的资料</w:t>
      </w:r>
    </w:p>
    <w:p w14:paraId="0BFC1102">
      <w:pPr>
        <w:autoSpaceDE/>
        <w:autoSpaceDN/>
        <w:adjustRightInd/>
        <w:spacing w:line="500" w:lineRule="exact"/>
        <w:ind w:firstLine="482" w:firstLineChars="200"/>
        <w:rPr>
          <w:rFonts w:hint="eastAsia" w:hAnsi="宋体" w:cs="宋体"/>
          <w:b/>
          <w:bCs/>
          <w:color w:val="auto"/>
          <w:sz w:val="24"/>
          <w:szCs w:val="24"/>
          <w:highlight w:val="none"/>
          <w:lang w:val="en-US" w:eastAsia="zh-CN"/>
        </w:rPr>
      </w:pPr>
    </w:p>
    <w:p w14:paraId="3348F716">
      <w:pPr>
        <w:pStyle w:val="3"/>
        <w:ind w:firstLine="241" w:firstLineChars="100"/>
        <w:rPr>
          <w:rFonts w:hint="eastAsia" w:ascii="宋体" w:hAnsi="宋体" w:cs="宋体"/>
          <w:b/>
          <w:bCs/>
          <w:color w:val="auto"/>
          <w:kern w:val="0"/>
          <w:sz w:val="24"/>
          <w:szCs w:val="24"/>
          <w:highlight w:val="none"/>
          <w:lang w:val="en-US" w:eastAsia="zh-CN"/>
        </w:rPr>
      </w:pPr>
    </w:p>
    <w:p w14:paraId="3821F6D8">
      <w:pPr>
        <w:pStyle w:val="3"/>
        <w:ind w:firstLine="241" w:firstLineChars="100"/>
        <w:rPr>
          <w:rFonts w:hint="eastAsia" w:ascii="宋体" w:hAnsi="宋体" w:cs="宋体"/>
          <w:b/>
          <w:bCs/>
          <w:color w:val="auto"/>
          <w:kern w:val="0"/>
          <w:sz w:val="24"/>
          <w:szCs w:val="24"/>
          <w:highlight w:val="none"/>
          <w:lang w:val="en-US" w:eastAsia="zh-CN"/>
        </w:rPr>
      </w:pPr>
    </w:p>
    <w:p w14:paraId="42E8AEDE">
      <w:pPr>
        <w:pStyle w:val="3"/>
        <w:ind w:firstLine="241" w:firstLineChars="100"/>
        <w:rPr>
          <w:rFonts w:hint="eastAsia" w:ascii="宋体" w:hAnsi="宋体" w:cs="宋体"/>
          <w:b/>
          <w:bCs/>
          <w:color w:val="auto"/>
          <w:kern w:val="0"/>
          <w:sz w:val="24"/>
          <w:szCs w:val="24"/>
          <w:highlight w:val="none"/>
          <w:lang w:val="en-US" w:eastAsia="zh-CN"/>
        </w:rPr>
      </w:pPr>
    </w:p>
    <w:p w14:paraId="61C48899">
      <w:pPr>
        <w:pStyle w:val="3"/>
        <w:ind w:firstLine="241" w:firstLineChars="100"/>
        <w:rPr>
          <w:rFonts w:hint="eastAsia" w:ascii="宋体" w:hAnsi="宋体" w:cs="宋体"/>
          <w:b/>
          <w:bCs/>
          <w:color w:val="auto"/>
          <w:kern w:val="0"/>
          <w:sz w:val="24"/>
          <w:szCs w:val="24"/>
          <w:highlight w:val="none"/>
          <w:lang w:val="en-US" w:eastAsia="zh-CN"/>
        </w:rPr>
      </w:pPr>
    </w:p>
    <w:p w14:paraId="4D4A5A82">
      <w:pPr>
        <w:pStyle w:val="3"/>
        <w:ind w:firstLine="241" w:firstLineChars="100"/>
        <w:rPr>
          <w:rFonts w:hint="eastAsia" w:ascii="宋体" w:hAnsi="宋体" w:cs="宋体"/>
          <w:b/>
          <w:bCs/>
          <w:color w:val="auto"/>
          <w:kern w:val="0"/>
          <w:sz w:val="24"/>
          <w:szCs w:val="24"/>
          <w:highlight w:val="none"/>
          <w:lang w:val="en-US" w:eastAsia="zh-CN"/>
        </w:rPr>
      </w:pPr>
    </w:p>
    <w:p w14:paraId="3C0A7E0D">
      <w:pPr>
        <w:pStyle w:val="3"/>
        <w:ind w:firstLine="241" w:firstLineChars="100"/>
        <w:rPr>
          <w:rFonts w:hint="eastAsia" w:ascii="宋体" w:hAnsi="宋体" w:cs="宋体"/>
          <w:b/>
          <w:bCs/>
          <w:color w:val="auto"/>
          <w:kern w:val="0"/>
          <w:sz w:val="24"/>
          <w:szCs w:val="24"/>
          <w:highlight w:val="none"/>
          <w:lang w:val="en-US" w:eastAsia="zh-CN"/>
        </w:rPr>
      </w:pPr>
    </w:p>
    <w:p w14:paraId="55C9E26D">
      <w:pPr>
        <w:pStyle w:val="3"/>
        <w:ind w:firstLine="241" w:firstLineChars="100"/>
        <w:rPr>
          <w:rFonts w:hint="eastAsia" w:ascii="宋体" w:hAnsi="宋体" w:cs="宋体"/>
          <w:b/>
          <w:bCs/>
          <w:color w:val="auto"/>
          <w:kern w:val="0"/>
          <w:sz w:val="24"/>
          <w:szCs w:val="24"/>
          <w:highlight w:val="none"/>
          <w:lang w:val="en-US" w:eastAsia="zh-CN"/>
        </w:rPr>
      </w:pPr>
    </w:p>
    <w:p w14:paraId="36AB3337">
      <w:pPr>
        <w:pStyle w:val="3"/>
        <w:ind w:firstLine="241" w:firstLineChars="100"/>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需要说明的其他文件和说明</w:t>
      </w:r>
    </w:p>
    <w:p w14:paraId="2E05C94B">
      <w:pPr>
        <w:autoSpaceDE/>
        <w:autoSpaceDN/>
        <w:adjustRightInd/>
        <w:spacing w:line="480" w:lineRule="exact"/>
        <w:ind w:firstLine="602" w:firstLineChars="200"/>
        <w:jc w:val="both"/>
        <w:textAlignment w:val="auto"/>
        <w:rPr>
          <w:rFonts w:hint="eastAsia" w:ascii="宋体" w:hAnsi="宋体" w:eastAsia="宋体" w:cs="宋体"/>
          <w:b/>
          <w:bCs/>
          <w:color w:val="auto"/>
          <w:sz w:val="30"/>
          <w:szCs w:val="30"/>
          <w:highlight w:val="none"/>
        </w:rPr>
      </w:pPr>
    </w:p>
    <w:p w14:paraId="0C13F2A6">
      <w:pPr>
        <w:pStyle w:val="3"/>
        <w:rPr>
          <w:rFonts w:hint="eastAsia" w:ascii="宋体" w:hAnsi="宋体" w:eastAsia="宋体" w:cs="宋体"/>
          <w:color w:val="auto"/>
          <w:highlight w:val="none"/>
        </w:rPr>
      </w:pPr>
    </w:p>
    <w:p w14:paraId="0E071CA0">
      <w:pPr>
        <w:pStyle w:val="3"/>
        <w:rPr>
          <w:rFonts w:hint="eastAsia" w:ascii="宋体" w:hAnsi="宋体" w:eastAsia="宋体" w:cs="宋体"/>
          <w:color w:val="auto"/>
          <w:highlight w:val="none"/>
        </w:rPr>
      </w:pPr>
    </w:p>
    <w:p w14:paraId="224EFB37">
      <w:pPr>
        <w:pStyle w:val="3"/>
        <w:rPr>
          <w:rFonts w:hint="eastAsia" w:ascii="宋体" w:hAnsi="宋体" w:eastAsia="宋体" w:cs="宋体"/>
          <w:color w:val="auto"/>
          <w:highlight w:val="none"/>
        </w:rPr>
      </w:pPr>
    </w:p>
    <w:p w14:paraId="16205035">
      <w:pPr>
        <w:pStyle w:val="3"/>
        <w:rPr>
          <w:rFonts w:hint="eastAsia" w:ascii="宋体" w:hAnsi="宋体" w:eastAsia="宋体" w:cs="宋体"/>
          <w:color w:val="auto"/>
          <w:highlight w:val="none"/>
        </w:rPr>
      </w:pPr>
    </w:p>
    <w:p w14:paraId="407C4F32">
      <w:pPr>
        <w:pStyle w:val="3"/>
        <w:rPr>
          <w:rFonts w:hint="eastAsia" w:ascii="宋体" w:hAnsi="宋体" w:eastAsia="宋体" w:cs="宋体"/>
          <w:color w:val="auto"/>
          <w:highlight w:val="none"/>
        </w:rPr>
      </w:pPr>
    </w:p>
    <w:p w14:paraId="1071B266">
      <w:pPr>
        <w:pStyle w:val="3"/>
        <w:rPr>
          <w:rFonts w:hint="eastAsia" w:ascii="宋体" w:hAnsi="宋体" w:eastAsia="宋体" w:cs="宋体"/>
          <w:color w:val="auto"/>
          <w:highlight w:val="none"/>
        </w:rPr>
      </w:pPr>
    </w:p>
    <w:p w14:paraId="406633BF">
      <w:pPr>
        <w:pStyle w:val="3"/>
        <w:rPr>
          <w:rFonts w:hint="eastAsia" w:ascii="宋体" w:hAnsi="宋体" w:eastAsia="宋体" w:cs="宋体"/>
          <w:color w:val="auto"/>
          <w:highlight w:val="none"/>
        </w:rPr>
      </w:pPr>
    </w:p>
    <w:p w14:paraId="2DB9C722">
      <w:pPr>
        <w:pStyle w:val="3"/>
        <w:rPr>
          <w:rFonts w:hint="eastAsia" w:ascii="宋体" w:hAnsi="宋体" w:eastAsia="宋体" w:cs="宋体"/>
          <w:color w:val="auto"/>
          <w:highlight w:val="none"/>
        </w:rPr>
      </w:pPr>
    </w:p>
    <w:p w14:paraId="2A5991E5">
      <w:pPr>
        <w:pStyle w:val="3"/>
        <w:rPr>
          <w:rFonts w:hint="eastAsia" w:ascii="宋体" w:hAnsi="宋体" w:eastAsia="宋体" w:cs="宋体"/>
          <w:color w:val="auto"/>
          <w:highlight w:val="none"/>
        </w:rPr>
      </w:pPr>
    </w:p>
    <w:p w14:paraId="6268816C">
      <w:pPr>
        <w:pStyle w:val="3"/>
        <w:pageBreakBefore/>
        <w:ind w:firstLine="901"/>
        <w:rPr>
          <w:rFonts w:hint="eastAsia" w:ascii="宋体" w:hAnsi="宋体" w:eastAsia="宋体" w:cs="宋体"/>
          <w:color w:val="auto"/>
          <w:highlight w:val="none"/>
        </w:rPr>
      </w:pPr>
    </w:p>
    <w:p w14:paraId="3D7E0AB5">
      <w:pPr>
        <w:autoSpaceDE/>
        <w:autoSpaceDN/>
        <w:adjustRightInd/>
        <w:spacing w:line="480" w:lineRule="exact"/>
        <w:ind w:firstLine="602" w:firstLineChars="200"/>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（三）报价文件部分参考格式</w:t>
      </w:r>
      <w:r>
        <w:rPr>
          <w:rFonts w:hint="eastAsia" w:ascii="宋体" w:hAnsi="宋体" w:eastAsia="宋体" w:cs="宋体"/>
          <w:b/>
          <w:bCs/>
          <w:color w:val="auto"/>
          <w:sz w:val="30"/>
          <w:szCs w:val="30"/>
          <w:highlight w:val="none"/>
          <w:lang w:eastAsia="zh-CN"/>
        </w:rPr>
        <w:t>：</w:t>
      </w:r>
    </w:p>
    <w:p w14:paraId="24DAF051">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（1）磋商响应函（加盖公章）（格式见附件）；</w:t>
      </w:r>
    </w:p>
    <w:p w14:paraId="27DA18C5">
      <w:p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（2）开标（报价）一览表（加盖公章）（格式见附件）；</w:t>
      </w:r>
    </w:p>
    <w:p w14:paraId="53386B6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）《中小企业声明函》（如有）；（本项目采购标的对应的中小企业划分标准所属行业为</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文化、体育和娱乐业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；格式见附件，如未提供的，评审时不给予政策性价格扣除）；</w:t>
      </w:r>
    </w:p>
    <w:p w14:paraId="2E03FCEE">
      <w:pPr>
        <w:numPr>
          <w:ilvl w:val="255"/>
          <w:numId w:val="0"/>
        </w:numPr>
        <w:autoSpaceDE/>
        <w:autoSpaceDN/>
        <w:snapToGrid w:val="0"/>
        <w:spacing w:line="4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）供应商针对报价需要说明的其他文件和说明（格式自拟）。</w:t>
      </w:r>
    </w:p>
    <w:p w14:paraId="7DCFA82D">
      <w:pPr>
        <w:spacing w:line="480" w:lineRule="auto"/>
        <w:rPr>
          <w:rFonts w:hint="eastAsia" w:ascii="宋体" w:hAnsi="宋体" w:eastAsia="宋体" w:cs="宋体"/>
          <w:b/>
          <w:bCs/>
          <w:color w:val="auto"/>
          <w:sz w:val="30"/>
          <w:szCs w:val="30"/>
          <w:highlight w:val="none"/>
        </w:rPr>
      </w:pPr>
    </w:p>
    <w:p w14:paraId="6CE0AA09">
      <w:pPr>
        <w:spacing w:line="360" w:lineRule="auto"/>
        <w:ind w:firstLine="480"/>
        <w:rPr>
          <w:rFonts w:hint="eastAsia" w:ascii="宋体" w:hAnsi="宋体" w:eastAsia="宋体" w:cs="宋体"/>
          <w:b/>
          <w:color w:val="auto"/>
          <w:sz w:val="30"/>
          <w:szCs w:val="30"/>
          <w:highlight w:val="none"/>
        </w:rPr>
      </w:pPr>
    </w:p>
    <w:p w14:paraId="41D4B32F">
      <w:pPr>
        <w:spacing w:line="360" w:lineRule="auto"/>
        <w:ind w:firstLine="480"/>
        <w:rPr>
          <w:rFonts w:hint="eastAsia" w:ascii="宋体" w:hAnsi="宋体" w:eastAsia="宋体" w:cs="宋体"/>
          <w:b/>
          <w:color w:val="auto"/>
          <w:sz w:val="30"/>
          <w:szCs w:val="30"/>
          <w:highlight w:val="none"/>
        </w:rPr>
      </w:pPr>
    </w:p>
    <w:p w14:paraId="758CD6C4">
      <w:pPr>
        <w:spacing w:line="360" w:lineRule="auto"/>
        <w:ind w:firstLine="480"/>
        <w:rPr>
          <w:rFonts w:hint="eastAsia" w:ascii="宋体" w:hAnsi="宋体" w:eastAsia="宋体" w:cs="宋体"/>
          <w:b/>
          <w:color w:val="auto"/>
          <w:sz w:val="30"/>
          <w:szCs w:val="30"/>
          <w:highlight w:val="none"/>
        </w:rPr>
      </w:pPr>
    </w:p>
    <w:p w14:paraId="5DFDE95C">
      <w:pPr>
        <w:spacing w:line="360" w:lineRule="auto"/>
        <w:ind w:firstLine="480"/>
        <w:rPr>
          <w:rFonts w:hint="eastAsia" w:ascii="宋体" w:hAnsi="宋体" w:eastAsia="宋体" w:cs="宋体"/>
          <w:b/>
          <w:color w:val="auto"/>
          <w:sz w:val="30"/>
          <w:szCs w:val="30"/>
          <w:highlight w:val="none"/>
        </w:rPr>
      </w:pPr>
    </w:p>
    <w:p w14:paraId="2B984087">
      <w:pPr>
        <w:spacing w:line="360" w:lineRule="auto"/>
        <w:ind w:firstLine="480"/>
        <w:rPr>
          <w:rFonts w:hint="eastAsia" w:ascii="宋体" w:hAnsi="宋体" w:eastAsia="宋体" w:cs="宋体"/>
          <w:b/>
          <w:color w:val="auto"/>
          <w:sz w:val="30"/>
          <w:szCs w:val="30"/>
          <w:highlight w:val="none"/>
        </w:rPr>
      </w:pPr>
    </w:p>
    <w:p w14:paraId="0E062616">
      <w:pPr>
        <w:spacing w:line="360" w:lineRule="auto"/>
        <w:ind w:firstLine="480"/>
        <w:rPr>
          <w:rFonts w:hint="eastAsia" w:ascii="宋体" w:hAnsi="宋体" w:eastAsia="宋体" w:cs="宋体"/>
          <w:b/>
          <w:color w:val="auto"/>
          <w:sz w:val="30"/>
          <w:szCs w:val="30"/>
          <w:highlight w:val="none"/>
        </w:rPr>
      </w:pPr>
    </w:p>
    <w:p w14:paraId="651737A4">
      <w:pPr>
        <w:spacing w:line="360" w:lineRule="auto"/>
        <w:ind w:firstLine="480"/>
        <w:rPr>
          <w:rFonts w:hint="eastAsia" w:ascii="宋体" w:hAnsi="宋体" w:eastAsia="宋体" w:cs="宋体"/>
          <w:b/>
          <w:color w:val="auto"/>
          <w:sz w:val="30"/>
          <w:szCs w:val="30"/>
          <w:highlight w:val="none"/>
        </w:rPr>
      </w:pPr>
    </w:p>
    <w:p w14:paraId="6DC79195">
      <w:pPr>
        <w:spacing w:line="360" w:lineRule="auto"/>
        <w:ind w:firstLine="480"/>
        <w:rPr>
          <w:rFonts w:hint="eastAsia" w:ascii="宋体" w:hAnsi="宋体" w:eastAsia="宋体" w:cs="宋体"/>
          <w:b/>
          <w:color w:val="auto"/>
          <w:sz w:val="30"/>
          <w:szCs w:val="30"/>
          <w:highlight w:val="none"/>
        </w:rPr>
      </w:pPr>
    </w:p>
    <w:p w14:paraId="4968D908">
      <w:pPr>
        <w:spacing w:line="360" w:lineRule="auto"/>
        <w:ind w:firstLine="480"/>
        <w:rPr>
          <w:rFonts w:hint="eastAsia" w:ascii="宋体" w:hAnsi="宋体" w:eastAsia="宋体" w:cs="宋体"/>
          <w:b/>
          <w:color w:val="auto"/>
          <w:sz w:val="30"/>
          <w:szCs w:val="30"/>
          <w:highlight w:val="none"/>
        </w:rPr>
      </w:pPr>
    </w:p>
    <w:p w14:paraId="7335D757">
      <w:pPr>
        <w:spacing w:line="360" w:lineRule="auto"/>
        <w:ind w:firstLine="480"/>
        <w:rPr>
          <w:rFonts w:hint="eastAsia" w:ascii="宋体" w:hAnsi="宋体" w:eastAsia="宋体" w:cs="宋体"/>
          <w:b/>
          <w:color w:val="auto"/>
          <w:sz w:val="30"/>
          <w:szCs w:val="30"/>
          <w:highlight w:val="none"/>
        </w:rPr>
      </w:pPr>
    </w:p>
    <w:p w14:paraId="52E240E6">
      <w:pPr>
        <w:spacing w:line="360" w:lineRule="auto"/>
        <w:ind w:firstLine="480"/>
        <w:rPr>
          <w:rFonts w:hint="eastAsia" w:ascii="宋体" w:hAnsi="宋体" w:eastAsia="宋体" w:cs="宋体"/>
          <w:b/>
          <w:color w:val="auto"/>
          <w:sz w:val="30"/>
          <w:szCs w:val="30"/>
          <w:highlight w:val="none"/>
        </w:rPr>
      </w:pPr>
    </w:p>
    <w:p w14:paraId="22F38679">
      <w:pPr>
        <w:spacing w:line="360" w:lineRule="auto"/>
        <w:ind w:firstLine="480"/>
        <w:rPr>
          <w:rFonts w:hint="eastAsia" w:ascii="宋体" w:hAnsi="宋体" w:eastAsia="宋体" w:cs="宋体"/>
          <w:b/>
          <w:color w:val="auto"/>
          <w:sz w:val="30"/>
          <w:szCs w:val="30"/>
          <w:highlight w:val="none"/>
        </w:rPr>
      </w:pPr>
    </w:p>
    <w:p w14:paraId="045C8975">
      <w:pPr>
        <w:pStyle w:val="64"/>
        <w:rPr>
          <w:rFonts w:hint="eastAsia"/>
          <w:color w:val="auto"/>
          <w:highlight w:val="none"/>
        </w:rPr>
      </w:pPr>
    </w:p>
    <w:p w14:paraId="208C6147">
      <w:pPr>
        <w:pStyle w:val="46"/>
        <w:ind w:firstLine="280"/>
        <w:rPr>
          <w:rFonts w:hint="eastAsia" w:ascii="宋体" w:hAnsi="宋体" w:eastAsia="宋体" w:cs="宋体"/>
          <w:color w:val="auto"/>
          <w:highlight w:val="none"/>
        </w:rPr>
      </w:pPr>
    </w:p>
    <w:p w14:paraId="0E0BE2AA">
      <w:pPr>
        <w:spacing w:line="360" w:lineRule="auto"/>
        <w:ind w:firstLine="480"/>
        <w:rPr>
          <w:rFonts w:hint="eastAsia" w:ascii="宋体" w:hAnsi="宋体" w:eastAsia="宋体" w:cs="宋体"/>
          <w:b/>
          <w:color w:val="auto"/>
          <w:sz w:val="30"/>
          <w:szCs w:val="30"/>
          <w:highlight w:val="none"/>
        </w:rPr>
      </w:pPr>
    </w:p>
    <w:p w14:paraId="590A8065">
      <w:pPr>
        <w:pStyle w:val="2"/>
        <w:rPr>
          <w:rFonts w:hint="eastAsia"/>
          <w:color w:val="auto"/>
          <w:highlight w:val="none"/>
        </w:rPr>
      </w:pPr>
    </w:p>
    <w:p w14:paraId="7CF4D301">
      <w:pPr>
        <w:pStyle w:val="20"/>
        <w:rPr>
          <w:rFonts w:hint="eastAsia" w:ascii="宋体" w:hAnsi="宋体" w:eastAsia="宋体" w:cs="宋体"/>
          <w:color w:val="auto"/>
          <w:highlight w:val="none"/>
        </w:rPr>
      </w:pPr>
    </w:p>
    <w:p w14:paraId="5A507911">
      <w:pPr>
        <w:spacing w:line="360" w:lineRule="auto"/>
        <w:ind w:firstLine="48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 磋商响应函</w:t>
      </w:r>
    </w:p>
    <w:p w14:paraId="11990CF5">
      <w:pPr>
        <w:pStyle w:val="2"/>
        <w:ind w:left="680"/>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磋商响应函</w:t>
      </w:r>
    </w:p>
    <w:p w14:paraId="34D43B24">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致：（磋商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8EE4382">
      <w:pPr>
        <w:snapToGrid w:val="0"/>
        <w:spacing w:line="5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根据贵方项目的竞争性磋商采购公告/磋商响应邀请书（项目编号：     ），签字代表_____（全名）经正式授权并代表供应商（供应商名称）提交</w:t>
      </w:r>
      <w:r>
        <w:rPr>
          <w:rFonts w:hint="eastAsia" w:ascii="宋体" w:hAnsi="宋体" w:eastAsia="宋体" w:cs="宋体"/>
          <w:color w:val="auto"/>
          <w:sz w:val="21"/>
          <w:highlight w:val="none"/>
        </w:rPr>
        <w:t>电子</w:t>
      </w:r>
      <w:r>
        <w:rPr>
          <w:rFonts w:hint="eastAsia" w:ascii="宋体" w:hAnsi="宋体" w:eastAsia="宋体" w:cs="宋体"/>
          <w:color w:val="auto"/>
          <w:sz w:val="21"/>
          <w:szCs w:val="21"/>
          <w:highlight w:val="none"/>
        </w:rPr>
        <w:t>磋商响应文件，包括资格文件、商务技术文件和报价文件。</w:t>
      </w:r>
    </w:p>
    <w:p w14:paraId="4C13201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14:paraId="6B86726F">
      <w:pPr>
        <w:snapToGrid w:val="0"/>
        <w:spacing w:line="500" w:lineRule="exact"/>
        <w:ind w:left="207" w:leftChars="61"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（1）我方自愿按照磋商采购文件规定的各项要求向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提供项目所需</w:t>
      </w:r>
      <w:r>
        <w:rPr>
          <w:rFonts w:hint="eastAsia" w:ascii="宋体" w:hAnsi="宋体" w:eastAsia="宋体" w:cs="宋体"/>
          <w:color w:val="auto"/>
          <w:sz w:val="21"/>
          <w:szCs w:val="21"/>
          <w:highlight w:val="none"/>
          <w:lang w:val="en-US" w:eastAsia="zh-CN"/>
        </w:rPr>
        <w:t>产品和</w:t>
      </w:r>
      <w:r>
        <w:rPr>
          <w:rFonts w:hint="eastAsia" w:ascii="宋体" w:hAnsi="宋体" w:eastAsia="宋体" w:cs="宋体"/>
          <w:color w:val="auto"/>
          <w:sz w:val="21"/>
          <w:szCs w:val="21"/>
          <w:highlight w:val="none"/>
        </w:rPr>
        <w:t>服务。首次磋商响应报价为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人民币                        </w:t>
      </w:r>
      <w:r>
        <w:rPr>
          <w:rFonts w:hint="eastAsia" w:ascii="宋体" w:hAnsi="宋体" w:eastAsia="宋体" w:cs="宋体"/>
          <w:color w:val="auto"/>
          <w:sz w:val="24"/>
          <w:highlight w:val="none"/>
        </w:rPr>
        <w:t>。</w:t>
      </w:r>
    </w:p>
    <w:p w14:paraId="58F3AEB3">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供应商已详细审查全部“磋商采购文件”，包括修改文件（如有的话）以及全部参考资料和有关附件，已经了解我方对于磋商采购文件、采购过程、采购结果有依法进行询问、质疑、投诉的权利及相关渠道和要求。</w:t>
      </w:r>
    </w:p>
    <w:p w14:paraId="7991A6C9">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（3）本供应商在磋商之前已经与贵方进行了充分的沟通，完全理解并接受磋商采购文件的各项规定和要求，对磋商采购文件的合理性、合法性不再有异议。</w:t>
      </w:r>
    </w:p>
    <w:p w14:paraId="76E1FBC8">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（4）本磋商响应文件有效期自递交之日起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w:t>
      </w:r>
    </w:p>
    <w:p w14:paraId="52C6F45E">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（5）如成交，本磋商响应文件至本项目合同履行完毕止均保持有效，本供应商将按“磋商采购文件”及政府采购法律、法规的规定履行合同责任和义务。</w:t>
      </w:r>
    </w:p>
    <w:p w14:paraId="3E4A07C7">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（6）供应商同意按照贵方要求提供与磋商有关的一切数据或资料。</w:t>
      </w:r>
    </w:p>
    <w:p w14:paraId="17B62294">
      <w:pPr>
        <w:snapToGrid w:val="0"/>
        <w:spacing w:line="5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（7）与本磋商采购有关的一切正式往来信函请寄：</w:t>
      </w:r>
    </w:p>
    <w:p w14:paraId="4483E9B1">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w:t>
      </w:r>
      <w:r>
        <w:rPr>
          <w:rFonts w:hint="eastAsia" w:ascii="宋体" w:hAnsi="宋体" w:eastAsia="宋体" w:cs="宋体"/>
          <w:color w:val="auto"/>
          <w:sz w:val="21"/>
          <w:szCs w:val="21"/>
          <w:highlight w:val="none"/>
          <w:u w:val="single"/>
        </w:rPr>
        <w:t xml:space="preserve">        _</w:t>
      </w:r>
      <w:r>
        <w:rPr>
          <w:rFonts w:hint="eastAsia" w:ascii="宋体" w:hAnsi="宋体" w:eastAsia="宋体" w:cs="宋体"/>
          <w:color w:val="auto"/>
          <w:sz w:val="21"/>
          <w:szCs w:val="21"/>
          <w:highlight w:val="none"/>
        </w:rPr>
        <w:t>____邮编：__________   电话：______________</w:t>
      </w:r>
    </w:p>
    <w:p w14:paraId="1E50B29C">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传真：______________法定代表人（或单位负责人）姓名 ___________  职务：_____________</w:t>
      </w:r>
    </w:p>
    <w:p w14:paraId="4DE347D4">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:___________________</w:t>
      </w:r>
    </w:p>
    <w:p w14:paraId="7013FD68">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开户银行：______________银行账号：______________</w:t>
      </w:r>
    </w:p>
    <w:p w14:paraId="5D75FF3A">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___________                      </w:t>
      </w:r>
    </w:p>
    <w:p w14:paraId="3B3942B1">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_____年___月___日</w:t>
      </w:r>
    </w:p>
    <w:p w14:paraId="1AF1A870">
      <w:pPr>
        <w:ind w:firstLine="420" w:firstLineChars="200"/>
        <w:rPr>
          <w:rFonts w:hint="eastAsia" w:ascii="宋体" w:hAnsi="宋体" w:eastAsia="宋体" w:cs="宋体"/>
          <w:color w:val="auto"/>
          <w:sz w:val="21"/>
          <w:szCs w:val="21"/>
          <w:highlight w:val="none"/>
        </w:rPr>
      </w:pPr>
    </w:p>
    <w:p w14:paraId="5B32E198">
      <w:pPr>
        <w:pStyle w:val="2"/>
        <w:ind w:left="680"/>
        <w:rPr>
          <w:rFonts w:hint="eastAsia" w:ascii="宋体" w:hAnsi="宋体" w:eastAsia="宋体" w:cs="宋体"/>
          <w:color w:val="auto"/>
          <w:highlight w:val="none"/>
        </w:rPr>
      </w:pPr>
    </w:p>
    <w:p w14:paraId="0C4F1278">
      <w:pPr>
        <w:pStyle w:val="66"/>
        <w:rPr>
          <w:rFonts w:hint="eastAsia" w:ascii="宋体" w:hAnsi="宋体" w:eastAsia="宋体" w:cs="宋体"/>
          <w:color w:val="auto"/>
          <w:highlight w:val="none"/>
        </w:rPr>
      </w:pPr>
    </w:p>
    <w:p w14:paraId="25034B8C">
      <w:pPr>
        <w:numPr>
          <w:ilvl w:val="0"/>
          <w:numId w:val="0"/>
        </w:numPr>
        <w:snapToGrid w:val="0"/>
        <w:spacing w:beforeLines="50" w:after="50"/>
        <w:ind w:left="0" w:leftChars="0"/>
        <w:jc w:val="center"/>
        <w:rPr>
          <w:rFonts w:hint="eastAsia" w:ascii="宋体" w:hAnsi="宋体" w:eastAsia="宋体" w:cs="宋体"/>
          <w:b/>
          <w:color w:val="auto"/>
          <w:sz w:val="30"/>
          <w:szCs w:val="30"/>
          <w:highlight w:val="none"/>
        </w:rPr>
      </w:pPr>
      <w:bookmarkStart w:id="277" w:name="_Toc354841330"/>
      <w:bookmarkStart w:id="278" w:name="_Toc296075060"/>
      <w:r>
        <w:rPr>
          <w:rFonts w:hint="eastAsia" w:ascii="宋体" w:hAnsi="宋体" w:eastAsia="宋体" w:cs="宋体"/>
          <w:b/>
          <w:color w:val="auto"/>
          <w:sz w:val="30"/>
          <w:szCs w:val="30"/>
          <w:highlight w:val="none"/>
          <w:lang w:val="en-US" w:eastAsia="zh-CN" w:bidi="ar-SA"/>
        </w:rPr>
        <w:t>2.</w:t>
      </w:r>
      <w:r>
        <w:rPr>
          <w:rFonts w:hint="eastAsia" w:ascii="宋体" w:hAnsi="宋体" w:eastAsia="宋体" w:cs="宋体"/>
          <w:b/>
          <w:color w:val="auto"/>
          <w:sz w:val="30"/>
          <w:szCs w:val="30"/>
          <w:highlight w:val="none"/>
        </w:rPr>
        <w:t>开标（报价）一览表</w:t>
      </w:r>
    </w:p>
    <w:p w14:paraId="4DF97CD9">
      <w:pPr>
        <w:pStyle w:val="46"/>
        <w:spacing w:before="156"/>
        <w:ind w:firstLine="21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项目名称：                        项目编号：                  </w:t>
      </w:r>
    </w:p>
    <w:bookmarkEnd w:id="277"/>
    <w:bookmarkEnd w:id="278"/>
    <w:tbl>
      <w:tblPr>
        <w:tblStyle w:val="47"/>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56"/>
        <w:gridCol w:w="7221"/>
      </w:tblGrid>
      <w:tr w14:paraId="1F35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780" w:type="dxa"/>
            <w:tcBorders>
              <w:right w:val="single" w:color="auto" w:sz="4" w:space="0"/>
            </w:tcBorders>
            <w:vAlign w:val="center"/>
          </w:tcPr>
          <w:p w14:paraId="2D47C22D">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56" w:type="dxa"/>
            <w:tcBorders>
              <w:left w:val="single" w:color="auto" w:sz="4" w:space="0"/>
            </w:tcBorders>
            <w:vAlign w:val="center"/>
          </w:tcPr>
          <w:p w14:paraId="5F399439">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服务期限</w:t>
            </w:r>
          </w:p>
        </w:tc>
        <w:tc>
          <w:tcPr>
            <w:tcW w:w="7221" w:type="dxa"/>
            <w:vAlign w:val="center"/>
          </w:tcPr>
          <w:p w14:paraId="4F11C881">
            <w:pPr>
              <w:widowControl/>
              <w:spacing w:line="460" w:lineRule="exact"/>
              <w:jc w:val="center"/>
              <w:rPr>
                <w:rFonts w:hint="eastAsia" w:ascii="宋体" w:hAnsi="宋体" w:eastAsia="宋体" w:cs="宋体"/>
                <w:color w:val="auto"/>
                <w:sz w:val="21"/>
                <w:szCs w:val="21"/>
                <w:highlight w:val="none"/>
                <w:u w:val="single"/>
              </w:rPr>
            </w:pPr>
          </w:p>
        </w:tc>
      </w:tr>
      <w:tr w14:paraId="0C96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27DEFB09">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56" w:type="dxa"/>
            <w:tcBorders>
              <w:left w:val="single" w:color="auto" w:sz="4" w:space="0"/>
            </w:tcBorders>
            <w:vAlign w:val="center"/>
          </w:tcPr>
          <w:p w14:paraId="4DCD4426">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首次磋商报价</w:t>
            </w:r>
          </w:p>
        </w:tc>
        <w:tc>
          <w:tcPr>
            <w:tcW w:w="7221" w:type="dxa"/>
            <w:vAlign w:val="center"/>
          </w:tcPr>
          <w:p w14:paraId="44516F86">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我方首次磋商报价￥：         元</w:t>
            </w:r>
          </w:p>
          <w:p w14:paraId="4E86275F">
            <w:pPr>
              <w:spacing w:line="460" w:lineRule="exact"/>
              <w:rPr>
                <w:rFonts w:hint="eastAsia" w:ascii="宋体" w:hAnsi="宋体" w:eastAsia="宋体" w:cs="宋体"/>
                <w:color w:val="auto"/>
                <w:sz w:val="21"/>
                <w:szCs w:val="21"/>
                <w:highlight w:val="none"/>
              </w:rPr>
            </w:pPr>
          </w:p>
          <w:p w14:paraId="745E3D71">
            <w:pPr>
              <w:spacing w:line="4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人民币</w:t>
            </w:r>
          </w:p>
        </w:tc>
      </w:tr>
      <w:tr w14:paraId="201A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06841E69">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56" w:type="dxa"/>
            <w:tcBorders>
              <w:left w:val="single" w:color="auto" w:sz="4" w:space="0"/>
            </w:tcBorders>
            <w:vAlign w:val="center"/>
          </w:tcPr>
          <w:p w14:paraId="5EF1110B">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报价说明</w:t>
            </w:r>
          </w:p>
        </w:tc>
        <w:tc>
          <w:tcPr>
            <w:tcW w:w="7221" w:type="dxa"/>
            <w:vAlign w:val="center"/>
          </w:tcPr>
          <w:p w14:paraId="1DBAD08F">
            <w:pPr>
              <w:widowControl/>
              <w:spacing w:line="4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本供应商已知悉并同意：</w:t>
            </w:r>
          </w:p>
          <w:p w14:paraId="04327A45">
            <w:pPr>
              <w:widowControl/>
              <w:spacing w:line="460" w:lineRule="exact"/>
              <w:ind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成交后应根据磋商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14:paraId="060C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780" w:type="dxa"/>
            <w:tcBorders>
              <w:right w:val="single" w:color="auto" w:sz="4" w:space="0"/>
            </w:tcBorders>
            <w:vAlign w:val="center"/>
          </w:tcPr>
          <w:p w14:paraId="209F5DE5">
            <w:pPr>
              <w:spacing w:line="4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656" w:type="dxa"/>
            <w:tcBorders>
              <w:left w:val="single" w:color="auto" w:sz="4" w:space="0"/>
            </w:tcBorders>
            <w:vAlign w:val="center"/>
          </w:tcPr>
          <w:p w14:paraId="2446A68A">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是否符合政策性价格扣除的说明</w:t>
            </w:r>
          </w:p>
        </w:tc>
        <w:tc>
          <w:tcPr>
            <w:tcW w:w="7221" w:type="dxa"/>
            <w:vAlign w:val="center"/>
          </w:tcPr>
          <w:p w14:paraId="06818FF4">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依照</w:t>
            </w:r>
            <w:r>
              <w:rPr>
                <w:rFonts w:hint="eastAsia" w:ascii="宋体" w:hAnsi="宋体" w:eastAsia="宋体" w:cs="宋体"/>
                <w:b w:val="0"/>
                <w:bCs w:val="0"/>
                <w:color w:val="auto"/>
                <w:sz w:val="21"/>
                <w:szCs w:val="21"/>
                <w:highlight w:val="none"/>
              </w:rPr>
              <w:t>《政府采购促进中小企业发展管理办法》、</w:t>
            </w:r>
            <w:r>
              <w:rPr>
                <w:rFonts w:hint="eastAsia" w:ascii="宋体" w:hAnsi="宋体" w:eastAsia="宋体" w:cs="宋体"/>
                <w:b w:val="0"/>
                <w:bCs w:val="0"/>
                <w:i w:val="0"/>
                <w:iCs w:val="0"/>
                <w:caps w:val="0"/>
                <w:color w:val="auto"/>
                <w:spacing w:val="0"/>
                <w:sz w:val="21"/>
                <w:szCs w:val="21"/>
                <w:highlight w:val="none"/>
                <w:shd w:val="clear" w:color="auto" w:fill="auto"/>
              </w:rPr>
              <w:t>《国务院关于印发扎实稳住经济一揽子政策措施的通知》</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auto"/>
              </w:rPr>
              <w:t>《浙江省</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财政厅关于进一步发挥政府采购政策功能全力推动经济稳进提质的通知</w:t>
            </w:r>
            <w:r>
              <w:rPr>
                <w:rFonts w:hint="eastAsia" w:ascii="宋体" w:hAnsi="宋体" w:eastAsia="宋体" w:cs="宋体"/>
                <w:b w:val="0"/>
                <w:bCs w:val="0"/>
                <w:i w:val="0"/>
                <w:iCs w:val="0"/>
                <w:caps w:val="0"/>
                <w:color w:val="auto"/>
                <w:spacing w:val="0"/>
                <w:sz w:val="21"/>
                <w:szCs w:val="21"/>
                <w:highlight w:val="none"/>
                <w:shd w:val="clear" w:color="auto" w:fill="auto"/>
              </w:rPr>
              <w:t>》</w:t>
            </w:r>
            <w:r>
              <w:rPr>
                <w:rFonts w:hint="eastAsia" w:ascii="宋体" w:hAnsi="宋体" w:eastAsia="宋体" w:cs="宋体"/>
                <w:color w:val="auto"/>
                <w:sz w:val="21"/>
                <w:szCs w:val="21"/>
                <w:highlight w:val="none"/>
              </w:rPr>
              <w:t>、《财政部 民政部 中国残疾人联合会关于促进残疾人就业政府采购政策的通知》（财库〔2017〕141号）、《财政部、司法部关于政府采购支持监狱企业发展有关问题的通知》（财库〔2014〕68号）</w:t>
            </w:r>
            <w:r>
              <w:rPr>
                <w:rFonts w:hint="eastAsia" w:ascii="宋体" w:hAnsi="宋体" w:eastAsia="宋体" w:cs="宋体"/>
                <w:color w:val="auto"/>
                <w:sz w:val="21"/>
                <w:szCs w:val="21"/>
                <w:highlight w:val="none"/>
                <w:lang w:val="en-US" w:eastAsia="zh-CN"/>
              </w:rPr>
              <w:t>和本项目招标文件</w:t>
            </w:r>
            <w:r>
              <w:rPr>
                <w:rFonts w:hint="eastAsia" w:ascii="宋体" w:hAnsi="宋体" w:eastAsia="宋体" w:cs="宋体"/>
                <w:color w:val="auto"/>
                <w:sz w:val="21"/>
                <w:szCs w:val="21"/>
                <w:highlight w:val="none"/>
              </w:rPr>
              <w:t>的规定，本</w:t>
            </w:r>
            <w:r>
              <w:rPr>
                <w:rFonts w:hint="eastAsia" w:hAnsi="宋体" w:cs="宋体"/>
                <w:color w:val="auto"/>
                <w:sz w:val="21"/>
                <w:szCs w:val="21"/>
                <w:highlight w:val="none"/>
                <w:lang w:val="en-US" w:eastAsia="zh-CN"/>
              </w:rPr>
              <w:t>响应供应商</w:t>
            </w: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lang w:eastAsia="zh-CN"/>
              </w:rPr>
              <w:t>：</w:t>
            </w:r>
          </w:p>
          <w:p w14:paraId="5EB3CFD4">
            <w:pPr>
              <w:snapToGrid w:val="0"/>
              <w:spacing w:line="400" w:lineRule="exact"/>
              <w:ind w:firstLine="420" w:firstLineChars="20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hAnsi="宋体" w:cs="宋体"/>
                <w:color w:val="auto"/>
                <w:kern w:val="0"/>
                <w:sz w:val="21"/>
                <w:szCs w:val="21"/>
                <w:highlight w:val="none"/>
                <w:lang w:val="en-US" w:eastAsia="zh-CN" w:bidi="ar-SA"/>
              </w:rPr>
              <w:t>属于</w:t>
            </w:r>
            <w:r>
              <w:rPr>
                <w:rFonts w:hint="eastAsia" w:ascii="宋体" w:hAnsi="宋体" w:eastAsia="宋体" w:cs="宋体"/>
                <w:color w:val="auto"/>
                <w:spacing w:val="-1"/>
                <w:sz w:val="21"/>
                <w:szCs w:val="21"/>
                <w:highlight w:val="none"/>
              </w:rPr>
              <w:t>小</w:t>
            </w:r>
            <w:r>
              <w:rPr>
                <w:rFonts w:hint="eastAsia" w:ascii="宋体" w:hAnsi="宋体" w:eastAsia="宋体" w:cs="宋体"/>
                <w:color w:val="auto"/>
                <w:kern w:val="2"/>
                <w:sz w:val="21"/>
                <w:szCs w:val="21"/>
                <w:highlight w:val="none"/>
              </w:rPr>
              <w:t>微</w:t>
            </w:r>
            <w:r>
              <w:rPr>
                <w:rFonts w:hint="eastAsia" w:ascii="宋体" w:hAnsi="宋体" w:eastAsia="宋体" w:cs="宋体"/>
                <w:color w:val="auto"/>
                <w:spacing w:val="-1"/>
                <w:sz w:val="21"/>
                <w:szCs w:val="21"/>
                <w:highlight w:val="none"/>
              </w:rPr>
              <w:t>企业</w:t>
            </w:r>
            <w:r>
              <w:rPr>
                <w:rFonts w:hint="eastAsia" w:hAnsi="宋体" w:cs="宋体"/>
                <w:color w:val="auto"/>
                <w:spacing w:val="-1"/>
                <w:sz w:val="21"/>
                <w:szCs w:val="21"/>
                <w:highlight w:val="none"/>
                <w:lang w:eastAsia="zh-CN"/>
              </w:rPr>
              <w:t>。</w:t>
            </w:r>
            <w:r>
              <w:rPr>
                <w:rFonts w:hint="eastAsia" w:hAnsi="宋体" w:cs="宋体"/>
                <w:color w:val="auto"/>
                <w:spacing w:val="-1"/>
                <w:sz w:val="21"/>
                <w:szCs w:val="21"/>
                <w:highlight w:val="none"/>
                <w:lang w:val="en-US" w:eastAsia="zh-CN"/>
              </w:rPr>
              <w:t>服务</w:t>
            </w:r>
            <w:r>
              <w:rPr>
                <w:rFonts w:hint="eastAsia" w:ascii="宋体" w:hAnsi="宋体" w:eastAsia="宋体" w:cs="宋体"/>
                <w:color w:val="auto"/>
                <w:kern w:val="2"/>
                <w:sz w:val="21"/>
                <w:szCs w:val="21"/>
                <w:highlight w:val="none"/>
              </w:rPr>
              <w:t>全部由小型和微型企业</w:t>
            </w:r>
            <w:r>
              <w:rPr>
                <w:rFonts w:hint="eastAsia" w:ascii="宋体" w:hAnsi="宋体" w:eastAsia="宋体" w:cs="宋体"/>
                <w:color w:val="auto"/>
                <w:kern w:val="2"/>
                <w:sz w:val="21"/>
                <w:szCs w:val="21"/>
                <w:highlight w:val="none"/>
                <w:lang w:val="en-US" w:eastAsia="zh-CN"/>
              </w:rPr>
              <w:t>承接</w:t>
            </w:r>
            <w:r>
              <w:rPr>
                <w:rFonts w:hint="eastAsia" w:ascii="宋体" w:hAnsi="宋体" w:eastAsia="宋体" w:cs="宋体"/>
                <w:color w:val="auto"/>
                <w:kern w:val="2"/>
                <w:sz w:val="21"/>
                <w:szCs w:val="21"/>
                <w:highlight w:val="none"/>
              </w:rPr>
              <w:t>，即提供服务的人员为小型或微型企业依照《中华人民共和国劳动合同法》订立劳动合同的从业人员</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sz w:val="21"/>
                <w:szCs w:val="21"/>
                <w:highlight w:val="none"/>
                <w:lang w:val="en-US" w:eastAsia="zh-CN"/>
              </w:rPr>
              <w:t>适用的</w:t>
            </w:r>
            <w:r>
              <w:rPr>
                <w:rFonts w:hint="eastAsia" w:ascii="宋体" w:hAnsi="宋体" w:eastAsia="宋体" w:cs="宋体"/>
                <w:color w:val="auto"/>
                <w:spacing w:val="-1"/>
                <w:sz w:val="21"/>
                <w:szCs w:val="21"/>
                <w:highlight w:val="none"/>
              </w:rPr>
              <w:t>评审价格扣除比例</w:t>
            </w:r>
            <w:r>
              <w:rPr>
                <w:rFonts w:hint="eastAsia" w:ascii="宋体" w:hAnsi="宋体" w:eastAsia="宋体" w:cs="宋体"/>
                <w:color w:val="auto"/>
                <w:spacing w:val="-1"/>
                <w:sz w:val="21"/>
                <w:szCs w:val="21"/>
                <w:highlight w:val="none"/>
                <w:lang w:val="en-US" w:eastAsia="zh-CN"/>
              </w:rPr>
              <w:t>为10</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w:t>
            </w:r>
          </w:p>
          <w:p w14:paraId="273455BD">
            <w:pPr>
              <w:pStyle w:val="46"/>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SA"/>
              </w:rPr>
              <w:t>☐不属于</w:t>
            </w:r>
            <w:r>
              <w:rPr>
                <w:rFonts w:hint="eastAsia" w:ascii="宋体" w:hAnsi="宋体" w:eastAsia="宋体" w:cs="宋体"/>
                <w:color w:val="auto"/>
                <w:spacing w:val="-1"/>
                <w:sz w:val="21"/>
                <w:szCs w:val="21"/>
                <w:highlight w:val="none"/>
              </w:rPr>
              <w:t>小</w:t>
            </w:r>
            <w:r>
              <w:rPr>
                <w:rFonts w:hint="eastAsia" w:ascii="宋体" w:hAnsi="宋体" w:eastAsia="宋体" w:cs="宋体"/>
                <w:color w:val="auto"/>
                <w:kern w:val="2"/>
                <w:sz w:val="21"/>
                <w:szCs w:val="21"/>
                <w:highlight w:val="none"/>
              </w:rPr>
              <w:t>微</w:t>
            </w:r>
            <w:r>
              <w:rPr>
                <w:rFonts w:hint="eastAsia" w:ascii="宋体" w:hAnsi="宋体" w:eastAsia="宋体" w:cs="宋体"/>
                <w:color w:val="auto"/>
                <w:spacing w:val="-1"/>
                <w:sz w:val="21"/>
                <w:szCs w:val="21"/>
                <w:highlight w:val="none"/>
              </w:rPr>
              <w:t>企业</w:t>
            </w:r>
            <w:r>
              <w:rPr>
                <w:rFonts w:hint="eastAsia" w:hAnsi="宋体" w:cs="宋体"/>
                <w:color w:val="auto"/>
                <w:spacing w:val="-1"/>
                <w:sz w:val="21"/>
                <w:szCs w:val="21"/>
                <w:highlight w:val="none"/>
                <w:lang w:eastAsia="zh-CN"/>
              </w:rPr>
              <w:t>。</w:t>
            </w:r>
          </w:p>
          <w:p w14:paraId="7538FBDC">
            <w:pPr>
              <w:widowControl/>
              <w:snapToGrid w:val="0"/>
              <w:spacing w:line="3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文件所提供的全部资料的真实性承担法律责任，并将无条件接受采购代理机构、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人及政府采购监督管理部门等对其中任何资料进行核实的要求。</w:t>
            </w:r>
          </w:p>
        </w:tc>
      </w:tr>
    </w:tbl>
    <w:p w14:paraId="6B1ADAB4">
      <w:pPr>
        <w:snapToGrid w:val="0"/>
        <w:spacing w:before="0" w:after="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注：1.报价一经涂改，应在涂改处加盖单位公章或者由法定代表人或授权委托人签字或盖章，否则其投标作无效标处理。</w:t>
      </w:r>
    </w:p>
    <w:p w14:paraId="69299481">
      <w:pPr>
        <w:snapToGrid w:val="0"/>
        <w:spacing w:before="0" w:after="0" w:line="360" w:lineRule="exact"/>
        <w:ind w:firstLine="422" w:firstLineChars="200"/>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2.响应供应商不得进行影响产品（或服务）质量或者诚信履约的恶意报价。</w:t>
      </w:r>
      <w:r>
        <w:rPr>
          <w:rFonts w:hint="eastAsia" w:ascii="宋体" w:hAnsi="宋体" w:eastAsia="宋体" w:cs="宋体"/>
          <w:b/>
          <w:bCs/>
          <w:color w:val="auto"/>
          <w:sz w:val="21"/>
          <w:szCs w:val="21"/>
          <w:highlight w:val="none"/>
          <w:u w:val="none"/>
          <w:lang w:val="en-US" w:eastAsia="zh-CN"/>
        </w:rPr>
        <w:t>响应供应商报价低于项目预算50%的，应当详细阐述不影响产品（或服务）质量或者诚信履约的具体原因如下：</w:t>
      </w:r>
      <w:r>
        <w:rPr>
          <w:rFonts w:hint="eastAsia" w:hAnsi="宋体" w:cs="宋体"/>
          <w:color w:val="auto"/>
          <w:kern w:val="2"/>
          <w:sz w:val="21"/>
          <w:szCs w:val="21"/>
          <w:highlight w:val="none"/>
          <w:lang w:val="en-US" w:eastAsia="zh-CN"/>
        </w:rPr>
        <w:t>-----------------。</w:t>
      </w:r>
    </w:p>
    <w:p w14:paraId="30F2AC84">
      <w:pPr>
        <w:spacing w:line="36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供应商全称（加盖公章）：</w:t>
      </w:r>
    </w:p>
    <w:p w14:paraId="59096B66">
      <w:pPr>
        <w:spacing w:line="360" w:lineRule="exact"/>
        <w:jc w:val="center"/>
        <w:rPr>
          <w:rFonts w:hint="eastAsia" w:ascii="宋体" w:hAnsi="宋体" w:eastAsia="宋体" w:cs="宋体"/>
          <w:color w:val="auto"/>
          <w:sz w:val="21"/>
          <w:szCs w:val="21"/>
          <w:highlight w:val="none"/>
        </w:rPr>
      </w:pPr>
    </w:p>
    <w:p w14:paraId="26D94FF2">
      <w:pPr>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w:t>
      </w:r>
    </w:p>
    <w:p w14:paraId="071B51FC">
      <w:pPr>
        <w:rPr>
          <w:rFonts w:hint="eastAsia" w:ascii="宋体" w:hAnsi="宋体" w:eastAsia="宋体" w:cs="宋体"/>
          <w:smallCaps/>
          <w:color w:val="auto"/>
          <w:sz w:val="21"/>
          <w:szCs w:val="21"/>
          <w:highlight w:val="none"/>
        </w:rPr>
      </w:pPr>
    </w:p>
    <w:p w14:paraId="0936F0A9">
      <w:pPr>
        <w:ind w:firstLine="630" w:firstLineChars="3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 xml:space="preserve">日期：    年      月      日 </w:t>
      </w:r>
    </w:p>
    <w:p w14:paraId="464DBE06">
      <w:pPr>
        <w:rPr>
          <w:rFonts w:hint="eastAsia" w:ascii="宋体" w:hAnsi="宋体" w:eastAsia="宋体" w:cs="宋体"/>
          <w:b/>
          <w:color w:val="auto"/>
          <w:sz w:val="24"/>
          <w:highlight w:val="none"/>
        </w:rPr>
      </w:pPr>
    </w:p>
    <w:p w14:paraId="6577DBF2">
      <w:pPr>
        <w:pStyle w:val="169"/>
        <w:rPr>
          <w:rFonts w:hint="eastAsia" w:ascii="宋体" w:hAnsi="宋体" w:eastAsia="宋体" w:cs="宋体"/>
          <w:color w:val="auto"/>
          <w:highlight w:val="none"/>
        </w:rPr>
      </w:pPr>
    </w:p>
    <w:p w14:paraId="336DFE59">
      <w:pPr>
        <w:pStyle w:val="169"/>
        <w:rPr>
          <w:rFonts w:hint="eastAsia" w:ascii="宋体" w:hAnsi="宋体" w:eastAsia="宋体" w:cs="宋体"/>
          <w:color w:val="auto"/>
          <w:highlight w:val="none"/>
        </w:rPr>
      </w:pPr>
    </w:p>
    <w:p w14:paraId="5F8594F3">
      <w:pPr>
        <w:snapToGrid w:val="0"/>
        <w:spacing w:line="360" w:lineRule="auto"/>
        <w:ind w:right="480"/>
        <w:jc w:val="center"/>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lang w:val="en-US" w:eastAsia="zh-CN"/>
        </w:rPr>
        <w:t>3.</w:t>
      </w:r>
      <w:r>
        <w:rPr>
          <w:rFonts w:hint="eastAsia" w:ascii="宋体" w:hAnsi="宋体" w:eastAsia="宋体" w:cs="宋体"/>
          <w:b/>
          <w:color w:val="auto"/>
          <w:sz w:val="24"/>
          <w:highlight w:val="none"/>
        </w:rPr>
        <w:t>中小企业（或残疾人福利性单位、监狱企业）提供服务的资料</w:t>
      </w:r>
    </w:p>
    <w:p w14:paraId="26B53A49">
      <w:pPr>
        <w:spacing w:line="360" w:lineRule="exact"/>
        <w:ind w:left="1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1"/>
          <w:sz w:val="21"/>
          <w:szCs w:val="21"/>
          <w:highlight w:val="none"/>
        </w:rPr>
        <w:t>应完整提供以下资料，否则评审时将不能享受相应的价格折扣）</w:t>
      </w:r>
    </w:p>
    <w:p w14:paraId="39716B04">
      <w:pPr>
        <w:pStyle w:val="2"/>
        <w:spacing w:after="0" w:line="500" w:lineRule="exact"/>
        <w:ind w:left="0" w:leftChars="0" w:firstLine="4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（1）中小企业声明函（工程、服务）</w:t>
      </w:r>
    </w:p>
    <w:p w14:paraId="6417BBF2">
      <w:pPr>
        <w:pStyle w:val="2"/>
        <w:spacing w:after="0" w:line="500" w:lineRule="exact"/>
        <w:ind w:left="0" w:leftChars="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 号）的规定，本公司参加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AE6D2F3">
      <w:pPr>
        <w:pStyle w:val="2"/>
        <w:spacing w:after="0" w:line="500" w:lineRule="exact"/>
        <w:ind w:left="0" w:leftChars="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5D8DE1DF">
      <w:pPr>
        <w:pStyle w:val="2"/>
        <w:spacing w:after="0" w:line="500" w:lineRule="exact"/>
        <w:ind w:left="0" w:leftChars="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37D5A14">
      <w:pPr>
        <w:pStyle w:val="2"/>
        <w:spacing w:after="0" w:line="500" w:lineRule="exact"/>
        <w:ind w:left="0" w:leftChars="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40FB110">
      <w:pPr>
        <w:pStyle w:val="2"/>
        <w:spacing w:after="0" w:line="500" w:lineRule="exact"/>
        <w:ind w:left="0" w:leftChars="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5A4570C4">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44922CF6">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3821928C">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36E451D">
      <w:pPr>
        <w:snapToGrid w:val="0"/>
        <w:spacing w:line="460" w:lineRule="exac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填报说明：</w:t>
      </w:r>
      <w:r>
        <w:rPr>
          <w:rFonts w:hint="eastAsia" w:ascii="宋体" w:hAnsi="宋体" w:eastAsia="宋体" w:cs="宋体"/>
          <w:color w:val="auto"/>
          <w:kern w:val="2"/>
          <w:sz w:val="21"/>
          <w:szCs w:val="21"/>
          <w:highlight w:val="none"/>
        </w:rPr>
        <w:t>①本声明函中“从业人员”、“营业收入”、“资产总额”填报上一年度数据，无上一年度数据的新成立企业可不填报。</w:t>
      </w:r>
    </w:p>
    <w:tbl>
      <w:tblPr>
        <w:tblStyle w:val="4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063"/>
        <w:gridCol w:w="2385"/>
        <w:gridCol w:w="2036"/>
        <w:gridCol w:w="2046"/>
      </w:tblGrid>
      <w:tr w14:paraId="6419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vAlign w:val="center"/>
          </w:tcPr>
          <w:p w14:paraId="14F117C6">
            <w:pPr>
              <w:snapToGrid w:val="0"/>
              <w:spacing w:line="460" w:lineRule="exact"/>
              <w:ind w:firstLine="420" w:firstLineChars="20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rPr>
              <w:t>②本项目采购标的对应的中小企业划分标准所属行业为《中小企业划型标准规定》（工信部联企业〔2011〕300号）中的</w:t>
            </w:r>
            <w:r>
              <w:rPr>
                <w:rFonts w:hint="eastAsia" w:ascii="宋体" w:hAnsi="宋体" w:eastAsia="宋体" w:cs="宋体"/>
                <w:color w:val="auto"/>
                <w:kern w:val="2"/>
                <w:sz w:val="21"/>
                <w:szCs w:val="21"/>
                <w:highlight w:val="none"/>
                <w:lang w:eastAsia="zh-CN"/>
              </w:rPr>
              <w:t>“</w:t>
            </w:r>
            <w:r>
              <w:rPr>
                <w:rFonts w:hint="eastAsia" w:hAnsi="宋体" w:cs="宋体"/>
                <w:color w:val="auto"/>
                <w:kern w:val="2"/>
                <w:sz w:val="21"/>
                <w:szCs w:val="21"/>
                <w:highlight w:val="none"/>
                <w:lang w:eastAsia="zh-CN"/>
              </w:rPr>
              <w:t>文化、体育和娱乐业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rPr>
              <w:t>划型标准</w:t>
            </w:r>
            <w:r>
              <w:rPr>
                <w:rFonts w:hint="eastAsia" w:hAnsi="宋体" w:cs="宋体"/>
                <w:color w:val="auto"/>
                <w:sz w:val="21"/>
                <w:szCs w:val="21"/>
                <w:highlight w:val="none"/>
                <w:lang w:val="en-US" w:eastAsia="zh-CN"/>
              </w:rPr>
              <w:t>如下</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vertAlign w:val="baseline"/>
                <w:lang w:val="en-US" w:eastAsia="zh-CN"/>
              </w:rPr>
              <w:t>大、</w:t>
            </w:r>
            <w:r>
              <w:rPr>
                <w:rFonts w:hint="eastAsia" w:ascii="宋体" w:hAnsi="宋体" w:eastAsia="宋体" w:cs="宋体"/>
                <w:b/>
                <w:bCs/>
                <w:color w:val="auto"/>
                <w:sz w:val="21"/>
                <w:szCs w:val="21"/>
                <w:highlight w:val="none"/>
                <w:vertAlign w:val="baseline"/>
              </w:rPr>
              <w:t>中</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rPr>
              <w:t>小</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微</w:t>
            </w:r>
            <w:r>
              <w:rPr>
                <w:rFonts w:hint="eastAsia" w:ascii="宋体" w:hAnsi="宋体" w:eastAsia="宋体" w:cs="宋体"/>
                <w:b/>
                <w:bCs/>
                <w:color w:val="auto"/>
                <w:sz w:val="21"/>
                <w:szCs w:val="21"/>
                <w:highlight w:val="none"/>
                <w:vertAlign w:val="baseline"/>
              </w:rPr>
              <w:t>企业划型标准</w:t>
            </w:r>
            <w:r>
              <w:rPr>
                <w:rFonts w:hint="eastAsia" w:ascii="宋体" w:hAnsi="宋体" w:eastAsia="宋体" w:cs="宋体"/>
                <w:b/>
                <w:bCs/>
                <w:color w:val="auto"/>
                <w:sz w:val="21"/>
                <w:szCs w:val="21"/>
                <w:highlight w:val="none"/>
                <w:vertAlign w:val="baseline"/>
                <w:lang w:val="en-US" w:eastAsia="zh-CN"/>
              </w:rPr>
              <w:t>对照表</w:t>
            </w:r>
          </w:p>
          <w:p w14:paraId="0F77FE47">
            <w:pPr>
              <w:snapToGrid w:val="0"/>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所属行业：</w:t>
            </w:r>
            <w:r>
              <w:rPr>
                <w:rFonts w:hint="eastAsia" w:hAnsi="宋体" w:cs="宋体"/>
                <w:color w:val="auto"/>
                <w:sz w:val="21"/>
                <w:szCs w:val="21"/>
                <w:highlight w:val="none"/>
                <w:u w:val="single"/>
                <w:vertAlign w:val="baseline"/>
                <w:lang w:val="en-US" w:eastAsia="zh-CN"/>
              </w:rPr>
              <w:t>文化、体育和娱乐业</w:t>
            </w:r>
          </w:p>
        </w:tc>
      </w:tr>
      <w:tr w14:paraId="3625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3A4C3311">
            <w:pPr>
              <w:jc w:val="center"/>
              <w:rPr>
                <w:rFonts w:hint="eastAsia" w:ascii="宋体" w:hAnsi="宋体" w:eastAsia="宋体" w:cs="宋体"/>
                <w:color w:val="auto"/>
                <w:sz w:val="21"/>
                <w:szCs w:val="21"/>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序号</w:t>
            </w:r>
          </w:p>
        </w:tc>
        <w:tc>
          <w:tcPr>
            <w:tcW w:w="2063" w:type="dxa"/>
            <w:vAlign w:val="center"/>
          </w:tcPr>
          <w:p w14:paraId="1F6902FF">
            <w:pPr>
              <w:keepNext w:val="0"/>
              <w:keepLines w:val="0"/>
              <w:widowControl/>
              <w:suppressLineNumbers w:val="0"/>
              <w:snapToGrid w:val="0"/>
              <w:spacing w:line="46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从业人员X</w:t>
            </w:r>
          </w:p>
          <w:p w14:paraId="625F38F5">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default" w:ascii="Times New Roman" w:hAnsi="Times New Roman" w:eastAsia="宋体" w:cs="Times New Roman"/>
                <w:i w:val="0"/>
                <w:iCs w:val="0"/>
                <w:color w:val="auto"/>
                <w:kern w:val="0"/>
                <w:sz w:val="24"/>
                <w:szCs w:val="24"/>
                <w:highlight w:val="none"/>
                <w:u w:val="none"/>
                <w:lang w:val="en-US" w:eastAsia="zh-CN" w:bidi="ar"/>
              </w:rPr>
              <w:t>（人）</w:t>
            </w:r>
          </w:p>
        </w:tc>
        <w:tc>
          <w:tcPr>
            <w:tcW w:w="2385" w:type="dxa"/>
            <w:vAlign w:val="center"/>
          </w:tcPr>
          <w:p w14:paraId="643DB03D">
            <w:pPr>
              <w:keepNext w:val="0"/>
              <w:keepLines w:val="0"/>
              <w:widowControl/>
              <w:suppressLineNumbers w:val="0"/>
              <w:snapToGrid w:val="0"/>
              <w:spacing w:line="46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营业收入Y</w:t>
            </w:r>
          </w:p>
          <w:p w14:paraId="6F122402">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default" w:ascii="Times New Roman" w:hAnsi="Times New Roman" w:eastAsia="宋体" w:cs="Times New Roman"/>
                <w:i w:val="0"/>
                <w:iCs w:val="0"/>
                <w:color w:val="auto"/>
                <w:kern w:val="0"/>
                <w:sz w:val="24"/>
                <w:szCs w:val="24"/>
                <w:highlight w:val="none"/>
                <w:u w:val="none"/>
                <w:lang w:val="en-US" w:eastAsia="zh-CN" w:bidi="ar"/>
              </w:rPr>
              <w:t>（万元）</w:t>
            </w:r>
          </w:p>
        </w:tc>
        <w:tc>
          <w:tcPr>
            <w:tcW w:w="2036" w:type="dxa"/>
            <w:vAlign w:val="center"/>
          </w:tcPr>
          <w:p w14:paraId="08BC82F4">
            <w:pPr>
              <w:keepNext w:val="0"/>
              <w:keepLines w:val="0"/>
              <w:widowControl/>
              <w:suppressLineNumbers w:val="0"/>
              <w:snapToGrid w:val="0"/>
              <w:spacing w:line="46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资产总额Z</w:t>
            </w:r>
          </w:p>
          <w:p w14:paraId="3E6991A9">
            <w:pPr>
              <w:keepNext w:val="0"/>
              <w:keepLines w:val="0"/>
              <w:widowControl/>
              <w:suppressLineNumbers w:val="0"/>
              <w:snapToGrid w:val="0"/>
              <w:spacing w:line="460" w:lineRule="exact"/>
              <w:jc w:val="center"/>
              <w:textAlignment w:val="center"/>
              <w:rPr>
                <w:rFonts w:hint="eastAsia" w:ascii="宋体" w:hAnsi="宋体" w:eastAsia="宋体" w:cs="宋体"/>
                <w:color w:val="auto"/>
                <w:sz w:val="21"/>
                <w:szCs w:val="21"/>
                <w:highlight w:val="none"/>
                <w:vertAlign w:val="baseline"/>
              </w:rPr>
            </w:pPr>
            <w:r>
              <w:rPr>
                <w:rFonts w:hint="default" w:ascii="Times New Roman" w:hAnsi="Times New Roman" w:eastAsia="宋体" w:cs="Times New Roman"/>
                <w:i w:val="0"/>
                <w:iCs w:val="0"/>
                <w:color w:val="auto"/>
                <w:kern w:val="0"/>
                <w:sz w:val="24"/>
                <w:szCs w:val="24"/>
                <w:highlight w:val="none"/>
                <w:u w:val="none"/>
                <w:lang w:val="en-US" w:eastAsia="zh-CN" w:bidi="ar"/>
              </w:rPr>
              <w:t>（万元）</w:t>
            </w:r>
          </w:p>
        </w:tc>
        <w:tc>
          <w:tcPr>
            <w:tcW w:w="2046" w:type="dxa"/>
            <w:vAlign w:val="center"/>
          </w:tcPr>
          <w:p w14:paraId="4369B5B1">
            <w:pPr>
              <w:jc w:val="center"/>
              <w:rPr>
                <w:rFonts w:hint="eastAsia" w:ascii="宋体" w:hAnsi="宋体" w:eastAsia="宋体" w:cs="宋体"/>
                <w:color w:val="auto"/>
                <w:sz w:val="21"/>
                <w:szCs w:val="21"/>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对应企业类型</w:t>
            </w:r>
          </w:p>
        </w:tc>
      </w:tr>
      <w:tr w14:paraId="4285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3620E89A">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063" w:type="dxa"/>
            <w:vAlign w:val="center"/>
          </w:tcPr>
          <w:p w14:paraId="5A8EA975">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w:t>
            </w:r>
          </w:p>
        </w:tc>
        <w:tc>
          <w:tcPr>
            <w:tcW w:w="2385" w:type="dxa"/>
            <w:vAlign w:val="center"/>
          </w:tcPr>
          <w:p w14:paraId="5AD4ACDD">
            <w:pPr>
              <w:autoSpaceDE/>
              <w:autoSpaceDN/>
              <w:spacing w:line="46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2036" w:type="dxa"/>
            <w:vAlign w:val="center"/>
          </w:tcPr>
          <w:p w14:paraId="745666D5">
            <w:pPr>
              <w:autoSpaceDE/>
              <w:autoSpaceDN/>
              <w:spacing w:line="46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2046" w:type="dxa"/>
            <w:vAlign w:val="center"/>
          </w:tcPr>
          <w:p w14:paraId="44B325C0">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微型</w:t>
            </w:r>
          </w:p>
        </w:tc>
      </w:tr>
      <w:tr w14:paraId="3919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5D3FC85D">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063" w:type="dxa"/>
            <w:vAlign w:val="center"/>
          </w:tcPr>
          <w:p w14:paraId="59431B44">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w:t>
            </w:r>
            <w:r>
              <w:rPr>
                <w:rFonts w:hint="eastAsia" w:ascii="宋体" w:hAnsi="宋体" w:eastAsia="宋体" w:cs="宋体"/>
                <w:color w:val="auto"/>
                <w:sz w:val="21"/>
                <w:szCs w:val="21"/>
                <w:highlight w:val="none"/>
                <w:vertAlign w:val="baseline"/>
                <w:lang w:val="en-US" w:eastAsia="zh-CN"/>
              </w:rPr>
              <w:t xml:space="preserve"> 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00</w:t>
            </w:r>
          </w:p>
        </w:tc>
        <w:tc>
          <w:tcPr>
            <w:tcW w:w="2385" w:type="dxa"/>
            <w:vAlign w:val="center"/>
          </w:tcPr>
          <w:p w14:paraId="1F3C0D2A">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2036" w:type="dxa"/>
            <w:vAlign w:val="center"/>
          </w:tcPr>
          <w:p w14:paraId="0F6D7A83">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2046" w:type="dxa"/>
            <w:vAlign w:val="center"/>
          </w:tcPr>
          <w:p w14:paraId="2BDD28EB">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小型</w:t>
            </w:r>
          </w:p>
        </w:tc>
      </w:tr>
      <w:tr w14:paraId="0423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77387C29">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063" w:type="dxa"/>
            <w:vAlign w:val="center"/>
          </w:tcPr>
          <w:p w14:paraId="45FF05AB">
            <w:pPr>
              <w:autoSpaceDE/>
              <w:autoSpaceDN/>
              <w:spacing w:line="46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rPr>
              <w:t>00≤</w:t>
            </w:r>
            <w:r>
              <w:rPr>
                <w:rFonts w:hint="eastAsia" w:ascii="宋体" w:hAnsi="宋体" w:eastAsia="宋体" w:cs="宋体"/>
                <w:color w:val="auto"/>
                <w:sz w:val="21"/>
                <w:szCs w:val="21"/>
                <w:highlight w:val="none"/>
                <w:vertAlign w:val="baseline"/>
                <w:lang w:val="en-US" w:eastAsia="zh-CN"/>
              </w:rPr>
              <w:t xml:space="preserve"> 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300</w:t>
            </w:r>
          </w:p>
        </w:tc>
        <w:tc>
          <w:tcPr>
            <w:tcW w:w="2385" w:type="dxa"/>
            <w:vAlign w:val="center"/>
          </w:tcPr>
          <w:p w14:paraId="0CE932A0">
            <w:pPr>
              <w:autoSpaceDE/>
              <w:autoSpaceDN/>
              <w:spacing w:line="460" w:lineRule="exact"/>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不限</w:t>
            </w:r>
          </w:p>
        </w:tc>
        <w:tc>
          <w:tcPr>
            <w:tcW w:w="2036" w:type="dxa"/>
            <w:vAlign w:val="center"/>
          </w:tcPr>
          <w:p w14:paraId="1FDF8234">
            <w:pPr>
              <w:autoSpaceDE/>
              <w:autoSpaceDN/>
              <w:spacing w:line="46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2046" w:type="dxa"/>
            <w:vAlign w:val="center"/>
          </w:tcPr>
          <w:p w14:paraId="40593341">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中型</w:t>
            </w:r>
          </w:p>
        </w:tc>
      </w:tr>
      <w:tr w14:paraId="1567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45B121DE">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063" w:type="dxa"/>
            <w:vAlign w:val="center"/>
          </w:tcPr>
          <w:p w14:paraId="29C795D9">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X ≥300</w:t>
            </w:r>
          </w:p>
        </w:tc>
        <w:tc>
          <w:tcPr>
            <w:tcW w:w="2385" w:type="dxa"/>
            <w:vAlign w:val="center"/>
          </w:tcPr>
          <w:p w14:paraId="26C87736">
            <w:pPr>
              <w:autoSpaceDE/>
              <w:autoSpaceDN/>
              <w:spacing w:line="46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2036" w:type="dxa"/>
            <w:vAlign w:val="center"/>
          </w:tcPr>
          <w:p w14:paraId="0DC7BE42">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2046" w:type="dxa"/>
            <w:vAlign w:val="center"/>
          </w:tcPr>
          <w:p w14:paraId="63500298">
            <w:pPr>
              <w:autoSpaceDE/>
              <w:autoSpaceDN/>
              <w:spacing w:line="46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大型</w:t>
            </w:r>
          </w:p>
        </w:tc>
      </w:tr>
      <w:tr w14:paraId="01B3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vAlign w:val="center"/>
          </w:tcPr>
          <w:p w14:paraId="58683AB7">
            <w:pPr>
              <w:autoSpaceDE/>
              <w:autoSpaceDN/>
              <w:spacing w:line="460" w:lineRule="exact"/>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其他未列明行业。从业人员300人以下的为中小微型企业。</w:t>
            </w:r>
          </w:p>
          <w:p w14:paraId="5B085B54">
            <w:pPr>
              <w:autoSpaceDE/>
              <w:autoSpaceDN/>
              <w:spacing w:line="460" w:lineRule="exact"/>
              <w:ind w:firstLine="1050" w:firstLineChars="5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其中，从业人员100人及以上的为中型企业；</w:t>
            </w:r>
          </w:p>
          <w:p w14:paraId="2023C7E6">
            <w:pPr>
              <w:autoSpaceDE/>
              <w:autoSpaceDN/>
              <w:spacing w:line="460" w:lineRule="exact"/>
              <w:ind w:firstLine="1680" w:firstLineChars="8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从业人员10人及以上的为小型企业；</w:t>
            </w:r>
          </w:p>
          <w:p w14:paraId="176DBD29">
            <w:pPr>
              <w:autoSpaceDE/>
              <w:autoSpaceDN/>
              <w:spacing w:line="460" w:lineRule="exact"/>
              <w:ind w:firstLine="1680" w:firstLineChars="8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从业人员10人以下的为微型企业。</w:t>
            </w:r>
          </w:p>
        </w:tc>
      </w:tr>
    </w:tbl>
    <w:p w14:paraId="0DB1801A">
      <w:pPr>
        <w:snapToGrid w:val="0"/>
        <w:spacing w:beforeLines="0" w:line="460" w:lineRule="exact"/>
        <w:ind w:firstLine="1050" w:firstLineChars="5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r>
        <w:rPr>
          <w:rFonts w:hint="eastAsia" w:ascii="宋体" w:hAnsi="宋体" w:eastAsia="宋体" w:cs="宋体"/>
          <w:color w:val="auto"/>
          <w:sz w:val="21"/>
          <w:szCs w:val="21"/>
          <w:highlight w:val="none"/>
        </w:rPr>
        <w:t xml:space="preserve"> </w:t>
      </w:r>
    </w:p>
    <w:p w14:paraId="2AA712B2">
      <w:pPr>
        <w:autoSpaceDE/>
        <w:autoSpaceDN/>
        <w:adjustRightInd/>
        <w:spacing w:line="460" w:lineRule="exact"/>
        <w:ind w:left="422"/>
        <w:jc w:val="both"/>
        <w:textAlignment w:val="auto"/>
        <w:rPr>
          <w:rFonts w:hint="eastAsia" w:ascii="宋体" w:hAnsi="宋体" w:eastAsia="宋体" w:cs="宋体"/>
          <w:b/>
          <w:bCs/>
          <w:color w:val="auto"/>
          <w:sz w:val="21"/>
          <w:szCs w:val="21"/>
          <w:highlight w:val="none"/>
        </w:rPr>
      </w:pPr>
    </w:p>
    <w:p w14:paraId="7136517F">
      <w:pPr>
        <w:spacing w:line="458"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DE92930">
      <w:pPr>
        <w:spacing w:line="35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（2）残疾人福利性单位声明函</w:t>
      </w:r>
    </w:p>
    <w:p w14:paraId="420F6E93">
      <w:pPr>
        <w:pStyle w:val="125"/>
        <w:spacing w:before="240" w:beforeLines="100" w:line="500" w:lineRule="exact"/>
        <w:ind w:firstLine="601"/>
        <w:rPr>
          <w:rFonts w:hint="eastAsia" w:ascii="宋体" w:hAnsi="宋体" w:eastAsia="宋体" w:cs="宋体"/>
          <w:color w:val="auto"/>
          <w:kern w:val="2"/>
          <w:highlight w:val="none"/>
        </w:rPr>
      </w:pPr>
      <w:r>
        <w:rPr>
          <w:rFonts w:hint="eastAsia" w:ascii="宋体" w:hAnsi="宋体" w:eastAsia="宋体" w:cs="宋体"/>
          <w:color w:val="auto"/>
          <w:kern w:val="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7E7564">
      <w:pPr>
        <w:pStyle w:val="125"/>
        <w:spacing w:line="500" w:lineRule="exact"/>
        <w:ind w:firstLine="600"/>
        <w:rPr>
          <w:rFonts w:hint="eastAsia" w:ascii="宋体" w:hAnsi="宋体" w:eastAsia="宋体" w:cs="宋体"/>
          <w:color w:val="auto"/>
          <w:kern w:val="2"/>
          <w:highlight w:val="none"/>
        </w:rPr>
      </w:pPr>
      <w:r>
        <w:rPr>
          <w:rFonts w:hint="eastAsia" w:ascii="宋体" w:hAnsi="宋体" w:eastAsia="宋体" w:cs="宋体"/>
          <w:color w:val="auto"/>
          <w:kern w:val="2"/>
          <w:highlight w:val="none"/>
        </w:rPr>
        <w:t>本单位对上述声明的真实性负责。如有虚假，将依法承担相应责任。</w:t>
      </w:r>
    </w:p>
    <w:p w14:paraId="2C530CC8">
      <w:pPr>
        <w:pStyle w:val="125"/>
        <w:spacing w:line="500" w:lineRule="exact"/>
        <w:ind w:right="1560" w:firstLine="600"/>
        <w:jc w:val="center"/>
        <w:rPr>
          <w:rFonts w:hint="eastAsia" w:ascii="宋体" w:hAnsi="宋体" w:eastAsia="宋体" w:cs="宋体"/>
          <w:color w:val="auto"/>
          <w:kern w:val="2"/>
          <w:highlight w:val="none"/>
        </w:rPr>
      </w:pPr>
      <w:r>
        <w:rPr>
          <w:rFonts w:hint="eastAsia" w:ascii="宋体" w:hAnsi="宋体" w:eastAsia="宋体" w:cs="宋体"/>
          <w:color w:val="auto"/>
          <w:spacing w:val="6"/>
          <w:highlight w:val="none"/>
        </w:rPr>
        <w:t xml:space="preserve">               </w:t>
      </w:r>
      <w:r>
        <w:rPr>
          <w:rFonts w:hint="eastAsia" w:ascii="宋体" w:hAnsi="宋体" w:eastAsia="宋体" w:cs="宋体"/>
          <w:color w:val="auto"/>
          <w:kern w:val="2"/>
          <w:highlight w:val="none"/>
        </w:rPr>
        <w:t>单位名称（盖章）：</w:t>
      </w:r>
    </w:p>
    <w:p w14:paraId="0288492F">
      <w:pPr>
        <w:pStyle w:val="125"/>
        <w:spacing w:line="500" w:lineRule="exact"/>
        <w:ind w:right="1560" w:firstLine="600"/>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日  期：</w:t>
      </w:r>
    </w:p>
    <w:p w14:paraId="3BB3D5EC">
      <w:pPr>
        <w:snapToGrid w:val="0"/>
        <w:spacing w:line="500" w:lineRule="exact"/>
        <w:jc w:val="center"/>
        <w:rPr>
          <w:rFonts w:hint="eastAsia" w:ascii="宋体" w:hAnsi="宋体" w:eastAsia="宋体" w:cs="宋体"/>
          <w:color w:val="auto"/>
          <w:sz w:val="21"/>
          <w:szCs w:val="21"/>
          <w:highlight w:val="none"/>
        </w:rPr>
      </w:pPr>
    </w:p>
    <w:p w14:paraId="669409B6">
      <w:pPr>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（3）监狱企业证明文件</w:t>
      </w:r>
    </w:p>
    <w:p w14:paraId="46050C9B">
      <w:pPr>
        <w:pStyle w:val="169"/>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监狱企业参加政府采购活动时，应当提供由省级以上监狱管理局、戒毒管理局（含新疆生产建设兵团）出具的属于监狱企业的证明文件。</w:t>
      </w:r>
    </w:p>
    <w:p w14:paraId="7611E583">
      <w:pPr>
        <w:pStyle w:val="169"/>
        <w:rPr>
          <w:rFonts w:hint="eastAsia" w:ascii="宋体" w:hAnsi="宋体" w:eastAsia="宋体" w:cs="宋体"/>
          <w:color w:val="auto"/>
          <w:highlight w:val="none"/>
        </w:rPr>
      </w:pPr>
    </w:p>
    <w:p w14:paraId="6BC9A97E">
      <w:pPr>
        <w:ind w:firstLine="0" w:firstLineChars="0"/>
        <w:rPr>
          <w:rFonts w:hint="eastAsia" w:ascii="宋体" w:hAnsi="宋体" w:eastAsia="宋体" w:cs="宋体"/>
          <w:color w:val="auto"/>
          <w:highlight w:val="none"/>
        </w:rPr>
      </w:pP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ingFang SC">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2010609000101010101"/>
    <w:charset w:val="86"/>
    <w:family w:val="modern"/>
    <w:pitch w:val="default"/>
    <w:sig w:usb0="00000000" w:usb1="00000000" w:usb2="00000002" w:usb3="00000000" w:csb0="00040000" w:csb1="00000000"/>
  </w:font>
  <w:font w:name="Courier">
    <w:altName w:val="Courier New"/>
    <w:panose1 w:val="02060409020205020404"/>
    <w:charset w:val="00"/>
    <w:family w:val="modern"/>
    <w:pitch w:val="default"/>
    <w:sig w:usb0="00000000" w:usb1="00000000" w:usb2="00000000" w:usb3="00000000" w:csb0="00000093"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0" w:usb3="00000000" w:csb0="00000093"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2706">
    <w:pPr>
      <w:pStyle w:val="30"/>
      <w:pBdr>
        <w:top w:val="single" w:color="auto" w:sz="4" w:space="1"/>
      </w:pBdr>
      <w:ind w:right="5"/>
      <w:jc w:val="center"/>
    </w:pP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EFE9">
    <w:pPr>
      <w:pStyle w:val="32"/>
      <w:pBdr>
        <w:bottom w:val="single" w:color="auto" w:sz="6" w:space="0"/>
      </w:pBdr>
      <w:tabs>
        <w:tab w:val="center" w:pos="4140"/>
        <w:tab w:val="right" w:pos="8300"/>
        <w:tab w:val="clear" w:pos="4153"/>
        <w:tab w:val="clear" w:pos="8306"/>
      </w:tabs>
      <w:rPr>
        <w:rFonts w:hint="eastAsia" w:ascii="宋体" w:hAnsi="宋体" w:cs="宋体"/>
      </w:rPr>
    </w:pPr>
    <w:r>
      <w:rPr>
        <w:rFonts w:hint="eastAsia" w:ascii="宋体" w:hAnsi="宋体" w:cs="宋体"/>
      </w:rPr>
      <w:t>金华市天盈招标代理有限公司</w:t>
    </w:r>
  </w:p>
  <w:p w14:paraId="24B963AC">
    <w:pPr>
      <w:pStyle w:val="32"/>
      <w:pBdr>
        <w:bottom w:val="single" w:color="auto" w:sz="6" w:space="0"/>
      </w:pBdr>
      <w:tabs>
        <w:tab w:val="center" w:pos="4140"/>
        <w:tab w:val="right" w:pos="8300"/>
        <w:tab w:val="clear" w:pos="4153"/>
        <w:tab w:val="clear" w:pos="8306"/>
      </w:tabs>
      <w:rPr>
        <w:rFonts w:hint="default"/>
        <w:lang w:val="en-US"/>
      </w:rPr>
    </w:pPr>
    <w:r>
      <w:rPr>
        <w:sz w:val="18"/>
      </w:rPr>
      <w:pict>
        <v:shape id="PowerPlusWaterMarkObject180652" o:spid="_x0000_s4097" o:spt="136" type="#_x0000_t136" style="position:absolute;left:0pt;height:48.4pt;width:481.9pt;mso-position-horizontal:center;mso-position-horizontal-relative:margin;mso-position-vertical:center;mso-position-vertical-relative:margin;rotation:3080192f;z-index:-251657216;mso-width-relative:page;mso-height-relative:page;" fillcolor="#C0C0C0" filled="t" stroked="f" coordsize="21600,21600" adj="10800">
          <v:path/>
          <v:fill on="t" opacity="32768f" focussize="0,0"/>
          <v:stroke on="f"/>
          <v:imagedata o:title=""/>
          <o:lock v:ext="edit" aspectratio="t"/>
          <v:textpath on="t" fitshape="t" fitpath="t" trim="t" xscale="f" string="金华市天盈招标代理有限公司" style="font-family:宋体;font-size:36pt;v-same-letter-heights:f;v-text-align:center;"/>
        </v:shape>
      </w:pict>
    </w:r>
    <w:r>
      <w:rPr>
        <w:rFonts w:hint="eastAsia" w:ascii="宋体" w:hAnsi="宋体" w:cs="宋体"/>
      </w:rPr>
      <w:t>项目编号：</w:t>
    </w:r>
    <w:r>
      <w:rPr>
        <w:rFonts w:hint="eastAsia" w:hAnsi="宋体" w:cs="宋体"/>
        <w:lang w:eastAsia="zh-CN"/>
      </w:rPr>
      <w:t>TY2025-FW031-ZFCG031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DF2B4"/>
    <w:multiLevelType w:val="singleLevel"/>
    <w:tmpl w:val="F68DF2B4"/>
    <w:lvl w:ilvl="0" w:tentative="0">
      <w:start w:val="3"/>
      <w:numFmt w:val="decimal"/>
      <w:lvlText w:val="%1."/>
      <w:lvlJc w:val="left"/>
      <w:pPr>
        <w:tabs>
          <w:tab w:val="left" w:pos="312"/>
        </w:tabs>
      </w:pPr>
    </w:lvl>
  </w:abstractNum>
  <w:abstractNum w:abstractNumId="1">
    <w:nsid w:val="00000004"/>
    <w:multiLevelType w:val="multilevel"/>
    <w:tmpl w:val="00000004"/>
    <w:lvl w:ilvl="0" w:tentative="0">
      <w:start w:val="1"/>
      <w:numFmt w:val="chineseCountingThousand"/>
      <w:pStyle w:val="176"/>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0CC061D9"/>
    <w:multiLevelType w:val="multilevel"/>
    <w:tmpl w:val="0CC061D9"/>
    <w:lvl w:ilvl="0" w:tentative="0">
      <w:start w:val="1"/>
      <w:numFmt w:val="japaneseCounting"/>
      <w:lvlText w:val="（%1）"/>
      <w:lvlJc w:val="left"/>
      <w:pPr>
        <w:ind w:left="1036" w:hanging="720"/>
      </w:pPr>
      <w:rPr>
        <w:rFonts w:hint="default" w:cs="Times New Roman"/>
      </w:rPr>
    </w:lvl>
    <w:lvl w:ilvl="1" w:tentative="0">
      <w:start w:val="1"/>
      <w:numFmt w:val="lowerLetter"/>
      <w:lvlText w:val="%2)"/>
      <w:lvlJc w:val="left"/>
      <w:pPr>
        <w:ind w:left="1156" w:hanging="420"/>
      </w:pPr>
      <w:rPr>
        <w:rFonts w:cs="Times New Roman"/>
      </w:rPr>
    </w:lvl>
    <w:lvl w:ilvl="2" w:tentative="0">
      <w:start w:val="1"/>
      <w:numFmt w:val="lowerRoman"/>
      <w:lvlText w:val="%3."/>
      <w:lvlJc w:val="right"/>
      <w:pPr>
        <w:ind w:left="1576" w:hanging="420"/>
      </w:pPr>
      <w:rPr>
        <w:rFonts w:cs="Times New Roman"/>
      </w:rPr>
    </w:lvl>
    <w:lvl w:ilvl="3" w:tentative="0">
      <w:start w:val="1"/>
      <w:numFmt w:val="decimal"/>
      <w:lvlText w:val="%4."/>
      <w:lvlJc w:val="left"/>
      <w:pPr>
        <w:ind w:left="1996" w:hanging="420"/>
      </w:pPr>
      <w:rPr>
        <w:rFonts w:cs="Times New Roman"/>
      </w:rPr>
    </w:lvl>
    <w:lvl w:ilvl="4" w:tentative="0">
      <w:start w:val="1"/>
      <w:numFmt w:val="lowerLetter"/>
      <w:lvlText w:val="%5)"/>
      <w:lvlJc w:val="left"/>
      <w:pPr>
        <w:ind w:left="2416" w:hanging="420"/>
      </w:pPr>
      <w:rPr>
        <w:rFonts w:cs="Times New Roman"/>
      </w:rPr>
    </w:lvl>
    <w:lvl w:ilvl="5" w:tentative="0">
      <w:start w:val="1"/>
      <w:numFmt w:val="lowerRoman"/>
      <w:lvlText w:val="%6."/>
      <w:lvlJc w:val="right"/>
      <w:pPr>
        <w:ind w:left="2836" w:hanging="420"/>
      </w:pPr>
      <w:rPr>
        <w:rFonts w:cs="Times New Roman"/>
      </w:rPr>
    </w:lvl>
    <w:lvl w:ilvl="6" w:tentative="0">
      <w:start w:val="1"/>
      <w:numFmt w:val="decimal"/>
      <w:lvlText w:val="%7."/>
      <w:lvlJc w:val="left"/>
      <w:pPr>
        <w:ind w:left="3256" w:hanging="420"/>
      </w:pPr>
      <w:rPr>
        <w:rFonts w:cs="Times New Roman"/>
      </w:rPr>
    </w:lvl>
    <w:lvl w:ilvl="7" w:tentative="0">
      <w:start w:val="1"/>
      <w:numFmt w:val="lowerLetter"/>
      <w:lvlText w:val="%8)"/>
      <w:lvlJc w:val="left"/>
      <w:pPr>
        <w:ind w:left="3676" w:hanging="420"/>
      </w:pPr>
      <w:rPr>
        <w:rFonts w:cs="Times New Roman"/>
      </w:rPr>
    </w:lvl>
    <w:lvl w:ilvl="8" w:tentative="0">
      <w:start w:val="1"/>
      <w:numFmt w:val="lowerRoman"/>
      <w:lvlText w:val="%9."/>
      <w:lvlJc w:val="right"/>
      <w:pPr>
        <w:ind w:left="4096" w:hanging="420"/>
      </w:pPr>
      <w:rPr>
        <w:rFonts w:cs="Times New Roman"/>
      </w:rPr>
    </w:lvl>
  </w:abstractNum>
  <w:abstractNum w:abstractNumId="3">
    <w:nsid w:val="50ED5EF6"/>
    <w:multiLevelType w:val="multilevel"/>
    <w:tmpl w:val="50ED5EF6"/>
    <w:lvl w:ilvl="0" w:tentative="0">
      <w:start w:val="1"/>
      <w:numFmt w:val="bullet"/>
      <w:lvlText w:val=""/>
      <w:lvlJc w:val="left"/>
      <w:pPr>
        <w:ind w:left="420" w:hanging="420"/>
      </w:pPr>
      <w:rPr>
        <w:rFonts w:hint="default" w:ascii="Wingdings" w:hAnsi="Wingdings"/>
      </w:rPr>
    </w:lvl>
    <w:lvl w:ilvl="1" w:tentative="0">
      <w:start w:val="1"/>
      <w:numFmt w:val="bullet"/>
      <w:pStyle w:val="3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rawingGridHorizontalSpacing w:val="170"/>
  <w:drawingGridVerticalSpacing w:val="240"/>
  <w:displayHorizontalDrawingGridEvery w:val="1"/>
  <w:displayVerticalDrawingGridEvery w:val="1"/>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757B"/>
    <w:rsid w:val="015A165F"/>
    <w:rsid w:val="017E4CF4"/>
    <w:rsid w:val="05F220F7"/>
    <w:rsid w:val="0687687D"/>
    <w:rsid w:val="098D304A"/>
    <w:rsid w:val="09A171AE"/>
    <w:rsid w:val="0C5D5EB2"/>
    <w:rsid w:val="12174F59"/>
    <w:rsid w:val="15F07F9B"/>
    <w:rsid w:val="19185113"/>
    <w:rsid w:val="1D5C4168"/>
    <w:rsid w:val="1EF422EE"/>
    <w:rsid w:val="211A595D"/>
    <w:rsid w:val="22E9199F"/>
    <w:rsid w:val="236C2D42"/>
    <w:rsid w:val="25E7E9CF"/>
    <w:rsid w:val="287773CC"/>
    <w:rsid w:val="28A25958"/>
    <w:rsid w:val="2D1D4F45"/>
    <w:rsid w:val="2D83304B"/>
    <w:rsid w:val="2E0E0E30"/>
    <w:rsid w:val="314D6872"/>
    <w:rsid w:val="32083818"/>
    <w:rsid w:val="36401AD9"/>
    <w:rsid w:val="382D6347"/>
    <w:rsid w:val="38CC7F9C"/>
    <w:rsid w:val="3AAD1707"/>
    <w:rsid w:val="3C924582"/>
    <w:rsid w:val="3DC91DEF"/>
    <w:rsid w:val="4084309F"/>
    <w:rsid w:val="40CC020D"/>
    <w:rsid w:val="42842702"/>
    <w:rsid w:val="43B6162D"/>
    <w:rsid w:val="46E4575A"/>
    <w:rsid w:val="48890DC4"/>
    <w:rsid w:val="49373210"/>
    <w:rsid w:val="4A136062"/>
    <w:rsid w:val="4BFA1A9F"/>
    <w:rsid w:val="4C251F98"/>
    <w:rsid w:val="4C392DFB"/>
    <w:rsid w:val="4C6836E0"/>
    <w:rsid w:val="4EB35457"/>
    <w:rsid w:val="50C04E96"/>
    <w:rsid w:val="51291BB5"/>
    <w:rsid w:val="52D62BF7"/>
    <w:rsid w:val="58EF1910"/>
    <w:rsid w:val="5ABE4732"/>
    <w:rsid w:val="5B1F1B9F"/>
    <w:rsid w:val="5D494E68"/>
    <w:rsid w:val="5F941D44"/>
    <w:rsid w:val="60031C46"/>
    <w:rsid w:val="62A414BE"/>
    <w:rsid w:val="67162919"/>
    <w:rsid w:val="6A7A6FA8"/>
    <w:rsid w:val="6AEA00E7"/>
    <w:rsid w:val="6DC455DB"/>
    <w:rsid w:val="703025E3"/>
    <w:rsid w:val="714F6A99"/>
    <w:rsid w:val="7B015BD5"/>
    <w:rsid w:val="7C7B2E38"/>
    <w:rsid w:val="7CEC0A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qFormat="1" w:uiPriority="99" w:semiHidden="0" w:name="toa heading" w:locked="1"/>
    <w:lsdException w:qFormat="1" w:unhideWhenUsed="0" w:uiPriority="0" w:semiHidden="0"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link w:val="69"/>
    <w:qFormat/>
    <w:uiPriority w:val="99"/>
    <w:pPr>
      <w:keepNext/>
      <w:outlineLvl w:val="0"/>
    </w:pPr>
    <w:rPr>
      <w:b/>
      <w:color w:val="000000"/>
      <w:sz w:val="24"/>
    </w:rPr>
  </w:style>
  <w:style w:type="paragraph" w:styleId="5">
    <w:name w:val="heading 2"/>
    <w:basedOn w:val="1"/>
    <w:next w:val="1"/>
    <w:link w:val="70"/>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1"/>
    <w:qFormat/>
    <w:uiPriority w:val="99"/>
    <w:pPr>
      <w:keepNext/>
      <w:keepLines/>
      <w:autoSpaceDE/>
      <w:autoSpaceDN/>
      <w:spacing w:before="260" w:after="260" w:line="416" w:lineRule="atLeast"/>
      <w:jc w:val="both"/>
      <w:outlineLvl w:val="2"/>
    </w:pPr>
    <w:rPr>
      <w:rFonts w:ascii="Times New Roman"/>
      <w:b/>
      <w:sz w:val="32"/>
    </w:rPr>
  </w:style>
  <w:style w:type="paragraph" w:styleId="7">
    <w:name w:val="heading 4"/>
    <w:basedOn w:val="1"/>
    <w:next w:val="1"/>
    <w:link w:val="72"/>
    <w:qFormat/>
    <w:uiPriority w:val="99"/>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8">
    <w:name w:val="heading 5"/>
    <w:basedOn w:val="1"/>
    <w:next w:val="9"/>
    <w:link w:val="73"/>
    <w:qFormat/>
    <w:uiPriority w:val="99"/>
    <w:pPr>
      <w:keepNext/>
      <w:keepLines/>
      <w:autoSpaceDE/>
      <w:autoSpaceDN/>
      <w:adjustRightInd/>
      <w:spacing w:before="280" w:after="290" w:line="376" w:lineRule="auto"/>
      <w:jc w:val="both"/>
      <w:textAlignment w:val="auto"/>
      <w:outlineLvl w:val="4"/>
    </w:pPr>
    <w:rPr>
      <w:rFonts w:ascii="Times New Roman"/>
      <w:b/>
      <w:kern w:val="2"/>
      <w:sz w:val="28"/>
    </w:rPr>
  </w:style>
  <w:style w:type="paragraph" w:styleId="10">
    <w:name w:val="heading 6"/>
    <w:basedOn w:val="1"/>
    <w:next w:val="9"/>
    <w:link w:val="74"/>
    <w:qFormat/>
    <w:uiPriority w:val="99"/>
    <w:pPr>
      <w:keepNext/>
      <w:keepLines/>
      <w:autoSpaceDE/>
      <w:autoSpaceDN/>
      <w:adjustRightInd/>
      <w:spacing w:before="240" w:after="64" w:line="320" w:lineRule="auto"/>
      <w:jc w:val="both"/>
      <w:textAlignment w:val="auto"/>
      <w:outlineLvl w:val="5"/>
    </w:pPr>
    <w:rPr>
      <w:rFonts w:ascii="Arial" w:hAnsi="Arial" w:eastAsia="黑体"/>
      <w:b/>
      <w:kern w:val="2"/>
      <w:sz w:val="24"/>
    </w:rPr>
  </w:style>
  <w:style w:type="paragraph" w:styleId="11">
    <w:name w:val="heading 7"/>
    <w:basedOn w:val="1"/>
    <w:next w:val="9"/>
    <w:link w:val="75"/>
    <w:qFormat/>
    <w:uiPriority w:val="99"/>
    <w:pPr>
      <w:keepNext/>
      <w:keepLines/>
      <w:autoSpaceDE/>
      <w:autoSpaceDN/>
      <w:adjustRightInd/>
      <w:spacing w:before="240" w:after="64" w:line="320" w:lineRule="auto"/>
      <w:jc w:val="both"/>
      <w:textAlignment w:val="auto"/>
      <w:outlineLvl w:val="6"/>
    </w:pPr>
    <w:rPr>
      <w:rFonts w:ascii="Times New Roman"/>
      <w:b/>
      <w:kern w:val="2"/>
      <w:sz w:val="24"/>
    </w:rPr>
  </w:style>
  <w:style w:type="paragraph" w:styleId="12">
    <w:name w:val="heading 8"/>
    <w:basedOn w:val="1"/>
    <w:next w:val="9"/>
    <w:link w:val="76"/>
    <w:qFormat/>
    <w:uiPriority w:val="99"/>
    <w:pPr>
      <w:keepNext/>
      <w:keepLines/>
      <w:autoSpaceDE/>
      <w:autoSpaceDN/>
      <w:adjustRightInd/>
      <w:spacing w:before="240" w:after="64" w:line="320" w:lineRule="auto"/>
      <w:jc w:val="both"/>
      <w:textAlignment w:val="auto"/>
      <w:outlineLvl w:val="7"/>
    </w:pPr>
    <w:rPr>
      <w:rFonts w:ascii="Arial" w:hAnsi="Arial" w:eastAsia="黑体"/>
      <w:kern w:val="2"/>
      <w:sz w:val="24"/>
    </w:rPr>
  </w:style>
  <w:style w:type="paragraph" w:styleId="13">
    <w:name w:val="heading 9"/>
    <w:basedOn w:val="1"/>
    <w:next w:val="9"/>
    <w:link w:val="77"/>
    <w:qFormat/>
    <w:uiPriority w:val="99"/>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79"/>
    <w:qFormat/>
    <w:uiPriority w:val="0"/>
    <w:pPr>
      <w:spacing w:after="120"/>
      <w:ind w:left="420" w:leftChars="200" w:firstLine="420"/>
    </w:pPr>
    <w:rPr>
      <w:rFonts w:cs="宋体"/>
      <w:sz w:val="21"/>
      <w:szCs w:val="21"/>
    </w:rPr>
  </w:style>
  <w:style w:type="paragraph" w:styleId="3">
    <w:name w:val="Body Text Indent"/>
    <w:basedOn w:val="1"/>
    <w:next w:val="1"/>
    <w:link w:val="78"/>
    <w:qFormat/>
    <w:uiPriority w:val="99"/>
    <w:pPr>
      <w:autoSpaceDE/>
      <w:autoSpaceDN/>
      <w:adjustRightInd/>
      <w:ind w:firstLine="900"/>
      <w:jc w:val="both"/>
      <w:textAlignment w:val="auto"/>
    </w:pPr>
    <w:rPr>
      <w:rFonts w:ascii="Times New Roman"/>
      <w:kern w:val="2"/>
      <w:sz w:val="28"/>
    </w:rPr>
  </w:style>
  <w:style w:type="paragraph" w:styleId="9">
    <w:name w:val="Normal Indent"/>
    <w:basedOn w:val="1"/>
    <w:next w:val="3"/>
    <w:link w:val="99"/>
    <w:qFormat/>
    <w:uiPriority w:val="99"/>
    <w:pPr>
      <w:autoSpaceDE/>
      <w:autoSpaceDN/>
      <w:adjustRightInd/>
      <w:ind w:firstLine="420"/>
      <w:jc w:val="both"/>
      <w:textAlignment w:val="auto"/>
    </w:pPr>
    <w:rPr>
      <w:rFonts w:ascii="Times New Roman"/>
      <w:kern w:val="2"/>
      <w:sz w:val="21"/>
    </w:rPr>
  </w:style>
  <w:style w:type="paragraph" w:styleId="14">
    <w:name w:val="toc 7"/>
    <w:basedOn w:val="1"/>
    <w:next w:val="1"/>
    <w:semiHidden/>
    <w:qFormat/>
    <w:uiPriority w:val="99"/>
    <w:pPr>
      <w:ind w:left="2040"/>
    </w:pPr>
    <w:rPr>
      <w:rFonts w:ascii="Times New Roman"/>
      <w:sz w:val="18"/>
      <w:szCs w:val="18"/>
    </w:rPr>
  </w:style>
  <w:style w:type="paragraph" w:styleId="15">
    <w:name w:val="table of authorities"/>
    <w:basedOn w:val="1"/>
    <w:next w:val="1"/>
    <w:qFormat/>
    <w:locked/>
    <w:uiPriority w:val="0"/>
    <w:pPr>
      <w:ind w:left="420" w:leftChars="200"/>
    </w:pPr>
  </w:style>
  <w:style w:type="paragraph" w:styleId="16">
    <w:name w:val="caption"/>
    <w:basedOn w:val="1"/>
    <w:next w:val="1"/>
    <w:qFormat/>
    <w:uiPriority w:val="99"/>
    <w:pPr>
      <w:spacing w:before="152" w:after="160"/>
    </w:pPr>
    <w:rPr>
      <w:rFonts w:ascii="Arial" w:hAnsi="Arial" w:eastAsia="黑体"/>
    </w:rPr>
  </w:style>
  <w:style w:type="paragraph" w:styleId="17">
    <w:name w:val="toa heading"/>
    <w:basedOn w:val="1"/>
    <w:next w:val="1"/>
    <w:unhideWhenUsed/>
    <w:qFormat/>
    <w:locked/>
    <w:uiPriority w:val="99"/>
    <w:pPr>
      <w:spacing w:before="120"/>
    </w:pPr>
    <w:rPr>
      <w:rFonts w:ascii="Arial" w:hAnsi="Arial" w:cs="Arial"/>
    </w:rPr>
  </w:style>
  <w:style w:type="paragraph" w:styleId="18">
    <w:name w:val="annotation text"/>
    <w:basedOn w:val="1"/>
    <w:link w:val="80"/>
    <w:semiHidden/>
    <w:qFormat/>
    <w:uiPriority w:val="99"/>
  </w:style>
  <w:style w:type="paragraph" w:styleId="19">
    <w:name w:val="Body Text 3"/>
    <w:basedOn w:val="1"/>
    <w:link w:val="82"/>
    <w:qFormat/>
    <w:uiPriority w:val="99"/>
    <w:pPr>
      <w:spacing w:line="640" w:lineRule="exact"/>
    </w:pPr>
    <w:rPr>
      <w:color w:val="000000"/>
      <w:sz w:val="28"/>
    </w:rPr>
  </w:style>
  <w:style w:type="paragraph" w:styleId="20">
    <w:name w:val="Body Text"/>
    <w:basedOn w:val="1"/>
    <w:next w:val="21"/>
    <w:link w:val="83"/>
    <w:qFormat/>
    <w:uiPriority w:val="99"/>
    <w:rPr>
      <w:sz w:val="28"/>
    </w:rPr>
  </w:style>
  <w:style w:type="paragraph" w:styleId="21">
    <w:name w:val="Date"/>
    <w:basedOn w:val="1"/>
    <w:next w:val="1"/>
    <w:link w:val="85"/>
    <w:qFormat/>
    <w:uiPriority w:val="0"/>
    <w:pPr>
      <w:jc w:val="both"/>
    </w:pPr>
    <w:rPr>
      <w:sz w:val="28"/>
    </w:rPr>
  </w:style>
  <w:style w:type="paragraph" w:styleId="22">
    <w:name w:val="List 2"/>
    <w:basedOn w:val="1"/>
    <w:qFormat/>
    <w:uiPriority w:val="99"/>
    <w:pPr>
      <w:ind w:left="100" w:leftChars="200" w:hanging="200" w:hangingChars="200"/>
    </w:pPr>
  </w:style>
  <w:style w:type="paragraph" w:styleId="23">
    <w:name w:val="Block Text"/>
    <w:basedOn w:val="1"/>
    <w:unhideWhenUsed/>
    <w:qFormat/>
    <w:locked/>
    <w:uiPriority w:val="99"/>
    <w:pPr>
      <w:adjustRightInd w:val="0"/>
      <w:spacing w:line="300" w:lineRule="auto"/>
      <w:ind w:left="958" w:right="-120" w:rightChars="-120"/>
      <w:jc w:val="left"/>
    </w:pPr>
    <w:rPr>
      <w:rFonts w:ascii="宋体" w:hAnsi="宋体"/>
      <w:sz w:val="28"/>
    </w:rPr>
  </w:style>
  <w:style w:type="paragraph" w:styleId="24">
    <w:name w:val="toc 5"/>
    <w:basedOn w:val="1"/>
    <w:next w:val="1"/>
    <w:semiHidden/>
    <w:qFormat/>
    <w:uiPriority w:val="99"/>
    <w:pPr>
      <w:ind w:left="1360"/>
    </w:pPr>
    <w:rPr>
      <w:rFonts w:ascii="Times New Roman"/>
      <w:sz w:val="18"/>
      <w:szCs w:val="18"/>
    </w:rPr>
  </w:style>
  <w:style w:type="paragraph" w:styleId="25">
    <w:name w:val="toc 3"/>
    <w:basedOn w:val="1"/>
    <w:next w:val="1"/>
    <w:semiHidden/>
    <w:qFormat/>
    <w:uiPriority w:val="99"/>
    <w:pPr>
      <w:ind w:left="680"/>
    </w:pPr>
    <w:rPr>
      <w:rFonts w:ascii="Times New Roman"/>
      <w:i/>
      <w:iCs/>
      <w:sz w:val="20"/>
    </w:rPr>
  </w:style>
  <w:style w:type="paragraph" w:styleId="26">
    <w:name w:val="Plain Text"/>
    <w:basedOn w:val="1"/>
    <w:next w:val="1"/>
    <w:link w:val="84"/>
    <w:qFormat/>
    <w:uiPriority w:val="0"/>
    <w:rPr>
      <w:rFonts w:hAnsi="Courier New" w:cs="Courier New"/>
      <w:szCs w:val="21"/>
    </w:rPr>
  </w:style>
  <w:style w:type="paragraph" w:styleId="27">
    <w:name w:val="toc 8"/>
    <w:basedOn w:val="1"/>
    <w:next w:val="1"/>
    <w:semiHidden/>
    <w:qFormat/>
    <w:uiPriority w:val="99"/>
    <w:pPr>
      <w:ind w:left="2380"/>
    </w:pPr>
    <w:rPr>
      <w:rFonts w:ascii="Times New Roman"/>
      <w:sz w:val="18"/>
      <w:szCs w:val="18"/>
    </w:rPr>
  </w:style>
  <w:style w:type="paragraph" w:styleId="28">
    <w:name w:val="Body Text Indent 2"/>
    <w:basedOn w:val="1"/>
    <w:link w:val="86"/>
    <w:qFormat/>
    <w:uiPriority w:val="99"/>
    <w:pPr>
      <w:autoSpaceDE/>
      <w:autoSpaceDN/>
      <w:adjustRightInd/>
      <w:spacing w:line="360" w:lineRule="auto"/>
      <w:ind w:firstLine="720"/>
      <w:jc w:val="both"/>
      <w:textAlignment w:val="auto"/>
    </w:pPr>
    <w:rPr>
      <w:kern w:val="2"/>
      <w:sz w:val="28"/>
    </w:rPr>
  </w:style>
  <w:style w:type="paragraph" w:styleId="29">
    <w:name w:val="Balloon Text"/>
    <w:basedOn w:val="1"/>
    <w:link w:val="87"/>
    <w:semiHidden/>
    <w:qFormat/>
    <w:uiPriority w:val="99"/>
    <w:rPr>
      <w:sz w:val="18"/>
      <w:szCs w:val="18"/>
    </w:rPr>
  </w:style>
  <w:style w:type="paragraph" w:styleId="30">
    <w:name w:val="footer"/>
    <w:basedOn w:val="1"/>
    <w:link w:val="88"/>
    <w:qFormat/>
    <w:uiPriority w:val="99"/>
    <w:pPr>
      <w:tabs>
        <w:tab w:val="center" w:pos="4153"/>
        <w:tab w:val="right" w:pos="8306"/>
      </w:tabs>
      <w:snapToGrid w:val="0"/>
    </w:pPr>
    <w:rPr>
      <w:sz w:val="18"/>
    </w:rPr>
  </w:style>
  <w:style w:type="paragraph" w:styleId="31">
    <w:name w:val="envelope return"/>
    <w:basedOn w:val="1"/>
    <w:qFormat/>
    <w:locked/>
    <w:uiPriority w:val="0"/>
    <w:pPr>
      <w:snapToGrid w:val="0"/>
    </w:pPr>
    <w:rPr>
      <w:rFonts w:ascii="Arial" w:hAnsi="Arial"/>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99"/>
    <w:pPr>
      <w:spacing w:before="120" w:after="120"/>
    </w:pPr>
    <w:rPr>
      <w:rFonts w:ascii="Times New Roman"/>
      <w:b/>
      <w:bCs/>
      <w:caps/>
      <w:sz w:val="20"/>
    </w:rPr>
  </w:style>
  <w:style w:type="paragraph" w:styleId="34">
    <w:name w:val="toc 4"/>
    <w:basedOn w:val="1"/>
    <w:next w:val="1"/>
    <w:semiHidden/>
    <w:qFormat/>
    <w:uiPriority w:val="99"/>
    <w:pPr>
      <w:ind w:left="1020"/>
    </w:pPr>
    <w:rPr>
      <w:rFonts w:ascii="Times New Roman"/>
      <w:sz w:val="18"/>
      <w:szCs w:val="18"/>
    </w:rPr>
  </w:style>
  <w:style w:type="paragraph" w:styleId="35">
    <w:name w:val="List"/>
    <w:basedOn w:val="1"/>
    <w:next w:val="1"/>
    <w:qFormat/>
    <w:locked/>
    <w:uiPriority w:val="0"/>
    <w:pPr>
      <w:numPr>
        <w:ilvl w:val="1"/>
        <w:numId w:val="1"/>
      </w:numPr>
    </w:pPr>
    <w:rPr>
      <w:rFonts w:ascii="微软雅黑" w:hAnsi="微软雅黑" w:cs="宋体"/>
      <w:sz w:val="21"/>
    </w:rPr>
  </w:style>
  <w:style w:type="paragraph" w:styleId="36">
    <w:name w:val="footnote text"/>
    <w:basedOn w:val="1"/>
    <w:link w:val="90"/>
    <w:semiHidden/>
    <w:qFormat/>
    <w:uiPriority w:val="99"/>
    <w:pPr>
      <w:snapToGrid w:val="0"/>
    </w:pPr>
    <w:rPr>
      <w:sz w:val="18"/>
    </w:rPr>
  </w:style>
  <w:style w:type="paragraph" w:styleId="37">
    <w:name w:val="toc 6"/>
    <w:basedOn w:val="1"/>
    <w:next w:val="1"/>
    <w:semiHidden/>
    <w:qFormat/>
    <w:uiPriority w:val="99"/>
    <w:pPr>
      <w:ind w:left="1700"/>
    </w:pPr>
    <w:rPr>
      <w:rFonts w:ascii="Times New Roman"/>
      <w:sz w:val="18"/>
      <w:szCs w:val="18"/>
    </w:rPr>
  </w:style>
  <w:style w:type="paragraph" w:styleId="38">
    <w:name w:val="Body Text Indent 3"/>
    <w:basedOn w:val="1"/>
    <w:link w:val="91"/>
    <w:qFormat/>
    <w:uiPriority w:val="99"/>
    <w:pPr>
      <w:autoSpaceDE/>
      <w:autoSpaceDN/>
      <w:adjustRightInd/>
      <w:spacing w:line="360" w:lineRule="auto"/>
      <w:ind w:firstLine="540"/>
      <w:jc w:val="both"/>
      <w:textAlignment w:val="auto"/>
    </w:pPr>
    <w:rPr>
      <w:kern w:val="2"/>
      <w:sz w:val="28"/>
    </w:rPr>
  </w:style>
  <w:style w:type="paragraph" w:styleId="39">
    <w:name w:val="toc 2"/>
    <w:basedOn w:val="1"/>
    <w:next w:val="1"/>
    <w:qFormat/>
    <w:uiPriority w:val="99"/>
    <w:pPr>
      <w:ind w:left="105" w:leftChars="31" w:right="-133" w:rightChars="-39"/>
    </w:pPr>
    <w:rPr>
      <w:rFonts w:ascii="Times New Roman"/>
      <w:smallCaps/>
      <w:sz w:val="20"/>
    </w:rPr>
  </w:style>
  <w:style w:type="paragraph" w:styleId="40">
    <w:name w:val="toc 9"/>
    <w:basedOn w:val="1"/>
    <w:next w:val="1"/>
    <w:semiHidden/>
    <w:qFormat/>
    <w:uiPriority w:val="99"/>
    <w:pPr>
      <w:ind w:left="2720"/>
    </w:pPr>
    <w:rPr>
      <w:rFonts w:ascii="Times New Roman"/>
      <w:sz w:val="18"/>
      <w:szCs w:val="18"/>
    </w:rPr>
  </w:style>
  <w:style w:type="paragraph" w:styleId="41">
    <w:name w:val="Body Text 2"/>
    <w:basedOn w:val="1"/>
    <w:link w:val="92"/>
    <w:qFormat/>
    <w:uiPriority w:val="99"/>
    <w:pPr>
      <w:jc w:val="both"/>
    </w:pPr>
    <w:rPr>
      <w:sz w:val="28"/>
    </w:rPr>
  </w:style>
  <w:style w:type="paragraph" w:styleId="42">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textAlignment w:val="auto"/>
    </w:pPr>
    <w:rPr>
      <w:rFonts w:ascii="Arial" w:hAnsi="Arial" w:cs="Arial"/>
      <w:sz w:val="21"/>
      <w:szCs w:val="21"/>
    </w:rPr>
  </w:style>
  <w:style w:type="paragraph" w:styleId="43">
    <w:name w:val="Normal (Web)"/>
    <w:basedOn w:val="1"/>
    <w:next w:val="1"/>
    <w:qFormat/>
    <w:uiPriority w:val="0"/>
    <w:pPr>
      <w:widowControl/>
      <w:autoSpaceDE/>
      <w:autoSpaceDN/>
      <w:adjustRightInd/>
      <w:spacing w:before="100" w:beforeAutospacing="1" w:after="100" w:afterAutospacing="1"/>
      <w:textAlignment w:val="auto"/>
    </w:pPr>
    <w:rPr>
      <w:rFonts w:hAnsi="宋体" w:cs="宋体"/>
      <w:sz w:val="24"/>
      <w:szCs w:val="24"/>
    </w:rPr>
  </w:style>
  <w:style w:type="paragraph" w:styleId="44">
    <w:name w:val="Title"/>
    <w:basedOn w:val="1"/>
    <w:next w:val="1"/>
    <w:qFormat/>
    <w:uiPriority w:val="0"/>
    <w:pPr>
      <w:spacing w:before="240" w:after="60"/>
      <w:jc w:val="center"/>
      <w:outlineLvl w:val="0"/>
    </w:pPr>
    <w:rPr>
      <w:rFonts w:ascii="Cambria" w:hAnsi="Cambria"/>
      <w:b/>
      <w:bCs/>
      <w:sz w:val="32"/>
      <w:szCs w:val="32"/>
    </w:rPr>
  </w:style>
  <w:style w:type="paragraph" w:styleId="45">
    <w:name w:val="annotation subject"/>
    <w:basedOn w:val="18"/>
    <w:next w:val="18"/>
    <w:link w:val="81"/>
    <w:semiHidden/>
    <w:qFormat/>
    <w:uiPriority w:val="99"/>
    <w:rPr>
      <w:b/>
      <w:bCs/>
    </w:rPr>
  </w:style>
  <w:style w:type="paragraph" w:styleId="46">
    <w:name w:val="Body Text First Indent"/>
    <w:basedOn w:val="20"/>
    <w:next w:val="1"/>
    <w:qFormat/>
    <w:locked/>
    <w:uiPriority w:val="0"/>
    <w:pPr>
      <w:ind w:firstLine="420" w:firstLineChars="100"/>
    </w:p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qFormat/>
    <w:uiPriority w:val="99"/>
    <w:rPr>
      <w:rFonts w:cs="Times New Roman"/>
    </w:rPr>
  </w:style>
  <w:style w:type="character" w:styleId="52">
    <w:name w:val="FollowedHyperlink"/>
    <w:qFormat/>
    <w:uiPriority w:val="99"/>
    <w:rPr>
      <w:rFonts w:cs="Times New Roman"/>
      <w:color w:val="3F88BF"/>
      <w:u w:val="none"/>
    </w:rPr>
  </w:style>
  <w:style w:type="character" w:styleId="53">
    <w:name w:val="Emphasis"/>
    <w:qFormat/>
    <w:uiPriority w:val="20"/>
    <w:rPr>
      <w:rFonts w:cs="Times New Roman"/>
    </w:rPr>
  </w:style>
  <w:style w:type="character" w:styleId="54">
    <w:name w:val="HTML Definition"/>
    <w:qFormat/>
    <w:uiPriority w:val="99"/>
    <w:rPr>
      <w:rFonts w:cs="Times New Roman"/>
    </w:rPr>
  </w:style>
  <w:style w:type="character" w:styleId="55">
    <w:name w:val="HTML Variable"/>
    <w:qFormat/>
    <w:uiPriority w:val="99"/>
    <w:rPr>
      <w:rFonts w:cs="Times New Roman"/>
    </w:rPr>
  </w:style>
  <w:style w:type="character" w:styleId="56">
    <w:name w:val="Hyperlink"/>
    <w:basedOn w:val="49"/>
    <w:qFormat/>
    <w:uiPriority w:val="99"/>
    <w:rPr>
      <w:rFonts w:cs="Times New Roman"/>
      <w:color w:val="3F88BF"/>
      <w:u w:val="none"/>
    </w:rPr>
  </w:style>
  <w:style w:type="character" w:styleId="57">
    <w:name w:val="HTML Code"/>
    <w:qFormat/>
    <w:uiPriority w:val="99"/>
    <w:rPr>
      <w:rFonts w:ascii="PingFang SC" w:hAnsi="PingFang SC" w:cs="PingFang SC"/>
      <w:sz w:val="20"/>
    </w:rPr>
  </w:style>
  <w:style w:type="character" w:styleId="58">
    <w:name w:val="annotation reference"/>
    <w:semiHidden/>
    <w:qFormat/>
    <w:uiPriority w:val="99"/>
    <w:rPr>
      <w:rFonts w:cs="Times New Roman"/>
      <w:sz w:val="21"/>
    </w:rPr>
  </w:style>
  <w:style w:type="character" w:styleId="59">
    <w:name w:val="HTML Cite"/>
    <w:qFormat/>
    <w:uiPriority w:val="99"/>
    <w:rPr>
      <w:rFonts w:cs="Times New Roman"/>
    </w:rPr>
  </w:style>
  <w:style w:type="character" w:styleId="60">
    <w:name w:val="footnote reference"/>
    <w:semiHidden/>
    <w:qFormat/>
    <w:uiPriority w:val="99"/>
    <w:rPr>
      <w:rFonts w:cs="Times New Roman"/>
      <w:vertAlign w:val="superscript"/>
    </w:rPr>
  </w:style>
  <w:style w:type="character" w:styleId="61">
    <w:name w:val="HTML Keyboard"/>
    <w:qFormat/>
    <w:uiPriority w:val="99"/>
    <w:rPr>
      <w:rFonts w:ascii="PingFang SC" w:hAnsi="PingFang SC" w:cs="PingFang SC"/>
      <w:sz w:val="20"/>
    </w:rPr>
  </w:style>
  <w:style w:type="character" w:styleId="62">
    <w:name w:val="HTML Sample"/>
    <w:qFormat/>
    <w:uiPriority w:val="99"/>
    <w:rPr>
      <w:rFonts w:ascii="PingFang SC" w:hAnsi="PingFang SC" w:cs="PingFang SC"/>
    </w:rPr>
  </w:style>
  <w:style w:type="paragraph" w:customStyle="1" w:styleId="63">
    <w:name w:val="xl53"/>
    <w:basedOn w:val="1"/>
    <w:next w:val="1"/>
    <w:qFormat/>
    <w:uiPriority w:val="0"/>
    <w:pPr>
      <w:spacing w:before="280" w:after="280" w:line="100" w:lineRule="exact"/>
      <w:jc w:val="center"/>
    </w:pPr>
    <w:rPr>
      <w:b/>
      <w:sz w:val="20"/>
    </w:rPr>
  </w:style>
  <w:style w:type="paragraph" w:customStyle="1" w:styleId="64">
    <w:name w:val="BodyText1I2"/>
    <w:basedOn w:val="65"/>
    <w:next w:val="1"/>
    <w:qFormat/>
    <w:uiPriority w:val="0"/>
    <w:pPr>
      <w:spacing w:after="120"/>
      <w:ind w:left="420" w:leftChars="200" w:firstLine="420"/>
    </w:pPr>
    <w:rPr>
      <w:sz w:val="21"/>
      <w:szCs w:val="21"/>
    </w:rPr>
  </w:style>
  <w:style w:type="paragraph" w:customStyle="1" w:styleId="65">
    <w:name w:val="BodyTextIndent"/>
    <w:basedOn w:val="1"/>
    <w:next w:val="1"/>
    <w:qFormat/>
    <w:uiPriority w:val="0"/>
    <w:pPr>
      <w:ind w:firstLine="900"/>
      <w:jc w:val="both"/>
      <w:textAlignment w:val="auto"/>
    </w:pPr>
    <w:rPr>
      <w:rFonts w:ascii="Times New Roman"/>
      <w:kern w:val="2"/>
      <w:sz w:val="28"/>
    </w:rPr>
  </w:style>
  <w:style w:type="paragraph" w:customStyle="1" w:styleId="66">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67">
    <w:name w:val="正文2"/>
    <w:basedOn w:val="1"/>
    <w:link w:val="127"/>
    <w:qFormat/>
    <w:uiPriority w:val="99"/>
    <w:pPr>
      <w:autoSpaceDE/>
      <w:autoSpaceDN/>
      <w:adjustRightInd/>
      <w:spacing w:before="156" w:line="360" w:lineRule="auto"/>
      <w:ind w:firstLine="200" w:firstLineChars="200"/>
      <w:jc w:val="both"/>
      <w:textAlignment w:val="auto"/>
    </w:pPr>
    <w:rPr>
      <w:rFonts w:ascii="Times New Roman"/>
      <w:kern w:val="2"/>
      <w:sz w:val="28"/>
    </w:rPr>
  </w:style>
  <w:style w:type="paragraph" w:customStyle="1" w:styleId="68">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9">
    <w:name w:val="标题 1 Char"/>
    <w:link w:val="4"/>
    <w:qFormat/>
    <w:locked/>
    <w:uiPriority w:val="99"/>
    <w:rPr>
      <w:rFonts w:ascii="宋体" w:cs="Times New Roman"/>
      <w:b/>
      <w:bCs/>
      <w:kern w:val="44"/>
      <w:sz w:val="44"/>
      <w:szCs w:val="44"/>
    </w:rPr>
  </w:style>
  <w:style w:type="character" w:customStyle="1" w:styleId="70">
    <w:name w:val="标题 2 Char"/>
    <w:link w:val="5"/>
    <w:semiHidden/>
    <w:qFormat/>
    <w:locked/>
    <w:uiPriority w:val="99"/>
    <w:rPr>
      <w:rFonts w:ascii="Cambria" w:hAnsi="Cambria" w:eastAsia="宋体" w:cs="Times New Roman"/>
      <w:b/>
      <w:bCs/>
      <w:kern w:val="0"/>
      <w:sz w:val="32"/>
      <w:szCs w:val="32"/>
    </w:rPr>
  </w:style>
  <w:style w:type="character" w:customStyle="1" w:styleId="71">
    <w:name w:val="标题 3 Char"/>
    <w:link w:val="6"/>
    <w:semiHidden/>
    <w:qFormat/>
    <w:locked/>
    <w:uiPriority w:val="99"/>
    <w:rPr>
      <w:rFonts w:ascii="宋体" w:cs="Times New Roman"/>
      <w:b/>
      <w:bCs/>
      <w:kern w:val="0"/>
      <w:sz w:val="32"/>
      <w:szCs w:val="32"/>
    </w:rPr>
  </w:style>
  <w:style w:type="character" w:customStyle="1" w:styleId="72">
    <w:name w:val="标题 4 Char"/>
    <w:link w:val="7"/>
    <w:semiHidden/>
    <w:qFormat/>
    <w:locked/>
    <w:uiPriority w:val="99"/>
    <w:rPr>
      <w:rFonts w:ascii="Cambria" w:hAnsi="Cambria" w:eastAsia="宋体" w:cs="Times New Roman"/>
      <w:b/>
      <w:bCs/>
      <w:kern w:val="0"/>
      <w:sz w:val="28"/>
      <w:szCs w:val="28"/>
    </w:rPr>
  </w:style>
  <w:style w:type="character" w:customStyle="1" w:styleId="73">
    <w:name w:val="标题 5 Char"/>
    <w:link w:val="8"/>
    <w:semiHidden/>
    <w:qFormat/>
    <w:locked/>
    <w:uiPriority w:val="99"/>
    <w:rPr>
      <w:rFonts w:ascii="宋体" w:cs="Times New Roman"/>
      <w:b/>
      <w:bCs/>
      <w:kern w:val="0"/>
      <w:sz w:val="28"/>
      <w:szCs w:val="28"/>
    </w:rPr>
  </w:style>
  <w:style w:type="character" w:customStyle="1" w:styleId="74">
    <w:name w:val="标题 6 Char"/>
    <w:link w:val="10"/>
    <w:semiHidden/>
    <w:qFormat/>
    <w:locked/>
    <w:uiPriority w:val="99"/>
    <w:rPr>
      <w:rFonts w:ascii="Cambria" w:hAnsi="Cambria" w:eastAsia="宋体" w:cs="Times New Roman"/>
      <w:b/>
      <w:bCs/>
      <w:kern w:val="0"/>
      <w:sz w:val="24"/>
      <w:szCs w:val="24"/>
    </w:rPr>
  </w:style>
  <w:style w:type="character" w:customStyle="1" w:styleId="75">
    <w:name w:val="标题 7 Char"/>
    <w:link w:val="11"/>
    <w:semiHidden/>
    <w:qFormat/>
    <w:locked/>
    <w:uiPriority w:val="99"/>
    <w:rPr>
      <w:rFonts w:ascii="宋体" w:cs="Times New Roman"/>
      <w:b/>
      <w:bCs/>
      <w:kern w:val="0"/>
      <w:sz w:val="24"/>
      <w:szCs w:val="24"/>
    </w:rPr>
  </w:style>
  <w:style w:type="character" w:customStyle="1" w:styleId="76">
    <w:name w:val="标题 8 Char"/>
    <w:link w:val="12"/>
    <w:semiHidden/>
    <w:qFormat/>
    <w:locked/>
    <w:uiPriority w:val="99"/>
    <w:rPr>
      <w:rFonts w:ascii="Cambria" w:hAnsi="Cambria" w:eastAsia="宋体" w:cs="Times New Roman"/>
      <w:kern w:val="0"/>
      <w:sz w:val="24"/>
      <w:szCs w:val="24"/>
    </w:rPr>
  </w:style>
  <w:style w:type="character" w:customStyle="1" w:styleId="77">
    <w:name w:val="标题 9 Char"/>
    <w:link w:val="13"/>
    <w:semiHidden/>
    <w:qFormat/>
    <w:locked/>
    <w:uiPriority w:val="99"/>
    <w:rPr>
      <w:rFonts w:ascii="Cambria" w:hAnsi="Cambria" w:eastAsia="宋体" w:cs="Times New Roman"/>
      <w:kern w:val="0"/>
      <w:sz w:val="21"/>
      <w:szCs w:val="21"/>
    </w:rPr>
  </w:style>
  <w:style w:type="character" w:customStyle="1" w:styleId="78">
    <w:name w:val="正文文本缩进 Char"/>
    <w:link w:val="3"/>
    <w:semiHidden/>
    <w:qFormat/>
    <w:locked/>
    <w:uiPriority w:val="99"/>
    <w:rPr>
      <w:rFonts w:ascii="宋体" w:cs="Times New Roman"/>
      <w:kern w:val="0"/>
      <w:sz w:val="20"/>
      <w:szCs w:val="20"/>
    </w:rPr>
  </w:style>
  <w:style w:type="character" w:customStyle="1" w:styleId="79">
    <w:name w:val="正文首行缩进 2 Char"/>
    <w:link w:val="2"/>
    <w:semiHidden/>
    <w:qFormat/>
    <w:locked/>
    <w:uiPriority w:val="99"/>
    <w:rPr>
      <w:rFonts w:ascii="宋体" w:cs="Times New Roman"/>
      <w:kern w:val="0"/>
      <w:sz w:val="20"/>
      <w:szCs w:val="20"/>
    </w:rPr>
  </w:style>
  <w:style w:type="character" w:customStyle="1" w:styleId="80">
    <w:name w:val="批注文字 Char"/>
    <w:link w:val="18"/>
    <w:semiHidden/>
    <w:qFormat/>
    <w:locked/>
    <w:uiPriority w:val="99"/>
    <w:rPr>
      <w:rFonts w:ascii="宋体" w:cs="Times New Roman"/>
      <w:kern w:val="0"/>
      <w:sz w:val="20"/>
      <w:szCs w:val="20"/>
    </w:rPr>
  </w:style>
  <w:style w:type="character" w:customStyle="1" w:styleId="81">
    <w:name w:val="批注主题 Char"/>
    <w:link w:val="45"/>
    <w:semiHidden/>
    <w:qFormat/>
    <w:locked/>
    <w:uiPriority w:val="99"/>
    <w:rPr>
      <w:rFonts w:ascii="宋体" w:cs="Times New Roman"/>
      <w:b/>
      <w:bCs/>
      <w:kern w:val="0"/>
      <w:sz w:val="20"/>
      <w:szCs w:val="20"/>
    </w:rPr>
  </w:style>
  <w:style w:type="character" w:customStyle="1" w:styleId="82">
    <w:name w:val="正文文本 3 Char"/>
    <w:link w:val="19"/>
    <w:qFormat/>
    <w:locked/>
    <w:uiPriority w:val="99"/>
    <w:rPr>
      <w:rFonts w:ascii="宋体" w:cs="Times New Roman"/>
      <w:color w:val="000000"/>
      <w:sz w:val="28"/>
    </w:rPr>
  </w:style>
  <w:style w:type="character" w:customStyle="1" w:styleId="83">
    <w:name w:val="正文文本 Char"/>
    <w:link w:val="20"/>
    <w:semiHidden/>
    <w:qFormat/>
    <w:locked/>
    <w:uiPriority w:val="99"/>
    <w:rPr>
      <w:rFonts w:ascii="宋体" w:cs="Times New Roman"/>
      <w:kern w:val="0"/>
      <w:sz w:val="20"/>
      <w:szCs w:val="20"/>
    </w:rPr>
  </w:style>
  <w:style w:type="character" w:customStyle="1" w:styleId="84">
    <w:name w:val="纯文本 Char"/>
    <w:link w:val="26"/>
    <w:qFormat/>
    <w:locked/>
    <w:uiPriority w:val="0"/>
    <w:rPr>
      <w:rFonts w:ascii="宋体" w:hAnsi="Courier New" w:eastAsia="宋体" w:cs="Times New Roman"/>
      <w:sz w:val="21"/>
      <w:lang w:val="en-US" w:eastAsia="zh-CN"/>
    </w:rPr>
  </w:style>
  <w:style w:type="character" w:customStyle="1" w:styleId="85">
    <w:name w:val="日期 Char"/>
    <w:link w:val="21"/>
    <w:semiHidden/>
    <w:qFormat/>
    <w:locked/>
    <w:uiPriority w:val="99"/>
    <w:rPr>
      <w:rFonts w:ascii="宋体" w:cs="Times New Roman"/>
      <w:kern w:val="0"/>
      <w:sz w:val="20"/>
      <w:szCs w:val="20"/>
    </w:rPr>
  </w:style>
  <w:style w:type="character" w:customStyle="1" w:styleId="86">
    <w:name w:val="正文文本缩进 2 Char"/>
    <w:link w:val="28"/>
    <w:semiHidden/>
    <w:qFormat/>
    <w:locked/>
    <w:uiPriority w:val="99"/>
    <w:rPr>
      <w:rFonts w:ascii="宋体" w:cs="Times New Roman"/>
      <w:kern w:val="0"/>
      <w:sz w:val="20"/>
      <w:szCs w:val="20"/>
    </w:rPr>
  </w:style>
  <w:style w:type="character" w:customStyle="1" w:styleId="87">
    <w:name w:val="批注框文本 Char"/>
    <w:link w:val="29"/>
    <w:semiHidden/>
    <w:qFormat/>
    <w:locked/>
    <w:uiPriority w:val="99"/>
    <w:rPr>
      <w:rFonts w:ascii="宋体" w:cs="Times New Roman"/>
      <w:kern w:val="0"/>
      <w:sz w:val="2"/>
    </w:rPr>
  </w:style>
  <w:style w:type="character" w:customStyle="1" w:styleId="88">
    <w:name w:val="页脚 Char"/>
    <w:link w:val="30"/>
    <w:semiHidden/>
    <w:qFormat/>
    <w:locked/>
    <w:uiPriority w:val="99"/>
    <w:rPr>
      <w:rFonts w:ascii="宋体" w:cs="Times New Roman"/>
      <w:kern w:val="0"/>
      <w:sz w:val="18"/>
      <w:szCs w:val="18"/>
    </w:rPr>
  </w:style>
  <w:style w:type="character" w:customStyle="1" w:styleId="89">
    <w:name w:val="页眉 Char"/>
    <w:link w:val="32"/>
    <w:semiHidden/>
    <w:qFormat/>
    <w:locked/>
    <w:uiPriority w:val="99"/>
    <w:rPr>
      <w:rFonts w:ascii="宋体" w:cs="Times New Roman"/>
      <w:kern w:val="0"/>
      <w:sz w:val="18"/>
      <w:szCs w:val="18"/>
    </w:rPr>
  </w:style>
  <w:style w:type="character" w:customStyle="1" w:styleId="90">
    <w:name w:val="脚注文本 Char"/>
    <w:link w:val="36"/>
    <w:semiHidden/>
    <w:qFormat/>
    <w:locked/>
    <w:uiPriority w:val="99"/>
    <w:rPr>
      <w:rFonts w:ascii="宋体" w:cs="Times New Roman"/>
      <w:kern w:val="0"/>
      <w:sz w:val="18"/>
      <w:szCs w:val="18"/>
    </w:rPr>
  </w:style>
  <w:style w:type="character" w:customStyle="1" w:styleId="91">
    <w:name w:val="正文文本缩进 3 Char"/>
    <w:link w:val="38"/>
    <w:qFormat/>
    <w:locked/>
    <w:uiPriority w:val="99"/>
    <w:rPr>
      <w:rFonts w:ascii="宋体" w:cs="Times New Roman"/>
      <w:kern w:val="0"/>
      <w:sz w:val="16"/>
      <w:szCs w:val="16"/>
    </w:rPr>
  </w:style>
  <w:style w:type="character" w:customStyle="1" w:styleId="92">
    <w:name w:val="正文文本 2 Char"/>
    <w:link w:val="41"/>
    <w:semiHidden/>
    <w:qFormat/>
    <w:locked/>
    <w:uiPriority w:val="99"/>
    <w:rPr>
      <w:rFonts w:ascii="宋体" w:cs="Times New Roman"/>
      <w:kern w:val="0"/>
      <w:sz w:val="20"/>
      <w:szCs w:val="20"/>
    </w:rPr>
  </w:style>
  <w:style w:type="character" w:customStyle="1" w:styleId="93">
    <w:name w:val="HTML 预设格式 Char"/>
    <w:link w:val="42"/>
    <w:semiHidden/>
    <w:qFormat/>
    <w:locked/>
    <w:uiPriority w:val="99"/>
    <w:rPr>
      <w:rFonts w:ascii="Courier New" w:hAnsi="Courier New" w:cs="Courier New"/>
      <w:kern w:val="0"/>
      <w:sz w:val="20"/>
      <w:szCs w:val="20"/>
    </w:rPr>
  </w:style>
  <w:style w:type="character" w:customStyle="1" w:styleId="94">
    <w:name w:val="num4"/>
    <w:qFormat/>
    <w:uiPriority w:val="99"/>
    <w:rPr>
      <w:rFonts w:cs="Times New Roman"/>
      <w:b/>
      <w:color w:val="FF7800"/>
    </w:rPr>
  </w:style>
  <w:style w:type="character" w:customStyle="1" w:styleId="95">
    <w:name w:val="answer-title12"/>
    <w:qFormat/>
    <w:uiPriority w:val="99"/>
    <w:rPr>
      <w:rFonts w:cs="Times New Roman"/>
    </w:rPr>
  </w:style>
  <w:style w:type="character" w:customStyle="1" w:styleId="96">
    <w:name w:val="legend"/>
    <w:qFormat/>
    <w:uiPriority w:val="99"/>
    <w:rPr>
      <w:rFonts w:ascii="Arial" w:hAnsi="Arial" w:cs="Arial"/>
      <w:b/>
      <w:color w:val="73B304"/>
      <w:sz w:val="21"/>
      <w:szCs w:val="21"/>
      <w:shd w:val="clear" w:color="auto" w:fill="FFFFFF"/>
    </w:rPr>
  </w:style>
  <w:style w:type="character" w:customStyle="1" w:styleId="97">
    <w:name w:val="Char Char"/>
    <w:qFormat/>
    <w:uiPriority w:val="99"/>
    <w:rPr>
      <w:rFonts w:eastAsia="宋体"/>
      <w:kern w:val="2"/>
      <w:sz w:val="21"/>
      <w:lang w:val="en-US" w:eastAsia="zh-CN"/>
    </w:rPr>
  </w:style>
  <w:style w:type="character" w:customStyle="1" w:styleId="98">
    <w:name w:val="release-day"/>
    <w:qFormat/>
    <w:uiPriority w:val="99"/>
    <w:rPr>
      <w:rFonts w:cs="Times New Roman"/>
      <w:bdr w:val="single" w:color="BDEBB0" w:sz="6" w:space="0"/>
      <w:shd w:val="clear" w:color="auto" w:fill="F5FFF1"/>
    </w:rPr>
  </w:style>
  <w:style w:type="character" w:customStyle="1" w:styleId="99">
    <w:name w:val="正文缩进 Char"/>
    <w:link w:val="9"/>
    <w:qFormat/>
    <w:locked/>
    <w:uiPriority w:val="99"/>
    <w:rPr>
      <w:rFonts w:eastAsia="宋体"/>
      <w:kern w:val="2"/>
      <w:sz w:val="21"/>
      <w:lang w:val="en-US" w:eastAsia="zh-CN"/>
    </w:rPr>
  </w:style>
  <w:style w:type="character" w:customStyle="1" w:styleId="100">
    <w:name w:val="列表段落 字符"/>
    <w:link w:val="101"/>
    <w:qFormat/>
    <w:locked/>
    <w:uiPriority w:val="99"/>
    <w:rPr>
      <w:rFonts w:ascii="Calibri" w:hAnsi="Calibri"/>
      <w:kern w:val="2"/>
      <w:sz w:val="22"/>
    </w:rPr>
  </w:style>
  <w:style w:type="paragraph" w:customStyle="1" w:styleId="101">
    <w:name w:val="列出段落1"/>
    <w:basedOn w:val="1"/>
    <w:link w:val="100"/>
    <w:qFormat/>
    <w:uiPriority w:val="99"/>
    <w:pPr>
      <w:autoSpaceDE/>
      <w:autoSpaceDN/>
      <w:adjustRightInd/>
      <w:ind w:firstLine="420" w:firstLineChars="200"/>
      <w:jc w:val="both"/>
      <w:textAlignment w:val="auto"/>
    </w:pPr>
    <w:rPr>
      <w:rFonts w:ascii="Calibri" w:hAnsi="Calibri"/>
      <w:kern w:val="2"/>
      <w:sz w:val="22"/>
    </w:rPr>
  </w:style>
  <w:style w:type="character" w:customStyle="1" w:styleId="102">
    <w:name w:val="表正文 Char"/>
    <w:qFormat/>
    <w:uiPriority w:val="99"/>
    <w:rPr>
      <w:rFonts w:eastAsia="宋体"/>
      <w:kern w:val="2"/>
      <w:sz w:val="21"/>
      <w:lang w:val="en-US" w:eastAsia="zh-CN"/>
    </w:rPr>
  </w:style>
  <w:style w:type="character" w:customStyle="1" w:styleId="103">
    <w:name w:val="普通文字 Char Char1"/>
    <w:qFormat/>
    <w:uiPriority w:val="99"/>
    <w:rPr>
      <w:rFonts w:ascii="宋体" w:hAnsi="Courier New" w:eastAsia="宋体"/>
      <w:sz w:val="21"/>
      <w:lang w:val="en-US" w:eastAsia="zh-CN"/>
    </w:rPr>
  </w:style>
  <w:style w:type="character" w:customStyle="1" w:styleId="104">
    <w:name w:val="hits"/>
    <w:qFormat/>
    <w:uiPriority w:val="99"/>
    <w:rPr>
      <w:rFonts w:cs="Times New Roman"/>
    </w:rPr>
  </w:style>
  <w:style w:type="character" w:customStyle="1" w:styleId="105">
    <w:name w:val="fabu"/>
    <w:qFormat/>
    <w:uiPriority w:val="99"/>
    <w:rPr>
      <w:rFonts w:cs="Times New Roman"/>
    </w:rPr>
  </w:style>
  <w:style w:type="character" w:customStyle="1" w:styleId="106">
    <w:name w:val="kshs"/>
    <w:qFormat/>
    <w:uiPriority w:val="99"/>
    <w:rPr>
      <w:rFonts w:cs="Times New Roman"/>
    </w:rPr>
  </w:style>
  <w:style w:type="character" w:customStyle="1" w:styleId="107">
    <w:name w:val="on"/>
    <w:qFormat/>
    <w:uiPriority w:val="99"/>
    <w:rPr>
      <w:rFonts w:cs="Times New Roman"/>
      <w:color w:val="FFFFFF"/>
      <w:bdr w:val="single" w:color="D51D13" w:sz="4" w:space="0"/>
      <w:shd w:val="clear" w:color="auto" w:fill="D51D13"/>
    </w:rPr>
  </w:style>
  <w:style w:type="character" w:customStyle="1" w:styleId="108">
    <w:name w:val="on1"/>
    <w:qFormat/>
    <w:uiPriority w:val="99"/>
    <w:rPr>
      <w:rFonts w:cs="Times New Roman"/>
      <w:color w:val="FFFFFF"/>
      <w:bdr w:val="single" w:color="D51D13" w:sz="4" w:space="0"/>
      <w:shd w:val="clear" w:color="auto" w:fill="D51D13"/>
    </w:rPr>
  </w:style>
  <w:style w:type="paragraph" w:customStyle="1" w:styleId="109">
    <w:name w:val="Char Char2 Char"/>
    <w:basedOn w:val="1"/>
    <w:qFormat/>
    <w:uiPriority w:val="99"/>
    <w:pPr>
      <w:autoSpaceDE/>
      <w:autoSpaceDN/>
      <w:adjustRightInd/>
      <w:jc w:val="both"/>
      <w:textAlignment w:val="auto"/>
    </w:pPr>
    <w:rPr>
      <w:rFonts w:hAnsi="宋体"/>
      <w:b/>
      <w:kern w:val="2"/>
      <w:sz w:val="28"/>
      <w:szCs w:val="28"/>
    </w:rPr>
  </w:style>
  <w:style w:type="paragraph" w:customStyle="1" w:styleId="110">
    <w:name w:val="纯文本1"/>
    <w:basedOn w:val="67"/>
    <w:qFormat/>
    <w:uiPriority w:val="99"/>
    <w:rPr>
      <w:rFonts w:hAnsi="Courier New" w:eastAsia="Times New Roman"/>
      <w:sz w:val="26"/>
    </w:rPr>
  </w:style>
  <w:style w:type="paragraph" w:customStyle="1" w:styleId="111">
    <w:name w:val="默认段落字体 Para Char Char Char Char Char Char Char Char Char1 Char Char Char Char"/>
    <w:basedOn w:val="1"/>
    <w:qFormat/>
    <w:uiPriority w:val="99"/>
    <w:pPr>
      <w:autoSpaceDE/>
      <w:autoSpaceDN/>
      <w:adjustRightInd/>
      <w:jc w:val="both"/>
      <w:textAlignment w:val="auto"/>
    </w:pPr>
    <w:rPr>
      <w:rFonts w:ascii="Tahoma" w:hAnsi="Tahoma"/>
      <w:kern w:val="2"/>
      <w:sz w:val="24"/>
    </w:rPr>
  </w:style>
  <w:style w:type="paragraph" w:customStyle="1" w:styleId="112">
    <w:name w:val="样式K"/>
    <w:basedOn w:val="20"/>
    <w:qFormat/>
    <w:uiPriority w:val="99"/>
    <w:pPr>
      <w:autoSpaceDE/>
      <w:autoSpaceDN/>
      <w:adjustRightInd/>
      <w:textAlignment w:val="auto"/>
    </w:pPr>
    <w:rPr>
      <w:rFonts w:ascii="仿宋_GB2312" w:hAnsi="Book Antiqua" w:eastAsia="仿宋_GB2312"/>
      <w:kern w:val="2"/>
      <w:sz w:val="24"/>
      <w:szCs w:val="24"/>
    </w:rPr>
  </w:style>
  <w:style w:type="paragraph" w:customStyle="1" w:styleId="113">
    <w:name w:val="正文－恩普"/>
    <w:basedOn w:val="9"/>
    <w:qFormat/>
    <w:uiPriority w:val="99"/>
    <w:pPr>
      <w:widowControl/>
      <w:spacing w:line="360" w:lineRule="auto"/>
      <w:ind w:firstLine="480" w:firstLineChars="200"/>
      <w:jc w:val="left"/>
    </w:pPr>
    <w:rPr>
      <w:kern w:val="0"/>
      <w:sz w:val="24"/>
    </w:rPr>
  </w:style>
  <w:style w:type="paragraph" w:customStyle="1" w:styleId="114">
    <w:name w:val="2"/>
    <w:basedOn w:val="1"/>
    <w:next w:val="20"/>
    <w:qFormat/>
    <w:uiPriority w:val="99"/>
    <w:rPr>
      <w:sz w:val="28"/>
    </w:rPr>
  </w:style>
  <w:style w:type="paragraph" w:customStyle="1" w:styleId="115">
    <w:name w:val="Char Char Char Char Char Char Char Char Char"/>
    <w:basedOn w:val="1"/>
    <w:qFormat/>
    <w:uiPriority w:val="99"/>
    <w:pPr>
      <w:autoSpaceDE/>
      <w:autoSpaceDN/>
      <w:adjustRightInd/>
      <w:jc w:val="both"/>
      <w:textAlignment w:val="auto"/>
    </w:pPr>
    <w:rPr>
      <w:rFonts w:ascii="Calibri" w:hAnsi="Calibri"/>
      <w:kern w:val="2"/>
      <w:sz w:val="21"/>
      <w:szCs w:val="22"/>
    </w:rPr>
  </w:style>
  <w:style w:type="paragraph" w:customStyle="1" w:styleId="116">
    <w:name w:val="Char Char Char Char Char Char Char Char Char Char"/>
    <w:basedOn w:val="1"/>
    <w:qFormat/>
    <w:uiPriority w:val="99"/>
    <w:pPr>
      <w:autoSpaceDE/>
      <w:autoSpaceDN/>
      <w:adjustRightInd/>
      <w:jc w:val="both"/>
      <w:textAlignment w:val="auto"/>
    </w:pPr>
    <w:rPr>
      <w:rFonts w:ascii="Tahoma" w:hAnsi="Tahoma"/>
      <w:kern w:val="2"/>
      <w:sz w:val="24"/>
    </w:rPr>
  </w:style>
  <w:style w:type="paragraph" w:customStyle="1" w:styleId="117">
    <w:name w:val="Char"/>
    <w:basedOn w:val="1"/>
    <w:qFormat/>
    <w:uiPriority w:val="99"/>
    <w:pPr>
      <w:autoSpaceDE/>
      <w:autoSpaceDN/>
      <w:adjustRightInd/>
      <w:jc w:val="both"/>
      <w:textAlignment w:val="auto"/>
    </w:pPr>
    <w:rPr>
      <w:rFonts w:ascii="Tahoma" w:hAnsi="Tahoma"/>
      <w:kern w:val="2"/>
      <w:sz w:val="24"/>
    </w:rPr>
  </w:style>
  <w:style w:type="paragraph" w:customStyle="1" w:styleId="118">
    <w:name w:val="Char Char Char Char Char Char Char"/>
    <w:basedOn w:val="1"/>
    <w:qFormat/>
    <w:uiPriority w:val="99"/>
    <w:pPr>
      <w:tabs>
        <w:tab w:val="left" w:pos="432"/>
      </w:tabs>
      <w:autoSpaceDE/>
      <w:autoSpaceDN/>
      <w:adjustRightInd/>
      <w:ind w:left="432" w:hanging="432"/>
      <w:jc w:val="both"/>
      <w:textAlignment w:val="auto"/>
    </w:pPr>
    <w:rPr>
      <w:rFonts w:ascii="Times New Roman"/>
      <w:kern w:val="2"/>
      <w:sz w:val="21"/>
    </w:rPr>
  </w:style>
  <w:style w:type="paragraph" w:customStyle="1" w:styleId="119">
    <w:name w:val="Char Char Char Char"/>
    <w:basedOn w:val="1"/>
    <w:qFormat/>
    <w:uiPriority w:val="99"/>
    <w:pPr>
      <w:autoSpaceDE/>
      <w:autoSpaceDN/>
      <w:adjustRightInd/>
      <w:jc w:val="both"/>
      <w:textAlignment w:val="auto"/>
    </w:pPr>
  </w:style>
  <w:style w:type="paragraph" w:customStyle="1" w:styleId="120">
    <w:name w:val="0-正文"/>
    <w:basedOn w:val="1"/>
    <w:link w:val="121"/>
    <w:qFormat/>
    <w:uiPriority w:val="99"/>
    <w:pPr>
      <w:autoSpaceDE/>
      <w:autoSpaceDN/>
      <w:adjustRightInd/>
      <w:spacing w:line="360" w:lineRule="auto"/>
      <w:ind w:firstLine="420" w:firstLineChars="200"/>
      <w:jc w:val="both"/>
      <w:textAlignment w:val="auto"/>
    </w:pPr>
    <w:rPr>
      <w:rFonts w:ascii="汉仪仿宋简" w:hAnsi="仿宋"/>
      <w:sz w:val="28"/>
    </w:rPr>
  </w:style>
  <w:style w:type="character" w:customStyle="1" w:styleId="121">
    <w:name w:val="0-正文 Char"/>
    <w:link w:val="120"/>
    <w:qFormat/>
    <w:locked/>
    <w:uiPriority w:val="99"/>
    <w:rPr>
      <w:rFonts w:ascii="汉仪仿宋简" w:hAnsi="仿宋"/>
      <w:sz w:val="28"/>
    </w:rPr>
  </w:style>
  <w:style w:type="paragraph" w:customStyle="1" w:styleId="122">
    <w:name w:val="样式 标题 3节内1级标记Heading 3 - oldh3H3level_3PIM 3Level 3 Head...1"/>
    <w:basedOn w:val="6"/>
    <w:link w:val="123"/>
    <w:qFormat/>
    <w:uiPriority w:val="99"/>
    <w:pPr>
      <w:widowControl/>
      <w:adjustRightInd/>
      <w:spacing w:before="120" w:after="120" w:line="360" w:lineRule="auto"/>
      <w:ind w:left="1806"/>
      <w:jc w:val="left"/>
      <w:textAlignment w:val="auto"/>
    </w:pPr>
    <w:rPr>
      <w:rFonts w:ascii="Arial" w:hAnsi="Arial" w:eastAsia="黑体"/>
      <w:kern w:val="2"/>
      <w:sz w:val="30"/>
    </w:rPr>
  </w:style>
  <w:style w:type="character" w:customStyle="1" w:styleId="123">
    <w:name w:val="样式 标题 3节内1级标记Heading 3 - oldh3H3level_3PIM 3Level 3 Head...1 Char"/>
    <w:link w:val="122"/>
    <w:qFormat/>
    <w:locked/>
    <w:uiPriority w:val="99"/>
    <w:rPr>
      <w:rFonts w:ascii="Arial" w:hAnsi="Arial" w:eastAsia="黑体"/>
      <w:b/>
      <w:kern w:val="2"/>
      <w:sz w:val="30"/>
    </w:rPr>
  </w:style>
  <w:style w:type="paragraph" w:customStyle="1" w:styleId="124">
    <w:name w:val="样式10"/>
    <w:basedOn w:val="1"/>
    <w:qFormat/>
    <w:uiPriority w:val="99"/>
    <w:pPr>
      <w:keepNext/>
      <w:keepLines/>
      <w:widowControl/>
      <w:autoSpaceDE/>
      <w:autoSpaceDN/>
      <w:adjustRightInd/>
      <w:spacing w:before="200" w:line="360" w:lineRule="auto"/>
      <w:ind w:left="1806" w:hanging="200" w:hangingChars="200"/>
      <w:textAlignment w:val="auto"/>
      <w:outlineLvl w:val="4"/>
    </w:pPr>
    <w:rPr>
      <w:rFonts w:ascii="Times New Roman" w:eastAsia="黑体"/>
      <w:b/>
      <w:bCs/>
      <w:kern w:val="2"/>
      <w:sz w:val="24"/>
      <w:szCs w:val="28"/>
    </w:rPr>
  </w:style>
  <w:style w:type="paragraph" w:customStyle="1" w:styleId="125">
    <w:name w:val="p0"/>
    <w:basedOn w:val="1"/>
    <w:qFormat/>
    <w:uiPriority w:val="0"/>
    <w:pPr>
      <w:widowControl/>
      <w:autoSpaceDE/>
      <w:autoSpaceDN/>
      <w:adjustRightInd/>
      <w:jc w:val="both"/>
      <w:textAlignment w:val="auto"/>
    </w:pPr>
    <w:rPr>
      <w:rFonts w:ascii="Courier" w:hAnsi="Courier" w:eastAsia="MingLiUfalt"/>
      <w:sz w:val="21"/>
      <w:lang w:eastAsia="zh-TW"/>
    </w:rPr>
  </w:style>
  <w:style w:type="character" w:customStyle="1" w:styleId="126">
    <w:name w:val="纯文本 Char2"/>
    <w:qFormat/>
    <w:uiPriority w:val="99"/>
    <w:rPr>
      <w:rFonts w:ascii="??" w:hAnsi="??"/>
      <w:kern w:val="2"/>
      <w:sz w:val="21"/>
      <w:lang w:val="en-US" w:eastAsia="zh-CN"/>
    </w:rPr>
  </w:style>
  <w:style w:type="character" w:customStyle="1" w:styleId="127">
    <w:name w:val="正文2 Char Char"/>
    <w:link w:val="67"/>
    <w:qFormat/>
    <w:locked/>
    <w:uiPriority w:val="99"/>
    <w:rPr>
      <w:rFonts w:eastAsia="Times New Roman"/>
      <w:kern w:val="2"/>
      <w:sz w:val="28"/>
    </w:rPr>
  </w:style>
  <w:style w:type="paragraph" w:customStyle="1" w:styleId="128">
    <w:name w:val="列出段落111"/>
    <w:basedOn w:val="1"/>
    <w:qFormat/>
    <w:uiPriority w:val="34"/>
    <w:pPr>
      <w:ind w:firstLine="420" w:firstLineChars="200"/>
    </w:pPr>
    <w:rPr>
      <w:rFonts w:ascii="Calibri" w:hAnsi="Calibri"/>
      <w:szCs w:val="22"/>
    </w:rPr>
  </w:style>
  <w:style w:type="paragraph" w:customStyle="1" w:styleId="129">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character" w:customStyle="1" w:styleId="130">
    <w:name w:val="font11"/>
    <w:basedOn w:val="49"/>
    <w:qFormat/>
    <w:uiPriority w:val="0"/>
    <w:rPr>
      <w:rFonts w:hint="default" w:ascii="Times New Roman" w:hAnsi="Times New Roman" w:eastAsia="宋体" w:cs="Times New Roman"/>
      <w:bCs/>
      <w:color w:val="000000"/>
      <w:kern w:val="2"/>
      <w:sz w:val="20"/>
      <w:szCs w:val="20"/>
      <w:u w:val="none"/>
    </w:rPr>
  </w:style>
  <w:style w:type="character" w:customStyle="1" w:styleId="131">
    <w:name w:val="font31"/>
    <w:basedOn w:val="49"/>
    <w:qFormat/>
    <w:uiPriority w:val="0"/>
    <w:rPr>
      <w:rFonts w:hint="eastAsia" w:ascii="宋体" w:hAnsi="宋体" w:eastAsia="宋体" w:cs="宋体"/>
      <w:color w:val="000000"/>
      <w:sz w:val="24"/>
      <w:szCs w:val="24"/>
      <w:u w:val="none"/>
    </w:rPr>
  </w:style>
  <w:style w:type="character" w:customStyle="1" w:styleId="132">
    <w:name w:val="font01"/>
    <w:basedOn w:val="49"/>
    <w:qFormat/>
    <w:uiPriority w:val="0"/>
    <w:rPr>
      <w:rFonts w:hint="eastAsia" w:ascii="宋体" w:hAnsi="宋体" w:eastAsia="宋体" w:cs="宋体"/>
      <w:b/>
      <w:color w:val="000000"/>
      <w:sz w:val="20"/>
      <w:szCs w:val="20"/>
      <w:u w:val="none"/>
    </w:rPr>
  </w:style>
  <w:style w:type="character" w:customStyle="1" w:styleId="133">
    <w:name w:val="font21"/>
    <w:basedOn w:val="49"/>
    <w:qFormat/>
    <w:uiPriority w:val="0"/>
    <w:rPr>
      <w:rFonts w:hint="eastAsia" w:ascii="宋体" w:hAnsi="宋体" w:eastAsia="宋体" w:cs="宋体"/>
      <w:b/>
      <w:color w:val="000000"/>
      <w:sz w:val="18"/>
      <w:szCs w:val="18"/>
      <w:u w:val="none"/>
    </w:rPr>
  </w:style>
  <w:style w:type="character" w:customStyle="1" w:styleId="134">
    <w:name w:val="font51"/>
    <w:basedOn w:val="49"/>
    <w:qFormat/>
    <w:uiPriority w:val="0"/>
    <w:rPr>
      <w:rFonts w:ascii="微软雅黑" w:hAnsi="微软雅黑" w:eastAsia="微软雅黑" w:cs="微软雅黑"/>
      <w:b/>
      <w:color w:val="000000"/>
      <w:sz w:val="18"/>
      <w:szCs w:val="18"/>
      <w:u w:val="none"/>
    </w:rPr>
  </w:style>
  <w:style w:type="character" w:customStyle="1" w:styleId="135">
    <w:name w:val="font91"/>
    <w:basedOn w:val="49"/>
    <w:qFormat/>
    <w:uiPriority w:val="0"/>
    <w:rPr>
      <w:rFonts w:hint="eastAsia" w:ascii="宋体" w:hAnsi="宋体" w:eastAsia="宋体" w:cs="宋体"/>
      <w:b/>
      <w:color w:val="000000"/>
      <w:sz w:val="24"/>
      <w:szCs w:val="24"/>
      <w:u w:val="none"/>
    </w:rPr>
  </w:style>
  <w:style w:type="character" w:customStyle="1" w:styleId="136">
    <w:name w:val="font81"/>
    <w:basedOn w:val="49"/>
    <w:qFormat/>
    <w:uiPriority w:val="0"/>
    <w:rPr>
      <w:rFonts w:hint="eastAsia" w:ascii="微软雅黑" w:hAnsi="微软雅黑" w:eastAsia="微软雅黑" w:cs="微软雅黑"/>
      <w:b/>
      <w:color w:val="000000"/>
      <w:sz w:val="24"/>
      <w:szCs w:val="24"/>
      <w:u w:val="none"/>
    </w:rPr>
  </w:style>
  <w:style w:type="character" w:customStyle="1" w:styleId="137">
    <w:name w:val="font121"/>
    <w:basedOn w:val="49"/>
    <w:qFormat/>
    <w:uiPriority w:val="0"/>
    <w:rPr>
      <w:rFonts w:hint="default" w:ascii="Arial" w:hAnsi="Arial" w:cs="Arial"/>
      <w:b/>
      <w:color w:val="000000"/>
      <w:sz w:val="20"/>
      <w:szCs w:val="20"/>
      <w:u w:val="none"/>
    </w:rPr>
  </w:style>
  <w:style w:type="character" w:customStyle="1" w:styleId="138">
    <w:name w:val="font71"/>
    <w:basedOn w:val="49"/>
    <w:qFormat/>
    <w:uiPriority w:val="0"/>
    <w:rPr>
      <w:rFonts w:hint="eastAsia" w:ascii="宋体" w:hAnsi="宋体" w:eastAsia="宋体" w:cs="宋体"/>
      <w:color w:val="000000"/>
      <w:sz w:val="20"/>
      <w:szCs w:val="20"/>
      <w:u w:val="none"/>
    </w:rPr>
  </w:style>
  <w:style w:type="character" w:customStyle="1" w:styleId="139">
    <w:name w:val="font61"/>
    <w:basedOn w:val="49"/>
    <w:qFormat/>
    <w:uiPriority w:val="0"/>
    <w:rPr>
      <w:rFonts w:hint="eastAsia" w:ascii="宋体" w:hAnsi="宋体" w:eastAsia="宋体" w:cs="宋体"/>
      <w:b/>
      <w:color w:val="000000"/>
      <w:sz w:val="20"/>
      <w:szCs w:val="20"/>
      <w:u w:val="none"/>
    </w:rPr>
  </w:style>
  <w:style w:type="character" w:customStyle="1" w:styleId="140">
    <w:name w:val="font41"/>
    <w:basedOn w:val="49"/>
    <w:qFormat/>
    <w:uiPriority w:val="0"/>
    <w:rPr>
      <w:rFonts w:hint="eastAsia" w:ascii="宋体" w:hAnsi="宋体" w:eastAsia="宋体" w:cs="宋体"/>
      <w:color w:val="000000"/>
      <w:sz w:val="20"/>
      <w:szCs w:val="20"/>
      <w:u w:val="none"/>
    </w:rPr>
  </w:style>
  <w:style w:type="character" w:customStyle="1" w:styleId="141">
    <w:name w:val="bookmark-item"/>
    <w:basedOn w:val="49"/>
    <w:qFormat/>
    <w:uiPriority w:val="0"/>
  </w:style>
  <w:style w:type="character" w:customStyle="1" w:styleId="142">
    <w:name w:val="sub"/>
    <w:basedOn w:val="49"/>
    <w:qFormat/>
    <w:uiPriority w:val="0"/>
  </w:style>
  <w:style w:type="paragraph" w:customStyle="1" w:styleId="143">
    <w:name w:val="_Style 1"/>
    <w:basedOn w:val="1"/>
    <w:next w:val="43"/>
    <w:qFormat/>
    <w:uiPriority w:val="0"/>
    <w:pPr>
      <w:autoSpaceDE/>
      <w:autoSpaceDN/>
      <w:adjustRightInd/>
      <w:jc w:val="both"/>
      <w:textAlignment w:val="auto"/>
    </w:pPr>
    <w:rPr>
      <w:rFonts w:ascii="Times New Roman"/>
      <w:kern w:val="2"/>
      <w:sz w:val="24"/>
    </w:rPr>
  </w:style>
  <w:style w:type="character" w:customStyle="1" w:styleId="144">
    <w:name w:val="apple-converted-space"/>
    <w:basedOn w:val="49"/>
    <w:qFormat/>
    <w:uiPriority w:val="0"/>
  </w:style>
  <w:style w:type="character" w:customStyle="1" w:styleId="145">
    <w:name w:val="Char Char1"/>
    <w:qFormat/>
    <w:uiPriority w:val="0"/>
    <w:rPr>
      <w:rFonts w:ascii="宋体" w:hAnsi="宋体" w:eastAsia="宋体"/>
      <w:sz w:val="24"/>
      <w:szCs w:val="24"/>
      <w:lang w:val="en-US" w:eastAsia="zh-CN" w:bidi="ar-SA"/>
    </w:rPr>
  </w:style>
  <w:style w:type="paragraph" w:customStyle="1" w:styleId="146">
    <w:name w:val="样式1"/>
    <w:basedOn w:val="33"/>
    <w:qFormat/>
    <w:uiPriority w:val="0"/>
    <w:pPr>
      <w:tabs>
        <w:tab w:val="right" w:leader="dot" w:pos="8642"/>
      </w:tabs>
      <w:spacing w:before="240" w:line="360" w:lineRule="auto"/>
    </w:pPr>
    <w:rPr>
      <w:rFonts w:hAnsi="宋体"/>
      <w:sz w:val="28"/>
      <w:szCs w:val="21"/>
    </w:rPr>
  </w:style>
  <w:style w:type="character" w:customStyle="1" w:styleId="147">
    <w:name w:val="NormalCharacter"/>
    <w:semiHidden/>
    <w:qFormat/>
    <w:uiPriority w:val="0"/>
  </w:style>
  <w:style w:type="paragraph" w:customStyle="1" w:styleId="148">
    <w:name w:val="列出段落11"/>
    <w:basedOn w:val="1"/>
    <w:qFormat/>
    <w:uiPriority w:val="0"/>
    <w:pPr>
      <w:spacing w:line="500" w:lineRule="exact"/>
      <w:ind w:left="1182" w:hanging="525" w:firstLineChars="200"/>
    </w:pPr>
    <w:rPr>
      <w:rFonts w:hAnsi="宋体" w:cs="宋体"/>
      <w:sz w:val="22"/>
      <w:lang w:val="zh-CN" w:bidi="zh-CN"/>
    </w:rPr>
  </w:style>
  <w:style w:type="paragraph" w:customStyle="1" w:styleId="149">
    <w:name w:val="正文 A"/>
    <w:qFormat/>
    <w:uiPriority w:val="0"/>
    <w:pPr>
      <w:widowControl w:val="0"/>
      <w:pBdr>
        <w:top w:val="none" w:color="FFFFFF" w:sz="0" w:space="31"/>
        <w:left w:val="none" w:color="FFFFFF" w:sz="0" w:space="31"/>
        <w:bottom w:val="none" w:color="FFFFFF" w:sz="0" w:space="31"/>
        <w:right w:val="none" w:color="FFFFFF" w:sz="0" w:space="31"/>
      </w:pBdr>
    </w:pPr>
    <w:rPr>
      <w:rFonts w:ascii="??" w:hAnsi="??" w:eastAsia="Times New Roman" w:cs="??"/>
      <w:color w:val="000000"/>
      <w:sz w:val="34"/>
      <w:szCs w:val="34"/>
      <w:u w:color="000000"/>
      <w:lang w:val="en-US" w:eastAsia="zh-CN" w:bidi="ar-SA"/>
    </w:rPr>
  </w:style>
  <w:style w:type="character" w:customStyle="1" w:styleId="150">
    <w:name w:val="无"/>
    <w:qFormat/>
    <w:uiPriority w:val="0"/>
  </w:style>
  <w:style w:type="paragraph" w:customStyle="1" w:styleId="151">
    <w:name w:val="Char Char Char Char Char Char"/>
    <w:basedOn w:val="1"/>
    <w:qFormat/>
    <w:uiPriority w:val="0"/>
    <w:pPr>
      <w:widowControl/>
      <w:spacing w:beforeLines="50" w:afterLines="50" w:line="240" w:lineRule="exact"/>
    </w:pPr>
    <w:rPr>
      <w:rFonts w:ascii="Verdana" w:hAnsi="Verdana"/>
      <w:sz w:val="20"/>
      <w:lang w:eastAsia="en-US"/>
    </w:rPr>
  </w:style>
  <w:style w:type="paragraph" w:customStyle="1" w:styleId="15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3">
    <w:name w:val="Normal_5ef73c29-ef0f-45e2-b75a-099b58907413"/>
    <w:qFormat/>
    <w:uiPriority w:val="0"/>
    <w:pPr>
      <w:jc w:val="both"/>
    </w:pPr>
    <w:rPr>
      <w:rFonts w:ascii="Calibri" w:hAnsi="Calibri" w:eastAsia="宋体" w:cs="Calibri"/>
      <w:kern w:val="2"/>
      <w:sz w:val="21"/>
      <w:szCs w:val="21"/>
      <w:lang w:val="en-US" w:eastAsia="zh-CN" w:bidi="ar-SA"/>
    </w:rPr>
  </w:style>
  <w:style w:type="paragraph" w:customStyle="1" w:styleId="15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55">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156">
    <w:name w:val="表格填充"/>
    <w:basedOn w:val="1"/>
    <w:qFormat/>
    <w:uiPriority w:val="0"/>
    <w:pPr>
      <w:autoSpaceDE/>
      <w:autoSpaceDN/>
      <w:snapToGrid w:val="0"/>
      <w:jc w:val="both"/>
      <w:textAlignment w:val="auto"/>
    </w:pPr>
    <w:rPr>
      <w:rFonts w:eastAsia="仿宋" w:asciiTheme="minorHAnsi" w:hAnsiTheme="minorHAnsi" w:cstheme="minorBidi"/>
      <w:kern w:val="2"/>
      <w:sz w:val="21"/>
      <w:szCs w:val="21"/>
    </w:rPr>
  </w:style>
  <w:style w:type="paragraph" w:customStyle="1" w:styleId="157">
    <w:name w:val="B表格正文"/>
    <w:next w:val="1"/>
    <w:qFormat/>
    <w:uiPriority w:val="0"/>
    <w:rPr>
      <w:rFonts w:ascii="Calibri" w:hAnsi="Calibri" w:eastAsia="黑体" w:cs="Times New Roman"/>
      <w:kern w:val="2"/>
      <w:sz w:val="21"/>
      <w:szCs w:val="21"/>
      <w:lang w:val="en-US" w:eastAsia="zh-CN" w:bidi="ar-SA"/>
    </w:rPr>
  </w:style>
  <w:style w:type="paragraph" w:customStyle="1" w:styleId="158">
    <w:name w:val="缺省文本"/>
    <w:basedOn w:val="1"/>
    <w:qFormat/>
    <w:uiPriority w:val="0"/>
    <w:rPr>
      <w:sz w:val="24"/>
      <w:szCs w:val="24"/>
    </w:rPr>
  </w:style>
  <w:style w:type="paragraph" w:customStyle="1" w:styleId="159">
    <w:name w:val="修订1"/>
    <w:hidden/>
    <w:semiHidden/>
    <w:qFormat/>
    <w:uiPriority w:val="99"/>
    <w:rPr>
      <w:rFonts w:ascii="宋体" w:hAnsi="Times New Roman" w:eastAsia="宋体" w:cs="Times New Roman"/>
      <w:sz w:val="34"/>
      <w:lang w:val="en-US" w:eastAsia="zh-CN" w:bidi="ar-SA"/>
    </w:rPr>
  </w:style>
  <w:style w:type="character" w:customStyle="1" w:styleId="160">
    <w:name w:val="font111"/>
    <w:basedOn w:val="49"/>
    <w:qFormat/>
    <w:uiPriority w:val="0"/>
    <w:rPr>
      <w:rFonts w:ascii="Gulim" w:hAnsi="Gulim" w:eastAsia="Gulim" w:cs="Gulim"/>
      <w:color w:val="000000"/>
      <w:sz w:val="20"/>
      <w:szCs w:val="20"/>
      <w:u w:val="none"/>
    </w:rPr>
  </w:style>
  <w:style w:type="character" w:customStyle="1" w:styleId="161">
    <w:name w:val="10"/>
    <w:basedOn w:val="49"/>
    <w:qFormat/>
    <w:uiPriority w:val="0"/>
    <w:rPr>
      <w:rFonts w:hint="default" w:ascii="Times New Roman" w:hAnsi="Times New Roman" w:cs="Times New Roman"/>
    </w:rPr>
  </w:style>
  <w:style w:type="character" w:customStyle="1" w:styleId="162">
    <w:name w:val="15"/>
    <w:basedOn w:val="49"/>
    <w:qFormat/>
    <w:uiPriority w:val="0"/>
    <w:rPr>
      <w:rFonts w:hint="default" w:ascii="Times New Roman" w:hAnsi="Times New Roman" w:cs="Times New Roman"/>
    </w:rPr>
  </w:style>
  <w:style w:type="paragraph" w:customStyle="1" w:styleId="163">
    <w:name w:val="正文内容"/>
    <w:basedOn w:val="1"/>
    <w:qFormat/>
    <w:uiPriority w:val="5"/>
    <w:pPr>
      <w:spacing w:line="360" w:lineRule="auto"/>
      <w:ind w:firstLine="200" w:firstLineChars="200"/>
    </w:pPr>
    <w:rPr>
      <w:sz w:val="24"/>
      <w:lang w:val="zh-CN"/>
    </w:rPr>
  </w:style>
  <w:style w:type="paragraph" w:customStyle="1" w:styleId="164">
    <w:name w:val="表内文字"/>
    <w:basedOn w:val="1"/>
    <w:qFormat/>
    <w:uiPriority w:val="0"/>
    <w:pPr>
      <w:tabs>
        <w:tab w:val="left" w:pos="1418"/>
      </w:tabs>
      <w:autoSpaceDE/>
      <w:autoSpaceDN/>
      <w:adjustRightInd/>
      <w:spacing w:line="360" w:lineRule="auto"/>
      <w:jc w:val="center"/>
      <w:textAlignment w:val="auto"/>
    </w:pPr>
    <w:rPr>
      <w:rFonts w:ascii="仿宋_GB2312" w:eastAsia="仿宋_GB2312"/>
      <w:spacing w:val="-20"/>
      <w:sz w:val="24"/>
      <w:szCs w:val="24"/>
    </w:rPr>
  </w:style>
  <w:style w:type="paragraph" w:customStyle="1" w:styleId="165">
    <w:name w:val="my正文"/>
    <w:basedOn w:val="1"/>
    <w:qFormat/>
    <w:uiPriority w:val="0"/>
    <w:pPr>
      <w:ind w:firstLine="480"/>
    </w:pPr>
    <w:rPr>
      <w:sz w:val="28"/>
    </w:rPr>
  </w:style>
  <w:style w:type="paragraph" w:customStyle="1" w:styleId="166">
    <w:name w:val="sheetHead"/>
    <w:basedOn w:val="1"/>
    <w:qFormat/>
    <w:uiPriority w:val="0"/>
    <w:pPr>
      <w:jc w:val="center"/>
    </w:pPr>
    <w:rPr>
      <w:rFonts w:ascii="黑体" w:hAnsi="黑体" w:eastAsia="黑体"/>
      <w:sz w:val="28"/>
      <w:szCs w:val="28"/>
    </w:rPr>
  </w:style>
  <w:style w:type="paragraph" w:customStyle="1" w:styleId="167">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16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69">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70">
    <w:name w:val="reader-word-layer"/>
    <w:basedOn w:val="1"/>
    <w:qFormat/>
    <w:uiPriority w:val="0"/>
    <w:pPr>
      <w:widowControl/>
      <w:spacing w:before="100" w:beforeAutospacing="1" w:after="100" w:afterAutospacing="1"/>
    </w:pPr>
    <w:rPr>
      <w:rFonts w:ascii="Times New Roman" w:hAnsi="宋体" w:cs="宋体"/>
      <w:sz w:val="24"/>
      <w:szCs w:val="24"/>
    </w:rPr>
  </w:style>
  <w:style w:type="paragraph" w:customStyle="1" w:styleId="171">
    <w:name w:val="PlainText"/>
    <w:basedOn w:val="1"/>
    <w:qFormat/>
    <w:uiPriority w:val="0"/>
    <w:rPr>
      <w:rFonts w:hAnsi="Courier New"/>
      <w:szCs w:val="21"/>
    </w:rPr>
  </w:style>
  <w:style w:type="paragraph" w:customStyle="1" w:styleId="172">
    <w:name w:val="BodyText3"/>
    <w:basedOn w:val="1"/>
    <w:qFormat/>
    <w:uiPriority w:val="0"/>
    <w:pPr>
      <w:spacing w:line="640" w:lineRule="exact"/>
    </w:pPr>
    <w:rPr>
      <w:sz w:val="16"/>
      <w:szCs w:val="16"/>
    </w:rPr>
  </w:style>
  <w:style w:type="paragraph" w:customStyle="1" w:styleId="173">
    <w:name w:val="List Paragraph"/>
    <w:basedOn w:val="1"/>
    <w:unhideWhenUsed/>
    <w:qFormat/>
    <w:uiPriority w:val="99"/>
    <w:pPr>
      <w:ind w:firstLine="420" w:firstLineChars="200"/>
    </w:pPr>
  </w:style>
  <w:style w:type="character" w:customStyle="1" w:styleId="174">
    <w:name w:val="正文 Char"/>
    <w:qFormat/>
    <w:uiPriority w:val="0"/>
    <w:rPr>
      <w:rFonts w:ascii="Times New Roman" w:hAnsi="Times New Roman" w:eastAsia="宋体" w:cs="Times New Roman"/>
      <w:kern w:val="2"/>
      <w:sz w:val="21"/>
      <w:szCs w:val="24"/>
      <w:lang w:val="en-US" w:eastAsia="zh-CN" w:bidi="ar-SA"/>
    </w:rPr>
  </w:style>
  <w:style w:type="paragraph" w:customStyle="1" w:styleId="175">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176">
    <w:name w:val="标题二"/>
    <w:basedOn w:val="1"/>
    <w:qFormat/>
    <w:uiPriority w:val="0"/>
    <w:pPr>
      <w:numPr>
        <w:ilvl w:val="0"/>
        <w:numId w:val="2"/>
      </w:numPr>
      <w:autoSpaceDE/>
      <w:autoSpaceDN/>
      <w:adjustRightInd/>
      <w:spacing w:line="460" w:lineRule="exact"/>
      <w:jc w:val="both"/>
      <w:textAlignment w:val="auto"/>
      <w:outlineLvl w:val="1"/>
    </w:pPr>
    <w:rPr>
      <w:rFonts w:ascii="Times New Roman" w:hAnsi="宋体" w:eastAsia="宋体" w:cs="Arial"/>
      <w:b/>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12509</Words>
  <Characters>13697</Characters>
  <Lines>265</Lines>
  <Paragraphs>74</Paragraphs>
  <TotalTime>18</TotalTime>
  <ScaleCrop>false</ScaleCrop>
  <LinksUpToDate>false</LinksUpToDate>
  <CharactersWithSpaces>13933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2023-03-05T14:56:00Z</dcterms:created>
  <dc:creator>方琦</dc:creator>
  <cp:lastModifiedBy>Lee</cp:lastModifiedBy>
  <cp:lastPrinted>2025-02-28T02:27:00Z</cp:lastPrinted>
  <dcterms:modified xsi:type="dcterms:W3CDTF">2025-02-28T03:34:11Z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DD839F0E71A0497B8C928F4E5ED3258C_13</vt:lpwstr>
  </property>
  <property fmtid="{D5CDD505-2E9C-101B-9397-08002B2CF9AE}" pid="4" name="KSOTemplateDocerSaveRecord">
    <vt:lpwstr>eyJoZGlkIjoiNzIxY2JhM2JjMzgwNjlhYmI0ZGQwYTQ4ZmNhYjRhZjYiLCJ1c2VySWQiOiIyMDQ0NzE4ODIifQ==</vt:lpwstr>
  </property>
</Properties>
</file>