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75B5">
      <w:pPr>
        <w:spacing w:line="360" w:lineRule="auto"/>
        <w:rPr>
          <w:rFonts w:hint="eastAsia" w:ascii="宋体" w:hAnsi="宋体" w:eastAsia="宋体" w:cs="宋体"/>
          <w:b/>
          <w:color w:val="auto"/>
          <w:sz w:val="44"/>
          <w:szCs w:val="44"/>
          <w:highlight w:val="none"/>
        </w:rPr>
      </w:pPr>
    </w:p>
    <w:p w14:paraId="49315605">
      <w:pP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中共浦江县委宣传部2024年网络安全服务项目</w:t>
      </w:r>
    </w:p>
    <w:p w14:paraId="30722DEA">
      <w:pPr>
        <w:pStyle w:val="28"/>
        <w:rPr>
          <w:rFonts w:hint="eastAsia" w:ascii="宋体" w:hAnsi="宋体" w:eastAsia="宋体" w:cs="宋体"/>
          <w:color w:val="auto"/>
          <w:highlight w:val="none"/>
        </w:rPr>
      </w:pPr>
    </w:p>
    <w:p w14:paraId="44579991">
      <w:pPr>
        <w:pStyle w:val="2"/>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公开招标采购文件</w:t>
      </w:r>
    </w:p>
    <w:p w14:paraId="37116353">
      <w:pPr>
        <w:spacing w:line="360" w:lineRule="auto"/>
        <w:jc w:val="center"/>
        <w:rPr>
          <w:rFonts w:hint="eastAsia" w:ascii="宋体" w:hAnsi="宋体" w:eastAsia="宋体" w:cs="宋体"/>
          <w:b/>
          <w:color w:val="auto"/>
          <w:sz w:val="40"/>
          <w:szCs w:val="40"/>
          <w:highlight w:val="none"/>
        </w:rPr>
      </w:pPr>
    </w:p>
    <w:p w14:paraId="41B948B5">
      <w:pPr>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w:t>
      </w:r>
      <w:r>
        <w:rPr>
          <w:rFonts w:hint="eastAsia" w:ascii="宋体" w:hAnsi="宋体" w:eastAsia="宋体" w:cs="宋体"/>
          <w:b/>
          <w:color w:val="auto"/>
          <w:sz w:val="44"/>
          <w:szCs w:val="44"/>
          <w:highlight w:val="none"/>
        </w:rPr>
        <w:t>电子招投标</w:t>
      </w:r>
      <w:r>
        <w:rPr>
          <w:rFonts w:hint="eastAsia" w:ascii="宋体" w:hAnsi="宋体" w:eastAsia="宋体" w:cs="宋体"/>
          <w:b/>
          <w:color w:val="auto"/>
          <w:sz w:val="40"/>
          <w:szCs w:val="40"/>
          <w:highlight w:val="none"/>
        </w:rPr>
        <w:t>）</w:t>
      </w:r>
    </w:p>
    <w:p w14:paraId="2070EF19">
      <w:pPr>
        <w:pStyle w:val="9"/>
        <w:ind w:firstLine="0" w:firstLineChars="0"/>
        <w:rPr>
          <w:rFonts w:hint="eastAsia" w:ascii="宋体" w:hAnsi="宋体" w:eastAsia="宋体" w:cs="宋体"/>
          <w:b/>
          <w:color w:val="auto"/>
          <w:sz w:val="40"/>
          <w:szCs w:val="40"/>
          <w:highlight w:val="none"/>
        </w:rPr>
      </w:pPr>
    </w:p>
    <w:p w14:paraId="34D86E0B">
      <w:pPr>
        <w:pStyle w:val="9"/>
        <w:ind w:firstLine="803"/>
        <w:rPr>
          <w:rFonts w:hint="eastAsia" w:ascii="宋体" w:hAnsi="宋体" w:eastAsia="宋体" w:cs="宋体"/>
          <w:b/>
          <w:color w:val="auto"/>
          <w:sz w:val="40"/>
          <w:szCs w:val="40"/>
          <w:highlight w:val="none"/>
        </w:rPr>
      </w:pPr>
    </w:p>
    <w:p w14:paraId="6DE7494F">
      <w:pPr>
        <w:pStyle w:val="9"/>
        <w:ind w:firstLine="803"/>
        <w:rPr>
          <w:rFonts w:hint="eastAsia" w:ascii="宋体" w:hAnsi="宋体" w:eastAsia="宋体" w:cs="宋体"/>
          <w:b/>
          <w:color w:val="auto"/>
          <w:sz w:val="40"/>
          <w:szCs w:val="40"/>
          <w:highlight w:val="none"/>
        </w:rPr>
      </w:pPr>
    </w:p>
    <w:tbl>
      <w:tblPr>
        <w:tblStyle w:val="30"/>
        <w:tblW w:w="5447" w:type="dxa"/>
        <w:jc w:val="center"/>
        <w:tblLayout w:type="fixed"/>
        <w:tblCellMar>
          <w:top w:w="0" w:type="dxa"/>
          <w:left w:w="108" w:type="dxa"/>
          <w:bottom w:w="0" w:type="dxa"/>
          <w:right w:w="108" w:type="dxa"/>
        </w:tblCellMar>
      </w:tblPr>
      <w:tblGrid>
        <w:gridCol w:w="1755"/>
        <w:gridCol w:w="3692"/>
      </w:tblGrid>
      <w:tr w14:paraId="1E44926A">
        <w:tblPrEx>
          <w:tblCellMar>
            <w:top w:w="0" w:type="dxa"/>
            <w:left w:w="108" w:type="dxa"/>
            <w:bottom w:w="0" w:type="dxa"/>
            <w:right w:w="108" w:type="dxa"/>
          </w:tblCellMar>
        </w:tblPrEx>
        <w:trPr>
          <w:trHeight w:val="936" w:hRule="atLeast"/>
          <w:jc w:val="center"/>
        </w:trPr>
        <w:tc>
          <w:tcPr>
            <w:tcW w:w="1755" w:type="dxa"/>
            <w:vAlign w:val="center"/>
          </w:tcPr>
          <w:p w14:paraId="744102BC">
            <w:pPr>
              <w:keepNext w:val="0"/>
              <w:keepLines w:val="0"/>
              <w:suppressLineNumbers w:val="0"/>
              <w:spacing w:before="0" w:beforeAutospacing="0" w:after="0" w:afterAutospacing="0" w:line="360" w:lineRule="auto"/>
              <w:ind w:left="0" w:right="0"/>
              <w:jc w:val="right"/>
              <w:rPr>
                <w:rFonts w:hint="eastAsia" w:ascii="宋体" w:hAnsi="宋体" w:eastAsia="宋体" w:cs="宋体"/>
                <w:color w:val="auto"/>
                <w:sz w:val="32"/>
                <w:szCs w:val="20"/>
                <w:highlight w:val="none"/>
              </w:rPr>
            </w:pPr>
            <w:r>
              <w:rPr>
                <w:rFonts w:hint="eastAsia" w:ascii="宋体" w:hAnsi="宋体" w:eastAsia="宋体" w:cs="宋体"/>
                <w:color w:val="auto"/>
                <w:sz w:val="32"/>
                <w:szCs w:val="20"/>
                <w:highlight w:val="none"/>
              </w:rPr>
              <w:t>项目编号：</w:t>
            </w:r>
          </w:p>
        </w:tc>
        <w:tc>
          <w:tcPr>
            <w:tcW w:w="3692" w:type="dxa"/>
            <w:vAlign w:val="center"/>
          </w:tcPr>
          <w:p w14:paraId="77D02C9D">
            <w:pPr>
              <w:keepNext w:val="0"/>
              <w:keepLines w:val="0"/>
              <w:suppressLineNumbers w:val="0"/>
              <w:spacing w:before="0" w:beforeAutospacing="0" w:after="0" w:afterAutospacing="0" w:line="360" w:lineRule="auto"/>
              <w:ind w:left="0" w:right="0"/>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HJGK1310012024001</w:t>
            </w:r>
          </w:p>
        </w:tc>
      </w:tr>
    </w:tbl>
    <w:p w14:paraId="60F662B5">
      <w:pPr>
        <w:rPr>
          <w:rFonts w:hint="eastAsia" w:ascii="宋体" w:hAnsi="宋体" w:eastAsia="宋体" w:cs="宋体"/>
          <w:color w:val="auto"/>
          <w:highlight w:val="none"/>
        </w:rPr>
      </w:pPr>
    </w:p>
    <w:p w14:paraId="1A634028">
      <w:pPr>
        <w:pStyle w:val="9"/>
        <w:rPr>
          <w:rFonts w:hint="eastAsia" w:ascii="宋体" w:hAnsi="宋体" w:eastAsia="宋体" w:cs="宋体"/>
          <w:color w:val="auto"/>
          <w:highlight w:val="none"/>
        </w:rPr>
      </w:pPr>
    </w:p>
    <w:p w14:paraId="6A267591">
      <w:pPr>
        <w:pStyle w:val="8"/>
        <w:ind w:left="0" w:leftChars="0" w:firstLine="0" w:firstLineChars="0"/>
        <w:rPr>
          <w:rFonts w:hint="eastAsia" w:ascii="宋体" w:hAnsi="宋体" w:eastAsia="宋体" w:cs="宋体"/>
          <w:color w:val="auto"/>
          <w:highlight w:val="none"/>
        </w:rPr>
      </w:pPr>
    </w:p>
    <w:tbl>
      <w:tblPr>
        <w:tblStyle w:val="31"/>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6F9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385" w:type="dxa"/>
            <w:vAlign w:val="center"/>
          </w:tcPr>
          <w:p w14:paraId="7687B9D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32"/>
                <w:szCs w:val="32"/>
                <w:highlight w:val="none"/>
                <w:lang w:val="zh-CN"/>
              </w:rPr>
              <w:t>采</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购</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人：</w:t>
            </w:r>
          </w:p>
        </w:tc>
        <w:tc>
          <w:tcPr>
            <w:tcW w:w="6270" w:type="dxa"/>
            <w:vAlign w:val="center"/>
          </w:tcPr>
          <w:p w14:paraId="6DA8349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cs="宋体"/>
                <w:color w:val="auto"/>
                <w:sz w:val="32"/>
                <w:szCs w:val="32"/>
                <w:highlight w:val="none"/>
                <w:lang w:val="zh-CN"/>
              </w:rPr>
              <w:t>中共浦江县委宣传部</w:t>
            </w:r>
          </w:p>
        </w:tc>
      </w:tr>
      <w:tr w14:paraId="7086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2385" w:type="dxa"/>
            <w:vAlign w:val="center"/>
          </w:tcPr>
          <w:p w14:paraId="6F05B0F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32"/>
                <w:szCs w:val="32"/>
                <w:highlight w:val="none"/>
                <w:lang w:val="zh-CN"/>
              </w:rPr>
              <w:t>采购代理机构：</w:t>
            </w:r>
          </w:p>
        </w:tc>
        <w:tc>
          <w:tcPr>
            <w:tcW w:w="6270" w:type="dxa"/>
            <w:vAlign w:val="center"/>
          </w:tcPr>
          <w:p w14:paraId="33829D9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32"/>
                <w:szCs w:val="32"/>
                <w:highlight w:val="none"/>
                <w:lang w:val="zh-CN"/>
              </w:rPr>
              <w:t>浙江华杰工程咨询有限公司</w:t>
            </w:r>
          </w:p>
        </w:tc>
      </w:tr>
      <w:tr w14:paraId="7531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14:paraId="2A03D9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32"/>
                <w:szCs w:val="32"/>
                <w:highlight w:val="none"/>
              </w:rPr>
              <w:t>2024年</w:t>
            </w:r>
            <w:r>
              <w:rPr>
                <w:rFonts w:hint="eastAsia" w:ascii="宋体" w:hAnsi="宋体" w:cs="宋体"/>
                <w:color w:val="auto"/>
                <w:sz w:val="32"/>
                <w:szCs w:val="32"/>
                <w:highlight w:val="none"/>
                <w:lang w:val="en-US" w:eastAsia="zh-CN"/>
              </w:rPr>
              <w:t>12</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20日</w:t>
            </w:r>
          </w:p>
        </w:tc>
      </w:tr>
    </w:tbl>
    <w:p w14:paraId="4641DDA7">
      <w:pPr>
        <w:pStyle w:val="9"/>
        <w:rPr>
          <w:rFonts w:hint="eastAsia" w:ascii="宋体" w:hAnsi="宋体" w:eastAsia="宋体" w:cs="宋体"/>
          <w:color w:val="auto"/>
          <w:highlight w:val="none"/>
        </w:rPr>
      </w:pPr>
    </w:p>
    <w:p w14:paraId="0D554F3B">
      <w:pPr>
        <w:pStyle w:val="9"/>
        <w:ind w:firstLine="0" w:firstLineChars="0"/>
        <w:rPr>
          <w:rFonts w:hint="eastAsia" w:ascii="宋体" w:hAnsi="宋体" w:eastAsia="宋体" w:cs="宋体"/>
          <w:color w:val="auto"/>
          <w:highlight w:val="none"/>
        </w:rPr>
      </w:pPr>
    </w:p>
    <w:p w14:paraId="39FCB331">
      <w:pPr>
        <w:pStyle w:val="9"/>
        <w:ind w:firstLine="0" w:firstLineChars="0"/>
        <w:rPr>
          <w:rFonts w:hint="eastAsia" w:ascii="宋体" w:hAnsi="宋体" w:eastAsia="宋体" w:cs="宋体"/>
          <w:color w:val="auto"/>
          <w:highlight w:val="none"/>
        </w:rPr>
      </w:pPr>
    </w:p>
    <w:p w14:paraId="6DF392D3">
      <w:pPr>
        <w:pStyle w:val="9"/>
        <w:ind w:firstLine="0" w:firstLineChars="0"/>
        <w:rPr>
          <w:rFonts w:hint="eastAsia" w:ascii="宋体" w:hAnsi="宋体" w:eastAsia="宋体" w:cs="宋体"/>
          <w:color w:val="auto"/>
          <w:highlight w:val="none"/>
        </w:rPr>
      </w:pPr>
    </w:p>
    <w:p w14:paraId="1CC33EDD">
      <w:pPr>
        <w:pStyle w:val="9"/>
        <w:ind w:firstLine="0" w:firstLineChars="0"/>
        <w:rPr>
          <w:rFonts w:hint="eastAsia" w:ascii="宋体" w:hAnsi="宋体" w:eastAsia="宋体" w:cs="宋体"/>
          <w:color w:val="auto"/>
          <w:highlight w:val="none"/>
        </w:rPr>
      </w:pPr>
    </w:p>
    <w:p w14:paraId="618F020F">
      <w:pPr>
        <w:pStyle w:val="9"/>
        <w:ind w:firstLine="0" w:firstLineChars="0"/>
        <w:rPr>
          <w:rFonts w:hint="eastAsia" w:ascii="宋体" w:hAnsi="宋体" w:eastAsia="宋体" w:cs="宋体"/>
          <w:color w:val="auto"/>
          <w:highlight w:val="none"/>
        </w:rPr>
      </w:pPr>
    </w:p>
    <w:p w14:paraId="6820124A">
      <w:pPr>
        <w:pStyle w:val="9"/>
        <w:ind w:firstLine="0" w:firstLineChars="0"/>
        <w:rPr>
          <w:rFonts w:hint="eastAsia" w:ascii="宋体" w:hAnsi="宋体" w:eastAsia="宋体" w:cs="宋体"/>
          <w:color w:val="auto"/>
          <w:highlight w:val="none"/>
        </w:rPr>
      </w:pPr>
    </w:p>
    <w:p w14:paraId="15BD6BBD">
      <w:pPr>
        <w:pStyle w:val="9"/>
        <w:ind w:firstLine="0" w:firstLineChars="0"/>
        <w:rPr>
          <w:rFonts w:hint="eastAsia" w:ascii="宋体" w:hAnsi="宋体" w:eastAsia="宋体" w:cs="宋体"/>
          <w:color w:val="auto"/>
          <w:highlight w:val="none"/>
        </w:rPr>
      </w:pPr>
    </w:p>
    <w:p w14:paraId="042A7772">
      <w:pPr>
        <w:pStyle w:val="9"/>
        <w:ind w:firstLine="0" w:firstLineChars="0"/>
        <w:rPr>
          <w:rFonts w:hint="eastAsia" w:ascii="宋体" w:hAnsi="宋体" w:eastAsia="宋体" w:cs="宋体"/>
          <w:color w:val="auto"/>
          <w:highlight w:val="none"/>
        </w:rPr>
      </w:pPr>
    </w:p>
    <w:p w14:paraId="76CD343B">
      <w:pPr>
        <w:pStyle w:val="9"/>
        <w:ind w:firstLine="0" w:firstLineChars="0"/>
        <w:rPr>
          <w:rFonts w:hint="eastAsia" w:ascii="宋体" w:hAnsi="宋体" w:eastAsia="宋体" w:cs="宋体"/>
          <w:color w:val="auto"/>
          <w:highlight w:val="none"/>
        </w:rPr>
      </w:pPr>
    </w:p>
    <w:p w14:paraId="75A9362E">
      <w:pPr>
        <w:pStyle w:val="9"/>
        <w:ind w:firstLine="0" w:firstLineChars="0"/>
        <w:rPr>
          <w:rFonts w:hint="eastAsia" w:ascii="宋体" w:hAnsi="宋体" w:eastAsia="宋体" w:cs="宋体"/>
          <w:color w:val="auto"/>
          <w:highlight w:val="none"/>
        </w:rPr>
      </w:pPr>
    </w:p>
    <w:p w14:paraId="70A32424">
      <w:pPr>
        <w:pStyle w:val="9"/>
        <w:ind w:firstLine="0" w:firstLineChars="0"/>
        <w:rPr>
          <w:rFonts w:hint="eastAsia" w:ascii="宋体" w:hAnsi="宋体" w:eastAsia="宋体" w:cs="宋体"/>
          <w:color w:val="auto"/>
          <w:highlight w:val="none"/>
        </w:rPr>
      </w:pPr>
    </w:p>
    <w:p w14:paraId="67FA1423">
      <w:pPr>
        <w:pStyle w:val="9"/>
        <w:ind w:firstLine="0" w:firstLineChars="0"/>
        <w:rPr>
          <w:rFonts w:hint="eastAsia" w:ascii="宋体" w:hAnsi="宋体" w:eastAsia="宋体" w:cs="宋体"/>
          <w:color w:val="auto"/>
          <w:highlight w:val="none"/>
        </w:rPr>
      </w:pPr>
    </w:p>
    <w:p w14:paraId="717DBF46">
      <w:pPr>
        <w:pStyle w:val="9"/>
        <w:ind w:firstLine="0" w:firstLineChars="0"/>
        <w:rPr>
          <w:rFonts w:hint="eastAsia" w:ascii="宋体" w:hAnsi="宋体" w:eastAsia="宋体" w:cs="宋体"/>
          <w:color w:val="auto"/>
          <w:highlight w:val="none"/>
        </w:rPr>
      </w:pPr>
    </w:p>
    <w:p w14:paraId="77323EDC">
      <w:pPr>
        <w:pStyle w:val="9"/>
        <w:ind w:firstLine="0" w:firstLineChars="0"/>
        <w:rPr>
          <w:rFonts w:hint="eastAsia" w:ascii="宋体" w:hAnsi="宋体" w:eastAsia="宋体" w:cs="宋体"/>
          <w:color w:val="auto"/>
          <w:highlight w:val="none"/>
        </w:rPr>
      </w:pPr>
    </w:p>
    <w:p w14:paraId="0BF24A99">
      <w:pPr>
        <w:pStyle w:val="9"/>
        <w:ind w:firstLine="0" w:firstLineChars="0"/>
        <w:rPr>
          <w:rFonts w:hint="eastAsia" w:ascii="宋体" w:hAnsi="宋体" w:eastAsia="宋体" w:cs="宋体"/>
          <w:color w:val="auto"/>
          <w:highlight w:val="none"/>
        </w:rPr>
      </w:pPr>
    </w:p>
    <w:p w14:paraId="17AB3C9A">
      <w:pPr>
        <w:pStyle w:val="9"/>
        <w:ind w:firstLine="0" w:firstLineChars="0"/>
        <w:rPr>
          <w:rFonts w:hint="eastAsia" w:ascii="宋体" w:hAnsi="宋体" w:eastAsia="宋体" w:cs="宋体"/>
          <w:color w:val="auto"/>
          <w:highlight w:val="none"/>
        </w:rPr>
      </w:pPr>
    </w:p>
    <w:p w14:paraId="4B3E8DCC">
      <w:pPr>
        <w:pStyle w:val="9"/>
        <w:ind w:firstLine="0" w:firstLineChars="0"/>
        <w:rPr>
          <w:rFonts w:hint="eastAsia" w:ascii="宋体" w:hAnsi="宋体" w:eastAsia="宋体" w:cs="宋体"/>
          <w:color w:val="auto"/>
          <w:highlight w:val="none"/>
        </w:rPr>
      </w:pPr>
    </w:p>
    <w:p w14:paraId="2E28BDF5">
      <w:pPr>
        <w:pStyle w:val="9"/>
        <w:ind w:firstLine="0" w:firstLineChars="0"/>
        <w:rPr>
          <w:rFonts w:hint="eastAsia" w:ascii="宋体" w:hAnsi="宋体" w:eastAsia="宋体" w:cs="宋体"/>
          <w:color w:val="auto"/>
          <w:highlight w:val="none"/>
        </w:rPr>
      </w:pPr>
    </w:p>
    <w:p w14:paraId="767C315D">
      <w:pPr>
        <w:pStyle w:val="9"/>
        <w:ind w:firstLine="0" w:firstLineChars="0"/>
        <w:rPr>
          <w:rFonts w:hint="eastAsia" w:ascii="宋体" w:hAnsi="宋体" w:eastAsia="宋体" w:cs="宋体"/>
          <w:color w:val="auto"/>
          <w:highlight w:val="none"/>
        </w:rPr>
      </w:pPr>
    </w:p>
    <w:p w14:paraId="4F4F7186">
      <w:pPr>
        <w:pStyle w:val="9"/>
        <w:ind w:firstLine="0" w:firstLineChars="0"/>
        <w:rPr>
          <w:rFonts w:hint="eastAsia" w:ascii="宋体" w:hAnsi="宋体" w:eastAsia="宋体" w:cs="宋体"/>
          <w:color w:val="auto"/>
          <w:highlight w:val="none"/>
        </w:rPr>
      </w:pPr>
    </w:p>
    <w:p w14:paraId="4F4F5B35">
      <w:pPr>
        <w:pStyle w:val="9"/>
        <w:ind w:firstLine="0" w:firstLineChars="0"/>
        <w:rPr>
          <w:rFonts w:hint="eastAsia" w:ascii="宋体" w:hAnsi="宋体" w:eastAsia="宋体" w:cs="宋体"/>
          <w:color w:val="auto"/>
          <w:highlight w:val="none"/>
        </w:rPr>
      </w:pPr>
    </w:p>
    <w:p w14:paraId="117EEDA5">
      <w:pPr>
        <w:pStyle w:val="9"/>
        <w:ind w:firstLine="0" w:firstLineChars="0"/>
        <w:rPr>
          <w:rFonts w:hint="eastAsia" w:ascii="宋体" w:hAnsi="宋体" w:eastAsia="宋体" w:cs="宋体"/>
          <w:color w:val="auto"/>
          <w:highlight w:val="none"/>
        </w:rPr>
      </w:pPr>
    </w:p>
    <w:p w14:paraId="1BFD2D9E">
      <w:pPr>
        <w:pStyle w:val="9"/>
        <w:ind w:firstLine="0" w:firstLineChars="0"/>
        <w:rPr>
          <w:rFonts w:hint="eastAsia" w:ascii="宋体" w:hAnsi="宋体" w:eastAsia="宋体" w:cs="宋体"/>
          <w:color w:val="auto"/>
          <w:highlight w:val="none"/>
        </w:rPr>
      </w:pPr>
    </w:p>
    <w:p w14:paraId="3BB8D8A5">
      <w:pPr>
        <w:pStyle w:val="8"/>
        <w:ind w:firstLine="0"/>
        <w:rPr>
          <w:rFonts w:hint="eastAsia" w:ascii="宋体" w:hAnsi="宋体" w:eastAsia="宋体" w:cs="宋体"/>
          <w:color w:val="auto"/>
          <w:highlight w:val="none"/>
        </w:rPr>
      </w:pPr>
    </w:p>
    <w:p w14:paraId="466965B1">
      <w:pPr>
        <w:adjustRightInd w:val="0"/>
        <w:spacing w:line="360" w:lineRule="auto"/>
        <w:rPr>
          <w:rFonts w:hint="eastAsia" w:ascii="宋体" w:hAnsi="宋体" w:eastAsia="宋体" w:cs="宋体"/>
          <w:b/>
          <w:color w:val="auto"/>
          <w:sz w:val="48"/>
          <w:szCs w:val="48"/>
          <w:highlight w:val="none"/>
        </w:rPr>
      </w:pPr>
    </w:p>
    <w:p w14:paraId="6AF886F4">
      <w:pPr>
        <w:adjustRightInd w:val="0"/>
        <w:spacing w:line="360" w:lineRule="auto"/>
        <w:jc w:val="center"/>
        <w:rPr>
          <w:rFonts w:hint="eastAsia" w:ascii="宋体" w:hAnsi="宋体" w:eastAsia="宋体" w:cs="宋体"/>
          <w:b/>
          <w:color w:val="auto"/>
          <w:sz w:val="48"/>
          <w:szCs w:val="48"/>
          <w:highlight w:val="none"/>
        </w:rPr>
        <w:sectPr>
          <w:headerReference r:id="rId5" w:type="default"/>
          <w:footerReference r:id="rId6" w:type="default"/>
          <w:pgSz w:w="11906" w:h="16838"/>
          <w:pgMar w:top="1474" w:right="1191" w:bottom="1191" w:left="1474" w:header="851" w:footer="850" w:gutter="0"/>
          <w:pgNumType w:fmt="decimal"/>
          <w:cols w:space="720" w:num="1"/>
          <w:docGrid w:linePitch="312" w:charSpace="0"/>
        </w:sectPr>
      </w:pPr>
    </w:p>
    <w:p w14:paraId="7BB8B887">
      <w:pPr>
        <w:adjustRightIn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D9417F9">
      <w:pPr>
        <w:adjustRightInd w:val="0"/>
        <w:spacing w:line="360" w:lineRule="auto"/>
        <w:rPr>
          <w:rFonts w:hint="eastAsia" w:ascii="宋体" w:hAnsi="宋体" w:eastAsia="宋体" w:cs="宋体"/>
          <w:color w:val="auto"/>
          <w:sz w:val="32"/>
          <w:szCs w:val="32"/>
          <w:highlight w:val="none"/>
        </w:rPr>
      </w:pPr>
    </w:p>
    <w:p w14:paraId="358FCD99">
      <w:pPr>
        <w:adjustRightInd w:val="0"/>
        <w:spacing w:line="360" w:lineRule="auto"/>
        <w:rPr>
          <w:rFonts w:hint="eastAsia" w:ascii="宋体" w:hAnsi="宋体" w:eastAsia="宋体" w:cs="宋体"/>
          <w:color w:val="auto"/>
          <w:sz w:val="32"/>
          <w:szCs w:val="32"/>
          <w:highlight w:val="none"/>
        </w:rPr>
      </w:pPr>
    </w:p>
    <w:p w14:paraId="2C2665DE">
      <w:pPr>
        <w:adjustRightInd w:val="0"/>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采购公告</w:t>
      </w:r>
    </w:p>
    <w:p w14:paraId="6C69FD2B">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B59ADCD">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5BF8DB1">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0490B3D">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791E5C0">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6E9B2F6">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其他</w:t>
      </w:r>
    </w:p>
    <w:p w14:paraId="7418AE82">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21F77A3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textWrapping"/>
      </w:r>
    </w:p>
    <w:p w14:paraId="44F108C3">
      <w:pPr>
        <w:pStyle w:val="28"/>
        <w:ind w:firstLine="640"/>
        <w:rPr>
          <w:rFonts w:hint="eastAsia" w:ascii="宋体" w:hAnsi="宋体" w:eastAsia="宋体" w:cs="宋体"/>
          <w:color w:val="auto"/>
          <w:sz w:val="32"/>
          <w:szCs w:val="32"/>
          <w:highlight w:val="none"/>
        </w:rPr>
      </w:pPr>
    </w:p>
    <w:p w14:paraId="77B7ADE2">
      <w:pPr>
        <w:rPr>
          <w:rFonts w:hint="eastAsia" w:ascii="宋体" w:hAnsi="宋体" w:eastAsia="宋体" w:cs="宋体"/>
          <w:color w:val="auto"/>
          <w:sz w:val="32"/>
          <w:szCs w:val="32"/>
          <w:highlight w:val="none"/>
        </w:rPr>
      </w:pPr>
    </w:p>
    <w:p w14:paraId="04B9ABB3">
      <w:pPr>
        <w:pStyle w:val="28"/>
        <w:ind w:firstLine="640"/>
        <w:rPr>
          <w:rFonts w:hint="eastAsia" w:ascii="宋体" w:hAnsi="宋体" w:eastAsia="宋体" w:cs="宋体"/>
          <w:color w:val="auto"/>
          <w:sz w:val="32"/>
          <w:szCs w:val="32"/>
          <w:highlight w:val="none"/>
        </w:rPr>
      </w:pPr>
    </w:p>
    <w:p w14:paraId="5E517EF4">
      <w:pPr>
        <w:rPr>
          <w:rFonts w:hint="eastAsia" w:ascii="宋体" w:hAnsi="宋体" w:eastAsia="宋体" w:cs="宋体"/>
          <w:color w:val="auto"/>
          <w:sz w:val="32"/>
          <w:szCs w:val="32"/>
          <w:highlight w:val="none"/>
        </w:rPr>
      </w:pPr>
    </w:p>
    <w:p w14:paraId="7146961D">
      <w:pPr>
        <w:pStyle w:val="28"/>
        <w:ind w:firstLine="640"/>
        <w:rPr>
          <w:rFonts w:hint="eastAsia" w:ascii="宋体" w:hAnsi="宋体" w:eastAsia="宋体" w:cs="宋体"/>
          <w:color w:val="auto"/>
          <w:sz w:val="32"/>
          <w:szCs w:val="32"/>
          <w:highlight w:val="none"/>
        </w:rPr>
      </w:pPr>
    </w:p>
    <w:p w14:paraId="438AD9ED">
      <w:pPr>
        <w:pStyle w:val="12"/>
        <w:rPr>
          <w:rFonts w:hint="eastAsia" w:ascii="宋体" w:hAnsi="宋体" w:eastAsia="宋体" w:cs="宋体"/>
          <w:color w:val="auto"/>
          <w:sz w:val="32"/>
          <w:szCs w:val="32"/>
          <w:highlight w:val="none"/>
        </w:rPr>
      </w:pPr>
    </w:p>
    <w:p w14:paraId="705D91E2">
      <w:pPr>
        <w:pStyle w:val="27"/>
        <w:rPr>
          <w:rFonts w:hint="eastAsia" w:ascii="宋体" w:hAnsi="宋体" w:eastAsia="宋体" w:cs="宋体"/>
          <w:color w:val="auto"/>
          <w:highlight w:val="none"/>
        </w:rPr>
      </w:pPr>
    </w:p>
    <w:p w14:paraId="0D48C62D">
      <w:pPr>
        <w:spacing w:line="360" w:lineRule="auto"/>
        <w:jc w:val="center"/>
        <w:rPr>
          <w:rFonts w:hint="eastAsia" w:ascii="宋体" w:hAnsi="宋体" w:eastAsia="宋体" w:cs="宋体"/>
          <w:b/>
          <w:color w:val="auto"/>
          <w:sz w:val="36"/>
          <w:highlight w:val="none"/>
        </w:rPr>
      </w:pPr>
    </w:p>
    <w:p w14:paraId="7D76677F">
      <w:pPr>
        <w:spacing w:line="360" w:lineRule="auto"/>
        <w:jc w:val="center"/>
        <w:rPr>
          <w:rFonts w:hint="eastAsia" w:ascii="宋体" w:hAnsi="宋体" w:eastAsia="宋体" w:cs="宋体"/>
          <w:b/>
          <w:color w:val="auto"/>
          <w:sz w:val="36"/>
          <w:highlight w:val="none"/>
        </w:rPr>
      </w:pPr>
    </w:p>
    <w:p w14:paraId="6A7E99BF">
      <w:pPr>
        <w:spacing w:line="360" w:lineRule="auto"/>
        <w:jc w:val="center"/>
        <w:rPr>
          <w:rFonts w:hint="eastAsia" w:ascii="宋体" w:hAnsi="宋体" w:eastAsia="宋体" w:cs="宋体"/>
          <w:b/>
          <w:color w:val="auto"/>
          <w:sz w:val="36"/>
          <w:highlight w:val="none"/>
        </w:rPr>
      </w:pPr>
    </w:p>
    <w:p w14:paraId="3CF8D226">
      <w:pPr>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第一部分 </w:t>
      </w:r>
      <w:r>
        <w:rPr>
          <w:rFonts w:hint="eastAsia" w:ascii="宋体" w:hAnsi="宋体" w:eastAsia="宋体" w:cs="宋体"/>
          <w:b/>
          <w:color w:val="auto"/>
          <w:sz w:val="36"/>
          <w:highlight w:val="none"/>
          <w:lang w:eastAsia="zh-CN"/>
        </w:rPr>
        <w:t>采购</w:t>
      </w:r>
      <w:r>
        <w:rPr>
          <w:rFonts w:hint="eastAsia" w:ascii="宋体" w:hAnsi="宋体" w:eastAsia="宋体" w:cs="宋体"/>
          <w:b/>
          <w:color w:val="auto"/>
          <w:sz w:val="36"/>
          <w:highlight w:val="none"/>
        </w:rPr>
        <w:t>公告</w:t>
      </w:r>
    </w:p>
    <w:tbl>
      <w:tblPr>
        <w:tblStyle w:val="3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3E2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1" w:type="dxa"/>
          </w:tcPr>
          <w:p w14:paraId="48FF41E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p w14:paraId="346D56BD">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u w:val="single"/>
                <w:lang w:eastAsia="zh-CN"/>
              </w:rPr>
              <w:t>中共浦江县委宣传部2024年网络安全服务项目</w:t>
            </w:r>
            <w:r>
              <w:rPr>
                <w:rFonts w:hint="eastAsia" w:ascii="宋体" w:hAnsi="宋体" w:eastAsia="宋体" w:cs="宋体"/>
                <w:color w:val="auto"/>
                <w:kern w:val="0"/>
                <w:sz w:val="24"/>
                <w:szCs w:val="24"/>
                <w:highlight w:val="none"/>
              </w:rPr>
              <w:t>招标项目的潜在投标人应在</w:t>
            </w:r>
            <w:r>
              <w:rPr>
                <w:rFonts w:hint="eastAsia" w:ascii="宋体" w:hAnsi="宋体" w:eastAsia="宋体" w:cs="宋体"/>
                <w:color w:val="auto"/>
                <w:kern w:val="0"/>
                <w:sz w:val="24"/>
                <w:szCs w:val="24"/>
                <w:highlight w:val="none"/>
                <w:u w:val="single"/>
              </w:rPr>
              <w:t>浙江政府采购网（https://zfcg.czt.zj.gov.cn/）</w:t>
            </w:r>
            <w:r>
              <w:rPr>
                <w:rFonts w:hint="eastAsia" w:ascii="宋体" w:hAnsi="宋体" w:eastAsia="宋体" w:cs="宋体"/>
                <w:color w:val="auto"/>
                <w:kern w:val="0"/>
                <w:sz w:val="24"/>
                <w:szCs w:val="24"/>
                <w:highlight w:val="none"/>
              </w:rPr>
              <w:t>获取（下载）</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，并于</w:t>
            </w:r>
            <w:r>
              <w:rPr>
                <w:rFonts w:hint="eastAsia" w:ascii="宋体" w:hAnsi="宋体" w:eastAsia="宋体" w:cs="宋体"/>
                <w:color w:val="auto"/>
                <w:kern w:val="0"/>
                <w:sz w:val="24"/>
                <w:szCs w:val="24"/>
                <w:highlight w:val="none"/>
                <w:u w:val="single"/>
                <w:lang w:eastAsia="zh-CN"/>
              </w:rPr>
              <w:t>202</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lang w:eastAsia="zh-CN"/>
              </w:rPr>
              <w:t>年</w:t>
            </w:r>
            <w:r>
              <w:rPr>
                <w:rFonts w:hint="eastAsia" w:ascii="宋体" w:hAnsi="宋体" w:cs="宋体"/>
                <w:color w:val="auto"/>
                <w:kern w:val="0"/>
                <w:sz w:val="24"/>
                <w:szCs w:val="24"/>
                <w:highlight w:val="none"/>
                <w:u w:val="single"/>
                <w:lang w:val="en-US" w:eastAsia="zh-CN"/>
              </w:rPr>
              <w:t>01</w:t>
            </w:r>
            <w:r>
              <w:rPr>
                <w:rFonts w:hint="eastAsia" w:ascii="宋体" w:hAnsi="宋体" w:eastAsia="宋体" w:cs="宋体"/>
                <w:color w:val="auto"/>
                <w:kern w:val="0"/>
                <w:sz w:val="24"/>
                <w:szCs w:val="24"/>
                <w:highlight w:val="none"/>
                <w:u w:val="single"/>
                <w:lang w:eastAsia="zh-CN"/>
              </w:rPr>
              <w:t>月</w:t>
            </w:r>
            <w:r>
              <w:rPr>
                <w:rFonts w:hint="eastAsia" w:ascii="宋体" w:hAnsi="宋体" w:cs="宋体"/>
                <w:color w:val="auto"/>
                <w:kern w:val="0"/>
                <w:sz w:val="24"/>
                <w:szCs w:val="24"/>
                <w:highlight w:val="none"/>
                <w:u w:val="single"/>
                <w:lang w:val="en-US" w:eastAsia="zh-CN"/>
              </w:rPr>
              <w:t>13</w:t>
            </w:r>
            <w:r>
              <w:rPr>
                <w:rFonts w:hint="eastAsia" w:ascii="宋体" w:hAnsi="宋体" w:eastAsia="宋体" w:cs="宋体"/>
                <w:color w:val="auto"/>
                <w:kern w:val="0"/>
                <w:sz w:val="24"/>
                <w:szCs w:val="24"/>
                <w:highlight w:val="none"/>
                <w:u w:val="single"/>
                <w:lang w:eastAsia="zh-CN"/>
              </w:rPr>
              <w:t>日14时30分</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rPr>
              <w:t>北京时间）前递交（上传）投标文件</w:t>
            </w:r>
            <w:r>
              <w:rPr>
                <w:rFonts w:hint="eastAsia" w:ascii="宋体" w:hAnsi="宋体" w:eastAsia="宋体" w:cs="宋体"/>
                <w:color w:val="auto"/>
                <w:kern w:val="0"/>
                <w:sz w:val="24"/>
                <w:szCs w:val="24"/>
                <w:highlight w:val="none"/>
              </w:rPr>
              <w:t>。</w:t>
            </w:r>
          </w:p>
        </w:tc>
      </w:tr>
    </w:tbl>
    <w:p w14:paraId="349004D6">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730461DA">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项目编号：</w:t>
      </w:r>
      <w:r>
        <w:rPr>
          <w:rFonts w:hint="eastAsia" w:ascii="宋体" w:hAnsi="宋体" w:cs="宋体"/>
          <w:b w:val="0"/>
          <w:bCs/>
          <w:color w:val="auto"/>
          <w:sz w:val="24"/>
          <w:szCs w:val="24"/>
          <w:highlight w:val="none"/>
          <w:lang w:val="en-US" w:eastAsia="zh-CN"/>
        </w:rPr>
        <w:t>HJGK1310012024001</w:t>
      </w:r>
    </w:p>
    <w:p w14:paraId="56339D5B">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lang w:eastAsia="zh-CN"/>
        </w:rPr>
        <w:t>中共浦江县委宣传部2024年网络安全服务项目</w:t>
      </w:r>
    </w:p>
    <w:p w14:paraId="370CFCA0">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预算金额（元）：</w:t>
      </w:r>
      <w:r>
        <w:rPr>
          <w:rFonts w:hint="eastAsia" w:ascii="宋体" w:hAnsi="宋体" w:cs="宋体"/>
          <w:b w:val="0"/>
          <w:bCs/>
          <w:color w:val="auto"/>
          <w:sz w:val="24"/>
          <w:szCs w:val="24"/>
          <w:highlight w:val="none"/>
          <w:lang w:val="en-US" w:eastAsia="zh-CN"/>
        </w:rPr>
        <w:t>377200</w:t>
      </w:r>
    </w:p>
    <w:p w14:paraId="1067A732">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最高限价（元）：</w:t>
      </w:r>
      <w:r>
        <w:rPr>
          <w:rFonts w:hint="eastAsia" w:ascii="宋体" w:hAnsi="宋体" w:cs="宋体"/>
          <w:b w:val="0"/>
          <w:bCs/>
          <w:color w:val="auto"/>
          <w:sz w:val="24"/>
          <w:szCs w:val="24"/>
          <w:highlight w:val="none"/>
          <w:lang w:val="en-US" w:eastAsia="zh-CN"/>
        </w:rPr>
        <w:t>377200</w:t>
      </w:r>
    </w:p>
    <w:p w14:paraId="4541F124">
      <w:pPr>
        <w:keepNext w:val="0"/>
        <w:keepLines w:val="0"/>
        <w:pageBreakBefore w:val="0"/>
        <w:widowControl/>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val="0"/>
          <w:bCs/>
          <w:snapToGrid w:val="0"/>
          <w:color w:val="auto"/>
          <w:kern w:val="28"/>
          <w:sz w:val="24"/>
          <w:highlight w:val="none"/>
        </w:rPr>
      </w:pPr>
      <w:r>
        <w:rPr>
          <w:rFonts w:hint="eastAsia" w:ascii="宋体" w:hAnsi="宋体" w:eastAsia="宋体" w:cs="宋体"/>
          <w:b w:val="0"/>
          <w:bCs/>
          <w:snapToGrid w:val="0"/>
          <w:color w:val="auto"/>
          <w:kern w:val="28"/>
          <w:sz w:val="24"/>
          <w:highlight w:val="none"/>
        </w:rPr>
        <w:t>采购需求：</w:t>
      </w:r>
    </w:p>
    <w:p w14:paraId="240EC7DF">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标项名称：</w:t>
      </w:r>
      <w:r>
        <w:rPr>
          <w:rFonts w:hint="eastAsia" w:ascii="宋体" w:hAnsi="宋体" w:cs="宋体"/>
          <w:b w:val="0"/>
          <w:bCs/>
          <w:color w:val="auto"/>
          <w:sz w:val="24"/>
          <w:szCs w:val="24"/>
          <w:highlight w:val="none"/>
          <w:lang w:eastAsia="zh-CN"/>
        </w:rPr>
        <w:t>中共浦江县委宣传部2024年网络安全服务项目</w:t>
      </w:r>
    </w:p>
    <w:p w14:paraId="24676295">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数量：1       </w:t>
      </w:r>
    </w:p>
    <w:p w14:paraId="24573D65">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预算金额（元）：</w:t>
      </w:r>
      <w:r>
        <w:rPr>
          <w:rFonts w:hint="eastAsia" w:ascii="宋体" w:hAnsi="宋体" w:cs="宋体"/>
          <w:b w:val="0"/>
          <w:bCs/>
          <w:color w:val="auto"/>
          <w:sz w:val="24"/>
          <w:szCs w:val="24"/>
          <w:highlight w:val="none"/>
          <w:lang w:val="en-US" w:eastAsia="zh-CN"/>
        </w:rPr>
        <w:t>377200</w:t>
      </w:r>
    </w:p>
    <w:p w14:paraId="0478A127">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简要规格描述或项目基本概况介绍、用途：</w:t>
      </w:r>
      <w:r>
        <w:rPr>
          <w:rFonts w:hint="eastAsia" w:ascii="宋体" w:hAnsi="宋体" w:eastAsia="宋体" w:cs="宋体"/>
          <w:b w:val="0"/>
          <w:bCs/>
          <w:color w:val="auto"/>
          <w:sz w:val="24"/>
          <w:szCs w:val="24"/>
          <w:highlight w:val="none"/>
        </w:rPr>
        <w:t>云上资产风险检测服务、渗透测试服务、企业侧风险扫描服务、重点企业单位现场检查服务、应急响应服务、攻防演练服务、安全培训服务。详见采购文件第三部分《</w:t>
      </w:r>
      <w:r>
        <w:rPr>
          <w:rFonts w:hint="eastAsia"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rPr>
        <w:t>需求》</w:t>
      </w:r>
      <w:r>
        <w:rPr>
          <w:rFonts w:hint="eastAsia" w:ascii="宋体" w:hAnsi="宋体" w:cs="宋体"/>
          <w:b w:val="0"/>
          <w:bCs/>
          <w:color w:val="auto"/>
          <w:sz w:val="24"/>
          <w:szCs w:val="24"/>
          <w:highlight w:val="none"/>
          <w:lang w:eastAsia="zh-CN"/>
        </w:rPr>
        <w:t>。</w:t>
      </w:r>
    </w:p>
    <w:p w14:paraId="5FBE1E11">
      <w:pPr>
        <w:keepNext w:val="0"/>
        <w:keepLines w:val="0"/>
        <w:pageBreakBefore w:val="0"/>
        <w:widowControl/>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val="0"/>
          <w:bCs/>
          <w:snapToGrid w:val="0"/>
          <w:color w:val="auto"/>
          <w:kern w:val="28"/>
          <w:sz w:val="24"/>
          <w:highlight w:val="none"/>
        </w:rPr>
      </w:pPr>
      <w:r>
        <w:rPr>
          <w:rFonts w:hint="eastAsia" w:ascii="宋体" w:hAnsi="宋体" w:eastAsia="宋体" w:cs="宋体"/>
          <w:b w:val="0"/>
          <w:bCs/>
          <w:snapToGrid w:val="0"/>
          <w:color w:val="auto"/>
          <w:kern w:val="28"/>
          <w:sz w:val="24"/>
          <w:highlight w:val="none"/>
        </w:rPr>
        <w:t>备注：</w:t>
      </w:r>
    </w:p>
    <w:p w14:paraId="0FC7CE38">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合同履约期限：</w:t>
      </w:r>
      <w:r>
        <w:rPr>
          <w:rFonts w:hint="eastAsia" w:ascii="宋体" w:hAnsi="宋体" w:cs="宋体"/>
          <w:b w:val="0"/>
          <w:bCs/>
          <w:color w:val="auto"/>
          <w:sz w:val="24"/>
          <w:highlight w:val="none"/>
          <w:lang w:eastAsia="zh-CN"/>
        </w:rPr>
        <w:t>自合同签订之日起一年</w:t>
      </w:r>
      <w:r>
        <w:rPr>
          <w:rFonts w:hint="eastAsia" w:ascii="宋体" w:hAnsi="宋体" w:eastAsia="宋体" w:cs="宋体"/>
          <w:b w:val="0"/>
          <w:bCs/>
          <w:color w:val="auto"/>
          <w:sz w:val="24"/>
          <w:highlight w:val="none"/>
        </w:rPr>
        <w:t>。</w:t>
      </w:r>
    </w:p>
    <w:p w14:paraId="3F4FB8F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80" w:firstLineChars="200"/>
        <w:jc w:val="both"/>
        <w:textAlignment w:val="auto"/>
        <w:rPr>
          <w:rFonts w:hint="eastAsia" w:ascii="宋体" w:hAnsi="宋体" w:eastAsia="宋体" w:cs="宋体"/>
          <w:b w:val="0"/>
          <w:bCs/>
          <w:snapToGrid w:val="0"/>
          <w:color w:val="auto"/>
          <w:kern w:val="28"/>
          <w:sz w:val="24"/>
          <w:highlight w:val="none"/>
          <w:lang w:eastAsia="zh-CN"/>
        </w:rPr>
      </w:pPr>
      <w:r>
        <w:rPr>
          <w:rFonts w:hint="eastAsia" w:ascii="宋体" w:hAnsi="宋体" w:eastAsia="宋体" w:cs="宋体"/>
          <w:b w:val="0"/>
          <w:bCs/>
          <w:snapToGrid w:val="0"/>
          <w:color w:val="auto"/>
          <w:kern w:val="28"/>
          <w:sz w:val="24"/>
          <w:highlight w:val="none"/>
        </w:rPr>
        <w:t>本项目接受联合体投标：</w:t>
      </w:r>
      <w:sdt>
        <w:sdtPr>
          <w:rPr>
            <w:rFonts w:hint="eastAsia" w:ascii="宋体" w:hAnsi="宋体" w:eastAsia="宋体" w:cs="宋体"/>
            <w:b w:val="0"/>
            <w:bCs/>
            <w:snapToGrid w:val="0"/>
            <w:color w:val="auto"/>
            <w:kern w:val="0"/>
            <w:sz w:val="24"/>
            <w:highlight w:val="none"/>
          </w:rPr>
          <w:id w:val="2035453831"/>
        </w:sdtPr>
        <w:sdtEndPr>
          <w:rPr>
            <w:rFonts w:hint="eastAsia" w:ascii="宋体" w:hAnsi="宋体" w:eastAsia="宋体" w:cs="宋体"/>
            <w:b w:val="0"/>
            <w:bCs/>
            <w:snapToGrid w:val="0"/>
            <w:color w:val="auto"/>
            <w:kern w:val="0"/>
            <w:sz w:val="24"/>
            <w:highlight w:val="none"/>
          </w:rPr>
        </w:sdtEndPr>
        <w:sdtContent>
          <w:r>
            <w:rPr>
              <w:rFonts w:hint="eastAsia" w:ascii="宋体" w:hAnsi="宋体" w:eastAsia="宋体" w:cs="宋体"/>
              <w:b w:val="0"/>
              <w:bCs/>
              <w:snapToGrid w:val="0"/>
              <w:color w:val="auto"/>
              <w:kern w:val="0"/>
              <w:sz w:val="24"/>
              <w:highlight w:val="none"/>
            </w:rPr>
            <w:sym w:font="Wingdings" w:char="00A8"/>
          </w:r>
        </w:sdtContent>
      </w:sdt>
      <w:r>
        <w:rPr>
          <w:rFonts w:hint="eastAsia" w:ascii="宋体" w:hAnsi="宋体" w:eastAsia="宋体" w:cs="宋体"/>
          <w:b w:val="0"/>
          <w:bCs/>
          <w:snapToGrid w:val="0"/>
          <w:color w:val="auto"/>
          <w:kern w:val="28"/>
          <w:sz w:val="24"/>
          <w:highlight w:val="none"/>
        </w:rPr>
        <w:t>是，</w:t>
      </w:r>
      <w:r>
        <w:rPr>
          <w:rFonts w:hint="eastAsia" w:ascii="宋体" w:hAnsi="宋体" w:eastAsia="宋体" w:cs="宋体"/>
          <w:b w:val="0"/>
          <w:bCs/>
          <w:snapToGrid w:val="0"/>
          <w:color w:val="auto"/>
          <w:kern w:val="0"/>
          <w:sz w:val="24"/>
          <w:highlight w:val="none"/>
        </w:rPr>
        <w:sym w:font="Wingdings" w:char="00FE"/>
      </w:r>
      <w:r>
        <w:rPr>
          <w:rFonts w:hint="eastAsia" w:ascii="宋体" w:hAnsi="宋体" w:eastAsia="宋体" w:cs="宋体"/>
          <w:b w:val="0"/>
          <w:bCs/>
          <w:snapToGrid w:val="0"/>
          <w:color w:val="auto"/>
          <w:kern w:val="28"/>
          <w:sz w:val="24"/>
          <w:highlight w:val="none"/>
        </w:rPr>
        <w:t>否</w:t>
      </w:r>
      <w:r>
        <w:rPr>
          <w:rFonts w:hint="eastAsia" w:ascii="宋体" w:hAnsi="宋体" w:eastAsia="宋体" w:cs="宋体"/>
          <w:b w:val="0"/>
          <w:bCs/>
          <w:snapToGrid w:val="0"/>
          <w:color w:val="auto"/>
          <w:kern w:val="0"/>
          <w:sz w:val="24"/>
          <w:highlight w:val="none"/>
        </w:rPr>
        <w:t>。</w:t>
      </w:r>
    </w:p>
    <w:p w14:paraId="2A943010">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785C2A5A">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FE77896">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8"/>
          <w:sz w:val="24"/>
          <w:highlight w:val="none"/>
        </w:rPr>
        <w:t xml:space="preserve">    2.落实政府采购政策需满足的资格要求</w:t>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eastAsia="zh-CN"/>
        </w:rPr>
        <w:t>无</w:t>
      </w:r>
    </w:p>
    <w:p w14:paraId="232AC110">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rPr>
        <w:t>；</w:t>
      </w:r>
    </w:p>
    <w:p w14:paraId="4BA1847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077371">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 xml:space="preserve"> </w:t>
      </w:r>
    </w:p>
    <w:p w14:paraId="0CF4CFCC">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A2A5F32">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浙江政府采购网（https://zfcg.czt.zj.gov.cn/）</w:t>
      </w:r>
    </w:p>
    <w:p w14:paraId="3E75FA7B">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供应商登录政采云平台https://www.zcygov.cn/在线申请获取采购文件（进入“项目采购”应用，在获取采购文件菜单中选择项目，申请获取采购文件）</w:t>
      </w:r>
    </w:p>
    <w:p w14:paraId="014E9418">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3E4BCE9C">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EDBB939">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日14时30分</w:t>
      </w:r>
      <w:r>
        <w:rPr>
          <w:rFonts w:hint="eastAsia" w:ascii="宋体" w:hAnsi="宋体" w:eastAsia="宋体" w:cs="宋体"/>
          <w:color w:val="auto"/>
          <w:sz w:val="24"/>
          <w:szCs w:val="24"/>
          <w:highlight w:val="none"/>
        </w:rPr>
        <w:t>（北京时间）</w:t>
      </w:r>
    </w:p>
    <w:p w14:paraId="7B87F560">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在政府采购云平台http://login.zcygov.cn/login上自行加密上传电子投标文件，逾期上传或未按要求上传的投标文件将予以拒收</w:t>
      </w:r>
    </w:p>
    <w:p w14:paraId="1D4CA13D">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日14时30分</w:t>
      </w:r>
      <w:r>
        <w:rPr>
          <w:rFonts w:hint="eastAsia" w:ascii="宋体" w:hAnsi="宋体" w:eastAsia="宋体" w:cs="宋体"/>
          <w:color w:val="auto"/>
          <w:sz w:val="24"/>
          <w:szCs w:val="24"/>
          <w:highlight w:val="none"/>
        </w:rPr>
        <w:t>（北京时间）</w:t>
      </w:r>
    </w:p>
    <w:p w14:paraId="35C00FB1">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Cs/>
          <w:color w:val="auto"/>
          <w:sz w:val="24"/>
          <w:szCs w:val="24"/>
          <w:highlight w:val="none"/>
        </w:rPr>
        <w:t>浦江县人民东路83号金华市公共资源交易中心浦江县分中心</w:t>
      </w:r>
    </w:p>
    <w:p w14:paraId="67F35A3A">
      <w:pPr>
        <w:keepNext w:val="0"/>
        <w:keepLines w:val="0"/>
        <w:pageBreakBefore w:val="0"/>
        <w:numPr>
          <w:ilvl w:val="0"/>
          <w:numId w:val="1"/>
        </w:numPr>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采购意向公开链接</w:t>
      </w:r>
    </w:p>
    <w:p w14:paraId="2B810336">
      <w:pPr>
        <w:keepNext w:val="0"/>
        <w:keepLines w:val="0"/>
        <w:pageBreakBefore w:val="0"/>
        <w:numPr>
          <w:ilvl w:val="0"/>
          <w:numId w:val="0"/>
        </w:numPr>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https://zfcg.czt.zj.gov.cn/site/detail?categoryCode=ZcyAnnouncement&amp;parentId=600007&amp;articleId=Vi7cHEqz8RzjasV7FV1QaQ==</w:t>
      </w:r>
    </w:p>
    <w:p w14:paraId="69D9F10D">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4D9D688D">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9BFFC99">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p>
    <w:p w14:paraId="0893509D">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FBA320">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szCs w:val="24"/>
          <w:highlight w:val="none"/>
          <w:lang w:val="en-US" w:eastAsia="zh-CN"/>
        </w:rPr>
        <w:t>政务</w:t>
      </w:r>
      <w:r>
        <w:rPr>
          <w:rFonts w:hint="eastAsia" w:ascii="宋体" w:hAnsi="宋体" w:eastAsia="宋体" w:cs="宋体"/>
          <w:color w:val="auto"/>
          <w:sz w:val="24"/>
          <w:szCs w:val="24"/>
          <w:highlight w:val="none"/>
        </w:rPr>
        <w:t>服务网-政府采购投诉处理-在线办理。</w:t>
      </w:r>
    </w:p>
    <w:p w14:paraId="1BE97EA0">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402482">
      <w:pPr>
        <w:keepNext w:val="0"/>
        <w:keepLines w:val="0"/>
        <w:pageBreakBefore w:val="0"/>
        <w:widowControl/>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4.其他事项：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ascii="宋体" w:hAnsi="宋体" w:eastAsia="宋体" w:cs="宋体"/>
          <w:color w:val="auto"/>
          <w:kern w:val="0"/>
          <w:sz w:val="24"/>
          <w:szCs w:val="24"/>
          <w:highlight w:val="none"/>
          <w:lang w:eastAsia="zh-CN"/>
        </w:rPr>
        <w:t>。</w:t>
      </w:r>
    </w:p>
    <w:p w14:paraId="6E60EAEC">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需要落实的政府采购政策：</w:t>
      </w:r>
      <w:r>
        <w:rPr>
          <w:rFonts w:hint="eastAsia" w:ascii="宋体" w:hAnsi="宋体" w:eastAsia="宋体" w:cs="宋体"/>
          <w:color w:val="auto"/>
          <w:sz w:val="24"/>
          <w:szCs w:val="24"/>
          <w:highlight w:val="none"/>
        </w:rPr>
        <w:t>执行节约能源、保护环境相关的节能产品政府强制采购和优先采购政策，执行环境标志产品政府优先采购政策；促进中小企业发展、支持监狱企业发展、促进残疾人就业、支持中小企业信用融资；支持创新等政府采购政策</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的“第二部分 投标人须知”。</w:t>
      </w:r>
    </w:p>
    <w:p w14:paraId="25965818">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的供应商进行投标活动；⑥对未按上述方式获取</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的供应商对该文件提出的质疑，采购人或采购代理机构将不予处理；⑦不提供</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纸质版；⑧投标文件的传输递交：投标人在投标截止时间前将加密的投标文件上传至政府采购云平台</w:t>
      </w:r>
      <w:r>
        <w:rPr>
          <w:rFonts w:hint="eastAsia" w:ascii="宋体" w:hAnsi="宋体" w:eastAsia="宋体" w:cs="宋体"/>
          <w:color w:val="auto"/>
          <w:sz w:val="24"/>
          <w:szCs w:val="24"/>
          <w:highlight w:val="none"/>
          <w:lang w:eastAsia="zh-CN"/>
        </w:rPr>
        <w:t>（如同时递交备份投标文件的，电子备份投标文件的制作、存储、密封要求详见投标须知前附表条款号</w:t>
      </w:r>
      <w:r>
        <w:rPr>
          <w:rFonts w:hint="eastAsia" w:ascii="宋体" w:hAnsi="宋体" w:eastAsia="宋体" w:cs="宋体"/>
          <w:color w:val="auto"/>
          <w:sz w:val="24"/>
          <w:szCs w:val="24"/>
          <w:highlight w:val="none"/>
          <w:lang w:val="en-US" w:eastAsia="zh-CN"/>
        </w:rPr>
        <w:t>19项。</w:t>
      </w:r>
      <w:r>
        <w:rPr>
          <w:rFonts w:hint="eastAsia" w:ascii="宋体" w:hAnsi="宋体" w:eastAsia="宋体" w:cs="宋体"/>
          <w:color w:val="auto"/>
          <w:sz w:val="24"/>
          <w:szCs w:val="24"/>
          <w:highlight w:val="none"/>
        </w:rPr>
        <w:t>电子备份投标文件的提交不作强制要求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，逾期送达、未按指定地点送达或未密封将予以拒收。</w:t>
      </w:r>
      <w:r>
        <w:rPr>
          <w:rFonts w:hint="eastAsia" w:ascii="宋体" w:hAnsi="宋体" w:eastAsia="宋体" w:cs="宋体"/>
          <w:color w:val="auto"/>
          <w:sz w:val="24"/>
          <w:szCs w:val="24"/>
          <w:highlight w:val="none"/>
        </w:rPr>
        <w:t>⑨投标文件的解密：</w:t>
      </w:r>
      <w:r>
        <w:rPr>
          <w:rFonts w:hint="eastAsia" w:ascii="宋体" w:hAnsi="宋体" w:eastAsia="宋体" w:cs="宋体"/>
          <w:color w:val="auto"/>
          <w:sz w:val="24"/>
          <w:szCs w:val="24"/>
          <w:highlight w:val="none"/>
        </w:rPr>
        <w:t>开标后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投标人按照</w:t>
      </w:r>
      <w:r>
        <w:rPr>
          <w:rFonts w:hint="eastAsia" w:ascii="宋体" w:hAnsi="宋体" w:eastAsia="宋体" w:cs="宋体"/>
          <w:color w:val="auto"/>
          <w:sz w:val="24"/>
          <w:szCs w:val="24"/>
          <w:highlight w:val="none"/>
        </w:rPr>
        <w:t>政采云</w:t>
      </w:r>
      <w:r>
        <w:rPr>
          <w:rFonts w:hint="eastAsia" w:ascii="宋体" w:hAnsi="宋体" w:eastAsia="宋体" w:cs="宋体"/>
          <w:color w:val="auto"/>
          <w:sz w:val="24"/>
          <w:szCs w:val="24"/>
          <w:highlight w:val="none"/>
        </w:rPr>
        <w:t>平台提示和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的规定在</w:t>
      </w:r>
      <w:r>
        <w:rPr>
          <w:rFonts w:hint="eastAsia" w:ascii="宋体" w:hAnsi="宋体" w:eastAsia="宋体" w:cs="宋体"/>
          <w:color w:val="auto"/>
          <w:sz w:val="24"/>
          <w:szCs w:val="24"/>
          <w:highlight w:val="none"/>
        </w:rPr>
        <w:t>30分钟</w:t>
      </w:r>
      <w:r>
        <w:rPr>
          <w:rFonts w:hint="eastAsia" w:ascii="宋体" w:hAnsi="宋体" w:eastAsia="宋体" w:cs="宋体"/>
          <w:color w:val="auto"/>
          <w:sz w:val="24"/>
          <w:szCs w:val="24"/>
          <w:highlight w:val="none"/>
        </w:rPr>
        <w:t>内完成在线解密</w:t>
      </w:r>
      <w:r>
        <w:rPr>
          <w:rFonts w:hint="eastAsia" w:ascii="宋体" w:hAnsi="宋体" w:eastAsia="宋体" w:cs="宋体"/>
          <w:color w:val="auto"/>
          <w:sz w:val="24"/>
          <w:szCs w:val="24"/>
          <w:highlight w:val="none"/>
        </w:rPr>
        <w:t>（为防止解密失败，建议采用制作投标文件的电脑进行解密）</w:t>
      </w:r>
      <w:r>
        <w:rPr>
          <w:rFonts w:hint="eastAsia" w:ascii="宋体" w:hAnsi="宋体" w:eastAsia="宋体" w:cs="宋体"/>
          <w:color w:val="auto"/>
          <w:sz w:val="24"/>
          <w:szCs w:val="24"/>
          <w:highlight w:val="none"/>
        </w:rPr>
        <w:t>。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2CCA053">
      <w:pPr>
        <w:keepNext w:val="0"/>
        <w:keepLines w:val="0"/>
        <w:pageBreakBefore w:val="0"/>
        <w:kinsoku/>
        <w:wordWrap/>
        <w:overflowPunct/>
        <w:topLinePunct w:val="0"/>
        <w:autoSpaceDE/>
        <w:autoSpaceDN/>
        <w:bidi w:val="0"/>
        <w:adjustRightInd w:val="0"/>
        <w:spacing w:line="400" w:lineRule="exact"/>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中小企业信用融资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的“第二部分 投标人须知”。</w:t>
      </w:r>
    </w:p>
    <w:p w14:paraId="342F9D48">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lang w:val="en-US" w:eastAsia="zh-CN"/>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936610A">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Cs/>
          <w:color w:val="auto"/>
          <w:sz w:val="24"/>
          <w:highlight w:val="none"/>
        </w:rPr>
        <w:t>政</w:t>
      </w:r>
      <w:r>
        <w:rPr>
          <w:rFonts w:hint="eastAsia" w:ascii="宋体" w:hAnsi="宋体" w:eastAsia="宋体" w:cs="宋体"/>
          <w:color w:val="auto"/>
          <w:sz w:val="24"/>
          <w:highlight w:val="none"/>
        </w:rPr>
        <w:t>府采购金融服务提示：为扩大政府采购金融服务面，除政采云网上金融服务合作银行外，金华市范围增加线下合作银行两家，具体信息如下：</w:t>
      </w:r>
    </w:p>
    <w:p w14:paraId="21E39A32">
      <w:pPr>
        <w:keepNext w:val="0"/>
        <w:keepLines w:val="0"/>
        <w:pageBreakBefore w:val="0"/>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金华银行文创支行      联系人：姜</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联系电话：13905792828、0579-82479020</w:t>
      </w:r>
    </w:p>
    <w:p w14:paraId="73A97322">
      <w:pPr>
        <w:keepNext w:val="0"/>
        <w:keepLines w:val="0"/>
        <w:pageBreakBefore w:val="0"/>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浙商银行金华浦江支行  联系人：严艳萍；联系电话：13566950560、0579-88088337</w:t>
      </w:r>
    </w:p>
    <w:p w14:paraId="2E0830E2">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八、凡对本次招标提出询问、质疑、投诉，请按以下方式联系</w:t>
      </w:r>
    </w:p>
    <w:p w14:paraId="671AA6EE">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127C4167">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名    称：</w:t>
      </w:r>
      <w:r>
        <w:rPr>
          <w:rFonts w:hint="eastAsia" w:ascii="宋体" w:hAnsi="宋体" w:cs="宋体"/>
          <w:color w:val="auto"/>
          <w:sz w:val="24"/>
          <w:szCs w:val="24"/>
          <w:highlight w:val="none"/>
          <w:lang w:eastAsia="zh-CN"/>
        </w:rPr>
        <w:t>中共浦江县委宣传部</w:t>
      </w:r>
    </w:p>
    <w:p w14:paraId="42992B43">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cs="宋体"/>
          <w:color w:val="auto"/>
          <w:sz w:val="24"/>
          <w:szCs w:val="24"/>
          <w:highlight w:val="none"/>
          <w:lang w:eastAsia="zh-CN"/>
        </w:rPr>
        <w:t>浦江县人民东路</w:t>
      </w:r>
      <w:r>
        <w:rPr>
          <w:rFonts w:hint="eastAsia" w:ascii="宋体" w:hAnsi="宋体" w:cs="宋体"/>
          <w:color w:val="auto"/>
          <w:sz w:val="24"/>
          <w:szCs w:val="24"/>
          <w:highlight w:val="none"/>
          <w:lang w:val="en-US" w:eastAsia="zh-CN"/>
        </w:rPr>
        <w:t>40号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5CA19A27">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3CCF65CE">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傅默谈</w:t>
      </w:r>
      <w:r>
        <w:rPr>
          <w:rFonts w:hint="eastAsia" w:ascii="宋体" w:hAnsi="宋体" w:eastAsia="宋体" w:cs="宋体"/>
          <w:color w:val="auto"/>
          <w:sz w:val="24"/>
          <w:szCs w:val="24"/>
          <w:highlight w:val="none"/>
        </w:rPr>
        <w:t xml:space="preserve"> </w:t>
      </w:r>
    </w:p>
    <w:p w14:paraId="2748FD39">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0579-89399079</w:t>
      </w:r>
    </w:p>
    <w:p w14:paraId="2A113CEC">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傅杰桢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4719A45C">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rPr>
        <w:t>0579-89379389</w:t>
      </w:r>
    </w:p>
    <w:p w14:paraId="047DE374">
      <w:pPr>
        <w:keepNext w:val="0"/>
        <w:keepLines w:val="0"/>
        <w:pageBreakBefore w:val="0"/>
        <w:widowControl w:val="0"/>
        <w:kinsoku/>
        <w:wordWrap/>
        <w:overflowPunct/>
        <w:topLinePunct w:val="0"/>
        <w:autoSpaceDE/>
        <w:autoSpaceDN/>
        <w:bidi w:val="0"/>
        <w:adjustRightInd w:val="0"/>
        <w:snapToGrid/>
        <w:spacing w:before="157" w:beforeLines="50"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3F4968E3">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浙江华杰工程咨询有限公司</w:t>
      </w:r>
    </w:p>
    <w:p w14:paraId="642580BC">
      <w:pPr>
        <w:keepNext w:val="0"/>
        <w:keepLines w:val="0"/>
        <w:pageBreakBefore w:val="0"/>
        <w:kinsoku/>
        <w:wordWrap/>
        <w:overflowPunct/>
        <w:topLinePunct w:val="0"/>
        <w:autoSpaceDE/>
        <w:autoSpaceDN/>
        <w:bidi w:val="0"/>
        <w:adjustRightIn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rPr>
        <w:t>浦江县</w:t>
      </w:r>
      <w:r>
        <w:rPr>
          <w:rFonts w:hint="eastAsia" w:ascii="宋体" w:hAnsi="宋体" w:eastAsia="宋体" w:cs="宋体"/>
          <w:color w:val="auto"/>
          <w:sz w:val="24"/>
          <w:szCs w:val="24"/>
          <w:highlight w:val="none"/>
          <w:lang w:eastAsia="zh-CN"/>
        </w:rPr>
        <w:t>西山北路</w:t>
      </w:r>
      <w:r>
        <w:rPr>
          <w:rFonts w:hint="eastAsia" w:ascii="宋体" w:hAnsi="宋体" w:eastAsia="宋体" w:cs="宋体"/>
          <w:color w:val="auto"/>
          <w:sz w:val="24"/>
          <w:szCs w:val="24"/>
          <w:highlight w:val="none"/>
          <w:lang w:val="en-US" w:eastAsia="zh-CN"/>
        </w:rPr>
        <w:t>169号</w:t>
      </w:r>
      <w:r>
        <w:rPr>
          <w:rFonts w:hint="eastAsia" w:ascii="宋体" w:hAnsi="宋体" w:eastAsia="宋体" w:cs="宋体"/>
          <w:color w:val="auto"/>
          <w:sz w:val="24"/>
          <w:szCs w:val="24"/>
          <w:highlight w:val="none"/>
        </w:rPr>
        <w:t xml:space="preserve"> </w:t>
      </w:r>
    </w:p>
    <w:p w14:paraId="122DA12F">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023D3764">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eastAsia="zh-CN"/>
        </w:rPr>
        <w:t>王震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5A01F142">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rPr>
        <w:t>0579-84125728、</w:t>
      </w:r>
      <w:r>
        <w:rPr>
          <w:rFonts w:hint="eastAsia" w:ascii="宋体" w:hAnsi="宋体" w:eastAsia="宋体" w:cs="宋体"/>
          <w:color w:val="auto"/>
          <w:sz w:val="24"/>
          <w:szCs w:val="24"/>
          <w:highlight w:val="none"/>
          <w:lang w:val="en-US" w:eastAsia="zh-CN"/>
        </w:rPr>
        <w:t>15657991354</w:t>
      </w:r>
    </w:p>
    <w:p w14:paraId="4B1BEE72">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eastAsia="zh-CN"/>
        </w:rPr>
        <w:t>张红明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B0CBDE0">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rPr>
        <w:t xml:space="preserve">13967951722 </w:t>
      </w:r>
    </w:p>
    <w:p w14:paraId="6F866DFD">
      <w:pPr>
        <w:keepNext w:val="0"/>
        <w:keepLines w:val="0"/>
        <w:pageBreakBefore w:val="0"/>
        <w:widowControl w:val="0"/>
        <w:kinsoku/>
        <w:wordWrap/>
        <w:overflowPunct/>
        <w:topLinePunct w:val="0"/>
        <w:autoSpaceDE/>
        <w:autoSpaceDN/>
        <w:bidi w:val="0"/>
        <w:adjustRightInd w:val="0"/>
        <w:snapToGrid/>
        <w:spacing w:before="157" w:before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142E09D6">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称：浦江县财政局政府采购监管科 </w:t>
      </w:r>
    </w:p>
    <w:p w14:paraId="44559C9D">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址：浦江县人民东路83号 </w:t>
      </w:r>
    </w:p>
    <w:p w14:paraId="6D2B54BE">
      <w:pPr>
        <w:keepNext w:val="0"/>
        <w:keepLines w:val="0"/>
        <w:pageBreakBefore w:val="0"/>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真：0579-84107222 </w:t>
      </w:r>
    </w:p>
    <w:p w14:paraId="58CB84EC">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：赵先生    </w:t>
      </w:r>
    </w:p>
    <w:p w14:paraId="6CE8B43B">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监督投诉电话：0579-84123011          </w:t>
      </w:r>
    </w:p>
    <w:p w14:paraId="19B52FFB">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p>
    <w:p w14:paraId="0D114393">
      <w:pPr>
        <w:pStyle w:val="2"/>
        <w:rPr>
          <w:rFonts w:hint="eastAsia"/>
          <w:color w:val="auto"/>
          <w:highlight w:val="none"/>
        </w:rPr>
      </w:pPr>
    </w:p>
    <w:p w14:paraId="655C5786">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61DCDE3">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t>CA问题联系电话（人工）：汇信CA 400-888-4636；天谷CA 400-087-8198。</w:t>
      </w:r>
    </w:p>
    <w:p w14:paraId="776172A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204EFEB6">
      <w:pPr>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第二部分  投标人须知</w:t>
      </w:r>
    </w:p>
    <w:p w14:paraId="2C731A2C">
      <w:pPr>
        <w:adjustRightInd w:val="0"/>
        <w:spacing w:line="360" w:lineRule="auto"/>
        <w:jc w:val="center"/>
        <w:outlineLvl w:val="1"/>
        <w:rPr>
          <w:rFonts w:hint="eastAsia" w:ascii="宋体" w:hAnsi="宋体" w:eastAsia="宋体" w:cs="宋体"/>
          <w:b/>
          <w:color w:val="auto"/>
          <w:sz w:val="32"/>
          <w:highlight w:val="none"/>
        </w:rPr>
      </w:pPr>
      <w:bookmarkStart w:id="0" w:name="_Toc12650"/>
      <w:r>
        <w:rPr>
          <w:rFonts w:hint="eastAsia" w:ascii="宋体" w:hAnsi="宋体" w:eastAsia="宋体" w:cs="宋体"/>
          <w:b/>
          <w:color w:val="auto"/>
          <w:sz w:val="32"/>
          <w:highlight w:val="none"/>
        </w:rPr>
        <w:t>前附表</w:t>
      </w:r>
      <w:bookmarkEnd w:id="0"/>
    </w:p>
    <w:tbl>
      <w:tblPr>
        <w:tblStyle w:val="31"/>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54"/>
        <w:gridCol w:w="6764"/>
      </w:tblGrid>
      <w:tr w14:paraId="26636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875" w:type="dxa"/>
            <w:tcBorders>
              <w:tl2br w:val="nil"/>
              <w:tr2bl w:val="nil"/>
            </w:tcBorders>
            <w:vAlign w:val="center"/>
          </w:tcPr>
          <w:p w14:paraId="6CD27EB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254" w:type="dxa"/>
            <w:tcBorders>
              <w:tl2br w:val="nil"/>
              <w:tr2bl w:val="nil"/>
            </w:tcBorders>
            <w:vAlign w:val="center"/>
          </w:tcPr>
          <w:p w14:paraId="1F687C0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条款</w:t>
            </w:r>
          </w:p>
        </w:tc>
        <w:tc>
          <w:tcPr>
            <w:tcW w:w="6764" w:type="dxa"/>
            <w:tcBorders>
              <w:tl2br w:val="nil"/>
              <w:tr2bl w:val="nil"/>
            </w:tcBorders>
            <w:vAlign w:val="center"/>
          </w:tcPr>
          <w:p w14:paraId="0C68AD6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条款内容</w:t>
            </w:r>
          </w:p>
        </w:tc>
      </w:tr>
      <w:tr w14:paraId="6DB7B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5" w:type="dxa"/>
            <w:tcBorders>
              <w:tl2br w:val="nil"/>
              <w:tr2bl w:val="nil"/>
            </w:tcBorders>
            <w:vAlign w:val="center"/>
          </w:tcPr>
          <w:p w14:paraId="7A9DFEF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4" w:type="dxa"/>
            <w:tcBorders>
              <w:tl2br w:val="nil"/>
              <w:tr2bl w:val="nil"/>
            </w:tcBorders>
            <w:vAlign w:val="center"/>
          </w:tcPr>
          <w:p w14:paraId="234F343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TW"/>
              </w:rPr>
              <w:t>项目名称</w:t>
            </w:r>
          </w:p>
        </w:tc>
        <w:tc>
          <w:tcPr>
            <w:tcW w:w="6764" w:type="dxa"/>
            <w:tcBorders>
              <w:tl2br w:val="nil"/>
              <w:tr2bl w:val="nil"/>
            </w:tcBorders>
            <w:vAlign w:val="center"/>
          </w:tcPr>
          <w:p w14:paraId="58677007">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zh-TW" w:eastAsia="zh-CN"/>
              </w:rPr>
            </w:pPr>
            <w:r>
              <w:rPr>
                <w:rFonts w:hint="eastAsia" w:ascii="宋体" w:hAnsi="宋体" w:cs="宋体"/>
                <w:color w:val="auto"/>
                <w:szCs w:val="21"/>
                <w:highlight w:val="none"/>
                <w:lang w:eastAsia="zh-CN"/>
              </w:rPr>
              <w:t>中共浦江县委宣传部2024年网络安全服务项目</w:t>
            </w:r>
          </w:p>
        </w:tc>
      </w:tr>
      <w:tr w14:paraId="201FD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5" w:type="dxa"/>
            <w:tcBorders>
              <w:tl2br w:val="nil"/>
              <w:tr2bl w:val="nil"/>
            </w:tcBorders>
            <w:vAlign w:val="center"/>
          </w:tcPr>
          <w:p w14:paraId="20FC2A1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4" w:type="dxa"/>
            <w:tcBorders>
              <w:tl2br w:val="nil"/>
              <w:tr2bl w:val="nil"/>
            </w:tcBorders>
            <w:vAlign w:val="center"/>
          </w:tcPr>
          <w:p w14:paraId="219CF83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TW"/>
              </w:rPr>
              <w:t>项目编号</w:t>
            </w:r>
          </w:p>
        </w:tc>
        <w:tc>
          <w:tcPr>
            <w:tcW w:w="6764" w:type="dxa"/>
            <w:tcBorders>
              <w:tl2br w:val="nil"/>
              <w:tr2bl w:val="nil"/>
            </w:tcBorders>
            <w:vAlign w:val="center"/>
          </w:tcPr>
          <w:p w14:paraId="51ECF011">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en-US"/>
              </w:rPr>
            </w:pPr>
            <w:r>
              <w:rPr>
                <w:rFonts w:hint="eastAsia" w:ascii="宋体" w:hAnsi="宋体" w:cs="宋体"/>
                <w:color w:val="auto"/>
                <w:szCs w:val="21"/>
                <w:highlight w:val="none"/>
                <w:lang w:val="en-US" w:eastAsia="zh-CN"/>
              </w:rPr>
              <w:t>HJGK1310012024001</w:t>
            </w:r>
          </w:p>
        </w:tc>
      </w:tr>
      <w:tr w14:paraId="16CC7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5" w:type="dxa"/>
            <w:tcBorders>
              <w:tl2br w:val="nil"/>
              <w:tr2bl w:val="nil"/>
            </w:tcBorders>
            <w:vAlign w:val="center"/>
          </w:tcPr>
          <w:p w14:paraId="362FC7C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54" w:type="dxa"/>
            <w:tcBorders>
              <w:tl2br w:val="nil"/>
              <w:tr2bl w:val="nil"/>
            </w:tcBorders>
            <w:vAlign w:val="center"/>
          </w:tcPr>
          <w:p w14:paraId="1EF73F1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采购方式</w:t>
            </w:r>
          </w:p>
        </w:tc>
        <w:tc>
          <w:tcPr>
            <w:tcW w:w="6764" w:type="dxa"/>
            <w:tcBorders>
              <w:tl2br w:val="nil"/>
              <w:tr2bl w:val="nil"/>
            </w:tcBorders>
            <w:vAlign w:val="center"/>
          </w:tcPr>
          <w:p w14:paraId="2F596162">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公开招标（电子招投标）</w:t>
            </w:r>
          </w:p>
        </w:tc>
      </w:tr>
      <w:tr w14:paraId="4C11B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75" w:type="dxa"/>
            <w:tcBorders>
              <w:tl2br w:val="nil"/>
              <w:tr2bl w:val="nil"/>
            </w:tcBorders>
            <w:vAlign w:val="center"/>
          </w:tcPr>
          <w:p w14:paraId="117EE5C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54" w:type="dxa"/>
            <w:tcBorders>
              <w:tl2br w:val="nil"/>
              <w:tr2bl w:val="nil"/>
            </w:tcBorders>
            <w:vAlign w:val="center"/>
          </w:tcPr>
          <w:p w14:paraId="12F888D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TW"/>
              </w:rPr>
              <w:t>项目概况</w:t>
            </w:r>
          </w:p>
        </w:tc>
        <w:tc>
          <w:tcPr>
            <w:tcW w:w="6764" w:type="dxa"/>
            <w:tcBorders>
              <w:tl2br w:val="nil"/>
              <w:tr2bl w:val="nil"/>
            </w:tcBorders>
            <w:vAlign w:val="center"/>
          </w:tcPr>
          <w:p w14:paraId="524A4134">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rPr>
              <w:t>采购内容：</w:t>
            </w:r>
            <w:r>
              <w:rPr>
                <w:rFonts w:hint="eastAsia" w:ascii="宋体" w:hAnsi="宋体" w:eastAsia="宋体" w:cs="宋体"/>
                <w:color w:val="auto"/>
                <w:szCs w:val="21"/>
                <w:highlight w:val="none"/>
              </w:rPr>
              <w:t>云上资产风险检测服务、渗透测试服务、企业侧风险扫描服务、重点企业单位现场检查服务、应急响应服务、攻防演练服务、安全培训服务。</w:t>
            </w:r>
            <w:r>
              <w:rPr>
                <w:rFonts w:hint="eastAsia" w:ascii="宋体" w:hAnsi="宋体" w:eastAsia="宋体" w:cs="宋体"/>
                <w:color w:val="auto"/>
                <w:szCs w:val="21"/>
                <w:highlight w:val="none"/>
                <w:lang w:val="zh-TW"/>
              </w:rPr>
              <w:t>详见“第</w:t>
            </w: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zh-TW"/>
              </w:rPr>
              <w:t>部分 采购需求”。</w:t>
            </w:r>
          </w:p>
          <w:p w14:paraId="0A2CFEB4">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项目实施地点：</w:t>
            </w:r>
            <w:r>
              <w:rPr>
                <w:rFonts w:hint="eastAsia" w:ascii="宋体" w:hAnsi="宋体" w:eastAsia="宋体" w:cs="宋体"/>
                <w:color w:val="auto"/>
                <w:szCs w:val="21"/>
                <w:highlight w:val="none"/>
              </w:rPr>
              <w:t>浦江县</w:t>
            </w:r>
            <w:r>
              <w:rPr>
                <w:rFonts w:hint="eastAsia" w:ascii="宋体" w:hAnsi="宋体" w:eastAsia="宋体" w:cs="宋体"/>
                <w:color w:val="auto"/>
                <w:szCs w:val="21"/>
                <w:highlight w:val="none"/>
                <w:lang w:eastAsia="zh-CN"/>
              </w:rPr>
              <w:t>域内</w:t>
            </w:r>
            <w:r>
              <w:rPr>
                <w:rFonts w:hint="eastAsia" w:ascii="宋体" w:hAnsi="宋体" w:eastAsia="宋体" w:cs="宋体"/>
                <w:color w:val="auto"/>
                <w:szCs w:val="21"/>
                <w:highlight w:val="none"/>
                <w:lang w:val="zh-TW"/>
              </w:rPr>
              <w:t>。</w:t>
            </w:r>
          </w:p>
          <w:p w14:paraId="1C83CF2A">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0"/>
                <w:highlight w:val="none"/>
              </w:rPr>
            </w:pPr>
            <w:r>
              <w:rPr>
                <w:rFonts w:hint="eastAsia" w:ascii="宋体" w:hAnsi="宋体" w:eastAsia="宋体" w:cs="宋体"/>
                <w:color w:val="auto"/>
                <w:kern w:val="2"/>
                <w:sz w:val="21"/>
                <w:szCs w:val="21"/>
                <w:highlight w:val="none"/>
                <w:lang w:val="en-US" w:eastAsia="zh-CN" w:bidi="ar-SA"/>
              </w:rPr>
              <w:t>资金来源：</w:t>
            </w:r>
            <w:r>
              <w:rPr>
                <w:rFonts w:hint="eastAsia" w:ascii="宋体" w:hAnsi="宋体" w:eastAsia="宋体" w:cs="宋体"/>
                <w:color w:val="auto"/>
                <w:szCs w:val="21"/>
                <w:highlight w:val="none"/>
                <w:lang w:val="en-US" w:eastAsia="zh-CN"/>
              </w:rPr>
              <w:t>财政</w:t>
            </w:r>
            <w:r>
              <w:rPr>
                <w:rFonts w:hint="eastAsia" w:ascii="宋体" w:hAnsi="宋体" w:eastAsia="宋体" w:cs="宋体"/>
                <w:color w:val="auto"/>
                <w:kern w:val="2"/>
                <w:sz w:val="21"/>
                <w:szCs w:val="21"/>
                <w:highlight w:val="none"/>
                <w:lang w:val="en-US" w:eastAsia="zh-CN" w:bidi="ar-SA"/>
              </w:rPr>
              <w:t>资金。</w:t>
            </w:r>
          </w:p>
        </w:tc>
      </w:tr>
      <w:tr w14:paraId="71D7B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5" w:type="dxa"/>
            <w:tcBorders>
              <w:tl2br w:val="nil"/>
              <w:tr2bl w:val="nil"/>
            </w:tcBorders>
            <w:vAlign w:val="center"/>
          </w:tcPr>
          <w:p w14:paraId="202760B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54" w:type="dxa"/>
            <w:tcBorders>
              <w:tl2br w:val="nil"/>
              <w:tr2bl w:val="nil"/>
            </w:tcBorders>
            <w:vAlign w:val="center"/>
          </w:tcPr>
          <w:p w14:paraId="3D2AAB2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TW"/>
              </w:rPr>
              <w:t>采购</w:t>
            </w:r>
            <w:r>
              <w:rPr>
                <w:rFonts w:hint="eastAsia" w:ascii="宋体" w:hAnsi="宋体" w:eastAsia="宋体" w:cs="宋体"/>
                <w:b/>
                <w:bCs/>
                <w:color w:val="auto"/>
                <w:szCs w:val="21"/>
                <w:highlight w:val="none"/>
              </w:rPr>
              <w:t>预算</w:t>
            </w:r>
          </w:p>
        </w:tc>
        <w:tc>
          <w:tcPr>
            <w:tcW w:w="6764" w:type="dxa"/>
            <w:tcBorders>
              <w:tl2br w:val="nil"/>
              <w:tr2bl w:val="nil"/>
            </w:tcBorders>
            <w:vAlign w:val="center"/>
          </w:tcPr>
          <w:p w14:paraId="02B9951D">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TW"/>
              </w:rPr>
              <w:t>采购预算：</w:t>
            </w:r>
            <w:r>
              <w:rPr>
                <w:rFonts w:hint="eastAsia" w:ascii="宋体" w:hAnsi="宋体" w:cs="宋体"/>
                <w:color w:val="auto"/>
                <w:szCs w:val="21"/>
                <w:highlight w:val="none"/>
                <w:lang w:val="en-US" w:eastAsia="zh-CN"/>
              </w:rPr>
              <w:t>377200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zh-TW"/>
              </w:rPr>
              <w:t>最高限价：</w:t>
            </w:r>
            <w:r>
              <w:rPr>
                <w:rFonts w:hint="eastAsia" w:ascii="宋体" w:hAnsi="宋体" w:cs="宋体"/>
                <w:color w:val="auto"/>
                <w:szCs w:val="21"/>
                <w:highlight w:val="none"/>
                <w:lang w:val="en-US" w:eastAsia="zh-CN"/>
              </w:rPr>
              <w:t>377200</w:t>
            </w:r>
            <w:r>
              <w:rPr>
                <w:rFonts w:hint="eastAsia" w:ascii="宋体" w:hAnsi="宋体" w:eastAsia="宋体" w:cs="宋体"/>
                <w:color w:val="auto"/>
                <w:szCs w:val="21"/>
                <w:highlight w:val="none"/>
              </w:rPr>
              <w:t>元。</w:t>
            </w:r>
          </w:p>
        </w:tc>
      </w:tr>
      <w:tr w14:paraId="00AA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75" w:type="dxa"/>
            <w:tcBorders>
              <w:tl2br w:val="nil"/>
              <w:tr2bl w:val="nil"/>
            </w:tcBorders>
            <w:vAlign w:val="center"/>
          </w:tcPr>
          <w:p w14:paraId="205F465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54" w:type="dxa"/>
            <w:tcBorders>
              <w:tl2br w:val="nil"/>
              <w:tr2bl w:val="nil"/>
            </w:tcBorders>
            <w:vAlign w:val="center"/>
          </w:tcPr>
          <w:p w14:paraId="5B497FB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6764" w:type="dxa"/>
            <w:tcBorders>
              <w:tl2br w:val="nil"/>
              <w:tr2bl w:val="nil"/>
            </w:tcBorders>
            <w:vAlign w:val="center"/>
          </w:tcPr>
          <w:p w14:paraId="1A17E23A">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中共浦江县委宣传部</w:t>
            </w:r>
          </w:p>
          <w:p w14:paraId="6C60B2E1">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浦江县人民东路40号</w:t>
            </w:r>
          </w:p>
          <w:p w14:paraId="3E3F27E3">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 xml:space="preserve">傅默谈 </w:t>
            </w:r>
          </w:p>
          <w:p w14:paraId="4B980AD3">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0579-89399079</w:t>
            </w:r>
            <w:r>
              <w:rPr>
                <w:rFonts w:hint="eastAsia" w:ascii="宋体" w:hAnsi="宋体" w:eastAsia="宋体" w:cs="宋体"/>
                <w:color w:val="auto"/>
                <w:szCs w:val="21"/>
                <w:highlight w:val="none"/>
              </w:rPr>
              <w:t xml:space="preserve">   </w:t>
            </w:r>
          </w:p>
        </w:tc>
      </w:tr>
      <w:tr w14:paraId="0EA5F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7090632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54" w:type="dxa"/>
            <w:tcBorders>
              <w:tl2br w:val="nil"/>
              <w:tr2bl w:val="nil"/>
            </w:tcBorders>
            <w:vAlign w:val="center"/>
          </w:tcPr>
          <w:p w14:paraId="69AE25B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采购代理机构</w:t>
            </w:r>
          </w:p>
        </w:tc>
        <w:tc>
          <w:tcPr>
            <w:tcW w:w="6764" w:type="dxa"/>
            <w:tcBorders>
              <w:tl2br w:val="nil"/>
              <w:tr2bl w:val="nil"/>
            </w:tcBorders>
            <w:vAlign w:val="center"/>
          </w:tcPr>
          <w:p w14:paraId="731DE7ED">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浙江华杰工程咨询有限公司</w:t>
            </w:r>
          </w:p>
          <w:p w14:paraId="4515E479">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rPr>
              <w:t>浦江县</w:t>
            </w:r>
            <w:r>
              <w:rPr>
                <w:rFonts w:hint="eastAsia" w:ascii="宋体" w:hAnsi="宋体" w:eastAsia="宋体" w:cs="宋体"/>
                <w:color w:val="auto"/>
                <w:szCs w:val="21"/>
                <w:highlight w:val="none"/>
                <w:lang w:eastAsia="zh-CN"/>
              </w:rPr>
              <w:t>西山北路</w:t>
            </w:r>
            <w:r>
              <w:rPr>
                <w:rFonts w:hint="eastAsia" w:ascii="宋体" w:hAnsi="宋体" w:eastAsia="宋体" w:cs="宋体"/>
                <w:color w:val="auto"/>
                <w:szCs w:val="21"/>
                <w:highlight w:val="none"/>
                <w:lang w:val="en-US" w:eastAsia="zh-CN"/>
              </w:rPr>
              <w:t>169号</w:t>
            </w:r>
          </w:p>
          <w:p w14:paraId="38FA494A">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王震</w:t>
            </w:r>
          </w:p>
          <w:p w14:paraId="15BC8618">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val="en-US" w:eastAsia="zh-TW"/>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rPr>
              <w:t>0579-84125728、</w:t>
            </w:r>
            <w:r>
              <w:rPr>
                <w:rFonts w:hint="eastAsia" w:ascii="宋体" w:hAnsi="宋体" w:eastAsia="宋体" w:cs="宋体"/>
                <w:color w:val="auto"/>
                <w:szCs w:val="21"/>
                <w:highlight w:val="none"/>
                <w:lang w:val="en-US" w:eastAsia="zh-CN"/>
              </w:rPr>
              <w:t>15657991354</w:t>
            </w:r>
          </w:p>
        </w:tc>
      </w:tr>
      <w:tr w14:paraId="4179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75" w:type="dxa"/>
            <w:tcBorders>
              <w:tl2br w:val="nil"/>
              <w:tr2bl w:val="nil"/>
            </w:tcBorders>
            <w:vAlign w:val="center"/>
          </w:tcPr>
          <w:p w14:paraId="5FA614D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54" w:type="dxa"/>
            <w:tcBorders>
              <w:tl2br w:val="nil"/>
              <w:tr2bl w:val="nil"/>
            </w:tcBorders>
            <w:vAlign w:val="center"/>
          </w:tcPr>
          <w:p w14:paraId="26E330C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电子交易平台</w:t>
            </w:r>
          </w:p>
        </w:tc>
        <w:tc>
          <w:tcPr>
            <w:tcW w:w="6764" w:type="dxa"/>
            <w:tcBorders>
              <w:tl2br w:val="nil"/>
              <w:tr2bl w:val="nil"/>
            </w:tcBorders>
            <w:vAlign w:val="center"/>
          </w:tcPr>
          <w:p w14:paraId="53AEDB40">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浙江政府采购网政府采购云平台（政采云平台）（www.zcygov.cn）。</w:t>
            </w:r>
          </w:p>
        </w:tc>
      </w:tr>
      <w:tr w14:paraId="48C6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5" w:type="dxa"/>
            <w:tcBorders>
              <w:tl2br w:val="nil"/>
              <w:tr2bl w:val="nil"/>
            </w:tcBorders>
            <w:vAlign w:val="center"/>
          </w:tcPr>
          <w:p w14:paraId="3DB37AE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54" w:type="dxa"/>
            <w:tcBorders>
              <w:tl2br w:val="nil"/>
              <w:tr2bl w:val="nil"/>
            </w:tcBorders>
            <w:vAlign w:val="center"/>
          </w:tcPr>
          <w:p w14:paraId="3D96EB3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资格</w:t>
            </w:r>
            <w:r>
              <w:rPr>
                <w:rFonts w:hint="eastAsia" w:ascii="宋体" w:hAnsi="宋体" w:eastAsia="宋体" w:cs="宋体"/>
                <w:b/>
                <w:bCs/>
                <w:color w:val="auto"/>
                <w:szCs w:val="21"/>
                <w:highlight w:val="none"/>
              </w:rPr>
              <w:t>条件</w:t>
            </w:r>
          </w:p>
        </w:tc>
        <w:tc>
          <w:tcPr>
            <w:tcW w:w="6764" w:type="dxa"/>
            <w:tcBorders>
              <w:tl2br w:val="nil"/>
              <w:tr2bl w:val="nil"/>
            </w:tcBorders>
            <w:vAlign w:val="center"/>
          </w:tcPr>
          <w:p w14:paraId="5490077F">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0"/>
                <w:highlight w:val="none"/>
                <w:lang w:eastAsia="zh-CN"/>
              </w:rPr>
            </w:pPr>
            <w:r>
              <w:rPr>
                <w:rFonts w:hint="eastAsia" w:ascii="宋体" w:hAnsi="宋体" w:eastAsia="宋体" w:cs="宋体"/>
                <w:color w:val="auto"/>
                <w:kern w:val="2"/>
                <w:sz w:val="21"/>
                <w:szCs w:val="21"/>
                <w:highlight w:val="none"/>
                <w:lang w:val="zh-TW" w:eastAsia="zh-CN" w:bidi="ar-SA"/>
              </w:rPr>
              <w:t>详见采购公告</w:t>
            </w:r>
          </w:p>
        </w:tc>
      </w:tr>
      <w:tr w14:paraId="1ED5A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6FCF940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54" w:type="dxa"/>
            <w:tcBorders>
              <w:tl2br w:val="nil"/>
              <w:tr2bl w:val="nil"/>
            </w:tcBorders>
            <w:vAlign w:val="center"/>
          </w:tcPr>
          <w:p w14:paraId="38816B3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联合体</w:t>
            </w:r>
          </w:p>
        </w:tc>
        <w:tc>
          <w:tcPr>
            <w:tcW w:w="6764" w:type="dxa"/>
            <w:tcBorders>
              <w:tl2br w:val="nil"/>
              <w:tr2bl w:val="nil"/>
            </w:tcBorders>
            <w:vAlign w:val="center"/>
          </w:tcPr>
          <w:p w14:paraId="2F3EF72E">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snapToGrid w:val="0"/>
                <w:color w:val="auto"/>
                <w:kern w:val="0"/>
                <w:sz w:val="24"/>
                <w:szCs w:val="20"/>
                <w:highlight w:val="none"/>
              </w:rPr>
              <w:sym w:font="Wingdings" w:char="00FE"/>
            </w:r>
            <w:r>
              <w:rPr>
                <w:rFonts w:hint="eastAsia" w:ascii="宋体" w:hAnsi="宋体" w:eastAsia="宋体" w:cs="宋体"/>
                <w:b/>
                <w:bCs/>
                <w:color w:val="auto"/>
                <w:szCs w:val="21"/>
                <w:highlight w:val="none"/>
              </w:rPr>
              <w:t>本项目不接受联合体投标。</w:t>
            </w:r>
          </w:p>
          <w:p w14:paraId="09D4416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exact"/>
              <w:ind w:left="0" w:right="0"/>
              <w:textAlignment w:val="auto"/>
              <w:rPr>
                <w:rFonts w:hint="eastAsia" w:ascii="宋体" w:hAnsi="宋体" w:eastAsia="宋体" w:cs="宋体"/>
                <w:b/>
                <w:bCs/>
                <w:color w:val="auto"/>
                <w:szCs w:val="21"/>
                <w:highlight w:val="none"/>
                <w:lang w:eastAsia="zh-CN"/>
              </w:rPr>
            </w:pPr>
            <w:sdt>
              <w:sdtPr>
                <w:rPr>
                  <w:rFonts w:hint="eastAsia" w:ascii="宋体" w:hAnsi="宋体" w:eastAsia="宋体" w:cs="宋体"/>
                  <w:b/>
                  <w:bCs/>
                  <w:snapToGrid w:val="0"/>
                  <w:color w:val="auto"/>
                  <w:kern w:val="0"/>
                  <w:sz w:val="24"/>
                  <w:szCs w:val="20"/>
                  <w:highlight w:val="none"/>
                </w:rPr>
                <w:id w:val="-1765526721"/>
              </w:sdtPr>
              <w:sdtEndPr>
                <w:rPr>
                  <w:rFonts w:hint="eastAsia" w:ascii="宋体" w:hAnsi="宋体" w:eastAsia="宋体" w:cs="宋体"/>
                  <w:b w:val="0"/>
                  <w:bCs w:val="0"/>
                  <w:snapToGrid w:val="0"/>
                  <w:color w:val="auto"/>
                  <w:kern w:val="0"/>
                  <w:sz w:val="24"/>
                  <w:szCs w:val="20"/>
                  <w:highlight w:val="none"/>
                </w:rPr>
              </w:sdtEndPr>
              <w:sdtContent>
                <w:r>
                  <w:rPr>
                    <w:rFonts w:hint="eastAsia" w:ascii="宋体" w:hAnsi="宋体" w:eastAsia="宋体" w:cs="宋体"/>
                    <w:b w:val="0"/>
                    <w:bCs w:val="0"/>
                    <w:snapToGrid w:val="0"/>
                    <w:color w:val="auto"/>
                    <w:kern w:val="0"/>
                    <w:sz w:val="24"/>
                    <w:szCs w:val="20"/>
                    <w:highlight w:val="none"/>
                  </w:rPr>
                  <w:sym w:font="Wingdings" w:char="00A8"/>
                </w:r>
              </w:sdtContent>
            </w:sdt>
            <w:r>
              <w:rPr>
                <w:rFonts w:hint="eastAsia" w:ascii="宋体" w:hAnsi="宋体" w:eastAsia="宋体" w:cs="宋体"/>
                <w:b w:val="0"/>
                <w:bCs w:val="0"/>
                <w:color w:val="auto"/>
                <w:szCs w:val="21"/>
                <w:highlight w:val="none"/>
              </w:rPr>
              <w:t>本项目接受联合体投标</w:t>
            </w:r>
            <w:r>
              <w:rPr>
                <w:rFonts w:hint="eastAsia" w:ascii="宋体" w:hAnsi="宋体" w:eastAsia="宋体" w:cs="宋体"/>
                <w:b w:val="0"/>
                <w:bCs w:val="0"/>
                <w:color w:val="auto"/>
                <w:szCs w:val="21"/>
                <w:highlight w:val="none"/>
                <w:lang w:eastAsia="zh-CN"/>
              </w:rPr>
              <w:t>，具体要求如下：</w:t>
            </w:r>
          </w:p>
          <w:p w14:paraId="07D20E1F">
            <w:pPr>
              <w:keepNext w:val="0"/>
              <w:keepLines w:val="0"/>
              <w:pageBreakBefore w:val="0"/>
              <w:suppressLineNumbers w:val="0"/>
              <w:kinsoku/>
              <w:wordWrap/>
              <w:overflowPunct/>
              <w:topLinePunct w:val="0"/>
              <w:bidi w:val="0"/>
              <w:spacing w:before="0" w:beforeAutospacing="0" w:after="0" w:afterAutospacing="0" w:line="360" w:lineRule="exact"/>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组成联合体参与投标的，由联合体牵头人代表联合体办理投标事宜（除</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特别注明外，其余投标文件中的盖章、签字要求，均指由联合体牵头人单位进行盖章、签字），联合体牵头人在投标文件中的所有承诺均代表了联合体各成员。</w:t>
            </w:r>
          </w:p>
          <w:p w14:paraId="205474EB">
            <w:pPr>
              <w:keepNext w:val="0"/>
              <w:keepLines w:val="0"/>
              <w:pageBreakBefore w:val="0"/>
              <w:suppressLineNumbers w:val="0"/>
              <w:kinsoku/>
              <w:wordWrap/>
              <w:overflowPunct/>
              <w:topLinePunct w:val="0"/>
              <w:bidi w:val="0"/>
              <w:spacing w:before="0" w:beforeAutospacing="0" w:after="0" w:afterAutospacing="0" w:line="360" w:lineRule="exact"/>
              <w:ind w:left="0" w:right="0"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组成联合体中标的，</w:t>
            </w:r>
            <w:r>
              <w:rPr>
                <w:rFonts w:hint="eastAsia" w:ascii="宋体" w:hAnsi="宋体" w:eastAsia="宋体" w:cs="宋体"/>
                <w:color w:val="auto"/>
                <w:szCs w:val="21"/>
                <w:highlight w:val="none"/>
                <w:lang w:eastAsia="zh-CN"/>
              </w:rPr>
              <w:t xml:space="preserve">招标人支付项目各项费用的对象约定： </w:t>
            </w:r>
          </w:p>
          <w:p w14:paraId="5B9E8107">
            <w:pPr>
              <w:keepNext w:val="0"/>
              <w:keepLines w:val="0"/>
              <w:pageBreakBefore w:val="0"/>
              <w:suppressLineNumbers w:val="0"/>
              <w:kinsoku/>
              <w:wordWrap/>
              <w:overflowPunct/>
              <w:topLinePunct w:val="0"/>
              <w:bidi w:val="0"/>
              <w:spacing w:before="0" w:beforeAutospacing="0" w:after="0" w:afterAutospacing="0" w:line="360" w:lineRule="exact"/>
              <w:ind w:left="0" w:right="0"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□①各项费用由招标人直接支付给牵头人，再由牵头人按联合体协议书约定支付分配； </w:t>
            </w:r>
          </w:p>
          <w:p w14:paraId="17F488CF">
            <w:pPr>
              <w:keepNext w:val="0"/>
              <w:keepLines w:val="0"/>
              <w:pageBreakBefore w:val="0"/>
              <w:suppressLineNumbers w:val="0"/>
              <w:kinsoku/>
              <w:wordWrap/>
              <w:overflowPunct/>
              <w:topLinePunct w:val="0"/>
              <w:bidi w:val="0"/>
              <w:spacing w:before="0" w:beforeAutospacing="0" w:after="0" w:afterAutospacing="0" w:line="360" w:lineRule="exact"/>
              <w:ind w:left="0" w:right="0" w:firstLine="210" w:firstLineChars="100"/>
              <w:rPr>
                <w:rFonts w:hint="eastAsia" w:ascii="宋体" w:hAnsi="宋体" w:eastAsia="宋体" w:cs="宋体"/>
                <w:b/>
                <w:color w:val="auto"/>
                <w:kern w:val="10"/>
                <w:szCs w:val="21"/>
                <w:highlight w:val="none"/>
              </w:rPr>
            </w:pPr>
            <w:r>
              <w:rPr>
                <w:rFonts w:hint="eastAsia" w:ascii="宋体" w:hAnsi="宋体" w:eastAsia="宋体" w:cs="宋体"/>
                <w:color w:val="auto"/>
                <w:szCs w:val="21"/>
                <w:highlight w:val="none"/>
                <w:lang w:eastAsia="zh-CN"/>
              </w:rPr>
              <w:t>□②各项费用由招标人按联合体成员职责分工，分别支付给联合各成员</w:t>
            </w:r>
            <w:r>
              <w:rPr>
                <w:rFonts w:hint="eastAsia" w:ascii="宋体" w:hAnsi="宋体" w:eastAsia="宋体" w:cs="宋体"/>
                <w:color w:val="auto"/>
                <w:szCs w:val="21"/>
                <w:highlight w:val="none"/>
              </w:rPr>
              <w:t>。</w:t>
            </w:r>
          </w:p>
        </w:tc>
      </w:tr>
      <w:tr w14:paraId="78023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75" w:type="dxa"/>
            <w:tcBorders>
              <w:tl2br w:val="nil"/>
              <w:tr2bl w:val="nil"/>
            </w:tcBorders>
            <w:vAlign w:val="center"/>
          </w:tcPr>
          <w:p w14:paraId="2121911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54" w:type="dxa"/>
            <w:tcBorders>
              <w:tl2br w:val="nil"/>
              <w:tr2bl w:val="nil"/>
            </w:tcBorders>
            <w:vAlign w:val="center"/>
          </w:tcPr>
          <w:p w14:paraId="5C89C7F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采购文件</w:t>
            </w:r>
            <w:r>
              <w:rPr>
                <w:rFonts w:hint="eastAsia" w:ascii="宋体" w:hAnsi="宋体" w:eastAsia="宋体" w:cs="宋体"/>
                <w:b/>
                <w:bCs/>
                <w:color w:val="auto"/>
                <w:szCs w:val="21"/>
                <w:highlight w:val="none"/>
              </w:rPr>
              <w:t>获取</w:t>
            </w:r>
          </w:p>
        </w:tc>
        <w:tc>
          <w:tcPr>
            <w:tcW w:w="6764" w:type="dxa"/>
            <w:tcBorders>
              <w:tl2br w:val="nil"/>
              <w:tr2bl w:val="nil"/>
            </w:tcBorders>
            <w:vAlign w:val="center"/>
          </w:tcPr>
          <w:p w14:paraId="20AB1F5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Cs/>
                <w:color w:val="auto"/>
                <w:kern w:val="10"/>
                <w:szCs w:val="21"/>
                <w:highlight w:val="none"/>
              </w:rPr>
            </w:pPr>
            <w:r>
              <w:rPr>
                <w:rFonts w:hint="eastAsia" w:ascii="宋体" w:hAnsi="宋体" w:eastAsia="宋体" w:cs="宋体"/>
                <w:b/>
                <w:color w:val="auto"/>
                <w:kern w:val="10"/>
                <w:szCs w:val="21"/>
                <w:highlight w:val="none"/>
              </w:rPr>
              <w:t>获取方式：</w:t>
            </w:r>
            <w:r>
              <w:rPr>
                <w:rFonts w:hint="eastAsia" w:ascii="宋体" w:hAnsi="宋体" w:eastAsia="宋体" w:cs="宋体"/>
                <w:color w:val="auto"/>
                <w:szCs w:val="21"/>
                <w:highlight w:val="none"/>
              </w:rPr>
              <w:t>政采云平台（www.zcygov.cn）用户登录-项目采购-获取采购文件-申请完成-下载文件</w:t>
            </w:r>
            <w:r>
              <w:rPr>
                <w:rFonts w:hint="eastAsia" w:ascii="宋体" w:hAnsi="宋体" w:eastAsia="宋体" w:cs="宋体"/>
                <w:bCs/>
                <w:color w:val="auto"/>
                <w:kern w:val="10"/>
                <w:szCs w:val="21"/>
                <w:highlight w:val="none"/>
              </w:rPr>
              <w:t>；</w:t>
            </w:r>
          </w:p>
          <w:p w14:paraId="76583482">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Cs/>
                <w:color w:val="auto"/>
                <w:kern w:val="10"/>
                <w:szCs w:val="21"/>
                <w:highlight w:val="none"/>
              </w:rPr>
            </w:pPr>
            <w:r>
              <w:rPr>
                <w:rFonts w:hint="eastAsia" w:ascii="宋体" w:hAnsi="宋体" w:eastAsia="宋体" w:cs="宋体"/>
                <w:b/>
                <w:color w:val="auto"/>
                <w:kern w:val="10"/>
                <w:szCs w:val="21"/>
                <w:highlight w:val="none"/>
              </w:rPr>
              <w:t>获取状态：</w:t>
            </w:r>
            <w:r>
              <w:rPr>
                <w:rFonts w:hint="eastAsia" w:ascii="宋体" w:hAnsi="宋体" w:eastAsia="宋体" w:cs="宋体"/>
                <w:color w:val="auto"/>
                <w:szCs w:val="21"/>
                <w:highlight w:val="none"/>
              </w:rPr>
              <w:t>政采云平台（www.zcygov.cn）</w:t>
            </w:r>
            <w:r>
              <w:rPr>
                <w:rFonts w:hint="eastAsia" w:ascii="宋体" w:hAnsi="宋体" w:eastAsia="宋体" w:cs="宋体"/>
                <w:bCs/>
                <w:color w:val="auto"/>
                <w:kern w:val="10"/>
                <w:szCs w:val="21"/>
                <w:highlight w:val="none"/>
              </w:rPr>
              <w:t>用户登录-项目采购-获取采购文件-已申请-状态。</w:t>
            </w:r>
          </w:p>
        </w:tc>
      </w:tr>
      <w:tr w14:paraId="5385E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19848B1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54" w:type="dxa"/>
            <w:tcBorders>
              <w:tl2br w:val="nil"/>
              <w:tr2bl w:val="nil"/>
            </w:tcBorders>
            <w:vAlign w:val="center"/>
          </w:tcPr>
          <w:p w14:paraId="391A0B8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开标前答疑会或现场考察</w:t>
            </w:r>
          </w:p>
        </w:tc>
        <w:tc>
          <w:tcPr>
            <w:tcW w:w="6764" w:type="dxa"/>
            <w:tcBorders>
              <w:tl2br w:val="nil"/>
              <w:tr2bl w:val="nil"/>
            </w:tcBorders>
            <w:vAlign w:val="center"/>
          </w:tcPr>
          <w:p w14:paraId="14CED1C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不组织。</w:t>
            </w:r>
          </w:p>
          <w:p w14:paraId="33230E2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组织，时间为：/年/月/日至/年/月/日（上午/至下午/），联系人：/，联系方式：/。</w:t>
            </w:r>
          </w:p>
        </w:tc>
      </w:tr>
      <w:tr w14:paraId="61BA2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0" w:hRule="atLeast"/>
        </w:trPr>
        <w:tc>
          <w:tcPr>
            <w:tcW w:w="875" w:type="dxa"/>
            <w:tcBorders>
              <w:tl2br w:val="nil"/>
              <w:tr2bl w:val="nil"/>
            </w:tcBorders>
            <w:vAlign w:val="center"/>
          </w:tcPr>
          <w:p w14:paraId="465ADB1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54" w:type="dxa"/>
            <w:tcBorders>
              <w:tl2br w:val="nil"/>
              <w:tr2bl w:val="nil"/>
            </w:tcBorders>
            <w:vAlign w:val="center"/>
          </w:tcPr>
          <w:p w14:paraId="57B974F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报价要求</w:t>
            </w:r>
          </w:p>
        </w:tc>
        <w:tc>
          <w:tcPr>
            <w:tcW w:w="6764" w:type="dxa"/>
            <w:tcBorders>
              <w:tl2br w:val="nil"/>
              <w:tr2bl w:val="nil"/>
            </w:tcBorders>
            <w:vAlign w:val="center"/>
          </w:tcPr>
          <w:p w14:paraId="6F42AFB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投标总报价系指</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所确定的投标范围内全部服务内容的价格体现，应包括但</w:t>
            </w:r>
            <w:r>
              <w:rPr>
                <w:rFonts w:hint="eastAsia" w:ascii="宋体" w:hAnsi="宋体" w:eastAsia="宋体" w:cs="宋体"/>
                <w:color w:val="auto"/>
                <w:szCs w:val="21"/>
                <w:highlight w:val="none"/>
                <w:lang w:val="en-US" w:eastAsia="zh-CN"/>
              </w:rPr>
              <w:t>不限于</w:t>
            </w:r>
            <w:r>
              <w:rPr>
                <w:rFonts w:hint="eastAsia" w:ascii="宋体" w:hAnsi="宋体" w:eastAsia="宋体" w:cs="宋体"/>
                <w:color w:val="auto"/>
                <w:szCs w:val="21"/>
                <w:highlight w:val="none"/>
                <w:lang w:eastAsia="zh-CN"/>
              </w:rPr>
              <w:t>维护技术服务费、人工费、</w:t>
            </w:r>
            <w:r>
              <w:rPr>
                <w:rFonts w:hint="eastAsia" w:ascii="宋体" w:hAnsi="宋体" w:eastAsia="宋体" w:cs="宋体"/>
                <w:color w:val="auto"/>
                <w:szCs w:val="21"/>
                <w:highlight w:val="none"/>
                <w:lang w:val="en-US" w:eastAsia="zh-CN"/>
              </w:rPr>
              <w:t>住宿费、餐饮费、</w:t>
            </w:r>
            <w:r>
              <w:rPr>
                <w:rFonts w:hint="eastAsia" w:ascii="宋体" w:hAnsi="宋体" w:eastAsia="宋体" w:cs="宋体"/>
                <w:color w:val="auto"/>
                <w:szCs w:val="21"/>
                <w:highlight w:val="none"/>
                <w:lang w:eastAsia="zh-CN"/>
              </w:rPr>
              <w:t>差旅费、调试费、培训费、制作标书费、招标服务费、管理费、利润、税金</w:t>
            </w:r>
            <w:r>
              <w:rPr>
                <w:rFonts w:hint="eastAsia" w:ascii="宋体" w:hAnsi="宋体" w:eastAsia="宋体" w:cs="宋体"/>
                <w:color w:val="auto"/>
                <w:szCs w:val="21"/>
                <w:highlight w:val="none"/>
              </w:rPr>
              <w:t>及合同实施过程中不可预见的费用等一切税费</w:t>
            </w:r>
            <w:r>
              <w:rPr>
                <w:rFonts w:hint="eastAsia" w:ascii="宋体" w:hAnsi="宋体" w:eastAsia="宋体" w:cs="宋体"/>
                <w:color w:val="auto"/>
                <w:szCs w:val="21"/>
                <w:highlight w:val="none"/>
                <w:lang w:val="en-US" w:eastAsia="zh-CN"/>
              </w:rPr>
              <w:t>组成</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合同价款结算时中标单位须开具正式发票。</w:t>
            </w:r>
          </w:p>
          <w:p w14:paraId="0AFD4747">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《开标一览表》（报价表）是报价的唯一载体。投标文件中价格全部采用人民币报价。</w:t>
            </w:r>
          </w:p>
          <w:p w14:paraId="417C049A">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完成本项目所涉及的一切费用由投标人承担。费用清单需详细列明，不详细的部分采购人有权按最好效果、最高标准执行。</w:t>
            </w:r>
          </w:p>
          <w:p w14:paraId="7A3C1144">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投标人应认真计算可能发生的各相关费用并计入报价内，在项目实施过程中不得藉此要求增加任何费用，并不得出现选择性的报价。</w:t>
            </w:r>
          </w:p>
          <w:p w14:paraId="3D7F3CF7">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（2）其它需在报价中考虑的因素：</w:t>
            </w:r>
          </w:p>
          <w:p w14:paraId="568046B4">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①招标内容及需求中明确的需投标人承担的费用均应含在投标总价中；</w:t>
            </w:r>
          </w:p>
          <w:p w14:paraId="77A60218">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②采购文件未明示但投标人认为可能产生的潜在费用支出均需自行考虑并计入投标总价中；</w:t>
            </w:r>
          </w:p>
          <w:p w14:paraId="4B6C6022">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③对于没有填报的项目，采购人将不再支付，并均认为已包含在报价内。</w:t>
            </w:r>
          </w:p>
        </w:tc>
      </w:tr>
      <w:tr w14:paraId="698F7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5" w:type="dxa"/>
            <w:tcBorders>
              <w:tl2br w:val="nil"/>
              <w:tr2bl w:val="nil"/>
            </w:tcBorders>
            <w:vAlign w:val="center"/>
          </w:tcPr>
          <w:p w14:paraId="4411F73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54" w:type="dxa"/>
            <w:tcBorders>
              <w:tl2br w:val="nil"/>
              <w:tr2bl w:val="nil"/>
            </w:tcBorders>
            <w:vAlign w:val="center"/>
          </w:tcPr>
          <w:p w14:paraId="5616DCF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服务期限</w:t>
            </w:r>
          </w:p>
        </w:tc>
        <w:tc>
          <w:tcPr>
            <w:tcW w:w="6764" w:type="dxa"/>
            <w:tcBorders>
              <w:tl2br w:val="nil"/>
              <w:tr2bl w:val="nil"/>
            </w:tcBorders>
            <w:vAlign w:val="center"/>
          </w:tcPr>
          <w:p w14:paraId="56C3C1BD">
            <w:pPr>
              <w:keepNext w:val="0"/>
              <w:keepLines w:val="0"/>
              <w:pageBreakBefore w:val="0"/>
              <w:suppressLineNumbers w:val="0"/>
              <w:kinsoku/>
              <w:wordWrap/>
              <w:overflowPunct/>
              <w:topLinePunct w:val="0"/>
              <w:bidi w:val="0"/>
              <w:spacing w:before="0" w:beforeAutospacing="0" w:after="0" w:afterAutospacing="0" w:line="360" w:lineRule="exact"/>
              <w:ind w:left="0" w:right="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自合同签订之日起一年。</w:t>
            </w:r>
          </w:p>
        </w:tc>
      </w:tr>
      <w:tr w14:paraId="67404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5" w:type="dxa"/>
            <w:tcBorders>
              <w:tl2br w:val="nil"/>
              <w:tr2bl w:val="nil"/>
            </w:tcBorders>
            <w:vAlign w:val="center"/>
          </w:tcPr>
          <w:p w14:paraId="6DD0011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54" w:type="dxa"/>
            <w:tcBorders>
              <w:tl2br w:val="nil"/>
              <w:tr2bl w:val="nil"/>
            </w:tcBorders>
            <w:vAlign w:val="center"/>
          </w:tcPr>
          <w:p w14:paraId="10B279C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6764" w:type="dxa"/>
            <w:tcBorders>
              <w:tl2br w:val="nil"/>
              <w:tr2bl w:val="nil"/>
            </w:tcBorders>
            <w:vAlign w:val="center"/>
          </w:tcPr>
          <w:p w14:paraId="0E3834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b w:val="0"/>
                <w:color w:val="auto"/>
                <w:kern w:val="2"/>
                <w:sz w:val="21"/>
                <w:szCs w:val="21"/>
                <w:highlight w:val="none"/>
                <w:lang w:val="zh-CN" w:eastAsia="zh-CN" w:bidi="ar-SA"/>
              </w:rPr>
              <w:t xml:space="preserve">详见“第五部分 </w:t>
            </w:r>
            <w:r>
              <w:rPr>
                <w:rFonts w:hint="eastAsia" w:ascii="宋体" w:hAnsi="宋体" w:eastAsia="宋体" w:cs="宋体"/>
                <w:b w:val="0"/>
                <w:color w:val="auto"/>
                <w:kern w:val="2"/>
                <w:sz w:val="21"/>
                <w:szCs w:val="21"/>
                <w:highlight w:val="none"/>
                <w:lang w:val="en-US" w:eastAsia="zh-CN" w:bidi="ar-SA"/>
              </w:rPr>
              <w:t xml:space="preserve"> </w:t>
            </w:r>
            <w:r>
              <w:rPr>
                <w:rFonts w:hint="eastAsia" w:ascii="宋体" w:hAnsi="宋体" w:eastAsia="宋体" w:cs="宋体"/>
                <w:b w:val="0"/>
                <w:color w:val="auto"/>
                <w:kern w:val="2"/>
                <w:sz w:val="21"/>
                <w:szCs w:val="21"/>
                <w:highlight w:val="none"/>
                <w:lang w:val="zh-CN" w:eastAsia="zh-CN" w:bidi="ar-SA"/>
              </w:rPr>
              <w:t>拟签订的合同文本”</w:t>
            </w:r>
          </w:p>
        </w:tc>
      </w:tr>
      <w:tr w14:paraId="0270B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741CFAD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54" w:type="dxa"/>
            <w:tcBorders>
              <w:tl2br w:val="nil"/>
              <w:tr2bl w:val="nil"/>
            </w:tcBorders>
            <w:vAlign w:val="center"/>
          </w:tcPr>
          <w:p w14:paraId="3C96082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投标文件有效期</w:t>
            </w:r>
          </w:p>
        </w:tc>
        <w:tc>
          <w:tcPr>
            <w:tcW w:w="6764" w:type="dxa"/>
            <w:tcBorders>
              <w:tl2br w:val="nil"/>
              <w:tr2bl w:val="nil"/>
            </w:tcBorders>
            <w:vAlign w:val="center"/>
          </w:tcPr>
          <w:p w14:paraId="5BE7D33E">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天内有效。</w:t>
            </w:r>
          </w:p>
        </w:tc>
      </w:tr>
      <w:tr w14:paraId="26218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27E9F5C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54" w:type="dxa"/>
            <w:tcBorders>
              <w:tl2br w:val="nil"/>
              <w:tr2bl w:val="nil"/>
            </w:tcBorders>
            <w:vAlign w:val="center"/>
          </w:tcPr>
          <w:p w14:paraId="1B4D2BA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履约保证金</w:t>
            </w:r>
          </w:p>
        </w:tc>
        <w:tc>
          <w:tcPr>
            <w:tcW w:w="6764" w:type="dxa"/>
            <w:tcBorders>
              <w:tl2br w:val="nil"/>
              <w:tr2bl w:val="nil"/>
            </w:tcBorders>
            <w:vAlign w:val="center"/>
          </w:tcPr>
          <w:p w14:paraId="7337EA3A">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不要求。</w:t>
            </w:r>
          </w:p>
          <w:p w14:paraId="3F4C47B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exact"/>
              <w:ind w:left="0" w:right="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要求</w:t>
            </w:r>
            <w:r>
              <w:rPr>
                <w:rFonts w:hint="eastAsia" w:ascii="宋体" w:hAnsi="宋体" w:eastAsia="宋体" w:cs="宋体"/>
                <w:b/>
                <w:bCs/>
                <w:color w:val="auto"/>
                <w:szCs w:val="21"/>
                <w:highlight w:val="none"/>
                <w:lang w:eastAsia="zh-CN"/>
              </w:rPr>
              <w:t>。</w:t>
            </w:r>
          </w:p>
          <w:p w14:paraId="58EF2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履约保证金：</w:t>
            </w:r>
            <w:r>
              <w:rPr>
                <w:rFonts w:hint="eastAsia" w:ascii="宋体" w:hAnsi="宋体" w:eastAsia="宋体" w:cs="宋体"/>
                <w:b w:val="0"/>
                <w:bCs w:val="0"/>
                <w:color w:val="auto"/>
                <w:szCs w:val="21"/>
                <w:highlight w:val="none"/>
              </w:rPr>
              <w:t>中标价的</w:t>
            </w:r>
            <w:r>
              <w:rPr>
                <w:rFonts w:hint="eastAsia" w:ascii="宋体" w:hAnsi="宋体" w:eastAsia="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u w:val="none"/>
              </w:rPr>
              <w:t>（不计息）</w:t>
            </w:r>
            <w:r>
              <w:rPr>
                <w:rFonts w:hint="eastAsia" w:ascii="宋体" w:hAnsi="宋体" w:eastAsia="宋体" w:cs="宋体"/>
                <w:b w:val="0"/>
                <w:bCs w:val="0"/>
                <w:color w:val="auto"/>
                <w:szCs w:val="21"/>
                <w:highlight w:val="none"/>
              </w:rPr>
              <w:t>。</w:t>
            </w:r>
          </w:p>
          <w:p w14:paraId="2F497EB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履约保证金缴纳的形式：</w:t>
            </w:r>
            <w:r>
              <w:rPr>
                <w:rFonts w:hint="eastAsia" w:ascii="宋体" w:hAnsi="宋体" w:eastAsia="宋体" w:cs="宋体"/>
                <w:b w:val="0"/>
                <w:bCs w:val="0"/>
                <w:color w:val="auto"/>
                <w:szCs w:val="21"/>
                <w:highlight w:val="none"/>
                <w:lang w:eastAsia="zh-CN"/>
              </w:rPr>
              <w:t>现金转账</w:t>
            </w:r>
            <w:r>
              <w:rPr>
                <w:rFonts w:hint="eastAsia" w:ascii="宋体" w:hAnsi="宋体" w:eastAsia="宋体" w:cs="宋体"/>
                <w:b w:val="0"/>
                <w:bCs w:val="0"/>
                <w:color w:val="auto"/>
                <w:szCs w:val="21"/>
                <w:highlight w:val="none"/>
              </w:rPr>
              <w:t>或金融机构、保险公司、担保机构出具的保函/保险。</w:t>
            </w:r>
          </w:p>
          <w:p w14:paraId="2EB4599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￭履约保证金形式为</w:t>
            </w:r>
            <w:r>
              <w:rPr>
                <w:rFonts w:hint="eastAsia" w:ascii="宋体" w:hAnsi="宋体" w:eastAsia="宋体" w:cs="宋体"/>
                <w:b w:val="0"/>
                <w:bCs w:val="0"/>
                <w:color w:val="auto"/>
                <w:szCs w:val="21"/>
                <w:highlight w:val="none"/>
              </w:rPr>
              <w:t>现金转账（账户另行通知）的，履约保证金待验收通过后视履约情况到采购人处办理履约保证金的退还手续。</w:t>
            </w:r>
          </w:p>
          <w:p w14:paraId="6CA802E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Cs w:val="21"/>
                <w:highlight w:val="none"/>
              </w:rPr>
              <w:t>￭履约保证金形式为</w:t>
            </w:r>
            <w:r>
              <w:rPr>
                <w:rFonts w:hint="eastAsia" w:ascii="宋体" w:hAnsi="宋体" w:eastAsia="宋体" w:cs="宋体"/>
                <w:b w:val="0"/>
                <w:bCs w:val="0"/>
                <w:color w:val="auto"/>
                <w:szCs w:val="21"/>
                <w:highlight w:val="none"/>
              </w:rPr>
              <w:t>金融机构、保险公司、担保机构出具的保函/保险（可在政采云平台购买，</w:t>
            </w:r>
            <w:r>
              <w:rPr>
                <w:rFonts w:hint="eastAsia" w:ascii="宋体" w:hAnsi="宋体" w:eastAsia="宋体" w:cs="宋体"/>
                <w:b w:val="0"/>
                <w:bCs w:val="0"/>
                <w:color w:val="auto"/>
                <w:szCs w:val="21"/>
                <w:highlight w:val="none"/>
                <w:lang w:eastAsia="zh-CN"/>
              </w:rPr>
              <w:t>具体操作详见备注条款</w:t>
            </w:r>
            <w:r>
              <w:rPr>
                <w:rFonts w:hint="eastAsia" w:ascii="宋体" w:hAnsi="宋体" w:eastAsia="宋体" w:cs="宋体"/>
                <w:b w:val="0"/>
                <w:bCs w:val="0"/>
                <w:color w:val="auto"/>
                <w:szCs w:val="21"/>
                <w:highlight w:val="none"/>
              </w:rPr>
              <w:t>）等非现金形式</w:t>
            </w:r>
            <w:r>
              <w:rPr>
                <w:rFonts w:hint="eastAsia" w:ascii="宋体" w:hAnsi="宋体" w:eastAsia="宋体" w:cs="宋体"/>
                <w:b w:val="0"/>
                <w:bCs w:val="0"/>
                <w:color w:val="auto"/>
                <w:szCs w:val="21"/>
                <w:highlight w:val="none"/>
                <w:lang w:eastAsia="zh-CN"/>
              </w:rPr>
              <w:t>的</w:t>
            </w:r>
            <w:r>
              <w:rPr>
                <w:rFonts w:hint="eastAsia" w:ascii="宋体" w:hAnsi="宋体" w:eastAsia="宋体" w:cs="宋体"/>
                <w:b w:val="0"/>
                <w:bCs w:val="0"/>
                <w:color w:val="auto"/>
                <w:szCs w:val="21"/>
                <w:highlight w:val="none"/>
              </w:rPr>
              <w:t>，履约保证金保函应在合同履行期限内</w:t>
            </w:r>
            <w:r>
              <w:rPr>
                <w:rFonts w:hint="eastAsia" w:ascii="宋体" w:hAnsi="宋体" w:eastAsia="宋体" w:cs="宋体"/>
                <w:b w:val="0"/>
                <w:bCs w:val="0"/>
                <w:color w:val="auto"/>
                <w:szCs w:val="21"/>
                <w:highlight w:val="none"/>
                <w:lang w:eastAsia="zh-CN"/>
              </w:rPr>
              <w:t>保持</w:t>
            </w:r>
            <w:r>
              <w:rPr>
                <w:rFonts w:hint="eastAsia" w:ascii="宋体" w:hAnsi="宋体" w:eastAsia="宋体" w:cs="宋体"/>
                <w:b w:val="0"/>
                <w:bCs w:val="0"/>
                <w:color w:val="auto"/>
                <w:szCs w:val="21"/>
                <w:highlight w:val="none"/>
              </w:rPr>
              <w:t>有效，如出现逾期，中标人需及时办理续保手续，否则按 1000 元/天收取违约金。若合同履约违约金无法从金融机构、保险公司、担保机构出具单位理赔的，采购人有权从合同款中直接扣除，不足支付时，采购人有权向中标人追缴。</w:t>
            </w:r>
          </w:p>
          <w:p w14:paraId="39EDE75E">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0C6D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793000F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54" w:type="dxa"/>
            <w:tcBorders>
              <w:tl2br w:val="nil"/>
              <w:tr2bl w:val="nil"/>
            </w:tcBorders>
            <w:vAlign w:val="center"/>
          </w:tcPr>
          <w:p w14:paraId="352441F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TW"/>
              </w:rPr>
              <w:t>分包</w:t>
            </w:r>
          </w:p>
        </w:tc>
        <w:tc>
          <w:tcPr>
            <w:tcW w:w="6764" w:type="dxa"/>
            <w:tcBorders>
              <w:tl2br w:val="nil"/>
              <w:tr2bl w:val="nil"/>
            </w:tcBorders>
            <w:vAlign w:val="center"/>
          </w:tcPr>
          <w:p w14:paraId="05974B9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kern w:val="0"/>
                <w:szCs w:val="21"/>
                <w:highlight w:val="none"/>
              </w:rPr>
              <w:t>A</w:t>
            </w:r>
            <w:r>
              <w:rPr>
                <w:rFonts w:hint="eastAsia" w:ascii="宋体" w:hAnsi="宋体" w:eastAsia="宋体" w:cs="宋体"/>
                <w:b/>
                <w:bCs/>
                <w:color w:val="auto"/>
                <w:szCs w:val="21"/>
                <w:highlight w:val="none"/>
              </w:rPr>
              <w:t>同意将非主体、非关键性的工作分包，如有资质要求的，须符合相关规定，并在事前须得到采购人同意。</w:t>
            </w:r>
          </w:p>
          <w:p w14:paraId="0A486FE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lang w:eastAsia="zh-CN"/>
              </w:rPr>
            </w:pPr>
            <w:r>
              <w:rPr>
                <w:rFonts w:hint="eastAsia" w:ascii="宋体" w:hAnsi="宋体" w:eastAsia="宋体" w:cs="宋体"/>
                <w:b w:val="0"/>
                <w:bCs w:val="0"/>
                <w:color w:val="auto"/>
                <w:kern w:val="0"/>
                <w:szCs w:val="21"/>
                <w:highlight w:val="none"/>
              </w:rPr>
              <w:sym w:font="Wingdings" w:char="00A8"/>
            </w:r>
            <w:r>
              <w:rPr>
                <w:rFonts w:hint="eastAsia" w:ascii="宋体" w:hAnsi="宋体" w:eastAsia="宋体" w:cs="宋体"/>
                <w:b w:val="0"/>
                <w:bCs w:val="0"/>
                <w:color w:val="auto"/>
                <w:kern w:val="0"/>
                <w:szCs w:val="21"/>
                <w:highlight w:val="none"/>
              </w:rPr>
              <w:t>B</w:t>
            </w:r>
            <w:r>
              <w:rPr>
                <w:rFonts w:hint="eastAsia" w:ascii="宋体" w:hAnsi="宋体" w:eastAsia="宋体" w:cs="宋体"/>
                <w:b w:val="0"/>
                <w:bCs w:val="0"/>
                <w:color w:val="auto"/>
                <w:szCs w:val="21"/>
                <w:highlight w:val="none"/>
              </w:rPr>
              <w:t>不同意分包。</w:t>
            </w:r>
          </w:p>
        </w:tc>
      </w:tr>
      <w:tr w14:paraId="4821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vMerge w:val="restart"/>
            <w:tcBorders>
              <w:tl2br w:val="nil"/>
              <w:tr2bl w:val="nil"/>
            </w:tcBorders>
            <w:vAlign w:val="center"/>
          </w:tcPr>
          <w:p w14:paraId="55580CA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54" w:type="dxa"/>
            <w:vMerge w:val="restart"/>
            <w:tcBorders>
              <w:tl2br w:val="nil"/>
              <w:tr2bl w:val="nil"/>
            </w:tcBorders>
            <w:vAlign w:val="center"/>
          </w:tcPr>
          <w:p w14:paraId="4C9FA21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投标文件的上传和递交</w:t>
            </w:r>
          </w:p>
        </w:tc>
        <w:tc>
          <w:tcPr>
            <w:tcW w:w="6764" w:type="dxa"/>
            <w:tcBorders>
              <w:tl2br w:val="nil"/>
              <w:tr2bl w:val="nil"/>
            </w:tcBorders>
            <w:vAlign w:val="center"/>
          </w:tcPr>
          <w:p w14:paraId="6BE107D8">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电子加密投标文件的上传、递交：</w:t>
            </w:r>
          </w:p>
          <w:p w14:paraId="4BCA3A1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a.投标人应在投标截止时间前将“电子加密投标文件”</w:t>
            </w:r>
            <w:r>
              <w:rPr>
                <w:rFonts w:hint="eastAsia" w:ascii="宋体" w:hAnsi="宋体" w:eastAsia="宋体" w:cs="宋体"/>
                <w:color w:val="auto"/>
                <w:szCs w:val="21"/>
                <w:highlight w:val="none"/>
              </w:rPr>
              <w:t>（后缀格式为.jmbs）</w:t>
            </w:r>
            <w:r>
              <w:rPr>
                <w:rFonts w:hint="eastAsia" w:ascii="宋体" w:hAnsi="宋体" w:eastAsia="宋体" w:cs="宋体"/>
                <w:color w:val="auto"/>
                <w:szCs w:val="21"/>
                <w:highlight w:val="none"/>
              </w:rPr>
              <w:t>成功上传递交至“政府采购云平台”，否则投标无效。</w:t>
            </w:r>
          </w:p>
          <w:p w14:paraId="287F4CBA">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b.投标文件递交的截止时间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详见采购公告</w:t>
            </w:r>
            <w:r>
              <w:rPr>
                <w:rFonts w:hint="eastAsia" w:ascii="宋体" w:hAnsi="宋体" w:eastAsia="宋体" w:cs="宋体"/>
                <w:color w:val="auto"/>
                <w:szCs w:val="21"/>
                <w:highlight w:val="none"/>
              </w:rPr>
              <w:t>。</w:t>
            </w:r>
          </w:p>
          <w:p w14:paraId="1DDA886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c.电子加密投标文件成功上传递交后，投标人可自行打印投标文件接收回执。</w:t>
            </w:r>
          </w:p>
        </w:tc>
      </w:tr>
      <w:tr w14:paraId="3986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vMerge w:val="continue"/>
            <w:tcBorders>
              <w:tl2br w:val="nil"/>
              <w:tr2bl w:val="nil"/>
            </w:tcBorders>
            <w:vAlign w:val="center"/>
          </w:tcPr>
          <w:p w14:paraId="2DBF2E4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254" w:type="dxa"/>
            <w:vMerge w:val="continue"/>
            <w:tcBorders>
              <w:tl2br w:val="nil"/>
              <w:tr2bl w:val="nil"/>
            </w:tcBorders>
            <w:vAlign w:val="center"/>
          </w:tcPr>
          <w:p w14:paraId="3D3C618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p>
        </w:tc>
        <w:tc>
          <w:tcPr>
            <w:tcW w:w="6764" w:type="dxa"/>
            <w:tcBorders>
              <w:tl2br w:val="nil"/>
              <w:tr2bl w:val="nil"/>
            </w:tcBorders>
            <w:vAlign w:val="center"/>
          </w:tcPr>
          <w:p w14:paraId="6B6FFCF3">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电子备份投标文件的递交：</w:t>
            </w:r>
            <w:r>
              <w:rPr>
                <w:rFonts w:hint="eastAsia" w:ascii="宋体" w:hAnsi="宋体" w:eastAsia="宋体" w:cs="宋体"/>
                <w:color w:val="auto"/>
                <w:szCs w:val="21"/>
                <w:highlight w:val="none"/>
              </w:rPr>
              <w:t>投标人如需要递交备份投标文件（后缀格式为.bfbs）的，请将</w:t>
            </w:r>
            <w:r>
              <w:rPr>
                <w:rFonts w:hint="eastAsia" w:ascii="宋体" w:hAnsi="宋体" w:eastAsia="宋体" w:cs="宋体"/>
                <w:b/>
                <w:bCs/>
                <w:color w:val="auto"/>
                <w:szCs w:val="21"/>
                <w:highlight w:val="none"/>
              </w:rPr>
              <w:t>u盘或DVD光盘形式</w:t>
            </w:r>
            <w:r>
              <w:rPr>
                <w:rFonts w:hint="eastAsia" w:ascii="宋体" w:hAnsi="宋体" w:eastAsia="宋体" w:cs="宋体"/>
                <w:color w:val="auto"/>
                <w:szCs w:val="21"/>
                <w:highlight w:val="none"/>
              </w:rPr>
              <w:t>的备份投标文件</w:t>
            </w:r>
            <w:r>
              <w:rPr>
                <w:rFonts w:hint="eastAsia" w:ascii="宋体" w:hAnsi="宋体" w:eastAsia="宋体" w:cs="宋体"/>
                <w:color w:val="auto"/>
                <w:szCs w:val="21"/>
                <w:highlight w:val="none"/>
                <w:lang w:eastAsia="zh-CN"/>
              </w:rPr>
              <w:t>通过快递形式或现场送达形式送达采购代理机构处，以便标书解密异常时应急使用</w:t>
            </w:r>
            <w:r>
              <w:rPr>
                <w:rFonts w:hint="eastAsia" w:ascii="宋体" w:hAnsi="宋体" w:eastAsia="宋体" w:cs="宋体"/>
                <w:color w:val="auto"/>
                <w:szCs w:val="21"/>
                <w:highlight w:val="none"/>
              </w:rPr>
              <w:t>。</w:t>
            </w:r>
          </w:p>
          <w:p w14:paraId="55FD37B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w:t>
            </w:r>
            <w:r>
              <w:rPr>
                <w:rFonts w:hint="eastAsia" w:ascii="宋体" w:hAnsi="宋体" w:eastAsia="宋体" w:cs="宋体"/>
                <w:color w:val="auto"/>
                <w:szCs w:val="21"/>
                <w:highlight w:val="none"/>
              </w:rPr>
              <w:t>/送达</w:t>
            </w: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浙江省金华市浦江县西山北路169号二楼（浙江华杰工程咨询有限公司浦江分公司招标代理部）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王先生</w:t>
            </w:r>
            <w:r>
              <w:rPr>
                <w:rFonts w:hint="eastAsia" w:ascii="宋体" w:hAnsi="宋体" w:eastAsia="宋体" w:cs="宋体"/>
                <w:color w:val="auto"/>
                <w:szCs w:val="21"/>
                <w:highlight w:val="none"/>
              </w:rPr>
              <w:t>收，联系方式：</w:t>
            </w:r>
            <w:r>
              <w:rPr>
                <w:rFonts w:hint="eastAsia" w:ascii="宋体" w:hAnsi="宋体" w:eastAsia="宋体" w:cs="宋体"/>
                <w:color w:val="auto"/>
                <w:szCs w:val="21"/>
                <w:highlight w:val="none"/>
                <w:lang w:val="en-US" w:eastAsia="zh-CN"/>
              </w:rPr>
              <w:t>15657991354</w:t>
            </w:r>
            <w:r>
              <w:rPr>
                <w:rFonts w:hint="eastAsia" w:ascii="宋体" w:hAnsi="宋体" w:eastAsia="宋体" w:cs="宋体"/>
                <w:color w:val="auto"/>
                <w:szCs w:val="21"/>
                <w:highlight w:val="none"/>
              </w:rPr>
              <w:t>，邮编：32220</w:t>
            </w:r>
            <w:r>
              <w:rPr>
                <w:rFonts w:hint="eastAsia" w:ascii="宋体" w:hAnsi="宋体" w:eastAsia="宋体" w:cs="宋体"/>
                <w:color w:val="auto"/>
                <w:szCs w:val="21"/>
                <w:highlight w:val="none"/>
              </w:rPr>
              <w:t>0，逾期送达、未按指定地点送达或未密封将予以拒收。</w:t>
            </w:r>
          </w:p>
          <w:p w14:paraId="211D3A6F">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截止签收时间：</w:t>
            </w:r>
            <w:r>
              <w:rPr>
                <w:rFonts w:hint="eastAsia" w:ascii="宋体" w:hAnsi="宋体" w:eastAsia="宋体" w:cs="宋体"/>
                <w:color w:val="auto"/>
                <w:szCs w:val="21"/>
                <w:highlight w:val="none"/>
              </w:rPr>
              <w:t>同投标文件递交的截止时间。</w:t>
            </w:r>
          </w:p>
          <w:p w14:paraId="5BF71322">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电子备份投标文件的密封</w:t>
            </w:r>
            <w:r>
              <w:rPr>
                <w:rFonts w:hint="eastAsia" w:ascii="宋体" w:hAnsi="宋体" w:eastAsia="宋体" w:cs="宋体"/>
                <w:b/>
                <w:bCs/>
                <w:color w:val="auto"/>
                <w:szCs w:val="21"/>
                <w:highlight w:val="none"/>
                <w:lang w:eastAsia="zh-CN"/>
              </w:rPr>
              <w:t>要求如下</w:t>
            </w:r>
            <w:r>
              <w:rPr>
                <w:rFonts w:hint="eastAsia" w:ascii="宋体" w:hAnsi="宋体" w:eastAsia="宋体" w:cs="宋体"/>
                <w:b/>
                <w:bCs/>
                <w:color w:val="auto"/>
                <w:szCs w:val="21"/>
                <w:highlight w:val="none"/>
              </w:rPr>
              <w:t>：</w:t>
            </w:r>
          </w:p>
          <w:p w14:paraId="28C90171">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内层封套写明：</w:t>
            </w:r>
            <w:r>
              <w:rPr>
                <w:rFonts w:hint="eastAsia" w:ascii="宋体" w:hAnsi="宋体" w:eastAsia="宋体" w:cs="宋体"/>
                <w:b w:val="0"/>
                <w:bCs w:val="0"/>
                <w:color w:val="auto"/>
                <w:szCs w:val="21"/>
                <w:highlight w:val="none"/>
              </w:rPr>
              <w:t>项目名称、项目编号</w:t>
            </w:r>
            <w:r>
              <w:rPr>
                <w:rFonts w:hint="eastAsia" w:ascii="宋体" w:hAnsi="宋体" w:eastAsia="宋体" w:cs="宋体"/>
                <w:b w:val="0"/>
                <w:bCs w:val="0"/>
                <w:color w:val="auto"/>
                <w:szCs w:val="21"/>
                <w:highlight w:val="none"/>
              </w:rPr>
              <w:t>、备份电子投标文件</w:t>
            </w:r>
            <w:r>
              <w:rPr>
                <w:rFonts w:hint="eastAsia" w:ascii="宋体" w:hAnsi="宋体" w:eastAsia="宋体" w:cs="宋体"/>
                <w:b w:val="0"/>
                <w:bCs w:val="0"/>
                <w:color w:val="auto"/>
                <w:szCs w:val="21"/>
                <w:highlight w:val="none"/>
              </w:rPr>
              <w:t>、投标人名称（盖章）、开标时间；</w:t>
            </w:r>
          </w:p>
          <w:p w14:paraId="63C29987">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0"/>
                <w:highlight w:val="none"/>
              </w:rPr>
            </w:pPr>
            <w:r>
              <w:rPr>
                <w:rFonts w:hint="eastAsia" w:ascii="宋体" w:hAnsi="宋体" w:eastAsia="宋体" w:cs="宋体"/>
                <w:b/>
                <w:bCs/>
                <w:color w:val="auto"/>
                <w:szCs w:val="21"/>
                <w:highlight w:val="none"/>
              </w:rPr>
              <w:t>外层封套写明：</w:t>
            </w:r>
            <w:r>
              <w:rPr>
                <w:rFonts w:hint="eastAsia" w:ascii="宋体" w:hAnsi="宋体" w:eastAsia="宋体" w:cs="宋体"/>
                <w:b w:val="0"/>
                <w:bCs w:val="0"/>
                <w:color w:val="auto"/>
                <w:szCs w:val="21"/>
                <w:highlight w:val="none"/>
              </w:rPr>
              <w:t>项目名称、项目编号</w:t>
            </w:r>
            <w:r>
              <w:rPr>
                <w:rFonts w:hint="eastAsia" w:ascii="宋体" w:hAnsi="宋体" w:eastAsia="宋体" w:cs="宋体"/>
                <w:b w:val="0"/>
                <w:bCs w:val="0"/>
                <w:color w:val="auto"/>
                <w:szCs w:val="21"/>
                <w:highlight w:val="none"/>
              </w:rPr>
              <w:t>、备份电子投标文件</w:t>
            </w:r>
            <w:r>
              <w:rPr>
                <w:rFonts w:hint="eastAsia" w:ascii="宋体" w:hAnsi="宋体" w:eastAsia="宋体" w:cs="宋体"/>
                <w:b w:val="0"/>
                <w:bCs w:val="0"/>
                <w:color w:val="auto"/>
                <w:szCs w:val="21"/>
                <w:highlight w:val="none"/>
              </w:rPr>
              <w:t>、开标时间；</w:t>
            </w:r>
            <w:r>
              <w:rPr>
                <w:rFonts w:hint="eastAsia" w:ascii="宋体" w:hAnsi="宋体" w:eastAsia="宋体" w:cs="宋体"/>
                <w:b/>
                <w:bCs/>
                <w:color w:val="auto"/>
                <w:szCs w:val="21"/>
                <w:highlight w:val="none"/>
                <w:lang w:eastAsia="zh-CN"/>
              </w:rPr>
              <w:t>注：</w:t>
            </w:r>
            <w:r>
              <w:rPr>
                <w:rFonts w:hint="eastAsia" w:ascii="宋体" w:hAnsi="宋体" w:eastAsia="宋体" w:cs="宋体"/>
                <w:b w:val="0"/>
                <w:bCs w:val="0"/>
                <w:color w:val="auto"/>
                <w:szCs w:val="21"/>
                <w:highlight w:val="none"/>
              </w:rPr>
              <w:t>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不符合上述制作、存储、密封规定的备份投标文件将被视为无效或者被拒绝接收。未按要求密封和标注的电子备份投标文件，被遗漏、误拆是投标人的责任。</w:t>
            </w:r>
          </w:p>
        </w:tc>
      </w:tr>
      <w:tr w14:paraId="696B4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75" w:type="dxa"/>
            <w:tcBorders>
              <w:tl2br w:val="nil"/>
              <w:tr2bl w:val="nil"/>
            </w:tcBorders>
            <w:vAlign w:val="center"/>
          </w:tcPr>
          <w:p w14:paraId="23051A4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54" w:type="dxa"/>
            <w:tcBorders>
              <w:tl2br w:val="nil"/>
              <w:tr2bl w:val="nil"/>
            </w:tcBorders>
            <w:vAlign w:val="center"/>
          </w:tcPr>
          <w:p w14:paraId="0056B41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投标文件开启</w:t>
            </w:r>
          </w:p>
        </w:tc>
        <w:tc>
          <w:tcPr>
            <w:tcW w:w="6764" w:type="dxa"/>
            <w:tcBorders>
              <w:tl2br w:val="nil"/>
              <w:tr2bl w:val="nil"/>
            </w:tcBorders>
            <w:vAlign w:val="center"/>
          </w:tcPr>
          <w:p w14:paraId="19DC7410">
            <w:pPr>
              <w:keepNext w:val="0"/>
              <w:keepLines w:val="0"/>
              <w:pageBreakBefore w:val="0"/>
              <w:widowControl/>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时间：</w:t>
            </w:r>
            <w:r>
              <w:rPr>
                <w:rFonts w:hint="eastAsia" w:ascii="宋体" w:hAnsi="宋体" w:eastAsia="宋体" w:cs="宋体"/>
                <w:b w:val="0"/>
                <w:bCs w:val="0"/>
                <w:color w:val="auto"/>
                <w:szCs w:val="21"/>
                <w:highlight w:val="none"/>
                <w:lang w:eastAsia="zh-CN"/>
              </w:rPr>
              <w:t>同开标时间</w:t>
            </w:r>
            <w:r>
              <w:rPr>
                <w:rFonts w:hint="eastAsia" w:ascii="宋体" w:hAnsi="宋体" w:eastAsia="宋体" w:cs="宋体"/>
                <w:b/>
                <w:bCs/>
                <w:color w:val="auto"/>
                <w:szCs w:val="21"/>
                <w:highlight w:val="none"/>
              </w:rPr>
              <w:t>。</w:t>
            </w:r>
          </w:p>
          <w:p w14:paraId="33A08E4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地点：</w:t>
            </w:r>
            <w:r>
              <w:rPr>
                <w:rFonts w:hint="eastAsia" w:ascii="宋体" w:hAnsi="宋体" w:eastAsia="宋体" w:cs="宋体"/>
                <w:b w:val="0"/>
                <w:bCs w:val="0"/>
                <w:color w:val="auto"/>
                <w:szCs w:val="21"/>
                <w:highlight w:val="none"/>
                <w:lang w:eastAsia="zh-CN"/>
              </w:rPr>
              <w:t>同</w:t>
            </w:r>
            <w:r>
              <w:rPr>
                <w:rFonts w:hint="eastAsia" w:ascii="宋体" w:hAnsi="宋体" w:eastAsia="宋体" w:cs="宋体"/>
                <w:color w:val="auto"/>
                <w:szCs w:val="21"/>
                <w:highlight w:val="none"/>
              </w:rPr>
              <w:t>投标地点（网址）</w:t>
            </w:r>
            <w:r>
              <w:rPr>
                <w:rFonts w:hint="eastAsia" w:ascii="宋体" w:hAnsi="宋体" w:eastAsia="宋体" w:cs="宋体"/>
                <w:color w:val="auto"/>
                <w:szCs w:val="21"/>
                <w:highlight w:val="none"/>
              </w:rPr>
              <w:t>。</w:t>
            </w:r>
          </w:p>
        </w:tc>
      </w:tr>
      <w:tr w14:paraId="6D90E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5" w:type="dxa"/>
            <w:tcBorders>
              <w:tl2br w:val="nil"/>
              <w:tr2bl w:val="nil"/>
            </w:tcBorders>
            <w:vAlign w:val="center"/>
          </w:tcPr>
          <w:p w14:paraId="621DFF1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54" w:type="dxa"/>
            <w:tcBorders>
              <w:tl2br w:val="nil"/>
              <w:tr2bl w:val="nil"/>
            </w:tcBorders>
            <w:vAlign w:val="center"/>
          </w:tcPr>
          <w:p w14:paraId="44B474D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解密时间</w:t>
            </w:r>
          </w:p>
        </w:tc>
        <w:tc>
          <w:tcPr>
            <w:tcW w:w="6764" w:type="dxa"/>
            <w:tcBorders>
              <w:tl2br w:val="nil"/>
              <w:tr2bl w:val="nil"/>
            </w:tcBorders>
            <w:vAlign w:val="center"/>
          </w:tcPr>
          <w:p w14:paraId="2F9902A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投标文件开启后30分钟内</w:t>
            </w:r>
            <w:r>
              <w:rPr>
                <w:rFonts w:hint="eastAsia" w:ascii="宋体" w:hAnsi="宋体" w:eastAsia="宋体" w:cs="宋体"/>
                <w:b/>
                <w:bCs/>
                <w:color w:val="auto"/>
                <w:szCs w:val="21"/>
                <w:highlight w:val="none"/>
              </w:rPr>
              <w:t>。（以电子交易平台设定时间为准）</w:t>
            </w:r>
          </w:p>
          <w:p w14:paraId="64692EEA">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lang w:val="en-US" w:eastAsia="zh-CN" w:bidi="ar-SA"/>
              </w:rPr>
              <w:t>注：</w:t>
            </w: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解密完成的时间根据投标人的网速、硬件环境、投标文件的大小而不同，开标后请投标人尽量提前启动解密，否则将可能未按时解密。</w:t>
            </w:r>
          </w:p>
          <w:p w14:paraId="40365E9A">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0"/>
                <w:highlight w:val="none"/>
                <w:lang w:eastAsia="zh-CN"/>
              </w:rPr>
            </w:pPr>
            <w:r>
              <w:rPr>
                <w:rFonts w:hint="eastAsia" w:ascii="宋体" w:hAnsi="宋体" w:eastAsia="宋体" w:cs="宋体"/>
                <w:color w:val="auto"/>
                <w:szCs w:val="21"/>
                <w:highlight w:val="none"/>
              </w:rPr>
              <w:t>②投标文件的制作和解密应使用同一个CA，否则将可能解密失败。</w:t>
            </w:r>
          </w:p>
        </w:tc>
      </w:tr>
      <w:tr w14:paraId="3141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1247F09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54" w:type="dxa"/>
            <w:tcBorders>
              <w:tl2br w:val="nil"/>
              <w:tr2bl w:val="nil"/>
            </w:tcBorders>
            <w:vAlign w:val="center"/>
          </w:tcPr>
          <w:p w14:paraId="304F2B1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解密失败的异常处理</w:t>
            </w:r>
          </w:p>
        </w:tc>
        <w:tc>
          <w:tcPr>
            <w:tcW w:w="6764" w:type="dxa"/>
            <w:tcBorders>
              <w:tl2br w:val="nil"/>
              <w:tr2bl w:val="nil"/>
            </w:tcBorders>
            <w:vAlign w:val="center"/>
          </w:tcPr>
          <w:p w14:paraId="40E4E69F">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通过“政府采购云平台”成功上传递交的“电子加密投标文件”无法按时解密的，投标人如按规定递交了“备份投标文件”的，以“备份投标文件”为依据（由采购组织机构按“政府采购云平台”操作规范将“备份投标文件”上传至“政府采购云平台”，上传成功后，“电子加密投标文件”自动失效），否则视为投标文件撤回</w:t>
            </w:r>
            <w:r>
              <w:rPr>
                <w:rFonts w:hint="eastAsia" w:ascii="宋体" w:hAnsi="宋体" w:eastAsia="宋体" w:cs="宋体"/>
                <w:color w:val="auto"/>
                <w:szCs w:val="21"/>
                <w:highlight w:val="none"/>
              </w:rPr>
              <w:t>。投标文件已按时解密的，备份投标文件自动失效。</w:t>
            </w:r>
          </w:p>
          <w:p w14:paraId="75F74D5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②投标截止时间前，投标人仅递交了“备份投标文件”而未将“电子加密投标文件”成功上传至“政府采购云平台”的，视为投标无效</w:t>
            </w:r>
            <w:r>
              <w:rPr>
                <w:rFonts w:hint="eastAsia" w:ascii="宋体" w:hAnsi="宋体" w:eastAsia="宋体" w:cs="宋体"/>
                <w:color w:val="auto"/>
                <w:szCs w:val="21"/>
                <w:highlight w:val="none"/>
              </w:rPr>
              <w:t>。</w:t>
            </w:r>
          </w:p>
          <w:p w14:paraId="4F6DD24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0"/>
                <w:highlight w:val="none"/>
              </w:rPr>
            </w:pPr>
            <w:r>
              <w:rPr>
                <w:rFonts w:hint="eastAsia" w:ascii="宋体" w:hAnsi="宋体" w:eastAsia="宋体" w:cs="宋体"/>
                <w:b/>
                <w:bCs/>
                <w:color w:val="auto"/>
                <w:kern w:val="2"/>
                <w:sz w:val="21"/>
                <w:szCs w:val="21"/>
                <w:highlight w:val="none"/>
                <w:lang w:val="en-US" w:eastAsia="zh-CN" w:bidi="ar-SA"/>
              </w:rPr>
              <w:t>注：因备份投标文件无法正常打开或正常显示等所引起的一切后果，由投标人自行承担。</w:t>
            </w:r>
          </w:p>
        </w:tc>
      </w:tr>
      <w:tr w14:paraId="689EF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39D46A6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54" w:type="dxa"/>
            <w:tcBorders>
              <w:tl2br w:val="nil"/>
              <w:tr2bl w:val="nil"/>
            </w:tcBorders>
            <w:vAlign w:val="center"/>
          </w:tcPr>
          <w:p w14:paraId="4478B69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活动现场确认声明</w:t>
            </w:r>
          </w:p>
        </w:tc>
        <w:tc>
          <w:tcPr>
            <w:tcW w:w="6764" w:type="dxa"/>
            <w:tcBorders>
              <w:tl2br w:val="nil"/>
              <w:tr2bl w:val="nil"/>
            </w:tcBorders>
            <w:vAlign w:val="center"/>
          </w:tcPr>
          <w:p w14:paraId="1B7273D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结束解密后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供应商通过邮件形式将经授权代表签署的《政府采购活动现场确认声明书》扫描件发至代理机构经办人邮箱（943427861@qq.com）</w:t>
            </w:r>
            <w:r>
              <w:rPr>
                <w:rFonts w:hint="eastAsia" w:ascii="宋体" w:hAnsi="宋体" w:eastAsia="宋体" w:cs="宋体"/>
                <w:color w:val="auto"/>
                <w:szCs w:val="21"/>
                <w:highlight w:val="none"/>
              </w:rPr>
              <w:t>（格式见附件），联系人：</w:t>
            </w:r>
            <w:r>
              <w:rPr>
                <w:rFonts w:hint="eastAsia" w:ascii="宋体" w:hAnsi="宋体" w:eastAsia="宋体" w:cs="宋体"/>
                <w:color w:val="auto"/>
                <w:szCs w:val="21"/>
                <w:highlight w:val="none"/>
                <w:lang w:eastAsia="zh-CN"/>
              </w:rPr>
              <w:t>周</w:t>
            </w:r>
            <w:r>
              <w:rPr>
                <w:rFonts w:hint="eastAsia" w:ascii="宋体" w:hAnsi="宋体" w:eastAsia="宋体" w:cs="宋体"/>
                <w:color w:val="auto"/>
                <w:szCs w:val="21"/>
                <w:highlight w:val="none"/>
              </w:rPr>
              <w:t>女士</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13606798350</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未按规定发送的，视为无异议，后果由投标人承担。</w:t>
            </w:r>
          </w:p>
        </w:tc>
      </w:tr>
      <w:tr w14:paraId="388B9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75" w:type="dxa"/>
            <w:tcBorders>
              <w:tl2br w:val="nil"/>
              <w:tr2bl w:val="nil"/>
            </w:tcBorders>
            <w:vAlign w:val="center"/>
          </w:tcPr>
          <w:p w14:paraId="50F6FE0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54" w:type="dxa"/>
            <w:tcBorders>
              <w:tl2br w:val="nil"/>
              <w:tr2bl w:val="nil"/>
            </w:tcBorders>
            <w:vAlign w:val="center"/>
          </w:tcPr>
          <w:p w14:paraId="11034C7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采购标的对应的中小企业划分标准所属行业</w:t>
            </w:r>
          </w:p>
        </w:tc>
        <w:tc>
          <w:tcPr>
            <w:tcW w:w="6764" w:type="dxa"/>
            <w:tcBorders>
              <w:tl2br w:val="nil"/>
              <w:tr2bl w:val="nil"/>
            </w:tcBorders>
            <w:vAlign w:val="center"/>
          </w:tcPr>
          <w:p w14:paraId="65AFBBF0">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1.</w:t>
            </w:r>
            <w:r>
              <w:rPr>
                <w:rFonts w:hint="eastAsia" w:ascii="宋体" w:hAnsi="宋体" w:eastAsia="宋体" w:cs="宋体"/>
                <w:bCs/>
                <w:snapToGrid w:val="0"/>
                <w:color w:val="auto"/>
                <w:kern w:val="0"/>
                <w:szCs w:val="21"/>
                <w:highlight w:val="none"/>
              </w:rPr>
              <w:t>本项目</w:t>
            </w:r>
            <w:r>
              <w:rPr>
                <w:rFonts w:hint="eastAsia" w:ascii="宋体" w:hAnsi="宋体" w:eastAsia="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lang w:eastAsia="zh-CN"/>
              </w:rPr>
              <w:t>否</w:t>
            </w:r>
            <w:r>
              <w:rPr>
                <w:rFonts w:hint="eastAsia" w:ascii="宋体" w:hAnsi="宋体" w:eastAsia="宋体" w:cs="宋体"/>
                <w:b/>
                <w:snapToGrid w:val="0"/>
                <w:color w:val="auto"/>
                <w:kern w:val="0"/>
                <w:szCs w:val="21"/>
                <w:highlight w:val="none"/>
                <w:u w:val="single"/>
              </w:rPr>
              <w:t xml:space="preserve"> </w:t>
            </w:r>
            <w:r>
              <w:rPr>
                <w:rFonts w:hint="eastAsia" w:ascii="宋体" w:hAnsi="宋体" w:eastAsia="宋体" w:cs="宋体"/>
                <w:b w:val="0"/>
                <w:bCs/>
                <w:snapToGrid w:val="0"/>
                <w:color w:val="auto"/>
                <w:kern w:val="0"/>
                <w:szCs w:val="21"/>
                <w:highlight w:val="none"/>
                <w:u w:val="none"/>
              </w:rPr>
              <w:t>（是/否）属于</w:t>
            </w:r>
            <w:r>
              <w:rPr>
                <w:rFonts w:hint="eastAsia" w:ascii="宋体" w:hAnsi="宋体" w:eastAsia="宋体" w:cs="宋体"/>
                <w:bCs/>
                <w:snapToGrid w:val="0"/>
                <w:color w:val="auto"/>
                <w:kern w:val="0"/>
                <w:szCs w:val="21"/>
                <w:highlight w:val="none"/>
              </w:rPr>
              <w:t>预留份额专门面向中小企业采购的项目。</w:t>
            </w:r>
          </w:p>
          <w:p w14:paraId="32B938B4">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2.</w:t>
            </w:r>
            <w:r>
              <w:rPr>
                <w:rFonts w:hint="eastAsia" w:ascii="宋体" w:hAnsi="宋体" w:eastAsia="宋体" w:cs="宋体"/>
                <w:bCs/>
                <w:snapToGrid w:val="0"/>
                <w:color w:val="auto"/>
                <w:kern w:val="0"/>
                <w:szCs w:val="21"/>
                <w:highlight w:val="none"/>
              </w:rPr>
              <w:t>上述第</w:t>
            </w:r>
            <w:r>
              <w:rPr>
                <w:rFonts w:hint="eastAsia" w:ascii="宋体" w:hAnsi="宋体" w:eastAsia="宋体" w:cs="宋体"/>
                <w:bCs/>
                <w:snapToGrid w:val="0"/>
                <w:color w:val="auto"/>
                <w:kern w:val="0"/>
                <w:szCs w:val="21"/>
                <w:highlight w:val="none"/>
                <w:lang w:val="en-US" w:eastAsia="zh-CN"/>
              </w:rPr>
              <w:t>1</w:t>
            </w:r>
            <w:r>
              <w:rPr>
                <w:rFonts w:hint="eastAsia" w:ascii="宋体" w:hAnsi="宋体" w:eastAsia="宋体" w:cs="宋体"/>
                <w:bCs/>
                <w:snapToGrid w:val="0"/>
                <w:color w:val="auto"/>
                <w:kern w:val="0"/>
                <w:szCs w:val="21"/>
                <w:highlight w:val="none"/>
              </w:rPr>
              <w:t>项中确定为“是”的采购项目，预留份额通过（①）措施进行：</w:t>
            </w:r>
          </w:p>
          <w:p w14:paraId="008A11DF">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①将采购项目整体或者设置采购包专门面向</w:t>
            </w:r>
            <w:r>
              <w:rPr>
                <w:rFonts w:hint="eastAsia" w:ascii="宋体" w:hAnsi="宋体" w:eastAsia="宋体" w:cs="宋体"/>
                <w:bCs/>
                <w:snapToGrid w:val="0"/>
                <w:color w:val="auto"/>
                <w:kern w:val="0"/>
                <w:szCs w:val="21"/>
                <w:highlight w:val="none"/>
                <w:lang w:val="en-US" w:eastAsia="zh-CN"/>
              </w:rPr>
              <w:t>中小</w:t>
            </w:r>
            <w:r>
              <w:rPr>
                <w:rFonts w:hint="eastAsia" w:ascii="宋体" w:hAnsi="宋体" w:eastAsia="宋体" w:cs="宋体"/>
                <w:bCs/>
                <w:snapToGrid w:val="0"/>
                <w:color w:val="auto"/>
                <w:kern w:val="0"/>
                <w:szCs w:val="21"/>
                <w:highlight w:val="none"/>
              </w:rPr>
              <w:t xml:space="preserve">企业采购； </w:t>
            </w:r>
          </w:p>
          <w:p w14:paraId="31C0DBB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②要求供应商以联合体形式参加采购活动，且联合体中中小企业承担的部分达到</w:t>
            </w:r>
            <w:r>
              <w:rPr>
                <w:rFonts w:hint="eastAsia" w:ascii="宋体" w:hAnsi="宋体" w:eastAsia="宋体" w:cs="宋体"/>
                <w:bCs/>
                <w:snapToGrid w:val="0"/>
                <w:color w:val="auto"/>
                <w:kern w:val="0"/>
                <w:szCs w:val="21"/>
                <w:highlight w:val="none"/>
                <w:u w:val="single"/>
              </w:rPr>
              <w:t> / </w:t>
            </w:r>
            <w:r>
              <w:rPr>
                <w:rFonts w:hint="eastAsia" w:ascii="宋体" w:hAnsi="宋体" w:eastAsia="宋体" w:cs="宋体"/>
                <w:bCs/>
                <w:snapToGrid w:val="0"/>
                <w:color w:val="auto"/>
                <w:kern w:val="0"/>
                <w:szCs w:val="21"/>
                <w:highlight w:val="none"/>
              </w:rPr>
              <w:t xml:space="preserve">(比例)； </w:t>
            </w:r>
          </w:p>
          <w:p w14:paraId="690033AF">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rPr>
                <w:rFonts w:hint="eastAsia" w:ascii="宋体" w:hAnsi="宋体" w:eastAsia="宋体" w:cs="宋体"/>
                <w:bCs/>
                <w:snapToGrid w:val="0"/>
                <w:color w:val="auto"/>
                <w:kern w:val="0"/>
                <w:szCs w:val="21"/>
                <w:highlight w:val="none"/>
                <w:lang w:eastAsia="zh-CN"/>
              </w:rPr>
            </w:pPr>
            <w:r>
              <w:rPr>
                <w:rFonts w:hint="eastAsia" w:ascii="宋体" w:hAnsi="宋体" w:eastAsia="宋体" w:cs="宋体"/>
                <w:bCs/>
                <w:snapToGrid w:val="0"/>
                <w:color w:val="auto"/>
                <w:kern w:val="0"/>
                <w:szCs w:val="21"/>
                <w:highlight w:val="none"/>
              </w:rPr>
              <w:t>③要求获得采购合同的供应商将采购项目中的</w:t>
            </w:r>
            <w:r>
              <w:rPr>
                <w:rFonts w:hint="eastAsia" w:ascii="宋体" w:hAnsi="宋体" w:eastAsia="宋体" w:cs="宋体"/>
                <w:bCs/>
                <w:snapToGrid w:val="0"/>
                <w:color w:val="auto"/>
                <w:kern w:val="0"/>
                <w:szCs w:val="21"/>
                <w:highlight w:val="none"/>
                <w:u w:val="single"/>
              </w:rPr>
              <w:t xml:space="preserve"> / </w:t>
            </w:r>
            <w:r>
              <w:rPr>
                <w:rFonts w:hint="eastAsia" w:ascii="宋体" w:hAnsi="宋体" w:eastAsia="宋体" w:cs="宋体"/>
                <w:bCs/>
                <w:snapToGrid w:val="0"/>
                <w:color w:val="auto"/>
                <w:kern w:val="0"/>
                <w:szCs w:val="21"/>
                <w:highlight w:val="none"/>
              </w:rPr>
              <w:t>(比例)分包给一家或者多家中小企业。</w:t>
            </w:r>
          </w:p>
          <w:p w14:paraId="3B46231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exact"/>
              <w:ind w:left="0" w:right="0"/>
              <w:textAlignment w:val="auto"/>
              <w:rPr>
                <w:rFonts w:hint="eastAsia"/>
                <w:color w:val="auto"/>
                <w:szCs w:val="20"/>
                <w:highlight w:val="none"/>
              </w:rPr>
            </w:pPr>
            <w:r>
              <w:rPr>
                <w:rFonts w:hint="eastAsia" w:ascii="宋体" w:hAnsi="宋体" w:eastAsia="宋体" w:cs="宋体"/>
                <w:bCs/>
                <w:snapToGrid w:val="0"/>
                <w:color w:val="auto"/>
                <w:kern w:val="0"/>
                <w:szCs w:val="21"/>
                <w:highlight w:val="none"/>
                <w:lang w:val="en-US" w:eastAsia="zh-CN"/>
              </w:rPr>
              <w:t>3.</w:t>
            </w:r>
            <w:r>
              <w:rPr>
                <w:rFonts w:hint="eastAsia" w:ascii="宋体" w:hAnsi="宋体" w:eastAsia="宋体" w:cs="宋体"/>
                <w:bCs/>
                <w:snapToGrid w:val="0"/>
                <w:color w:val="auto"/>
                <w:kern w:val="0"/>
                <w:szCs w:val="21"/>
                <w:highlight w:val="none"/>
              </w:rPr>
              <w:t>根据《关于印发中小企业划型标准规定的通知》（工信部联企业〔2011〕300 号）规定，本项目采购标的对应的中小企业划分标准所属行业为</w:t>
            </w:r>
            <w:r>
              <w:rPr>
                <w:rFonts w:hint="eastAsia" w:ascii="宋体" w:hAnsi="宋体" w:eastAsia="宋体" w:cs="宋体"/>
                <w:b/>
                <w:bCs w:val="0"/>
                <w:snapToGrid w:val="0"/>
                <w:color w:val="auto"/>
                <w:kern w:val="0"/>
                <w:sz w:val="21"/>
                <w:szCs w:val="21"/>
                <w:highlight w:val="none"/>
                <w:u w:val="none"/>
                <w:lang w:eastAsia="zh-CN"/>
              </w:rPr>
              <w:t>（</w:t>
            </w:r>
            <w:r>
              <w:rPr>
                <w:rFonts w:hint="eastAsia" w:ascii="宋体" w:hAnsi="宋体" w:cs="宋体"/>
                <w:b/>
                <w:bCs w:val="0"/>
                <w:snapToGrid w:val="0"/>
                <w:color w:val="auto"/>
                <w:kern w:val="0"/>
                <w:sz w:val="21"/>
                <w:szCs w:val="21"/>
                <w:highlight w:val="none"/>
                <w:u w:val="none"/>
                <w:lang w:eastAsia="zh-CN"/>
              </w:rPr>
              <w:t>十二</w:t>
            </w:r>
            <w:r>
              <w:rPr>
                <w:rFonts w:hint="eastAsia" w:ascii="宋体" w:hAnsi="宋体" w:eastAsia="宋体" w:cs="宋体"/>
                <w:b/>
                <w:bCs w:val="0"/>
                <w:snapToGrid w:val="0"/>
                <w:color w:val="auto"/>
                <w:kern w:val="0"/>
                <w:sz w:val="21"/>
                <w:szCs w:val="21"/>
                <w:highlight w:val="none"/>
                <w:u w:val="none"/>
                <w:lang w:eastAsia="zh-CN"/>
              </w:rPr>
              <w:t>）</w:t>
            </w:r>
            <w:r>
              <w:rPr>
                <w:rFonts w:hint="eastAsia" w:ascii="宋体" w:hAnsi="宋体" w:eastAsia="宋体" w:cs="宋体"/>
                <w:b/>
                <w:bCs w:val="0"/>
                <w:snapToGrid w:val="0"/>
                <w:color w:val="auto"/>
                <w:kern w:val="0"/>
                <w:sz w:val="21"/>
                <w:szCs w:val="21"/>
                <w:highlight w:val="none"/>
                <w:u w:val="single"/>
                <w:lang w:val="en-US" w:eastAsia="zh-CN"/>
              </w:rPr>
              <w:t>软件和信息技术服务业</w:t>
            </w:r>
            <w:r>
              <w:rPr>
                <w:rFonts w:hint="eastAsia" w:ascii="宋体" w:hAnsi="宋体" w:eastAsia="宋体" w:cs="宋体"/>
                <w:b/>
                <w:bCs w:val="0"/>
                <w:color w:val="auto"/>
                <w:sz w:val="21"/>
                <w:szCs w:val="21"/>
                <w:highlight w:val="none"/>
                <w:u w:val="single"/>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Cs/>
                <w:snapToGrid w:val="0"/>
                <w:color w:val="auto"/>
                <w:kern w:val="0"/>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29BD94F">
            <w:pPr>
              <w:pStyle w:val="28"/>
              <w:keepNext w:val="0"/>
              <w:keepLines w:val="0"/>
              <w:pageBreakBefore w:val="0"/>
              <w:numPr>
                <w:ilvl w:val="0"/>
                <w:numId w:val="0"/>
              </w:numPr>
              <w:suppressLineNumbers w:val="0"/>
              <w:kinsoku/>
              <w:wordWrap/>
              <w:overflowPunct/>
              <w:topLinePunct w:val="0"/>
              <w:bidi w:val="0"/>
              <w:spacing w:before="0" w:beforeAutospacing="0" w:afterAutospacing="0" w:line="360" w:lineRule="exact"/>
              <w:ind w:right="0"/>
              <w:rPr>
                <w:rFonts w:hint="eastAsia" w:ascii="宋体" w:hAnsi="宋体" w:eastAsia="宋体" w:cs="宋体"/>
                <w:color w:val="auto"/>
                <w:szCs w:val="20"/>
                <w:highlight w:val="none"/>
                <w:lang w:val="en-US" w:eastAsia="zh-CN"/>
              </w:rPr>
            </w:pPr>
            <w:r>
              <w:rPr>
                <w:rFonts w:hint="eastAsia" w:ascii="宋体" w:hAnsi="宋体" w:cs="宋体"/>
                <w:bCs/>
                <w:snapToGrid w:val="0"/>
                <w:color w:val="auto"/>
                <w:kern w:val="0"/>
                <w:sz w:val="21"/>
                <w:szCs w:val="21"/>
                <w:highlight w:val="none"/>
                <w:lang w:val="en-US" w:eastAsia="zh-CN" w:bidi="ar-SA"/>
              </w:rPr>
              <w:t>4</w:t>
            </w:r>
            <w:r>
              <w:rPr>
                <w:rFonts w:hint="eastAsia" w:ascii="宋体" w:hAnsi="宋体" w:eastAsia="宋体" w:cs="宋体"/>
                <w:bCs/>
                <w:snapToGrid w:val="0"/>
                <w:color w:val="auto"/>
                <w:kern w:val="0"/>
                <w:sz w:val="21"/>
                <w:szCs w:val="21"/>
                <w:highlight w:val="none"/>
                <w:lang w:val="en-US" w:eastAsia="zh-CN" w:bidi="ar-SA"/>
              </w:rPr>
              <w:t>.残疾人福利性单位、监狱企业视同小型、微型企业，享受预留份额。</w:t>
            </w:r>
          </w:p>
        </w:tc>
      </w:tr>
      <w:tr w14:paraId="16FC3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75" w:type="dxa"/>
            <w:tcBorders>
              <w:tl2br w:val="nil"/>
              <w:tr2bl w:val="nil"/>
            </w:tcBorders>
            <w:shd w:val="clear" w:color="auto" w:fill="auto"/>
            <w:vAlign w:val="center"/>
          </w:tcPr>
          <w:p w14:paraId="78E9244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25</w:t>
            </w:r>
          </w:p>
        </w:tc>
        <w:tc>
          <w:tcPr>
            <w:tcW w:w="1254" w:type="dxa"/>
            <w:tcBorders>
              <w:tl2br w:val="nil"/>
              <w:tr2bl w:val="nil"/>
            </w:tcBorders>
            <w:shd w:val="clear" w:color="auto" w:fill="auto"/>
            <w:vAlign w:val="center"/>
          </w:tcPr>
          <w:p w14:paraId="3639377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kern w:val="2"/>
                <w:sz w:val="21"/>
                <w:szCs w:val="21"/>
                <w:highlight w:val="none"/>
                <w:lang w:val="zh-TW" w:eastAsia="zh-CN" w:bidi="ar-SA"/>
              </w:rPr>
            </w:pPr>
            <w:r>
              <w:rPr>
                <w:rFonts w:hint="eastAsia" w:ascii="宋体" w:hAnsi="宋体" w:eastAsia="宋体" w:cs="宋体"/>
                <w:b/>
                <w:bCs/>
                <w:color w:val="auto"/>
                <w:szCs w:val="21"/>
                <w:highlight w:val="none"/>
                <w:lang w:val="zh-TW"/>
              </w:rPr>
              <w:t>项目属性与核心产品</w:t>
            </w:r>
          </w:p>
        </w:tc>
        <w:tc>
          <w:tcPr>
            <w:tcW w:w="6764" w:type="dxa"/>
            <w:tcBorders>
              <w:tl2br w:val="nil"/>
              <w:tr2bl w:val="nil"/>
            </w:tcBorders>
            <w:shd w:val="clear" w:color="auto" w:fill="auto"/>
            <w:vAlign w:val="center"/>
          </w:tcPr>
          <w:p w14:paraId="679AD3E6">
            <w:pPr>
              <w:keepNext w:val="0"/>
              <w:keepLines w:val="0"/>
              <w:pageBreakBefore w:val="0"/>
              <w:suppressLineNumbers w:val="0"/>
              <w:kinsoku/>
              <w:wordWrap/>
              <w:overflowPunct/>
              <w:topLinePunct w:val="0"/>
              <w:bidi w:val="0"/>
              <w:adjustRightInd w:val="0"/>
              <w:spacing w:before="0" w:beforeAutospacing="0" w:after="0" w:afterAutospacing="0" w:line="360" w:lineRule="exact"/>
              <w:ind w:left="0" w:right="0"/>
              <w:rPr>
                <w:rFonts w:hint="eastAsia" w:ascii="宋体" w:hAnsi="宋体" w:eastAsia="宋体" w:cs="宋体"/>
                <w:color w:val="auto"/>
                <w:szCs w:val="21"/>
                <w:highlight w:val="none"/>
              </w:rPr>
            </w:pPr>
            <w:sdt>
              <w:sdtPr>
                <w:rPr>
                  <w:rFonts w:hint="eastAsia" w:ascii="宋体" w:hAnsi="宋体" w:eastAsia="宋体" w:cs="宋体"/>
                  <w:color w:val="auto"/>
                  <w:szCs w:val="21"/>
                  <w:highlight w:val="none"/>
                </w:rPr>
                <w:id w:val="147459198"/>
              </w:sdtPr>
              <w:sdtEndPr>
                <w:rPr>
                  <w:rFonts w:hint="eastAsia" w:ascii="宋体" w:hAnsi="宋体" w:eastAsia="宋体" w:cs="宋体"/>
                  <w:color w:val="auto"/>
                  <w:szCs w:val="21"/>
                  <w:highlight w:val="none"/>
                </w:rPr>
              </w:sdtEndPr>
              <w:sdtContent>
                <w:r>
                  <w:rPr>
                    <w:rFonts w:hint="eastAsia" w:ascii="宋体" w:hAnsi="宋体" w:eastAsia="宋体" w:cs="宋体"/>
                    <w:color w:val="auto"/>
                    <w:szCs w:val="21"/>
                    <w:highlight w:val="none"/>
                  </w:rPr>
                  <w:t>☐</w:t>
                </w:r>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货物类，</w:t>
            </w:r>
            <w:r>
              <w:rPr>
                <w:rFonts w:hint="eastAsia" w:ascii="宋体" w:hAnsi="宋体" w:eastAsia="宋体" w:cs="宋体"/>
                <w:color w:val="auto"/>
                <w:kern w:val="0"/>
                <w:szCs w:val="21"/>
                <w:highlight w:val="none"/>
              </w:rPr>
              <w:t>核心产品为：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C2A6675">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eastAsia="zh-CN"/>
              </w:rPr>
              <w:t>注：</w:t>
            </w:r>
            <w:r>
              <w:rPr>
                <w:rFonts w:hint="eastAsia" w:ascii="宋体" w:hAnsi="宋体" w:eastAsia="宋体" w:cs="宋体"/>
                <w:bCs/>
                <w:snapToGrid w:val="0"/>
                <w:color w:val="auto"/>
                <w:kern w:val="0"/>
                <w:szCs w:val="21"/>
                <w:highlight w:val="none"/>
              </w:rPr>
              <w:t>非单一产品采购项目，采购人应当根据采购项目技术构成、产品价格比重等合理确定核心产品。</w:t>
            </w:r>
          </w:p>
          <w:p w14:paraId="30936812">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lang w:eastAsia="zh-CN"/>
              </w:rPr>
            </w:pPr>
            <w:sdt>
              <w:sdtPr>
                <w:rPr>
                  <w:rFonts w:hint="eastAsia" w:ascii="宋体" w:hAnsi="宋体" w:eastAsia="宋体" w:cs="宋体"/>
                  <w:b w:val="0"/>
                  <w:bCs w:val="0"/>
                  <w:color w:val="auto"/>
                  <w:kern w:val="0"/>
                  <w:szCs w:val="21"/>
                  <w:highlight w:val="none"/>
                </w:rPr>
                <w:id w:val="147453351"/>
              </w:sdtPr>
              <w:sdtEndPr>
                <w:rPr>
                  <w:rFonts w:hint="eastAsia" w:ascii="宋体" w:hAnsi="宋体" w:eastAsia="宋体" w:cs="宋体"/>
                  <w:b/>
                  <w:bCs/>
                  <w:color w:val="auto"/>
                  <w:kern w:val="0"/>
                  <w:szCs w:val="21"/>
                  <w:highlight w:val="none"/>
                </w:rPr>
              </w:sdtEndPr>
              <w:sdtContent>
                <w:sdt>
                  <w:sdtPr>
                    <w:rPr>
                      <w:rFonts w:hint="eastAsia" w:ascii="宋体" w:hAnsi="宋体" w:eastAsia="宋体" w:cs="宋体"/>
                      <w:b w:val="0"/>
                      <w:bCs w:val="0"/>
                      <w:color w:val="auto"/>
                      <w:kern w:val="0"/>
                      <w:sz w:val="24"/>
                      <w:szCs w:val="24"/>
                      <w:highlight w:val="none"/>
                    </w:rPr>
                    <w:id w:val="147477879"/>
                  </w:sdtPr>
                  <w:sdtEndPr>
                    <w:rPr>
                      <w:rFonts w:hint="eastAsia" w:ascii="宋体" w:hAnsi="宋体" w:eastAsia="宋体" w:cs="宋体"/>
                      <w:b w:val="0"/>
                      <w:bCs w:val="0"/>
                      <w:color w:val="auto"/>
                      <w:kern w:val="0"/>
                      <w:sz w:val="21"/>
                      <w:szCs w:val="21"/>
                      <w:highlight w:val="none"/>
                    </w:rPr>
                  </w:sdtEndPr>
                  <w:sdtContent>
                    <w:r>
                      <w:rPr>
                        <w:rFonts w:hint="eastAsia" w:ascii="宋体" w:hAnsi="宋体" w:eastAsia="宋体" w:cs="宋体"/>
                        <w:b/>
                        <w:bCs/>
                        <w:color w:val="auto"/>
                        <w:szCs w:val="21"/>
                        <w:highlight w:val="none"/>
                      </w:rPr>
                      <w:sym w:font="Wingdings 2" w:char="0052"/>
                    </w:r>
                  </w:sdtContent>
                </w:sdt>
              </w:sdtContent>
            </w:sdt>
            <w:r>
              <w:rPr>
                <w:rFonts w:hint="eastAsia" w:ascii="宋体" w:hAnsi="宋体" w:eastAsia="宋体" w:cs="宋体"/>
                <w:b/>
                <w:bCs/>
                <w:color w:val="auto"/>
                <w:kern w:val="0"/>
                <w:szCs w:val="21"/>
                <w:highlight w:val="none"/>
              </w:rPr>
              <w:t>B</w:t>
            </w:r>
            <w:r>
              <w:rPr>
                <w:rFonts w:hint="eastAsia" w:ascii="宋体" w:hAnsi="宋体" w:eastAsia="宋体" w:cs="宋体"/>
                <w:b/>
                <w:bCs/>
                <w:color w:val="auto"/>
                <w:szCs w:val="21"/>
                <w:highlight w:val="none"/>
              </w:rPr>
              <w:t>服务类</w:t>
            </w:r>
            <w:r>
              <w:rPr>
                <w:rFonts w:hint="eastAsia" w:ascii="宋体" w:hAnsi="宋体" w:eastAsia="宋体" w:cs="宋体"/>
                <w:b/>
                <w:bCs/>
                <w:color w:val="auto"/>
                <w:szCs w:val="21"/>
                <w:highlight w:val="none"/>
                <w:lang w:eastAsia="zh-CN"/>
              </w:rPr>
              <w:t>。</w:t>
            </w:r>
          </w:p>
          <w:p w14:paraId="0E85CD92">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color w:val="auto"/>
                <w:kern w:val="2"/>
                <w:sz w:val="21"/>
                <w:szCs w:val="21"/>
                <w:highlight w:val="none"/>
                <w:lang w:val="en-US" w:eastAsia="zh-CN" w:bidi="ar-SA"/>
              </w:rPr>
            </w:pPr>
            <w:sdt>
              <w:sdtPr>
                <w:rPr>
                  <w:rFonts w:hint="eastAsia" w:ascii="宋体" w:hAnsi="宋体" w:eastAsia="宋体" w:cs="宋体"/>
                  <w:color w:val="auto"/>
                  <w:szCs w:val="21"/>
                  <w:highlight w:val="none"/>
                </w:rPr>
                <w:id w:val="147459761"/>
              </w:sdtPr>
              <w:sdtEndPr>
                <w:rPr>
                  <w:rFonts w:hint="eastAsia" w:ascii="宋体" w:hAnsi="宋体" w:eastAsia="宋体" w:cs="宋体"/>
                  <w:color w:val="auto"/>
                  <w:szCs w:val="21"/>
                  <w:highlight w:val="none"/>
                </w:rPr>
              </w:sdtEndPr>
              <w:sdtContent>
                <w:r>
                  <w:rPr>
                    <w:rFonts w:hint="eastAsia" w:ascii="宋体" w:hAnsi="宋体" w:eastAsia="宋体" w:cs="宋体"/>
                    <w:color w:val="auto"/>
                    <w:szCs w:val="21"/>
                    <w:highlight w:val="none"/>
                  </w:rPr>
                  <w:t>☐</w:t>
                </w:r>
              </w:sdtContent>
            </w:sdt>
            <w:r>
              <w:rPr>
                <w:rFonts w:hint="eastAsia" w:ascii="宋体" w:hAnsi="宋体" w:eastAsia="宋体" w:cs="宋体"/>
                <w:color w:val="auto"/>
                <w:szCs w:val="21"/>
                <w:highlight w:val="none"/>
                <w:lang w:val="en-US" w:eastAsia="zh-CN"/>
              </w:rPr>
              <w:t>C工程类</w:t>
            </w:r>
            <w:r>
              <w:rPr>
                <w:rFonts w:hint="eastAsia" w:ascii="宋体" w:hAnsi="宋体" w:eastAsia="宋体" w:cs="宋体"/>
                <w:color w:val="auto"/>
                <w:szCs w:val="21"/>
                <w:highlight w:val="none"/>
              </w:rPr>
              <w:t>。</w:t>
            </w:r>
          </w:p>
        </w:tc>
      </w:tr>
      <w:tr w14:paraId="24E59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75" w:type="dxa"/>
            <w:tcBorders>
              <w:tl2br w:val="nil"/>
              <w:tr2bl w:val="nil"/>
            </w:tcBorders>
            <w:shd w:val="clear" w:color="auto" w:fill="auto"/>
            <w:vAlign w:val="center"/>
          </w:tcPr>
          <w:p w14:paraId="727F247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26</w:t>
            </w:r>
          </w:p>
        </w:tc>
        <w:tc>
          <w:tcPr>
            <w:tcW w:w="1254" w:type="dxa"/>
            <w:tcBorders>
              <w:tl2br w:val="nil"/>
              <w:tr2bl w:val="nil"/>
            </w:tcBorders>
            <w:shd w:val="clear" w:color="auto" w:fill="auto"/>
            <w:vAlign w:val="center"/>
          </w:tcPr>
          <w:p w14:paraId="391B01C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kern w:val="2"/>
                <w:sz w:val="21"/>
                <w:szCs w:val="21"/>
                <w:highlight w:val="none"/>
                <w:lang w:val="zh-TW" w:eastAsia="zh-CN" w:bidi="ar-SA"/>
              </w:rPr>
            </w:pPr>
            <w:r>
              <w:rPr>
                <w:rFonts w:hint="eastAsia" w:ascii="宋体" w:hAnsi="宋体" w:eastAsia="宋体" w:cs="宋体"/>
                <w:b/>
                <w:bCs/>
                <w:color w:val="auto"/>
                <w:szCs w:val="21"/>
                <w:highlight w:val="none"/>
              </w:rPr>
              <w:t>中小企业扶持政策</w:t>
            </w:r>
          </w:p>
        </w:tc>
        <w:tc>
          <w:tcPr>
            <w:tcW w:w="6764" w:type="dxa"/>
            <w:tcBorders>
              <w:tl2br w:val="nil"/>
              <w:tr2bl w:val="nil"/>
            </w:tcBorders>
            <w:shd w:val="clear" w:color="auto" w:fill="auto"/>
            <w:vAlign w:val="center"/>
          </w:tcPr>
          <w:p w14:paraId="3873E382">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 w:val="24"/>
                <w:szCs w:val="24"/>
                <w:highlight w:val="none"/>
              </w:rPr>
              <w:sym w:font="Wingdings" w:char="00A8"/>
            </w:r>
            <w:r>
              <w:rPr>
                <w:rFonts w:hint="eastAsia" w:ascii="宋体" w:hAnsi="宋体" w:eastAsia="宋体" w:cs="宋体"/>
                <w:b w:val="0"/>
                <w:bCs w:val="0"/>
                <w:color w:val="auto"/>
                <w:szCs w:val="21"/>
                <w:highlight w:val="none"/>
              </w:rPr>
              <w:t>本项目专门面向中小企业，不再进行价格政策扶持。</w:t>
            </w:r>
          </w:p>
          <w:p w14:paraId="23DDCFB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exact"/>
              <w:ind w:left="0" w:right="0"/>
              <w:textAlignment w:val="auto"/>
              <w:rPr>
                <w:rFonts w:hint="eastAsia" w:ascii="宋体" w:hAnsi="宋体" w:eastAsia="宋体" w:cs="宋体"/>
                <w:color w:val="auto"/>
                <w:szCs w:val="21"/>
                <w:highlight w:val="none"/>
              </w:rPr>
            </w:pPr>
            <w:sdt>
              <w:sdtPr>
                <w:rPr>
                  <w:rFonts w:hint="eastAsia" w:ascii="宋体" w:hAnsi="宋体" w:eastAsia="宋体" w:cs="宋体"/>
                  <w:b/>
                  <w:bCs/>
                  <w:color w:val="auto"/>
                  <w:kern w:val="0"/>
                  <w:sz w:val="24"/>
                  <w:szCs w:val="20"/>
                  <w:highlight w:val="none"/>
                </w:rPr>
                <w:id w:val="147469812"/>
              </w:sdtPr>
              <w:sdtEndPr>
                <w:rPr>
                  <w:rFonts w:hint="eastAsia" w:ascii="宋体" w:hAnsi="宋体" w:eastAsia="宋体" w:cs="宋体"/>
                  <w:b/>
                  <w:bCs/>
                  <w:color w:val="auto"/>
                  <w:kern w:val="0"/>
                  <w:sz w:val="24"/>
                  <w:szCs w:val="20"/>
                  <w:highlight w:val="none"/>
                </w:rPr>
              </w:sdtEndPr>
              <w:sdtContent>
                <w:r>
                  <w:rPr>
                    <w:rFonts w:hint="eastAsia" w:ascii="宋体" w:hAnsi="宋体" w:eastAsia="宋体" w:cs="宋体"/>
                    <w:b/>
                    <w:bCs/>
                    <w:color w:val="auto"/>
                    <w:kern w:val="0"/>
                    <w:sz w:val="24"/>
                    <w:szCs w:val="20"/>
                    <w:highlight w:val="none"/>
                  </w:rPr>
                  <w:sym w:font="Wingdings" w:char="00FE"/>
                </w:r>
              </w:sdtContent>
            </w:sdt>
            <w:r>
              <w:rPr>
                <w:rFonts w:hint="eastAsia" w:ascii="宋体" w:hAnsi="宋体" w:eastAsia="宋体" w:cs="宋体"/>
                <w:b/>
                <w:bCs/>
                <w:color w:val="auto"/>
                <w:szCs w:val="21"/>
                <w:highlight w:val="none"/>
              </w:rPr>
              <w:t>本项目非专门面向中小企业，价格扣除</w:t>
            </w:r>
            <w:r>
              <w:rPr>
                <w:rFonts w:hint="eastAsia" w:ascii="宋体" w:hAnsi="宋体" w:eastAsia="宋体" w:cs="宋体"/>
                <w:b w:val="0"/>
                <w:bCs w:val="0"/>
                <w:color w:val="auto"/>
                <w:szCs w:val="21"/>
                <w:highlight w:val="none"/>
              </w:rPr>
              <w:t>：</w:t>
            </w:r>
          </w:p>
          <w:p w14:paraId="5F42747F">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1.投标人按照《关于印发中小企业划型标准规定的通知》（工信部联企业〔2011〕300号）的所属行业规定为小型、微型企业【注：按规定提供《中小企业声明函》】。</w:t>
            </w:r>
          </w:p>
          <w:p w14:paraId="1D10A83C">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76928BFF">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2EE7E58C">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1A6BDC89">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注：</w:t>
            </w:r>
            <w:r>
              <w:rPr>
                <w:rFonts w:hint="eastAsia" w:ascii="宋体" w:hAnsi="宋体" w:eastAsia="宋体" w:cs="宋体"/>
                <w:color w:val="auto"/>
                <w:kern w:val="2"/>
                <w:sz w:val="21"/>
                <w:szCs w:val="21"/>
                <w:highlight w:val="none"/>
              </w:rPr>
              <w:t>①残疾人福利性单位、监狱企业视同小型、微型企业，享受预留份额、评审中价格扣除等促进中小企业发展的政府采购政策，享受同样的价格扣除。</w:t>
            </w:r>
          </w:p>
          <w:p w14:paraId="504F7341">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②残疾人福利性单位、监狱企业属于小型、微型企业的，不重复享受价格扣除优惠。</w:t>
            </w:r>
          </w:p>
          <w:p w14:paraId="7A7B25DD">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65032C8D">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④联合体各方均为小型、微型企业的，联合体视同为小型、微型企业。</w:t>
            </w:r>
          </w:p>
          <w:p w14:paraId="43C638C3">
            <w:pPr>
              <w:pStyle w:val="2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0" w:firstLineChars="0"/>
              <w:textAlignment w:val="baseline"/>
              <w:rPr>
                <w:rFonts w:hint="eastAsia" w:ascii="宋体" w:hAnsi="宋体" w:eastAsia="宋体" w:cs="宋体"/>
                <w:color w:val="auto"/>
                <w:kern w:val="0"/>
                <w:sz w:val="28"/>
                <w:szCs w:val="20"/>
                <w:highlight w:val="none"/>
                <w:lang w:val="en-US" w:eastAsia="zh-CN" w:bidi="ar-SA"/>
              </w:rPr>
            </w:pPr>
            <w:r>
              <w:rPr>
                <w:rFonts w:hint="eastAsia" w:ascii="宋体" w:hAnsi="宋体" w:eastAsia="宋体" w:cs="宋体"/>
                <w:color w:val="auto"/>
                <w:kern w:val="2"/>
                <w:sz w:val="21"/>
                <w:szCs w:val="21"/>
                <w:highlight w:val="none"/>
              </w:rPr>
              <w:t>⑤未提供以上材料的，均不给予价格扣除。</w:t>
            </w:r>
          </w:p>
        </w:tc>
      </w:tr>
      <w:tr w14:paraId="66896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75" w:type="dxa"/>
            <w:tcBorders>
              <w:tl2br w:val="nil"/>
              <w:tr2bl w:val="nil"/>
            </w:tcBorders>
            <w:shd w:val="clear" w:color="auto" w:fill="auto"/>
            <w:vAlign w:val="center"/>
          </w:tcPr>
          <w:p w14:paraId="6C341C4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1254" w:type="dxa"/>
            <w:tcBorders>
              <w:tl2br w:val="nil"/>
              <w:tr2bl w:val="nil"/>
            </w:tcBorders>
            <w:shd w:val="clear" w:color="auto" w:fill="auto"/>
            <w:vAlign w:val="center"/>
          </w:tcPr>
          <w:p w14:paraId="53ADAE3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kern w:val="2"/>
                <w:sz w:val="21"/>
                <w:szCs w:val="21"/>
                <w:highlight w:val="none"/>
                <w:lang w:val="zh-TW" w:eastAsia="zh-CN" w:bidi="ar-SA"/>
              </w:rPr>
            </w:pPr>
            <w:r>
              <w:rPr>
                <w:rFonts w:hint="eastAsia" w:ascii="宋体" w:hAnsi="宋体" w:eastAsia="宋体" w:cs="宋体"/>
                <w:b/>
                <w:bCs/>
                <w:color w:val="auto"/>
                <w:szCs w:val="21"/>
                <w:highlight w:val="none"/>
              </w:rPr>
              <w:t>信用记录查询</w:t>
            </w:r>
          </w:p>
        </w:tc>
        <w:tc>
          <w:tcPr>
            <w:tcW w:w="6764" w:type="dxa"/>
            <w:tcBorders>
              <w:tl2br w:val="nil"/>
              <w:tr2bl w:val="nil"/>
            </w:tcBorders>
            <w:shd w:val="clear" w:color="auto" w:fill="auto"/>
            <w:vAlign w:val="center"/>
          </w:tcPr>
          <w:p w14:paraId="1F443A1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根据《关于在政府采购活动中查询及使用信用记录有关问题的通知》财库[2016]125号文件的规定执行：</w:t>
            </w:r>
          </w:p>
          <w:p w14:paraId="779756A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招标人或采购代理机构将对本项目供应商的信用记录进行查询。</w:t>
            </w:r>
            <w:r>
              <w:rPr>
                <w:rFonts w:hint="eastAsia" w:ascii="宋体" w:hAnsi="宋体" w:eastAsia="宋体" w:cs="宋体"/>
                <w:b w:val="0"/>
                <w:bCs w:val="0"/>
                <w:color w:val="auto"/>
                <w:szCs w:val="21"/>
                <w:highlight w:val="none"/>
              </w:rPr>
              <w:t>查询渠道</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rPr>
              <w:t>信用中国（www.creditchina.gov.cn）、中国政府采购网（www.ccgp.gov.cn）；</w:t>
            </w:r>
          </w:p>
          <w:p w14:paraId="164D008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截止时点：</w:t>
            </w:r>
            <w:r>
              <w:rPr>
                <w:rFonts w:hint="eastAsia" w:ascii="宋体" w:hAnsi="宋体" w:eastAsia="宋体" w:cs="宋体"/>
                <w:color w:val="auto"/>
                <w:szCs w:val="21"/>
                <w:highlight w:val="none"/>
              </w:rPr>
              <w:t>提交投标文件截止时间前3年内；</w:t>
            </w:r>
          </w:p>
          <w:p w14:paraId="1C284C31">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查询记录和证据的留存：</w:t>
            </w:r>
            <w:r>
              <w:rPr>
                <w:rFonts w:hint="eastAsia" w:ascii="宋体" w:hAnsi="宋体" w:eastAsia="宋体" w:cs="宋体"/>
                <w:color w:val="auto"/>
                <w:szCs w:val="21"/>
                <w:highlight w:val="none"/>
              </w:rPr>
              <w:t>信用信息查询记录和证据以网页截图等方式留存。</w:t>
            </w:r>
          </w:p>
          <w:p w14:paraId="7488A45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使用规则：</w:t>
            </w:r>
            <w:r>
              <w:rPr>
                <w:rFonts w:hint="eastAsia" w:ascii="宋体" w:hAnsi="宋体" w:eastAsia="宋体" w:cs="宋体"/>
                <w:color w:val="auto"/>
                <w:szCs w:val="21"/>
                <w:highlight w:val="none"/>
              </w:rPr>
              <w:t>被列入失信被执行人、重大税收违法失信主体、政府采购严重违法失信行为记录名单及其他不符合《中华人民共和国政府采购法》第二十二条规定条件的，其投标将被拒绝。</w:t>
            </w:r>
          </w:p>
          <w:p w14:paraId="37EB8C6E">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sym w:font="Wingdings 2" w:char="00A3"/>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联合体信用信息查询：</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D0CC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75" w:type="dxa"/>
            <w:tcBorders>
              <w:tl2br w:val="nil"/>
              <w:tr2bl w:val="nil"/>
            </w:tcBorders>
            <w:vAlign w:val="center"/>
          </w:tcPr>
          <w:p w14:paraId="4E4DB73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p>
        </w:tc>
        <w:tc>
          <w:tcPr>
            <w:tcW w:w="1254" w:type="dxa"/>
            <w:tcBorders>
              <w:tl2br w:val="nil"/>
              <w:tr2bl w:val="nil"/>
            </w:tcBorders>
            <w:vAlign w:val="center"/>
          </w:tcPr>
          <w:p w14:paraId="784E4E0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质疑</w:t>
            </w:r>
          </w:p>
        </w:tc>
        <w:tc>
          <w:tcPr>
            <w:tcW w:w="6764" w:type="dxa"/>
            <w:tcBorders>
              <w:tl2br w:val="nil"/>
              <w:tr2bl w:val="nil"/>
            </w:tcBorders>
            <w:vAlign w:val="center"/>
          </w:tcPr>
          <w:p w14:paraId="2561E11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TW" w:eastAsia="zh-TW"/>
              </w:rPr>
              <w:t>质疑：</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TW" w:eastAsia="zh-TW"/>
              </w:rPr>
              <w:t>在法定质疑期内应当一次性提出针对同一采购程序环节的质疑。</w:t>
            </w:r>
          </w:p>
          <w:p w14:paraId="5D4649C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TW" w:eastAsia="zh-TW"/>
              </w:rPr>
              <w:t>接收质疑函的方式：</w:t>
            </w:r>
          </w:p>
          <w:p w14:paraId="064339A8">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①鼓励供应商在线提起质疑，路径</w:t>
            </w:r>
            <w:r>
              <w:rPr>
                <w:rFonts w:hint="eastAsia" w:ascii="宋体" w:hAnsi="宋体" w:eastAsia="宋体" w:cs="宋体"/>
                <w:b/>
                <w:bCs/>
                <w:color w:val="auto"/>
                <w:szCs w:val="21"/>
                <w:highlight w:val="none"/>
              </w:rPr>
              <w:t>：</w:t>
            </w:r>
            <w:r>
              <w:rPr>
                <w:rFonts w:hint="eastAsia" w:ascii="宋体" w:hAnsi="宋体" w:eastAsia="宋体" w:cs="宋体"/>
                <w:b w:val="0"/>
                <w:bCs w:val="0"/>
                <w:color w:val="auto"/>
                <w:szCs w:val="21"/>
                <w:highlight w:val="none"/>
                <w:lang w:eastAsia="zh-CN"/>
              </w:rPr>
              <w:t>详见“第一部分</w:t>
            </w:r>
            <w:r>
              <w:rPr>
                <w:rFonts w:hint="eastAsia" w:ascii="宋体" w:hAnsi="宋体" w:eastAsia="宋体" w:cs="宋体"/>
                <w:b w:val="0"/>
                <w:bCs w:val="0"/>
                <w:color w:val="auto"/>
                <w:szCs w:val="21"/>
                <w:highlight w:val="none"/>
                <w:lang w:val="en-US" w:eastAsia="zh-CN"/>
              </w:rPr>
              <w:t xml:space="preserve">  采购公告</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，具体操作详见“政府采购项目电子交易管理操作指南-供应商” （https://service.zcygov.cn/#/knowledges/CW1EtGwBFdiHxlNd6I3m/6IMVAG0BFdiHxlNdQ8Na）</w:t>
            </w:r>
            <w:r>
              <w:rPr>
                <w:rFonts w:hint="eastAsia" w:ascii="宋体" w:hAnsi="宋体" w:eastAsia="宋体" w:cs="宋体"/>
                <w:b w:val="0"/>
                <w:bCs w:val="0"/>
                <w:color w:val="auto"/>
                <w:szCs w:val="21"/>
                <w:highlight w:val="none"/>
                <w:lang w:eastAsia="zh-CN"/>
              </w:rPr>
              <w:t>；</w:t>
            </w:r>
          </w:p>
          <w:p w14:paraId="19F9684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宋体" w:hAnsi="宋体" w:eastAsia="宋体" w:cs="宋体"/>
                <w:b w:val="0"/>
                <w:bCs w:val="0"/>
                <w:color w:val="auto"/>
                <w:szCs w:val="20"/>
                <w:highlight w:val="none"/>
              </w:rPr>
            </w:pPr>
            <w:r>
              <w:rPr>
                <w:rFonts w:hint="eastAsia" w:ascii="宋体" w:hAnsi="宋体" w:eastAsia="宋体" w:cs="宋体"/>
                <w:b/>
                <w:bCs/>
                <w:color w:val="auto"/>
                <w:szCs w:val="21"/>
                <w:highlight w:val="none"/>
              </w:rPr>
              <w:t>②</w:t>
            </w:r>
            <w:r>
              <w:rPr>
                <w:rFonts w:hint="eastAsia" w:ascii="宋体" w:hAnsi="宋体" w:eastAsia="宋体" w:cs="宋体"/>
                <w:b/>
                <w:bCs/>
                <w:color w:val="auto"/>
                <w:szCs w:val="21"/>
                <w:highlight w:val="none"/>
              </w:rPr>
              <w:t>纸质</w:t>
            </w:r>
            <w:r>
              <w:rPr>
                <w:rFonts w:hint="eastAsia" w:ascii="宋体" w:hAnsi="宋体" w:eastAsia="宋体" w:cs="宋体"/>
                <w:b/>
                <w:bCs/>
                <w:color w:val="auto"/>
                <w:szCs w:val="21"/>
                <w:highlight w:val="none"/>
                <w:lang w:val="zh-TW" w:eastAsia="zh-TW"/>
              </w:rPr>
              <w:t>形式</w:t>
            </w:r>
            <w:r>
              <w:rPr>
                <w:rFonts w:hint="eastAsia" w:ascii="宋体" w:hAnsi="宋体" w:eastAsia="宋体" w:cs="宋体"/>
                <w:b/>
                <w:bCs/>
                <w:color w:val="auto"/>
                <w:szCs w:val="21"/>
                <w:highlight w:val="none"/>
                <w:lang w:val="zh-TW"/>
              </w:rPr>
              <w:t>，</w:t>
            </w:r>
            <w:r>
              <w:rPr>
                <w:rFonts w:hint="eastAsia" w:ascii="宋体" w:hAnsi="宋体" w:eastAsia="宋体" w:cs="宋体"/>
                <w:b/>
                <w:bCs/>
                <w:color w:val="auto"/>
                <w:szCs w:val="21"/>
                <w:highlight w:val="none"/>
              </w:rPr>
              <w:t>以快递方式送达</w:t>
            </w:r>
            <w:r>
              <w:rPr>
                <w:rFonts w:hint="eastAsia" w:ascii="宋体" w:hAnsi="宋体" w:eastAsia="宋体" w:cs="宋体"/>
                <w:b/>
                <w:bCs/>
                <w:color w:val="auto"/>
                <w:szCs w:val="21"/>
                <w:highlight w:val="none"/>
                <w:lang w:val="zh-TW" w:eastAsia="zh-TW"/>
              </w:rPr>
              <w:t>。</w:t>
            </w:r>
            <w:r>
              <w:rPr>
                <w:rFonts w:hint="eastAsia" w:ascii="宋体" w:hAnsi="宋体" w:eastAsia="宋体" w:cs="宋体"/>
                <w:b w:val="0"/>
                <w:bCs w:val="0"/>
                <w:color w:val="auto"/>
                <w:szCs w:val="21"/>
                <w:highlight w:val="none"/>
                <w:lang w:val="zh-TW" w:eastAsia="zh-TW"/>
              </w:rPr>
              <w:t>联系人：</w:t>
            </w:r>
            <w:r>
              <w:rPr>
                <w:rFonts w:hint="eastAsia" w:ascii="宋体" w:hAnsi="宋体" w:eastAsia="宋体" w:cs="宋体"/>
                <w:b w:val="0"/>
                <w:bCs w:val="0"/>
                <w:color w:val="auto"/>
                <w:szCs w:val="21"/>
                <w:highlight w:val="none"/>
                <w:lang w:val="zh-TW" w:eastAsia="zh-CN"/>
              </w:rPr>
              <w:t>张红明；质疑联系方式</w:t>
            </w:r>
            <w:r>
              <w:rPr>
                <w:rFonts w:hint="eastAsia" w:ascii="宋体" w:hAnsi="宋体" w:eastAsia="宋体" w:cs="宋体"/>
                <w:b w:val="0"/>
                <w:bCs w:val="0"/>
                <w:color w:val="auto"/>
                <w:szCs w:val="21"/>
                <w:highlight w:val="none"/>
                <w:lang w:val="zh-TW" w:eastAsia="zh-TW"/>
              </w:rPr>
              <w:t>：</w:t>
            </w:r>
            <w:r>
              <w:rPr>
                <w:rFonts w:hint="eastAsia" w:ascii="宋体" w:hAnsi="宋体" w:eastAsia="宋体" w:cs="宋体"/>
                <w:b w:val="0"/>
                <w:bCs w:val="0"/>
                <w:color w:val="auto"/>
                <w:szCs w:val="21"/>
                <w:highlight w:val="none"/>
                <w:lang w:val="zh-TW" w:eastAsia="zh-CN"/>
              </w:rPr>
              <w:t>13967951722</w:t>
            </w:r>
            <w:r>
              <w:rPr>
                <w:rFonts w:hint="eastAsia" w:ascii="宋体" w:hAnsi="宋体" w:eastAsia="宋体" w:cs="宋体"/>
                <w:b w:val="0"/>
                <w:bCs w:val="0"/>
                <w:color w:val="auto"/>
                <w:szCs w:val="21"/>
                <w:highlight w:val="none"/>
                <w:lang w:val="zh-TW" w:eastAsia="zh-TW"/>
              </w:rPr>
              <w:t>，地址：浦江县西山北路169号二楼</w:t>
            </w:r>
            <w:r>
              <w:rPr>
                <w:rFonts w:hint="eastAsia" w:ascii="宋体" w:hAnsi="宋体" w:eastAsia="宋体" w:cs="宋体"/>
                <w:b w:val="0"/>
                <w:bCs w:val="0"/>
                <w:color w:val="auto"/>
                <w:szCs w:val="21"/>
                <w:highlight w:val="none"/>
                <w:lang w:val="zh-TW" w:eastAsia="zh-CN"/>
              </w:rPr>
              <w:t>（浙江华杰工程咨询有限公司）</w:t>
            </w:r>
            <w:r>
              <w:rPr>
                <w:rFonts w:hint="eastAsia" w:ascii="宋体" w:hAnsi="宋体" w:eastAsia="宋体" w:cs="宋体"/>
                <w:b w:val="0"/>
                <w:bCs w:val="0"/>
                <w:color w:val="auto"/>
                <w:szCs w:val="21"/>
                <w:highlight w:val="none"/>
                <w:lang w:val="zh-TW"/>
              </w:rPr>
              <w:t>。</w:t>
            </w:r>
            <w:r>
              <w:rPr>
                <w:rFonts w:hint="eastAsia" w:ascii="宋体" w:hAnsi="宋体" w:eastAsia="宋体" w:cs="宋体"/>
                <w:b w:val="0"/>
                <w:bCs w:val="0"/>
                <w:color w:val="auto"/>
                <w:szCs w:val="21"/>
                <w:highlight w:val="none"/>
              </w:rPr>
              <w:t>同时请将质疑函的word格式文件发送至邮箱：</w:t>
            </w:r>
            <w:r>
              <w:rPr>
                <w:rFonts w:hint="eastAsia" w:ascii="宋体" w:hAnsi="宋体" w:eastAsia="宋体" w:cs="宋体"/>
                <w:b w:val="0"/>
                <w:bCs w:val="0"/>
                <w:color w:val="auto"/>
                <w:szCs w:val="21"/>
                <w:highlight w:val="none"/>
                <w:lang w:val="en-US" w:eastAsia="zh-CN"/>
              </w:rPr>
              <w:t>513750025</w:t>
            </w:r>
            <w:r>
              <w:rPr>
                <w:rFonts w:hint="eastAsia" w:ascii="宋体" w:hAnsi="宋体" w:eastAsia="宋体" w:cs="宋体"/>
                <w:b w:val="0"/>
                <w:bCs w:val="0"/>
                <w:color w:val="auto"/>
                <w:szCs w:val="21"/>
                <w:highlight w:val="none"/>
              </w:rPr>
              <w:t>@qq.com</w:t>
            </w:r>
            <w:r>
              <w:rPr>
                <w:rFonts w:hint="eastAsia" w:ascii="宋体" w:hAnsi="宋体" w:eastAsia="宋体" w:cs="宋体"/>
                <w:b w:val="0"/>
                <w:bCs w:val="0"/>
                <w:color w:val="auto"/>
                <w:szCs w:val="21"/>
                <w:highlight w:val="none"/>
                <w:lang w:val="zh-TW" w:eastAsia="zh-TW"/>
              </w:rPr>
              <w:t>。</w:t>
            </w:r>
          </w:p>
        </w:tc>
      </w:tr>
      <w:tr w14:paraId="6480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875" w:type="dxa"/>
            <w:tcBorders>
              <w:tl2br w:val="nil"/>
              <w:tr2bl w:val="nil"/>
            </w:tcBorders>
            <w:vAlign w:val="center"/>
          </w:tcPr>
          <w:p w14:paraId="30ED21F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p>
        </w:tc>
        <w:tc>
          <w:tcPr>
            <w:tcW w:w="1254" w:type="dxa"/>
            <w:tcBorders>
              <w:tl2br w:val="nil"/>
              <w:tr2bl w:val="nil"/>
            </w:tcBorders>
            <w:vAlign w:val="center"/>
          </w:tcPr>
          <w:p w14:paraId="5C0B497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节能产品、环境标志产品政策</w:t>
            </w:r>
          </w:p>
        </w:tc>
        <w:tc>
          <w:tcPr>
            <w:tcW w:w="6764" w:type="dxa"/>
            <w:tcBorders>
              <w:tl2br w:val="nil"/>
              <w:tr2bl w:val="nil"/>
            </w:tcBorders>
            <w:vAlign w:val="center"/>
          </w:tcPr>
          <w:p w14:paraId="2E26B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sym w:font="Wingdings" w:char="F0FE"/>
            </w:r>
            <w:r>
              <w:rPr>
                <w:rFonts w:hint="eastAsia" w:ascii="宋体" w:hAnsi="宋体" w:eastAsia="宋体" w:cs="宋体"/>
                <w:b/>
                <w:color w:val="auto"/>
                <w:szCs w:val="21"/>
                <w:highlight w:val="none"/>
              </w:rPr>
              <w:t>本</w:t>
            </w:r>
            <w:r>
              <w:rPr>
                <w:rFonts w:hint="eastAsia" w:ascii="宋体" w:hAnsi="宋体" w:eastAsia="宋体" w:cs="宋体"/>
                <w:b/>
                <w:bCs/>
                <w:color w:val="auto"/>
                <w:szCs w:val="21"/>
                <w:highlight w:val="none"/>
              </w:rPr>
              <w:t>项目为服务项目，不适用节能环保政策。</w:t>
            </w:r>
          </w:p>
          <w:p w14:paraId="7CB42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r>
              <w:rPr>
                <w:rFonts w:hint="eastAsia" w:ascii="宋体" w:hAnsi="宋体" w:eastAsia="宋体" w:cs="宋体"/>
                <w:color w:val="auto"/>
                <w:szCs w:val="21"/>
                <w:highlight w:val="none"/>
              </w:rPr>
              <w:t>（注：本项目执行最新政府采购节能产品、环境标志产品品目清单。）</w:t>
            </w:r>
          </w:p>
          <w:p w14:paraId="213F2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提供中国政府采购网（www.ccgp.gov.cn）网页查询打印材料等说明材料。</w:t>
            </w:r>
          </w:p>
          <w:p w14:paraId="0E78D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lang w:val="zh-TW" w:eastAsia="zh-TW"/>
              </w:rPr>
            </w:pPr>
            <w:r>
              <w:rPr>
                <w:rFonts w:hint="eastAsia" w:ascii="宋体" w:hAnsi="宋体" w:eastAsia="宋体" w:cs="宋体"/>
                <w:b/>
                <w:bCs/>
                <w:color w:val="auto"/>
                <w:szCs w:val="21"/>
                <w:highlight w:val="none"/>
              </w:rPr>
              <w:t>注：属于强制采购品目清单中的产品如未获得证书，其投标将</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w:t>
            </w:r>
            <w:r>
              <w:rPr>
                <w:rFonts w:hint="eastAsia" w:ascii="宋体" w:hAnsi="宋体" w:eastAsia="宋体" w:cs="宋体"/>
                <w:b/>
                <w:bCs/>
                <w:color w:val="auto"/>
                <w:szCs w:val="21"/>
                <w:highlight w:val="none"/>
                <w:lang w:eastAsia="zh-CN"/>
              </w:rPr>
              <w:t>标处理</w:t>
            </w:r>
            <w:r>
              <w:rPr>
                <w:rFonts w:hint="eastAsia" w:ascii="宋体" w:hAnsi="宋体" w:eastAsia="宋体" w:cs="宋体"/>
                <w:b/>
                <w:bCs/>
                <w:color w:val="auto"/>
                <w:szCs w:val="21"/>
                <w:highlight w:val="none"/>
              </w:rPr>
              <w:t>。</w:t>
            </w:r>
          </w:p>
        </w:tc>
      </w:tr>
      <w:tr w14:paraId="560A3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875" w:type="dxa"/>
            <w:tcBorders>
              <w:tl2br w:val="nil"/>
              <w:tr2bl w:val="nil"/>
            </w:tcBorders>
            <w:vAlign w:val="center"/>
          </w:tcPr>
          <w:p w14:paraId="5AB9B0A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1254" w:type="dxa"/>
            <w:tcBorders>
              <w:tl2br w:val="nil"/>
              <w:tr2bl w:val="nil"/>
            </w:tcBorders>
            <w:vAlign w:val="center"/>
          </w:tcPr>
          <w:p w14:paraId="412771B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采购代理服务费</w:t>
            </w:r>
          </w:p>
        </w:tc>
        <w:tc>
          <w:tcPr>
            <w:tcW w:w="6764" w:type="dxa"/>
            <w:tcBorders>
              <w:tl2br w:val="nil"/>
              <w:tr2bl w:val="nil"/>
            </w:tcBorders>
            <w:vAlign w:val="center"/>
          </w:tcPr>
          <w:p w14:paraId="1D159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本项目招标代理服务费收取标准：本项目招标代理费[以项目</w:t>
            </w:r>
            <w:r>
              <w:rPr>
                <w:rFonts w:hint="eastAsia" w:ascii="宋体" w:hAnsi="宋体" w:eastAsia="宋体" w:cs="宋体"/>
                <w:b w:val="0"/>
                <w:bCs/>
                <w:color w:val="auto"/>
                <w:szCs w:val="21"/>
                <w:highlight w:val="none"/>
                <w:lang w:eastAsia="zh-CN"/>
              </w:rPr>
              <w:t>中标</w:t>
            </w:r>
            <w:r>
              <w:rPr>
                <w:rFonts w:hint="eastAsia" w:ascii="宋体" w:hAnsi="宋体" w:eastAsia="宋体" w:cs="宋体"/>
                <w:b w:val="0"/>
                <w:bCs/>
                <w:color w:val="auto"/>
                <w:szCs w:val="21"/>
                <w:highlight w:val="none"/>
              </w:rPr>
              <w:t>金额为基数，参照（计价格[2002]1980号）规定的标准收费计取（标准收费附后，类型为服务招标）]，费用由中标供应商承担。由中标人在合同签订前支付给招标代理机构，请各投标人将上述费用自行考虑进投标报价中。</w:t>
            </w:r>
          </w:p>
          <w:p w14:paraId="2F371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b w:val="0"/>
                <w:bCs/>
                <w:color w:val="auto"/>
                <w:szCs w:val="21"/>
                <w:highlight w:val="none"/>
                <w:lang w:val="zh-TW" w:eastAsia="zh-TW"/>
              </w:rPr>
            </w:pPr>
            <w:r>
              <w:rPr>
                <w:rFonts w:hint="eastAsia" w:ascii="宋体" w:hAnsi="宋体" w:eastAsia="宋体" w:cs="宋体"/>
                <w:b w:val="0"/>
                <w:bCs/>
                <w:color w:val="auto"/>
                <w:szCs w:val="21"/>
                <w:highlight w:val="none"/>
                <w:lang w:val="zh-TW" w:eastAsia="zh-TW"/>
              </w:rPr>
              <w:t>开户银行：金华银行浦江支行</w:t>
            </w:r>
          </w:p>
          <w:p w14:paraId="1A27B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b w:val="0"/>
                <w:bCs/>
                <w:color w:val="auto"/>
                <w:szCs w:val="21"/>
                <w:highlight w:val="none"/>
                <w:lang w:val="zh-TW" w:eastAsia="zh-TW"/>
              </w:rPr>
            </w:pPr>
            <w:r>
              <w:rPr>
                <w:rFonts w:hint="eastAsia" w:ascii="宋体" w:hAnsi="宋体" w:eastAsia="宋体" w:cs="宋体"/>
                <w:b w:val="0"/>
                <w:bCs/>
                <w:color w:val="auto"/>
                <w:szCs w:val="21"/>
                <w:highlight w:val="none"/>
                <w:lang w:val="zh-TW" w:eastAsia="zh-TW"/>
              </w:rPr>
              <w:t>开户名称：浙江华杰工程咨询有限公司浦江分公司</w:t>
            </w:r>
          </w:p>
          <w:p w14:paraId="222BC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b w:val="0"/>
                <w:bCs/>
                <w:color w:val="auto"/>
                <w:szCs w:val="21"/>
                <w:highlight w:val="none"/>
                <w:lang w:val="zh-TW" w:eastAsia="zh-TW"/>
              </w:rPr>
            </w:pPr>
            <w:r>
              <w:rPr>
                <w:rFonts w:hint="eastAsia" w:ascii="宋体" w:hAnsi="宋体" w:eastAsia="宋体" w:cs="宋体"/>
                <w:b w:val="0"/>
                <w:bCs/>
                <w:color w:val="auto"/>
                <w:szCs w:val="21"/>
                <w:highlight w:val="none"/>
                <w:lang w:val="zh-TW" w:eastAsia="zh-CN"/>
              </w:rPr>
              <w:t>账号</w:t>
            </w:r>
            <w:r>
              <w:rPr>
                <w:rFonts w:hint="eastAsia" w:ascii="宋体" w:hAnsi="宋体" w:eastAsia="宋体" w:cs="宋体"/>
                <w:b w:val="0"/>
                <w:bCs/>
                <w:color w:val="auto"/>
                <w:szCs w:val="21"/>
                <w:highlight w:val="none"/>
                <w:lang w:val="zh-TW" w:eastAsia="zh-TW"/>
              </w:rPr>
              <w:t>：1333026200002236</w:t>
            </w:r>
          </w:p>
          <w:p w14:paraId="7CB52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bCs/>
                <w:color w:val="auto"/>
                <w:szCs w:val="21"/>
                <w:highlight w:val="none"/>
                <w:lang w:val="zh-TW" w:eastAsia="zh-TW"/>
              </w:rPr>
            </w:pPr>
            <w:r>
              <w:rPr>
                <w:rFonts w:hint="eastAsia" w:ascii="宋体" w:hAnsi="宋体" w:eastAsia="宋体" w:cs="宋体"/>
                <w:b w:val="0"/>
                <w:bCs/>
                <w:color w:val="auto"/>
                <w:szCs w:val="21"/>
                <w:highlight w:val="none"/>
                <w:lang w:val="zh-TW" w:eastAsia="zh-TW"/>
              </w:rPr>
              <w:t>行号：313338403307</w:t>
            </w:r>
          </w:p>
        </w:tc>
      </w:tr>
      <w:tr w14:paraId="3BB12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5" w:type="dxa"/>
            <w:tcBorders>
              <w:tl2br w:val="nil"/>
              <w:tr2bl w:val="nil"/>
            </w:tcBorders>
            <w:vAlign w:val="center"/>
          </w:tcPr>
          <w:p w14:paraId="3CDD87C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p>
        </w:tc>
        <w:tc>
          <w:tcPr>
            <w:tcW w:w="1254" w:type="dxa"/>
            <w:tcBorders>
              <w:tl2br w:val="nil"/>
              <w:tr2bl w:val="nil"/>
            </w:tcBorders>
            <w:vAlign w:val="center"/>
          </w:tcPr>
          <w:p w14:paraId="298219D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是否允许采购进口产品</w:t>
            </w:r>
          </w:p>
        </w:tc>
        <w:tc>
          <w:tcPr>
            <w:tcW w:w="6764" w:type="dxa"/>
            <w:tcBorders>
              <w:tl2br w:val="nil"/>
              <w:tr2bl w:val="nil"/>
            </w:tcBorders>
            <w:vAlign w:val="center"/>
          </w:tcPr>
          <w:p w14:paraId="562C0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color w:val="auto"/>
                <w:szCs w:val="21"/>
                <w:highlight w:val="none"/>
              </w:rPr>
            </w:pPr>
            <w:sdt>
              <w:sdtPr>
                <w:rPr>
                  <w:rFonts w:hint="eastAsia" w:ascii="宋体" w:hAnsi="宋体" w:eastAsia="宋体" w:cs="宋体"/>
                  <w:b/>
                  <w:color w:val="auto"/>
                  <w:szCs w:val="21"/>
                  <w:highlight w:val="none"/>
                </w:rPr>
                <w:id w:val="-1828425707"/>
              </w:sdtPr>
              <w:sdtEndPr>
                <w:rPr>
                  <w:rFonts w:hint="eastAsia" w:ascii="宋体" w:hAnsi="宋体" w:eastAsia="宋体" w:cs="宋体"/>
                  <w:b/>
                  <w:color w:val="auto"/>
                  <w:szCs w:val="21"/>
                  <w:highlight w:val="none"/>
                </w:rPr>
              </w:sdtEndPr>
              <w:sdtContent>
                <w:r>
                  <w:rPr>
                    <w:rFonts w:hint="eastAsia" w:ascii="宋体" w:hAnsi="宋体" w:eastAsia="宋体" w:cs="宋体"/>
                    <w:b/>
                    <w:color w:val="auto"/>
                    <w:szCs w:val="21"/>
                    <w:highlight w:val="none"/>
                  </w:rPr>
                  <w:sym w:font="Wingdings" w:char="F0FE"/>
                </w:r>
              </w:sdtContent>
            </w:sdt>
            <w:r>
              <w:rPr>
                <w:rFonts w:hint="eastAsia" w:ascii="宋体" w:hAnsi="宋体" w:eastAsia="宋体" w:cs="宋体"/>
                <w:b/>
                <w:color w:val="auto"/>
                <w:szCs w:val="21"/>
                <w:highlight w:val="none"/>
              </w:rPr>
              <w:t>本项目不允许采购进口产品。</w:t>
            </w:r>
          </w:p>
          <w:p w14:paraId="31B04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color w:val="auto"/>
                <w:szCs w:val="21"/>
                <w:highlight w:val="none"/>
              </w:rPr>
            </w:pPr>
            <w:sdt>
              <w:sdtPr>
                <w:rPr>
                  <w:rFonts w:hint="eastAsia" w:ascii="宋体" w:hAnsi="宋体" w:eastAsia="宋体" w:cs="宋体"/>
                  <w:b/>
                  <w:color w:val="auto"/>
                  <w:szCs w:val="21"/>
                  <w:highlight w:val="none"/>
                </w:rPr>
                <w:id w:val="-52852824"/>
              </w:sdtPr>
              <w:sdtEndPr>
                <w:rPr>
                  <w:rFonts w:hint="eastAsia" w:ascii="宋体" w:hAnsi="宋体" w:eastAsia="宋体" w:cs="宋体"/>
                  <w:b w:val="0"/>
                  <w:bCs/>
                  <w:color w:val="auto"/>
                  <w:szCs w:val="21"/>
                  <w:highlight w:val="none"/>
                </w:rPr>
              </w:sdtEndPr>
              <w:sdtContent>
                <w:r>
                  <w:rPr>
                    <w:rFonts w:hint="eastAsia" w:ascii="宋体" w:hAnsi="宋体" w:eastAsia="宋体" w:cs="宋体"/>
                    <w:bCs/>
                    <w:color w:val="auto"/>
                    <w:szCs w:val="21"/>
                    <w:highlight w:val="none"/>
                  </w:rPr>
                  <w:t>☐</w:t>
                </w:r>
              </w:sdtContent>
            </w:sdt>
            <w:r>
              <w:rPr>
                <w:rFonts w:hint="eastAsia" w:ascii="宋体" w:hAnsi="宋体" w:eastAsia="宋体" w:cs="宋体"/>
                <w:bCs/>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B071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75" w:type="dxa"/>
            <w:tcBorders>
              <w:tl2br w:val="nil"/>
              <w:tr2bl w:val="nil"/>
            </w:tcBorders>
            <w:vAlign w:val="center"/>
          </w:tcPr>
          <w:p w14:paraId="40B9086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w:t>
            </w:r>
          </w:p>
        </w:tc>
        <w:tc>
          <w:tcPr>
            <w:tcW w:w="1254" w:type="dxa"/>
            <w:tcBorders>
              <w:tl2br w:val="nil"/>
              <w:tr2bl w:val="nil"/>
            </w:tcBorders>
            <w:vAlign w:val="center"/>
          </w:tcPr>
          <w:p w14:paraId="3CF0F99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演示</w:t>
            </w:r>
          </w:p>
        </w:tc>
        <w:tc>
          <w:tcPr>
            <w:tcW w:w="6764" w:type="dxa"/>
            <w:tcBorders>
              <w:tl2br w:val="nil"/>
              <w:tr2bl w:val="nil"/>
            </w:tcBorders>
            <w:vAlign w:val="center"/>
          </w:tcPr>
          <w:p w14:paraId="39E98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不要求；</w:t>
            </w:r>
          </w:p>
          <w:p w14:paraId="4B084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本项目要求进行演示，具体要求：每个供应商演示时间不超过</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分钟，并解答评审小组的提问，解答提问时间另计。演示顺序：</w:t>
            </w:r>
            <w:r>
              <w:rPr>
                <w:rFonts w:hint="eastAsia" w:ascii="宋体" w:hAnsi="宋体" w:eastAsia="宋体" w:cs="宋体"/>
                <w:color w:val="auto"/>
                <w:szCs w:val="21"/>
                <w:highlight w:val="none"/>
                <w:u w:val="single"/>
              </w:rPr>
              <w:t xml:space="preserve"> 按照投标文件解密时间的先后排序进行演示 </w:t>
            </w:r>
            <w:r>
              <w:rPr>
                <w:rFonts w:hint="eastAsia" w:ascii="宋体" w:hAnsi="宋体" w:eastAsia="宋体" w:cs="宋体"/>
                <w:color w:val="auto"/>
                <w:szCs w:val="21"/>
                <w:highlight w:val="none"/>
              </w:rPr>
              <w:t>。</w:t>
            </w:r>
          </w:p>
        </w:tc>
      </w:tr>
      <w:tr w14:paraId="1153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5" w:type="dxa"/>
            <w:tcBorders>
              <w:tl2br w:val="nil"/>
              <w:tr2bl w:val="nil"/>
            </w:tcBorders>
            <w:vAlign w:val="center"/>
          </w:tcPr>
          <w:p w14:paraId="3E01DC1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33</w:t>
            </w:r>
          </w:p>
        </w:tc>
        <w:tc>
          <w:tcPr>
            <w:tcW w:w="1254" w:type="dxa"/>
            <w:tcBorders>
              <w:tl2br w:val="nil"/>
              <w:tr2bl w:val="nil"/>
            </w:tcBorders>
            <w:vAlign w:val="center"/>
          </w:tcPr>
          <w:p w14:paraId="3E33857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rPr>
              <w:t>方案讲解</w:t>
            </w:r>
          </w:p>
        </w:tc>
        <w:tc>
          <w:tcPr>
            <w:tcW w:w="6764" w:type="dxa"/>
            <w:tcBorders>
              <w:tl2br w:val="nil"/>
              <w:tr2bl w:val="nil"/>
            </w:tcBorders>
            <w:vAlign w:val="center"/>
          </w:tcPr>
          <w:p w14:paraId="6D53B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不要求。</w:t>
            </w:r>
          </w:p>
        </w:tc>
      </w:tr>
      <w:tr w14:paraId="6623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5" w:type="dxa"/>
            <w:tcBorders>
              <w:tl2br w:val="nil"/>
              <w:tr2bl w:val="nil"/>
            </w:tcBorders>
            <w:vAlign w:val="center"/>
          </w:tcPr>
          <w:p w14:paraId="28B8864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54" w:type="dxa"/>
            <w:tcBorders>
              <w:tl2br w:val="nil"/>
              <w:tr2bl w:val="nil"/>
            </w:tcBorders>
            <w:vAlign w:val="center"/>
          </w:tcPr>
          <w:p w14:paraId="166EDC9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lang w:val="zh-TW"/>
              </w:rPr>
            </w:pPr>
            <w:r>
              <w:rPr>
                <w:rFonts w:hint="eastAsia" w:ascii="宋体" w:hAnsi="宋体" w:eastAsia="宋体" w:cs="宋体"/>
                <w:b/>
                <w:bCs/>
                <w:color w:val="auto"/>
                <w:szCs w:val="21"/>
                <w:highlight w:val="none"/>
                <w:lang w:val="zh-TW"/>
              </w:rPr>
              <w:t>样品</w:t>
            </w:r>
          </w:p>
        </w:tc>
        <w:tc>
          <w:tcPr>
            <w:tcW w:w="6764" w:type="dxa"/>
            <w:tcBorders>
              <w:tl2br w:val="nil"/>
              <w:tr2bl w:val="nil"/>
            </w:tcBorders>
            <w:vAlign w:val="center"/>
          </w:tcPr>
          <w:p w14:paraId="76C11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不提供。</w:t>
            </w:r>
          </w:p>
          <w:p w14:paraId="3C0DC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提供，按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“第三部分 采购需求”要求。</w:t>
            </w:r>
          </w:p>
        </w:tc>
      </w:tr>
      <w:tr w14:paraId="3D702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5" w:type="dxa"/>
            <w:tcBorders>
              <w:tl2br w:val="nil"/>
              <w:tr2bl w:val="nil"/>
            </w:tcBorders>
            <w:vAlign w:val="center"/>
          </w:tcPr>
          <w:p w14:paraId="28F7A6F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54" w:type="dxa"/>
            <w:tcBorders>
              <w:tl2br w:val="nil"/>
              <w:tr2bl w:val="nil"/>
            </w:tcBorders>
            <w:vAlign w:val="center"/>
          </w:tcPr>
          <w:p w14:paraId="6A4C21B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纸质投标文件</w:t>
            </w:r>
          </w:p>
        </w:tc>
        <w:tc>
          <w:tcPr>
            <w:tcW w:w="6764" w:type="dxa"/>
            <w:tcBorders>
              <w:tl2br w:val="nil"/>
              <w:tr2bl w:val="nil"/>
            </w:tcBorders>
            <w:vAlign w:val="center"/>
          </w:tcPr>
          <w:p w14:paraId="5A490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中标人在签订合同前需根据采购人要求提供与电子投标文件一致的纸质投标文件至少三份。</w:t>
            </w:r>
          </w:p>
        </w:tc>
      </w:tr>
      <w:tr w14:paraId="72C5D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75" w:type="dxa"/>
            <w:tcBorders>
              <w:tl2br w:val="nil"/>
              <w:tr2bl w:val="nil"/>
            </w:tcBorders>
            <w:vAlign w:val="center"/>
          </w:tcPr>
          <w:p w14:paraId="57BDDF1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54" w:type="dxa"/>
            <w:tcBorders>
              <w:tl2br w:val="nil"/>
              <w:tr2bl w:val="nil"/>
            </w:tcBorders>
            <w:vAlign w:val="center"/>
          </w:tcPr>
          <w:p w14:paraId="29D8947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w:t>
            </w:r>
          </w:p>
        </w:tc>
        <w:tc>
          <w:tcPr>
            <w:tcW w:w="6764" w:type="dxa"/>
            <w:tcBorders>
              <w:tl2br w:val="nil"/>
              <w:tr2bl w:val="nil"/>
            </w:tcBorders>
            <w:vAlign w:val="center"/>
          </w:tcPr>
          <w:p w14:paraId="0D770F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①公益一类事业单位不属于政府购买服务的承接主体，不得参与承接政府购买服务。</w:t>
            </w:r>
          </w:p>
          <w:p w14:paraId="3722D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以联合体形式参加政府采购活动的，联合体各方不得再单独参加或者与其他投标人另外组成联合体参加同一合同项下的政府采购活动</w:t>
            </w:r>
            <w:r>
              <w:rPr>
                <w:rFonts w:hint="eastAsia" w:ascii="宋体" w:hAnsi="宋体" w:eastAsia="宋体" w:cs="宋体"/>
                <w:color w:val="auto"/>
                <w:szCs w:val="21"/>
                <w:highlight w:val="none"/>
                <w:lang w:eastAsia="zh-CN"/>
              </w:rPr>
              <w:t>。</w:t>
            </w:r>
          </w:p>
          <w:p w14:paraId="3D145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规定如有与法律法规冲突的，以法律法规为准。</w:t>
            </w:r>
          </w:p>
          <w:p w14:paraId="3EDD1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④解释：本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的解释权属于采购人。</w:t>
            </w:r>
          </w:p>
        </w:tc>
      </w:tr>
    </w:tbl>
    <w:p w14:paraId="5628120C">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注：下文如有与本附表不一致处以本表为准。</w:t>
      </w:r>
    </w:p>
    <w:p w14:paraId="6B62ED6B">
      <w:pPr>
        <w:snapToGrid w:val="0"/>
        <w:spacing w:before="120" w:after="12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  则</w:t>
      </w:r>
    </w:p>
    <w:p w14:paraId="729D399F">
      <w:pPr>
        <w:pageBreakBefore w:val="0"/>
        <w:kinsoku/>
        <w:wordWrap/>
        <w:overflowPunct/>
        <w:topLinePunct w:val="0"/>
        <w:bidi w:val="0"/>
        <w:adjustRightIn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6501407D">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适用于该项目的招标、投标、开标、资格审查及信用信息查询、评标、定标、合同、验收等行为（法律法规另有规定的，从其规定）。</w:t>
      </w:r>
    </w:p>
    <w:p w14:paraId="455A1A24">
      <w:pPr>
        <w:pageBreakBefore w:val="0"/>
        <w:kinsoku/>
        <w:wordWrap/>
        <w:overflowPunct/>
        <w:topLinePunct w:val="0"/>
        <w:bidi w:val="0"/>
        <w:adjustRightIn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7429FF2C">
      <w:pPr>
        <w:pStyle w:val="9"/>
        <w:pageBreakBefore w:val="0"/>
        <w:kinsoku/>
        <w:wordWrap/>
        <w:overflowPunct/>
        <w:topLinePunct w:val="0"/>
        <w:bidi w:val="0"/>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2.1 “采购人”：详见前附表。</w:t>
      </w:r>
    </w:p>
    <w:p w14:paraId="1BAAABB9">
      <w:pPr>
        <w:pStyle w:val="9"/>
        <w:pageBreakBefore w:val="0"/>
        <w:kinsoku/>
        <w:wordWrap/>
        <w:overflowPunct/>
        <w:topLinePunct w:val="0"/>
        <w:bidi w:val="0"/>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2.2 “采购代理机构”：详见前附表。</w:t>
      </w:r>
    </w:p>
    <w:p w14:paraId="2FA7BB1E">
      <w:pPr>
        <w:pageBreakBefore w:val="0"/>
        <w:kinsoku/>
        <w:wordWrap/>
        <w:overflowPunct/>
        <w:topLinePunct w:val="0"/>
        <w:bidi w:val="0"/>
        <w:adjustRightInd w:val="0"/>
        <w:snapToGrid w:val="0"/>
        <w:spacing w:line="44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“监督管理部门”系指浦江县财政局政府采购监管科。</w:t>
      </w:r>
    </w:p>
    <w:p w14:paraId="3DCEF256">
      <w:pPr>
        <w:pStyle w:val="9"/>
        <w:pageBreakBefore w:val="0"/>
        <w:kinsoku/>
        <w:wordWrap/>
        <w:overflowPunct/>
        <w:topLinePunct w:val="0"/>
        <w:bidi w:val="0"/>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 xml:space="preserve"> “投标人”系指是指响应招标、参加投标竞争的法人、其他组织或者自然人。</w:t>
      </w:r>
    </w:p>
    <w:p w14:paraId="4475236B">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 xml:space="preserve"> “负责人”系指法人企业的法定负责人，或</w:t>
      </w:r>
      <w:r>
        <w:rPr>
          <w:rFonts w:hint="eastAsia" w:ascii="宋体" w:hAnsi="宋体" w:eastAsia="宋体" w:cs="宋体"/>
          <w:color w:val="auto"/>
          <w:highlight w:val="none"/>
        </w:rPr>
        <w:t>其他组织为法律、行政法规规定代表单位行使职权的主要负责人，或自然人本人。</w:t>
      </w:r>
    </w:p>
    <w:p w14:paraId="11E59B7A">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“货物”系指投标人按投标文件或合同要求，须向采购人提供的一切材料、设备、机械、仪器、备件、配件、工具、手册及其他技术资料和文字材料。</w:t>
      </w:r>
    </w:p>
    <w:p w14:paraId="009D01B7">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“服务”系指投标人按投标文件或合同要求须承担的相关服务及义务。</w:t>
      </w:r>
    </w:p>
    <w:p w14:paraId="67DCE612">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“投标文件”系指投标人提交的投标文件。</w:t>
      </w:r>
    </w:p>
    <w:p w14:paraId="6ECE64C3">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“书面形式”是合同书、信件、电报、电传、传真等可以有形地表现所载内容的形式。以电子数据交换、电子邮件等方式能够有形地表现所载内容，并可以随时调取查用的数据电文，视为书面形式。</w:t>
      </w:r>
    </w:p>
    <w:p w14:paraId="2ADCF886">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 “电子交易活动”是指以数据电文形式，依托政府采购项目电子交易平台（简称电子交易平台，详见前附表）进行的政府采购交易活动。</w:t>
      </w:r>
    </w:p>
    <w:p w14:paraId="7B7F5F4E">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“电子签名”系指数据电文中以电子形式所含、所附用于识别签名人身份并表明签名人认可其中内容的数据；“公章”系指单位法定名称章。</w:t>
      </w:r>
    </w:p>
    <w:p w14:paraId="33E61FFE">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 系指实质性要求条款，“★”系产品采购项目中重要技术参数，“</w:t>
      </w:r>
      <w:r>
        <w:rPr>
          <w:rFonts w:hint="eastAsia" w:ascii="宋体" w:hAnsi="宋体" w:eastAsia="宋体" w:cs="宋体"/>
          <w:color w:val="auto"/>
          <w:highlight w:val="none"/>
        </w:rPr>
        <w:sym w:font="Wingdings" w:char="00FE"/>
      </w:r>
      <w:r>
        <w:rPr>
          <w:rFonts w:hint="eastAsia" w:ascii="宋体" w:hAnsi="宋体" w:eastAsia="宋体" w:cs="宋体"/>
          <w:color w:val="auto"/>
          <w:highlight w:val="none"/>
        </w:rPr>
        <w:t>” 系指适用本项目的要求，“☐” 系指不适用本项目的要求。</w:t>
      </w:r>
    </w:p>
    <w:p w14:paraId="26874F8B">
      <w:pPr>
        <w:pStyle w:val="9"/>
        <w:pageBreakBefore w:val="0"/>
        <w:kinsoku/>
        <w:wordWrap/>
        <w:overflowPunct/>
        <w:topLinePunct w:val="0"/>
        <w:bidi w:val="0"/>
        <w:spacing w:line="440" w:lineRule="exact"/>
        <w:rPr>
          <w:rFonts w:hint="eastAsia" w:ascii="宋体" w:hAnsi="宋体" w:eastAsia="宋体" w:cs="宋体"/>
          <w:color w:val="auto"/>
          <w:highlight w:val="none"/>
        </w:rPr>
      </w:pPr>
      <w:bookmarkStart w:id="1" w:name="_Toc183786416"/>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官方指定网站公示的内容视为书面告知。</w:t>
      </w:r>
    </w:p>
    <w:p w14:paraId="59E3BA95">
      <w:pPr>
        <w:pageBreakBefore w:val="0"/>
        <w:kinsoku/>
        <w:wordWrap/>
        <w:overflowPunct/>
        <w:topLinePunct w:val="0"/>
        <w:bidi w:val="0"/>
        <w:adjustRightIn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相关说明</w:t>
      </w:r>
    </w:p>
    <w:p w14:paraId="3D05FCA6">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.1 投标费用</w:t>
      </w:r>
      <w:r>
        <w:rPr>
          <w:rFonts w:hint="eastAsia" w:eastAsia="宋体" w:cs="宋体"/>
          <w:color w:val="auto"/>
          <w:highlight w:val="none"/>
          <w:lang w:eastAsia="zh-CN"/>
        </w:rPr>
        <w:t>：</w:t>
      </w:r>
      <w:r>
        <w:rPr>
          <w:rFonts w:hint="eastAsia" w:ascii="宋体" w:hAnsi="宋体" w:eastAsia="宋体" w:cs="宋体"/>
          <w:color w:val="auto"/>
          <w:highlight w:val="none"/>
        </w:rPr>
        <w:t>投标人应承担其参加投标所涉及的一切费用，不管投标结果如何，采购人对这些费用不负任何责任。</w:t>
      </w:r>
    </w:p>
    <w:p w14:paraId="30802443">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.2 投标人应仔细阅读采购文件的所有内容，按照采购文件的要求提交投标文件。投标文件应对采购文件的要求作出实质性响应，并对所提供的全部资料的真实性承担法律责任。</w:t>
      </w:r>
    </w:p>
    <w:p w14:paraId="17FA3572">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.3采购项目需要公开的有关信息，包括招标公告、招标文件澄清或更正公告、中标结果公告等通知，采购代理机构将通过指定信息发布媒体公开。</w:t>
      </w:r>
    </w:p>
    <w:p w14:paraId="398CC487">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.4投标人在参与本项目电子交易活动期间，请及时关注指定信息发布媒体的相关信息，投标人因没有及时关注而未能如期获取相关信息，是投标人的风险，采购人或者采购代理机构对此不承担任何责任。</w:t>
      </w:r>
    </w:p>
    <w:p w14:paraId="7F3BB674">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.5投标人投标所使用的资格、信誉、荣誉、业绩与企业认证必须为本法人所拥有。投标人投标所使用的采购项目实施人员必须为本法人员工。有业务承续关系的母子控股公司等可视作为统一法人主体。</w:t>
      </w:r>
    </w:p>
    <w:p w14:paraId="1C10A669">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w:t>
      </w:r>
      <w:r>
        <w:rPr>
          <w:rFonts w:hint="eastAsia" w:eastAsia="宋体" w:cs="宋体"/>
          <w:color w:val="auto"/>
          <w:highlight w:val="none"/>
          <w:lang w:val="en-US" w:eastAsia="zh-CN"/>
        </w:rPr>
        <w:t>6</w:t>
      </w:r>
      <w:r>
        <w:rPr>
          <w:rFonts w:hint="eastAsia" w:ascii="宋体" w:hAnsi="宋体" w:eastAsia="宋体" w:cs="宋体"/>
          <w:color w:val="auto"/>
          <w:highlight w:val="none"/>
        </w:rPr>
        <w:t>投标人在投标活动中提供任何虚假材料，其投标无效，并报监管部门查处；中标后发现的，根据《浙江省政府采购投标人注册及诚信管理暂行办法的通知》规定进行处罚；还将依照《中华人民共和国消费者权益保护法》第55条之规定由中标人双倍赔偿采购人，且民事赔偿并不免除违法投标人的行政与刑事责任。</w:t>
      </w:r>
    </w:p>
    <w:p w14:paraId="43D2111A">
      <w:pPr>
        <w:pStyle w:val="9"/>
        <w:pageBreakBefore w:val="0"/>
        <w:kinsoku/>
        <w:wordWrap/>
        <w:overflowPunct/>
        <w:topLinePunct w:val="0"/>
        <w:bidi w:val="0"/>
        <w:spacing w:line="440" w:lineRule="exact"/>
        <w:ind w:firstLine="0" w:firstLineChars="0"/>
        <w:rPr>
          <w:rFonts w:hint="eastAsia" w:ascii="宋体" w:hAnsi="宋体" w:eastAsia="宋体" w:cs="宋体"/>
          <w:b/>
          <w:bCs/>
          <w:color w:val="auto"/>
          <w:highlight w:val="none"/>
        </w:rPr>
      </w:pPr>
      <w:r>
        <w:rPr>
          <w:rFonts w:hint="eastAsia" w:eastAsia="宋体" w:cs="宋体"/>
          <w:b/>
          <w:bCs/>
          <w:color w:val="auto"/>
          <w:szCs w:val="24"/>
          <w:highlight w:val="none"/>
          <w:lang w:val="en-US" w:eastAsia="zh-CN"/>
        </w:rPr>
        <w:t>4</w:t>
      </w:r>
      <w:r>
        <w:rPr>
          <w:rFonts w:hint="eastAsia" w:ascii="宋体" w:hAnsi="宋体" w:eastAsia="宋体" w:cs="宋体"/>
          <w:b/>
          <w:bCs/>
          <w:color w:val="auto"/>
          <w:szCs w:val="24"/>
          <w:highlight w:val="none"/>
        </w:rPr>
        <w:t>．</w:t>
      </w:r>
      <w:r>
        <w:rPr>
          <w:rFonts w:hint="eastAsia" w:ascii="宋体" w:hAnsi="宋体" w:eastAsia="宋体" w:cs="宋体"/>
          <w:b/>
          <w:bCs/>
          <w:color w:val="auto"/>
          <w:highlight w:val="none"/>
        </w:rPr>
        <w:t>对采购人员的限制</w:t>
      </w:r>
    </w:p>
    <w:p w14:paraId="561BCE4F">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在政府采购活动中，采购人员及相关人员与投标人有下列利害关系之一的，应当回避：</w:t>
      </w:r>
    </w:p>
    <w:p w14:paraId="60715F45">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4.1.1</w:t>
      </w:r>
      <w:r>
        <w:rPr>
          <w:rFonts w:hint="eastAsia" w:ascii="宋体" w:hAnsi="宋体" w:eastAsia="宋体" w:cs="宋体"/>
          <w:color w:val="auto"/>
          <w:highlight w:val="none"/>
        </w:rPr>
        <w:t>参加采购活动前3年内与投标人存在劳动关系；</w:t>
      </w:r>
    </w:p>
    <w:p w14:paraId="0BF39D61">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4.1.2</w:t>
      </w:r>
      <w:r>
        <w:rPr>
          <w:rFonts w:hint="eastAsia" w:ascii="宋体" w:hAnsi="宋体" w:eastAsia="宋体" w:cs="宋体"/>
          <w:color w:val="auto"/>
          <w:highlight w:val="none"/>
        </w:rPr>
        <w:t>参加采购活动前3年内担任投标人的董事、监事；</w:t>
      </w:r>
    </w:p>
    <w:p w14:paraId="48542C0D">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4.1.3</w:t>
      </w:r>
      <w:r>
        <w:rPr>
          <w:rFonts w:hint="eastAsia" w:ascii="宋体" w:hAnsi="宋体" w:eastAsia="宋体" w:cs="宋体"/>
          <w:color w:val="auto"/>
          <w:highlight w:val="none"/>
        </w:rPr>
        <w:t>参加采购活动前3年内是投标人的控股股东或者实际控制人；</w:t>
      </w:r>
    </w:p>
    <w:p w14:paraId="612B2F7F">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4.1.4</w:t>
      </w:r>
      <w:r>
        <w:rPr>
          <w:rFonts w:hint="eastAsia" w:ascii="宋体" w:hAnsi="宋体" w:eastAsia="宋体" w:cs="宋体"/>
          <w:color w:val="auto"/>
          <w:highlight w:val="none"/>
        </w:rPr>
        <w:t>与投标人的法定代表人或者负责人有夫妻、直系血亲、三代以内旁系血亲或者近姻亲关系；</w:t>
      </w:r>
    </w:p>
    <w:p w14:paraId="19570E88">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4.1.5</w:t>
      </w:r>
      <w:r>
        <w:rPr>
          <w:rFonts w:hint="eastAsia" w:ascii="宋体" w:hAnsi="宋体" w:eastAsia="宋体" w:cs="宋体"/>
          <w:color w:val="auto"/>
          <w:highlight w:val="none"/>
        </w:rPr>
        <w:t>与投标人有其他可能影响政府采购活动公平、公正进行的关系。</w:t>
      </w:r>
    </w:p>
    <w:p w14:paraId="61379D08">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17C53C89">
      <w:pPr>
        <w:pStyle w:val="9"/>
        <w:pageBreakBefore w:val="0"/>
        <w:kinsoku/>
        <w:wordWrap/>
        <w:overflowPunct/>
        <w:topLinePunct w:val="0"/>
        <w:bidi w:val="0"/>
        <w:spacing w:line="440" w:lineRule="exact"/>
        <w:ind w:firstLine="0" w:firstLineChars="0"/>
        <w:rPr>
          <w:rFonts w:hint="eastAsia" w:ascii="宋体" w:hAnsi="宋体" w:eastAsia="宋体" w:cs="宋体"/>
          <w:b/>
          <w:bCs/>
          <w:color w:val="auto"/>
          <w:highlight w:val="none"/>
        </w:rPr>
      </w:pPr>
      <w:r>
        <w:rPr>
          <w:rFonts w:hint="eastAsia" w:eastAsia="宋体" w:cs="宋体"/>
          <w:b/>
          <w:bCs/>
          <w:color w:val="auto"/>
          <w:szCs w:val="24"/>
          <w:highlight w:val="none"/>
          <w:lang w:val="en-US" w:eastAsia="zh-CN"/>
        </w:rPr>
        <w:t>5</w:t>
      </w:r>
      <w:r>
        <w:rPr>
          <w:rFonts w:hint="eastAsia" w:ascii="宋体" w:hAnsi="宋体" w:eastAsia="宋体" w:cs="宋体"/>
          <w:b/>
          <w:bCs/>
          <w:color w:val="auto"/>
          <w:szCs w:val="24"/>
          <w:highlight w:val="none"/>
        </w:rPr>
        <w:t>．</w:t>
      </w:r>
      <w:r>
        <w:rPr>
          <w:rFonts w:hint="eastAsia" w:ascii="宋体" w:hAnsi="宋体" w:eastAsia="宋体" w:cs="宋体"/>
          <w:b/>
          <w:bCs/>
          <w:color w:val="auto"/>
          <w:highlight w:val="none"/>
        </w:rPr>
        <w:t>采购项目需要落实的政府采购政策</w:t>
      </w:r>
    </w:p>
    <w:p w14:paraId="591BDE5A">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eastAsia="宋体" w:cs="宋体"/>
          <w:color w:val="auto"/>
          <w:highlight w:val="none"/>
        </w:rPr>
        <w:t>（但如果因信息不对称等原因，仍有满足需求的国内产品要求参与采购竞争的，采购人、采购机构不会对其加以限制，仍将按照公平竞争原则实施采购），未明确视同不得采购进口产品。</w:t>
      </w:r>
    </w:p>
    <w:p w14:paraId="6E6C123C">
      <w:pPr>
        <w:pStyle w:val="9"/>
        <w:pageBreakBefore w:val="0"/>
        <w:kinsoku/>
        <w:wordWrap/>
        <w:overflowPunct/>
        <w:topLinePunct w:val="0"/>
        <w:bidi w:val="0"/>
        <w:spacing w:line="440" w:lineRule="exact"/>
        <w:rPr>
          <w:rFonts w:hint="eastAsia" w:ascii="宋体" w:hAnsi="宋体" w:eastAsia="宋体" w:cs="宋体"/>
          <w:b/>
          <w:bCs/>
          <w:color w:val="auto"/>
          <w:highlight w:val="none"/>
        </w:rPr>
      </w:pPr>
      <w:r>
        <w:rPr>
          <w:rFonts w:hint="eastAsia" w:eastAsia="宋体" w:cs="宋体"/>
          <w:b/>
          <w:bCs/>
          <w:color w:val="auto"/>
          <w:highlight w:val="none"/>
          <w:lang w:val="en-US" w:eastAsia="zh-CN"/>
        </w:rPr>
        <w:t>5</w:t>
      </w:r>
      <w:r>
        <w:rPr>
          <w:rFonts w:hint="eastAsia" w:ascii="宋体" w:hAnsi="宋体" w:eastAsia="宋体" w:cs="宋体"/>
          <w:b/>
          <w:bCs/>
          <w:color w:val="auto"/>
          <w:highlight w:val="none"/>
        </w:rPr>
        <w:t>.2 支持绿色发展</w:t>
      </w:r>
    </w:p>
    <w:p w14:paraId="0904231F">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.2.1</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w:t>
      </w:r>
      <w:r>
        <w:rPr>
          <w:rFonts w:hint="eastAsia" w:ascii="宋体" w:hAnsi="宋体" w:eastAsia="宋体" w:cs="宋体"/>
          <w:color w:val="auto"/>
          <w:highlight w:val="none"/>
        </w:rPr>
        <w:t>证书。</w:t>
      </w:r>
    </w:p>
    <w:p w14:paraId="09F8039E">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w:t>
      </w:r>
      <w:r>
        <w:rPr>
          <w:rFonts w:hint="eastAsia" w:ascii="宋体" w:hAnsi="宋体" w:eastAsia="宋体" w:cs="宋体"/>
          <w:color w:val="auto"/>
          <w:highlight w:val="none"/>
        </w:rPr>
        <w:t>采购人拟采购的产品属于政府强制采购的节能产品品目清单范围的，供应商未按采购文件要求提供国家确定的认证机构出具的、处于有效期之内的节能产品认证证书的，投标无效。</w:t>
      </w:r>
    </w:p>
    <w:p w14:paraId="4AD676B9">
      <w:pPr>
        <w:pStyle w:val="9"/>
        <w:pageBreakBefore w:val="0"/>
        <w:kinsoku/>
        <w:wordWrap/>
        <w:overflowPunct/>
        <w:topLinePunct w:val="0"/>
        <w:bidi w:val="0"/>
        <w:spacing w:line="440" w:lineRule="exact"/>
        <w:rPr>
          <w:rFonts w:hint="eastAsia" w:ascii="宋体" w:hAnsi="宋体" w:eastAsia="宋体" w:cs="宋体"/>
          <w:color w:val="auto"/>
          <w:highlight w:val="none"/>
          <w:lang w:eastAsia="zh-CN"/>
        </w:rPr>
      </w:pPr>
      <w:r>
        <w:rPr>
          <w:rFonts w:hint="eastAsia" w:eastAsia="宋体" w:cs="宋体"/>
          <w:color w:val="auto"/>
          <w:highlight w:val="none"/>
          <w:lang w:val="en-US" w:eastAsia="zh-CN"/>
        </w:rPr>
        <w:t>5</w:t>
      </w:r>
      <w:r>
        <w:rPr>
          <w:rFonts w:hint="eastAsia" w:ascii="宋体" w:hAnsi="宋体" w:eastAsia="宋体" w:cs="宋体"/>
          <w:color w:val="auto"/>
          <w:highlight w:val="none"/>
        </w:rPr>
        <w:t>.2.2修缮、装修类项目采购建材的，采购人应将绿色建筑和绿色建材性能、指标等作为实质性条件纳入采购文件和合同</w:t>
      </w:r>
      <w:r>
        <w:rPr>
          <w:rFonts w:hint="eastAsia" w:ascii="宋体" w:hAnsi="宋体" w:eastAsia="宋体" w:cs="宋体"/>
          <w:color w:val="auto"/>
          <w:highlight w:val="none"/>
          <w:lang w:eastAsia="zh-CN"/>
        </w:rPr>
        <w:t>。</w:t>
      </w:r>
    </w:p>
    <w:p w14:paraId="09BD706C">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C0576A">
      <w:pPr>
        <w:pStyle w:val="9"/>
        <w:pageBreakBefore w:val="0"/>
        <w:kinsoku/>
        <w:wordWrap/>
        <w:overflowPunct/>
        <w:topLinePunct w:val="0"/>
        <w:bidi w:val="0"/>
        <w:spacing w:line="440" w:lineRule="exact"/>
        <w:rPr>
          <w:rFonts w:hint="eastAsia" w:ascii="宋体" w:hAnsi="宋体" w:eastAsia="宋体" w:cs="宋体"/>
          <w:b/>
          <w:bCs/>
          <w:color w:val="auto"/>
          <w:highlight w:val="none"/>
        </w:rPr>
      </w:pPr>
      <w:r>
        <w:rPr>
          <w:rFonts w:hint="eastAsia" w:eastAsia="宋体" w:cs="宋体"/>
          <w:b/>
          <w:bCs/>
          <w:color w:val="auto"/>
          <w:highlight w:val="none"/>
          <w:lang w:val="en-US" w:eastAsia="zh-CN"/>
        </w:rPr>
        <w:t>5</w:t>
      </w:r>
      <w:r>
        <w:rPr>
          <w:rFonts w:hint="eastAsia" w:ascii="宋体" w:hAnsi="宋体" w:eastAsia="宋体" w:cs="宋体"/>
          <w:b/>
          <w:bCs/>
          <w:color w:val="auto"/>
          <w:highlight w:val="none"/>
        </w:rPr>
        <w:t>.3支持中小企业发展</w:t>
      </w:r>
    </w:p>
    <w:p w14:paraId="5A6B3320">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EB4F84">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7D45924D">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.3.2在政府采购活动中，供应商提供的货物、工程或者服务符合下列情形的，享受中小企业扶持政策：</w:t>
      </w:r>
    </w:p>
    <w:p w14:paraId="145432B6">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.3.2.1在货物采购项目中，货物由中小企业制造，即货物由中小企业生产且使用该中小企业商号或者注册商标；</w:t>
      </w:r>
    </w:p>
    <w:p w14:paraId="56DF7C3D">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.3.2.2在工程采购项目中，工程由中小企业承建，即工程施工单位为中小企业；</w:t>
      </w:r>
    </w:p>
    <w:p w14:paraId="7584103F">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.3.2.3在服务采购项目中，服务由中小企业承接，即提供服务的人员为中小企业依照《中华人民共和国劳动合同法》订立劳动合同的从业人员。</w:t>
      </w:r>
    </w:p>
    <w:p w14:paraId="06966400">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在货物采购项目中，供应商提供的货物既有中小企业制造货物，也有大型企业制造货物的，不享受中小企业扶持政策。</w:t>
      </w:r>
    </w:p>
    <w:p w14:paraId="68E988CD">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BC4F198">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2686D35">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.3.4符合《关于促进残疾人就业政府采购政策的通知》（财库〔2017〕141号）规定的条件并提供《残疾人福利性单位声明函》（格式附后）的残疾人福利性单位视同小型、微型企业；</w:t>
      </w:r>
    </w:p>
    <w:p w14:paraId="29A4B95A">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142FA0">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highlight w:val="none"/>
          <w:lang w:val="en-US" w:eastAsia="zh-CN" w:bidi="ar-SA"/>
        </w:rPr>
        <w:t>5.3.6</w:t>
      </w:r>
      <w:r>
        <w:rPr>
          <w:rFonts w:hint="eastAsia" w:ascii="宋体" w:hAnsi="宋体" w:eastAsia="宋体" w:cs="宋体"/>
          <w:color w:val="auto"/>
          <w:sz w:val="24"/>
          <w:szCs w:val="24"/>
          <w:highlight w:val="none"/>
        </w:rPr>
        <w:t>可享受中小企业扶持政策的供应商应按照采购文件格式要求提供《中小企业声明函》</w:t>
      </w:r>
      <w:r>
        <w:rPr>
          <w:rFonts w:hint="eastAsia" w:ascii="宋体" w:hAnsi="宋体" w:eastAsia="宋体" w:cs="宋体"/>
          <w:color w:val="auto"/>
          <w:sz w:val="24"/>
          <w:szCs w:val="24"/>
          <w:highlight w:val="none"/>
          <w:lang w:val="en-US" w:eastAsia="zh-CN"/>
        </w:rPr>
        <w:t>，供应商提供的《中小企业声明函》与实际情况不符的，不享受中小企业扶持政策。声明内容不实的，属于提供虚假材料谋取中标、成交的，依法承担法律责任。</w:t>
      </w:r>
    </w:p>
    <w:p w14:paraId="23971DFD">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.3.7中小企业享受扶持政策获得政府采购合同的，小微企业不得将合同分包给大中型企业，中型企业不得将合同分包给大型企业。</w:t>
      </w:r>
    </w:p>
    <w:p w14:paraId="67B27E25">
      <w:pPr>
        <w:pStyle w:val="9"/>
        <w:pageBreakBefore w:val="0"/>
        <w:kinsoku/>
        <w:wordWrap/>
        <w:overflowPunct/>
        <w:topLinePunct w:val="0"/>
        <w:bidi w:val="0"/>
        <w:spacing w:line="440" w:lineRule="exact"/>
        <w:rPr>
          <w:rFonts w:hint="eastAsia" w:ascii="宋体" w:hAnsi="宋体" w:eastAsia="宋体" w:cs="宋体"/>
          <w:b/>
          <w:bCs/>
          <w:color w:val="auto"/>
          <w:highlight w:val="none"/>
        </w:rPr>
      </w:pPr>
      <w:r>
        <w:rPr>
          <w:rFonts w:hint="eastAsia" w:eastAsia="宋体" w:cs="宋体"/>
          <w:b/>
          <w:bCs/>
          <w:color w:val="auto"/>
          <w:highlight w:val="none"/>
          <w:lang w:val="en-US" w:eastAsia="zh-CN"/>
        </w:rPr>
        <w:t>5</w:t>
      </w:r>
      <w:r>
        <w:rPr>
          <w:rFonts w:hint="eastAsia" w:ascii="宋体" w:hAnsi="宋体" w:eastAsia="宋体" w:cs="宋体"/>
          <w:b/>
          <w:bCs/>
          <w:color w:val="auto"/>
          <w:highlight w:val="none"/>
        </w:rPr>
        <w:t>.4支持创新发展</w:t>
      </w:r>
    </w:p>
    <w:p w14:paraId="0DC27098">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.4.1 采购人优先采购被认定为首台套产品和“制造精品”的自主创新产品。</w:t>
      </w:r>
    </w:p>
    <w:p w14:paraId="6282D6F9">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399358">
      <w:pPr>
        <w:pStyle w:val="9"/>
        <w:pageBreakBefore w:val="0"/>
        <w:kinsoku/>
        <w:wordWrap/>
        <w:overflowPunct/>
        <w:topLinePunct w:val="0"/>
        <w:bidi w:val="0"/>
        <w:spacing w:line="440" w:lineRule="exact"/>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ascii="宋体" w:hAnsi="宋体" w:eastAsia="宋体" w:cs="宋体"/>
          <w:color w:val="auto"/>
          <w:highlight w:val="none"/>
        </w:rPr>
        <w:t>供应商发</w:t>
      </w:r>
      <w:r>
        <w:rPr>
          <w:rFonts w:hint="eastAsia" w:ascii="宋体" w:hAnsi="宋体" w:eastAsia="宋体" w:cs="宋体"/>
          <w:color w:val="auto"/>
          <w:highlight w:val="none"/>
        </w:rPr>
        <w:t>放贷款的一种融资方式。</w:t>
      </w:r>
      <w:r>
        <w:rPr>
          <w:rFonts w:hint="eastAsia" w:ascii="宋体" w:hAnsi="宋体" w:eastAsia="宋体" w:cs="宋体"/>
          <w:color w:val="auto"/>
          <w:highlight w:val="none"/>
        </w:rPr>
        <w:t>供应商</w:t>
      </w:r>
      <w:r>
        <w:rPr>
          <w:rFonts w:hint="eastAsia" w:ascii="宋体" w:hAnsi="宋体" w:eastAsia="宋体" w:cs="宋体"/>
          <w:color w:val="auto"/>
          <w:highlight w:val="none"/>
        </w:rPr>
        <w:t>可登录浙江政府采购网( https://zfcg.czt.zj.gov.cn/)的中小企业信用融资栏目了解相关信息。供应商可以通过浙江政府采购网(https://zfcg.czt.zj.gov.cn/)首页的“浙江政采贷”模块进入申请，还可以通过政府采购云平台(www.zcygov.cn)首页的“金融服务”模块进入申请。</w:t>
      </w:r>
    </w:p>
    <w:p w14:paraId="65B555C9">
      <w:pPr>
        <w:pageBreakBefore w:val="0"/>
        <w:kinsoku/>
        <w:wordWrap/>
        <w:overflowPunct/>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.询问、质疑、投诉</w:t>
      </w:r>
    </w:p>
    <w:p w14:paraId="1F1D7A6B">
      <w:pPr>
        <w:pageBreakBefore w:val="0"/>
        <w:kinsoku/>
        <w:wordWrap/>
        <w:overflowPunct/>
        <w:topLinePunct w:val="0"/>
        <w:bidi w:val="0"/>
        <w:spacing w:line="44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zh-CN"/>
        </w:rPr>
        <w:t>供应商询问</w:t>
      </w:r>
    </w:p>
    <w:p w14:paraId="221E6BF6">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供应商对政府采购活动事项有疑问的，可以</w:t>
      </w:r>
      <w:r>
        <w:rPr>
          <w:rFonts w:hint="eastAsia" w:ascii="宋体" w:hAnsi="宋体" w:eastAsia="宋体" w:cs="宋体"/>
          <w:color w:val="auto"/>
          <w:sz w:val="24"/>
          <w:szCs w:val="24"/>
          <w:highlight w:val="none"/>
          <w:lang w:val="zh-CN"/>
        </w:rPr>
        <w:t>向采购人或采购代理机构</w:t>
      </w:r>
      <w:r>
        <w:rPr>
          <w:rFonts w:hint="eastAsia" w:ascii="宋体" w:hAnsi="宋体" w:eastAsia="宋体" w:cs="宋体"/>
          <w:color w:val="auto"/>
          <w:sz w:val="24"/>
          <w:szCs w:val="24"/>
          <w:highlight w:val="none"/>
          <w:lang w:val="zh-CN"/>
        </w:rPr>
        <w:t>提出询问，采购人</w:t>
      </w:r>
      <w:r>
        <w:rPr>
          <w:rFonts w:hint="eastAsia" w:ascii="宋体" w:hAnsi="宋体" w:eastAsia="宋体" w:cs="宋体"/>
          <w:color w:val="auto"/>
          <w:sz w:val="24"/>
          <w:szCs w:val="24"/>
          <w:highlight w:val="none"/>
          <w:lang w:val="zh-CN"/>
        </w:rPr>
        <w:t>或采购代理机构</w:t>
      </w:r>
      <w:r>
        <w:rPr>
          <w:rFonts w:hint="eastAsia" w:ascii="宋体" w:hAnsi="宋体" w:eastAsia="宋体" w:cs="宋体"/>
          <w:color w:val="auto"/>
          <w:sz w:val="24"/>
          <w:szCs w:val="24"/>
          <w:highlight w:val="none"/>
          <w:lang w:val="zh-CN"/>
        </w:rPr>
        <w:t>应当在3个工作日内对供应商依法提出的询问作出答复，但答复的内容不得涉及商业秘密。（供应商可以在政采云系统里在线提起询问，路径为：政采云-项目采购-询问质疑投诉-询问列表）</w:t>
      </w:r>
    </w:p>
    <w:p w14:paraId="5DF4880B">
      <w:pPr>
        <w:pageBreakBefore w:val="0"/>
        <w:kinsoku/>
        <w:wordWrap/>
        <w:overflowPunct/>
        <w:topLinePunct w:val="0"/>
        <w:bidi w:val="0"/>
        <w:spacing w:line="44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zh-CN"/>
        </w:rPr>
        <w:t>供应商质疑</w:t>
      </w:r>
    </w:p>
    <w:p w14:paraId="49007C0A">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供应商认为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、采购过程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rPr>
        <w:t>结果使自己的权益受到损害的，可以在知道或者应知其权益受到损害之日起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个工作日内，以书面形式向采购人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机构提出质疑，</w:t>
      </w:r>
      <w:r>
        <w:rPr>
          <w:rFonts w:hint="eastAsia" w:ascii="宋体" w:hAnsi="宋体" w:eastAsia="宋体" w:cs="宋体"/>
          <w:color w:val="auto"/>
          <w:sz w:val="24"/>
          <w:szCs w:val="24"/>
          <w:highlight w:val="none"/>
        </w:rPr>
        <w:t>逾期提出的，</w:t>
      </w:r>
      <w:r>
        <w:rPr>
          <w:rFonts w:hint="eastAsia" w:ascii="宋体" w:hAnsi="宋体" w:eastAsia="宋体" w:cs="宋体"/>
          <w:color w:val="auto"/>
          <w:sz w:val="24"/>
          <w:szCs w:val="24"/>
          <w:highlight w:val="none"/>
        </w:rPr>
        <w:t>采购人或者采购机构不予受理：</w:t>
      </w:r>
    </w:p>
    <w:p w14:paraId="684AEF86">
      <w:pPr>
        <w:pageBreakBefore w:val="0"/>
        <w:kinsoku/>
        <w:wordWrap/>
        <w:overflowPunct/>
        <w:topLinePunct w:val="0"/>
        <w:bidi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本项目要求投标人在法定质疑期内一次性提出针对同一采购程序环节的质疑。</w:t>
      </w:r>
    </w:p>
    <w:p w14:paraId="0FF740F2">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提出质疑的，质疑期限为供应商获得</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之日或者</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公告期限届满之日起计算。</w:t>
      </w:r>
    </w:p>
    <w:p w14:paraId="45A3347F">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对采购过程提出质疑的，质疑期限为各采购程序环节结束之日起计算。</w:t>
      </w:r>
    </w:p>
    <w:p w14:paraId="74A1E15E">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中标或成交</w:t>
      </w:r>
      <w:r>
        <w:rPr>
          <w:rFonts w:hint="eastAsia" w:ascii="宋体" w:hAnsi="宋体" w:eastAsia="宋体" w:cs="宋体"/>
          <w:color w:val="auto"/>
          <w:sz w:val="24"/>
          <w:szCs w:val="24"/>
          <w:highlight w:val="none"/>
        </w:rPr>
        <w:t>结果提出质疑的，质疑期限</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中标或成交</w:t>
      </w:r>
      <w:r>
        <w:rPr>
          <w:rFonts w:hint="eastAsia" w:ascii="宋体" w:hAnsi="宋体" w:eastAsia="宋体" w:cs="宋体"/>
          <w:color w:val="auto"/>
          <w:sz w:val="24"/>
          <w:szCs w:val="24"/>
          <w:highlight w:val="none"/>
        </w:rPr>
        <w:t>结果公告</w:t>
      </w:r>
      <w:r>
        <w:rPr>
          <w:rFonts w:hint="eastAsia" w:ascii="宋体" w:hAnsi="宋体" w:eastAsia="宋体" w:cs="宋体"/>
          <w:color w:val="auto"/>
          <w:sz w:val="24"/>
          <w:szCs w:val="24"/>
          <w:highlight w:val="none"/>
        </w:rPr>
        <w:t>期限届满之日起计算。</w:t>
      </w:r>
    </w:p>
    <w:p w14:paraId="384724C6">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提出质疑的供应商应当是参与所质疑项目采购活动的供应商。</w:t>
      </w:r>
    </w:p>
    <w:p w14:paraId="32EE8DE2">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79A9BB44">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w:t>
      </w:r>
      <w:r>
        <w:rPr>
          <w:rFonts w:hint="eastAsia" w:ascii="宋体" w:hAnsi="宋体" w:eastAsia="宋体" w:cs="宋体"/>
          <w:color w:val="auto"/>
          <w:sz w:val="24"/>
          <w:szCs w:val="24"/>
          <w:highlight w:val="none"/>
        </w:rPr>
        <w:t xml:space="preserve"> 供应商提出质疑应当提交质疑函和必要的证明材料。质疑函应当包括下列内容：</w:t>
      </w:r>
    </w:p>
    <w:p w14:paraId="5E9D97D7">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供应商的姓名或者名称、地址、邮编、联系人及联系电话；</w:t>
      </w:r>
    </w:p>
    <w:p w14:paraId="712CCE56">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质疑项目的名称、编号；</w:t>
      </w:r>
    </w:p>
    <w:p w14:paraId="388CCF33">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具体、明确的质疑事项和与质疑事项相关的请求；</w:t>
      </w:r>
    </w:p>
    <w:p w14:paraId="39BE6713">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事实依据；</w:t>
      </w:r>
    </w:p>
    <w:p w14:paraId="0252452C">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必要的法律依据；</w:t>
      </w:r>
    </w:p>
    <w:p w14:paraId="67C92983">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.2.3.6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提出质疑的日期。</w:t>
      </w:r>
    </w:p>
    <w:p w14:paraId="237ADEEA">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047BF545">
      <w:pPr>
        <w:pageBreakBefore w:val="0"/>
        <w:kinsoku/>
        <w:wordWrap/>
        <w:overflowPunct/>
        <w:topLinePunct w:val="0"/>
        <w:bidi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.2.4采购人、采购代理机构应当在收到法定质疑期内发出的质疑函后7个工作日内作出答复，并以书面形式通知质疑人和其他有关投标人。质疑答复的内容不得涉及商业秘密。</w:t>
      </w:r>
    </w:p>
    <w:p w14:paraId="499BD442">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681FB34D">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.5 询问或者质疑事项可能影响</w:t>
      </w:r>
      <w:r>
        <w:rPr>
          <w:rFonts w:hint="eastAsia" w:ascii="宋体" w:hAnsi="宋体" w:eastAsia="宋体" w:cs="宋体"/>
          <w:color w:val="auto"/>
          <w:sz w:val="24"/>
          <w:szCs w:val="24"/>
          <w:highlight w:val="none"/>
          <w:lang w:eastAsia="zh-CN"/>
        </w:rPr>
        <w:t>中标或成交</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rPr>
        <w:t>的，采购人应当暂停签订合同，已经签订合同的，应当中止履行合同。</w:t>
      </w:r>
    </w:p>
    <w:p w14:paraId="46A16899">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snapToGrid w:val="0"/>
          <w:color w:val="auto"/>
          <w:kern w:val="0"/>
          <w:sz w:val="24"/>
          <w:szCs w:val="24"/>
          <w:highlight w:val="none"/>
        </w:rPr>
        <w:t>质疑函范本请到浙江政府采购网下载专区下载。</w:t>
      </w:r>
    </w:p>
    <w:p w14:paraId="368FD141">
      <w:pPr>
        <w:pageBreakBefore w:val="0"/>
        <w:kinsoku/>
        <w:wordWrap/>
        <w:overflowPunct/>
        <w:topLinePunct w:val="0"/>
        <w:bidi w:val="0"/>
        <w:spacing w:line="44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zh-CN"/>
        </w:rPr>
        <w:t>供应商投诉</w:t>
      </w:r>
    </w:p>
    <w:p w14:paraId="01F54022">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.3.1 质疑供应商对采购人、采购</w:t>
      </w:r>
      <w:r>
        <w:rPr>
          <w:rFonts w:hint="eastAsia" w:ascii="宋体" w:hAnsi="宋体" w:eastAsia="宋体" w:cs="宋体"/>
          <w:color w:val="auto"/>
          <w:kern w:val="0"/>
          <w:sz w:val="24"/>
          <w:szCs w:val="24"/>
          <w:highlight w:val="none"/>
        </w:rPr>
        <w:t>代理</w:t>
      </w:r>
      <w:r>
        <w:rPr>
          <w:rFonts w:hint="eastAsia" w:ascii="宋体" w:hAnsi="宋体" w:eastAsia="宋体" w:cs="宋体"/>
          <w:color w:val="auto"/>
          <w:sz w:val="24"/>
          <w:szCs w:val="24"/>
          <w:highlight w:val="none"/>
        </w:rPr>
        <w:t>机构的答复不满意或者采购人、采购</w:t>
      </w:r>
      <w:r>
        <w:rPr>
          <w:rFonts w:hint="eastAsia" w:ascii="宋体" w:hAnsi="宋体" w:eastAsia="宋体" w:cs="宋体"/>
          <w:color w:val="auto"/>
          <w:kern w:val="0"/>
          <w:sz w:val="24"/>
          <w:szCs w:val="24"/>
          <w:highlight w:val="none"/>
        </w:rPr>
        <w:t>代理</w:t>
      </w:r>
      <w:r>
        <w:rPr>
          <w:rFonts w:hint="eastAsia" w:ascii="宋体" w:hAnsi="宋体" w:eastAsia="宋体" w:cs="宋体"/>
          <w:color w:val="auto"/>
          <w:sz w:val="24"/>
          <w:szCs w:val="24"/>
          <w:highlight w:val="none"/>
        </w:rPr>
        <w:t>机构未在规定的时间内作出答复的，可以在答复期满后十五个工作日内向同级政府采购监督管理部门提出投诉。（质疑供应商对在线质疑答复不满意的，可在线提起投诉，路径为：浙江</w:t>
      </w:r>
      <w:r>
        <w:rPr>
          <w:rFonts w:hint="eastAsia" w:ascii="宋体" w:hAnsi="宋体" w:eastAsia="宋体" w:cs="宋体"/>
          <w:color w:val="auto"/>
          <w:sz w:val="24"/>
          <w:szCs w:val="24"/>
          <w:highlight w:val="none"/>
          <w:lang w:val="en-US" w:eastAsia="zh-CN"/>
        </w:rPr>
        <w:t>政务</w:t>
      </w:r>
      <w:r>
        <w:rPr>
          <w:rFonts w:hint="eastAsia" w:ascii="宋体" w:hAnsi="宋体" w:eastAsia="宋体" w:cs="宋体"/>
          <w:color w:val="auto"/>
          <w:sz w:val="24"/>
          <w:szCs w:val="24"/>
          <w:highlight w:val="none"/>
        </w:rPr>
        <w:t>服务网-政府采购投诉处理-在线办理。）</w:t>
      </w:r>
    </w:p>
    <w:p w14:paraId="16D7894B">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 xml:space="preserve"> 供应商投诉的事项不得超出已质疑事项的范围，</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基于质疑答复内容提出的投诉事项除外。</w:t>
      </w:r>
    </w:p>
    <w:p w14:paraId="25D3C6E1">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.3.3 供应商投诉应当有明确的请求和必要的证明材料。</w:t>
      </w:r>
    </w:p>
    <w:p w14:paraId="5C77BB9A">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.3.4 以联合体形式参加政府采购活动的，其投诉应当由组成联合体的所有供应商共同提出。</w:t>
      </w:r>
    </w:p>
    <w:p w14:paraId="6FE6EE1A">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bookmarkStart w:id="2" w:name="_Toc32634"/>
      <w:r>
        <w:rPr>
          <w:rFonts w:hint="eastAsia" w:ascii="宋体" w:hAnsi="宋体" w:eastAsia="宋体" w:cs="宋体"/>
          <w:color w:val="auto"/>
          <w:sz w:val="24"/>
          <w:szCs w:val="24"/>
          <w:highlight w:val="none"/>
        </w:rPr>
        <w:t>投诉书范本请到浙江政府采购网下载专区下载。</w:t>
      </w:r>
    </w:p>
    <w:p w14:paraId="775D583B">
      <w:pPr>
        <w:pStyle w:val="4"/>
        <w:pageBreakBefore w:val="0"/>
        <w:kinsoku/>
        <w:wordWrap/>
        <w:overflowPunct/>
        <w:topLinePunct w:val="0"/>
        <w:bidi w:val="0"/>
        <w:spacing w:before="120" w:after="120" w:line="440" w:lineRule="exact"/>
        <w:jc w:val="center"/>
        <w:rPr>
          <w:rFonts w:hint="eastAsia" w:ascii="宋体" w:hAnsi="宋体" w:eastAsia="宋体" w:cs="宋体"/>
          <w:bCs/>
          <w:color w:val="auto"/>
          <w:highlight w:val="none"/>
        </w:rPr>
      </w:pPr>
      <w:r>
        <w:rPr>
          <w:rFonts w:hint="eastAsia" w:ascii="宋体" w:hAnsi="宋体" w:eastAsia="宋体" w:cs="宋体"/>
          <w:color w:val="auto"/>
          <w:kern w:val="2"/>
          <w:sz w:val="32"/>
          <w:szCs w:val="32"/>
          <w:highlight w:val="none"/>
        </w:rPr>
        <w:t>二、</w:t>
      </w:r>
      <w:bookmarkEnd w:id="1"/>
      <w:bookmarkEnd w:id="2"/>
      <w:r>
        <w:rPr>
          <w:rFonts w:hint="eastAsia" w:ascii="宋体" w:hAnsi="宋体" w:eastAsia="宋体" w:cs="宋体"/>
          <w:color w:val="auto"/>
          <w:kern w:val="2"/>
          <w:sz w:val="32"/>
          <w:szCs w:val="32"/>
          <w:highlight w:val="none"/>
          <w:lang w:eastAsia="zh-CN"/>
        </w:rPr>
        <w:t>采购文件</w:t>
      </w:r>
      <w:r>
        <w:rPr>
          <w:rFonts w:hint="eastAsia" w:ascii="宋体" w:hAnsi="宋体" w:eastAsia="宋体" w:cs="宋体"/>
          <w:color w:val="auto"/>
          <w:sz w:val="32"/>
          <w:szCs w:val="32"/>
          <w:highlight w:val="none"/>
        </w:rPr>
        <w:t>构成、修改、解释</w:t>
      </w:r>
    </w:p>
    <w:p w14:paraId="3ACD2857">
      <w:pPr>
        <w:pageBreakBefore w:val="0"/>
        <w:kinsoku/>
        <w:wordWrap/>
        <w:overflowPunct/>
        <w:topLinePunct w:val="0"/>
        <w:bidi w:val="0"/>
        <w:adjustRightInd w:val="0"/>
        <w:spacing w:line="440" w:lineRule="exact"/>
        <w:rPr>
          <w:rFonts w:hint="eastAsia" w:ascii="宋体" w:hAnsi="宋体" w:eastAsia="宋体" w:cs="宋体"/>
          <w:b/>
          <w:snapToGrid w:val="0"/>
          <w:color w:val="auto"/>
          <w:sz w:val="24"/>
          <w:szCs w:val="24"/>
          <w:highlight w:val="none"/>
        </w:rPr>
      </w:pPr>
      <w:bookmarkStart w:id="3" w:name="_Toc183786417"/>
      <w:bookmarkStart w:id="4" w:name="_Toc13570"/>
      <w:r>
        <w:rPr>
          <w:rFonts w:hint="eastAsia" w:ascii="宋体" w:hAnsi="宋体" w:eastAsia="宋体" w:cs="宋体"/>
          <w:b/>
          <w:snapToGrid w:val="0"/>
          <w:color w:val="auto"/>
          <w:sz w:val="24"/>
          <w:szCs w:val="24"/>
          <w:highlight w:val="none"/>
          <w:lang w:val="en-US" w:eastAsia="zh-CN"/>
        </w:rPr>
        <w:t>7</w:t>
      </w:r>
      <w:r>
        <w:rPr>
          <w:rFonts w:hint="eastAsia" w:ascii="宋体" w:hAnsi="宋体" w:eastAsia="宋体" w:cs="宋体"/>
          <w:b/>
          <w:snapToGrid w:val="0"/>
          <w:color w:val="auto"/>
          <w:sz w:val="24"/>
          <w:szCs w:val="24"/>
          <w:highlight w:val="none"/>
        </w:rPr>
        <w:t>．</w:t>
      </w:r>
      <w:r>
        <w:rPr>
          <w:rFonts w:hint="eastAsia" w:ascii="宋体" w:hAnsi="宋体" w:eastAsia="宋体" w:cs="宋体"/>
          <w:b/>
          <w:snapToGrid w:val="0"/>
          <w:color w:val="auto"/>
          <w:sz w:val="24"/>
          <w:szCs w:val="24"/>
          <w:highlight w:val="none"/>
          <w:lang w:eastAsia="zh-CN"/>
        </w:rPr>
        <w:t>采购文件</w:t>
      </w:r>
      <w:r>
        <w:rPr>
          <w:rFonts w:hint="eastAsia" w:ascii="宋体" w:hAnsi="宋体" w:eastAsia="宋体" w:cs="宋体"/>
          <w:b/>
          <w:snapToGrid w:val="0"/>
          <w:color w:val="auto"/>
          <w:sz w:val="24"/>
          <w:szCs w:val="24"/>
          <w:highlight w:val="none"/>
        </w:rPr>
        <w:t>的构成</w:t>
      </w:r>
    </w:p>
    <w:p w14:paraId="7A0F1320">
      <w:pPr>
        <w:pageBreakBefore w:val="0"/>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eastAsia="zh-CN"/>
        </w:rPr>
        <w:t>采购文件</w:t>
      </w:r>
      <w:r>
        <w:rPr>
          <w:rFonts w:hint="eastAsia" w:ascii="宋体" w:hAnsi="宋体" w:eastAsia="宋体" w:cs="宋体"/>
          <w:snapToGrid w:val="0"/>
          <w:color w:val="auto"/>
          <w:sz w:val="24"/>
          <w:szCs w:val="24"/>
          <w:highlight w:val="none"/>
        </w:rPr>
        <w:t>包括下列文件及附件：</w:t>
      </w:r>
    </w:p>
    <w:p w14:paraId="4E165BCA">
      <w:pPr>
        <w:pageBreakBefore w:val="0"/>
        <w:tabs>
          <w:tab w:val="left" w:pos="840"/>
        </w:tabs>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.1.1 公开</w:t>
      </w:r>
      <w:r>
        <w:rPr>
          <w:rFonts w:hint="eastAsia" w:ascii="宋体" w:hAnsi="宋体" w:eastAsia="宋体" w:cs="宋体"/>
          <w:snapToGrid w:val="0"/>
          <w:color w:val="auto"/>
          <w:sz w:val="24"/>
          <w:szCs w:val="24"/>
          <w:highlight w:val="none"/>
          <w:lang w:eastAsia="zh-CN"/>
        </w:rPr>
        <w:t>采购公告</w:t>
      </w:r>
      <w:r>
        <w:rPr>
          <w:rFonts w:hint="eastAsia" w:ascii="宋体" w:hAnsi="宋体" w:eastAsia="宋体" w:cs="宋体"/>
          <w:snapToGrid w:val="0"/>
          <w:color w:val="auto"/>
          <w:sz w:val="24"/>
          <w:szCs w:val="24"/>
          <w:highlight w:val="none"/>
        </w:rPr>
        <w:t>；</w:t>
      </w:r>
    </w:p>
    <w:p w14:paraId="10E71D25">
      <w:pPr>
        <w:pageBreakBefore w:val="0"/>
        <w:tabs>
          <w:tab w:val="left" w:pos="840"/>
        </w:tabs>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.1.2 投标人须知；</w:t>
      </w:r>
    </w:p>
    <w:p w14:paraId="7743BC31">
      <w:pPr>
        <w:pageBreakBefore w:val="0"/>
        <w:tabs>
          <w:tab w:val="left" w:pos="840"/>
        </w:tabs>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.1.3 采购需求；</w:t>
      </w:r>
    </w:p>
    <w:p w14:paraId="037F2906">
      <w:pPr>
        <w:pageBreakBefore w:val="0"/>
        <w:tabs>
          <w:tab w:val="left" w:pos="840"/>
        </w:tabs>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.1.4 评标办法；</w:t>
      </w:r>
    </w:p>
    <w:p w14:paraId="39B52B18">
      <w:pPr>
        <w:pageBreakBefore w:val="0"/>
        <w:tabs>
          <w:tab w:val="left" w:pos="840"/>
        </w:tabs>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.1.5 拟签订的合同文本；</w:t>
      </w:r>
    </w:p>
    <w:p w14:paraId="3CC98848">
      <w:pPr>
        <w:pageBreakBefore w:val="0"/>
        <w:tabs>
          <w:tab w:val="left" w:pos="840"/>
        </w:tabs>
        <w:kinsoku/>
        <w:wordWrap/>
        <w:overflowPunct/>
        <w:topLinePunct w:val="0"/>
        <w:bidi w:val="0"/>
        <w:adjustRightInd w:val="0"/>
        <w:spacing w:line="44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1"/>
          <w:highlight w:val="none"/>
          <w:lang w:val="en-US" w:eastAsia="zh-CN"/>
        </w:rPr>
        <w:t>7</w:t>
      </w:r>
      <w:r>
        <w:rPr>
          <w:rFonts w:hint="eastAsia" w:ascii="宋体" w:hAnsi="宋体" w:eastAsia="宋体" w:cs="宋体"/>
          <w:snapToGrid w:val="0"/>
          <w:color w:val="auto"/>
          <w:sz w:val="24"/>
          <w:szCs w:val="21"/>
          <w:highlight w:val="none"/>
        </w:rPr>
        <w:t xml:space="preserve">.1.6 </w:t>
      </w:r>
      <w:r>
        <w:rPr>
          <w:rFonts w:hint="eastAsia" w:ascii="宋体" w:hAnsi="宋体" w:eastAsia="宋体" w:cs="宋体"/>
          <w:snapToGrid w:val="0"/>
          <w:color w:val="auto"/>
          <w:sz w:val="24"/>
          <w:szCs w:val="24"/>
          <w:highlight w:val="none"/>
        </w:rPr>
        <w:t>应提交的有关格式范例。</w:t>
      </w:r>
    </w:p>
    <w:p w14:paraId="05CD7FDB">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.1.7 其他</w:t>
      </w:r>
    </w:p>
    <w:p w14:paraId="61159159">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.2与本项目有关的</w:t>
      </w:r>
      <w:r>
        <w:rPr>
          <w:rFonts w:hint="eastAsia" w:ascii="宋体" w:hAnsi="宋体" w:eastAsia="宋体" w:cs="宋体"/>
          <w:bCs/>
          <w:color w:val="auto"/>
          <w:sz w:val="24"/>
          <w:szCs w:val="24"/>
          <w:highlight w:val="none"/>
        </w:rPr>
        <w:t>澄清或者修改的内容为</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的组成部分</w:t>
      </w:r>
      <w:r>
        <w:rPr>
          <w:rFonts w:hint="eastAsia" w:ascii="宋体" w:hAnsi="宋体" w:eastAsia="宋体" w:cs="宋体"/>
          <w:color w:val="auto"/>
          <w:sz w:val="24"/>
          <w:szCs w:val="24"/>
          <w:highlight w:val="none"/>
        </w:rPr>
        <w:t>。</w:t>
      </w:r>
    </w:p>
    <w:p w14:paraId="4E1C4C97">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除上述所列内容外，采购人和采购代理机构的任何工作人员对投标人所作的任何口头解释、介绍、答复，只能供投标人参考，对采购人、采购代理机构和投标人无任何约束力。</w:t>
      </w:r>
    </w:p>
    <w:p w14:paraId="3581F101">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采购文件是招标过程进行的有效依据，也是中标后签订合同的依据，对双方均具有约束力，凡不遵守采购文件规定或对采购文件的实质性内容不响应的，将可能被拒绝或以无效标处理。</w:t>
      </w:r>
    </w:p>
    <w:p w14:paraId="689B4F01">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本采购文件由采购人或采购代理机构依据相关法律、法规、规章、省市规定及采购文件进行解释。</w:t>
      </w:r>
    </w:p>
    <w:p w14:paraId="16A8CFF9">
      <w:pPr>
        <w:pageBreakBefore w:val="0"/>
        <w:kinsoku/>
        <w:wordWrap/>
        <w:overflowPunct/>
        <w:topLinePunct w:val="0"/>
        <w:bidi w:val="0"/>
        <w:adjustRightInd w:val="0"/>
        <w:spacing w:line="440" w:lineRule="exact"/>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lang w:val="en-US" w:eastAsia="zh-CN"/>
        </w:rPr>
        <w:t>8</w:t>
      </w:r>
      <w:r>
        <w:rPr>
          <w:rFonts w:hint="eastAsia" w:ascii="宋体" w:hAnsi="宋体" w:eastAsia="宋体" w:cs="宋体"/>
          <w:b/>
          <w:snapToGrid w:val="0"/>
          <w:color w:val="auto"/>
          <w:sz w:val="24"/>
          <w:szCs w:val="24"/>
          <w:highlight w:val="none"/>
        </w:rPr>
        <w:t xml:space="preserve">. </w:t>
      </w:r>
      <w:r>
        <w:rPr>
          <w:rFonts w:hint="eastAsia" w:ascii="宋体" w:hAnsi="宋体" w:eastAsia="宋体" w:cs="宋体"/>
          <w:b/>
          <w:snapToGrid w:val="0"/>
          <w:color w:val="auto"/>
          <w:sz w:val="24"/>
          <w:szCs w:val="24"/>
          <w:highlight w:val="none"/>
          <w:lang w:eastAsia="zh-CN"/>
        </w:rPr>
        <w:t>采购文件</w:t>
      </w:r>
      <w:r>
        <w:rPr>
          <w:rFonts w:hint="eastAsia" w:ascii="宋体" w:hAnsi="宋体" w:eastAsia="宋体" w:cs="宋体"/>
          <w:b/>
          <w:snapToGrid w:val="0"/>
          <w:color w:val="auto"/>
          <w:sz w:val="24"/>
          <w:szCs w:val="24"/>
          <w:highlight w:val="none"/>
        </w:rPr>
        <w:t>的澄清、修改</w:t>
      </w:r>
    </w:p>
    <w:p w14:paraId="428D55EF">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采购人、采购代理机构联系方式详见第一部分采购公告“</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对本次采购提出询问、质疑、投诉，请按以下方式联系”）；逾期提出的，采购组织机构可以不予受理、答复；澄清或者修改的内容可能影响投标文件编制的，采购人或者采购代理机构应当在投标截止时间至少15日前，以更正公告形式通知所有获取</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的潜在投标人；不足15日的，采购人或者采购代理机构应当顺延提交投标文件的截止时间。</w:t>
      </w:r>
    </w:p>
    <w:p w14:paraId="24E0DD09">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.2采购代理机构必须以书面形式答复投标人要求澄清的问题，并将不包含问题来源的答复书面通知所有购买</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的投标人；除书面答复以外的其他澄清方式及澄清内容均无效。</w:t>
      </w:r>
    </w:p>
    <w:p w14:paraId="7DDFD70D">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澄清、答复、修改、补充的内容为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的组成部分。当</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的答复、澄清、修改、补充通知就同一内容的表述不一致时，以最后发出的书面文件为准。</w:t>
      </w:r>
    </w:p>
    <w:p w14:paraId="4A701264">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p>
    <w:p w14:paraId="455EE998">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w:t>
      </w:r>
      <w:bookmarkEnd w:id="3"/>
      <w:r>
        <w:rPr>
          <w:rFonts w:hint="eastAsia" w:ascii="宋体" w:hAnsi="宋体" w:eastAsia="宋体" w:cs="宋体"/>
          <w:color w:val="auto"/>
          <w:kern w:val="2"/>
          <w:sz w:val="32"/>
          <w:szCs w:val="32"/>
          <w:highlight w:val="none"/>
        </w:rPr>
        <w:t>投标</w:t>
      </w:r>
      <w:bookmarkEnd w:id="4"/>
    </w:p>
    <w:p w14:paraId="02D002D0">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bookmarkStart w:id="5" w:name="_Toc183786418"/>
      <w:bookmarkStart w:id="6" w:name="_Toc6879"/>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的获取</w:t>
      </w:r>
    </w:p>
    <w:p w14:paraId="6F696C22">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采购公告</w:t>
      </w:r>
      <w:r>
        <w:rPr>
          <w:rFonts w:hint="eastAsia" w:ascii="宋体" w:hAnsi="宋体" w:eastAsia="宋体" w:cs="宋体"/>
          <w:bCs/>
          <w:color w:val="auto"/>
          <w:sz w:val="24"/>
          <w:szCs w:val="24"/>
          <w:highlight w:val="none"/>
        </w:rPr>
        <w:t>中获取</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的时间期限、地点、方式及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售价。</w:t>
      </w:r>
    </w:p>
    <w:p w14:paraId="6A6A6569">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.开标前答疑会或现场考察</w:t>
      </w:r>
    </w:p>
    <w:p w14:paraId="06C87D95">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采购人组织潜在投标人现场考察或者召开开标前答疑会的，潜在投标人按第二部分投标人须知前附表的规定参加现场考察或者开标前答疑会。</w:t>
      </w:r>
    </w:p>
    <w:p w14:paraId="717383FE">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.投标保证金</w:t>
      </w:r>
    </w:p>
    <w:p w14:paraId="0DB23EE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本项目不收取投标保证金。但违反政府采购相关规定给采购人造成损失的，投标人应当承担赔偿责任。</w:t>
      </w:r>
    </w:p>
    <w:p w14:paraId="2198F21A">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.投标文件的语言</w:t>
      </w:r>
      <w:r>
        <w:rPr>
          <w:rFonts w:hint="eastAsia" w:ascii="宋体" w:hAnsi="宋体" w:eastAsia="宋体" w:cs="宋体"/>
          <w:b/>
          <w:bCs w:val="0"/>
          <w:color w:val="auto"/>
          <w:sz w:val="24"/>
          <w:szCs w:val="24"/>
          <w:highlight w:val="none"/>
        </w:rPr>
        <w:t>及计量单位</w:t>
      </w:r>
    </w:p>
    <w:p w14:paraId="7B65DF84">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0A85DC13">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.2 除采购文件另有规定外，投标文件所使用的计量单位，均须采用中华人民共和国法定计量单位，否则视同未响应。</w:t>
      </w:r>
    </w:p>
    <w:p w14:paraId="6AA7F088">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．投标文件的组成</w:t>
      </w:r>
    </w:p>
    <w:p w14:paraId="3B4E62F8">
      <w:pPr>
        <w:pageBreakBefore w:val="0"/>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供应商向采购人上传的投标文件</w:t>
      </w:r>
      <w:r>
        <w:rPr>
          <w:rFonts w:hint="eastAsia" w:ascii="宋体" w:hAnsi="宋体" w:eastAsia="宋体" w:cs="宋体"/>
          <w:color w:val="auto"/>
          <w:sz w:val="24"/>
          <w:szCs w:val="24"/>
          <w:highlight w:val="none"/>
        </w:rPr>
        <w:t xml:space="preserve">由资格文件、商务技术文件及报价文件三部分内容组成，具体如下： </w:t>
      </w:r>
    </w:p>
    <w:p w14:paraId="2DEB4C27">
      <w:pPr>
        <w:pageBreakBefore w:val="0"/>
        <w:kinsoku/>
        <w:wordWrap/>
        <w:overflowPunct/>
        <w:topLinePunct w:val="0"/>
        <w:bidi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 资格文件</w:t>
      </w:r>
    </w:p>
    <w:p w14:paraId="5AF4231E">
      <w:pPr>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详见“第六部分 应提交的有关格式范例”要求</w:t>
      </w:r>
    </w:p>
    <w:p w14:paraId="51BC2E64">
      <w:pPr>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.2 商务技术文件</w:t>
      </w:r>
    </w:p>
    <w:p w14:paraId="1FD144EF">
      <w:pPr>
        <w:pageBreakBefore w:val="0"/>
        <w:tabs>
          <w:tab w:val="left" w:pos="900"/>
        </w:tabs>
        <w:kinsoku/>
        <w:wordWrap/>
        <w:overflowPunct/>
        <w:topLinePunct w:val="0"/>
        <w:bidi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详见“第六部分 应提交的有关格式范例”要求</w:t>
      </w:r>
    </w:p>
    <w:p w14:paraId="12BAEE51">
      <w:pPr>
        <w:pageBreakBefore w:val="0"/>
        <w:tabs>
          <w:tab w:val="left" w:pos="900"/>
        </w:tabs>
        <w:kinsoku/>
        <w:wordWrap/>
        <w:overflowPunct/>
        <w:topLinePunct w:val="0"/>
        <w:bidi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.3 报价文件</w:t>
      </w:r>
    </w:p>
    <w:p w14:paraId="4928A4DD">
      <w:pPr>
        <w:pageBreakBefore w:val="0"/>
        <w:tabs>
          <w:tab w:val="left" w:pos="900"/>
        </w:tabs>
        <w:kinsoku/>
        <w:wordWrap/>
        <w:overflowPunct/>
        <w:topLinePunct w:val="0"/>
        <w:bidi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详见“第六部分 应提交的有关格式范例”要求</w:t>
      </w:r>
    </w:p>
    <w:p w14:paraId="76144836">
      <w:pPr>
        <w:pageBreakBefore w:val="0"/>
        <w:tabs>
          <w:tab w:val="left" w:pos="900"/>
        </w:tabs>
        <w:kinsoku/>
        <w:wordWrap/>
        <w:overflowPunct/>
        <w:topLinePunct w:val="0"/>
        <w:bidi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7A29EE5D">
      <w:pPr>
        <w:pageBreakBefore w:val="0"/>
        <w:tabs>
          <w:tab w:val="left" w:pos="900"/>
        </w:tabs>
        <w:kinsoku/>
        <w:wordWrap/>
        <w:overflowPunct/>
        <w:topLinePunct w:val="0"/>
        <w:bidi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00E148BF">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.投标文件的编制</w:t>
      </w:r>
    </w:p>
    <w:p w14:paraId="53564471">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 投标文件分为资格文件、商务技术文件、报价文件三部分。各投标人在编制投标文件时请按照</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第六部分规定的格式进行，混乱的编排导致投标文件被误读或评标委员会查找不到有效文件是投标人的风险。</w:t>
      </w:r>
    </w:p>
    <w:p w14:paraId="5645065D">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 投标人进行电子投标应安装客户端软件—“政采云电子交易客户端”，并按照</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和电子交易平台的要求编制并加密投标文件。投标人未按规定加密的投标文件，电子交易平台将拒收并提示。</w:t>
      </w:r>
    </w:p>
    <w:p w14:paraId="6BF07943">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 使用“政采云电子交易客户端”需要提前申领CA数字证书，申领流程请自行前往“浙江政府采购网-下载专区-电子交易客户端-CA驱动和申领流程”进行查阅。</w:t>
      </w:r>
    </w:p>
    <w:p w14:paraId="0E13C2CE">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14.4</w:t>
      </w:r>
      <w:r>
        <w:rPr>
          <w:rFonts w:hint="eastAsia" w:ascii="宋体" w:hAnsi="宋体" w:eastAsia="宋体" w:cs="宋体"/>
          <w:bCs/>
          <w:color w:val="auto"/>
          <w:sz w:val="24"/>
          <w:szCs w:val="24"/>
          <w:highlight w:val="none"/>
        </w:rPr>
        <w:t>投标人应准确设置评审关联点，以便评标委员会在评标时，点击评分项，可直接定位到该评分项内容。未设置或设置错误导致投标文件被误读、漏读或者在按采购文件规定的部分查找不到相关内容的，是投标人的责任。</w:t>
      </w:r>
    </w:p>
    <w:p w14:paraId="1416C7C1">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14.5</w:t>
      </w:r>
      <w:r>
        <w:rPr>
          <w:rFonts w:hint="eastAsia" w:ascii="宋体" w:hAnsi="宋体" w:eastAsia="宋体" w:cs="宋体"/>
          <w:bCs/>
          <w:color w:val="auto"/>
          <w:sz w:val="24"/>
          <w:szCs w:val="24"/>
          <w:highlight w:val="none"/>
        </w:rPr>
        <w:t>投标文件所提供的相关材料的尺寸和清晰度应该能够在电脑上被阅读、识别和判断。投标文件内容无法阅读、识别和判断的，视为未提供。</w:t>
      </w:r>
    </w:p>
    <w:p w14:paraId="41EC9524">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14.6</w:t>
      </w:r>
      <w:r>
        <w:rPr>
          <w:rFonts w:hint="eastAsia" w:ascii="宋体" w:hAnsi="宋体" w:eastAsia="宋体" w:cs="宋体"/>
          <w:bCs/>
          <w:color w:val="auto"/>
          <w:sz w:val="24"/>
          <w:szCs w:val="24"/>
          <w:highlight w:val="none"/>
        </w:rPr>
        <w:t>投标人编制投标文件过程中，资格文件和商务技术文件部分不得出现本项目投标报价，如因投标人原因提前泄露投标报价，是投标人的责任。</w:t>
      </w:r>
    </w:p>
    <w:p w14:paraId="6B6C1D56">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.投标文件的签署、盖章</w:t>
      </w:r>
    </w:p>
    <w:p w14:paraId="7C63311B">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 投标文件按照</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第六部分格式要求进行签署、盖章。▲投标人的投标文件未按照</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要求签署、盖章的，其投标无效。</w:t>
      </w:r>
    </w:p>
    <w:p w14:paraId="233EC3E6">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 为确保网上操作合法、有效和安全，投标人应当在投标截止时间前完成在“政府采购云平台”的身份认证，确保在电子投标过程中能够对相关数据电文进行加密和使用电子签名。</w:t>
      </w:r>
    </w:p>
    <w:p w14:paraId="6CA8F705">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采购文件提供的“第六部分 应提交的有关格式范例”格式要求投标人盖章、法定代表人印章的地方，投标人均应使用CA数字证书加盖投标人的单位电子印章、法定代表人个人电子印章。联合体投标的，除联合体共同投标协议书格式之外的仅由联合体牵头人加盖单位电子印章、法定代表人个人电子印章即可</w:t>
      </w:r>
      <w:r>
        <w:rPr>
          <w:rFonts w:hint="eastAsia" w:ascii="宋体" w:hAnsi="宋体" w:eastAsia="宋体" w:cs="宋体"/>
          <w:bCs/>
          <w:color w:val="auto"/>
          <w:sz w:val="24"/>
          <w:szCs w:val="24"/>
          <w:highlight w:val="none"/>
          <w:lang w:eastAsia="zh-CN"/>
        </w:rPr>
        <w:t>。</w:t>
      </w:r>
    </w:p>
    <w:p w14:paraId="54FAA3A1">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.投标文件的提交、补充、修改、撤回</w:t>
      </w:r>
    </w:p>
    <w:p w14:paraId="4F1C6CA4">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13F00">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 电子交易平台收到投标文件，将妥善保存并即时向供应商发出确认回执通知。在投标截止时间前，除供应商补充、修改或者撤回投标文件外，任何单位和个人不得解密或提取投标文件。</w:t>
      </w:r>
    </w:p>
    <w:p w14:paraId="4A285F25">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.3 采购人、采购机构可以视情况延长投标文件提交的截止时间。在上述情况下，采购机构与投标人以前在投标截止期方面的全部权利、责任和义务，将适用于延长至新的投标截止期。</w:t>
      </w:r>
    </w:p>
    <w:p w14:paraId="191B753E">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.备份投标文件</w:t>
      </w:r>
    </w:p>
    <w:p w14:paraId="593FBAE4">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投标人在电子交易平台传输递交投标文件后，还可以在投标截止时间前</w:t>
      </w:r>
      <w:r>
        <w:rPr>
          <w:rFonts w:hint="eastAsia" w:ascii="宋体" w:hAnsi="宋体" w:eastAsia="宋体" w:cs="宋体"/>
          <w:bCs/>
          <w:color w:val="auto"/>
          <w:sz w:val="24"/>
          <w:szCs w:val="24"/>
          <w:highlight w:val="none"/>
          <w:lang w:eastAsia="zh-CN"/>
        </w:rPr>
        <w:t>现场送达</w:t>
      </w:r>
      <w:r>
        <w:rPr>
          <w:rFonts w:hint="eastAsia" w:ascii="宋体" w:hAnsi="宋体" w:eastAsia="宋体" w:cs="宋体"/>
          <w:bCs/>
          <w:color w:val="auto"/>
          <w:sz w:val="24"/>
          <w:szCs w:val="24"/>
          <w:highlight w:val="none"/>
        </w:rPr>
        <w:t>或者以快递方式递交备份投标文件1份，但采购人、采购机构不强制或变相强制投标人提交备份投标文件。</w:t>
      </w:r>
    </w:p>
    <w:p w14:paraId="56D0D73C">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 备份投标文件</w:t>
      </w:r>
      <w:r>
        <w:rPr>
          <w:rFonts w:hint="eastAsia" w:ascii="宋体" w:hAnsi="宋体" w:eastAsia="宋体" w:cs="宋体"/>
          <w:bCs/>
          <w:color w:val="auto"/>
          <w:sz w:val="24"/>
          <w:szCs w:val="24"/>
          <w:highlight w:val="none"/>
          <w:lang w:eastAsia="zh-CN"/>
        </w:rPr>
        <w:t>的制作、存储、密封要求详见投标须知前附表条款号19项。</w:t>
      </w:r>
    </w:p>
    <w:p w14:paraId="5793EB92">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.投标文件的无效处理</w:t>
      </w:r>
    </w:p>
    <w:p w14:paraId="3A4DA7B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“第四部分 评标办法”规定的情形之一的，投标无效：</w:t>
      </w:r>
    </w:p>
    <w:p w14:paraId="64F7FEC1">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.投标有效期</w:t>
      </w:r>
    </w:p>
    <w:p w14:paraId="3A82509C">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.1 投标有效期为从提交投标文件的截止之日起90天。</w:t>
      </w:r>
      <w:r>
        <w:rPr>
          <w:rFonts w:hint="eastAsia" w:ascii="宋体" w:hAnsi="宋体" w:eastAsia="宋体" w:cs="宋体"/>
          <w:b/>
          <w:color w:val="auto"/>
          <w:sz w:val="24"/>
          <w:szCs w:val="24"/>
          <w:highlight w:val="none"/>
        </w:rPr>
        <w:t>▲投标人的投标文件中承诺的投标有效期少于</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中载明的投标有效期的，投标无效。</w:t>
      </w:r>
    </w:p>
    <w:p w14:paraId="2CAC1BE0">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.2 投标文件合格投递后，自投标截止日期起，在投标有效期内有效。</w:t>
      </w:r>
    </w:p>
    <w:p w14:paraId="7EAD6B58">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.3 在原定投标有效期满之前，如果出现特殊情况，采购机构可以以书面形式通知投标人延长投标有效期。投标人同意延长的，不得要求或被允许修改其投标文件，投标人拒绝延长的，其投标无效。</w:t>
      </w:r>
    </w:p>
    <w:p w14:paraId="51158426">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四、</w:t>
      </w:r>
      <w:bookmarkEnd w:id="5"/>
      <w:bookmarkEnd w:id="6"/>
      <w:r>
        <w:rPr>
          <w:rFonts w:hint="eastAsia" w:ascii="宋体" w:hAnsi="宋体" w:eastAsia="宋体" w:cs="宋体"/>
          <w:color w:val="auto"/>
          <w:kern w:val="2"/>
          <w:sz w:val="32"/>
          <w:szCs w:val="32"/>
          <w:highlight w:val="none"/>
        </w:rPr>
        <w:t>开标、资格审查与信用信息查询</w:t>
      </w:r>
    </w:p>
    <w:p w14:paraId="035AAD55">
      <w:pPr>
        <w:pageBreakBefore w:val="0"/>
        <w:kinsoku/>
        <w:wordWrap/>
        <w:overflowPunct/>
        <w:topLinePunct w:val="0"/>
        <w:autoSpaceDE w:val="0"/>
        <w:autoSpaceDN w:val="0"/>
        <w:bidi w:val="0"/>
        <w:adjustRightInd w:val="0"/>
        <w:spacing w:line="440" w:lineRule="exact"/>
        <w:contextualSpacing/>
        <w:rPr>
          <w:rFonts w:hint="eastAsia" w:ascii="宋体" w:hAnsi="宋体" w:eastAsia="宋体" w:cs="宋体"/>
          <w:color w:val="auto"/>
          <w:sz w:val="24"/>
          <w:highlight w:val="none"/>
        </w:rPr>
      </w:pPr>
      <w:bookmarkStart w:id="7" w:name="_Toc183786419"/>
      <w:bookmarkStart w:id="8" w:name="_Toc207550884"/>
      <w:bookmarkStart w:id="9" w:name="_Toc11093"/>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1577500D">
      <w:pPr>
        <w:pageBreakBefore w:val="0"/>
        <w:kinsoku/>
        <w:wordWrap/>
        <w:overflowPunct/>
        <w:topLinePunct w:val="0"/>
        <w:autoSpaceDE w:val="0"/>
        <w:autoSpaceDN w:val="0"/>
        <w:bidi w:val="0"/>
        <w:adjustRightInd w:val="0"/>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 采购机构按照</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规定的时间通过电子交易平台组织开标，所有投标人均应当准时</w:t>
      </w:r>
      <w:r>
        <w:rPr>
          <w:rFonts w:hint="eastAsia" w:ascii="宋体" w:hAnsi="宋体" w:eastAsia="宋体" w:cs="宋体"/>
          <w:color w:val="auto"/>
          <w:sz w:val="24"/>
          <w:szCs w:val="24"/>
          <w:highlight w:val="none"/>
        </w:rPr>
        <w:t>在线操作，并关注政采云有关信息公布、澄清等情况。投标人代表不参加开标程序的，事后不得对采购相关人员、开标过程和开标结果提出异议</w:t>
      </w:r>
      <w:r>
        <w:rPr>
          <w:rFonts w:hint="eastAsia" w:ascii="宋体" w:hAnsi="宋体" w:eastAsia="宋体" w:cs="宋体"/>
          <w:color w:val="auto"/>
          <w:sz w:val="24"/>
          <w:highlight w:val="none"/>
        </w:rPr>
        <w:t>。</w:t>
      </w:r>
    </w:p>
    <w:p w14:paraId="501A3087">
      <w:pPr>
        <w:pageBreakBefore w:val="0"/>
        <w:kinsoku/>
        <w:wordWrap/>
        <w:overflowPunct/>
        <w:topLinePunct w:val="0"/>
        <w:autoSpaceDE w:val="0"/>
        <w:autoSpaceDN w:val="0"/>
        <w:bidi w:val="0"/>
        <w:adjustRightInd w:val="0"/>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.2 开标时，电子交易平台按开标时间自动提取所有投标文件。采购机构依托电子交易平台发起开始解密指令，投标人按照平台提示和</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的规定在</w:t>
      </w:r>
      <w:r>
        <w:rPr>
          <w:rFonts w:hint="eastAsia" w:ascii="宋体" w:hAnsi="宋体" w:eastAsia="宋体" w:cs="宋体"/>
          <w:color w:val="auto"/>
          <w:sz w:val="24"/>
          <w:highlight w:val="none"/>
          <w:lang w:val="en-US" w:eastAsia="zh-CN"/>
        </w:rPr>
        <w:t>30分钟</w:t>
      </w:r>
      <w:r>
        <w:rPr>
          <w:rFonts w:hint="eastAsia" w:ascii="宋体" w:hAnsi="宋体" w:eastAsia="宋体" w:cs="宋体"/>
          <w:color w:val="auto"/>
          <w:sz w:val="24"/>
          <w:highlight w:val="none"/>
        </w:rPr>
        <w:t>内完成在线解密。</w:t>
      </w:r>
    </w:p>
    <w:p w14:paraId="3A19196F">
      <w:pPr>
        <w:pageBreakBefore w:val="0"/>
        <w:kinsoku/>
        <w:wordWrap/>
        <w:overflowPunct/>
        <w:topLinePunct w:val="0"/>
        <w:autoSpaceDE w:val="0"/>
        <w:autoSpaceDN w:val="0"/>
        <w:bidi w:val="0"/>
        <w:adjustRightInd w:val="0"/>
        <w:spacing w:line="440" w:lineRule="exact"/>
        <w:ind w:firstLine="482" w:firstLineChars="200"/>
        <w:contextualSpacing/>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 xml:space="preserve">.3 </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1CA55ED">
      <w:pPr>
        <w:pageBreakBefore w:val="0"/>
        <w:kinsoku/>
        <w:wordWrap/>
        <w:overflowPunct/>
        <w:topLinePunct w:val="0"/>
        <w:bidi w:val="0"/>
        <w:adjustRightInd w:val="0"/>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注：①如遇“政府采购云平台”电子化开标或评审程序调整的，或者政采云系统提供数据电文交互功能的，按其规定执行。</w:t>
      </w:r>
    </w:p>
    <w:p w14:paraId="7A915E63">
      <w:pPr>
        <w:pageBreakBefore w:val="0"/>
        <w:kinsoku/>
        <w:wordWrap/>
        <w:overflowPunct/>
        <w:topLinePunct w:val="0"/>
        <w:bidi w:val="0"/>
        <w:adjustRightInd w:val="0"/>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②除邮件交互外，如政采云平台提供信息发布、澄清说明、数据交换等操作方式的，或者政采云系统平台有新的操作流程的，按其规定。</w:t>
      </w:r>
    </w:p>
    <w:p w14:paraId="0172B783">
      <w:pPr>
        <w:pageBreakBefore w:val="0"/>
        <w:widowControl/>
        <w:kinsoku/>
        <w:wordWrap/>
        <w:overflowPunct/>
        <w:topLinePunct w:val="0"/>
        <w:bidi w:val="0"/>
        <w:adjustRightIn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21</w:t>
      </w:r>
      <w:r>
        <w:rPr>
          <w:rFonts w:hint="eastAsia" w:ascii="宋体" w:hAnsi="宋体" w:eastAsia="宋体" w:cs="宋体"/>
          <w:b/>
          <w:color w:val="auto"/>
          <w:sz w:val="24"/>
          <w:highlight w:val="none"/>
        </w:rPr>
        <w:t>.资格审查</w:t>
      </w:r>
    </w:p>
    <w:p w14:paraId="1F5D795B">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.1 开标后，采购人或采购机构将</w:t>
      </w:r>
      <w:r>
        <w:rPr>
          <w:rFonts w:hint="eastAsia" w:ascii="宋体" w:hAnsi="宋体" w:eastAsia="宋体" w:cs="宋体"/>
          <w:color w:val="auto"/>
          <w:sz w:val="24"/>
          <w:szCs w:val="24"/>
          <w:highlight w:val="none"/>
        </w:rPr>
        <w:t>依据法律法规和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的规定，对投标人的基本资格条件、特定资格条件进行审查。</w:t>
      </w:r>
    </w:p>
    <w:p w14:paraId="716137DB">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投标人未按照</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要求提供与</w:t>
      </w:r>
      <w:r>
        <w:rPr>
          <w:rFonts w:hint="eastAsia" w:ascii="宋体" w:hAnsi="宋体" w:eastAsia="宋体" w:cs="宋体"/>
          <w:color w:val="auto"/>
          <w:sz w:val="24"/>
          <w:highlight w:val="none"/>
        </w:rPr>
        <w:t>基本资格条件、特定资格条件相应的</w:t>
      </w:r>
      <w:r>
        <w:rPr>
          <w:rFonts w:hint="eastAsia" w:ascii="宋体" w:hAnsi="宋体" w:eastAsia="宋体" w:cs="宋体"/>
          <w:color w:val="auto"/>
          <w:kern w:val="0"/>
          <w:sz w:val="24"/>
          <w:szCs w:val="24"/>
          <w:highlight w:val="none"/>
        </w:rPr>
        <w:t>有效资格证明材料的，视为</w:t>
      </w:r>
      <w:r>
        <w:rPr>
          <w:rFonts w:hint="eastAsia" w:ascii="宋体" w:hAnsi="宋体" w:eastAsia="宋体" w:cs="宋体"/>
          <w:color w:val="auto"/>
          <w:sz w:val="24"/>
          <w:highlight w:val="none"/>
        </w:rPr>
        <w:t>投标人不具备</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中规定的资格要求，</w:t>
      </w:r>
      <w:r>
        <w:rPr>
          <w:rFonts w:hint="eastAsia" w:ascii="宋体" w:hAnsi="宋体" w:eastAsia="宋体" w:cs="宋体"/>
          <w:color w:val="auto"/>
          <w:kern w:val="0"/>
          <w:sz w:val="24"/>
          <w:szCs w:val="24"/>
          <w:highlight w:val="none"/>
        </w:rPr>
        <w:t>其投标无效。无效</w:t>
      </w:r>
      <w:r>
        <w:rPr>
          <w:rFonts w:hint="eastAsia" w:ascii="宋体" w:hAnsi="宋体" w:eastAsia="宋体" w:cs="宋体"/>
          <w:color w:val="auto"/>
          <w:kern w:val="0"/>
          <w:sz w:val="24"/>
          <w:szCs w:val="24"/>
          <w:highlight w:val="none"/>
          <w:lang w:eastAsia="zh-CN"/>
        </w:rPr>
        <w:t>情形具体详见“</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.2投标无效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B0A1A5F">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对未通过资格审查的投标人，采购人或采购机构告知其未通过的原因。</w:t>
      </w:r>
    </w:p>
    <w:p w14:paraId="79FEB86E">
      <w:pPr>
        <w:pageBreakBefore w:val="0"/>
        <w:kinsoku/>
        <w:wordWrap/>
        <w:overflowPunct/>
        <w:topLinePunct w:val="0"/>
        <w:bidi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合格投标人不足3家的，不再评标。</w:t>
      </w:r>
    </w:p>
    <w:p w14:paraId="507EF375">
      <w:pPr>
        <w:pageBreakBefore w:val="0"/>
        <w:kinsoku/>
        <w:wordWrap/>
        <w:overflowPunct/>
        <w:topLinePunct w:val="0"/>
        <w:bidi w:val="0"/>
        <w:adjustRightIn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.信用信息查询</w:t>
      </w:r>
    </w:p>
    <w:p w14:paraId="33D7CF41">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具体要求详见投标人须知前附表。</w:t>
      </w:r>
    </w:p>
    <w:p w14:paraId="1A28F75C">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五、评标</w:t>
      </w:r>
    </w:p>
    <w:p w14:paraId="34418ECA">
      <w:pPr>
        <w:pageBreakBefore w:val="0"/>
        <w:kinsoku/>
        <w:wordWrap/>
        <w:overflowPunct/>
        <w:topLinePunct w:val="0"/>
        <w:bidi w:val="0"/>
        <w:adjustRightIn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评标委员会将根据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和有关规定，履行评标工作职责，并按照评标方法及评分标准，全面衡量各投标人对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的响应情况。对实质上响应</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“第四部分 评标办法”。</w:t>
      </w:r>
    </w:p>
    <w:p w14:paraId="4E5BA1C6">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六、定标</w:t>
      </w:r>
    </w:p>
    <w:p w14:paraId="2FAFDC2A">
      <w:pPr>
        <w:pageBreakBefore w:val="0"/>
        <w:kinsoku/>
        <w:wordWrap/>
        <w:overflowPunct/>
        <w:topLinePunct w:val="0"/>
        <w:bidi w:val="0"/>
        <w:adjustRightInd w:val="0"/>
        <w:spacing w:line="440" w:lineRule="exact"/>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.确定中标供应商</w:t>
      </w:r>
    </w:p>
    <w:p w14:paraId="5022EDC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采购代理机构应当自评标结束之日起2个工作日内将评标报告送交采购人。</w:t>
      </w:r>
    </w:p>
    <w:p w14:paraId="2A112D06">
      <w:pPr>
        <w:pageBreakBefore w:val="0"/>
        <w:kinsoku/>
        <w:wordWrap/>
        <w:overflowPunct/>
        <w:topLinePunct w:val="0"/>
        <w:bidi w:val="0"/>
        <w:adjustRightInd w:val="0"/>
        <w:snapToGrid w:val="0"/>
        <w:spacing w:line="44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14:paraId="6DEA4EFE">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采购人在收到评标报告5个工作日内未按评标报告推荐的中标候选人顺序确定1名中标人，又不能说明合法理由的，视同按评标报告推荐的顺序确定排名第一的中标候选人为中标人。</w:t>
      </w:r>
    </w:p>
    <w:p w14:paraId="6DBDF6CA">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.中标通知与中标结果公告</w:t>
      </w:r>
    </w:p>
    <w:p w14:paraId="65EE87B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 xml:space="preserve"> 采购人或者采购代理机构应当自中标人确定之日起2个工作日内，在省级以上财政部门指定的媒体上公告中标结果，采购文件应当随中标结果同时公告。</w:t>
      </w:r>
    </w:p>
    <w:p w14:paraId="2C96AD9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0C51A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中标结果公告期限为1个工作日。</w:t>
      </w:r>
    </w:p>
    <w:p w14:paraId="5379F14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14:paraId="501450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.2 除国务院财政部门规定的情形外，采购人、采购代理机构不得以任何理由组织重新评审。采购人、采购代理机构按照国务院财政部门的规定组织重新评审的，应当书面报告本级人民政府财政部门。</w:t>
      </w:r>
    </w:p>
    <w:p w14:paraId="628D81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.3中标通知书发出后，采购人不得违法改变中标结果，中标人无正当理由不得放弃中标。 </w:t>
      </w:r>
    </w:p>
    <w:p w14:paraId="3D8CF990">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七、合同授予</w:t>
      </w:r>
    </w:p>
    <w:p w14:paraId="6CDE7E4C">
      <w:pPr>
        <w:pageBreakBefore w:val="0"/>
        <w:kinsoku/>
        <w:wordWrap/>
        <w:overflowPunct/>
        <w:topLinePunct w:val="0"/>
        <w:bidi w:val="0"/>
        <w:adjustRightInd w:val="0"/>
        <w:spacing w:line="440" w:lineRule="exact"/>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.合同主要条款详见“第五部分 拟签订的合同文本”。</w:t>
      </w:r>
    </w:p>
    <w:p w14:paraId="4F396F31">
      <w:pPr>
        <w:pageBreakBefore w:val="0"/>
        <w:kinsoku/>
        <w:wordWrap/>
        <w:overflowPunct/>
        <w:topLinePunct w:val="0"/>
        <w:bidi w:val="0"/>
        <w:adjustRightInd w:val="0"/>
        <w:spacing w:line="440" w:lineRule="exact"/>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.合同的签订</w:t>
      </w:r>
    </w:p>
    <w:p w14:paraId="6B3B2DC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.1 </w:t>
      </w:r>
      <w:r>
        <w:rPr>
          <w:rFonts w:hint="eastAsia" w:ascii="宋体" w:hAnsi="宋体" w:eastAsia="宋体" w:cs="宋体"/>
          <w:snapToGrid w:val="0"/>
          <w:color w:val="auto"/>
          <w:kern w:val="0"/>
          <w:sz w:val="24"/>
          <w:szCs w:val="24"/>
          <w:highlight w:val="none"/>
        </w:rPr>
        <w:t>采购人应当</w:t>
      </w:r>
      <w:r>
        <w:rPr>
          <w:rFonts w:hint="eastAsia" w:ascii="宋体" w:hAnsi="宋体" w:eastAsia="宋体" w:cs="宋体"/>
          <w:snapToGrid w:val="0"/>
          <w:color w:val="auto"/>
          <w:kern w:val="0"/>
          <w:sz w:val="24"/>
          <w:szCs w:val="24"/>
          <w:highlight w:val="none"/>
          <w:lang w:eastAsia="zh-CN"/>
        </w:rPr>
        <w:t>自</w:t>
      </w:r>
      <w:r>
        <w:rPr>
          <w:rFonts w:hint="eastAsia" w:ascii="宋体" w:hAnsi="宋体" w:eastAsia="宋体" w:cs="宋体"/>
          <w:snapToGrid w:val="0"/>
          <w:color w:val="auto"/>
          <w:kern w:val="0"/>
          <w:sz w:val="24"/>
          <w:szCs w:val="24"/>
          <w:highlight w:val="none"/>
        </w:rPr>
        <w:t>《中标通知书》发出之日起</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日内，按照</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和中标人投标文件的规定，与中标人签订书面合同。同时，采购代理机构对合同内容进行审查，如发现与采购结果和投标承诺内容不一致的，应予以纠正。并在签订之日起2个工作日内将政府采购合同在浙江政府采购网上公告。</w:t>
      </w:r>
    </w:p>
    <w:p w14:paraId="76EAA8A0">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457E27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 中标人如不遵守采购文件或投标文件各项条款的邀约与要约，或在接到中标通知书后借故拖延，拒签合同的，采购人将依据国家和采购文件有关规定要求中标人予以赔偿</w:t>
      </w:r>
      <w:r>
        <w:rPr>
          <w:rFonts w:hint="eastAsia" w:ascii="宋体" w:hAnsi="宋体" w:eastAsia="宋体" w:cs="宋体"/>
          <w:snapToGrid w:val="0"/>
          <w:color w:val="auto"/>
          <w:kern w:val="0"/>
          <w:sz w:val="24"/>
          <w:highlight w:val="none"/>
        </w:rPr>
        <w:t>，同时列入不良行为记录一次，并给予通报，另外</w:t>
      </w:r>
      <w:r>
        <w:rPr>
          <w:rFonts w:hint="eastAsia" w:ascii="宋体" w:hAnsi="宋体" w:eastAsia="宋体" w:cs="宋体"/>
          <w:snapToGrid w:val="0"/>
          <w:color w:val="auto"/>
          <w:kern w:val="0"/>
          <w:sz w:val="24"/>
          <w:szCs w:val="24"/>
          <w:highlight w:val="none"/>
        </w:rPr>
        <w:t>采购人可根据25.2的原则另行选择中标人；</w:t>
      </w:r>
    </w:p>
    <w:p w14:paraId="2DAA9F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 采购文件、中标人的投标文件及投标修改文件、评标过程中有关澄清文件及经投标人法定代表人或授权代表签字确认的询标回复和承诺及中标通知书均作为合同组成部分。</w:t>
      </w:r>
    </w:p>
    <w:p w14:paraId="7620F73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27.4</w:t>
      </w:r>
      <w:r>
        <w:rPr>
          <w:rFonts w:hint="eastAsia" w:ascii="宋体" w:hAnsi="宋体" w:eastAsia="宋体" w:cs="宋体"/>
          <w:snapToGrid w:val="0"/>
          <w:color w:val="auto"/>
          <w:kern w:val="0"/>
          <w:sz w:val="24"/>
          <w:szCs w:val="24"/>
          <w:highlight w:val="none"/>
        </w:rPr>
        <w:t>政府采购监督管理部门在处理投诉事项期间，可以视具体情况书面通知</w:t>
      </w:r>
      <w:r>
        <w:rPr>
          <w:rFonts w:hint="eastAsia" w:ascii="宋体" w:hAnsi="宋体" w:eastAsia="宋体" w:cs="宋体"/>
          <w:snapToGrid w:val="0"/>
          <w:color w:val="auto"/>
          <w:kern w:val="0"/>
          <w:sz w:val="24"/>
          <w:szCs w:val="24"/>
          <w:highlight w:val="none"/>
          <w:lang w:val="en-US" w:eastAsia="zh-CN"/>
        </w:rPr>
        <w:t>采购人</w:t>
      </w:r>
      <w:r>
        <w:rPr>
          <w:rFonts w:hint="eastAsia" w:ascii="宋体" w:hAnsi="宋体" w:eastAsia="宋体" w:cs="宋体"/>
          <w:snapToGrid w:val="0"/>
          <w:color w:val="auto"/>
          <w:kern w:val="0"/>
          <w:sz w:val="24"/>
          <w:szCs w:val="24"/>
          <w:highlight w:val="none"/>
        </w:rPr>
        <w:t>暂停采购活动，并延期支付合同款。</w:t>
      </w:r>
    </w:p>
    <w:p w14:paraId="49C5C373">
      <w:pPr>
        <w:pStyle w:val="28"/>
        <w:pageBreakBefore w:val="0"/>
        <w:kinsoku/>
        <w:wordWrap/>
        <w:overflowPunct/>
        <w:topLinePunct w:val="0"/>
        <w:bidi w:val="0"/>
        <w:spacing w:line="440" w:lineRule="exact"/>
        <w:rPr>
          <w:rFonts w:hint="eastAsia" w:ascii="宋体" w:hAnsi="宋体" w:eastAsia="宋体" w:cs="宋体"/>
          <w:color w:val="auto"/>
          <w:highlight w:val="none"/>
        </w:rPr>
      </w:pPr>
    </w:p>
    <w:p w14:paraId="2A01CCA6">
      <w:pPr>
        <w:pageBreakBefore w:val="0"/>
        <w:widowControl/>
        <w:kinsoku/>
        <w:wordWrap/>
        <w:overflowPunct/>
        <w:topLinePunct w:val="0"/>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3001020">
      <w:pPr>
        <w:pageBreakBefore w:val="0"/>
        <w:widowControl/>
        <w:kinsoku/>
        <w:wordWrap/>
        <w:overflowPunct/>
        <w:topLinePunct w:val="0"/>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.4中标</w:t>
      </w:r>
      <w:r>
        <w:rPr>
          <w:rFonts w:hint="eastAsia" w:ascii="宋体" w:hAnsi="宋体" w:eastAsia="宋体" w:cs="宋体"/>
          <w:color w:val="auto"/>
          <w:sz w:val="24"/>
          <w:szCs w:val="24"/>
          <w:highlight w:val="none"/>
          <w:lang w:eastAsia="zh-CN"/>
        </w:rPr>
        <w:t>或者成交</w:t>
      </w:r>
      <w:r>
        <w:rPr>
          <w:rFonts w:hint="eastAsia" w:ascii="宋体" w:hAnsi="宋体" w:eastAsia="宋体" w:cs="宋体"/>
          <w:color w:val="auto"/>
          <w:sz w:val="24"/>
          <w:szCs w:val="24"/>
          <w:highlight w:val="none"/>
        </w:rPr>
        <w:t>供应商拒绝与采购人签订合同的，采购人可以按照评审报告推荐的中标或者成交候选人名单排序，确定下一候选人为中标</w:t>
      </w:r>
      <w:r>
        <w:rPr>
          <w:rFonts w:hint="eastAsia" w:ascii="宋体" w:hAnsi="宋体" w:eastAsia="宋体" w:cs="宋体"/>
          <w:color w:val="auto"/>
          <w:sz w:val="24"/>
          <w:szCs w:val="24"/>
          <w:highlight w:val="none"/>
          <w:lang w:eastAsia="zh-CN"/>
        </w:rPr>
        <w:t>或者成交</w:t>
      </w:r>
      <w:r>
        <w:rPr>
          <w:rFonts w:hint="eastAsia" w:ascii="宋体" w:hAnsi="宋体" w:eastAsia="宋体" w:cs="宋体"/>
          <w:color w:val="auto"/>
          <w:sz w:val="24"/>
          <w:szCs w:val="24"/>
          <w:highlight w:val="none"/>
        </w:rPr>
        <w:t>供应商，也可以重新开展政府采购活动。</w:t>
      </w:r>
    </w:p>
    <w:p w14:paraId="6EF2889C">
      <w:pPr>
        <w:pageBreakBefore w:val="0"/>
        <w:widowControl/>
        <w:kinsoku/>
        <w:wordWrap/>
        <w:overflowPunct/>
        <w:topLinePunct w:val="0"/>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.5采购合同由采购人与中标供应商根据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、投标文件等内容通过政府采购电子交易平台在线签订，自动备案。</w:t>
      </w:r>
    </w:p>
    <w:p w14:paraId="64FD480D">
      <w:pPr>
        <w:pageBreakBefore w:val="0"/>
        <w:widowControl/>
        <w:kinsoku/>
        <w:wordWrap/>
        <w:overflowPunct/>
        <w:topLinePunct w:val="0"/>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27.6 政府采购货物和服务项目不得收取质量保证金。政府采购工程以及与工程建设有关的货物、服务，采用招标方式采购的，按国家和省有关规定执行。</w:t>
      </w:r>
    </w:p>
    <w:p w14:paraId="0AC64B9B">
      <w:pPr>
        <w:pageBreakBefore w:val="0"/>
        <w:kinsoku/>
        <w:wordWrap/>
        <w:overflowPunct/>
        <w:topLinePunct w:val="0"/>
        <w:bidi w:val="0"/>
        <w:adjustRightInd w:val="0"/>
        <w:spacing w:line="440" w:lineRule="exact"/>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.履约保证金</w:t>
      </w:r>
    </w:p>
    <w:p w14:paraId="0388750B">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具体要求详见投标人须知前附表。</w:t>
      </w:r>
    </w:p>
    <w:p w14:paraId="7FA9F6AB">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八、电子交易活动的中止</w:t>
      </w:r>
    </w:p>
    <w:p w14:paraId="04883A98">
      <w:pPr>
        <w:pageBreakBefore w:val="0"/>
        <w:kinsoku/>
        <w:wordWrap/>
        <w:overflowPunct/>
        <w:topLinePunct w:val="0"/>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color w:val="auto"/>
          <w:sz w:val="24"/>
          <w:szCs w:val="24"/>
          <w:highlight w:val="none"/>
        </w:rPr>
        <w:t>.电子交易活动的中止</w:t>
      </w:r>
    </w:p>
    <w:p w14:paraId="7C6C71D4">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1A4A133B">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.1 电子交易平台发生故障而无法登录访问的； </w:t>
      </w:r>
    </w:p>
    <w:p w14:paraId="2896ACAD">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 电子交易平台应用或数据库出现错误，不能进行正常操作的；</w:t>
      </w:r>
    </w:p>
    <w:p w14:paraId="1E64EE9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 电子交易平台发现严重安全漏洞，有潜在泄密危险的；</w:t>
      </w:r>
    </w:p>
    <w:p w14:paraId="31E0EC03">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.4 病毒发作导致不能进行正常操作的； </w:t>
      </w:r>
    </w:p>
    <w:p w14:paraId="69F9A9A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.5 其他无法保证电子交易的公平、公正和安全的情况。</w:t>
      </w:r>
    </w:p>
    <w:p w14:paraId="71150AC0">
      <w:pPr>
        <w:pageBreakBefore w:val="0"/>
        <w:kinsoku/>
        <w:wordWrap/>
        <w:overflowPunct/>
        <w:topLinePunct w:val="0"/>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78AAE00">
      <w:pPr>
        <w:pStyle w:val="4"/>
        <w:pageBreakBefore w:val="0"/>
        <w:kinsoku/>
        <w:wordWrap/>
        <w:overflowPunct/>
        <w:topLinePunct w:val="0"/>
        <w:bidi w:val="0"/>
        <w:spacing w:before="120" w:after="120" w:line="440" w:lineRule="exact"/>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九、验收</w:t>
      </w:r>
    </w:p>
    <w:p w14:paraId="18F129D9">
      <w:pPr>
        <w:pageBreakBefore w:val="0"/>
        <w:kinsoku/>
        <w:wordWrap/>
        <w:overflowPunct/>
        <w:topLinePunct w:val="0"/>
        <w:bidi w:val="0"/>
        <w:adjustRightIn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.验收</w:t>
      </w:r>
    </w:p>
    <w:bookmarkEnd w:id="7"/>
    <w:bookmarkEnd w:id="8"/>
    <w:bookmarkEnd w:id="9"/>
    <w:p w14:paraId="02E81C1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92126">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.2采购人可以邀请参加本项目的其他供应商或者第三方机构参与验收。参与验收的供应商或者第三方机构的意见作为验收书的参考资料一并存档。</w:t>
      </w:r>
    </w:p>
    <w:p w14:paraId="0880397A">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w:t>
      </w:r>
      <w:r>
        <w:rPr>
          <w:rFonts w:hint="eastAsia" w:ascii="宋体" w:hAnsi="宋体" w:eastAsia="宋体" w:cs="宋体"/>
          <w:color w:val="auto"/>
          <w:sz w:val="24"/>
          <w:highlight w:val="none"/>
          <w:lang w:eastAsia="zh-CN"/>
        </w:rPr>
        <w:t>各</w:t>
      </w:r>
      <w:r>
        <w:rPr>
          <w:rFonts w:hint="eastAsia" w:ascii="宋体" w:hAnsi="宋体" w:eastAsia="宋体" w:cs="宋体"/>
          <w:color w:val="auto"/>
          <w:sz w:val="24"/>
          <w:highlight w:val="none"/>
        </w:rPr>
        <w:t>方共同签署。验收结果与采购合同约定的资金支付及履约保证金返还条件挂钩。履约验收的各项资料应当存档备查。</w:t>
      </w:r>
    </w:p>
    <w:p w14:paraId="6F1A7C80">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.4采购人原则上应当在履约验收之日起2个工作日内，将履约验收结果在浙江政府采购网上公告。</w:t>
      </w:r>
    </w:p>
    <w:p w14:paraId="030AFB7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.5验收合格的项目，采购人将根据采购合同的约定及时向供应商支付采购资金、退还履约保证金。</w:t>
      </w:r>
    </w:p>
    <w:p w14:paraId="796B996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CE891E">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529E6837">
      <w:pPr>
        <w:spacing w:line="360" w:lineRule="auto"/>
        <w:jc w:val="center"/>
        <w:outlineLvl w:val="0"/>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eastAsia="zh-CN"/>
        </w:rPr>
        <w:t>三</w:t>
      </w:r>
      <w:r>
        <w:rPr>
          <w:rFonts w:hint="eastAsia" w:ascii="宋体" w:hAnsi="宋体" w:eastAsia="宋体" w:cs="宋体"/>
          <w:b/>
          <w:color w:val="auto"/>
          <w:sz w:val="36"/>
          <w:highlight w:val="none"/>
        </w:rPr>
        <w:t xml:space="preserve">部分  </w:t>
      </w:r>
      <w:r>
        <w:rPr>
          <w:rFonts w:hint="eastAsia" w:ascii="宋体" w:hAnsi="宋体" w:eastAsia="宋体" w:cs="宋体"/>
          <w:b/>
          <w:color w:val="auto"/>
          <w:sz w:val="36"/>
          <w:highlight w:val="none"/>
          <w:lang w:eastAsia="zh-CN"/>
        </w:rPr>
        <w:t>采购需求</w:t>
      </w:r>
    </w:p>
    <w:p w14:paraId="3B3B0B4F">
      <w:pPr>
        <w:spacing w:line="460" w:lineRule="exact"/>
        <w:jc w:val="center"/>
        <w:rPr>
          <w:rFonts w:hint="default"/>
          <w:color w:val="auto"/>
          <w:highlight w:val="none"/>
          <w:lang w:val="en-US" w:eastAsia="zh-CN"/>
        </w:rPr>
      </w:pPr>
      <w:r>
        <w:rPr>
          <w:rFonts w:hint="eastAsia" w:ascii="黑体" w:hAnsi="宋体" w:eastAsia="黑体" w:cs="宋体"/>
          <w:color w:val="auto"/>
          <w:kern w:val="0"/>
          <w:sz w:val="24"/>
          <w:highlight w:val="none"/>
        </w:rPr>
        <w:t>（▲条款为实质性响应条款，必须满足，否则作无效标处理</w:t>
      </w:r>
      <w:r>
        <w:rPr>
          <w:rFonts w:hint="eastAsia" w:ascii="黑体" w:hAnsi="宋体" w:eastAsia="黑体" w:cs="宋体"/>
          <w:color w:val="auto"/>
          <w:kern w:val="0"/>
          <w:sz w:val="24"/>
          <w:highlight w:val="none"/>
          <w:lang w:eastAsia="zh-CN"/>
        </w:rPr>
        <w:t>；标注</w:t>
      </w:r>
      <w:r>
        <w:rPr>
          <w:rFonts w:hint="eastAsia" w:ascii="黑体" w:hAnsi="宋体" w:eastAsia="黑体" w:cs="宋体"/>
          <w:color w:val="auto"/>
          <w:kern w:val="0"/>
          <w:sz w:val="24"/>
          <w:highlight w:val="none"/>
          <w:lang w:val="en-US" w:eastAsia="zh-CN"/>
        </w:rPr>
        <w:t>“★”号的指标为主要功能配置要求，出现负偏离的，按评标办法规定着重扣分</w:t>
      </w:r>
      <w:r>
        <w:rPr>
          <w:rFonts w:hint="eastAsia" w:ascii="黑体" w:hAnsi="宋体" w:eastAsia="黑体" w:cs="宋体"/>
          <w:color w:val="auto"/>
          <w:kern w:val="0"/>
          <w:sz w:val="24"/>
          <w:highlight w:val="none"/>
        </w:rPr>
        <w:t>）</w:t>
      </w:r>
    </w:p>
    <w:p w14:paraId="7F1393C6">
      <w:pPr>
        <w:keepNext/>
        <w:keepLines/>
        <w:widowControl w:val="0"/>
        <w:numPr>
          <w:ilvl w:val="1"/>
          <w:numId w:val="2"/>
        </w:numPr>
        <w:bidi w:val="0"/>
        <w:spacing w:beforeAutospacing="0" w:afterAutospacing="0" w:line="400" w:lineRule="exact"/>
        <w:ind w:left="573" w:leftChars="0" w:hanging="573" w:firstLineChars="0"/>
        <w:jc w:val="both"/>
        <w:outlineLvl w:val="1"/>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项目背景</w:t>
      </w:r>
    </w:p>
    <w:p w14:paraId="41C778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为贯彻落实《网络安全法》、《数据安全法》、《关保条例》等法律法规及省网信办数字化改革领导小组会议关于网络安全工作的部署要求，持续加强数字政府、数字经济网络安全保障水平，整体提升网络空间综合安全防御能力，</w:t>
      </w:r>
      <w:r>
        <w:rPr>
          <w:rFonts w:hint="eastAsia" w:ascii="宋体" w:hAnsi="宋体" w:eastAsia="宋体" w:cs="Times New Roman"/>
          <w:color w:val="auto"/>
          <w:sz w:val="24"/>
          <w:szCs w:val="24"/>
          <w:highlight w:val="none"/>
          <w:lang w:val="en-US" w:eastAsia="zh-Hans"/>
        </w:rPr>
        <w:t>及时发现辖区内网络安全风险，</w:t>
      </w:r>
      <w:r>
        <w:rPr>
          <w:rFonts w:hint="eastAsia" w:ascii="宋体" w:hAnsi="宋体" w:eastAsia="宋体" w:cs="Times New Roman"/>
          <w:color w:val="auto"/>
          <w:sz w:val="24"/>
          <w:szCs w:val="24"/>
          <w:highlight w:val="none"/>
          <w:lang w:val="en-US" w:eastAsia="zh-CN"/>
        </w:rPr>
        <w:t>防范突发性网络安全事件，压紧压实采购人网络安全监管职责，拟通过采购2024年网络安全服务项目，对浦江县重要阵地开展常态化安全监管，摸排各行业信息系统风险，梳理信息系统安全防护和管理状况，督促相关单位整改网络安全漏洞、隐患和突出安全问题，确保重点行业重要信息系统安全稳定运行，牢筑数字化改革网络安全屏障。</w:t>
      </w:r>
    </w:p>
    <w:p w14:paraId="01E2CD77">
      <w:pPr>
        <w:keepNext/>
        <w:keepLines/>
        <w:widowControl w:val="0"/>
        <w:numPr>
          <w:ilvl w:val="1"/>
          <w:numId w:val="2"/>
        </w:numPr>
        <w:bidi w:val="0"/>
        <w:spacing w:beforeAutospacing="0" w:afterAutospacing="0" w:line="400" w:lineRule="exact"/>
        <w:ind w:left="573" w:leftChars="0" w:hanging="573" w:firstLineChars="0"/>
        <w:jc w:val="both"/>
        <w:outlineLvl w:val="1"/>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项目概况</w:t>
      </w:r>
    </w:p>
    <w:p w14:paraId="3C6189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(1)采购内容为“2024年网络安全服务项目”，包括云上资产风险检测服务、渗透测试服务、企业侧风险扫描服务、重点企业单位现场检查服务、应急响应服务、攻防演练服务、安全培训服务。</w:t>
      </w:r>
    </w:p>
    <w:p w14:paraId="52BE43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w:t>
      </w:r>
      <w:r>
        <w:rPr>
          <w:rFonts w:hint="eastAsia" w:ascii="宋体" w:hAnsi="宋体" w:cs="宋体"/>
          <w:color w:val="auto"/>
          <w:sz w:val="24"/>
          <w:szCs w:val="24"/>
          <w:highlight w:val="none"/>
          <w:lang w:val="en-US" w:eastAsia="zh-CN"/>
        </w:rPr>
        <w:t>自合同签之日起一年</w:t>
      </w:r>
      <w:r>
        <w:rPr>
          <w:rFonts w:hint="eastAsia" w:ascii="宋体" w:hAnsi="宋体" w:eastAsia="宋体" w:cs="宋体"/>
          <w:color w:val="auto"/>
          <w:sz w:val="24"/>
          <w:szCs w:val="24"/>
          <w:highlight w:val="none"/>
          <w:lang w:val="en-US" w:eastAsia="zh-CN"/>
        </w:rPr>
        <w:t>。</w:t>
      </w:r>
    </w:p>
    <w:p w14:paraId="3B29C1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(3)服务清单：</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947"/>
        <w:gridCol w:w="1547"/>
        <w:gridCol w:w="1496"/>
        <w:gridCol w:w="1683"/>
      </w:tblGrid>
      <w:tr w14:paraId="6898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3" w:type="pct"/>
            <w:noWrap w:val="0"/>
            <w:vAlign w:val="center"/>
          </w:tcPr>
          <w:p w14:paraId="550FD8D8">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2087" w:type="pct"/>
            <w:noWrap w:val="0"/>
            <w:vAlign w:val="center"/>
          </w:tcPr>
          <w:p w14:paraId="07B17C16">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服务名称</w:t>
            </w:r>
          </w:p>
        </w:tc>
        <w:tc>
          <w:tcPr>
            <w:tcW w:w="818" w:type="pct"/>
            <w:noWrap w:val="0"/>
            <w:vAlign w:val="center"/>
          </w:tcPr>
          <w:p w14:paraId="03EE7DC6">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数量</w:t>
            </w:r>
          </w:p>
        </w:tc>
        <w:tc>
          <w:tcPr>
            <w:tcW w:w="791" w:type="pct"/>
            <w:noWrap w:val="0"/>
            <w:vAlign w:val="center"/>
          </w:tcPr>
          <w:p w14:paraId="70CEA2BC">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单位</w:t>
            </w:r>
          </w:p>
        </w:tc>
        <w:tc>
          <w:tcPr>
            <w:tcW w:w="890" w:type="pct"/>
            <w:noWrap w:val="0"/>
            <w:vAlign w:val="center"/>
          </w:tcPr>
          <w:p w14:paraId="546AF1ED">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w:t>
            </w:r>
          </w:p>
        </w:tc>
      </w:tr>
      <w:tr w14:paraId="46C0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3" w:type="pct"/>
            <w:noWrap w:val="0"/>
            <w:vAlign w:val="center"/>
          </w:tcPr>
          <w:p w14:paraId="3F9D3FE4">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087" w:type="pct"/>
            <w:noWrap w:val="0"/>
            <w:vAlign w:val="center"/>
          </w:tcPr>
          <w:p w14:paraId="4E37730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云上资产风险检测服务</w:t>
            </w:r>
          </w:p>
        </w:tc>
        <w:tc>
          <w:tcPr>
            <w:tcW w:w="818" w:type="pct"/>
            <w:noWrap w:val="0"/>
            <w:vAlign w:val="center"/>
          </w:tcPr>
          <w:p w14:paraId="720F63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791" w:type="pct"/>
            <w:noWrap w:val="0"/>
            <w:vAlign w:val="center"/>
          </w:tcPr>
          <w:p w14:paraId="2086F11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次</w:t>
            </w:r>
          </w:p>
        </w:tc>
        <w:tc>
          <w:tcPr>
            <w:tcW w:w="890" w:type="pct"/>
            <w:vMerge w:val="restart"/>
            <w:noWrap w:val="0"/>
            <w:vAlign w:val="center"/>
          </w:tcPr>
          <w:p w14:paraId="7F0E7739">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服务具体实施时间由采购人指定。</w:t>
            </w:r>
          </w:p>
        </w:tc>
      </w:tr>
      <w:tr w14:paraId="20EE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3" w:type="pct"/>
            <w:noWrap w:val="0"/>
            <w:vAlign w:val="center"/>
          </w:tcPr>
          <w:p w14:paraId="49C61DCF">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2087" w:type="pct"/>
            <w:noWrap w:val="0"/>
            <w:vAlign w:val="center"/>
          </w:tcPr>
          <w:p w14:paraId="639549F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渗透测试服务</w:t>
            </w:r>
          </w:p>
        </w:tc>
        <w:tc>
          <w:tcPr>
            <w:tcW w:w="818" w:type="pct"/>
            <w:noWrap w:val="0"/>
            <w:vAlign w:val="center"/>
          </w:tcPr>
          <w:p w14:paraId="3BA9DA8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791" w:type="pct"/>
            <w:noWrap w:val="0"/>
            <w:vAlign w:val="center"/>
          </w:tcPr>
          <w:p w14:paraId="4C4837B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个</w:t>
            </w:r>
          </w:p>
        </w:tc>
        <w:tc>
          <w:tcPr>
            <w:tcW w:w="890" w:type="pct"/>
            <w:vMerge w:val="continue"/>
            <w:noWrap w:val="0"/>
            <w:vAlign w:val="center"/>
          </w:tcPr>
          <w:p w14:paraId="1F15069B">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leftChars="0" w:right="0" w:firstLine="240" w:firstLineChars="100"/>
              <w:jc w:val="both"/>
              <w:textAlignment w:val="auto"/>
              <w:rPr>
                <w:rFonts w:hint="eastAsia" w:ascii="宋体" w:hAnsi="宋体" w:eastAsia="宋体" w:cs="宋体"/>
                <w:color w:val="auto"/>
                <w:kern w:val="2"/>
                <w:sz w:val="24"/>
                <w:szCs w:val="24"/>
                <w:highlight w:val="none"/>
                <w:lang w:val="en-US" w:eastAsia="zh-CN" w:bidi="ar-SA"/>
              </w:rPr>
            </w:pPr>
          </w:p>
        </w:tc>
      </w:tr>
      <w:tr w14:paraId="70D3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3" w:type="pct"/>
            <w:noWrap w:val="0"/>
            <w:vAlign w:val="center"/>
          </w:tcPr>
          <w:p w14:paraId="4ECA926C">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2087" w:type="pct"/>
            <w:noWrap w:val="0"/>
            <w:vAlign w:val="center"/>
          </w:tcPr>
          <w:p w14:paraId="1B93BA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企业侧风险扫描服务</w:t>
            </w:r>
          </w:p>
        </w:tc>
        <w:tc>
          <w:tcPr>
            <w:tcW w:w="818" w:type="pct"/>
            <w:noWrap w:val="0"/>
            <w:vAlign w:val="center"/>
          </w:tcPr>
          <w:p w14:paraId="4F174E1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791" w:type="pct"/>
            <w:noWrap w:val="0"/>
            <w:vAlign w:val="center"/>
          </w:tcPr>
          <w:p w14:paraId="070C90A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次</w:t>
            </w:r>
          </w:p>
        </w:tc>
        <w:tc>
          <w:tcPr>
            <w:tcW w:w="890" w:type="pct"/>
            <w:vMerge w:val="continue"/>
            <w:noWrap w:val="0"/>
            <w:vAlign w:val="center"/>
          </w:tcPr>
          <w:p w14:paraId="7E7D9118">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leftChars="0" w:right="0" w:firstLine="240" w:firstLineChars="100"/>
              <w:jc w:val="both"/>
              <w:textAlignment w:val="auto"/>
              <w:rPr>
                <w:rFonts w:hint="eastAsia" w:ascii="宋体" w:hAnsi="宋体" w:eastAsia="宋体" w:cs="宋体"/>
                <w:color w:val="auto"/>
                <w:kern w:val="2"/>
                <w:sz w:val="24"/>
                <w:szCs w:val="24"/>
                <w:highlight w:val="none"/>
                <w:lang w:val="en-US" w:eastAsia="zh-CN" w:bidi="ar-SA"/>
              </w:rPr>
            </w:pPr>
          </w:p>
        </w:tc>
      </w:tr>
      <w:tr w14:paraId="1444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3" w:type="pct"/>
            <w:noWrap w:val="0"/>
            <w:vAlign w:val="center"/>
          </w:tcPr>
          <w:p w14:paraId="7F10816E">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2087" w:type="pct"/>
            <w:noWrap w:val="0"/>
            <w:vAlign w:val="center"/>
          </w:tcPr>
          <w:p w14:paraId="3E779A2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重点企业单位现场检查服务</w:t>
            </w:r>
          </w:p>
        </w:tc>
        <w:tc>
          <w:tcPr>
            <w:tcW w:w="818" w:type="pct"/>
            <w:noWrap w:val="0"/>
            <w:vAlign w:val="center"/>
          </w:tcPr>
          <w:p w14:paraId="0D5E2D3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791" w:type="pct"/>
            <w:noWrap w:val="0"/>
            <w:vAlign w:val="center"/>
          </w:tcPr>
          <w:p w14:paraId="491FDB7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人天</w:t>
            </w:r>
          </w:p>
        </w:tc>
        <w:tc>
          <w:tcPr>
            <w:tcW w:w="890" w:type="pct"/>
            <w:vMerge w:val="continue"/>
            <w:noWrap w:val="0"/>
            <w:vAlign w:val="center"/>
          </w:tcPr>
          <w:p w14:paraId="72434E9D">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leftChars="0" w:right="0" w:firstLine="240" w:firstLineChars="100"/>
              <w:jc w:val="both"/>
              <w:textAlignment w:val="auto"/>
              <w:rPr>
                <w:rFonts w:hint="eastAsia" w:ascii="宋体" w:hAnsi="宋体" w:eastAsia="宋体" w:cs="宋体"/>
                <w:color w:val="auto"/>
                <w:kern w:val="2"/>
                <w:sz w:val="24"/>
                <w:szCs w:val="24"/>
                <w:highlight w:val="none"/>
                <w:lang w:val="en-US" w:eastAsia="zh-CN" w:bidi="ar-SA"/>
              </w:rPr>
            </w:pPr>
          </w:p>
        </w:tc>
      </w:tr>
      <w:tr w14:paraId="72E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3" w:type="pct"/>
            <w:noWrap w:val="0"/>
            <w:vAlign w:val="center"/>
          </w:tcPr>
          <w:p w14:paraId="4B83982B">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2087" w:type="pct"/>
            <w:noWrap w:val="0"/>
            <w:vAlign w:val="center"/>
          </w:tcPr>
          <w:p w14:paraId="552F3CA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应急响应服务</w:t>
            </w:r>
          </w:p>
        </w:tc>
        <w:tc>
          <w:tcPr>
            <w:tcW w:w="818" w:type="pct"/>
            <w:noWrap w:val="0"/>
            <w:vAlign w:val="center"/>
          </w:tcPr>
          <w:p w14:paraId="6902139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791" w:type="pct"/>
            <w:noWrap w:val="0"/>
            <w:vAlign w:val="center"/>
          </w:tcPr>
          <w:p w14:paraId="5F65E8D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次</w:t>
            </w:r>
          </w:p>
        </w:tc>
        <w:tc>
          <w:tcPr>
            <w:tcW w:w="890" w:type="pct"/>
            <w:vMerge w:val="continue"/>
            <w:noWrap w:val="0"/>
            <w:vAlign w:val="center"/>
          </w:tcPr>
          <w:p w14:paraId="50B9F4CF">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leftChars="0" w:right="0" w:firstLine="240" w:firstLineChars="100"/>
              <w:jc w:val="both"/>
              <w:textAlignment w:val="auto"/>
              <w:rPr>
                <w:rFonts w:hint="eastAsia" w:ascii="宋体" w:hAnsi="宋体" w:eastAsia="宋体" w:cs="宋体"/>
                <w:color w:val="auto"/>
                <w:kern w:val="2"/>
                <w:sz w:val="24"/>
                <w:szCs w:val="24"/>
                <w:highlight w:val="none"/>
                <w:lang w:val="en-US" w:eastAsia="zh-CN" w:bidi="ar-SA"/>
              </w:rPr>
            </w:pPr>
          </w:p>
        </w:tc>
      </w:tr>
      <w:tr w14:paraId="6783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13" w:type="pct"/>
            <w:noWrap w:val="0"/>
            <w:vAlign w:val="center"/>
          </w:tcPr>
          <w:p w14:paraId="3520D25F">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2087" w:type="pct"/>
            <w:noWrap w:val="0"/>
            <w:vAlign w:val="center"/>
          </w:tcPr>
          <w:p w14:paraId="6AB51B4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攻防演练服务</w:t>
            </w:r>
          </w:p>
        </w:tc>
        <w:tc>
          <w:tcPr>
            <w:tcW w:w="818" w:type="pct"/>
            <w:noWrap w:val="0"/>
            <w:vAlign w:val="center"/>
          </w:tcPr>
          <w:p w14:paraId="7944806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791" w:type="pct"/>
            <w:noWrap w:val="0"/>
            <w:vAlign w:val="center"/>
          </w:tcPr>
          <w:p w14:paraId="6543643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次</w:t>
            </w:r>
          </w:p>
        </w:tc>
        <w:tc>
          <w:tcPr>
            <w:tcW w:w="890" w:type="pct"/>
            <w:vMerge w:val="continue"/>
            <w:noWrap w:val="0"/>
            <w:vAlign w:val="center"/>
          </w:tcPr>
          <w:p w14:paraId="1CD7152C">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leftChars="0" w:right="0" w:firstLine="240" w:firstLineChars="100"/>
              <w:jc w:val="both"/>
              <w:textAlignment w:val="auto"/>
              <w:rPr>
                <w:rFonts w:hint="eastAsia" w:ascii="宋体" w:hAnsi="宋体" w:eastAsia="宋体" w:cs="宋体"/>
                <w:color w:val="auto"/>
                <w:kern w:val="2"/>
                <w:sz w:val="24"/>
                <w:szCs w:val="24"/>
                <w:highlight w:val="none"/>
                <w:lang w:val="en-US" w:eastAsia="zh-CN" w:bidi="ar-SA"/>
              </w:rPr>
            </w:pPr>
          </w:p>
        </w:tc>
      </w:tr>
      <w:tr w14:paraId="2F7C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13" w:type="pct"/>
            <w:noWrap w:val="0"/>
            <w:vAlign w:val="center"/>
          </w:tcPr>
          <w:p w14:paraId="1D0A8FCF">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2087" w:type="pct"/>
            <w:noWrap w:val="0"/>
            <w:vAlign w:val="center"/>
          </w:tcPr>
          <w:p w14:paraId="668039CE">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right="0"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安全培训服务</w:t>
            </w:r>
          </w:p>
        </w:tc>
        <w:tc>
          <w:tcPr>
            <w:tcW w:w="818" w:type="pct"/>
            <w:noWrap w:val="0"/>
            <w:vAlign w:val="center"/>
          </w:tcPr>
          <w:p w14:paraId="27FA23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791" w:type="pct"/>
            <w:noWrap w:val="0"/>
            <w:vAlign w:val="center"/>
          </w:tcPr>
          <w:p w14:paraId="10B1ADF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次</w:t>
            </w:r>
          </w:p>
        </w:tc>
        <w:tc>
          <w:tcPr>
            <w:tcW w:w="890" w:type="pct"/>
            <w:vMerge w:val="continue"/>
            <w:noWrap w:val="0"/>
            <w:vAlign w:val="center"/>
          </w:tcPr>
          <w:p w14:paraId="1A4B9EB8">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Lines="0" w:beforeAutospacing="0" w:after="0" w:afterAutospacing="0" w:line="400" w:lineRule="exact"/>
              <w:ind w:left="0" w:leftChars="0" w:right="0" w:firstLine="240" w:firstLineChars="100"/>
              <w:jc w:val="both"/>
              <w:textAlignment w:val="auto"/>
              <w:rPr>
                <w:rFonts w:hint="eastAsia" w:ascii="宋体" w:hAnsi="宋体" w:eastAsia="宋体" w:cs="宋体"/>
                <w:color w:val="auto"/>
                <w:kern w:val="2"/>
                <w:sz w:val="24"/>
                <w:szCs w:val="24"/>
                <w:highlight w:val="none"/>
                <w:lang w:val="en-US" w:eastAsia="zh-CN" w:bidi="ar-SA"/>
              </w:rPr>
            </w:pPr>
          </w:p>
        </w:tc>
      </w:tr>
    </w:tbl>
    <w:p w14:paraId="7076635B">
      <w:pPr>
        <w:keepNext/>
        <w:keepLines/>
        <w:widowControl w:val="0"/>
        <w:numPr>
          <w:ilvl w:val="1"/>
          <w:numId w:val="2"/>
        </w:numPr>
        <w:bidi w:val="0"/>
        <w:spacing w:beforeAutospacing="0" w:afterAutospacing="0" w:line="400" w:lineRule="exact"/>
        <w:ind w:left="573" w:leftChars="0" w:hanging="573" w:firstLineChars="0"/>
        <w:jc w:val="both"/>
        <w:outlineLvl w:val="1"/>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服务技术要求</w:t>
      </w:r>
    </w:p>
    <w:p w14:paraId="3BD3FB5F">
      <w:pPr>
        <w:keepNext/>
        <w:keepLines/>
        <w:widowControl w:val="0"/>
        <w:numPr>
          <w:ilvl w:val="2"/>
          <w:numId w:val="3"/>
        </w:numPr>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云上资产风险检测服务</w:t>
      </w:r>
    </w:p>
    <w:p w14:paraId="00858DDE">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293045F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取自动化工具+人工服务的模式，利用工具丰富的漏洞知识库，对政务云应用、主机在内的云上资产进行基于漏洞的安全扫描。通过本项服务及时发现政务云漏洞风险，客观评估信息系统风险等级，根据漏扫实际情况，结合人工客观的给出修复建议，提供相应的漏洞风险扫描报告并提供漏洞复测服务。</w:t>
      </w:r>
    </w:p>
    <w:p w14:paraId="20D7D3D8">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6991FA8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1）服务期内，须在采购人网络环境中私有化部署资产风险检测相关工具，支持采购人自定义发起漏洞扫描任务，支持插件形式扫描突发安全漏洞。</w:t>
      </w:r>
    </w:p>
    <w:p w14:paraId="3A1B988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2）服务期内，须提供资产风险检测工具升级服务；每次扫描结束后，须输出《漏洞扫描报告》，并提供漏洞风险整改咨询指导服务。</w:t>
      </w:r>
    </w:p>
    <w:p w14:paraId="5F5170B7">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default"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服务工具要求</w:t>
      </w:r>
    </w:p>
    <w:tbl>
      <w:tblPr>
        <w:tblStyle w:val="31"/>
        <w:tblW w:w="5040"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8002"/>
      </w:tblGrid>
      <w:tr w14:paraId="1B31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noWrap w:val="0"/>
            <w:vAlign w:val="center"/>
          </w:tcPr>
          <w:p w14:paraId="1ECE339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指标项</w:t>
            </w:r>
          </w:p>
        </w:tc>
        <w:tc>
          <w:tcPr>
            <w:tcW w:w="4196" w:type="pct"/>
            <w:noWrap w:val="0"/>
            <w:vAlign w:val="center"/>
          </w:tcPr>
          <w:p w14:paraId="63B9C1C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技术要求</w:t>
            </w:r>
          </w:p>
        </w:tc>
      </w:tr>
      <w:tr w14:paraId="54D6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noWrap w:val="0"/>
            <w:vAlign w:val="center"/>
          </w:tcPr>
          <w:p w14:paraId="7B93650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部署要求</w:t>
            </w:r>
          </w:p>
        </w:tc>
        <w:tc>
          <w:tcPr>
            <w:tcW w:w="4196" w:type="pct"/>
            <w:noWrap w:val="0"/>
            <w:vAlign w:val="center"/>
          </w:tcPr>
          <w:p w14:paraId="3595C61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0"/>
                <w:highlight w:val="none"/>
                <w:lang w:val="en-US" w:eastAsia="zh-CN" w:bidi="ar-SA"/>
              </w:rPr>
              <w:t>支持软硬一体化及软件化部署，支持单台、多台、分布式部署、并提供统一管理功能</w:t>
            </w:r>
          </w:p>
        </w:tc>
      </w:tr>
      <w:tr w14:paraId="02E7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pct"/>
            <w:vMerge w:val="restart"/>
            <w:noWrap w:val="0"/>
            <w:vAlign w:val="center"/>
          </w:tcPr>
          <w:p w14:paraId="0FAEE4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资产发现能力</w:t>
            </w:r>
          </w:p>
        </w:tc>
        <w:tc>
          <w:tcPr>
            <w:tcW w:w="4196" w:type="pct"/>
            <w:noWrap w:val="0"/>
            <w:vAlign w:val="center"/>
          </w:tcPr>
          <w:p w14:paraId="2D8960D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支持域名资产的子域名、多级域名自动发现、子域名字典爆破，针对网站资产支持IP域名反查、关联IP查询等方式。</w:t>
            </w:r>
          </w:p>
        </w:tc>
      </w:tr>
      <w:tr w14:paraId="1D55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pct"/>
            <w:vMerge w:val="continue"/>
            <w:noWrap w:val="0"/>
            <w:vAlign w:val="center"/>
          </w:tcPr>
          <w:p w14:paraId="0E4B355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2B8ACE9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支持主机资产发现，采用TCP_SYN、ICMP_ECHO、UDP、TCP_ACK、SCTP等多种方式，同时支持IPV6扫描，并支持探活端口设置，全天候巡检发现资产更新并展示。</w:t>
            </w:r>
          </w:p>
        </w:tc>
      </w:tr>
      <w:tr w14:paraId="2DD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restart"/>
            <w:noWrap w:val="0"/>
            <w:vAlign w:val="center"/>
          </w:tcPr>
          <w:p w14:paraId="34BE808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Hans" w:bidi="ar-SA"/>
              </w:rPr>
              <w:t>资产</w:t>
            </w:r>
            <w:r>
              <w:rPr>
                <w:rFonts w:hint="eastAsia" w:ascii="宋体" w:hAnsi="宋体" w:eastAsia="宋体" w:cs="宋体"/>
                <w:b w:val="0"/>
                <w:bCs w:val="0"/>
                <w:color w:val="auto"/>
                <w:kern w:val="2"/>
                <w:sz w:val="24"/>
                <w:szCs w:val="24"/>
                <w:highlight w:val="none"/>
                <w:lang w:val="en-US" w:eastAsia="zh-CN" w:bidi="ar-SA"/>
              </w:rPr>
              <w:t>风险</w:t>
            </w:r>
            <w:r>
              <w:rPr>
                <w:rFonts w:hint="eastAsia" w:ascii="宋体" w:hAnsi="宋体" w:eastAsia="宋体" w:cs="宋体"/>
                <w:b w:val="0"/>
                <w:bCs w:val="0"/>
                <w:color w:val="auto"/>
                <w:kern w:val="2"/>
                <w:sz w:val="24"/>
                <w:szCs w:val="24"/>
                <w:highlight w:val="none"/>
                <w:lang w:val="en-US" w:eastAsia="zh-Hans" w:bidi="ar-SA"/>
              </w:rPr>
              <w:t>分析</w:t>
            </w:r>
          </w:p>
        </w:tc>
        <w:tc>
          <w:tcPr>
            <w:tcW w:w="4196" w:type="pct"/>
            <w:noWrap w:val="0"/>
            <w:vAlign w:val="center"/>
          </w:tcPr>
          <w:p w14:paraId="541BE1A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Hans" w:bidi="ar-SA"/>
              </w:rPr>
              <w:t>支持主机资产</w:t>
            </w:r>
            <w:r>
              <w:rPr>
                <w:rFonts w:hint="eastAsia" w:ascii="宋体" w:hAnsi="宋体" w:eastAsia="宋体" w:cs="宋体"/>
                <w:b w:val="0"/>
                <w:bCs w:val="0"/>
                <w:color w:val="auto"/>
                <w:kern w:val="2"/>
                <w:sz w:val="24"/>
                <w:szCs w:val="24"/>
                <w:highlight w:val="none"/>
                <w:lang w:val="en-US" w:eastAsia="zh-CN" w:bidi="ar-SA"/>
              </w:rPr>
              <w:t>信息</w:t>
            </w:r>
            <w:r>
              <w:rPr>
                <w:rFonts w:hint="eastAsia" w:ascii="宋体" w:hAnsi="宋体" w:eastAsia="宋体" w:cs="宋体"/>
                <w:b w:val="0"/>
                <w:bCs w:val="0"/>
                <w:color w:val="auto"/>
                <w:kern w:val="2"/>
                <w:sz w:val="24"/>
                <w:szCs w:val="24"/>
                <w:highlight w:val="none"/>
                <w:lang w:val="en-US" w:eastAsia="zh-Hans" w:bidi="ar-SA"/>
              </w:rPr>
              <w:t>分析</w:t>
            </w:r>
            <w:r>
              <w:rPr>
                <w:rFonts w:hint="eastAsia" w:ascii="宋体" w:hAnsi="宋体" w:eastAsia="宋体" w:cs="宋体"/>
                <w:b w:val="0"/>
                <w:bCs w:val="0"/>
                <w:color w:val="auto"/>
                <w:kern w:val="2"/>
                <w:sz w:val="24"/>
                <w:szCs w:val="24"/>
                <w:highlight w:val="none"/>
                <w:lang w:val="en-US" w:eastAsia="zh-CN" w:bidi="ar-SA"/>
              </w:rPr>
              <w:t>和</w:t>
            </w:r>
            <w:r>
              <w:rPr>
                <w:rFonts w:hint="eastAsia" w:ascii="宋体" w:hAnsi="宋体" w:eastAsia="宋体" w:cs="宋体"/>
                <w:b w:val="0"/>
                <w:bCs w:val="0"/>
                <w:color w:val="auto"/>
                <w:kern w:val="2"/>
                <w:sz w:val="24"/>
                <w:szCs w:val="24"/>
                <w:highlight w:val="none"/>
                <w:lang w:val="en-US" w:eastAsia="zh-Hans" w:bidi="ar-SA"/>
              </w:rPr>
              <w:t>TOP N展示，</w:t>
            </w:r>
            <w:r>
              <w:rPr>
                <w:rFonts w:hint="eastAsia" w:ascii="宋体" w:hAnsi="宋体" w:eastAsia="宋体" w:cs="宋体"/>
                <w:b w:val="0"/>
                <w:bCs w:val="0"/>
                <w:color w:val="auto"/>
                <w:kern w:val="2"/>
                <w:sz w:val="24"/>
                <w:szCs w:val="24"/>
                <w:highlight w:val="none"/>
                <w:lang w:val="en-US" w:eastAsia="zh-CN" w:bidi="ar-SA"/>
              </w:rPr>
              <w:t>包括但不限于</w:t>
            </w:r>
            <w:r>
              <w:rPr>
                <w:rFonts w:hint="eastAsia" w:ascii="宋体" w:hAnsi="宋体" w:eastAsia="宋体" w:cs="宋体"/>
                <w:b w:val="0"/>
                <w:bCs w:val="0"/>
                <w:color w:val="auto"/>
                <w:kern w:val="2"/>
                <w:sz w:val="24"/>
                <w:szCs w:val="24"/>
                <w:highlight w:val="none"/>
                <w:lang w:val="en-US" w:eastAsia="zh-Hans" w:bidi="ar-SA"/>
              </w:rPr>
              <w:t>资产概况、资产变化趋势、</w:t>
            </w:r>
            <w:r>
              <w:rPr>
                <w:rFonts w:hint="eastAsia" w:ascii="宋体" w:hAnsi="宋体" w:eastAsia="宋体" w:cs="宋体"/>
                <w:b w:val="0"/>
                <w:bCs w:val="0"/>
                <w:color w:val="auto"/>
                <w:kern w:val="2"/>
                <w:sz w:val="24"/>
                <w:szCs w:val="24"/>
                <w:highlight w:val="none"/>
                <w:lang w:val="en-US" w:eastAsia="zh-CN" w:bidi="ar-SA"/>
              </w:rPr>
              <w:t>主机端口服务开放概况</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kern w:val="2"/>
                <w:sz w:val="24"/>
                <w:szCs w:val="24"/>
                <w:highlight w:val="none"/>
                <w:lang w:val="en-US" w:eastAsia="zh-CN" w:bidi="ar-SA"/>
              </w:rPr>
              <w:t>主机端口开放TOP5、高危端口TOP5、主机端口TOP5、主机服务TOP5、网站资产状态码分布、网站资产指纹识别TOP5、域名解析TOP5、主机资产类别TOP5、操作系统TOP5</w:t>
            </w:r>
            <w:r>
              <w:rPr>
                <w:rFonts w:hint="eastAsia" w:ascii="宋体" w:hAnsi="宋体" w:eastAsia="宋体" w:cs="宋体"/>
                <w:b w:val="0"/>
                <w:bCs w:val="0"/>
                <w:color w:val="auto"/>
                <w:kern w:val="2"/>
                <w:sz w:val="24"/>
                <w:szCs w:val="24"/>
                <w:highlight w:val="none"/>
                <w:lang w:val="en-US" w:eastAsia="zh-Hans" w:bidi="ar-SA"/>
              </w:rPr>
              <w:t>等信息</w:t>
            </w:r>
            <w:r>
              <w:rPr>
                <w:rFonts w:hint="eastAsia" w:ascii="宋体" w:hAnsi="宋体" w:eastAsia="宋体" w:cs="宋体"/>
                <w:b w:val="0"/>
                <w:bCs w:val="0"/>
                <w:color w:val="auto"/>
                <w:kern w:val="2"/>
                <w:sz w:val="24"/>
                <w:szCs w:val="24"/>
                <w:highlight w:val="none"/>
                <w:lang w:val="en-US" w:eastAsia="zh-CN" w:bidi="ar-SA"/>
              </w:rPr>
              <w:t>。</w:t>
            </w:r>
          </w:p>
        </w:tc>
      </w:tr>
      <w:tr w14:paraId="4DC5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03" w:type="pct"/>
            <w:vMerge w:val="continue"/>
            <w:noWrap w:val="0"/>
            <w:vAlign w:val="center"/>
          </w:tcPr>
          <w:p w14:paraId="0730FEC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Hans" w:bidi="ar-SA"/>
              </w:rPr>
            </w:pPr>
          </w:p>
        </w:tc>
        <w:tc>
          <w:tcPr>
            <w:tcW w:w="4196" w:type="pct"/>
            <w:noWrap w:val="0"/>
            <w:vAlign w:val="center"/>
          </w:tcPr>
          <w:p w14:paraId="342F9B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Hans" w:bidi="ar-SA"/>
              </w:rPr>
              <w:t>支持</w:t>
            </w:r>
            <w:r>
              <w:rPr>
                <w:rFonts w:hint="eastAsia" w:ascii="宋体" w:hAnsi="宋体" w:eastAsia="宋体" w:cs="宋体"/>
                <w:b w:val="0"/>
                <w:bCs w:val="0"/>
                <w:color w:val="auto"/>
                <w:kern w:val="2"/>
                <w:sz w:val="24"/>
                <w:szCs w:val="24"/>
                <w:highlight w:val="none"/>
                <w:lang w:val="en-US" w:eastAsia="zh-CN" w:bidi="ar-SA"/>
              </w:rPr>
              <w:t>资产风险分析，包括但不限于风险</w:t>
            </w:r>
            <w:r>
              <w:rPr>
                <w:rFonts w:hint="eastAsia" w:ascii="宋体" w:hAnsi="宋体" w:eastAsia="宋体" w:cs="宋体"/>
                <w:b w:val="0"/>
                <w:bCs w:val="0"/>
                <w:color w:val="auto"/>
                <w:kern w:val="2"/>
                <w:sz w:val="24"/>
                <w:szCs w:val="24"/>
                <w:highlight w:val="none"/>
                <w:lang w:val="en-US" w:eastAsia="zh-Hans" w:bidi="ar-SA"/>
              </w:rPr>
              <w:t>概况、</w:t>
            </w:r>
            <w:r>
              <w:rPr>
                <w:rFonts w:hint="eastAsia" w:ascii="宋体" w:hAnsi="宋体" w:eastAsia="宋体" w:cs="宋体"/>
                <w:b w:val="0"/>
                <w:bCs w:val="0"/>
                <w:color w:val="auto"/>
                <w:kern w:val="2"/>
                <w:sz w:val="24"/>
                <w:szCs w:val="24"/>
                <w:highlight w:val="none"/>
                <w:lang w:val="en-US" w:eastAsia="zh-CN" w:bidi="ar-SA"/>
              </w:rPr>
              <w:t>漏洞</w:t>
            </w:r>
            <w:r>
              <w:rPr>
                <w:rFonts w:hint="eastAsia" w:ascii="宋体" w:hAnsi="宋体" w:eastAsia="宋体" w:cs="宋体"/>
                <w:b w:val="0"/>
                <w:bCs w:val="0"/>
                <w:color w:val="auto"/>
                <w:kern w:val="2"/>
                <w:sz w:val="24"/>
                <w:szCs w:val="24"/>
                <w:highlight w:val="none"/>
                <w:lang w:val="en-US" w:eastAsia="zh-Hans" w:bidi="ar-SA"/>
              </w:rPr>
              <w:t>变化趋势、</w:t>
            </w:r>
            <w:r>
              <w:rPr>
                <w:rFonts w:hint="eastAsia" w:ascii="宋体" w:hAnsi="宋体" w:eastAsia="宋体" w:cs="宋体"/>
                <w:b w:val="0"/>
                <w:bCs w:val="0"/>
                <w:color w:val="auto"/>
                <w:kern w:val="2"/>
                <w:sz w:val="24"/>
                <w:szCs w:val="24"/>
                <w:highlight w:val="none"/>
                <w:lang w:val="en-US" w:eastAsia="zh-CN" w:bidi="ar-SA"/>
              </w:rPr>
              <w:t>风险类型分布、CMS应用漏洞TOP5、运维安全风险TOP5、高危网站资产TOP5、高风险主机资产TOP5、弱口令风险TOP5。</w:t>
            </w:r>
          </w:p>
        </w:tc>
      </w:tr>
      <w:tr w14:paraId="4545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5E6A8F6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Hans" w:bidi="ar-SA"/>
              </w:rPr>
            </w:pPr>
          </w:p>
        </w:tc>
        <w:tc>
          <w:tcPr>
            <w:tcW w:w="4196" w:type="pct"/>
            <w:noWrap w:val="0"/>
            <w:vAlign w:val="center"/>
          </w:tcPr>
          <w:p w14:paraId="67705E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Hans" w:bidi="ar-SA"/>
              </w:rPr>
              <w:t>支持</w:t>
            </w:r>
            <w:r>
              <w:rPr>
                <w:rFonts w:hint="eastAsia" w:ascii="宋体" w:hAnsi="宋体" w:eastAsia="宋体" w:cs="宋体"/>
                <w:b w:val="0"/>
                <w:bCs w:val="0"/>
                <w:color w:val="auto"/>
                <w:kern w:val="2"/>
                <w:sz w:val="24"/>
                <w:szCs w:val="24"/>
                <w:highlight w:val="none"/>
                <w:lang w:val="en-US" w:eastAsia="zh-CN" w:bidi="ar-SA"/>
              </w:rPr>
              <w:t>漏洞</w:t>
            </w:r>
            <w:r>
              <w:rPr>
                <w:rFonts w:hint="eastAsia" w:ascii="宋体" w:hAnsi="宋体" w:eastAsia="宋体" w:cs="宋体"/>
                <w:b w:val="0"/>
                <w:bCs w:val="0"/>
                <w:color w:val="auto"/>
                <w:kern w:val="2"/>
                <w:sz w:val="24"/>
                <w:szCs w:val="24"/>
                <w:highlight w:val="none"/>
                <w:lang w:val="en-US" w:eastAsia="zh-Hans" w:bidi="ar-SA"/>
              </w:rPr>
              <w:t>风险TOP N展示，包括</w:t>
            </w:r>
            <w:r>
              <w:rPr>
                <w:rFonts w:hint="eastAsia" w:ascii="宋体" w:hAnsi="宋体" w:eastAsia="宋体" w:cs="宋体"/>
                <w:b w:val="0"/>
                <w:bCs w:val="0"/>
                <w:color w:val="auto"/>
                <w:kern w:val="2"/>
                <w:sz w:val="24"/>
                <w:szCs w:val="24"/>
                <w:highlight w:val="none"/>
                <w:lang w:val="en-US" w:eastAsia="zh-CN" w:bidi="ar-SA"/>
              </w:rPr>
              <w:t>但不限于应用</w:t>
            </w:r>
            <w:r>
              <w:rPr>
                <w:rFonts w:hint="eastAsia" w:ascii="宋体" w:hAnsi="宋体" w:eastAsia="宋体" w:cs="宋体"/>
                <w:b w:val="0"/>
                <w:bCs w:val="0"/>
                <w:color w:val="auto"/>
                <w:kern w:val="2"/>
                <w:sz w:val="24"/>
                <w:szCs w:val="24"/>
                <w:highlight w:val="none"/>
                <w:lang w:val="en-US" w:eastAsia="zh-Hans" w:bidi="ar-SA"/>
              </w:rPr>
              <w:t>漏洞、运维安全</w:t>
            </w:r>
            <w:r>
              <w:rPr>
                <w:rFonts w:hint="eastAsia" w:ascii="宋体" w:hAnsi="宋体" w:eastAsia="宋体" w:cs="宋体"/>
                <w:b w:val="0"/>
                <w:bCs w:val="0"/>
                <w:color w:val="auto"/>
                <w:kern w:val="2"/>
                <w:sz w:val="24"/>
                <w:szCs w:val="24"/>
                <w:highlight w:val="none"/>
                <w:lang w:val="en-US" w:eastAsia="zh-CN" w:bidi="ar-SA"/>
              </w:rPr>
              <w:t>风险</w:t>
            </w:r>
            <w:r>
              <w:rPr>
                <w:rFonts w:hint="eastAsia" w:ascii="宋体" w:hAnsi="宋体" w:eastAsia="宋体" w:cs="宋体"/>
                <w:b w:val="0"/>
                <w:bCs w:val="0"/>
                <w:color w:val="auto"/>
                <w:kern w:val="2"/>
                <w:sz w:val="24"/>
                <w:szCs w:val="24"/>
                <w:highlight w:val="none"/>
                <w:lang w:val="en-US" w:eastAsia="zh-Hans" w:bidi="ar-SA"/>
              </w:rPr>
              <w:t>、风险资产、弱口令等。</w:t>
            </w:r>
          </w:p>
        </w:tc>
      </w:tr>
      <w:tr w14:paraId="7B2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restart"/>
            <w:noWrap w:val="0"/>
            <w:vAlign w:val="center"/>
          </w:tcPr>
          <w:p w14:paraId="7CFCC72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资产管理能力</w:t>
            </w:r>
          </w:p>
        </w:tc>
        <w:tc>
          <w:tcPr>
            <w:tcW w:w="4196" w:type="pct"/>
            <w:noWrap w:val="0"/>
            <w:vAlign w:val="center"/>
          </w:tcPr>
          <w:p w14:paraId="35FA5A2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支持包括防火墙、交换机、路由器、服务器、摄像头、应用系统等31类资产识别，资产指纹总数不少于6500条，并支持</w:t>
            </w:r>
            <w:r>
              <w:rPr>
                <w:rFonts w:hint="eastAsia" w:ascii="宋体" w:hAnsi="宋体" w:eastAsia="宋体" w:cs="宋体"/>
                <w:b w:val="0"/>
                <w:bCs w:val="0"/>
                <w:color w:val="auto"/>
                <w:kern w:val="2"/>
                <w:sz w:val="24"/>
                <w:szCs w:val="24"/>
                <w:highlight w:val="none"/>
                <w:lang w:val="en-US" w:eastAsia="zh-Hans" w:bidi="ar-SA"/>
              </w:rPr>
              <w:t>自动对资产所属设备类型进行归类展示</w:t>
            </w:r>
            <w:r>
              <w:rPr>
                <w:rFonts w:hint="eastAsia" w:ascii="宋体" w:hAnsi="宋体" w:eastAsia="宋体" w:cs="宋体"/>
                <w:b w:val="0"/>
                <w:bCs w:val="0"/>
                <w:color w:val="auto"/>
                <w:kern w:val="2"/>
                <w:sz w:val="24"/>
                <w:szCs w:val="24"/>
                <w:highlight w:val="none"/>
                <w:lang w:val="en-US" w:eastAsia="zh-CN" w:bidi="ar-SA"/>
              </w:rPr>
              <w:t>。</w:t>
            </w:r>
          </w:p>
        </w:tc>
      </w:tr>
      <w:tr w14:paraId="23A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69E9295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108A5CD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支持主机资产的内外网识别，同时获取资产存活/更新</w:t>
            </w:r>
            <w:r>
              <w:rPr>
                <w:rFonts w:hint="eastAsia" w:ascii="宋体" w:hAnsi="宋体" w:eastAsia="宋体" w:cs="宋体"/>
                <w:b w:val="0"/>
                <w:bCs w:val="0"/>
                <w:color w:val="auto"/>
                <w:kern w:val="2"/>
                <w:sz w:val="24"/>
                <w:szCs w:val="24"/>
                <w:highlight w:val="none"/>
                <w:lang w:val="en-US" w:eastAsia="zh-Hans" w:bidi="ar-SA"/>
              </w:rPr>
              <w:t>状态、</w:t>
            </w:r>
            <w:r>
              <w:rPr>
                <w:rFonts w:hint="eastAsia" w:ascii="宋体" w:hAnsi="宋体" w:eastAsia="宋体" w:cs="宋体"/>
                <w:b w:val="0"/>
                <w:bCs w:val="0"/>
                <w:color w:val="auto"/>
                <w:kern w:val="2"/>
                <w:sz w:val="24"/>
                <w:szCs w:val="24"/>
                <w:highlight w:val="none"/>
                <w:lang w:val="en-US" w:eastAsia="zh-CN" w:bidi="ar-SA"/>
              </w:rPr>
              <w:t>关联域名、操作系统、端口、服务、中间件、地理位置、漏洞信息、CDN、</w:t>
            </w:r>
            <w:r>
              <w:rPr>
                <w:rFonts w:hint="eastAsia" w:ascii="宋体" w:hAnsi="宋体" w:eastAsia="宋体" w:cs="宋体"/>
                <w:b w:val="0"/>
                <w:bCs w:val="0"/>
                <w:color w:val="auto"/>
                <w:kern w:val="2"/>
                <w:sz w:val="24"/>
                <w:szCs w:val="24"/>
                <w:highlight w:val="none"/>
                <w:lang w:val="en-US" w:eastAsia="zh-Hans" w:bidi="ar-SA"/>
              </w:rPr>
              <w:t>指纹、来源、扫描时间</w:t>
            </w:r>
            <w:r>
              <w:rPr>
                <w:rFonts w:hint="eastAsia" w:ascii="宋体" w:hAnsi="宋体" w:eastAsia="宋体" w:cs="宋体"/>
                <w:b w:val="0"/>
                <w:bCs w:val="0"/>
                <w:color w:val="auto"/>
                <w:kern w:val="2"/>
                <w:sz w:val="24"/>
                <w:szCs w:val="24"/>
                <w:highlight w:val="none"/>
                <w:lang w:val="en-US" w:eastAsia="zh-CN" w:bidi="ar-SA"/>
              </w:rPr>
              <w:t>等信息。</w:t>
            </w:r>
          </w:p>
        </w:tc>
      </w:tr>
      <w:tr w14:paraId="3225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00BA6F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31C9131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支持资产更新分析，自动收集资产更新前后信息，并针对更新内容进行重点对比展示。</w:t>
            </w:r>
          </w:p>
        </w:tc>
      </w:tr>
      <w:tr w14:paraId="3674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5932488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28992F1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支持自定义nameserver、IP/域名矫正，分析</w:t>
            </w:r>
            <w:r>
              <w:rPr>
                <w:rFonts w:hint="eastAsia" w:ascii="宋体" w:hAnsi="宋体" w:eastAsia="宋体" w:cs="宋体"/>
                <w:b w:val="0"/>
                <w:bCs w:val="0"/>
                <w:color w:val="auto"/>
                <w:kern w:val="2"/>
                <w:sz w:val="24"/>
                <w:szCs w:val="24"/>
                <w:highlight w:val="none"/>
                <w:lang w:val="en-US" w:eastAsia="zh-Hans" w:bidi="ar-SA"/>
              </w:rPr>
              <w:t>域名资产解析状态</w:t>
            </w:r>
            <w:r>
              <w:rPr>
                <w:rFonts w:hint="eastAsia" w:ascii="宋体" w:hAnsi="宋体" w:eastAsia="宋体" w:cs="宋体"/>
                <w:b w:val="0"/>
                <w:bCs w:val="0"/>
                <w:color w:val="auto"/>
                <w:kern w:val="2"/>
                <w:sz w:val="24"/>
                <w:szCs w:val="24"/>
                <w:highlight w:val="none"/>
                <w:lang w:val="en-US" w:eastAsia="zh-CN" w:bidi="ar-SA"/>
              </w:rPr>
              <w:t>，获取域名资产whois详细信息。</w:t>
            </w:r>
          </w:p>
        </w:tc>
      </w:tr>
      <w:tr w14:paraId="353E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421ADD2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24DCAE9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★支持数据资产识别。包括对企业信息的识别（企业名称、官网、营业期限、电话等等）和企业关联的应用信息识别（包括微信小程序、微信公众号、微博号等等）。</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14FB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6DE1858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46F939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0"/>
                <w:highlight w:val="none"/>
                <w:lang w:val="en-US" w:eastAsia="zh-CN" w:bidi="ar-SA"/>
              </w:rPr>
              <w:t>★支持供应链情报获取，支持识别资产应用类型，应用厂商等，支持基于应用类型进行供应链情报匹配，供应链情报展示应用名称、类型、漏洞披露、影响资产类型及数量等。</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4006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restart"/>
            <w:noWrap w:val="0"/>
            <w:vAlign w:val="center"/>
          </w:tcPr>
          <w:p w14:paraId="04A791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风险监测能力</w:t>
            </w:r>
          </w:p>
        </w:tc>
        <w:tc>
          <w:tcPr>
            <w:tcW w:w="4196" w:type="pct"/>
            <w:noWrap w:val="0"/>
            <w:vAlign w:val="center"/>
          </w:tcPr>
          <w:p w14:paraId="31A4272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支持CMS应用漏洞、运维安全漏洞、弱口令、Web漏洞、基线监控、合规漏洞等风险检测。</w:t>
            </w:r>
          </w:p>
        </w:tc>
      </w:tr>
      <w:tr w14:paraId="6EFB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547D467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07D2D9B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Hans" w:bidi="ar-SA"/>
              </w:rPr>
              <w:t>针对</w:t>
            </w:r>
            <w:r>
              <w:rPr>
                <w:rFonts w:hint="eastAsia" w:ascii="宋体" w:hAnsi="宋体" w:eastAsia="宋体" w:cs="宋体"/>
                <w:b w:val="0"/>
                <w:bCs w:val="0"/>
                <w:color w:val="auto"/>
                <w:kern w:val="2"/>
                <w:sz w:val="24"/>
                <w:szCs w:val="24"/>
                <w:highlight w:val="none"/>
                <w:lang w:val="en-US" w:eastAsia="zh-CN" w:bidi="ar-SA"/>
              </w:rPr>
              <w:t>互联网</w:t>
            </w:r>
            <w:r>
              <w:rPr>
                <w:rFonts w:hint="eastAsia" w:ascii="宋体" w:hAnsi="宋体" w:eastAsia="宋体" w:cs="宋体"/>
                <w:b w:val="0"/>
                <w:bCs w:val="0"/>
                <w:color w:val="auto"/>
                <w:kern w:val="2"/>
                <w:sz w:val="24"/>
                <w:szCs w:val="24"/>
                <w:highlight w:val="none"/>
                <w:lang w:val="en-US" w:eastAsia="zh-Hans" w:bidi="ar-SA"/>
              </w:rPr>
              <w:t>厂商</w:t>
            </w:r>
            <w:r>
              <w:rPr>
                <w:rFonts w:hint="eastAsia" w:ascii="宋体" w:hAnsi="宋体" w:eastAsia="宋体" w:cs="宋体"/>
                <w:b w:val="0"/>
                <w:bCs w:val="0"/>
                <w:color w:val="auto"/>
                <w:kern w:val="2"/>
                <w:sz w:val="24"/>
                <w:szCs w:val="24"/>
                <w:highlight w:val="none"/>
                <w:lang w:val="en-US" w:eastAsia="zh-CN" w:bidi="ar-SA"/>
              </w:rPr>
              <w:t>各类</w:t>
            </w:r>
            <w:r>
              <w:rPr>
                <w:rFonts w:hint="eastAsia" w:ascii="宋体" w:hAnsi="宋体" w:eastAsia="宋体" w:cs="宋体"/>
                <w:b w:val="0"/>
                <w:bCs w:val="0"/>
                <w:color w:val="auto"/>
                <w:kern w:val="2"/>
                <w:sz w:val="24"/>
                <w:szCs w:val="24"/>
                <w:highlight w:val="none"/>
                <w:lang w:val="en-US" w:eastAsia="zh-Hans" w:bidi="ar-SA"/>
              </w:rPr>
              <w:t>产品的漏洞，</w:t>
            </w:r>
            <w:r>
              <w:rPr>
                <w:rFonts w:hint="eastAsia" w:ascii="宋体" w:hAnsi="宋体" w:eastAsia="宋体" w:cs="宋体"/>
                <w:b w:val="0"/>
                <w:bCs w:val="0"/>
                <w:color w:val="auto"/>
                <w:kern w:val="2"/>
                <w:sz w:val="24"/>
                <w:szCs w:val="24"/>
                <w:highlight w:val="none"/>
                <w:lang w:val="en-US" w:eastAsia="zh-CN" w:bidi="ar-SA"/>
              </w:rPr>
              <w:t>支持漏洞</w:t>
            </w:r>
            <w:r>
              <w:rPr>
                <w:rFonts w:hint="eastAsia" w:ascii="宋体" w:hAnsi="宋体" w:eastAsia="宋体" w:cs="宋体"/>
                <w:b w:val="0"/>
                <w:bCs w:val="0"/>
                <w:color w:val="auto"/>
                <w:kern w:val="2"/>
                <w:sz w:val="24"/>
                <w:szCs w:val="24"/>
                <w:highlight w:val="none"/>
                <w:lang w:val="en-US" w:eastAsia="zh-Hans" w:bidi="ar-SA"/>
              </w:rPr>
              <w:t>原理性插件检测</w:t>
            </w:r>
            <w:r>
              <w:rPr>
                <w:rFonts w:hint="eastAsia" w:ascii="宋体" w:hAnsi="宋体" w:eastAsia="宋体" w:cs="宋体"/>
                <w:b w:val="0"/>
                <w:bCs w:val="0"/>
                <w:color w:val="auto"/>
                <w:kern w:val="2"/>
                <w:sz w:val="24"/>
                <w:szCs w:val="24"/>
                <w:highlight w:val="none"/>
                <w:lang w:val="en-US" w:eastAsia="zh-CN" w:bidi="ar-SA"/>
              </w:rPr>
              <w:t>，分析风险危害并给出相应建议。</w:t>
            </w:r>
          </w:p>
        </w:tc>
      </w:tr>
      <w:tr w14:paraId="0DA2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3C848B0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4A77D37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★支持GitHub、Gitee、CSDN代码泄露监测，支持敏感代码风险监测，显示泄露的代码仓库、作者、代码片段、关键词等信息。</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4A36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170BBCB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27AB8F5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支持突发事件应急检测，能够针对单个或多个漏洞进行指定资产范围内的风险发现。</w:t>
            </w:r>
          </w:p>
        </w:tc>
      </w:tr>
      <w:tr w14:paraId="0A5D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3B19D24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08FD105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Hans" w:bidi="ar-SA"/>
              </w:rPr>
              <w:t>支持用户自定义漏洞检测规则，根据自身情况对风险监测能力进行补充。</w:t>
            </w:r>
          </w:p>
        </w:tc>
      </w:tr>
      <w:tr w14:paraId="776F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6A33282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359801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Hans" w:bidi="ar-SA"/>
              </w:rPr>
              <w:t>支持全局</w:t>
            </w:r>
            <w:r>
              <w:rPr>
                <w:rFonts w:hint="eastAsia" w:ascii="宋体" w:hAnsi="宋体" w:eastAsia="宋体" w:cs="宋体"/>
                <w:b w:val="0"/>
                <w:bCs w:val="0"/>
                <w:color w:val="auto"/>
                <w:kern w:val="2"/>
                <w:sz w:val="24"/>
                <w:szCs w:val="24"/>
                <w:highlight w:val="none"/>
                <w:lang w:val="en-US" w:eastAsia="zh-CN" w:bidi="ar-SA"/>
              </w:rPr>
              <w:t>或特定服务的</w:t>
            </w:r>
            <w:r>
              <w:rPr>
                <w:rFonts w:hint="eastAsia" w:ascii="宋体" w:hAnsi="宋体" w:eastAsia="宋体" w:cs="宋体"/>
                <w:b w:val="0"/>
                <w:bCs w:val="0"/>
                <w:color w:val="auto"/>
                <w:kern w:val="2"/>
                <w:sz w:val="24"/>
                <w:szCs w:val="24"/>
                <w:highlight w:val="none"/>
                <w:lang w:val="en-US" w:eastAsia="zh-Hans" w:bidi="ar-SA"/>
              </w:rPr>
              <w:t>弱口令</w:t>
            </w:r>
            <w:r>
              <w:rPr>
                <w:rFonts w:hint="eastAsia" w:ascii="宋体" w:hAnsi="宋体" w:eastAsia="宋体" w:cs="宋体"/>
                <w:b w:val="0"/>
                <w:bCs w:val="0"/>
                <w:color w:val="auto"/>
                <w:kern w:val="2"/>
                <w:sz w:val="24"/>
                <w:szCs w:val="24"/>
                <w:highlight w:val="none"/>
                <w:lang w:val="en-US" w:eastAsia="zh-CN" w:bidi="ar-SA"/>
              </w:rPr>
              <w:t>配置，根据自身业务情况</w:t>
            </w:r>
            <w:r>
              <w:rPr>
                <w:rFonts w:hint="eastAsia" w:ascii="宋体" w:hAnsi="宋体" w:eastAsia="宋体" w:cs="宋体"/>
                <w:b w:val="0"/>
                <w:bCs w:val="0"/>
                <w:color w:val="auto"/>
                <w:kern w:val="2"/>
                <w:sz w:val="24"/>
                <w:szCs w:val="24"/>
                <w:highlight w:val="none"/>
                <w:lang w:val="en-US" w:eastAsia="zh-Hans" w:bidi="ar-SA"/>
              </w:rPr>
              <w:t>自定义</w:t>
            </w:r>
            <w:r>
              <w:rPr>
                <w:rFonts w:hint="eastAsia" w:ascii="宋体" w:hAnsi="宋体" w:eastAsia="宋体" w:cs="宋体"/>
                <w:b w:val="0"/>
                <w:bCs w:val="0"/>
                <w:color w:val="auto"/>
                <w:kern w:val="2"/>
                <w:sz w:val="24"/>
                <w:szCs w:val="24"/>
                <w:highlight w:val="none"/>
                <w:lang w:val="en-US" w:eastAsia="zh-CN" w:bidi="ar-SA"/>
              </w:rPr>
              <w:t>典型的</w:t>
            </w:r>
            <w:r>
              <w:rPr>
                <w:rFonts w:hint="eastAsia" w:ascii="宋体" w:hAnsi="宋体" w:eastAsia="宋体" w:cs="宋体"/>
                <w:b w:val="0"/>
                <w:bCs w:val="0"/>
                <w:color w:val="auto"/>
                <w:kern w:val="2"/>
                <w:sz w:val="24"/>
                <w:szCs w:val="24"/>
                <w:highlight w:val="none"/>
                <w:lang w:val="en-US" w:eastAsia="zh-Hans" w:bidi="ar-SA"/>
              </w:rPr>
              <w:t>用户名、密码</w:t>
            </w:r>
            <w:r>
              <w:rPr>
                <w:rFonts w:hint="eastAsia" w:ascii="宋体" w:hAnsi="宋体" w:eastAsia="宋体" w:cs="宋体"/>
                <w:b w:val="0"/>
                <w:bCs w:val="0"/>
                <w:color w:val="auto"/>
                <w:kern w:val="2"/>
                <w:sz w:val="24"/>
                <w:szCs w:val="24"/>
                <w:highlight w:val="none"/>
                <w:lang w:val="en-US" w:eastAsia="zh-CN" w:bidi="ar-SA"/>
              </w:rPr>
              <w:t>。</w:t>
            </w:r>
          </w:p>
        </w:tc>
      </w:tr>
      <w:tr w14:paraId="7C48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3992DC5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73452E7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支持快速漏扫功能，能单独发起扫描任务，对任意目标进行应急检测、基础风险检测和Web风险检测，同时输出扫描报告。</w:t>
            </w:r>
          </w:p>
        </w:tc>
      </w:tr>
      <w:tr w14:paraId="1B8F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2D8940E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4D6003F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支持设置资产巡检周期，自定义扫描周期、</w:t>
            </w:r>
            <w:r>
              <w:rPr>
                <w:rFonts w:hint="eastAsia" w:ascii="宋体" w:hAnsi="宋体" w:eastAsia="宋体" w:cs="宋体"/>
                <w:b w:val="0"/>
                <w:bCs w:val="0"/>
                <w:color w:val="auto"/>
                <w:kern w:val="2"/>
                <w:sz w:val="24"/>
                <w:szCs w:val="24"/>
                <w:highlight w:val="none"/>
                <w:lang w:val="en-US" w:eastAsia="zh-Hans" w:bidi="ar-SA"/>
              </w:rPr>
              <w:t>扫描开始/结束时间、</w:t>
            </w:r>
            <w:r>
              <w:rPr>
                <w:rFonts w:hint="eastAsia" w:ascii="宋体" w:hAnsi="宋体" w:eastAsia="宋体" w:cs="宋体"/>
                <w:b w:val="0"/>
                <w:bCs w:val="0"/>
                <w:color w:val="auto"/>
                <w:kern w:val="2"/>
                <w:sz w:val="24"/>
                <w:szCs w:val="24"/>
                <w:highlight w:val="none"/>
                <w:lang w:val="en-US" w:eastAsia="zh-CN" w:bidi="ar-SA"/>
              </w:rPr>
              <w:t>扫描速率、探活发包协议、端口策略、漏洞类型、User-Agent等信息。</w:t>
            </w:r>
          </w:p>
        </w:tc>
      </w:tr>
      <w:tr w14:paraId="04F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restart"/>
            <w:noWrap w:val="0"/>
            <w:vAlign w:val="center"/>
          </w:tcPr>
          <w:p w14:paraId="562BD1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漏洞管理能力</w:t>
            </w:r>
          </w:p>
        </w:tc>
        <w:tc>
          <w:tcPr>
            <w:tcW w:w="4196" w:type="pct"/>
            <w:noWrap w:val="0"/>
            <w:vAlign w:val="center"/>
          </w:tcPr>
          <w:p w14:paraId="7B7454B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支持漏洞风险分析，包括但不限于风险概述、风险地址、风险类型、风险描述、风险危害、风险细节、修复建议以及请求与响应等信息。</w:t>
            </w:r>
          </w:p>
        </w:tc>
      </w:tr>
      <w:tr w14:paraId="03BF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pct"/>
            <w:vMerge w:val="continue"/>
            <w:noWrap w:val="0"/>
            <w:vAlign w:val="center"/>
          </w:tcPr>
          <w:p w14:paraId="129E343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5F15714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★支持漏洞闭环管理，能对漏洞进行确认、忽略以及一键分享等操作，自动生成有期限的链接与密码。</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3CA5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restart"/>
            <w:noWrap w:val="0"/>
            <w:vAlign w:val="center"/>
          </w:tcPr>
          <w:p w14:paraId="42EB75B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告警通知能力</w:t>
            </w:r>
          </w:p>
        </w:tc>
        <w:tc>
          <w:tcPr>
            <w:tcW w:w="4196" w:type="pct"/>
            <w:noWrap w:val="0"/>
            <w:vAlign w:val="center"/>
          </w:tcPr>
          <w:p w14:paraId="3F33B09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支持邮件、系统消息等告警方式。</w:t>
            </w:r>
          </w:p>
        </w:tc>
      </w:tr>
      <w:tr w14:paraId="668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3D4DD76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29C8AEB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支持自定义告警规则，包括但不限于接收时间段、漏洞类型、资产范围等。</w:t>
            </w:r>
          </w:p>
        </w:tc>
      </w:tr>
      <w:tr w14:paraId="2D5C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noWrap w:val="0"/>
            <w:vAlign w:val="center"/>
          </w:tcPr>
          <w:p w14:paraId="4564E7A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统计报告能力</w:t>
            </w:r>
          </w:p>
        </w:tc>
        <w:tc>
          <w:tcPr>
            <w:tcW w:w="4196" w:type="pct"/>
            <w:noWrap w:val="0"/>
            <w:vAlign w:val="center"/>
          </w:tcPr>
          <w:p w14:paraId="1EBEE88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支持自定义导出资产综合报表、风险报表和CSPM报表，导出格式包括但不限于Word、Html、Excel、PDF等。</w:t>
            </w:r>
          </w:p>
        </w:tc>
      </w:tr>
      <w:tr w14:paraId="2181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restart"/>
            <w:noWrap w:val="0"/>
            <w:vAlign w:val="center"/>
          </w:tcPr>
          <w:p w14:paraId="7B5D5B5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系统管理能力</w:t>
            </w:r>
          </w:p>
        </w:tc>
        <w:tc>
          <w:tcPr>
            <w:tcW w:w="4196" w:type="pct"/>
            <w:noWrap w:val="0"/>
            <w:vAlign w:val="center"/>
          </w:tcPr>
          <w:p w14:paraId="4674950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支持自定义扫描规则，包括但不限于弱口令自定义、基线扫描规则自定义、目录爆破字典和速率自定义。</w:t>
            </w:r>
          </w:p>
        </w:tc>
      </w:tr>
      <w:tr w14:paraId="5C32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663997B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022EDEA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支持自定义资产白名单，系统对白名单内资产不进行资产监测或风险扫描。</w:t>
            </w:r>
          </w:p>
        </w:tc>
      </w:tr>
      <w:tr w14:paraId="48D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330A800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51F3826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支持自定义云风险等级，对扫描出来的云风险修改风险等级。</w:t>
            </w:r>
          </w:p>
        </w:tc>
      </w:tr>
      <w:tr w14:paraId="2DCE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Merge w:val="continue"/>
            <w:noWrap w:val="0"/>
            <w:vAlign w:val="center"/>
          </w:tcPr>
          <w:p w14:paraId="06F4681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4196" w:type="pct"/>
            <w:noWrap w:val="0"/>
            <w:vAlign w:val="center"/>
          </w:tcPr>
          <w:p w14:paraId="203BC2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支持数据校正。支持对DNS解析的IP下发现的资产进行数据校正。支持对所有资产的标签、地理位置进行数据校正。</w:t>
            </w:r>
          </w:p>
        </w:tc>
      </w:tr>
      <w:tr w14:paraId="6046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noWrap w:val="0"/>
            <w:vAlign w:val="center"/>
          </w:tcPr>
          <w:p w14:paraId="14BC87D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工具资质</w:t>
            </w:r>
          </w:p>
        </w:tc>
        <w:tc>
          <w:tcPr>
            <w:tcW w:w="4196" w:type="pct"/>
            <w:noWrap w:val="0"/>
            <w:vAlign w:val="center"/>
          </w:tcPr>
          <w:p w14:paraId="69490AA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00" w:lineRule="exact"/>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★具备公安部网络安全保卫局颁发的《计算机信息系统安全专用产品销售许可证》</w:t>
            </w:r>
            <w:r>
              <w:rPr>
                <w:rFonts w:hint="eastAsia" w:ascii="宋体" w:hAnsi="宋体" w:eastAsia="宋体" w:cs="宋体"/>
                <w:b/>
                <w:bCs/>
                <w:color w:val="auto"/>
                <w:kern w:val="2"/>
                <w:sz w:val="24"/>
                <w:szCs w:val="24"/>
                <w:highlight w:val="none"/>
                <w:lang w:val="en-US" w:eastAsia="zh-CN" w:bidi="ar-SA"/>
              </w:rPr>
              <w:t>(提供证书扫描件并加盖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bl>
    <w:p w14:paraId="3877E197">
      <w:pPr>
        <w:spacing w:line="240" w:lineRule="auto"/>
        <w:rPr>
          <w:rFonts w:hint="default" w:ascii="宋体" w:hAnsi="宋体" w:eastAsia="宋体" w:cs="Times New Roman"/>
          <w:color w:val="auto"/>
          <w:sz w:val="24"/>
          <w:szCs w:val="24"/>
          <w:highlight w:val="none"/>
          <w:lang w:val="en-US" w:eastAsia="zh-CN"/>
        </w:rPr>
      </w:pPr>
    </w:p>
    <w:p w14:paraId="699AB05E">
      <w:pPr>
        <w:keepNext/>
        <w:keepLines/>
        <w:widowControl w:val="0"/>
        <w:numPr>
          <w:ilvl w:val="2"/>
          <w:numId w:val="3"/>
        </w:numPr>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渗透测试服务</w:t>
      </w:r>
    </w:p>
    <w:p w14:paraId="1FF084B0">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44C9D48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通过模拟黑客攻击对采购人指定的5个信息系统进行非破坏性质的攻击性测试，在各种强度的模拟攻击下，深入了解系统的坚固程度和脆弱点，提供系统存在的安全威胁和风险报告，并提供安全整改建议协助进行有针对性的加固。</w:t>
      </w:r>
    </w:p>
    <w:p w14:paraId="60920B2A">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00BDDE1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1）渗透测试准备阶段，须对采购人授权范围内的信息系统进行安全测试，在渗透测试开始之前服务供应商须和采购人签署渗透授权书与保密协议，并以书面的形式将各种有可能存在的后果充分告之采购人。</w:t>
      </w:r>
    </w:p>
    <w:p w14:paraId="5731795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渗透测试实施阶段，渗透采用技术方式包括但不限于：内网测试(采用的渗透方式：远程缓冲区溢出，口令猜测，以及B/S或C/S应用程序测试(如果涉及C/S程序测试，需提前准备相关客户端软件供测试使用))；外网测试(采用的渗透方式：信息收集分析、端口扫描、权限提升、溢出测试、SQL注入攻击、页面隐藏字段检测、跨站攻击、WEB应用测试、第三方软件误配置利用、Cookie利用等。</w:t>
      </w:r>
    </w:p>
    <w:p w14:paraId="7DA7D71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3）在渗透测试过程中，须借助信息收集、端口扫描、远程溢出、口令猜测、本地溢出、脚本测试等方法，全方位获取目标信息系统安全风险。</w:t>
      </w:r>
    </w:p>
    <w:p w14:paraId="5CE395D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在渗透测试收尾阶段，服务供应商需整理渗透测试相关过程文档，提交《信息系统渗透测试报告》。渗透测试报告应包含渗透过程中采用的方法、手段、测试项目、发现的问题、以及相关漏洞的加固建议和系统的安全建议。</w:t>
      </w:r>
    </w:p>
    <w:p w14:paraId="32D09B1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5）渗透测试结束后，服务供应商须提供漏洞风险整改咨询指导、渗透测试复测服务，确保信息系统安全风险得以收敛并整改加固到位。</w:t>
      </w:r>
    </w:p>
    <w:p w14:paraId="557DE2A2">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default"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服务工具要求</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7706"/>
      </w:tblGrid>
      <w:tr w14:paraId="7571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4" w:type="pct"/>
            <w:noWrap w:val="0"/>
            <w:vAlign w:val="center"/>
          </w:tcPr>
          <w:p w14:paraId="6F520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指标项</w:t>
            </w:r>
          </w:p>
        </w:tc>
        <w:tc>
          <w:tcPr>
            <w:tcW w:w="4075" w:type="pct"/>
            <w:noWrap w:val="0"/>
            <w:vAlign w:val="center"/>
          </w:tcPr>
          <w:p w14:paraId="70831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技术要求</w:t>
            </w:r>
          </w:p>
        </w:tc>
      </w:tr>
      <w:tr w14:paraId="6710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24" w:type="pct"/>
            <w:vMerge w:val="restart"/>
            <w:noWrap w:val="0"/>
            <w:vAlign w:val="center"/>
          </w:tcPr>
          <w:p w14:paraId="65F33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扫描能力</w:t>
            </w:r>
          </w:p>
        </w:tc>
        <w:tc>
          <w:tcPr>
            <w:tcW w:w="4075" w:type="pct"/>
            <w:noWrap w:val="0"/>
            <w:vAlign w:val="center"/>
          </w:tcPr>
          <w:p w14:paraId="37C69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color w:val="auto"/>
                <w:kern w:val="0"/>
                <w:sz w:val="24"/>
                <w:szCs w:val="24"/>
                <w:highlight w:val="none"/>
                <w:lang w:val="en-US" w:eastAsia="zh-Hans" w:bidi="ar-SA"/>
              </w:rPr>
              <w:t>支持对接阿里云、腾讯云、华为云、</w:t>
            </w:r>
            <w:r>
              <w:rPr>
                <w:rFonts w:hint="eastAsia" w:ascii="宋体" w:hAnsi="宋体" w:eastAsia="宋体" w:cs="宋体"/>
                <w:color w:val="auto"/>
                <w:kern w:val="0"/>
                <w:sz w:val="24"/>
                <w:szCs w:val="24"/>
                <w:highlight w:val="none"/>
                <w:lang w:val="en-US" w:eastAsia="zh-CN" w:bidi="ar-SA"/>
              </w:rPr>
              <w:t>华为私有云、</w:t>
            </w:r>
            <w:r>
              <w:rPr>
                <w:rFonts w:hint="eastAsia" w:ascii="宋体" w:hAnsi="宋体" w:eastAsia="宋体" w:cs="宋体"/>
                <w:color w:val="auto"/>
                <w:kern w:val="0"/>
                <w:sz w:val="24"/>
                <w:szCs w:val="24"/>
                <w:highlight w:val="none"/>
                <w:lang w:val="en-US" w:eastAsia="zh-Hans" w:bidi="ar-SA"/>
              </w:rPr>
              <w:t>AWS、AWS(CN)、Azure、Azure</w:t>
            </w:r>
            <w:r>
              <w:rPr>
                <w:rFonts w:hint="eastAsia" w:ascii="宋体" w:hAnsi="宋体" w:eastAsia="宋体" w:cs="宋体"/>
                <w:color w:val="auto"/>
                <w:kern w:val="0"/>
                <w:sz w:val="24"/>
                <w:szCs w:val="24"/>
                <w:highlight w:val="none"/>
                <w:lang w:val="en-US" w:eastAsia="zh-CN" w:bidi="ar-SA"/>
              </w:rPr>
              <w:t>(CN)、</w:t>
            </w:r>
            <w:r>
              <w:rPr>
                <w:rFonts w:hint="eastAsia" w:ascii="宋体" w:hAnsi="宋体" w:eastAsia="宋体" w:cs="宋体"/>
                <w:color w:val="auto"/>
                <w:kern w:val="0"/>
                <w:sz w:val="24"/>
                <w:szCs w:val="24"/>
                <w:highlight w:val="none"/>
                <w:lang w:val="en-US" w:eastAsia="zh-Hans" w:bidi="ar-SA"/>
              </w:rPr>
              <w:t>阿里专有云</w:t>
            </w:r>
            <w:r>
              <w:rPr>
                <w:rFonts w:hint="eastAsia" w:ascii="宋体" w:hAnsi="宋体" w:eastAsia="宋体" w:cs="宋体"/>
                <w:color w:val="auto"/>
                <w:kern w:val="0"/>
                <w:sz w:val="24"/>
                <w:szCs w:val="24"/>
                <w:highlight w:val="none"/>
                <w:lang w:val="en-US" w:eastAsia="zh-CN" w:bidi="ar-SA"/>
              </w:rPr>
              <w:t>、移动云、天翼云</w:t>
            </w:r>
            <w:r>
              <w:rPr>
                <w:rFonts w:hint="eastAsia" w:ascii="宋体" w:hAnsi="宋体" w:eastAsia="宋体" w:cs="宋体"/>
                <w:color w:val="auto"/>
                <w:kern w:val="0"/>
                <w:sz w:val="24"/>
                <w:szCs w:val="24"/>
                <w:highlight w:val="none"/>
                <w:lang w:val="en-US" w:eastAsia="zh-Hans" w:bidi="ar-SA"/>
              </w:rPr>
              <w:t>。</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6B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4CB0D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en-US" w:bidi="ar-SA"/>
              </w:rPr>
            </w:pPr>
          </w:p>
        </w:tc>
        <w:tc>
          <w:tcPr>
            <w:tcW w:w="4075" w:type="pct"/>
            <w:noWrap w:val="0"/>
            <w:vAlign w:val="center"/>
          </w:tcPr>
          <w:p w14:paraId="7BCF4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color w:val="auto"/>
                <w:kern w:val="0"/>
                <w:sz w:val="24"/>
                <w:szCs w:val="24"/>
                <w:highlight w:val="none"/>
                <w:lang w:val="en-US" w:eastAsia="zh-Hans" w:bidi="ar-SA"/>
              </w:rPr>
              <w:t>支持检查配置服务包括但不限于：身份服务、对象存储、负载均衡、RDS数据库、云服务器等服务的配置。</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2D9C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24" w:type="pct"/>
            <w:vMerge w:val="restart"/>
            <w:noWrap w:val="0"/>
            <w:vAlign w:val="center"/>
          </w:tcPr>
          <w:p w14:paraId="2E780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资产管理</w:t>
            </w:r>
          </w:p>
        </w:tc>
        <w:tc>
          <w:tcPr>
            <w:tcW w:w="4075" w:type="pct"/>
            <w:noWrap w:val="0"/>
            <w:vAlign w:val="center"/>
          </w:tcPr>
          <w:p w14:paraId="66BCE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支持依据云服务的类型进行数据统计。</w:t>
            </w:r>
          </w:p>
        </w:tc>
      </w:tr>
      <w:tr w14:paraId="2CA3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vMerge w:val="continue"/>
            <w:noWrap w:val="0"/>
            <w:vAlign w:val="center"/>
          </w:tcPr>
          <w:p w14:paraId="56EEA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64ECE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支持查看资产清单信息，包括但不限于：资产名称、区域、云服务、账户名称、策略通过率、配置告警数等。</w:t>
            </w:r>
          </w:p>
        </w:tc>
      </w:tr>
      <w:tr w14:paraId="725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696EC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6F459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支持查看资产的详情信息，包括但不限于：资产概况、资产配置信息、告警配置信息、权限信息等。</w:t>
            </w:r>
          </w:p>
        </w:tc>
      </w:tr>
      <w:tr w14:paraId="5813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4" w:type="pct"/>
            <w:vMerge w:val="continue"/>
            <w:noWrap w:val="0"/>
            <w:vAlign w:val="center"/>
          </w:tcPr>
          <w:p w14:paraId="6A61B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en-US" w:bidi="ar-SA"/>
              </w:rPr>
            </w:pPr>
          </w:p>
        </w:tc>
        <w:tc>
          <w:tcPr>
            <w:tcW w:w="4075" w:type="pct"/>
            <w:noWrap w:val="0"/>
            <w:vAlign w:val="center"/>
          </w:tcPr>
          <w:p w14:paraId="1DBA0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支持将资产数据导出为Execl数据。</w:t>
            </w:r>
          </w:p>
        </w:tc>
      </w:tr>
      <w:tr w14:paraId="0703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restart"/>
            <w:noWrap w:val="0"/>
            <w:vAlign w:val="center"/>
          </w:tcPr>
          <w:p w14:paraId="1DB89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告警中心</w:t>
            </w:r>
          </w:p>
        </w:tc>
        <w:tc>
          <w:tcPr>
            <w:tcW w:w="4075" w:type="pct"/>
            <w:noWrap w:val="0"/>
            <w:vAlign w:val="center"/>
          </w:tcPr>
          <w:p w14:paraId="05E451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支持查看配置告警、行为告警、数据告警信息；支持对告警进行区分为未修复告警和已修复告警。</w:t>
            </w:r>
          </w:p>
        </w:tc>
      </w:tr>
      <w:tr w14:paraId="4EA7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1705D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en-US" w:bidi="ar-SA"/>
              </w:rPr>
            </w:pPr>
          </w:p>
        </w:tc>
        <w:tc>
          <w:tcPr>
            <w:tcW w:w="4075" w:type="pct"/>
            <w:noWrap w:val="0"/>
            <w:vAlign w:val="center"/>
          </w:tcPr>
          <w:p w14:paraId="18C5A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支持查看告警的详细信息，包括但不限于：策略详细、修复建议、检测情况、文件概况、存储桶概况、敏感数据等信息。</w:t>
            </w:r>
          </w:p>
        </w:tc>
      </w:tr>
      <w:tr w14:paraId="7633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63918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en-US" w:bidi="ar-SA"/>
              </w:rPr>
            </w:pPr>
          </w:p>
        </w:tc>
        <w:tc>
          <w:tcPr>
            <w:tcW w:w="4075" w:type="pct"/>
            <w:noWrap w:val="0"/>
            <w:vAlign w:val="center"/>
          </w:tcPr>
          <w:p w14:paraId="07E91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支持查看原始数据信息，包括配置数据、行为数据；可以通过高级查询语法进行数据搜索，支持语法的智能联想提示；支持自定义设置原始数据的表头项。</w:t>
            </w:r>
          </w:p>
        </w:tc>
      </w:tr>
      <w:tr w14:paraId="61DD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restart"/>
            <w:noWrap w:val="0"/>
            <w:vAlign w:val="center"/>
          </w:tcPr>
          <w:p w14:paraId="13C6D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配置合规</w:t>
            </w:r>
          </w:p>
        </w:tc>
        <w:tc>
          <w:tcPr>
            <w:tcW w:w="4075" w:type="pct"/>
            <w:noWrap w:val="0"/>
            <w:vAlign w:val="center"/>
          </w:tcPr>
          <w:p w14:paraId="1777D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color w:val="auto"/>
                <w:kern w:val="0"/>
                <w:sz w:val="24"/>
                <w:szCs w:val="24"/>
                <w:highlight w:val="none"/>
                <w:lang w:val="en-US" w:eastAsia="zh-Hans" w:bidi="ar-SA"/>
              </w:rPr>
              <w:t>支持每个合规标准生成对应的合规报告，支持对合规报告进行云平台和云账户的筛选，支持统计合规报告通过情况，包括但不限于：条例通过情况、策略通过情况、资产通过情况。</w:t>
            </w:r>
            <w:r>
              <w:rPr>
                <w:rFonts w:hint="eastAsia" w:ascii="宋体" w:hAnsi="宋体" w:eastAsia="宋体" w:cs="宋体"/>
                <w:b/>
                <w:bCs/>
                <w:color w:val="auto"/>
                <w:kern w:val="0"/>
                <w:sz w:val="24"/>
                <w:szCs w:val="24"/>
                <w:highlight w:val="none"/>
                <w:lang w:val="en-US" w:eastAsia="zh-CN" w:bidi="ar-SA"/>
              </w:rPr>
              <w:t>(提供功能截图并加盖</w:t>
            </w:r>
            <w:r>
              <w:rPr>
                <w:rFonts w:hint="eastAsia" w:ascii="宋体" w:hAnsi="宋体" w:eastAsia="宋体" w:cs="宋体"/>
                <w:b/>
                <w:bCs/>
                <w:color w:val="auto"/>
                <w:kern w:val="0"/>
                <w:sz w:val="24"/>
                <w:szCs w:val="24"/>
                <w:highlight w:val="none"/>
                <w:lang w:val="en-US" w:eastAsia="zh-CN" w:bidi="ar-SA"/>
              </w:rPr>
              <w:t>原厂</w:t>
            </w:r>
            <w:r>
              <w:rPr>
                <w:rFonts w:hint="eastAsia" w:ascii="宋体" w:hAnsi="宋体" w:eastAsia="宋体" w:cs="宋体"/>
                <w:b/>
                <w:bCs/>
                <w:color w:val="auto"/>
                <w:kern w:val="0"/>
                <w:sz w:val="24"/>
                <w:szCs w:val="24"/>
                <w:highlight w:val="none"/>
                <w:lang w:val="en-US" w:eastAsia="zh-CN" w:bidi="ar-SA"/>
              </w:rPr>
              <w:t>公章）</w:t>
            </w:r>
          </w:p>
        </w:tc>
      </w:tr>
      <w:tr w14:paraId="186B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21984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en-US" w:bidi="ar-SA"/>
              </w:rPr>
            </w:pPr>
          </w:p>
        </w:tc>
        <w:tc>
          <w:tcPr>
            <w:tcW w:w="4075" w:type="pct"/>
            <w:noWrap w:val="0"/>
            <w:vAlign w:val="center"/>
          </w:tcPr>
          <w:p w14:paraId="61DF3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支持查看合规报告的详情，包括但不限于：合规标准的详细条例、条例通过情况、条例关联的告警信息、未通过的资产列表等。</w:t>
            </w:r>
          </w:p>
        </w:tc>
      </w:tr>
      <w:tr w14:paraId="1804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22322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en-US" w:bidi="ar-SA"/>
              </w:rPr>
            </w:pPr>
          </w:p>
        </w:tc>
        <w:tc>
          <w:tcPr>
            <w:tcW w:w="4075" w:type="pct"/>
            <w:noWrap w:val="0"/>
            <w:vAlign w:val="center"/>
          </w:tcPr>
          <w:p w14:paraId="19EAC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支持查看全部的合规标准，支持查看合规标准详情；支持自定义合规标准信息，支持合规标准条例关联策略。</w:t>
            </w:r>
          </w:p>
        </w:tc>
      </w:tr>
      <w:tr w14:paraId="3941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restart"/>
            <w:noWrap w:val="0"/>
            <w:vAlign w:val="center"/>
          </w:tcPr>
          <w:p w14:paraId="29E06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身份安全</w:t>
            </w:r>
          </w:p>
        </w:tc>
        <w:tc>
          <w:tcPr>
            <w:tcW w:w="4075" w:type="pct"/>
            <w:noWrap w:val="0"/>
            <w:vAlign w:val="center"/>
          </w:tcPr>
          <w:p w14:paraId="23DD7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支持查看身份实体信息，包括但不限于身份总量、子账户数量、主账户数量、身份实体账户与ID、行为告警数、配置告警数。</w:t>
            </w:r>
          </w:p>
        </w:tc>
      </w:tr>
      <w:tr w14:paraId="3716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29910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4075" w:type="pct"/>
            <w:noWrap w:val="0"/>
            <w:vAlign w:val="center"/>
          </w:tcPr>
          <w:p w14:paraId="1E8AC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支持从用户画像维度查看近30天日志数据，包括常用登录终端UA、IP、登录地、API调用终端UA、API调用IP、API调用正常频率。</w:t>
            </w:r>
          </w:p>
        </w:tc>
      </w:tr>
      <w:tr w14:paraId="6A1E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72A65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4075" w:type="pct"/>
            <w:noWrap w:val="0"/>
            <w:vAlign w:val="center"/>
          </w:tcPr>
          <w:p w14:paraId="71AF2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支持从权限分析维度查看推荐最小权限策略以及各权限策略内容，包括：策略内容、全量API调用情况。</w:t>
            </w:r>
          </w:p>
        </w:tc>
      </w:tr>
      <w:tr w14:paraId="2C44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56E76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4075" w:type="pct"/>
            <w:noWrap w:val="0"/>
            <w:vAlign w:val="center"/>
          </w:tcPr>
          <w:p w14:paraId="24317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支持从行为分析维度查看用户触发事件具体信息，包括但不限于：策略名称、策略类型、最近发生时间、影响资产、影响服务、源IP等信息。</w:t>
            </w:r>
          </w:p>
        </w:tc>
      </w:tr>
      <w:tr w14:paraId="4FD5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restart"/>
            <w:noWrap w:val="0"/>
            <w:vAlign w:val="center"/>
          </w:tcPr>
          <w:p w14:paraId="70C19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数据安全</w:t>
            </w:r>
          </w:p>
        </w:tc>
        <w:tc>
          <w:tcPr>
            <w:tcW w:w="4075" w:type="pct"/>
            <w:noWrap w:val="0"/>
            <w:vAlign w:val="center"/>
          </w:tcPr>
          <w:p w14:paraId="32922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支持查看存储桶统计信息，包括：存储桶ACL情况、对象文件情况、敏感数据文件等。</w:t>
            </w:r>
          </w:p>
        </w:tc>
      </w:tr>
      <w:tr w14:paraId="14EF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7D3AF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0EB97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支持依据数据类型统计敏感数据信息，支持对存储桶进行筛选查看。支持对存储桶进行扫描和查看存储桶的详细信息。</w:t>
            </w:r>
          </w:p>
        </w:tc>
      </w:tr>
      <w:tr w14:paraId="2CD1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08CA3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0724C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color w:val="auto"/>
                <w:kern w:val="0"/>
                <w:sz w:val="24"/>
                <w:szCs w:val="24"/>
                <w:highlight w:val="none"/>
                <w:lang w:val="en-US" w:eastAsia="zh-Hans" w:bidi="ar-SA"/>
              </w:rPr>
              <w:t>支持以存储桶维度或数据类型维度查看详细信息，包括但不限于：桶信息、敏感数据信息、恶意文件信息、文件详情、敏感数据片段、敏感数据类型、桶ACL、桶Policy、文件ACL、数据跨境等信息。</w:t>
            </w:r>
            <w:r>
              <w:rPr>
                <w:rFonts w:hint="eastAsia" w:ascii="宋体" w:hAnsi="宋体" w:eastAsia="宋体" w:cs="宋体"/>
                <w:b/>
                <w:bCs/>
                <w:color w:val="auto"/>
                <w:kern w:val="2"/>
                <w:sz w:val="24"/>
                <w:szCs w:val="24"/>
                <w:highlight w:val="none"/>
                <w:lang w:val="en-US" w:eastAsia="zh-CN" w:bidi="ar-SA"/>
              </w:rPr>
              <w:t>(提供功能截图并加盖</w:t>
            </w:r>
            <w:r>
              <w:rPr>
                <w:rFonts w:hint="eastAsia" w:ascii="宋体" w:hAnsi="宋体" w:eastAsia="宋体" w:cs="宋体"/>
                <w:b/>
                <w:bCs/>
                <w:color w:val="auto"/>
                <w:kern w:val="2"/>
                <w:sz w:val="24"/>
                <w:szCs w:val="24"/>
                <w:highlight w:val="none"/>
                <w:lang w:val="en-US" w:eastAsia="zh-CN" w:bidi="ar-SA"/>
              </w:rPr>
              <w:t>原厂</w:t>
            </w:r>
            <w:r>
              <w:rPr>
                <w:rFonts w:hint="eastAsia" w:ascii="宋体" w:hAnsi="宋体" w:eastAsia="宋体" w:cs="宋体"/>
                <w:b/>
                <w:bCs/>
                <w:color w:val="auto"/>
                <w:kern w:val="2"/>
                <w:sz w:val="24"/>
                <w:szCs w:val="24"/>
                <w:highlight w:val="none"/>
                <w:lang w:val="en-US" w:eastAsia="zh-CN" w:bidi="ar-SA"/>
              </w:rPr>
              <w:t>公章）</w:t>
            </w:r>
          </w:p>
        </w:tc>
      </w:tr>
      <w:tr w14:paraId="64C9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207BD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279E7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Hans" w:bidi="ar-SA"/>
              </w:rPr>
              <w:t>支持</w:t>
            </w:r>
            <w:r>
              <w:rPr>
                <w:rFonts w:hint="eastAsia" w:ascii="宋体" w:hAnsi="宋体" w:eastAsia="宋体" w:cs="宋体"/>
                <w:color w:val="auto"/>
                <w:kern w:val="0"/>
                <w:sz w:val="24"/>
                <w:szCs w:val="24"/>
                <w:highlight w:val="none"/>
                <w:lang w:val="en-US" w:eastAsia="zh-CN" w:bidi="ar-SA"/>
              </w:rPr>
              <w:t>通过节点部署方式，提供docker和二进制文件安装至公有云/专有云环境。对储存桶文件进行扫描</w:t>
            </w:r>
            <w:r>
              <w:rPr>
                <w:rFonts w:hint="eastAsia" w:ascii="宋体" w:hAnsi="宋体" w:eastAsia="宋体" w:cs="宋体"/>
                <w:color w:val="auto"/>
                <w:kern w:val="0"/>
                <w:sz w:val="24"/>
                <w:szCs w:val="24"/>
                <w:highlight w:val="none"/>
                <w:lang w:val="en-US" w:eastAsia="zh-Hans" w:bidi="ar-SA"/>
              </w:rPr>
              <w:t>。</w:t>
            </w:r>
          </w:p>
        </w:tc>
      </w:tr>
      <w:tr w14:paraId="321F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restart"/>
            <w:noWrap w:val="0"/>
            <w:vAlign w:val="center"/>
          </w:tcPr>
          <w:p w14:paraId="08112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策略管理</w:t>
            </w:r>
          </w:p>
        </w:tc>
        <w:tc>
          <w:tcPr>
            <w:tcW w:w="4075" w:type="pct"/>
            <w:noWrap w:val="0"/>
            <w:vAlign w:val="center"/>
          </w:tcPr>
          <w:p w14:paraId="59BF0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支持查看全部的策略信息，包括但不限于：配置策略、行为策略、UEBA策略、数据检测策略等，支持设置策略的开关状态。</w:t>
            </w:r>
          </w:p>
        </w:tc>
      </w:tr>
      <w:tr w14:paraId="6E5B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51C307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1E7DE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支持自定义创建配置或行为类型策略，</w:t>
            </w:r>
            <w:r>
              <w:rPr>
                <w:rFonts w:hint="eastAsia" w:ascii="宋体" w:hAnsi="宋体" w:eastAsia="宋体" w:cs="宋体"/>
                <w:color w:val="auto"/>
                <w:kern w:val="0"/>
                <w:sz w:val="24"/>
                <w:szCs w:val="24"/>
                <w:highlight w:val="none"/>
                <w:lang w:val="en-US" w:eastAsia="zh-Hans" w:bidi="ar-SA"/>
              </w:rPr>
              <w:t>支持配置策略和自定义合规标准进行关联。</w:t>
            </w:r>
          </w:p>
        </w:tc>
      </w:tr>
      <w:tr w14:paraId="141C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24" w:type="pct"/>
            <w:vMerge w:val="restart"/>
            <w:noWrap w:val="0"/>
            <w:vAlign w:val="center"/>
          </w:tcPr>
          <w:p w14:paraId="7B073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报表管理</w:t>
            </w:r>
          </w:p>
        </w:tc>
        <w:tc>
          <w:tcPr>
            <w:tcW w:w="4075" w:type="pct"/>
            <w:noWrap w:val="0"/>
            <w:vAlign w:val="center"/>
          </w:tcPr>
          <w:p w14:paraId="0B390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支持Execl/HTML格式报表，支持在线查看和下载报表。</w:t>
            </w:r>
          </w:p>
        </w:tc>
      </w:tr>
      <w:tr w14:paraId="3281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vMerge w:val="continue"/>
            <w:noWrap w:val="0"/>
            <w:vAlign w:val="center"/>
          </w:tcPr>
          <w:p w14:paraId="3CC75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p>
        </w:tc>
        <w:tc>
          <w:tcPr>
            <w:tcW w:w="4075" w:type="pct"/>
            <w:noWrap w:val="0"/>
            <w:vAlign w:val="center"/>
          </w:tcPr>
          <w:p w14:paraId="5617E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支持创建综合报表，支持查看和下载综合报表。</w:t>
            </w:r>
          </w:p>
        </w:tc>
      </w:tr>
      <w:tr w14:paraId="3C20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24" w:type="pct"/>
            <w:noWrap w:val="0"/>
            <w:vAlign w:val="center"/>
          </w:tcPr>
          <w:p w14:paraId="0D82F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云账户</w:t>
            </w:r>
          </w:p>
        </w:tc>
        <w:tc>
          <w:tcPr>
            <w:tcW w:w="4075" w:type="pct"/>
            <w:noWrap w:val="0"/>
            <w:vAlign w:val="center"/>
          </w:tcPr>
          <w:p w14:paraId="4482D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支持查看云账户列表，包括但不限于：账户名称、云平台、资产数、账户状态、配置扫描状态、日志获取状态、创建时间等字段，支持对云账户进行发起扫描、删除云账户等操作。</w:t>
            </w:r>
          </w:p>
        </w:tc>
      </w:tr>
    </w:tbl>
    <w:p w14:paraId="31B58AAB">
      <w:pPr>
        <w:keepNext/>
        <w:keepLines/>
        <w:widowControl w:val="0"/>
        <w:numPr>
          <w:ilvl w:val="2"/>
          <w:numId w:val="3"/>
        </w:numPr>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企业侧风险扫描服务</w:t>
      </w:r>
    </w:p>
    <w:p w14:paraId="66B24594">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526BFCC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服务供应商须采用漏洞扫描工具结合人工的方式，对浦江范围内上市和200家规上企业开展风险扫描，从互联网侧对企业对外暴露资产进行漏洞扫描识别，通过系统导出报告的方式出具风险详情和整改意见。</w:t>
      </w:r>
    </w:p>
    <w:p w14:paraId="642DBC71">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304E4BB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供应商须每季度对浦江相关企业进行风险漏洞扫描，扫描结束后须对漏洞扫描结果进行验证并输出《风险扫描报告/季报》，提供漏洞风险整改咨询指导服务，加强企业侧网络安全风险监管，促进企业运行和生产安全。</w:t>
      </w:r>
    </w:p>
    <w:p w14:paraId="65698F01">
      <w:pPr>
        <w:keepNext/>
        <w:keepLines/>
        <w:widowControl w:val="0"/>
        <w:numPr>
          <w:ilvl w:val="2"/>
          <w:numId w:val="3"/>
        </w:numPr>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重点企业单位现场检查服务</w:t>
      </w:r>
    </w:p>
    <w:p w14:paraId="5E459A0F">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137B2F5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采购人实际需求，提供专业安全技术人员配合采购人对党政机关、事业单位、重点企业开展现场网络安全检查，检查内容包括网络安全防护措施、网络安全管理制度、数据安全防护等，具体检查内容根据网信部门下发检查要求为准。</w:t>
      </w:r>
    </w:p>
    <w:p w14:paraId="3D7A88B3">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1829573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1）服务供应商须协助采购人制定检查活动计划，并对本地关键信息基础设施运营单位、党政机关和重点企事业单位实施现场网络安全检查。</w:t>
      </w:r>
    </w:p>
    <w:p w14:paraId="3F738B3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供应商须根据采购人要求，了解被检查单位网络安全等级保护等重点工作情况，了解被检查单位安全保护状况，摸清网络安全风险，堵塞网络安全漏洞，协助采购人及时向被检查单位反馈检查结果并提出整改建议，做好督促辖区单位或企业做好网络安全各项工作。</w:t>
      </w:r>
    </w:p>
    <w:p w14:paraId="137EC897">
      <w:pPr>
        <w:keepNext/>
        <w:keepLines/>
        <w:widowControl w:val="0"/>
        <w:numPr>
          <w:ilvl w:val="2"/>
          <w:numId w:val="3"/>
        </w:numPr>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应急响应服务</w:t>
      </w:r>
    </w:p>
    <w:p w14:paraId="04A18F7D">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0D22F6F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针对采购人反馈的突发性网络安全事件进行应急响应与处置，按事件级别及事件影响范围，立即开展定位、分析、协调、抑制、溯源，提交事件调查和处理报告，协助采购人做好重大网络安全事件的指挥与应急。</w:t>
      </w:r>
    </w:p>
    <w:p w14:paraId="1334EF65">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32006BA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1）服务供应商须配合采购人编制网络安全事件应急预案，根据与采购人商定的应急响应范围及服务内容，分布情况和重要程度，设立对应的应急响应小组。</w:t>
      </w:r>
    </w:p>
    <w:p w14:paraId="6637867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供应商须根据事件类别提供远程和现场技术支持服务，协助针对突发性网络安全事件进行紧急分析和处理。主要工作内容包括：突发事件相关信息的收集、事件的分析、报告提交、问题解决建议等。紧急事件主要包括：病毒和蠕虫事件、黑客入侵事件、其他需要立即处置的安全事件等。服务结束后输出《安全事件应急处置报告》及相关等过程文档。</w:t>
      </w:r>
    </w:p>
    <w:p w14:paraId="3A9DF502">
      <w:pPr>
        <w:keepNext/>
        <w:keepLines/>
        <w:widowControl w:val="0"/>
        <w:numPr>
          <w:ilvl w:val="2"/>
          <w:numId w:val="3"/>
        </w:numPr>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攻防演练服务</w:t>
      </w:r>
    </w:p>
    <w:p w14:paraId="320E1B9F">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18D28CE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确保安全可控的前提下，在真实网络环境开展红队攻击演练，发现浦江地区重要网络节点的信息系统及业务数据深层次安全隐患，协助采购人检验重要行业单位安全威胁监测能力、应急处置能力和防护能力，提高并完善安全防护技术与管理体系。</w:t>
      </w:r>
    </w:p>
    <w:p w14:paraId="1075D946">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5730924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1）服务供应商须对采购人指定的目标系统进行无破坏性质攻击测试、从目标系统网络外部模拟黑客手法对信息系统进行模拟攻击测试，发现可获取系统权限、获取系统数据信息等安全漏洞。</w:t>
      </w:r>
    </w:p>
    <w:p w14:paraId="3B14339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2）通过信息安全的对抗式演练，检验重要行业单位安全产品、安全策略、安全体系、人员能力和协同处置等多方面内容。</w:t>
      </w:r>
    </w:p>
    <w:p w14:paraId="22BCE05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3）本次服务</w:t>
      </w:r>
      <w:r>
        <w:rPr>
          <w:rFonts w:hint="eastAsia" w:ascii="宋体" w:hAnsi="宋体" w:cs="宋体"/>
          <w:b w:val="0"/>
          <w:bCs w:val="0"/>
          <w:color w:val="auto"/>
          <w:kern w:val="2"/>
          <w:sz w:val="24"/>
          <w:szCs w:val="24"/>
          <w:highlight w:val="none"/>
          <w:lang w:val="en-US" w:eastAsia="zh-CN" w:bidi="ar-SA"/>
        </w:rPr>
        <w:t>红队</w:t>
      </w:r>
      <w:r>
        <w:rPr>
          <w:rFonts w:hint="eastAsia" w:ascii="宋体" w:hAnsi="宋体" w:eastAsia="宋体" w:cs="宋体"/>
          <w:b w:val="0"/>
          <w:bCs w:val="0"/>
          <w:color w:val="auto"/>
          <w:kern w:val="2"/>
          <w:sz w:val="24"/>
          <w:szCs w:val="24"/>
          <w:highlight w:val="none"/>
          <w:lang w:val="en-US" w:eastAsia="zh-CN" w:bidi="ar-SA"/>
        </w:rPr>
        <w:t>攻击时间不少于5天，服务结束后须输出《红队攻击成果报告》。</w:t>
      </w:r>
    </w:p>
    <w:p w14:paraId="210E0E9E">
      <w:pPr>
        <w:keepNext/>
        <w:keepLines/>
        <w:widowControl w:val="0"/>
        <w:numPr>
          <w:ilvl w:val="2"/>
          <w:numId w:val="3"/>
        </w:numPr>
        <w:bidi w:val="0"/>
        <w:spacing w:beforeLines="0" w:beforeAutospacing="0" w:afterLines="0" w:afterAutospacing="0" w:line="400" w:lineRule="exact"/>
        <w:ind w:left="425" w:hanging="425"/>
        <w:jc w:val="both"/>
        <w:outlineLvl w:val="2"/>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安全培训服务</w:t>
      </w:r>
    </w:p>
    <w:p w14:paraId="42084805">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服务内容</w:t>
      </w:r>
    </w:p>
    <w:p w14:paraId="41A59FE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针对</w:t>
      </w:r>
      <w:bookmarkStart w:id="10" w:name="_Toc375325397"/>
      <w:bookmarkStart w:id="11" w:name="_Toc375241163"/>
      <w:bookmarkStart w:id="12" w:name="_Toc375373367"/>
      <w:bookmarkStart w:id="13" w:name="_Toc375238963"/>
      <w:bookmarkStart w:id="14" w:name="_Toc375320029"/>
      <w:bookmarkStart w:id="15" w:name="_Toc375320526"/>
      <w:bookmarkStart w:id="16" w:name="_Toc375369611"/>
      <w:bookmarkStart w:id="17" w:name="_Toc375241048"/>
      <w:bookmarkStart w:id="18" w:name="_Toc375383317"/>
      <w:r>
        <w:rPr>
          <w:rFonts w:hint="eastAsia" w:ascii="宋体" w:hAnsi="宋体" w:eastAsia="宋体" w:cs="宋体"/>
          <w:b w:val="0"/>
          <w:bCs w:val="0"/>
          <w:color w:val="auto"/>
          <w:kern w:val="2"/>
          <w:sz w:val="24"/>
          <w:szCs w:val="24"/>
          <w:highlight w:val="none"/>
          <w:lang w:val="en-US" w:eastAsia="zh-CN" w:bidi="ar-SA"/>
        </w:rPr>
        <w:t>浦江地区政府或重点企业信息化人员提供专门安全培训，使他们掌握相应的专业技术技能</w:t>
      </w:r>
      <w:bookmarkEnd w:id="10"/>
      <w:bookmarkEnd w:id="11"/>
      <w:bookmarkEnd w:id="12"/>
      <w:bookmarkEnd w:id="13"/>
      <w:bookmarkEnd w:id="14"/>
      <w:bookmarkEnd w:id="15"/>
      <w:bookmarkEnd w:id="16"/>
      <w:bookmarkEnd w:id="17"/>
      <w:bookmarkEnd w:id="18"/>
      <w:r>
        <w:rPr>
          <w:rFonts w:hint="eastAsia" w:ascii="宋体" w:hAnsi="宋体" w:eastAsia="宋体" w:cs="宋体"/>
          <w:b w:val="0"/>
          <w:bCs w:val="0"/>
          <w:color w:val="auto"/>
          <w:kern w:val="2"/>
          <w:sz w:val="24"/>
          <w:szCs w:val="24"/>
          <w:highlight w:val="none"/>
          <w:lang w:val="en-US" w:eastAsia="zh-CN" w:bidi="ar-SA"/>
        </w:rPr>
        <w:t>，提高重点单位信息化人员的网络安全意识，提高网络安全运维人员的技术水平和系统安全管理水平。</w:t>
      </w:r>
    </w:p>
    <w:p w14:paraId="461C37E8">
      <w:pPr>
        <w:keepNext/>
        <w:keepLines/>
        <w:widowControl w:val="0"/>
        <w:numPr>
          <w:ilvl w:val="3"/>
          <w:numId w:val="3"/>
        </w:numPr>
        <w:tabs>
          <w:tab w:val="left" w:pos="0"/>
        </w:tabs>
        <w:bidi w:val="0"/>
        <w:spacing w:beforeLines="0" w:beforeAutospacing="0" w:afterLines="0" w:afterAutospacing="0" w:line="400" w:lineRule="exact"/>
        <w:ind w:left="425" w:hanging="425"/>
        <w:jc w:val="both"/>
        <w:outlineLvl w:val="3"/>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服务要求</w:t>
      </w:r>
    </w:p>
    <w:p w14:paraId="7BEA610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供应商须提供网络安全意识培训服务，须结合网络安全相关的法律法规，通过安全意识培训讲座，针对日常办公情景，提高员工的信息安全意识，如办公区域安全、WIFI安全、个人电脑安全、邮件安全、日常交流等。</w:t>
      </w:r>
    </w:p>
    <w:p w14:paraId="080F821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2）服务供应商须提供网络安全技术培训服务，培训内容不限于;渗透测试培训、代码审计培训、红蓝对抗培训等，确保浦江相关信息化技术人员掌握网络攻防的基础知识与常用方法。</w:t>
      </w:r>
    </w:p>
    <w:p w14:paraId="50287F3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3）★服务供应商须在安全培训之前具备对全员进行自动化钓鱼邮件测试的能力，须具备自动化钓鱼邮件演练平台工具。（提供系统功能截图</w:t>
      </w:r>
      <w:r>
        <w:rPr>
          <w:rFonts w:hint="eastAsia" w:ascii="宋体" w:hAnsi="宋体" w:eastAsia="宋体" w:cs="宋体"/>
          <w:b w:val="0"/>
          <w:bCs w:val="0"/>
          <w:color w:val="auto"/>
          <w:kern w:val="2"/>
          <w:sz w:val="24"/>
          <w:szCs w:val="24"/>
          <w:highlight w:val="none"/>
          <w:lang w:val="en-US" w:eastAsia="zh-Hans" w:bidi="ar-SA"/>
        </w:rPr>
        <w:t>并加盖</w:t>
      </w:r>
      <w:r>
        <w:rPr>
          <w:rFonts w:hint="eastAsia" w:ascii="宋体" w:hAnsi="宋体" w:eastAsia="宋体" w:cs="宋体"/>
          <w:b w:val="0"/>
          <w:bCs w:val="0"/>
          <w:color w:val="auto"/>
          <w:kern w:val="2"/>
          <w:sz w:val="24"/>
          <w:szCs w:val="24"/>
          <w:highlight w:val="none"/>
          <w:lang w:val="en-US" w:eastAsia="zh-CN" w:bidi="ar-SA"/>
        </w:rPr>
        <w:t>原厂</w:t>
      </w:r>
      <w:r>
        <w:rPr>
          <w:rFonts w:hint="eastAsia" w:ascii="宋体" w:hAnsi="宋体" w:eastAsia="宋体" w:cs="宋体"/>
          <w:b w:val="0"/>
          <w:bCs w:val="0"/>
          <w:color w:val="auto"/>
          <w:kern w:val="2"/>
          <w:sz w:val="24"/>
          <w:szCs w:val="24"/>
          <w:highlight w:val="none"/>
          <w:lang w:val="en-US" w:eastAsia="zh-Hans" w:bidi="ar-SA"/>
        </w:rPr>
        <w:t>公章</w:t>
      </w:r>
      <w:r>
        <w:rPr>
          <w:rFonts w:hint="eastAsia" w:ascii="宋体" w:hAnsi="宋体" w:eastAsia="宋体" w:cs="宋体"/>
          <w:b w:val="0"/>
          <w:bCs w:val="0"/>
          <w:color w:val="auto"/>
          <w:kern w:val="2"/>
          <w:sz w:val="24"/>
          <w:szCs w:val="24"/>
          <w:highlight w:val="none"/>
          <w:lang w:val="en-US" w:eastAsia="zh-CN" w:bidi="ar-SA"/>
        </w:rPr>
        <w:t>）</w:t>
      </w:r>
    </w:p>
    <w:p w14:paraId="39AA0F93">
      <w:pPr>
        <w:keepNext/>
        <w:keepLines/>
        <w:widowControl w:val="0"/>
        <w:numPr>
          <w:ilvl w:val="1"/>
          <w:numId w:val="2"/>
        </w:numPr>
        <w:bidi w:val="0"/>
        <w:spacing w:beforeAutospacing="0" w:afterAutospacing="0" w:line="400" w:lineRule="exact"/>
        <w:ind w:left="573" w:leftChars="0" w:hanging="573" w:firstLineChars="0"/>
        <w:jc w:val="both"/>
        <w:outlineLvl w:val="1"/>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服务实施要求</w:t>
      </w:r>
    </w:p>
    <w:p w14:paraId="49CED828">
      <w:pPr>
        <w:keepNext/>
        <w:keepLines/>
        <w:widowControl w:val="0"/>
        <w:numPr>
          <w:ilvl w:val="0"/>
          <w:numId w:val="0"/>
        </w:numPr>
        <w:tabs>
          <w:tab w:val="left" w:pos="0"/>
        </w:tabs>
        <w:bidi w:val="0"/>
        <w:spacing w:beforeLines="0" w:beforeAutospacing="0" w:afterLines="0" w:afterAutospacing="0" w:line="400" w:lineRule="exact"/>
        <w:ind w:leftChars="0"/>
        <w:jc w:val="both"/>
        <w:outlineLvl w:val="2"/>
        <w:rPr>
          <w:rFonts w:hint="eastAsia"/>
          <w:color w:val="auto"/>
          <w:highlight w:val="none"/>
          <w:vertAlign w:val="baseline"/>
          <w:lang w:val="en-US" w:eastAsia="zh-CN"/>
        </w:rPr>
      </w:pPr>
      <w:r>
        <w:rPr>
          <w:rFonts w:hint="eastAsia" w:ascii="宋体" w:hAnsi="宋体" w:cs="Times New Roman"/>
          <w:b/>
          <w:color w:val="auto"/>
          <w:kern w:val="2"/>
          <w:sz w:val="24"/>
          <w:szCs w:val="24"/>
          <w:highlight w:val="none"/>
          <w:lang w:val="en-US" w:eastAsia="zh-CN" w:bidi="ar-SA"/>
        </w:rPr>
        <w:t>（1）人员要求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3170"/>
        <w:gridCol w:w="2593"/>
      </w:tblGrid>
      <w:tr w14:paraId="33E4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186" w:type="dxa"/>
            <w:gridSpan w:val="2"/>
            <w:vAlign w:val="center"/>
          </w:tcPr>
          <w:p w14:paraId="7A66A081">
            <w:pPr>
              <w:pStyle w:val="2"/>
              <w:keepNext w:val="0"/>
              <w:keepLines w:val="0"/>
              <w:suppressLineNumbers w:val="0"/>
              <w:spacing w:before="0" w:beforeAutospacing="0" w:after="0" w:afterAutospacing="0"/>
              <w:ind w:left="0" w:right="0"/>
              <w:jc w:val="center"/>
              <w:rPr>
                <w:rFonts w:hint="default"/>
                <w:color w:val="auto"/>
                <w:szCs w:val="20"/>
                <w:highlight w:val="none"/>
                <w:vertAlign w:val="baseline"/>
                <w:lang w:val="en-US" w:eastAsia="zh-CN"/>
              </w:rPr>
            </w:pPr>
            <w:r>
              <w:rPr>
                <w:rFonts w:hint="eastAsia"/>
                <w:b/>
                <w:bCs/>
                <w:color w:val="auto"/>
                <w:szCs w:val="20"/>
                <w:highlight w:val="none"/>
                <w:lang w:val="en-US" w:eastAsia="zh-CN"/>
              </w:rPr>
              <w:t>工作人员</w:t>
            </w:r>
          </w:p>
        </w:tc>
        <w:tc>
          <w:tcPr>
            <w:tcW w:w="2593" w:type="dxa"/>
            <w:vAlign w:val="center"/>
          </w:tcPr>
          <w:p w14:paraId="651DFC35">
            <w:pPr>
              <w:pStyle w:val="2"/>
              <w:keepNext w:val="0"/>
              <w:keepLines w:val="0"/>
              <w:suppressLineNumbers w:val="0"/>
              <w:spacing w:before="0" w:beforeAutospacing="0" w:after="0" w:afterAutospacing="0"/>
              <w:ind w:left="0" w:right="0"/>
              <w:jc w:val="center"/>
              <w:rPr>
                <w:rFonts w:hint="default"/>
                <w:color w:val="auto"/>
                <w:szCs w:val="20"/>
                <w:highlight w:val="none"/>
                <w:vertAlign w:val="baseline"/>
                <w:lang w:val="en-US" w:eastAsia="zh-CN"/>
              </w:rPr>
            </w:pPr>
            <w:r>
              <w:rPr>
                <w:rFonts w:hint="eastAsia"/>
                <w:b/>
                <w:bCs/>
                <w:color w:val="auto"/>
                <w:szCs w:val="20"/>
                <w:highlight w:val="none"/>
                <w:vertAlign w:val="baseline"/>
                <w:lang w:val="en-US" w:eastAsia="zh-CN"/>
              </w:rPr>
              <w:t>人数要求</w:t>
            </w:r>
          </w:p>
        </w:tc>
      </w:tr>
      <w:tr w14:paraId="6344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186" w:type="dxa"/>
            <w:gridSpan w:val="2"/>
            <w:vAlign w:val="center"/>
          </w:tcPr>
          <w:p w14:paraId="584A99B1">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r>
              <w:rPr>
                <w:rFonts w:hint="eastAsia"/>
                <w:b/>
                <w:bCs/>
                <w:color w:val="auto"/>
                <w:szCs w:val="20"/>
                <w:highlight w:val="none"/>
                <w:lang w:val="en-US" w:eastAsia="zh-CN"/>
              </w:rPr>
              <w:t>项目经理</w:t>
            </w:r>
          </w:p>
        </w:tc>
        <w:tc>
          <w:tcPr>
            <w:tcW w:w="2593" w:type="dxa"/>
            <w:vAlign w:val="center"/>
          </w:tcPr>
          <w:p w14:paraId="747C4DE9">
            <w:pPr>
              <w:pStyle w:val="2"/>
              <w:keepNext w:val="0"/>
              <w:keepLines w:val="0"/>
              <w:suppressLineNumbers w:val="0"/>
              <w:spacing w:before="0" w:beforeAutospacing="0" w:after="0" w:afterAutospacing="0"/>
              <w:ind w:left="0" w:right="0"/>
              <w:jc w:val="center"/>
              <w:rPr>
                <w:rFonts w:hint="default"/>
                <w:color w:val="auto"/>
                <w:szCs w:val="20"/>
                <w:highlight w:val="none"/>
                <w:vertAlign w:val="baseline"/>
                <w:lang w:val="en-US" w:eastAsia="zh-CN"/>
              </w:rPr>
            </w:pPr>
            <w:r>
              <w:rPr>
                <w:rFonts w:hint="eastAsia"/>
                <w:color w:val="auto"/>
                <w:szCs w:val="20"/>
                <w:highlight w:val="none"/>
                <w:vertAlign w:val="baseline"/>
                <w:lang w:val="en-US" w:eastAsia="zh-CN"/>
              </w:rPr>
              <w:t>▲1人</w:t>
            </w:r>
          </w:p>
        </w:tc>
      </w:tr>
      <w:tr w14:paraId="6927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16" w:type="dxa"/>
            <w:vMerge w:val="restart"/>
            <w:vAlign w:val="center"/>
          </w:tcPr>
          <w:p w14:paraId="003BE565">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r>
              <w:rPr>
                <w:rFonts w:hint="eastAsia"/>
                <w:b/>
                <w:bCs/>
                <w:color w:val="auto"/>
                <w:szCs w:val="20"/>
                <w:highlight w:val="none"/>
                <w:vertAlign w:val="baseline"/>
                <w:lang w:val="en-US" w:eastAsia="zh-CN"/>
              </w:rPr>
              <w:t>项目组成员</w:t>
            </w:r>
          </w:p>
          <w:p w14:paraId="777E4908">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r>
              <w:rPr>
                <w:rFonts w:hint="eastAsia"/>
                <w:b/>
                <w:bCs/>
                <w:color w:val="auto"/>
                <w:szCs w:val="20"/>
                <w:highlight w:val="none"/>
                <w:vertAlign w:val="baseline"/>
                <w:lang w:val="en-US" w:eastAsia="zh-CN"/>
              </w:rPr>
              <w:t>(除项目经理外)</w:t>
            </w:r>
          </w:p>
        </w:tc>
        <w:tc>
          <w:tcPr>
            <w:tcW w:w="3170" w:type="dxa"/>
            <w:vAlign w:val="center"/>
          </w:tcPr>
          <w:p w14:paraId="36162FD8">
            <w:pPr>
              <w:pStyle w:val="2"/>
              <w:keepNext w:val="0"/>
              <w:keepLines w:val="0"/>
              <w:suppressLineNumbers w:val="0"/>
              <w:spacing w:before="0" w:beforeAutospacing="0" w:after="0" w:afterAutospacing="0"/>
              <w:ind w:left="0" w:right="0"/>
              <w:jc w:val="center"/>
              <w:rPr>
                <w:rFonts w:hint="eastAsia" w:eastAsia="仿宋_GB2312"/>
                <w:b/>
                <w:bCs/>
                <w:color w:val="auto"/>
                <w:szCs w:val="20"/>
                <w:highlight w:val="none"/>
                <w:vertAlign w:val="baseline"/>
                <w:lang w:val="en-US" w:eastAsia="zh-CN"/>
              </w:rPr>
            </w:pPr>
            <w:r>
              <w:rPr>
                <w:rFonts w:hint="eastAsia"/>
                <w:b/>
                <w:bCs/>
                <w:color w:val="auto"/>
                <w:szCs w:val="20"/>
                <w:highlight w:val="none"/>
                <w:vertAlign w:val="baseline"/>
                <w:lang w:val="en-US" w:eastAsia="zh-CN"/>
              </w:rPr>
              <w:t>渗透测试服务人员</w:t>
            </w:r>
          </w:p>
        </w:tc>
        <w:tc>
          <w:tcPr>
            <w:tcW w:w="2593" w:type="dxa"/>
            <w:vAlign w:val="center"/>
          </w:tcPr>
          <w:p w14:paraId="75E8D042">
            <w:pPr>
              <w:pStyle w:val="2"/>
              <w:keepNext w:val="0"/>
              <w:keepLines w:val="0"/>
              <w:suppressLineNumbers w:val="0"/>
              <w:spacing w:before="0" w:beforeAutospacing="0" w:after="0" w:afterAutospacing="0"/>
              <w:ind w:left="0" w:right="0"/>
              <w:jc w:val="center"/>
              <w:rPr>
                <w:rFonts w:hint="eastAsia"/>
                <w:color w:val="auto"/>
                <w:szCs w:val="20"/>
                <w:highlight w:val="none"/>
                <w:vertAlign w:val="baseline"/>
                <w:lang w:val="en-US" w:eastAsia="zh-CN"/>
              </w:rPr>
            </w:pPr>
            <w:r>
              <w:rPr>
                <w:rFonts w:hint="eastAsia"/>
                <w:color w:val="auto"/>
                <w:szCs w:val="20"/>
                <w:highlight w:val="none"/>
                <w:vertAlign w:val="baseline"/>
                <w:lang w:val="en-US" w:eastAsia="zh-CN"/>
              </w:rPr>
              <w:t>▲2人</w:t>
            </w:r>
          </w:p>
        </w:tc>
      </w:tr>
      <w:tr w14:paraId="383B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16" w:type="dxa"/>
            <w:vMerge w:val="continue"/>
            <w:vAlign w:val="center"/>
          </w:tcPr>
          <w:p w14:paraId="58E3883C">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p>
        </w:tc>
        <w:tc>
          <w:tcPr>
            <w:tcW w:w="3170" w:type="dxa"/>
            <w:vAlign w:val="center"/>
          </w:tcPr>
          <w:p w14:paraId="680AC3ED">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r>
              <w:rPr>
                <w:rFonts w:hint="eastAsia"/>
                <w:b/>
                <w:bCs/>
                <w:color w:val="auto"/>
                <w:szCs w:val="20"/>
                <w:highlight w:val="none"/>
                <w:vertAlign w:val="baseline"/>
                <w:lang w:val="en-US" w:eastAsia="zh-CN"/>
              </w:rPr>
              <w:t>攻防演练红队小组成员</w:t>
            </w:r>
          </w:p>
        </w:tc>
        <w:tc>
          <w:tcPr>
            <w:tcW w:w="2593" w:type="dxa"/>
            <w:vAlign w:val="center"/>
          </w:tcPr>
          <w:p w14:paraId="60935A68">
            <w:pPr>
              <w:pStyle w:val="2"/>
              <w:keepNext w:val="0"/>
              <w:keepLines w:val="0"/>
              <w:suppressLineNumbers w:val="0"/>
              <w:spacing w:before="0" w:beforeAutospacing="0" w:after="0" w:afterAutospacing="0"/>
              <w:ind w:left="0" w:right="0"/>
              <w:jc w:val="center"/>
              <w:rPr>
                <w:rFonts w:hint="default"/>
                <w:color w:val="auto"/>
                <w:szCs w:val="20"/>
                <w:highlight w:val="none"/>
                <w:vertAlign w:val="baseline"/>
                <w:lang w:val="en-US" w:eastAsia="zh-CN"/>
              </w:rPr>
            </w:pPr>
            <w:r>
              <w:rPr>
                <w:rFonts w:hint="eastAsia"/>
                <w:color w:val="auto"/>
                <w:szCs w:val="20"/>
                <w:highlight w:val="none"/>
                <w:vertAlign w:val="baseline"/>
                <w:lang w:val="en-US" w:eastAsia="zh-CN"/>
              </w:rPr>
              <w:t>▲3人</w:t>
            </w:r>
          </w:p>
        </w:tc>
      </w:tr>
      <w:tr w14:paraId="4C0E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16" w:type="dxa"/>
            <w:vMerge w:val="continue"/>
            <w:vAlign w:val="center"/>
          </w:tcPr>
          <w:p w14:paraId="6D0DE8CC">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p>
        </w:tc>
        <w:tc>
          <w:tcPr>
            <w:tcW w:w="3170" w:type="dxa"/>
            <w:vAlign w:val="center"/>
          </w:tcPr>
          <w:p w14:paraId="5A824E12">
            <w:pPr>
              <w:pStyle w:val="2"/>
              <w:keepNext w:val="0"/>
              <w:keepLines w:val="0"/>
              <w:suppressLineNumbers w:val="0"/>
              <w:spacing w:before="0" w:beforeAutospacing="0" w:after="0" w:afterAutospacing="0"/>
              <w:ind w:left="0" w:right="0"/>
              <w:jc w:val="center"/>
              <w:rPr>
                <w:rFonts w:hint="eastAsia"/>
                <w:b/>
                <w:bCs/>
                <w:color w:val="auto"/>
                <w:szCs w:val="20"/>
                <w:highlight w:val="none"/>
                <w:vertAlign w:val="baseline"/>
                <w:lang w:val="en-US" w:eastAsia="zh-CN"/>
              </w:rPr>
            </w:pPr>
            <w:r>
              <w:rPr>
                <w:rFonts w:hint="eastAsia"/>
                <w:b/>
                <w:bCs/>
                <w:color w:val="auto"/>
                <w:szCs w:val="20"/>
                <w:highlight w:val="none"/>
                <w:vertAlign w:val="baseline"/>
                <w:lang w:val="en-US" w:eastAsia="zh-CN"/>
              </w:rPr>
              <w:t>项目安全服务人员</w:t>
            </w:r>
          </w:p>
        </w:tc>
        <w:tc>
          <w:tcPr>
            <w:tcW w:w="2593" w:type="dxa"/>
            <w:vAlign w:val="center"/>
          </w:tcPr>
          <w:p w14:paraId="0A368FC7">
            <w:pPr>
              <w:pStyle w:val="2"/>
              <w:keepNext w:val="0"/>
              <w:keepLines w:val="0"/>
              <w:suppressLineNumbers w:val="0"/>
              <w:spacing w:before="0" w:beforeAutospacing="0" w:after="0" w:afterAutospacing="0"/>
              <w:ind w:left="0" w:right="0"/>
              <w:jc w:val="center"/>
              <w:rPr>
                <w:rFonts w:hint="default"/>
                <w:color w:val="auto"/>
                <w:szCs w:val="20"/>
                <w:highlight w:val="none"/>
                <w:vertAlign w:val="baseline"/>
                <w:lang w:val="en-US" w:eastAsia="zh-CN"/>
              </w:rPr>
            </w:pPr>
            <w:r>
              <w:rPr>
                <w:rFonts w:hint="eastAsia"/>
                <w:color w:val="auto"/>
                <w:szCs w:val="20"/>
                <w:highlight w:val="none"/>
                <w:vertAlign w:val="baseline"/>
                <w:lang w:val="en-US" w:eastAsia="zh-CN"/>
              </w:rPr>
              <w:t>▲6人</w:t>
            </w:r>
          </w:p>
        </w:tc>
      </w:tr>
    </w:tbl>
    <w:p w14:paraId="3D3839E7">
      <w:pPr>
        <w:rPr>
          <w:rFonts w:hint="default"/>
          <w:color w:val="auto"/>
          <w:highlight w:val="none"/>
          <w:lang w:val="en-US" w:eastAsia="zh-CN"/>
        </w:rPr>
      </w:pPr>
      <w:r>
        <w:rPr>
          <w:rFonts w:hint="eastAsia"/>
          <w:color w:val="auto"/>
          <w:highlight w:val="none"/>
          <w:lang w:val="en-US" w:eastAsia="zh-CN"/>
        </w:rPr>
        <w:t xml:space="preserve">    </w:t>
      </w:r>
    </w:p>
    <w:p w14:paraId="3619F5D9">
      <w:pPr>
        <w:keepNext/>
        <w:keepLines/>
        <w:widowControl w:val="0"/>
        <w:numPr>
          <w:ilvl w:val="0"/>
          <w:numId w:val="0"/>
        </w:numPr>
        <w:tabs>
          <w:tab w:val="left" w:pos="0"/>
        </w:tabs>
        <w:bidi w:val="0"/>
        <w:spacing w:beforeLines="0" w:beforeAutospacing="0" w:afterLines="0" w:afterAutospacing="0" w:line="400" w:lineRule="exact"/>
        <w:ind w:leftChars="0"/>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（2）</w:t>
      </w:r>
      <w:r>
        <w:rPr>
          <w:rFonts w:hint="eastAsia" w:ascii="宋体" w:hAnsi="宋体" w:eastAsia="宋体" w:cs="Times New Roman"/>
          <w:b/>
          <w:color w:val="auto"/>
          <w:kern w:val="2"/>
          <w:sz w:val="24"/>
          <w:szCs w:val="24"/>
          <w:highlight w:val="none"/>
          <w:lang w:val="en-US" w:eastAsia="zh-CN" w:bidi="ar-SA"/>
        </w:rPr>
        <w:t>风险管理要求</w:t>
      </w:r>
    </w:p>
    <w:p w14:paraId="7CB32A5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供应商应充分认识到项目风险管理的重要性，在响应文件中必须识别分析项目中的各类风险因素，并提出相应的对策。</w:t>
      </w:r>
    </w:p>
    <w:p w14:paraId="0CDB40F6">
      <w:pPr>
        <w:keepNext/>
        <w:keepLines/>
        <w:widowControl w:val="0"/>
        <w:numPr>
          <w:ilvl w:val="0"/>
          <w:numId w:val="0"/>
        </w:numPr>
        <w:tabs>
          <w:tab w:val="left" w:pos="0"/>
        </w:tabs>
        <w:bidi w:val="0"/>
        <w:spacing w:beforeLines="0" w:beforeAutospacing="0" w:afterLines="0" w:afterAutospacing="0" w:line="400" w:lineRule="exact"/>
        <w:ind w:leftChars="0"/>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（3）</w:t>
      </w:r>
      <w:r>
        <w:rPr>
          <w:rFonts w:hint="eastAsia" w:ascii="宋体" w:hAnsi="宋体" w:eastAsia="宋体" w:cs="Times New Roman"/>
          <w:b/>
          <w:color w:val="auto"/>
          <w:kern w:val="2"/>
          <w:sz w:val="24"/>
          <w:szCs w:val="24"/>
          <w:highlight w:val="none"/>
          <w:lang w:val="en-US" w:eastAsia="zh-CN" w:bidi="ar-SA"/>
        </w:rPr>
        <w:t>质量管理要求</w:t>
      </w:r>
    </w:p>
    <w:p w14:paraId="649DA8D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供应商应按ISO9001质量管理体系规范要求，针对采购项目实施过程及交付结果进行质量规划、管理、控制。</w:t>
      </w:r>
    </w:p>
    <w:p w14:paraId="7DD427DB">
      <w:pPr>
        <w:keepNext/>
        <w:keepLines/>
        <w:widowControl w:val="0"/>
        <w:numPr>
          <w:ilvl w:val="0"/>
          <w:numId w:val="0"/>
        </w:numPr>
        <w:tabs>
          <w:tab w:val="left" w:pos="0"/>
        </w:tabs>
        <w:bidi w:val="0"/>
        <w:spacing w:beforeLines="0" w:beforeAutospacing="0" w:afterLines="0" w:afterAutospacing="0" w:line="400" w:lineRule="exact"/>
        <w:ind w:leftChars="0"/>
        <w:jc w:val="both"/>
        <w:outlineLvl w:val="2"/>
        <w:rPr>
          <w:rFonts w:hint="default"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（4）</w:t>
      </w:r>
      <w:r>
        <w:rPr>
          <w:rFonts w:hint="eastAsia" w:ascii="宋体" w:hAnsi="宋体" w:eastAsia="宋体" w:cs="Times New Roman"/>
          <w:b/>
          <w:color w:val="auto"/>
          <w:kern w:val="2"/>
          <w:sz w:val="24"/>
          <w:szCs w:val="24"/>
          <w:highlight w:val="none"/>
          <w:lang w:val="en-US" w:eastAsia="zh-CN" w:bidi="ar-SA"/>
        </w:rPr>
        <w:t>其他实施要求</w:t>
      </w:r>
    </w:p>
    <w:p w14:paraId="5793FF5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1）供应商对本次安全服务项目实施过程产生的数据严格保密，未经采购人授权，不得以任何方式将有关系统数据信息披露、发表或传播，供应商须与采购人签订相关保密协议。</w:t>
      </w:r>
    </w:p>
    <w:p w14:paraId="14F3F7E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2）供应商在本次项目实施过程中产生的所有过程文档、原始数据、扫描报告、正式报告、整改意见等须进行电子归档，在项目结束后全部移交给采购人。</w:t>
      </w:r>
    </w:p>
    <w:p w14:paraId="784A890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3）在服务有效期内，供应商服务团队须提供7*24小时的技术支持(包括电话咨询与现场技术服务)。</w:t>
      </w:r>
    </w:p>
    <w:p w14:paraId="0807A6D7">
      <w:pPr>
        <w:keepNext/>
        <w:keepLines/>
        <w:widowControl w:val="0"/>
        <w:numPr>
          <w:ilvl w:val="1"/>
          <w:numId w:val="2"/>
        </w:numPr>
        <w:bidi w:val="0"/>
        <w:spacing w:beforeAutospacing="0" w:afterAutospacing="0" w:line="400" w:lineRule="exact"/>
        <w:ind w:left="573" w:leftChars="0" w:hanging="573" w:firstLineChars="0"/>
        <w:jc w:val="both"/>
        <w:outlineLvl w:val="1"/>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商务要求</w:t>
      </w:r>
    </w:p>
    <w:p w14:paraId="456F041B">
      <w:pPr>
        <w:keepNext/>
        <w:keepLines/>
        <w:widowControl w:val="0"/>
        <w:numPr>
          <w:ilvl w:val="2"/>
          <w:numId w:val="4"/>
        </w:numPr>
        <w:tabs>
          <w:tab w:val="left" w:pos="0"/>
        </w:tabs>
        <w:bidi w:val="0"/>
        <w:spacing w:beforeLines="0" w:beforeAutospacing="0" w:afterLines="0" w:afterAutospacing="0" w:line="400" w:lineRule="exact"/>
        <w:ind w:left="425" w:hanging="425"/>
        <w:jc w:val="both"/>
        <w:outlineLvl w:val="2"/>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验收要求</w:t>
      </w:r>
    </w:p>
    <w:p w14:paraId="74B314E6">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1）服务期满，采购人将组织对供应商履约的验收。</w:t>
      </w:r>
    </w:p>
    <w:p w14:paraId="1D06603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2）采购人对中标人服务内容没有异议，中标人服务无质量问题。</w:t>
      </w:r>
    </w:p>
    <w:p w14:paraId="1A81221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40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3）根据采购合同的约定对履约情况进行验收，中标单位提供完整的服务档案资料，若中标单位未能按照要求履行的，导致无法及时验收的，则须由中标单位承担一切责任。</w:t>
      </w:r>
    </w:p>
    <w:p w14:paraId="37FBC88C">
      <w:pPr>
        <w:pStyle w:val="28"/>
        <w:ind w:left="0" w:leftChars="0" w:firstLine="0" w:firstLineChars="0"/>
        <w:jc w:val="center"/>
        <w:outlineLvl w:val="9"/>
        <w:rPr>
          <w:rFonts w:hint="eastAsia" w:ascii="宋体" w:hAnsi="宋体" w:eastAsia="宋体" w:cs="宋体"/>
          <w:b/>
          <w:color w:val="auto"/>
          <w:kern w:val="2"/>
          <w:sz w:val="36"/>
          <w:highlight w:val="none"/>
        </w:rPr>
      </w:pPr>
    </w:p>
    <w:p w14:paraId="2AC8CDBE">
      <w:pPr>
        <w:pStyle w:val="28"/>
        <w:ind w:left="0" w:leftChars="0" w:firstLine="0" w:firstLineChars="0"/>
        <w:jc w:val="center"/>
        <w:outlineLvl w:val="9"/>
        <w:rPr>
          <w:rFonts w:hint="eastAsia" w:ascii="宋体" w:hAnsi="宋体" w:eastAsia="宋体" w:cs="宋体"/>
          <w:b/>
          <w:color w:val="auto"/>
          <w:kern w:val="2"/>
          <w:sz w:val="36"/>
          <w:highlight w:val="none"/>
        </w:rPr>
      </w:pPr>
    </w:p>
    <w:p w14:paraId="03BFE539">
      <w:pPr>
        <w:pStyle w:val="28"/>
        <w:ind w:left="0" w:leftChars="0" w:firstLine="0" w:firstLineChars="0"/>
        <w:jc w:val="center"/>
        <w:outlineLvl w:val="9"/>
        <w:rPr>
          <w:rFonts w:hint="eastAsia" w:ascii="宋体" w:hAnsi="宋体" w:eastAsia="宋体" w:cs="宋体"/>
          <w:b/>
          <w:color w:val="auto"/>
          <w:kern w:val="2"/>
          <w:sz w:val="36"/>
          <w:highlight w:val="none"/>
        </w:rPr>
      </w:pPr>
    </w:p>
    <w:p w14:paraId="3B0433F2">
      <w:pPr>
        <w:pStyle w:val="28"/>
        <w:ind w:left="0" w:leftChars="0" w:firstLine="0" w:firstLineChars="0"/>
        <w:jc w:val="both"/>
        <w:outlineLvl w:val="9"/>
        <w:rPr>
          <w:rFonts w:hint="eastAsia" w:ascii="宋体" w:hAnsi="宋体" w:eastAsia="宋体" w:cs="宋体"/>
          <w:b/>
          <w:color w:val="auto"/>
          <w:kern w:val="2"/>
          <w:sz w:val="36"/>
          <w:highlight w:val="none"/>
        </w:rPr>
      </w:pPr>
    </w:p>
    <w:p w14:paraId="7B0E3779">
      <w:pPr>
        <w:pStyle w:val="28"/>
        <w:ind w:left="0" w:leftChars="0" w:firstLine="0" w:firstLineChars="0"/>
        <w:jc w:val="center"/>
        <w:outlineLvl w:val="0"/>
        <w:rPr>
          <w:rFonts w:hint="eastAsia" w:ascii="宋体" w:hAnsi="宋体" w:eastAsia="宋体" w:cs="宋体"/>
          <w:b/>
          <w:color w:val="auto"/>
          <w:kern w:val="2"/>
          <w:sz w:val="36"/>
          <w:highlight w:val="none"/>
        </w:rPr>
      </w:pPr>
      <w:r>
        <w:rPr>
          <w:rFonts w:hint="eastAsia" w:ascii="宋体" w:hAnsi="宋体" w:eastAsia="宋体" w:cs="宋体"/>
          <w:b/>
          <w:color w:val="auto"/>
          <w:kern w:val="2"/>
          <w:sz w:val="36"/>
          <w:highlight w:val="none"/>
        </w:rPr>
        <w:t>第四部分  评标办法</w:t>
      </w:r>
    </w:p>
    <w:p w14:paraId="5341341D">
      <w:pPr>
        <w:autoSpaceDE w:val="0"/>
        <w:autoSpaceDN w:val="0"/>
        <w:adjustRightInd w:val="0"/>
        <w:spacing w:after="120" w:line="240" w:lineRule="auto"/>
        <w:jc w:val="center"/>
        <w:textAlignment w:val="baseline"/>
        <w:outlineLvl w:val="1"/>
        <w:rPr>
          <w:rFonts w:hint="eastAsia" w:ascii="宋体" w:hAnsi="宋体" w:eastAsia="宋体" w:cs="宋体"/>
          <w:color w:val="auto"/>
          <w:kern w:val="0"/>
          <w:sz w:val="28"/>
          <w:highlight w:val="none"/>
        </w:rPr>
      </w:pPr>
      <w:r>
        <w:rPr>
          <w:rFonts w:hint="eastAsia" w:ascii="宋体" w:hAnsi="宋体" w:eastAsia="宋体" w:cs="宋体"/>
          <w:b/>
          <w:color w:val="auto"/>
          <w:sz w:val="32"/>
          <w:highlight w:val="none"/>
        </w:rPr>
        <w:t>评标办法前附表</w:t>
      </w:r>
    </w:p>
    <w:tbl>
      <w:tblPr>
        <w:tblStyle w:val="30"/>
        <w:tblW w:w="5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56"/>
        <w:gridCol w:w="7020"/>
        <w:gridCol w:w="854"/>
        <w:gridCol w:w="777"/>
      </w:tblGrid>
      <w:tr w14:paraId="1E7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5" w:type="pct"/>
            <w:tcBorders>
              <w:bottom w:val="single" w:color="auto" w:sz="4" w:space="0"/>
            </w:tcBorders>
            <w:noWrap w:val="0"/>
            <w:vAlign w:val="center"/>
          </w:tcPr>
          <w:p w14:paraId="377A7EDE">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29" w:type="pct"/>
            <w:tcBorders>
              <w:bottom w:val="single" w:color="auto" w:sz="4" w:space="0"/>
            </w:tcBorders>
            <w:noWrap w:val="0"/>
            <w:vAlign w:val="center"/>
          </w:tcPr>
          <w:p w14:paraId="7707DBBD">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3258" w:type="pct"/>
            <w:tcBorders>
              <w:bottom w:val="single" w:color="auto" w:sz="4" w:space="0"/>
            </w:tcBorders>
            <w:noWrap w:val="0"/>
            <w:vAlign w:val="center"/>
          </w:tcPr>
          <w:p w14:paraId="2697DA6F">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396" w:type="pct"/>
            <w:noWrap w:val="0"/>
            <w:vAlign w:val="center"/>
          </w:tcPr>
          <w:p w14:paraId="041E1E50">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60" w:type="pct"/>
            <w:noWrap w:val="0"/>
            <w:vAlign w:val="center"/>
          </w:tcPr>
          <w:p w14:paraId="6DEAA381">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4897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tcBorders>
              <w:bottom w:val="single" w:color="auto" w:sz="4" w:space="0"/>
            </w:tcBorders>
            <w:noWrap w:val="0"/>
            <w:vAlign w:val="center"/>
          </w:tcPr>
          <w:p w14:paraId="1D0C1057">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0"/>
                <w:highlight w:val="none"/>
                <w:lang w:eastAsia="zh-CN"/>
              </w:rPr>
              <w:t>一、</w:t>
            </w:r>
            <w:r>
              <w:rPr>
                <w:rFonts w:hint="eastAsia" w:ascii="宋体" w:hAnsi="宋体" w:eastAsia="宋体" w:cs="宋体"/>
                <w:b/>
                <w:bCs/>
                <w:color w:val="auto"/>
                <w:sz w:val="24"/>
                <w:szCs w:val="20"/>
                <w:highlight w:val="none"/>
              </w:rPr>
              <w:t>技术商务分（</w:t>
            </w:r>
            <w:r>
              <w:rPr>
                <w:rFonts w:hint="eastAsia" w:ascii="宋体" w:hAnsi="宋体" w:eastAsia="宋体" w:cs="宋体"/>
                <w:b/>
                <w:bCs/>
                <w:color w:val="auto"/>
                <w:sz w:val="24"/>
                <w:szCs w:val="20"/>
                <w:highlight w:val="none"/>
                <w:lang w:val="en-US" w:eastAsia="zh-CN"/>
              </w:rPr>
              <w:t>90</w:t>
            </w:r>
            <w:r>
              <w:rPr>
                <w:rFonts w:hint="eastAsia" w:ascii="宋体" w:hAnsi="宋体" w:eastAsia="宋体" w:cs="宋体"/>
                <w:b/>
                <w:bCs/>
                <w:color w:val="auto"/>
                <w:sz w:val="24"/>
                <w:szCs w:val="20"/>
                <w:highlight w:val="none"/>
              </w:rPr>
              <w:t>分）</w:t>
            </w:r>
          </w:p>
        </w:tc>
      </w:tr>
      <w:tr w14:paraId="1B11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355" w:type="pct"/>
            <w:tcBorders>
              <w:top w:val="single" w:color="auto" w:sz="4" w:space="0"/>
              <w:left w:val="single" w:color="auto" w:sz="4" w:space="0"/>
              <w:right w:val="single" w:color="auto" w:sz="4" w:space="0"/>
            </w:tcBorders>
            <w:noWrap w:val="0"/>
            <w:vAlign w:val="center"/>
          </w:tcPr>
          <w:p w14:paraId="66CDB6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29" w:type="pct"/>
            <w:tcBorders>
              <w:top w:val="single" w:color="auto" w:sz="4" w:space="0"/>
              <w:left w:val="single" w:color="auto" w:sz="4" w:space="0"/>
              <w:right w:val="single" w:color="auto" w:sz="4" w:space="0"/>
            </w:tcBorders>
            <w:noWrap w:val="0"/>
            <w:vAlign w:val="center"/>
          </w:tcPr>
          <w:p w14:paraId="4F6FFFD0">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同类项目业绩</w:t>
            </w:r>
          </w:p>
          <w:p w14:paraId="7533A8B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3258" w:type="pct"/>
            <w:tcBorders>
              <w:top w:val="single" w:color="auto" w:sz="4" w:space="0"/>
              <w:left w:val="single" w:color="auto" w:sz="4" w:space="0"/>
              <w:bottom w:val="single" w:color="auto" w:sz="4" w:space="0"/>
              <w:right w:val="single" w:color="auto" w:sz="4" w:space="0"/>
            </w:tcBorders>
            <w:noWrap w:val="0"/>
            <w:vAlign w:val="center"/>
          </w:tcPr>
          <w:p w14:paraId="2C75859F">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自20</w:t>
            </w: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年1月1日至今（以合同签订时间为准），</w:t>
            </w:r>
            <w:r>
              <w:rPr>
                <w:rFonts w:hint="eastAsia" w:ascii="宋体" w:hAnsi="宋体" w:cs="宋体"/>
                <w:color w:val="auto"/>
                <w:kern w:val="0"/>
                <w:sz w:val="24"/>
                <w:szCs w:val="24"/>
                <w:highlight w:val="none"/>
                <w:shd w:val="clear" w:color="auto" w:fill="FFFFFF"/>
                <w:lang w:val="en-US" w:eastAsia="zh-CN"/>
              </w:rPr>
              <w:t>投标人</w:t>
            </w:r>
            <w:r>
              <w:rPr>
                <w:rFonts w:hint="eastAsia" w:ascii="宋体" w:hAnsi="宋体" w:eastAsia="宋体" w:cs="宋体"/>
                <w:color w:val="auto"/>
                <w:kern w:val="0"/>
                <w:sz w:val="24"/>
                <w:szCs w:val="24"/>
                <w:highlight w:val="none"/>
                <w:shd w:val="clear" w:color="auto" w:fill="FFFFFF"/>
              </w:rPr>
              <w:t>具有的中国境内同类网络安全服务项目</w:t>
            </w:r>
            <w:r>
              <w:rPr>
                <w:rFonts w:hint="eastAsia" w:ascii="宋体" w:hAnsi="宋体" w:eastAsia="宋体" w:cs="宋体"/>
                <w:color w:val="auto"/>
                <w:kern w:val="0"/>
                <w:sz w:val="24"/>
                <w:szCs w:val="24"/>
                <w:highlight w:val="none"/>
                <w:shd w:val="clear" w:color="auto" w:fill="FFFFFF"/>
                <w:lang w:val="en-US" w:eastAsia="zh-Hans"/>
              </w:rPr>
              <w:t>的</w:t>
            </w:r>
            <w:r>
              <w:rPr>
                <w:rFonts w:hint="eastAsia" w:ascii="宋体" w:hAnsi="宋体" w:eastAsia="宋体" w:cs="宋体"/>
                <w:color w:val="auto"/>
                <w:kern w:val="0"/>
                <w:sz w:val="24"/>
                <w:szCs w:val="24"/>
                <w:highlight w:val="none"/>
                <w:shd w:val="clear" w:color="auto" w:fill="FFFFFF"/>
              </w:rPr>
              <w:t>合同业绩，每提供一个有效业绩得</w:t>
            </w:r>
            <w:r>
              <w:rPr>
                <w:rFonts w:hint="eastAsia" w:ascii="宋体" w:hAnsi="宋体" w:eastAsia="宋体" w:cs="宋体"/>
                <w:color w:val="auto"/>
                <w:kern w:val="0"/>
                <w:sz w:val="24"/>
                <w:szCs w:val="24"/>
                <w:highlight w:val="none"/>
                <w:shd w:val="clear" w:color="auto" w:fill="FFFFFF"/>
                <w:lang w:val="en-US" w:eastAsia="zh-CN"/>
              </w:rPr>
              <w:t>0.5</w:t>
            </w:r>
            <w:r>
              <w:rPr>
                <w:rFonts w:hint="eastAsia" w:ascii="宋体" w:hAnsi="宋体" w:eastAsia="宋体" w:cs="宋体"/>
                <w:color w:val="auto"/>
                <w:kern w:val="0"/>
                <w:sz w:val="24"/>
                <w:szCs w:val="24"/>
                <w:highlight w:val="none"/>
                <w:shd w:val="clear" w:color="auto" w:fill="FFFFFF"/>
              </w:rPr>
              <w:t>分，最高得</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分。</w:t>
            </w:r>
          </w:p>
          <w:p w14:paraId="16398F2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both"/>
              <w:textAlignment w:val="auto"/>
              <w:rPr>
                <w:rFonts w:hint="eastAsia" w:ascii="宋体" w:hAnsi="宋体" w:eastAsia="宋体" w:cs="宋体"/>
                <w:color w:val="auto"/>
                <w:szCs w:val="20"/>
                <w:highlight w:val="none"/>
                <w:lang w:val="en-US" w:eastAsia="zh-CN"/>
              </w:rPr>
            </w:pPr>
            <w:r>
              <w:rPr>
                <w:rFonts w:hint="eastAsia" w:ascii="宋体" w:hAnsi="宋体" w:eastAsia="宋体" w:cs="宋体"/>
                <w:b/>
                <w:bCs/>
                <w:color w:val="auto"/>
                <w:kern w:val="0"/>
                <w:sz w:val="24"/>
                <w:szCs w:val="24"/>
                <w:highlight w:val="none"/>
                <w:shd w:val="clear" w:color="auto" w:fill="FFFFFF"/>
              </w:rPr>
              <w:t>注：</w:t>
            </w:r>
            <w:r>
              <w:rPr>
                <w:rFonts w:hint="eastAsia" w:ascii="宋体" w:hAnsi="宋体" w:eastAsia="宋体" w:cs="宋体"/>
                <w:b/>
                <w:bCs/>
                <w:color w:val="auto"/>
                <w:kern w:val="0"/>
                <w:sz w:val="24"/>
                <w:szCs w:val="24"/>
                <w:highlight w:val="none"/>
                <w:shd w:val="clear" w:color="auto" w:fill="FFFFFF"/>
                <w:lang w:val="en-US" w:eastAsia="zh-CN"/>
              </w:rPr>
              <w:t>标书中需提供</w:t>
            </w:r>
            <w:r>
              <w:rPr>
                <w:rFonts w:hint="eastAsia" w:ascii="宋体" w:hAnsi="宋体" w:eastAsia="宋体" w:cs="宋体"/>
                <w:b/>
                <w:bCs/>
                <w:color w:val="auto"/>
                <w:kern w:val="0"/>
                <w:sz w:val="24"/>
                <w:szCs w:val="24"/>
                <w:highlight w:val="none"/>
                <w:shd w:val="clear" w:color="auto" w:fill="FFFFFF"/>
              </w:rPr>
              <w:t>合同</w:t>
            </w:r>
            <w:r>
              <w:rPr>
                <w:rFonts w:hint="eastAsia" w:ascii="宋体" w:hAnsi="宋体" w:eastAsia="宋体" w:cs="宋体"/>
                <w:b/>
                <w:bCs/>
                <w:color w:val="auto"/>
                <w:kern w:val="0"/>
                <w:sz w:val="24"/>
                <w:szCs w:val="24"/>
                <w:highlight w:val="none"/>
                <w:shd w:val="clear" w:color="auto" w:fill="FFFFFF"/>
                <w:lang w:val="en-US" w:eastAsia="zh-CN"/>
              </w:rPr>
              <w:t>和</w:t>
            </w:r>
            <w:r>
              <w:rPr>
                <w:rFonts w:hint="eastAsia" w:ascii="宋体" w:hAnsi="宋体" w:eastAsia="宋体" w:cs="宋体"/>
                <w:b/>
                <w:bCs/>
                <w:color w:val="auto"/>
                <w:kern w:val="0"/>
                <w:sz w:val="24"/>
                <w:szCs w:val="24"/>
                <w:highlight w:val="none"/>
                <w:shd w:val="clear" w:color="auto" w:fill="FFFFFF"/>
                <w:lang w:eastAsia="zh-CN"/>
              </w:rPr>
              <w:t>用户验收</w:t>
            </w:r>
            <w:r>
              <w:rPr>
                <w:rFonts w:hint="eastAsia" w:ascii="宋体" w:hAnsi="宋体" w:eastAsia="宋体" w:cs="宋体"/>
                <w:b/>
                <w:bCs/>
                <w:color w:val="auto"/>
                <w:kern w:val="0"/>
                <w:sz w:val="24"/>
                <w:szCs w:val="24"/>
                <w:highlight w:val="none"/>
                <w:shd w:val="clear" w:color="auto" w:fill="FFFFFF"/>
                <w:lang w:val="en-US" w:eastAsia="zh-CN"/>
              </w:rPr>
              <w:t>材料扫描件</w:t>
            </w:r>
            <w:r>
              <w:rPr>
                <w:rFonts w:hint="eastAsia" w:ascii="宋体" w:hAnsi="宋体" w:eastAsia="宋体" w:cs="宋体"/>
                <w:b/>
                <w:bCs/>
                <w:color w:val="auto"/>
                <w:kern w:val="0"/>
                <w:sz w:val="24"/>
                <w:szCs w:val="24"/>
                <w:highlight w:val="none"/>
                <w:shd w:val="clear" w:color="auto" w:fill="FFFFFF"/>
              </w:rPr>
              <w:t>，</w:t>
            </w:r>
            <w:r>
              <w:rPr>
                <w:rFonts w:hint="eastAsia" w:ascii="宋体" w:hAnsi="宋体" w:eastAsia="宋体" w:cs="宋体"/>
                <w:b/>
                <w:bCs/>
                <w:color w:val="auto"/>
                <w:kern w:val="0"/>
                <w:sz w:val="24"/>
                <w:szCs w:val="24"/>
                <w:highlight w:val="none"/>
                <w:shd w:val="clear" w:color="auto" w:fill="FFFFFF"/>
                <w:lang w:val="en-US" w:eastAsia="zh-CN"/>
              </w:rPr>
              <w:t>合同</w:t>
            </w:r>
            <w:r>
              <w:rPr>
                <w:rFonts w:hint="eastAsia" w:ascii="宋体" w:hAnsi="宋体" w:eastAsia="宋体" w:cs="宋体"/>
                <w:b/>
                <w:bCs/>
                <w:color w:val="auto"/>
                <w:kern w:val="0"/>
                <w:sz w:val="24"/>
                <w:szCs w:val="24"/>
                <w:highlight w:val="none"/>
                <w:shd w:val="clear" w:color="auto" w:fill="FFFFFF"/>
              </w:rPr>
              <w:t>须清晰可见甲乙双方、项目内容、签章、签订日期等相应内容，如不能体现</w:t>
            </w:r>
            <w:r>
              <w:rPr>
                <w:rFonts w:hint="eastAsia" w:ascii="宋体" w:hAnsi="宋体" w:eastAsia="宋体" w:cs="宋体"/>
                <w:b/>
                <w:bCs/>
                <w:color w:val="auto"/>
                <w:kern w:val="0"/>
                <w:sz w:val="24"/>
                <w:szCs w:val="24"/>
                <w:highlight w:val="none"/>
                <w:shd w:val="clear" w:color="auto" w:fill="FFFFFF"/>
                <w:lang w:eastAsia="zh-CN"/>
              </w:rPr>
              <w:t>，</w:t>
            </w:r>
            <w:r>
              <w:rPr>
                <w:rFonts w:hint="eastAsia" w:ascii="宋体" w:hAnsi="宋体" w:eastAsia="宋体" w:cs="宋体"/>
                <w:b/>
                <w:bCs/>
                <w:color w:val="auto"/>
                <w:kern w:val="0"/>
                <w:sz w:val="24"/>
                <w:szCs w:val="24"/>
                <w:highlight w:val="none"/>
                <w:shd w:val="clear" w:color="auto" w:fill="FFFFFF"/>
              </w:rPr>
              <w:t>则不得分。</w:t>
            </w:r>
          </w:p>
        </w:tc>
        <w:tc>
          <w:tcPr>
            <w:tcW w:w="396" w:type="pct"/>
            <w:tcBorders>
              <w:left w:val="single" w:color="auto" w:sz="4" w:space="0"/>
            </w:tcBorders>
            <w:noWrap w:val="0"/>
            <w:vAlign w:val="center"/>
          </w:tcPr>
          <w:p w14:paraId="2775F0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0-1分</w:t>
            </w:r>
          </w:p>
        </w:tc>
        <w:tc>
          <w:tcPr>
            <w:tcW w:w="360" w:type="pct"/>
            <w:tcBorders>
              <w:left w:val="single" w:color="auto" w:sz="4" w:space="0"/>
            </w:tcBorders>
            <w:noWrap w:val="0"/>
            <w:vAlign w:val="center"/>
          </w:tcPr>
          <w:p w14:paraId="0CAE1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w:t>
            </w:r>
            <w:r>
              <w:rPr>
                <w:rFonts w:hint="eastAsia" w:ascii="宋体" w:hAnsi="宋体" w:eastAsia="宋体" w:cs="宋体"/>
                <w:color w:val="auto"/>
                <w:sz w:val="24"/>
                <w:szCs w:val="24"/>
                <w:highlight w:val="none"/>
                <w:lang w:eastAsia="zh-CN"/>
              </w:rPr>
              <w:t>分</w:t>
            </w:r>
          </w:p>
        </w:tc>
      </w:tr>
      <w:tr w14:paraId="47BD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355" w:type="pct"/>
            <w:tcBorders>
              <w:top w:val="single" w:color="auto" w:sz="4" w:space="0"/>
              <w:left w:val="single" w:color="auto" w:sz="4" w:space="0"/>
              <w:right w:val="single" w:color="auto" w:sz="4" w:space="0"/>
            </w:tcBorders>
            <w:noWrap w:val="0"/>
            <w:vAlign w:val="center"/>
          </w:tcPr>
          <w:p w14:paraId="148FCF9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29" w:type="pct"/>
            <w:tcBorders>
              <w:top w:val="single" w:color="auto" w:sz="4" w:space="0"/>
              <w:left w:val="single" w:color="auto" w:sz="4" w:space="0"/>
              <w:right w:val="single" w:color="auto" w:sz="4" w:space="0"/>
            </w:tcBorders>
            <w:noWrap w:val="0"/>
            <w:vAlign w:val="center"/>
          </w:tcPr>
          <w:p w14:paraId="42D0BE4F">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资质</w:t>
            </w:r>
            <w:r>
              <w:rPr>
                <w:rFonts w:hint="eastAsia" w:ascii="宋体" w:hAnsi="宋体" w:cs="宋体"/>
                <w:color w:val="auto"/>
                <w:kern w:val="0"/>
                <w:sz w:val="24"/>
                <w:szCs w:val="24"/>
                <w:highlight w:val="none"/>
                <w:lang w:val="en-US" w:eastAsia="zh-CN"/>
              </w:rPr>
              <w:t>能力</w:t>
            </w:r>
          </w:p>
          <w:p w14:paraId="5C0D20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tc>
        <w:tc>
          <w:tcPr>
            <w:tcW w:w="3258" w:type="pct"/>
            <w:tcBorders>
              <w:top w:val="single" w:color="auto" w:sz="4" w:space="0"/>
              <w:left w:val="single" w:color="auto" w:sz="4" w:space="0"/>
              <w:bottom w:val="single" w:color="auto" w:sz="4" w:space="0"/>
              <w:right w:val="single" w:color="auto" w:sz="4" w:space="0"/>
            </w:tcBorders>
            <w:noWrap w:val="0"/>
            <w:vAlign w:val="center"/>
          </w:tcPr>
          <w:p w14:paraId="6B1DAE5D">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原厂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val="en-US" w:eastAsia="zh-Hans"/>
              </w:rPr>
              <w:t>ISO27017云服务信息安全管理体系认证</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lang w:val="en-US" w:eastAsia="zh-Hans"/>
              </w:rPr>
              <w:t>CCRC信息安全服务资质</w:t>
            </w:r>
            <w:r>
              <w:rPr>
                <w:rFonts w:hint="eastAsia" w:ascii="宋体" w:hAnsi="宋体" w:cs="宋体"/>
                <w:color w:val="auto"/>
                <w:kern w:val="0"/>
                <w:sz w:val="24"/>
                <w:szCs w:val="24"/>
                <w:highlight w:val="none"/>
                <w:lang w:val="en-US" w:eastAsia="zh-CN"/>
              </w:rPr>
              <w:t>认证</w:t>
            </w:r>
            <w:r>
              <w:rPr>
                <w:rFonts w:hint="eastAsia" w:ascii="宋体" w:hAnsi="宋体" w:eastAsia="宋体" w:cs="宋体"/>
                <w:color w:val="auto"/>
                <w:kern w:val="0"/>
                <w:sz w:val="24"/>
                <w:szCs w:val="24"/>
                <w:highlight w:val="none"/>
                <w:lang w:val="en-US" w:eastAsia="zh-Hans"/>
              </w:rPr>
              <w:t>证书</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CNITSEC</w:t>
            </w:r>
            <w:r>
              <w:rPr>
                <w:rFonts w:hint="eastAsia" w:ascii="宋体" w:hAnsi="宋体" w:eastAsia="宋体" w:cs="宋体"/>
                <w:color w:val="auto"/>
                <w:kern w:val="0"/>
                <w:sz w:val="24"/>
                <w:szCs w:val="24"/>
                <w:highlight w:val="none"/>
                <w:lang w:val="en-US" w:eastAsia="zh-Hans"/>
              </w:rPr>
              <w:t>国家信息安全测评信息安全服务资质</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lang w:val="en-US" w:eastAsia="zh-Hans"/>
              </w:rPr>
              <w:t>ITSS国家信息技术服务标准符合性</w:t>
            </w:r>
            <w:r>
              <w:rPr>
                <w:rFonts w:hint="eastAsia" w:ascii="宋体" w:hAnsi="宋体" w:eastAsia="宋体" w:cs="宋体"/>
                <w:color w:val="auto"/>
                <w:kern w:val="0"/>
                <w:sz w:val="24"/>
                <w:szCs w:val="24"/>
                <w:highlight w:val="none"/>
                <w:lang w:val="en-US" w:eastAsia="zh-CN"/>
              </w:rPr>
              <w:t>证书的，</w:t>
            </w:r>
            <w:r>
              <w:rPr>
                <w:rFonts w:hint="eastAsia" w:ascii="宋体" w:hAnsi="宋体" w:eastAsia="宋体" w:cs="宋体"/>
                <w:color w:val="auto"/>
                <w:kern w:val="0"/>
                <w:sz w:val="24"/>
                <w:szCs w:val="24"/>
                <w:highlight w:val="none"/>
                <w:lang w:val="en-US" w:eastAsia="zh-Hans"/>
              </w:rPr>
              <w:t>每个证书</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Hans"/>
              </w:rPr>
              <w:t>分，最高得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Hans"/>
              </w:rPr>
              <w:t>分。</w:t>
            </w:r>
          </w:p>
          <w:p w14:paraId="2BE5E982">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注：标书中需提供证书扫描件（证书未提供或不在有效期内的得分不予计取</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tc>
        <w:tc>
          <w:tcPr>
            <w:tcW w:w="396" w:type="pct"/>
            <w:tcBorders>
              <w:left w:val="single" w:color="auto" w:sz="4" w:space="0"/>
            </w:tcBorders>
            <w:noWrap w:val="0"/>
            <w:vAlign w:val="center"/>
          </w:tcPr>
          <w:p w14:paraId="12418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360" w:type="pct"/>
            <w:tcBorders>
              <w:left w:val="single" w:color="auto" w:sz="4" w:space="0"/>
            </w:tcBorders>
            <w:noWrap w:val="0"/>
            <w:vAlign w:val="center"/>
          </w:tcPr>
          <w:p w14:paraId="075692D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3AF2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55" w:type="pct"/>
            <w:vMerge w:val="restart"/>
            <w:tcBorders>
              <w:top w:val="single" w:color="auto" w:sz="4" w:space="0"/>
              <w:left w:val="single" w:color="auto" w:sz="4" w:space="0"/>
              <w:right w:val="single" w:color="auto" w:sz="4" w:space="0"/>
            </w:tcBorders>
            <w:noWrap w:val="0"/>
            <w:vAlign w:val="center"/>
          </w:tcPr>
          <w:p w14:paraId="4BD5E93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29" w:type="pct"/>
            <w:vMerge w:val="restart"/>
            <w:tcBorders>
              <w:top w:val="single" w:color="auto" w:sz="4" w:space="0"/>
              <w:left w:val="single" w:color="auto" w:sz="4" w:space="0"/>
              <w:right w:val="single" w:color="auto" w:sz="4" w:space="0"/>
            </w:tcBorders>
            <w:noWrap w:val="0"/>
            <w:vAlign w:val="center"/>
          </w:tcPr>
          <w:p w14:paraId="1329DCE2">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服务能力</w:t>
            </w:r>
          </w:p>
          <w:p w14:paraId="69FC8A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（9分）</w:t>
            </w:r>
          </w:p>
        </w:tc>
        <w:tc>
          <w:tcPr>
            <w:tcW w:w="3258" w:type="pct"/>
            <w:tcBorders>
              <w:top w:val="single" w:color="auto" w:sz="4" w:space="0"/>
              <w:left w:val="single" w:color="auto" w:sz="4" w:space="0"/>
              <w:bottom w:val="single" w:color="auto" w:sz="4" w:space="0"/>
              <w:right w:val="single" w:color="auto" w:sz="4" w:space="0"/>
            </w:tcBorders>
            <w:noWrap w:val="0"/>
            <w:vAlign w:val="center"/>
          </w:tcPr>
          <w:p w14:paraId="51383290">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kern w:val="0"/>
                <w:sz w:val="24"/>
                <w:szCs w:val="24"/>
                <w:highlight w:val="none"/>
                <w:lang w:val="en-US" w:eastAsia="zh-Hans"/>
              </w:rPr>
            </w:pPr>
            <w:r>
              <w:rPr>
                <w:rFonts w:hint="eastAsia" w:ascii="宋体" w:hAnsi="宋体" w:cs="宋体"/>
                <w:color w:val="auto"/>
                <w:kern w:val="0"/>
                <w:sz w:val="24"/>
                <w:szCs w:val="24"/>
                <w:highlight w:val="none"/>
                <w:lang w:val="en-US" w:eastAsia="zh-CN"/>
              </w:rPr>
              <w:t>原厂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Hans"/>
              </w:rPr>
              <w:t>具备</w:t>
            </w:r>
            <w:r>
              <w:rPr>
                <w:rFonts w:hint="eastAsia" w:ascii="宋体" w:hAnsi="宋体" w:eastAsia="宋体" w:cs="宋体"/>
                <w:color w:val="auto"/>
                <w:kern w:val="0"/>
                <w:sz w:val="24"/>
                <w:szCs w:val="24"/>
                <w:highlight w:val="none"/>
                <w:lang w:val="en-US" w:eastAsia="zh-CN"/>
              </w:rPr>
              <w:t>省级网信部门技术支撑单位资质</w:t>
            </w: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省级网络与信息安全通报中心技术</w:t>
            </w:r>
            <w:r>
              <w:rPr>
                <w:rFonts w:hint="eastAsia" w:ascii="宋体" w:hAnsi="宋体" w:cs="宋体"/>
                <w:color w:val="auto"/>
                <w:kern w:val="0"/>
                <w:sz w:val="24"/>
                <w:szCs w:val="24"/>
                <w:highlight w:val="none"/>
                <w:lang w:val="en-US" w:eastAsia="zh-CN"/>
              </w:rPr>
              <w:t>支撑</w:t>
            </w:r>
            <w:r>
              <w:rPr>
                <w:rFonts w:hint="eastAsia" w:ascii="宋体" w:hAnsi="宋体" w:eastAsia="宋体" w:cs="宋体"/>
                <w:color w:val="auto"/>
                <w:kern w:val="0"/>
                <w:sz w:val="24"/>
                <w:szCs w:val="24"/>
                <w:highlight w:val="none"/>
                <w:lang w:val="en-US" w:eastAsia="zh-CN"/>
              </w:rPr>
              <w:t>单位资质</w:t>
            </w:r>
            <w:r>
              <w:rPr>
                <w:rFonts w:hint="eastAsia" w:ascii="宋体" w:hAnsi="宋体" w:cs="宋体"/>
                <w:color w:val="auto"/>
                <w:kern w:val="0"/>
                <w:sz w:val="24"/>
                <w:szCs w:val="24"/>
                <w:highlight w:val="none"/>
                <w:lang w:val="en-US" w:eastAsia="zh-CN"/>
              </w:rPr>
              <w:t>、国家信息安全漏洞库（CNNVD）支撑单位等级证书资质，</w:t>
            </w:r>
            <w:r>
              <w:rPr>
                <w:rFonts w:hint="eastAsia" w:ascii="宋体" w:hAnsi="宋体" w:eastAsia="宋体" w:cs="宋体"/>
                <w:color w:val="auto"/>
                <w:kern w:val="0"/>
                <w:sz w:val="24"/>
                <w:szCs w:val="24"/>
                <w:highlight w:val="none"/>
                <w:lang w:val="en-US" w:eastAsia="zh-Hans"/>
              </w:rPr>
              <w:t>每满足1项得1分，最高</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Hans"/>
              </w:rPr>
              <w:t>分。</w:t>
            </w:r>
          </w:p>
          <w:p w14:paraId="16B2D6B8">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zh-Hans"/>
              </w:rPr>
              <w:t>注：标书中需提供证书扫描件（证书未提供或不在有效期内的得分不予计取</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Hans"/>
              </w:rPr>
              <w:t>。</w:t>
            </w:r>
          </w:p>
        </w:tc>
        <w:tc>
          <w:tcPr>
            <w:tcW w:w="396" w:type="pct"/>
            <w:tcBorders>
              <w:left w:val="single" w:color="auto" w:sz="4" w:space="0"/>
            </w:tcBorders>
            <w:noWrap w:val="0"/>
            <w:vAlign w:val="center"/>
          </w:tcPr>
          <w:p w14:paraId="106A8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0-3分</w:t>
            </w:r>
          </w:p>
        </w:tc>
        <w:tc>
          <w:tcPr>
            <w:tcW w:w="360" w:type="pct"/>
            <w:vMerge w:val="restart"/>
            <w:tcBorders>
              <w:left w:val="single" w:color="auto" w:sz="4" w:space="0"/>
            </w:tcBorders>
            <w:noWrap w:val="0"/>
            <w:vAlign w:val="center"/>
          </w:tcPr>
          <w:p w14:paraId="4F81865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2D2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 w:type="pct"/>
            <w:vMerge w:val="continue"/>
            <w:tcBorders>
              <w:left w:val="single" w:color="auto" w:sz="4" w:space="0"/>
              <w:right w:val="single" w:color="auto" w:sz="4" w:space="0"/>
            </w:tcBorders>
            <w:noWrap w:val="0"/>
            <w:vAlign w:val="center"/>
          </w:tcPr>
          <w:p w14:paraId="6CC10B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p>
        </w:tc>
        <w:tc>
          <w:tcPr>
            <w:tcW w:w="629" w:type="pct"/>
            <w:vMerge w:val="continue"/>
            <w:tcBorders>
              <w:left w:val="single" w:color="auto" w:sz="4" w:space="0"/>
              <w:right w:val="single" w:color="auto" w:sz="4" w:space="0"/>
            </w:tcBorders>
            <w:noWrap w:val="0"/>
            <w:vAlign w:val="center"/>
          </w:tcPr>
          <w:p w14:paraId="17CFE46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color w:val="auto"/>
                <w:sz w:val="24"/>
                <w:szCs w:val="24"/>
                <w:highlight w:val="none"/>
                <w:lang w:val="en-US" w:eastAsia="zh-CN"/>
              </w:rPr>
            </w:pPr>
          </w:p>
        </w:tc>
        <w:tc>
          <w:tcPr>
            <w:tcW w:w="3258" w:type="pct"/>
            <w:tcBorders>
              <w:top w:val="single" w:color="auto" w:sz="4" w:space="0"/>
              <w:left w:val="single" w:color="auto" w:sz="4" w:space="0"/>
              <w:bottom w:val="single" w:color="auto" w:sz="4" w:space="0"/>
              <w:right w:val="single" w:color="auto" w:sz="4" w:space="0"/>
            </w:tcBorders>
            <w:noWrap w:val="0"/>
            <w:vAlign w:val="center"/>
          </w:tcPr>
          <w:p w14:paraId="75CA6854">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原厂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Hans"/>
              </w:rPr>
              <w:t>以攻击队角色支撑</w:t>
            </w:r>
            <w:r>
              <w:rPr>
                <w:rFonts w:hint="eastAsia" w:ascii="宋体" w:hAnsi="宋体" w:eastAsia="宋体" w:cs="宋体"/>
                <w:color w:val="auto"/>
                <w:kern w:val="0"/>
                <w:sz w:val="24"/>
                <w:szCs w:val="24"/>
                <w:highlight w:val="none"/>
                <w:lang w:val="en-US" w:eastAsia="zh-CN"/>
              </w:rPr>
              <w:t>省级及以上</w:t>
            </w:r>
            <w:r>
              <w:rPr>
                <w:rFonts w:hint="eastAsia" w:ascii="宋体" w:hAnsi="宋体" w:eastAsia="宋体" w:cs="宋体"/>
                <w:color w:val="auto"/>
                <w:kern w:val="0"/>
                <w:sz w:val="24"/>
                <w:szCs w:val="24"/>
                <w:highlight w:val="none"/>
                <w:lang w:val="en-US" w:eastAsia="zh-Hans"/>
              </w:rPr>
              <w:t>攻防演练行动，并获得前三名成绩，</w:t>
            </w:r>
            <w:r>
              <w:rPr>
                <w:rFonts w:hint="eastAsia" w:ascii="宋体" w:hAnsi="宋体" w:eastAsia="宋体" w:cs="宋体"/>
                <w:color w:val="auto"/>
                <w:kern w:val="0"/>
                <w:sz w:val="24"/>
                <w:szCs w:val="24"/>
                <w:highlight w:val="none"/>
                <w:lang w:val="en-US" w:eastAsia="zh-CN"/>
              </w:rPr>
              <w:t>每获得1次，得1分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最高得3分</w:t>
            </w:r>
            <w:r>
              <w:rPr>
                <w:rFonts w:hint="eastAsia" w:ascii="宋体" w:hAnsi="宋体" w:eastAsia="宋体" w:cs="宋体"/>
                <w:color w:val="auto"/>
                <w:kern w:val="0"/>
                <w:sz w:val="24"/>
                <w:szCs w:val="24"/>
                <w:highlight w:val="none"/>
                <w:lang w:val="en-US" w:eastAsia="zh-CN"/>
              </w:rPr>
              <w:t>。</w:t>
            </w:r>
          </w:p>
          <w:p w14:paraId="2EEF05A6">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eastAsia" w:ascii="宋体" w:hAnsi="宋体" w:eastAsia="宋体" w:cs="宋体"/>
                <w:color w:val="auto"/>
                <w:szCs w:val="20"/>
                <w:highlight w:val="none"/>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lang w:val="en-US" w:eastAsia="zh-Hans"/>
              </w:rPr>
              <w:t>标书中需提供</w:t>
            </w:r>
            <w:r>
              <w:rPr>
                <w:rFonts w:hint="eastAsia" w:ascii="宋体" w:hAnsi="宋体" w:eastAsia="宋体" w:cs="宋体"/>
                <w:b/>
                <w:bCs/>
                <w:color w:val="auto"/>
                <w:kern w:val="0"/>
                <w:sz w:val="24"/>
                <w:szCs w:val="24"/>
                <w:highlight w:val="none"/>
                <w:lang w:val="en-US" w:eastAsia="zh-CN"/>
              </w:rPr>
              <w:t>相关成绩有效依据扫描件，</w:t>
            </w:r>
            <w:r>
              <w:rPr>
                <w:rFonts w:hint="eastAsia" w:ascii="宋体" w:hAnsi="宋体" w:eastAsia="宋体" w:cs="宋体"/>
                <w:b/>
                <w:bCs/>
                <w:color w:val="auto"/>
                <w:sz w:val="24"/>
                <w:szCs w:val="24"/>
                <w:highlight w:val="none"/>
              </w:rPr>
              <w:t>未提供的得分不予计取。</w:t>
            </w:r>
          </w:p>
        </w:tc>
        <w:tc>
          <w:tcPr>
            <w:tcW w:w="396" w:type="pct"/>
            <w:tcBorders>
              <w:left w:val="single" w:color="auto" w:sz="4" w:space="0"/>
            </w:tcBorders>
            <w:noWrap w:val="0"/>
            <w:vAlign w:val="center"/>
          </w:tcPr>
          <w:p w14:paraId="57732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0-3分</w:t>
            </w:r>
          </w:p>
        </w:tc>
        <w:tc>
          <w:tcPr>
            <w:tcW w:w="360" w:type="pct"/>
            <w:vMerge w:val="continue"/>
            <w:tcBorders>
              <w:left w:val="single" w:color="auto" w:sz="4" w:space="0"/>
            </w:tcBorders>
            <w:noWrap w:val="0"/>
            <w:vAlign w:val="center"/>
          </w:tcPr>
          <w:p w14:paraId="3E75C1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p>
        </w:tc>
      </w:tr>
      <w:tr w14:paraId="4711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55" w:type="pct"/>
            <w:vMerge w:val="continue"/>
            <w:tcBorders>
              <w:left w:val="single" w:color="auto" w:sz="4" w:space="0"/>
              <w:right w:val="single" w:color="auto" w:sz="4" w:space="0"/>
            </w:tcBorders>
            <w:noWrap w:val="0"/>
            <w:vAlign w:val="center"/>
          </w:tcPr>
          <w:p w14:paraId="7E38AD8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p>
        </w:tc>
        <w:tc>
          <w:tcPr>
            <w:tcW w:w="629" w:type="pct"/>
            <w:vMerge w:val="continue"/>
            <w:tcBorders>
              <w:left w:val="single" w:color="auto" w:sz="4" w:space="0"/>
              <w:right w:val="single" w:color="auto" w:sz="4" w:space="0"/>
            </w:tcBorders>
            <w:noWrap w:val="0"/>
            <w:vAlign w:val="center"/>
          </w:tcPr>
          <w:p w14:paraId="576A3CA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color w:val="auto"/>
                <w:sz w:val="24"/>
                <w:szCs w:val="24"/>
                <w:highlight w:val="none"/>
                <w:lang w:val="en-US" w:eastAsia="zh-CN"/>
              </w:rPr>
            </w:pPr>
          </w:p>
        </w:tc>
        <w:tc>
          <w:tcPr>
            <w:tcW w:w="3258" w:type="pct"/>
            <w:tcBorders>
              <w:top w:val="single" w:color="auto" w:sz="4" w:space="0"/>
              <w:left w:val="single" w:color="auto" w:sz="4" w:space="0"/>
              <w:bottom w:val="single" w:color="auto" w:sz="4" w:space="0"/>
              <w:right w:val="single" w:color="auto" w:sz="4" w:space="0"/>
            </w:tcBorders>
            <w:noWrap w:val="0"/>
            <w:vAlign w:val="center"/>
          </w:tcPr>
          <w:p w14:paraId="54F2AE37">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原厂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Hans"/>
              </w:rPr>
              <w:t>具备丰富的漏洞挖掘能力，</w:t>
            </w:r>
            <w:r>
              <w:rPr>
                <w:rFonts w:hint="eastAsia" w:ascii="宋体" w:hAnsi="宋体" w:eastAsia="宋体" w:cs="宋体"/>
                <w:color w:val="auto"/>
                <w:kern w:val="0"/>
                <w:sz w:val="24"/>
                <w:szCs w:val="24"/>
                <w:highlight w:val="none"/>
                <w:lang w:val="en-US" w:eastAsia="zh-CN"/>
              </w:rPr>
              <w:t>每提供</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个</w:t>
            </w:r>
            <w:r>
              <w:rPr>
                <w:rFonts w:hint="eastAsia" w:ascii="宋体" w:hAnsi="宋体" w:eastAsia="宋体" w:cs="宋体"/>
                <w:color w:val="auto"/>
                <w:kern w:val="0"/>
                <w:sz w:val="24"/>
                <w:szCs w:val="24"/>
                <w:highlight w:val="none"/>
                <w:lang w:val="en-US" w:eastAsia="zh-Hans"/>
              </w:rPr>
              <w:t>CVE或CNVD或CNNVD漏洞提交</w:t>
            </w:r>
            <w:r>
              <w:rPr>
                <w:rFonts w:hint="eastAsia" w:ascii="宋体" w:hAnsi="宋体" w:cs="宋体"/>
                <w:color w:val="auto"/>
                <w:kern w:val="0"/>
                <w:sz w:val="24"/>
                <w:szCs w:val="24"/>
                <w:highlight w:val="none"/>
                <w:lang w:val="en-US" w:eastAsia="zh-CN"/>
              </w:rPr>
              <w:t>证明材料</w:t>
            </w: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p w14:paraId="2678113C">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lang w:val="en-US" w:eastAsia="zh-Hans"/>
              </w:rPr>
              <w:t>标书中需提供漏洞提交记录扫描件</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sz w:val="24"/>
                <w:szCs w:val="24"/>
                <w:highlight w:val="none"/>
              </w:rPr>
              <w:t>未提供的得分不予计取。</w:t>
            </w:r>
          </w:p>
        </w:tc>
        <w:tc>
          <w:tcPr>
            <w:tcW w:w="396" w:type="pct"/>
            <w:tcBorders>
              <w:left w:val="single" w:color="auto" w:sz="4" w:space="0"/>
            </w:tcBorders>
            <w:noWrap w:val="0"/>
            <w:vAlign w:val="center"/>
          </w:tcPr>
          <w:p w14:paraId="636E3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0-3分</w:t>
            </w:r>
          </w:p>
        </w:tc>
        <w:tc>
          <w:tcPr>
            <w:tcW w:w="360" w:type="pct"/>
            <w:vMerge w:val="continue"/>
            <w:tcBorders>
              <w:left w:val="single" w:color="auto" w:sz="4" w:space="0"/>
            </w:tcBorders>
            <w:noWrap w:val="0"/>
            <w:vAlign w:val="center"/>
          </w:tcPr>
          <w:p w14:paraId="346C02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p>
        </w:tc>
      </w:tr>
      <w:tr w14:paraId="2B51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55" w:type="pct"/>
            <w:vMerge w:val="restart"/>
            <w:tcBorders>
              <w:top w:val="single" w:color="auto" w:sz="4" w:space="0"/>
              <w:left w:val="single" w:color="auto" w:sz="4" w:space="0"/>
              <w:right w:val="single" w:color="auto" w:sz="4" w:space="0"/>
            </w:tcBorders>
            <w:noWrap w:val="0"/>
            <w:vAlign w:val="center"/>
          </w:tcPr>
          <w:p w14:paraId="38415A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29" w:type="pct"/>
            <w:vMerge w:val="restart"/>
            <w:tcBorders>
              <w:top w:val="single" w:color="auto" w:sz="4" w:space="0"/>
              <w:left w:val="single" w:color="auto" w:sz="4" w:space="0"/>
              <w:right w:val="single" w:color="auto" w:sz="4" w:space="0"/>
            </w:tcBorders>
            <w:noWrap w:val="0"/>
            <w:vAlign w:val="center"/>
          </w:tcPr>
          <w:p w14:paraId="749D1C0F">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技术方案</w:t>
            </w:r>
          </w:p>
          <w:p w14:paraId="50189ED1">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3258" w:type="pct"/>
            <w:tcBorders>
              <w:top w:val="single" w:color="auto" w:sz="4" w:space="0"/>
              <w:left w:val="single" w:color="auto" w:sz="4" w:space="0"/>
              <w:right w:val="single" w:color="auto" w:sz="4" w:space="0"/>
            </w:tcBorders>
            <w:noWrap w:val="0"/>
            <w:vAlign w:val="center"/>
          </w:tcPr>
          <w:p w14:paraId="39686470">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4.1</w:t>
            </w:r>
            <w:r>
              <w:rPr>
                <w:rFonts w:hint="eastAsia" w:ascii="宋体" w:hAnsi="宋体" w:eastAsia="宋体" w:cs="宋体"/>
                <w:color w:val="auto"/>
                <w:sz w:val="24"/>
                <w:szCs w:val="24"/>
                <w:highlight w:val="none"/>
                <w:lang w:eastAsia="zh-CN"/>
              </w:rPr>
              <w:t>对本项目服务目标和需求的理解，对招标采购需求响应匹配程度进行评审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4299365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restart"/>
            <w:tcBorders>
              <w:left w:val="single" w:color="auto" w:sz="4" w:space="0"/>
            </w:tcBorders>
            <w:noWrap w:val="0"/>
            <w:vAlign w:val="center"/>
          </w:tcPr>
          <w:p w14:paraId="424A26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32B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5" w:type="pct"/>
            <w:vMerge w:val="continue"/>
            <w:tcBorders>
              <w:left w:val="single" w:color="auto" w:sz="4" w:space="0"/>
              <w:right w:val="single" w:color="auto" w:sz="4" w:space="0"/>
            </w:tcBorders>
            <w:noWrap w:val="0"/>
            <w:vAlign w:val="center"/>
          </w:tcPr>
          <w:p w14:paraId="015DB0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color w:val="auto"/>
                <w:szCs w:val="20"/>
                <w:highlight w:val="none"/>
              </w:rPr>
            </w:pPr>
          </w:p>
        </w:tc>
        <w:tc>
          <w:tcPr>
            <w:tcW w:w="629" w:type="pct"/>
            <w:vMerge w:val="continue"/>
            <w:tcBorders>
              <w:left w:val="single" w:color="auto" w:sz="4" w:space="0"/>
              <w:right w:val="single" w:color="auto" w:sz="4" w:space="0"/>
            </w:tcBorders>
            <w:noWrap w:val="0"/>
            <w:vAlign w:val="center"/>
          </w:tcPr>
          <w:p w14:paraId="2DDDB9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color w:val="auto"/>
                <w:szCs w:val="20"/>
                <w:highlight w:val="none"/>
              </w:rPr>
            </w:pPr>
          </w:p>
        </w:tc>
        <w:tc>
          <w:tcPr>
            <w:tcW w:w="3258" w:type="pct"/>
            <w:tcBorders>
              <w:top w:val="single" w:color="auto" w:sz="4" w:space="0"/>
              <w:left w:val="single" w:color="auto" w:sz="4" w:space="0"/>
              <w:right w:val="single" w:color="auto" w:sz="4" w:space="0"/>
            </w:tcBorders>
            <w:noWrap w:val="0"/>
            <w:vAlign w:val="center"/>
          </w:tcPr>
          <w:p w14:paraId="1003F02F">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4.2</w:t>
            </w:r>
            <w:r>
              <w:rPr>
                <w:rFonts w:hint="eastAsia" w:ascii="宋体" w:hAnsi="宋体" w:eastAsia="宋体" w:cs="宋体"/>
                <w:color w:val="auto"/>
                <w:sz w:val="24"/>
                <w:szCs w:val="24"/>
                <w:highlight w:val="none"/>
                <w:lang w:eastAsia="zh-CN"/>
              </w:rPr>
              <w:t>云上资产风险检测服务方案：据投标人提供的云上资产风险检测服务方案的完整性、合理性、可行性及针对性进行评审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4A7330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66465AF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2EFF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5" w:type="pct"/>
            <w:vMerge w:val="continue"/>
            <w:tcBorders>
              <w:left w:val="single" w:color="auto" w:sz="4" w:space="0"/>
              <w:right w:val="single" w:color="auto" w:sz="4" w:space="0"/>
            </w:tcBorders>
            <w:noWrap w:val="0"/>
            <w:vAlign w:val="center"/>
          </w:tcPr>
          <w:p w14:paraId="616FF9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4D1FE55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2A57D580">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4.3</w:t>
            </w:r>
            <w:r>
              <w:rPr>
                <w:rFonts w:hint="eastAsia" w:ascii="宋体" w:hAnsi="宋体" w:eastAsia="宋体" w:cs="宋体"/>
                <w:color w:val="auto"/>
                <w:sz w:val="24"/>
                <w:szCs w:val="24"/>
                <w:highlight w:val="none"/>
                <w:lang w:eastAsia="zh-CN"/>
              </w:rPr>
              <w:t>渗透测试服务方案：根据投标人提供的渗透测试服务方案的完整性、合理性、可行性及针对性进行评审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1F0B91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6BD848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7E02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5" w:type="pct"/>
            <w:vMerge w:val="continue"/>
            <w:tcBorders>
              <w:left w:val="single" w:color="auto" w:sz="4" w:space="0"/>
              <w:right w:val="single" w:color="auto" w:sz="4" w:space="0"/>
            </w:tcBorders>
            <w:noWrap w:val="0"/>
            <w:vAlign w:val="center"/>
          </w:tcPr>
          <w:p w14:paraId="42EA23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48B2989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1C0EEF29">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4.4</w:t>
            </w:r>
            <w:r>
              <w:rPr>
                <w:rFonts w:hint="eastAsia" w:ascii="宋体" w:hAnsi="宋体" w:eastAsia="宋体" w:cs="宋体"/>
                <w:color w:val="auto"/>
                <w:sz w:val="24"/>
                <w:szCs w:val="24"/>
                <w:highlight w:val="none"/>
                <w:lang w:eastAsia="zh-CN"/>
              </w:rPr>
              <w:t>企业侧风险扫描服务方案：根据投标人提供的企业侧风险扫描服务方案的完整性、合理性、可行性及针对性进行评审</w:t>
            </w:r>
          </w:p>
          <w:p w14:paraId="6E0BC909">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right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7C084F1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77EFCC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7BF4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55" w:type="pct"/>
            <w:vMerge w:val="continue"/>
            <w:tcBorders>
              <w:left w:val="single" w:color="auto" w:sz="4" w:space="0"/>
              <w:right w:val="single" w:color="auto" w:sz="4" w:space="0"/>
            </w:tcBorders>
            <w:noWrap w:val="0"/>
            <w:vAlign w:val="center"/>
          </w:tcPr>
          <w:p w14:paraId="7AAE20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5FDA0D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381F89CD">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4.5</w:t>
            </w:r>
            <w:r>
              <w:rPr>
                <w:rFonts w:hint="eastAsia" w:ascii="宋体" w:hAnsi="宋体" w:eastAsia="宋体" w:cs="宋体"/>
                <w:color w:val="auto"/>
                <w:sz w:val="24"/>
                <w:szCs w:val="24"/>
                <w:highlight w:val="none"/>
                <w:lang w:eastAsia="zh-CN"/>
              </w:rPr>
              <w:t>重点企业单位现场检查服务方案：根据投标人提供的重点企业单位现场检查服务方案的完整性、合理性、可行性及针对性进行评审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tc>
        <w:tc>
          <w:tcPr>
            <w:tcW w:w="396" w:type="pct"/>
            <w:tcBorders>
              <w:left w:val="single" w:color="auto" w:sz="4" w:space="0"/>
            </w:tcBorders>
            <w:noWrap w:val="0"/>
            <w:vAlign w:val="center"/>
          </w:tcPr>
          <w:p w14:paraId="3FB476B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347AFF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525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55" w:type="pct"/>
            <w:vMerge w:val="continue"/>
            <w:tcBorders>
              <w:left w:val="single" w:color="auto" w:sz="4" w:space="0"/>
              <w:right w:val="single" w:color="auto" w:sz="4" w:space="0"/>
            </w:tcBorders>
            <w:noWrap w:val="0"/>
            <w:vAlign w:val="center"/>
          </w:tcPr>
          <w:p w14:paraId="1C72D9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0D8D669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2B970FA3">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4.6</w:t>
            </w:r>
            <w:r>
              <w:rPr>
                <w:rFonts w:hint="eastAsia" w:ascii="宋体" w:hAnsi="宋体" w:eastAsia="宋体" w:cs="宋体"/>
                <w:color w:val="auto"/>
                <w:sz w:val="24"/>
                <w:szCs w:val="24"/>
                <w:highlight w:val="none"/>
                <w:lang w:eastAsia="zh-CN"/>
              </w:rPr>
              <w:t>应急响应服务方案：根据投标人提供的应急响应服务方案的完整性、合理性、可行性及针对性进行评审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23011F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7999D13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6B97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5" w:type="pct"/>
            <w:vMerge w:val="continue"/>
            <w:tcBorders>
              <w:left w:val="single" w:color="auto" w:sz="4" w:space="0"/>
              <w:right w:val="single" w:color="auto" w:sz="4" w:space="0"/>
            </w:tcBorders>
            <w:noWrap w:val="0"/>
            <w:vAlign w:val="center"/>
          </w:tcPr>
          <w:p w14:paraId="6368FE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4F07E56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1E664E35">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4.7</w:t>
            </w:r>
            <w:r>
              <w:rPr>
                <w:rFonts w:hint="eastAsia" w:ascii="宋体" w:hAnsi="宋体" w:eastAsia="宋体" w:cs="宋体"/>
                <w:color w:val="auto"/>
                <w:sz w:val="24"/>
                <w:szCs w:val="24"/>
                <w:highlight w:val="none"/>
                <w:lang w:eastAsia="zh-CN"/>
              </w:rPr>
              <w:t>攻防演练服务方案：根据投标人提供的攻防演练服务方案的完整性、合理性、可行性及针对性进行评审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7A594E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7D5327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73CA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5" w:type="pct"/>
            <w:vMerge w:val="continue"/>
            <w:tcBorders>
              <w:left w:val="single" w:color="auto" w:sz="4" w:space="0"/>
              <w:right w:val="single" w:color="auto" w:sz="4" w:space="0"/>
            </w:tcBorders>
            <w:noWrap w:val="0"/>
            <w:vAlign w:val="center"/>
          </w:tcPr>
          <w:p w14:paraId="023443D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2E3436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326DBF77">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4.8</w:t>
            </w:r>
            <w:r>
              <w:rPr>
                <w:rFonts w:hint="eastAsia" w:ascii="宋体" w:hAnsi="宋体" w:eastAsia="宋体" w:cs="宋体"/>
                <w:color w:val="auto"/>
                <w:sz w:val="24"/>
                <w:szCs w:val="24"/>
                <w:highlight w:val="none"/>
                <w:lang w:eastAsia="zh-CN"/>
              </w:rPr>
              <w:t>安全培训服务方案：根据投标人提供的安全培训服务方案的完整性、合理性、可行性及针对性进行评审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70F5416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2BFA7C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7F2C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55" w:type="pct"/>
            <w:vMerge w:val="continue"/>
            <w:tcBorders>
              <w:left w:val="single" w:color="auto" w:sz="4" w:space="0"/>
              <w:right w:val="single" w:color="auto" w:sz="4" w:space="0"/>
            </w:tcBorders>
            <w:noWrap w:val="0"/>
            <w:vAlign w:val="center"/>
          </w:tcPr>
          <w:p w14:paraId="3EF332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560483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725E744B">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4.9</w:t>
            </w:r>
            <w:r>
              <w:rPr>
                <w:rFonts w:hint="eastAsia" w:ascii="宋体" w:hAnsi="宋体" w:eastAsia="宋体" w:cs="宋体"/>
                <w:color w:val="auto"/>
                <w:sz w:val="24"/>
                <w:szCs w:val="24"/>
                <w:highlight w:val="none"/>
                <w:lang w:eastAsia="zh-CN"/>
              </w:rPr>
              <w:t>项目实施方案的合理可行性，包括实施组织架构、服务分工、进度计划、服务流程等，是否符合本项目要求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06629F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28ACE6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3900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55" w:type="pct"/>
            <w:vMerge w:val="continue"/>
            <w:tcBorders>
              <w:left w:val="single" w:color="auto" w:sz="4" w:space="0"/>
              <w:right w:val="single" w:color="auto" w:sz="4" w:space="0"/>
            </w:tcBorders>
            <w:noWrap w:val="0"/>
            <w:vAlign w:val="center"/>
          </w:tcPr>
          <w:p w14:paraId="14D27A2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629" w:type="pct"/>
            <w:vMerge w:val="continue"/>
            <w:tcBorders>
              <w:left w:val="single" w:color="auto" w:sz="4" w:space="0"/>
              <w:right w:val="single" w:color="auto" w:sz="4" w:space="0"/>
            </w:tcBorders>
            <w:noWrap w:val="0"/>
            <w:vAlign w:val="center"/>
          </w:tcPr>
          <w:p w14:paraId="7E3B1B4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c>
          <w:tcPr>
            <w:tcW w:w="3258" w:type="pct"/>
            <w:tcBorders>
              <w:top w:val="single" w:color="auto" w:sz="4" w:space="0"/>
              <w:left w:val="single" w:color="auto" w:sz="4" w:space="0"/>
              <w:right w:val="single" w:color="auto" w:sz="4" w:space="0"/>
            </w:tcBorders>
            <w:noWrap w:val="0"/>
            <w:vAlign w:val="center"/>
          </w:tcPr>
          <w:p w14:paraId="17335AE1">
            <w:pPr>
              <w:pStyle w:val="9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4.10</w:t>
            </w:r>
            <w:r>
              <w:rPr>
                <w:rFonts w:hint="eastAsia" w:ascii="宋体" w:hAnsi="宋体" w:eastAsia="宋体" w:cs="宋体"/>
                <w:color w:val="auto"/>
                <w:sz w:val="24"/>
                <w:szCs w:val="24"/>
                <w:highlight w:val="none"/>
                <w:lang w:eastAsia="zh-CN"/>
              </w:rPr>
              <w:t>针对本项目服务采取的保密措施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c>
          <w:tcPr>
            <w:tcW w:w="396" w:type="pct"/>
            <w:tcBorders>
              <w:left w:val="single" w:color="auto" w:sz="4" w:space="0"/>
            </w:tcBorders>
            <w:noWrap w:val="0"/>
            <w:vAlign w:val="center"/>
          </w:tcPr>
          <w:p w14:paraId="46D6C3F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1A4D9E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textAlignment w:val="auto"/>
              <w:rPr>
                <w:rFonts w:hint="eastAsia" w:ascii="宋体" w:hAnsi="宋体" w:eastAsia="宋体" w:cs="宋体"/>
                <w:bCs/>
                <w:color w:val="auto"/>
                <w:kern w:val="2"/>
                <w:sz w:val="24"/>
                <w:szCs w:val="24"/>
                <w:highlight w:val="none"/>
                <w:lang w:val="en-US" w:eastAsia="zh-CN" w:bidi="ar-SA"/>
              </w:rPr>
            </w:pPr>
          </w:p>
        </w:tc>
      </w:tr>
      <w:tr w14:paraId="68C9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pct"/>
            <w:tcBorders>
              <w:left w:val="single" w:color="auto" w:sz="4" w:space="0"/>
              <w:right w:val="single" w:color="auto" w:sz="4" w:space="0"/>
            </w:tcBorders>
            <w:noWrap w:val="0"/>
            <w:vAlign w:val="center"/>
          </w:tcPr>
          <w:p w14:paraId="1D5904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29" w:type="pct"/>
            <w:tcBorders>
              <w:left w:val="single" w:color="auto" w:sz="4" w:space="0"/>
              <w:right w:val="single" w:color="auto" w:sz="4" w:space="0"/>
            </w:tcBorders>
            <w:noWrap w:val="0"/>
            <w:vAlign w:val="center"/>
          </w:tcPr>
          <w:p w14:paraId="0F142186">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技术响应</w:t>
            </w:r>
          </w:p>
          <w:p w14:paraId="6D2A0E9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325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A1D1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left"/>
              <w:textAlignment w:val="bottom"/>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根据招标文件</w:t>
            </w:r>
            <w:r>
              <w:rPr>
                <w:rFonts w:hint="eastAsia" w:ascii="宋体" w:hAnsi="宋体" w:cs="宋体"/>
                <w:color w:val="auto"/>
                <w:kern w:val="2"/>
                <w:sz w:val="24"/>
                <w:szCs w:val="24"/>
                <w:highlight w:val="none"/>
                <w:lang w:val="en-US" w:eastAsia="zh-CN" w:bidi="ar-SA"/>
              </w:rPr>
              <w:t>第三部分“采购需求”中的三、</w:t>
            </w:r>
            <w:r>
              <w:rPr>
                <w:rFonts w:hint="eastAsia" w:ascii="宋体" w:hAnsi="宋体" w:eastAsia="宋体" w:cs="宋体"/>
                <w:color w:val="auto"/>
                <w:kern w:val="2"/>
                <w:sz w:val="24"/>
                <w:szCs w:val="24"/>
                <w:highlight w:val="none"/>
                <w:lang w:val="en-US" w:eastAsia="zh-CN" w:bidi="ar-SA"/>
              </w:rPr>
              <w:t>服务</w:t>
            </w:r>
            <w:r>
              <w:rPr>
                <w:rFonts w:hint="eastAsia" w:ascii="宋体" w:hAnsi="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eastAsia="zh-CN" w:bidi="ar-SA"/>
              </w:rPr>
              <w:t>要求的</w:t>
            </w:r>
            <w:r>
              <w:rPr>
                <w:rFonts w:hint="eastAsia" w:ascii="宋体" w:hAnsi="宋体" w:cs="宋体"/>
                <w:color w:val="auto"/>
                <w:kern w:val="2"/>
                <w:sz w:val="24"/>
                <w:szCs w:val="24"/>
                <w:highlight w:val="none"/>
                <w:lang w:val="en-US" w:eastAsia="zh-CN" w:bidi="ar-SA"/>
              </w:rPr>
              <w:t>服务要求</w:t>
            </w:r>
            <w:r>
              <w:rPr>
                <w:rFonts w:hint="eastAsia" w:ascii="宋体" w:hAnsi="宋体" w:eastAsia="宋体" w:cs="宋体"/>
                <w:color w:val="auto"/>
                <w:kern w:val="2"/>
                <w:sz w:val="24"/>
                <w:szCs w:val="24"/>
                <w:highlight w:val="none"/>
                <w:lang w:val="en-US" w:eastAsia="zh-CN" w:bidi="ar-SA"/>
              </w:rPr>
              <w:t>及工具响应情况进行评分，</w:t>
            </w:r>
            <w:r>
              <w:rPr>
                <w:rFonts w:hint="eastAsia" w:ascii="宋体" w:hAnsi="宋体" w:cs="宋体"/>
                <w:color w:val="auto"/>
                <w:kern w:val="2"/>
                <w:sz w:val="24"/>
                <w:szCs w:val="24"/>
                <w:highlight w:val="none"/>
                <w:lang w:val="en-US" w:eastAsia="zh-CN" w:bidi="ar-SA"/>
              </w:rPr>
              <w:t>完全满足的得13分：其中“</w:t>
            </w:r>
            <w:r>
              <w:rPr>
                <w:rFonts w:hint="eastAsia" w:ascii="宋体" w:hAnsi="宋体" w:eastAsia="宋体" w:cs="宋体"/>
                <w:color w:val="auto"/>
                <w:kern w:val="2"/>
                <w:sz w:val="24"/>
                <w:szCs w:val="24"/>
                <w:highlight w:val="none"/>
                <w:lang w:val="en-US" w:eastAsia="zh-CN" w:bidi="ar-SA"/>
              </w:rPr>
              <w:t>★”为重要服务指标，</w:t>
            </w:r>
            <w:r>
              <w:rPr>
                <w:rFonts w:hint="eastAsia" w:ascii="宋体" w:hAnsi="宋体" w:cs="宋体"/>
                <w:color w:val="auto"/>
                <w:kern w:val="2"/>
                <w:sz w:val="24"/>
                <w:szCs w:val="24"/>
                <w:highlight w:val="none"/>
                <w:lang w:val="en-US" w:eastAsia="zh-CN" w:bidi="ar-SA"/>
              </w:rPr>
              <w:t>合计10项，每满足一项得0.5分，共5分；非“</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为一般服务指标，合计64项，每满足一项得0.125分，共8分</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w:t>
            </w:r>
            <w:r>
              <w:rPr>
                <w:rFonts w:hint="eastAsia" w:ascii="宋体" w:hAnsi="宋体" w:eastAsia="宋体" w:cs="宋体"/>
                <w:color w:val="auto"/>
                <w:kern w:val="2"/>
                <w:sz w:val="24"/>
                <w:szCs w:val="24"/>
                <w:highlight w:val="none"/>
                <w:lang w:val="en-US" w:eastAsia="zh-CN" w:bidi="ar-SA"/>
              </w:rPr>
              <w:t>共1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396" w:type="pct"/>
            <w:tcBorders>
              <w:left w:val="single" w:color="auto" w:sz="4" w:space="0"/>
            </w:tcBorders>
            <w:shd w:val="clear" w:color="auto" w:fill="auto"/>
            <w:noWrap w:val="0"/>
            <w:vAlign w:val="center"/>
          </w:tcPr>
          <w:p w14:paraId="645EA3C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360" w:type="pct"/>
            <w:tcBorders>
              <w:left w:val="single" w:color="auto" w:sz="4" w:space="0"/>
            </w:tcBorders>
            <w:shd w:val="clear" w:color="auto" w:fill="auto"/>
            <w:noWrap w:val="0"/>
            <w:vAlign w:val="center"/>
          </w:tcPr>
          <w:p w14:paraId="24A949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14:paraId="45DA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55" w:type="pct"/>
            <w:vMerge w:val="restart"/>
            <w:tcBorders>
              <w:left w:val="single" w:color="auto" w:sz="4" w:space="0"/>
              <w:right w:val="single" w:color="auto" w:sz="4" w:space="0"/>
            </w:tcBorders>
            <w:noWrap w:val="0"/>
            <w:vAlign w:val="center"/>
          </w:tcPr>
          <w:p w14:paraId="5A3BF6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29" w:type="pct"/>
            <w:vMerge w:val="restart"/>
            <w:tcBorders>
              <w:left w:val="single" w:color="auto" w:sz="4" w:space="0"/>
              <w:right w:val="single" w:color="auto" w:sz="4" w:space="0"/>
            </w:tcBorders>
            <w:noWrap w:val="0"/>
            <w:vAlign w:val="center"/>
          </w:tcPr>
          <w:p w14:paraId="0F2E2017">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服务团队</w:t>
            </w:r>
          </w:p>
          <w:p w14:paraId="7ECFA14B">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分）</w:t>
            </w:r>
          </w:p>
        </w:tc>
        <w:tc>
          <w:tcPr>
            <w:tcW w:w="325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0036F4">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6.1</w:t>
            </w:r>
            <w:r>
              <w:rPr>
                <w:rFonts w:hint="eastAsia" w:ascii="宋体" w:hAnsi="宋体" w:cs="宋体"/>
                <w:color w:val="auto"/>
                <w:sz w:val="24"/>
                <w:szCs w:val="24"/>
                <w:highlight w:val="none"/>
                <w:lang w:val="en-US" w:eastAsia="zh-CN"/>
              </w:rPr>
              <w:t>原厂供应商</w:t>
            </w:r>
            <w:r>
              <w:rPr>
                <w:rFonts w:hint="eastAsia" w:ascii="宋体" w:hAnsi="宋体" w:eastAsia="宋体" w:cs="宋体"/>
                <w:color w:val="auto"/>
                <w:sz w:val="24"/>
                <w:szCs w:val="24"/>
                <w:highlight w:val="none"/>
                <w:lang w:val="en-US" w:eastAsia="zh-CN"/>
              </w:rPr>
              <w:t>拟派项目经理具有</w:t>
            </w:r>
            <w:r>
              <w:rPr>
                <w:rFonts w:hint="eastAsia" w:ascii="宋体" w:hAnsi="宋体" w:cs="宋体"/>
                <w:color w:val="auto"/>
                <w:sz w:val="24"/>
                <w:szCs w:val="24"/>
                <w:highlight w:val="none"/>
                <w:lang w:eastAsia="zh-CN"/>
              </w:rPr>
              <w:t>IT服务项目经理证书、</w:t>
            </w:r>
            <w:r>
              <w:rPr>
                <w:rFonts w:hint="eastAsia" w:ascii="宋体" w:hAnsi="宋体" w:cs="宋体"/>
                <w:color w:val="auto"/>
                <w:sz w:val="24"/>
                <w:szCs w:val="24"/>
                <w:highlight w:val="none"/>
                <w:lang w:val="en-US" w:eastAsia="zh-CN"/>
              </w:rPr>
              <w:t>注册信息安全工程师（CISP-CISE）资质证书、</w:t>
            </w:r>
            <w:r>
              <w:rPr>
                <w:rFonts w:hint="eastAsia" w:ascii="宋体" w:hAnsi="宋体" w:cs="宋体"/>
                <w:color w:val="auto"/>
                <w:sz w:val="24"/>
                <w:szCs w:val="24"/>
                <w:highlight w:val="none"/>
                <w:lang w:eastAsia="zh-CN"/>
              </w:rPr>
              <w:t>注册</w:t>
            </w:r>
            <w:r>
              <w:rPr>
                <w:rFonts w:hint="eastAsia" w:ascii="宋体" w:hAnsi="宋体" w:cs="宋体"/>
                <w:color w:val="auto"/>
                <w:sz w:val="24"/>
                <w:szCs w:val="24"/>
                <w:highlight w:val="none"/>
                <w:lang w:val="en-US" w:eastAsia="zh-CN"/>
              </w:rPr>
              <w:t>渗透测试工程师</w:t>
            </w:r>
            <w:r>
              <w:rPr>
                <w:rFonts w:hint="eastAsia" w:ascii="宋体" w:hAnsi="宋体" w:cs="宋体"/>
                <w:color w:val="auto"/>
                <w:sz w:val="24"/>
                <w:szCs w:val="24"/>
                <w:highlight w:val="none"/>
                <w:lang w:eastAsia="zh-CN"/>
              </w:rPr>
              <w:t>（CISP</w:t>
            </w:r>
            <w:r>
              <w:rPr>
                <w:rFonts w:hint="eastAsia" w:ascii="宋体" w:hAnsi="宋体" w:cs="宋体"/>
                <w:color w:val="auto"/>
                <w:sz w:val="24"/>
                <w:szCs w:val="24"/>
                <w:highlight w:val="none"/>
                <w:lang w:val="en-US" w:eastAsia="zh-CN"/>
              </w:rPr>
              <w:t>-PTE</w:t>
            </w:r>
            <w:r>
              <w:rPr>
                <w:rFonts w:hint="eastAsia" w:ascii="宋体" w:hAnsi="宋体" w:cs="宋体"/>
                <w:color w:val="auto"/>
                <w:sz w:val="24"/>
                <w:szCs w:val="24"/>
                <w:highlight w:val="none"/>
                <w:lang w:eastAsia="zh-CN"/>
              </w:rPr>
              <w:t>）资质证书、</w:t>
            </w:r>
            <w:r>
              <w:rPr>
                <w:rFonts w:hint="eastAsia" w:ascii="宋体" w:hAnsi="宋体" w:cs="宋体"/>
                <w:color w:val="auto"/>
                <w:sz w:val="24"/>
                <w:szCs w:val="24"/>
                <w:highlight w:val="none"/>
                <w:lang w:val="en-US" w:eastAsia="zh-CN"/>
              </w:rPr>
              <w:t>注册云安全工程（</w:t>
            </w:r>
            <w:r>
              <w:rPr>
                <w:rFonts w:hint="eastAsia" w:ascii="宋体" w:hAnsi="宋体" w:cs="宋体"/>
                <w:color w:val="auto"/>
                <w:sz w:val="24"/>
                <w:szCs w:val="24"/>
                <w:highlight w:val="none"/>
                <w:lang w:eastAsia="zh-CN"/>
              </w:rPr>
              <w:t>CISP-CSE）</w:t>
            </w:r>
            <w:r>
              <w:rPr>
                <w:rFonts w:hint="eastAsia" w:ascii="宋体" w:hAnsi="宋体" w:cs="宋体"/>
                <w:color w:val="auto"/>
                <w:sz w:val="24"/>
                <w:szCs w:val="24"/>
                <w:highlight w:val="none"/>
                <w:lang w:val="en-US" w:eastAsia="zh-CN"/>
              </w:rPr>
              <w:t>资质证书、</w:t>
            </w:r>
            <w:r>
              <w:rPr>
                <w:rFonts w:hint="eastAsia" w:ascii="宋体" w:hAnsi="宋体" w:cs="宋体"/>
                <w:color w:val="auto"/>
                <w:sz w:val="24"/>
                <w:szCs w:val="24"/>
                <w:highlight w:val="none"/>
                <w:lang w:eastAsia="zh-CN"/>
              </w:rPr>
              <w:t>信息安全保障人员认证证书（安全运维专业级）、</w:t>
            </w:r>
            <w:r>
              <w:rPr>
                <w:rFonts w:hint="eastAsia" w:ascii="宋体" w:hAnsi="宋体" w:cs="宋体"/>
                <w:color w:val="auto"/>
                <w:sz w:val="24"/>
                <w:szCs w:val="24"/>
                <w:highlight w:val="none"/>
                <w:lang w:val="en-US" w:eastAsia="zh-CN"/>
              </w:rPr>
              <w:t>信息安全保障人员认证证书（渗透测试专业级）、</w:t>
            </w:r>
            <w:r>
              <w:rPr>
                <w:rFonts w:hint="eastAsia" w:ascii="宋体" w:hAnsi="宋体" w:cs="宋体"/>
                <w:color w:val="auto"/>
                <w:sz w:val="24"/>
                <w:szCs w:val="24"/>
                <w:highlight w:val="none"/>
                <w:lang w:eastAsia="zh-CN"/>
              </w:rPr>
              <w:t>C</w:t>
            </w:r>
            <w:r>
              <w:rPr>
                <w:rFonts w:hint="default" w:ascii="宋体" w:hAnsi="宋体" w:cs="宋体"/>
                <w:color w:val="auto"/>
                <w:sz w:val="24"/>
                <w:szCs w:val="24"/>
                <w:highlight w:val="none"/>
                <w:lang w:eastAsia="zh-CN"/>
              </w:rPr>
              <w:t>CRC</w:t>
            </w:r>
            <w:r>
              <w:rPr>
                <w:rFonts w:hint="eastAsia" w:ascii="宋体" w:hAnsi="宋体" w:cs="宋体"/>
                <w:color w:val="auto"/>
                <w:sz w:val="24"/>
                <w:szCs w:val="24"/>
                <w:highlight w:val="none"/>
                <w:lang w:eastAsia="zh-CN"/>
              </w:rPr>
              <w:t>网络安全应急响应工程师（CSERE）证书</w:t>
            </w:r>
            <w:r>
              <w:rPr>
                <w:rFonts w:hint="eastAsia" w:ascii="宋体" w:hAnsi="宋体" w:eastAsia="宋体" w:cs="宋体"/>
                <w:color w:val="auto"/>
                <w:sz w:val="24"/>
                <w:szCs w:val="24"/>
                <w:highlight w:val="none"/>
                <w:lang w:val="en-US" w:eastAsia="zh-CN"/>
              </w:rPr>
              <w:t>的，每满足1个证书得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分，本项最高得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5D06B688">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kern w:val="0"/>
                <w:sz w:val="24"/>
                <w:szCs w:val="24"/>
                <w:highlight w:val="none"/>
                <w:lang w:eastAsia="zh-TW"/>
              </w:rPr>
              <w:t>注：标书中需提供相关证书及社保部门出具的</w:t>
            </w:r>
            <w:r>
              <w:rPr>
                <w:rFonts w:hint="eastAsia" w:ascii="宋体" w:hAnsi="宋体" w:cs="宋体"/>
                <w:b/>
                <w:bCs/>
                <w:color w:val="auto"/>
                <w:kern w:val="0"/>
                <w:sz w:val="24"/>
                <w:szCs w:val="24"/>
                <w:highlight w:val="none"/>
                <w:lang w:val="en-US" w:eastAsia="zh-CN"/>
              </w:rPr>
              <w:t>近</w:t>
            </w:r>
            <w:r>
              <w:rPr>
                <w:rFonts w:hint="eastAsia" w:ascii="宋体" w:hAnsi="宋体" w:eastAsia="宋体" w:cs="宋体"/>
                <w:b/>
                <w:bCs/>
                <w:color w:val="auto"/>
                <w:kern w:val="0"/>
                <w:sz w:val="24"/>
                <w:szCs w:val="24"/>
                <w:highlight w:val="none"/>
                <w:lang w:eastAsia="zh-TW"/>
              </w:rPr>
              <w:t>3个月的</w:t>
            </w:r>
            <w:r>
              <w:rPr>
                <w:rFonts w:hint="eastAsia" w:ascii="宋体" w:hAnsi="宋体" w:cs="宋体"/>
                <w:b/>
                <w:bCs/>
                <w:color w:val="auto"/>
                <w:kern w:val="0"/>
                <w:sz w:val="24"/>
                <w:szCs w:val="24"/>
                <w:highlight w:val="none"/>
                <w:lang w:val="en-US" w:eastAsia="zh-CN"/>
              </w:rPr>
              <w:t>社保证明</w:t>
            </w:r>
            <w:r>
              <w:rPr>
                <w:rFonts w:hint="eastAsia" w:ascii="宋体" w:hAnsi="宋体" w:eastAsia="宋体" w:cs="宋体"/>
                <w:b/>
                <w:bCs/>
                <w:color w:val="auto"/>
                <w:kern w:val="0"/>
                <w:sz w:val="24"/>
                <w:szCs w:val="24"/>
                <w:highlight w:val="none"/>
                <w:lang w:eastAsia="zh-TW"/>
              </w:rPr>
              <w:t>，上述材料未提供或提供不完整的不得分。</w:t>
            </w:r>
          </w:p>
        </w:tc>
        <w:tc>
          <w:tcPr>
            <w:tcW w:w="396" w:type="pct"/>
            <w:tcBorders>
              <w:left w:val="single" w:color="auto" w:sz="4" w:space="0"/>
            </w:tcBorders>
            <w:shd w:val="clear" w:color="auto" w:fill="auto"/>
            <w:noWrap w:val="0"/>
            <w:vAlign w:val="center"/>
          </w:tcPr>
          <w:p w14:paraId="3AE362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360" w:type="pct"/>
            <w:vMerge w:val="restart"/>
            <w:tcBorders>
              <w:left w:val="single" w:color="auto" w:sz="4" w:space="0"/>
            </w:tcBorders>
            <w:shd w:val="clear" w:color="auto" w:fill="auto"/>
            <w:noWrap w:val="0"/>
            <w:vAlign w:val="center"/>
          </w:tcPr>
          <w:p w14:paraId="35B4D2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2D8C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355" w:type="pct"/>
            <w:vMerge w:val="continue"/>
            <w:tcBorders>
              <w:left w:val="single" w:color="auto" w:sz="4" w:space="0"/>
              <w:right w:val="single" w:color="auto" w:sz="4" w:space="0"/>
            </w:tcBorders>
            <w:noWrap w:val="0"/>
            <w:vAlign w:val="center"/>
          </w:tcPr>
          <w:p w14:paraId="763A40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rPr>
            </w:pPr>
          </w:p>
        </w:tc>
        <w:tc>
          <w:tcPr>
            <w:tcW w:w="629" w:type="pct"/>
            <w:vMerge w:val="continue"/>
            <w:tcBorders>
              <w:left w:val="single" w:color="auto" w:sz="4" w:space="0"/>
              <w:right w:val="single" w:color="auto" w:sz="4" w:space="0"/>
            </w:tcBorders>
            <w:noWrap w:val="0"/>
            <w:vAlign w:val="center"/>
          </w:tcPr>
          <w:p w14:paraId="2F6580E8">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rPr>
            </w:pPr>
          </w:p>
        </w:tc>
        <w:tc>
          <w:tcPr>
            <w:tcW w:w="3258" w:type="pct"/>
            <w:tcBorders>
              <w:top w:val="single" w:color="auto" w:sz="4" w:space="0"/>
              <w:left w:val="single" w:color="auto" w:sz="4" w:space="0"/>
              <w:bottom w:val="single" w:color="auto" w:sz="4" w:space="0"/>
              <w:right w:val="single" w:color="auto" w:sz="4" w:space="0"/>
            </w:tcBorders>
            <w:noWrap w:val="0"/>
            <w:vAlign w:val="center"/>
          </w:tcPr>
          <w:p w14:paraId="135B1B32">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原厂供应商</w:t>
            </w:r>
            <w:r>
              <w:rPr>
                <w:rFonts w:hint="eastAsia" w:ascii="宋体" w:hAnsi="宋体" w:eastAsia="宋体" w:cs="宋体"/>
                <w:color w:val="auto"/>
                <w:sz w:val="24"/>
                <w:szCs w:val="24"/>
                <w:highlight w:val="none"/>
                <w:lang w:val="en-US" w:eastAsia="zh-CN"/>
              </w:rPr>
              <w:t>项目组成员(除项目经理外)：</w:t>
            </w:r>
          </w:p>
          <w:p w14:paraId="029920BD">
            <w:pPr>
              <w:pStyle w:val="9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6.2</w:t>
            </w:r>
            <w:r>
              <w:rPr>
                <w:rFonts w:hint="eastAsia" w:ascii="宋体" w:hAnsi="宋体" w:eastAsia="宋体" w:cs="宋体"/>
                <w:color w:val="auto"/>
                <w:sz w:val="24"/>
                <w:szCs w:val="24"/>
                <w:highlight w:val="none"/>
                <w:lang w:val="en-US" w:eastAsia="zh-CN"/>
              </w:rPr>
              <w:t>渗透测试</w:t>
            </w:r>
            <w:r>
              <w:rPr>
                <w:rFonts w:hint="eastAsia" w:ascii="宋体" w:hAnsi="宋体" w:cs="宋体"/>
                <w:color w:val="auto"/>
                <w:sz w:val="24"/>
                <w:szCs w:val="24"/>
                <w:highlight w:val="none"/>
                <w:lang w:val="en-US" w:eastAsia="zh-CN"/>
              </w:rPr>
              <w:t>服务人员：</w:t>
            </w:r>
            <w:r>
              <w:rPr>
                <w:rFonts w:hint="eastAsia" w:ascii="宋体" w:hAnsi="宋体" w:eastAsia="宋体" w:cs="宋体"/>
                <w:color w:val="auto"/>
                <w:sz w:val="24"/>
                <w:szCs w:val="24"/>
                <w:highlight w:val="none"/>
                <w:lang w:val="en-US" w:eastAsia="zh-CN"/>
              </w:rPr>
              <w:t>具备</w:t>
            </w:r>
            <w:r>
              <w:rPr>
                <w:rFonts w:hint="eastAsia" w:ascii="宋体" w:hAnsi="宋体" w:cs="宋体"/>
                <w:color w:val="auto"/>
                <w:sz w:val="24"/>
                <w:szCs w:val="24"/>
                <w:highlight w:val="none"/>
                <w:lang w:eastAsia="zh-CN"/>
              </w:rPr>
              <w:t>注册</w:t>
            </w:r>
            <w:r>
              <w:rPr>
                <w:rFonts w:hint="eastAsia" w:ascii="宋体" w:hAnsi="宋体" w:cs="宋体"/>
                <w:color w:val="auto"/>
                <w:sz w:val="24"/>
                <w:szCs w:val="24"/>
                <w:highlight w:val="none"/>
                <w:lang w:val="en-US" w:eastAsia="zh-CN"/>
              </w:rPr>
              <w:t>渗透测试工程师</w:t>
            </w:r>
            <w:r>
              <w:rPr>
                <w:rFonts w:hint="eastAsia" w:ascii="宋体" w:hAnsi="宋体" w:cs="宋体"/>
                <w:color w:val="auto"/>
                <w:sz w:val="24"/>
                <w:szCs w:val="24"/>
                <w:highlight w:val="none"/>
                <w:lang w:eastAsia="zh-CN"/>
              </w:rPr>
              <w:t>（CISP</w:t>
            </w:r>
            <w:r>
              <w:rPr>
                <w:rFonts w:hint="eastAsia" w:ascii="宋体" w:hAnsi="宋体" w:cs="宋体"/>
                <w:color w:val="auto"/>
                <w:sz w:val="24"/>
                <w:szCs w:val="24"/>
                <w:highlight w:val="none"/>
                <w:lang w:val="en-US" w:eastAsia="zh-CN"/>
              </w:rPr>
              <w:t>-PTE</w:t>
            </w:r>
            <w:r>
              <w:rPr>
                <w:rFonts w:hint="eastAsia" w:ascii="宋体" w:hAnsi="宋体" w:cs="宋体"/>
                <w:color w:val="auto"/>
                <w:sz w:val="24"/>
                <w:szCs w:val="24"/>
                <w:highlight w:val="none"/>
                <w:lang w:eastAsia="zh-CN"/>
              </w:rPr>
              <w:t>）资质证书</w:t>
            </w:r>
            <w:r>
              <w:rPr>
                <w:rFonts w:hint="eastAsia" w:ascii="宋体" w:hAnsi="宋体" w:cs="宋体"/>
                <w:color w:val="auto"/>
                <w:sz w:val="24"/>
                <w:szCs w:val="24"/>
                <w:highlight w:val="none"/>
                <w:lang w:val="en-US" w:eastAsia="zh-CN"/>
              </w:rPr>
              <w:t>信息安全保障人员认证证书（渗透测试专业级）</w:t>
            </w:r>
            <w:r>
              <w:rPr>
                <w:rFonts w:hint="eastAsia" w:ascii="宋体" w:hAnsi="宋体" w:eastAsia="宋体" w:cs="宋体"/>
                <w:color w:val="auto"/>
                <w:sz w:val="24"/>
                <w:szCs w:val="24"/>
                <w:highlight w:val="none"/>
                <w:lang w:val="en-US" w:eastAsia="zh-CN"/>
              </w:rPr>
              <w:t>的，每提供1个证书得1分，最多2分。</w:t>
            </w:r>
          </w:p>
          <w:p w14:paraId="3D6A79D4">
            <w:pPr>
              <w:pStyle w:val="9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atLeas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6.3</w:t>
            </w:r>
            <w:r>
              <w:rPr>
                <w:rFonts w:hint="eastAsia" w:ascii="宋体" w:hAnsi="宋体" w:eastAsia="宋体" w:cs="宋体"/>
                <w:color w:val="auto"/>
                <w:sz w:val="24"/>
                <w:szCs w:val="24"/>
                <w:highlight w:val="none"/>
                <w:lang w:val="en-US" w:eastAsia="zh-CN"/>
              </w:rPr>
              <w:t>攻防演练红队小组成员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提供省级攻防演练荣誉证明材料，每提供1人证明材料得1分，本项最多得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A4ED7BE">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6.4</w:t>
            </w:r>
            <w:r>
              <w:rPr>
                <w:rFonts w:hint="eastAsia" w:ascii="宋体" w:hAnsi="宋体" w:eastAsia="宋体" w:cs="宋体"/>
                <w:color w:val="auto"/>
                <w:sz w:val="24"/>
                <w:szCs w:val="24"/>
                <w:highlight w:val="none"/>
                <w:lang w:val="en-US" w:eastAsia="zh-CN"/>
              </w:rPr>
              <w:t>项目安全服务人员</w:t>
            </w:r>
            <w:r>
              <w:rPr>
                <w:rFonts w:hint="eastAsia" w:ascii="宋体" w:hAnsi="宋体" w:cs="宋体"/>
                <w:color w:val="auto"/>
                <w:sz w:val="24"/>
                <w:szCs w:val="24"/>
                <w:highlight w:val="none"/>
                <w:lang w:val="en-US" w:eastAsia="zh-CN"/>
              </w:rPr>
              <w:t>具有注册信息安全工程（CISP-CISE）资质证书或</w:t>
            </w:r>
            <w:r>
              <w:rPr>
                <w:rFonts w:hint="eastAsia" w:ascii="宋体" w:hAnsi="宋体" w:cs="宋体"/>
                <w:color w:val="auto"/>
                <w:sz w:val="24"/>
                <w:szCs w:val="24"/>
                <w:highlight w:val="none"/>
                <w:lang w:eastAsia="zh-CN"/>
              </w:rPr>
              <w:t>注册</w:t>
            </w:r>
            <w:r>
              <w:rPr>
                <w:rFonts w:hint="eastAsia" w:ascii="宋体" w:hAnsi="宋体" w:cs="宋体"/>
                <w:color w:val="auto"/>
                <w:sz w:val="24"/>
                <w:szCs w:val="24"/>
                <w:highlight w:val="none"/>
                <w:lang w:val="en-US" w:eastAsia="zh-CN"/>
              </w:rPr>
              <w:t>渗透测试工程师</w:t>
            </w:r>
            <w:r>
              <w:rPr>
                <w:rFonts w:hint="eastAsia" w:ascii="宋体" w:hAnsi="宋体" w:cs="宋体"/>
                <w:color w:val="auto"/>
                <w:sz w:val="24"/>
                <w:szCs w:val="24"/>
                <w:highlight w:val="none"/>
                <w:lang w:eastAsia="zh-CN"/>
              </w:rPr>
              <w:t>（CISP</w:t>
            </w:r>
            <w:r>
              <w:rPr>
                <w:rFonts w:hint="eastAsia" w:ascii="宋体" w:hAnsi="宋体" w:cs="宋体"/>
                <w:color w:val="auto"/>
                <w:sz w:val="24"/>
                <w:szCs w:val="24"/>
                <w:highlight w:val="none"/>
                <w:lang w:val="en-US" w:eastAsia="zh-CN"/>
              </w:rPr>
              <w:t>-PTE</w:t>
            </w:r>
            <w:r>
              <w:rPr>
                <w:rFonts w:hint="eastAsia" w:ascii="宋体" w:hAnsi="宋体" w:cs="宋体"/>
                <w:color w:val="auto"/>
                <w:sz w:val="24"/>
                <w:szCs w:val="24"/>
                <w:highlight w:val="none"/>
                <w:lang w:eastAsia="zh-CN"/>
              </w:rPr>
              <w:t>）资质证书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，每提供1个证书得0.5分，最多得3分。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一人多证不计分</w:t>
            </w:r>
            <w:r>
              <w:rPr>
                <w:rFonts w:hint="eastAsia" w:ascii="宋体" w:hAnsi="宋体" w:eastAsia="宋体" w:cs="宋体"/>
                <w:b/>
                <w:bCs/>
                <w:color w:val="auto"/>
                <w:sz w:val="24"/>
                <w:szCs w:val="24"/>
                <w:highlight w:val="none"/>
                <w:lang w:val="en-US" w:eastAsia="zh-CN"/>
              </w:rPr>
              <w:t>）</w:t>
            </w:r>
          </w:p>
          <w:p w14:paraId="54AB9540">
            <w:pPr>
              <w:pStyle w:val="9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firstLine="0" w:firstLineChars="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kern w:val="0"/>
                <w:sz w:val="24"/>
                <w:szCs w:val="24"/>
                <w:highlight w:val="none"/>
                <w:lang w:eastAsia="zh-TW"/>
              </w:rPr>
              <w:t>注：标书中需提供相关证书及社保部门出具</w:t>
            </w:r>
            <w:r>
              <w:rPr>
                <w:rFonts w:hint="eastAsia" w:ascii="宋体" w:hAnsi="宋体" w:cs="宋体"/>
                <w:b/>
                <w:bCs/>
                <w:color w:val="auto"/>
                <w:kern w:val="0"/>
                <w:sz w:val="24"/>
                <w:szCs w:val="24"/>
                <w:highlight w:val="none"/>
                <w:lang w:val="en-US" w:eastAsia="zh-CN"/>
              </w:rPr>
              <w:t>近</w:t>
            </w:r>
            <w:r>
              <w:rPr>
                <w:rFonts w:hint="eastAsia" w:ascii="宋体" w:hAnsi="宋体" w:eastAsia="宋体" w:cs="宋体"/>
                <w:b/>
                <w:bCs/>
                <w:color w:val="auto"/>
                <w:kern w:val="0"/>
                <w:sz w:val="24"/>
                <w:szCs w:val="24"/>
                <w:highlight w:val="none"/>
                <w:lang w:eastAsia="zh-TW"/>
              </w:rPr>
              <w:t>3个月的</w:t>
            </w:r>
            <w:r>
              <w:rPr>
                <w:rFonts w:hint="eastAsia" w:ascii="宋体" w:hAnsi="宋体" w:cs="宋体"/>
                <w:b/>
                <w:bCs/>
                <w:color w:val="auto"/>
                <w:kern w:val="0"/>
                <w:sz w:val="24"/>
                <w:szCs w:val="24"/>
                <w:highlight w:val="none"/>
                <w:lang w:val="en-US" w:eastAsia="zh-CN"/>
              </w:rPr>
              <w:t>社保证明</w:t>
            </w:r>
            <w:r>
              <w:rPr>
                <w:rFonts w:hint="eastAsia" w:ascii="宋体" w:hAnsi="宋体" w:eastAsia="宋体" w:cs="宋体"/>
                <w:b/>
                <w:bCs/>
                <w:color w:val="auto"/>
                <w:kern w:val="0"/>
                <w:sz w:val="24"/>
                <w:szCs w:val="24"/>
                <w:highlight w:val="none"/>
                <w:lang w:eastAsia="zh-TW"/>
              </w:rPr>
              <w:t>，上述材料未提供或提供不完整的不得分。</w:t>
            </w:r>
          </w:p>
        </w:tc>
        <w:tc>
          <w:tcPr>
            <w:tcW w:w="396" w:type="pct"/>
            <w:tcBorders>
              <w:left w:val="single" w:color="auto" w:sz="4" w:space="0"/>
            </w:tcBorders>
            <w:noWrap w:val="0"/>
            <w:vAlign w:val="center"/>
          </w:tcPr>
          <w:p w14:paraId="62C274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360" w:type="pct"/>
            <w:vMerge w:val="continue"/>
            <w:tcBorders>
              <w:left w:val="single" w:color="auto" w:sz="4" w:space="0"/>
            </w:tcBorders>
            <w:noWrap w:val="0"/>
            <w:vAlign w:val="center"/>
          </w:tcPr>
          <w:p w14:paraId="3A5078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p>
        </w:tc>
      </w:tr>
      <w:tr w14:paraId="5DF7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55" w:type="pct"/>
            <w:tcBorders>
              <w:left w:val="single" w:color="auto" w:sz="4" w:space="0"/>
              <w:right w:val="single" w:color="auto" w:sz="4" w:space="0"/>
            </w:tcBorders>
            <w:noWrap w:val="0"/>
            <w:vAlign w:val="center"/>
          </w:tcPr>
          <w:p w14:paraId="4FD971C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29" w:type="pct"/>
            <w:tcBorders>
              <w:left w:val="single" w:color="auto" w:sz="4" w:space="0"/>
              <w:right w:val="single" w:color="auto" w:sz="4" w:space="0"/>
            </w:tcBorders>
            <w:noWrap w:val="0"/>
            <w:vAlign w:val="center"/>
          </w:tcPr>
          <w:p w14:paraId="3C619FFF">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20" w:lineRule="atLeas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14:paraId="1393388F">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258" w:type="pct"/>
            <w:tcBorders>
              <w:top w:val="single" w:color="auto" w:sz="4" w:space="0"/>
              <w:left w:val="single" w:color="auto" w:sz="4" w:space="0"/>
              <w:bottom w:val="single" w:color="auto" w:sz="4" w:space="0"/>
              <w:right w:val="single" w:color="auto" w:sz="4" w:space="0"/>
            </w:tcBorders>
            <w:noWrap w:val="0"/>
            <w:vAlign w:val="center"/>
          </w:tcPr>
          <w:p w14:paraId="389F9BA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bottom"/>
              <w:rPr>
                <w:rFonts w:hint="eastAsia" w:ascii="宋体" w:hAnsi="宋体" w:eastAsia="宋体" w:cs="宋体"/>
                <w:b w:val="0"/>
                <w:bCs w:val="0"/>
                <w:color w:val="auto"/>
                <w:sz w:val="24"/>
                <w:szCs w:val="24"/>
                <w:highlight w:val="none"/>
                <w:lang w:val="en-US" w:eastAsia="zh-CN"/>
              </w:rPr>
            </w:pPr>
            <w:r>
              <w:rPr>
                <w:rFonts w:hint="eastAsia" w:cs="宋体"/>
                <w:color w:val="auto"/>
                <w:sz w:val="24"/>
                <w:szCs w:val="24"/>
                <w:highlight w:val="none"/>
                <w:lang w:val="en-US" w:eastAsia="zh-CN"/>
              </w:rPr>
              <w:t>根据投标人</w:t>
            </w:r>
            <w:r>
              <w:rPr>
                <w:rFonts w:hint="eastAsia" w:ascii="宋体" w:hAnsi="宋体" w:eastAsia="宋体" w:cs="宋体"/>
                <w:color w:val="auto"/>
                <w:sz w:val="24"/>
                <w:szCs w:val="24"/>
                <w:highlight w:val="none"/>
              </w:rPr>
              <w:t>提供的售后维护机构和人员等情况，具有较强的服务能力，拥有常驻服务和技术支持机构以及较强的专业技术队伍，能提供快速的服务响应</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396" w:type="pct"/>
            <w:tcBorders>
              <w:left w:val="single" w:color="auto" w:sz="4" w:space="0"/>
            </w:tcBorders>
            <w:noWrap w:val="0"/>
            <w:vAlign w:val="center"/>
          </w:tcPr>
          <w:p w14:paraId="7E58F9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atLeas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0-3分</w:t>
            </w:r>
          </w:p>
        </w:tc>
        <w:tc>
          <w:tcPr>
            <w:tcW w:w="360" w:type="pct"/>
            <w:tcBorders>
              <w:left w:val="single" w:color="auto" w:sz="4" w:space="0"/>
            </w:tcBorders>
            <w:noWrap w:val="0"/>
            <w:vAlign w:val="center"/>
          </w:tcPr>
          <w:p w14:paraId="6807BC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1F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5"/>
            <w:tcBorders>
              <w:top w:val="single" w:color="auto" w:sz="4" w:space="0"/>
              <w:left w:val="single" w:color="auto" w:sz="4" w:space="0"/>
              <w:bottom w:val="single" w:color="auto" w:sz="4" w:space="0"/>
            </w:tcBorders>
            <w:noWrap w:val="0"/>
            <w:vAlign w:val="center"/>
          </w:tcPr>
          <w:p w14:paraId="2E2E923A">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0"/>
                <w:highlight w:val="none"/>
                <w:lang w:eastAsia="zh-CN"/>
              </w:rPr>
              <w:t>二、价格分（</w:t>
            </w:r>
            <w:r>
              <w:rPr>
                <w:rFonts w:hint="eastAsia" w:ascii="宋体" w:hAnsi="宋体" w:eastAsia="宋体" w:cs="宋体"/>
                <w:b/>
                <w:bCs/>
                <w:color w:val="auto"/>
                <w:sz w:val="24"/>
                <w:szCs w:val="20"/>
                <w:highlight w:val="none"/>
                <w:lang w:val="en-US" w:eastAsia="zh-CN"/>
              </w:rPr>
              <w:t>10</w:t>
            </w:r>
            <w:r>
              <w:rPr>
                <w:rFonts w:hint="eastAsia" w:ascii="宋体" w:hAnsi="宋体" w:eastAsia="宋体" w:cs="宋体"/>
                <w:b/>
                <w:bCs/>
                <w:color w:val="auto"/>
                <w:sz w:val="24"/>
                <w:szCs w:val="20"/>
                <w:highlight w:val="none"/>
                <w:lang w:eastAsia="zh-CN"/>
              </w:rPr>
              <w:t>分）</w:t>
            </w:r>
          </w:p>
        </w:tc>
      </w:tr>
      <w:tr w14:paraId="3C1D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000" w:type="pct"/>
            <w:gridSpan w:val="5"/>
            <w:tcBorders>
              <w:top w:val="single" w:color="auto" w:sz="4" w:space="0"/>
              <w:left w:val="single" w:color="auto" w:sz="4" w:space="0"/>
              <w:bottom w:val="single" w:color="auto" w:sz="4" w:space="0"/>
            </w:tcBorders>
            <w:noWrap w:val="0"/>
            <w:vAlign w:val="center"/>
          </w:tcPr>
          <w:p w14:paraId="1B4E92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40" w:firstLineChars="1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价格评分采用低价优先法计算，在有效报价中，满足</w:t>
            </w:r>
            <w:r>
              <w:rPr>
                <w:rFonts w:hint="eastAsia" w:ascii="宋体" w:hAnsi="宋体" w:eastAsia="宋体" w:cs="宋体"/>
                <w:color w:val="auto"/>
                <w:sz w:val="24"/>
                <w:szCs w:val="20"/>
                <w:highlight w:val="none"/>
                <w:lang w:val="en-US" w:eastAsia="zh-CN"/>
              </w:rPr>
              <w:t>采购</w:t>
            </w:r>
            <w:r>
              <w:rPr>
                <w:rFonts w:hint="eastAsia" w:ascii="宋体" w:hAnsi="宋体" w:eastAsia="宋体" w:cs="宋体"/>
                <w:color w:val="auto"/>
                <w:sz w:val="24"/>
                <w:szCs w:val="20"/>
                <w:highlight w:val="none"/>
                <w:lang w:val="en-US" w:eastAsia="zh-CN"/>
              </w:rPr>
              <w:t>文件要求且投标</w:t>
            </w:r>
            <w:r>
              <w:rPr>
                <w:rFonts w:hint="eastAsia" w:ascii="宋体" w:hAnsi="宋体" w:eastAsia="宋体" w:cs="宋体"/>
                <w:color w:val="auto"/>
                <w:sz w:val="24"/>
                <w:szCs w:val="20"/>
                <w:highlight w:val="none"/>
                <w:lang w:val="en-US" w:eastAsia="zh-CN"/>
              </w:rPr>
              <w:t>报价</w:t>
            </w:r>
            <w:r>
              <w:rPr>
                <w:rFonts w:hint="eastAsia" w:ascii="宋体" w:hAnsi="宋体" w:eastAsia="宋体" w:cs="宋体"/>
                <w:color w:val="auto"/>
                <w:sz w:val="24"/>
                <w:szCs w:val="20"/>
                <w:highlight w:val="none"/>
                <w:lang w:val="en-US" w:eastAsia="zh-CN"/>
              </w:rPr>
              <w:t>最低的投标报价为评标基准价，其价格分为满分10分。其他供应商的价格分统一按照下列公式计算：</w:t>
            </w:r>
          </w:p>
          <w:p w14:paraId="44C22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0"/>
                <w:highlight w:val="none"/>
                <w:lang w:val="en-US" w:eastAsia="zh-CN"/>
              </w:rPr>
              <w:t>投标报价得分=（评标基准价/投标报价）×10%×100。</w:t>
            </w:r>
          </w:p>
        </w:tc>
      </w:tr>
      <w:tr w14:paraId="4A8F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5"/>
            <w:tcBorders>
              <w:top w:val="single" w:color="auto" w:sz="4" w:space="0"/>
              <w:left w:val="single" w:color="auto" w:sz="4" w:space="0"/>
              <w:bottom w:val="single" w:color="auto" w:sz="4" w:space="0"/>
            </w:tcBorders>
            <w:noWrap w:val="0"/>
            <w:vAlign w:val="center"/>
          </w:tcPr>
          <w:p w14:paraId="5350C156">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firstLine="240" w:firstLineChars="10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b/>
                <w:bCs/>
                <w:color w:val="auto"/>
                <w:sz w:val="24"/>
                <w:szCs w:val="20"/>
                <w:highlight w:val="none"/>
                <w:lang w:eastAsia="zh-CN"/>
              </w:rPr>
              <w:t>、最终得分（</w:t>
            </w:r>
            <w:r>
              <w:rPr>
                <w:rFonts w:hint="eastAsia" w:ascii="宋体" w:hAnsi="宋体" w:eastAsia="宋体" w:cs="宋体"/>
                <w:b/>
                <w:bCs/>
                <w:color w:val="auto"/>
                <w:sz w:val="24"/>
                <w:szCs w:val="20"/>
                <w:highlight w:val="none"/>
                <w:lang w:val="en-US" w:eastAsia="zh-CN"/>
              </w:rPr>
              <w:t>100</w:t>
            </w:r>
            <w:r>
              <w:rPr>
                <w:rFonts w:hint="eastAsia" w:ascii="宋体" w:hAnsi="宋体" w:eastAsia="宋体" w:cs="宋体"/>
                <w:b/>
                <w:bCs/>
                <w:color w:val="auto"/>
                <w:sz w:val="24"/>
                <w:szCs w:val="20"/>
                <w:highlight w:val="none"/>
                <w:lang w:eastAsia="zh-CN"/>
              </w:rPr>
              <w:t>分）</w:t>
            </w:r>
          </w:p>
        </w:tc>
      </w:tr>
      <w:tr w14:paraId="7F90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00" w:type="pct"/>
            <w:gridSpan w:val="5"/>
            <w:tcBorders>
              <w:top w:val="single" w:color="auto" w:sz="4" w:space="0"/>
              <w:left w:val="single" w:color="auto" w:sz="4" w:space="0"/>
              <w:bottom w:val="single" w:color="auto" w:sz="4" w:space="0"/>
            </w:tcBorders>
            <w:noWrap w:val="0"/>
            <w:vAlign w:val="center"/>
          </w:tcPr>
          <w:p w14:paraId="039369AC">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right="0" w:firstLine="240" w:firstLineChars="100"/>
              <w:jc w:val="both"/>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投标人最终得分=技术商务标得分+报价得分，满分为100分。</w:t>
            </w:r>
          </w:p>
        </w:tc>
      </w:tr>
    </w:tbl>
    <w:p w14:paraId="71082ED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一、评标方法</w:t>
      </w:r>
    </w:p>
    <w:p w14:paraId="2A4A6325">
      <w:pPr>
        <w:keepNext w:val="0"/>
        <w:keepLines w:val="0"/>
        <w:pageBreakBefore w:val="0"/>
        <w:widowControl w:val="0"/>
        <w:kinsoku/>
        <w:wordWrap/>
        <w:overflowPunct/>
        <w:topLinePunct w:val="0"/>
        <w:autoSpaceDE/>
        <w:autoSpaceDN/>
        <w:bidi w:val="0"/>
        <w:spacing w:line="440" w:lineRule="exact"/>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本项目采用综合评分法。</w:t>
      </w:r>
      <w:r>
        <w:rPr>
          <w:rFonts w:hint="eastAsia" w:ascii="宋体" w:hAnsi="宋体" w:eastAsia="宋体" w:cs="宋体"/>
          <w:color w:val="auto"/>
          <w:kern w:val="0"/>
          <w:sz w:val="24"/>
          <w:szCs w:val="24"/>
          <w:highlight w:val="none"/>
        </w:rPr>
        <w:t>综合评分法</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是指投标文件满足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全部实质性要求，且按照评审因素的量化指标评审得分最高的投标人为中标候选人的评标方法。</w:t>
      </w:r>
    </w:p>
    <w:p w14:paraId="1D8D534B">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1"/>
        <w:rPr>
          <w:rFonts w:hint="eastAsia" w:ascii="宋体" w:hAnsi="宋体" w:eastAsia="宋体" w:cs="宋体"/>
          <w:b/>
          <w:color w:val="auto"/>
          <w:sz w:val="28"/>
          <w:szCs w:val="28"/>
          <w:highlight w:val="none"/>
        </w:rPr>
      </w:pPr>
      <w:bookmarkStart w:id="19" w:name="_Toc23250"/>
      <w:bookmarkStart w:id="20" w:name="_Toc22739"/>
      <w:bookmarkStart w:id="21" w:name="_Toc27046"/>
      <w:bookmarkStart w:id="22" w:name="_Toc22601"/>
      <w:bookmarkStart w:id="23" w:name="_Toc8152"/>
      <w:r>
        <w:rPr>
          <w:rFonts w:hint="eastAsia" w:ascii="宋体" w:hAnsi="宋体" w:eastAsia="宋体" w:cs="宋体"/>
          <w:b/>
          <w:color w:val="auto"/>
          <w:sz w:val="28"/>
          <w:szCs w:val="28"/>
          <w:highlight w:val="none"/>
        </w:rPr>
        <w:t>二、评标组织</w:t>
      </w:r>
      <w:bookmarkEnd w:id="19"/>
      <w:bookmarkEnd w:id="20"/>
      <w:bookmarkEnd w:id="21"/>
      <w:bookmarkEnd w:id="22"/>
      <w:bookmarkEnd w:id="23"/>
    </w:p>
    <w:p w14:paraId="39FF29F9">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工作由招标采购人负责组织，依法组建由奇数的人员组成的评标委员会，负责对投标文件进行审查、质询、评审等。评标委员会由采购人代表和评审专家组成，成员人数为5人或以上单数，其中评审专家不得少于成员总数的三分之二。</w:t>
      </w:r>
      <w:bookmarkStart w:id="24" w:name="_Toc249760792"/>
      <w:bookmarkStart w:id="25" w:name="_Toc251566663"/>
    </w:p>
    <w:bookmarkEnd w:id="24"/>
    <w:bookmarkEnd w:id="25"/>
    <w:p w14:paraId="001BA471">
      <w:pPr>
        <w:keepNext w:val="0"/>
        <w:keepLines w:val="0"/>
        <w:pageBreakBefore w:val="0"/>
        <w:widowControl w:val="0"/>
        <w:kinsoku/>
        <w:wordWrap/>
        <w:overflowPunct/>
        <w:topLinePunct w:val="0"/>
        <w:autoSpaceDE/>
        <w:autoSpaceDN/>
        <w:bidi w:val="0"/>
        <w:spacing w:line="440" w:lineRule="exact"/>
        <w:textAlignment w:val="auto"/>
        <w:outlineLvl w:val="1"/>
        <w:rPr>
          <w:rFonts w:hint="eastAsia"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、评标标准</w:t>
      </w:r>
    </w:p>
    <w:p w14:paraId="61402B6B">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457D468A">
      <w:pPr>
        <w:keepNext w:val="0"/>
        <w:keepLines w:val="0"/>
        <w:pageBreakBefore w:val="0"/>
        <w:widowControl w:val="0"/>
        <w:kinsoku/>
        <w:wordWrap/>
        <w:overflowPunct/>
        <w:topLinePunct w:val="0"/>
        <w:autoSpaceDE/>
        <w:autoSpaceDN/>
        <w:bidi w:val="0"/>
        <w:adjustRightInd w:val="0"/>
        <w:spacing w:line="440" w:lineRule="exac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、评标程序</w:t>
      </w:r>
    </w:p>
    <w:p w14:paraId="1B577EBB">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.1 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的实质性要求。不满足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的实质性要求的，投标无效</w:t>
      </w:r>
      <w:r>
        <w:rPr>
          <w:rFonts w:hint="eastAsia" w:ascii="宋体" w:hAnsi="宋体" w:eastAsia="宋体" w:cs="宋体"/>
          <w:color w:val="auto"/>
          <w:kern w:val="0"/>
          <w:sz w:val="24"/>
          <w:szCs w:val="24"/>
          <w:highlight w:val="none"/>
          <w:lang w:eastAsia="zh-CN"/>
        </w:rPr>
        <w:t>，具体详见“</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.2投标无效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4354A3E">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.2 比较与评价。</w:t>
      </w:r>
      <w:r>
        <w:rPr>
          <w:rFonts w:hint="eastAsia" w:ascii="宋体" w:hAnsi="宋体" w:eastAsia="宋体" w:cs="宋体"/>
          <w:color w:val="auto"/>
          <w:kern w:val="0"/>
          <w:sz w:val="24"/>
          <w:szCs w:val="24"/>
          <w:highlight w:val="none"/>
        </w:rPr>
        <w:t>评标委员会应当按照</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中规定的评标方法和标准，对符合性审查合格的投标文件进行商务和技术评估，综合比较与评价。</w:t>
      </w:r>
      <w:r>
        <w:rPr>
          <w:rFonts w:hint="eastAsia" w:ascii="宋体" w:hAnsi="宋体" w:eastAsia="宋体" w:cs="宋体"/>
          <w:color w:val="auto"/>
          <w:kern w:val="0"/>
          <w:sz w:val="24"/>
          <w:szCs w:val="24"/>
          <w:highlight w:val="none"/>
          <w:lang w:val="en-US" w:eastAsia="zh-CN"/>
        </w:rPr>
        <w:t>不满足采购文件的实质性要求的，投标无效，具体详见“5.2投标无效”。</w:t>
      </w:r>
    </w:p>
    <w:p w14:paraId="7FCD8E6B">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.3 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评标委员会各成员应当独立对每个投标人的商务和技术文件进行评价，汇总各评委打分的算术平均值（小数点后保留二位数），并汇总商务技术得分情况。</w:t>
      </w:r>
      <w:r>
        <w:rPr>
          <w:rFonts w:hint="eastAsia" w:ascii="宋体" w:hAnsi="宋体" w:eastAsia="宋体" w:cs="宋体"/>
          <w:color w:val="auto"/>
          <w:kern w:val="0"/>
          <w:sz w:val="24"/>
          <w:szCs w:val="24"/>
          <w:highlight w:val="none"/>
        </w:rPr>
        <w:t>在统计得分时，如发现某一单项评分超过评分细则规定的分值范围，则该张评分表无效。</w:t>
      </w:r>
    </w:p>
    <w:p w14:paraId="752FBE6D">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.4 报价评审。</w:t>
      </w:r>
    </w:p>
    <w:p w14:paraId="7E213935">
      <w:pPr>
        <w:keepNext w:val="0"/>
        <w:keepLines w:val="0"/>
        <w:pageBreakBefore w:val="0"/>
        <w:widowControl w:val="0"/>
        <w:kinsoku/>
        <w:wordWrap/>
        <w:overflowPunct/>
        <w:topLinePunct w:val="0"/>
        <w:autoSpaceDE/>
        <w:autoSpaceDN/>
        <w:bidi w:val="0"/>
        <w:adjustRightInd w:val="0"/>
        <w:spacing w:line="440" w:lineRule="exact"/>
        <w:ind w:firstLine="511" w:firstLineChars="212"/>
        <w:textAlignment w:val="auto"/>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bCs/>
          <w:color w:val="auto"/>
          <w:kern w:val="0"/>
          <w:sz w:val="24"/>
          <w:highlight w:val="none"/>
        </w:rPr>
        <w:t>.4.1 投标文件报价出现前后不一致的，按照下列规定修正：</w:t>
      </w:r>
    </w:p>
    <w:p w14:paraId="5058C73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.4.1.1 投标文件中开标一览表(报价表)内容与投标文件中相应内容不一致的，以开标一览表(报价表)为准;</w:t>
      </w:r>
    </w:p>
    <w:p w14:paraId="48DD3F4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.4.1.2 大写金额和小写金额不一致的，以大写金额为准;</w:t>
      </w:r>
    </w:p>
    <w:p w14:paraId="3D27990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.4.1.3 单价金额小数点或者百分比有明显错位的，以开标一览表的总价为准，并修改单价;</w:t>
      </w:r>
    </w:p>
    <w:p w14:paraId="0244F1E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.4.1.4 总价金额与按单价汇总金额不一致的，以单价金额计算结果为准。</w:t>
      </w:r>
    </w:p>
    <w:p w14:paraId="14322C4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.4.1.5 同时出现两种以上不一致的，按照</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4.1规定的顺序修正。修正后的报价按照财政部第87号令 《政府采购货物和服务招标投标管理办法》第五十一条第二款的规定经投标人确认后产生约束力</w:t>
      </w:r>
      <w:r>
        <w:rPr>
          <w:rFonts w:hint="eastAsia" w:ascii="宋体" w:hAnsi="宋体" w:eastAsia="宋体" w:cs="宋体"/>
          <w:color w:val="auto"/>
          <w:kern w:val="0"/>
          <w:sz w:val="24"/>
          <w:szCs w:val="24"/>
          <w:highlight w:val="none"/>
        </w:rPr>
        <w:t>。</w:t>
      </w:r>
    </w:p>
    <w:p w14:paraId="744AF0D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E38F39">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.5 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w:t>
      </w:r>
      <w:r>
        <w:rPr>
          <w:rFonts w:hint="eastAsia" w:ascii="宋体" w:hAnsi="宋体" w:eastAsia="宋体" w:cs="宋体"/>
          <w:color w:val="auto"/>
          <w:kern w:val="0"/>
          <w:sz w:val="24"/>
          <w:szCs w:val="24"/>
          <w:highlight w:val="none"/>
        </w:rPr>
        <w:t>价均相同的，以抽签决定排列先后</w:t>
      </w:r>
      <w:r>
        <w:rPr>
          <w:rFonts w:hint="eastAsia" w:ascii="宋体" w:hAnsi="宋体" w:eastAsia="宋体" w:cs="宋体"/>
          <w:color w:val="auto"/>
          <w:kern w:val="0"/>
          <w:sz w:val="24"/>
          <w:szCs w:val="24"/>
          <w:highlight w:val="none"/>
        </w:rPr>
        <w:t>。投标文件满足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w:t>
      </w:r>
    </w:p>
    <w:p w14:paraId="0A36329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F499CF">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.6 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w:t>
      </w:r>
      <w:r>
        <w:rPr>
          <w:rFonts w:hint="eastAsia" w:ascii="宋体" w:hAnsi="宋体" w:eastAsia="宋体" w:cs="宋体"/>
          <w:color w:val="auto"/>
          <w:sz w:val="24"/>
          <w:szCs w:val="24"/>
          <w:highlight w:val="none"/>
          <w:lang w:eastAsia="zh-CN"/>
        </w:rPr>
        <w:t>并签字确认。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A6745B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评标报告是评标委员会根据全体评标成员签字的原始评标记录和评标结果编写的报告，其主要内容包括：</w:t>
      </w:r>
    </w:p>
    <w:p w14:paraId="075E559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（1）采购公告刊登的媒体名称、开标日期和地点；</w:t>
      </w:r>
    </w:p>
    <w:p w14:paraId="1F6FD33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（2）购买采购文件的投标人名单和评标委员会成员名单；</w:t>
      </w:r>
    </w:p>
    <w:p w14:paraId="05AE7ECE">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（3）评标方法和标准；</w:t>
      </w:r>
    </w:p>
    <w:p w14:paraId="5E40C37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（4）开标记录和评标情况及说明，包括投标无效投标人名单及原因；</w:t>
      </w:r>
    </w:p>
    <w:p w14:paraId="4A850CC5">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（5）评标结果和中标候选人排序。</w:t>
      </w:r>
    </w:p>
    <w:p w14:paraId="6FFDA2A9">
      <w:pPr>
        <w:keepNext w:val="0"/>
        <w:keepLines w:val="0"/>
        <w:pageBreakBefore w:val="0"/>
        <w:widowControl w:val="0"/>
        <w:kinsoku/>
        <w:wordWrap/>
        <w:overflowPunct/>
        <w:topLinePunct w:val="0"/>
        <w:autoSpaceDE/>
        <w:autoSpaceDN/>
        <w:bidi w:val="0"/>
        <w:adjustRightInd w:val="0"/>
        <w:spacing w:line="440" w:lineRule="exac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、评标中的其他事项</w:t>
      </w:r>
    </w:p>
    <w:p w14:paraId="22B7A022">
      <w:pPr>
        <w:pageBreakBefore w:val="0"/>
        <w:kinsoku/>
        <w:wordWrap/>
        <w:overflowPunct/>
        <w:topLinePunct w:val="0"/>
        <w:bidi w:val="0"/>
        <w:adjustRightInd w:val="0"/>
        <w:snapToGrid w:val="0"/>
        <w:spacing w:line="44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.1 投标人澄清、说明或者补正。</w:t>
      </w:r>
      <w:r>
        <w:rPr>
          <w:rFonts w:hint="eastAsia" w:ascii="宋体" w:hAnsi="宋体" w:eastAsia="宋体" w:cs="宋体"/>
          <w:color w:val="auto"/>
          <w:sz w:val="24"/>
          <w:szCs w:val="24"/>
          <w:highlight w:val="none"/>
          <w:lang w:eastAsia="zh-CN"/>
        </w:rPr>
        <w:t>在评标期间，对</w:t>
      </w:r>
      <w:r>
        <w:rPr>
          <w:rFonts w:hint="eastAsia" w:ascii="宋体" w:hAnsi="宋体" w:eastAsia="宋体" w:cs="宋体"/>
          <w:color w:val="auto"/>
          <w:kern w:val="0"/>
          <w:sz w:val="24"/>
          <w:szCs w:val="24"/>
          <w:highlight w:val="none"/>
        </w:rPr>
        <w:t>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w:t>
      </w:r>
      <w:r>
        <w:rPr>
          <w:rFonts w:hint="eastAsia" w:ascii="宋体" w:hAnsi="宋体" w:eastAsia="宋体" w:cs="宋体"/>
          <w:color w:val="auto"/>
          <w:sz w:val="24"/>
          <w:szCs w:val="24"/>
          <w:highlight w:val="none"/>
          <w:lang w:val="en-US" w:eastAsia="zh-CN"/>
        </w:rPr>
        <w:t>30分钟</w:t>
      </w:r>
      <w:r>
        <w:rPr>
          <w:rFonts w:hint="eastAsia" w:ascii="宋体" w:hAnsi="宋体" w:eastAsia="宋体" w:cs="宋体"/>
          <w:color w:val="auto"/>
          <w:kern w:val="0"/>
          <w:sz w:val="24"/>
          <w:szCs w:val="24"/>
          <w:highlight w:val="none"/>
        </w:rPr>
        <w:t>，投标人已经明确表示澄清说明或补正完毕的除外。</w:t>
      </w:r>
      <w:r>
        <w:rPr>
          <w:rFonts w:hint="eastAsia" w:ascii="宋体" w:hAnsi="宋体" w:eastAsia="宋体" w:cs="宋体"/>
          <w:color w:val="auto"/>
          <w:sz w:val="24"/>
          <w:szCs w:val="24"/>
          <w:highlight w:val="none"/>
          <w:lang w:eastAsia="zh-CN"/>
        </w:rPr>
        <w:t>逾期答复的，投标人自行承担由此可能导致的对其不利的评审结果，评标委员会按少数服从多数原则对相关内容进行评判。投标人未按采购文件要求派代表参加电子开标会议的，视同认可开标结果，事后不得对开标过程及开标结果提出质疑。</w:t>
      </w:r>
      <w:r>
        <w:rPr>
          <w:rFonts w:hint="eastAsia" w:ascii="宋体" w:hAnsi="宋体" w:eastAsia="宋体" w:cs="宋体"/>
          <w:color w:val="auto"/>
          <w:kern w:val="0"/>
          <w:sz w:val="24"/>
          <w:szCs w:val="24"/>
          <w:highlight w:val="none"/>
        </w:rPr>
        <w:t>投标人的澄清、说明或者补正不得超出投标文件的范围或者改变投标文件的实质性内容。</w:t>
      </w:r>
    </w:p>
    <w:p w14:paraId="6A13FDE8">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sz w:val="24"/>
          <w:szCs w:val="21"/>
          <w:highlight w:val="none"/>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.2投标无效。</w:t>
      </w:r>
      <w:r>
        <w:rPr>
          <w:rFonts w:hint="eastAsia" w:ascii="宋体" w:hAnsi="宋体" w:eastAsia="宋体" w:cs="宋体"/>
          <w:color w:val="auto"/>
          <w:sz w:val="24"/>
          <w:szCs w:val="21"/>
          <w:highlight w:val="none"/>
        </w:rPr>
        <w:t>有下列情况之一的，投标无效：</w:t>
      </w:r>
    </w:p>
    <w:p w14:paraId="571A3843">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kern w:val="0"/>
          <w:sz w:val="24"/>
          <w:szCs w:val="24"/>
          <w:highlight w:val="none"/>
        </w:rPr>
        <w:t>投标人不具备</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中规定的资格要求的（投标人未提供有效的资格文件的，视为投标人不具备</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中规定的资格要求）；</w:t>
      </w:r>
    </w:p>
    <w:p w14:paraId="196156B3">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kern w:val="0"/>
          <w:sz w:val="24"/>
          <w:szCs w:val="24"/>
          <w:highlight w:val="none"/>
        </w:rPr>
        <w:t>投标文件未按照</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要求签署、盖章的；</w:t>
      </w:r>
    </w:p>
    <w:p w14:paraId="240BF155">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投标文件中法定代表人授权书所载内容与本项目内容有异的或者法定代表人授权书未按照采购文件要求签署、盖章的；</w:t>
      </w:r>
    </w:p>
    <w:p w14:paraId="53C462F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投标文件的实质性内容未使用中文表述、意思表述不明确、前后矛盾或者使用计量单位不符合招标文件要求的（经评标委员会认定并允许其当场更正的笔误除外）；</w:t>
      </w:r>
    </w:p>
    <w:p w14:paraId="061F7C0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服务期、售后服务期等商务条款不能满足招标文件要求的；</w:t>
      </w:r>
    </w:p>
    <w:p w14:paraId="50C6BDE7">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0"/>
          <w:sz w:val="24"/>
          <w:szCs w:val="24"/>
          <w:highlight w:val="none"/>
        </w:rPr>
        <w:t>投标文件中承诺的投标有效期少于</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中载明的投标有效期的；</w:t>
      </w:r>
    </w:p>
    <w:p w14:paraId="3D03B746">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color w:val="auto"/>
          <w:kern w:val="0"/>
          <w:sz w:val="24"/>
          <w:szCs w:val="24"/>
          <w:highlight w:val="none"/>
        </w:rPr>
        <w:t>采购人拟采购的产品属于政府强制采购的节能产品品目清单范围的，投标人未按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要求提供国家确定的认证机构出具的、处于有效期之内的节能产品认证证书的；</w:t>
      </w:r>
    </w:p>
    <w:p w14:paraId="14AABB0F">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color w:val="auto"/>
          <w:kern w:val="0"/>
          <w:sz w:val="24"/>
          <w:szCs w:val="24"/>
          <w:highlight w:val="none"/>
        </w:rPr>
        <w:t>投标文件含有采购人不能接受的附加条件的；</w:t>
      </w:r>
    </w:p>
    <w:p w14:paraId="37BAE1F4">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color w:val="auto"/>
          <w:sz w:val="24"/>
          <w:szCs w:val="24"/>
          <w:highlight w:val="none"/>
          <w:lang w:eastAsia="zh-CN"/>
        </w:rPr>
        <w:t>在技术商务标中出现投标报价的；</w:t>
      </w:r>
    </w:p>
    <w:p w14:paraId="1722D39F">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eastAsia="zh-CN"/>
        </w:rPr>
        <w:t>明显不符合招标文件要求的服务，或者与招标文件中标“▲”的技术指标、主要功能项目发生实质性偏离的；</w:t>
      </w:r>
    </w:p>
    <w:p w14:paraId="781BDDCC">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color w:val="auto"/>
          <w:sz w:val="24"/>
          <w:szCs w:val="24"/>
          <w:highlight w:val="none"/>
          <w:lang w:eastAsia="zh-CN"/>
        </w:rPr>
        <w:t>允许偏离的技术、性能指标或者辅助功能项目发生负偏离，评委认为偏离整个项目所要达到的主要功能需求的；</w:t>
      </w:r>
    </w:p>
    <w:p w14:paraId="655470CC">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color w:val="auto"/>
          <w:sz w:val="24"/>
          <w:szCs w:val="24"/>
          <w:highlight w:val="none"/>
          <w:lang w:eastAsia="zh-CN"/>
        </w:rPr>
        <w:t>投标技术方案不明确，存在一个或一个以上备选（替代）投标方案的；</w:t>
      </w:r>
    </w:p>
    <w:p w14:paraId="2187CFC9">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kern w:val="0"/>
          <w:sz w:val="24"/>
          <w:szCs w:val="24"/>
          <w:highlight w:val="none"/>
        </w:rPr>
        <w:t xml:space="preserve">投标文件出现不是唯一的、有选择性投标报价的; </w:t>
      </w:r>
    </w:p>
    <w:p w14:paraId="74671414">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color w:val="auto"/>
          <w:kern w:val="0"/>
          <w:sz w:val="24"/>
          <w:szCs w:val="24"/>
          <w:highlight w:val="none"/>
        </w:rPr>
        <w:t>投标报价超过</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中规定的预算金额或者最高限价的;</w:t>
      </w:r>
    </w:p>
    <w:p w14:paraId="5C131868">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投标人的报价明显低于其他通过符合性审查投标人的报价，有可能影响服务质量或者不能诚信履约，且未能按评标委员会要求在合理的时间内提供书面说明及相关证明材料以证明其报价合理性的；</w:t>
      </w:r>
    </w:p>
    <w:p w14:paraId="457A6474">
      <w:pPr>
        <w:keepNext w:val="0"/>
        <w:keepLines w:val="0"/>
        <w:pageBreakBefore w:val="0"/>
        <w:widowControl w:val="0"/>
        <w:kinsoku/>
        <w:wordWrap/>
        <w:overflowPunct/>
        <w:topLinePunct w:val="0"/>
        <w:autoSpaceDE/>
        <w:autoSpaceDN/>
        <w:bidi w:val="0"/>
        <w:adjustRightInd w:val="0"/>
        <w:spacing w:line="440" w:lineRule="exact"/>
        <w:ind w:firstLine="508" w:firstLineChars="212"/>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color w:val="auto"/>
          <w:kern w:val="0"/>
          <w:sz w:val="24"/>
          <w:highlight w:val="none"/>
          <w:lang w:val="en-US" w:eastAsia="zh-CN"/>
        </w:rPr>
        <w:t>开标一览表投标报价为零的（包括投标文件中标明：免费或赠予）或其报价（大写）无法按正常书写方式进行报价唱标的或无投标报价的；</w:t>
      </w:r>
    </w:p>
    <w:p w14:paraId="21EE2431">
      <w:pPr>
        <w:keepNext w:val="0"/>
        <w:keepLines w:val="0"/>
        <w:pageBreakBefore w:val="0"/>
        <w:widowControl w:val="0"/>
        <w:kinsoku/>
        <w:wordWrap/>
        <w:overflowPunct/>
        <w:topLinePunct w:val="0"/>
        <w:autoSpaceDE/>
        <w:autoSpaceDN/>
        <w:bidi w:val="0"/>
        <w:adjustRightInd w:val="0"/>
        <w:spacing w:line="440" w:lineRule="exact"/>
        <w:ind w:firstLine="508" w:firstLineChars="212"/>
        <w:textAlignment w:val="auto"/>
        <w:rPr>
          <w:rFonts w:hint="eastAsia" w:ascii="宋体" w:hAnsi="宋体" w:eastAsia="宋体" w:cs="宋体"/>
          <w:color w:val="auto"/>
          <w:kern w:val="0"/>
          <w:sz w:val="24"/>
          <w:highlight w:val="none"/>
        </w:rPr>
      </w:pPr>
      <w:r>
        <w:rPr>
          <w:rFonts w:hint="eastAsia" w:ascii="宋体" w:hAnsi="宋体" w:eastAsia="宋体" w:cs="宋体"/>
          <w:b w:val="0"/>
          <w:bCs w:val="0"/>
          <w:color w:val="auto"/>
          <w:sz w:val="24"/>
          <w:szCs w:val="24"/>
          <w:highlight w:val="none"/>
          <w:lang w:val="en-US" w:eastAsia="zh-CN"/>
        </w:rPr>
        <w:t>（17）</w:t>
      </w:r>
      <w:r>
        <w:rPr>
          <w:rFonts w:hint="eastAsia" w:ascii="宋体" w:hAnsi="宋体" w:eastAsia="宋体" w:cs="宋体"/>
          <w:color w:val="auto"/>
          <w:kern w:val="0"/>
          <w:sz w:val="24"/>
          <w:highlight w:val="none"/>
        </w:rPr>
        <w:t>《开标一览表》填写不完整或字迹不能辨认或有漏项的；</w:t>
      </w:r>
    </w:p>
    <w:p w14:paraId="26C47D6E">
      <w:pPr>
        <w:pageBreakBefore w:val="0"/>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（18）</w:t>
      </w:r>
      <w:r>
        <w:rPr>
          <w:rFonts w:hint="eastAsia" w:ascii="宋体" w:hAnsi="宋体" w:eastAsia="宋体" w:cs="宋体"/>
          <w:color w:val="auto"/>
          <w:kern w:val="0"/>
          <w:sz w:val="24"/>
          <w:szCs w:val="24"/>
          <w:highlight w:val="none"/>
        </w:rPr>
        <w:t>投标人对根据修正原则修正后的报价不确认的；</w:t>
      </w:r>
    </w:p>
    <w:p w14:paraId="6438BC43">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（19）</w:t>
      </w:r>
      <w:r>
        <w:rPr>
          <w:rFonts w:hint="eastAsia" w:ascii="宋体" w:hAnsi="宋体" w:eastAsia="宋体" w:cs="宋体"/>
          <w:color w:val="auto"/>
          <w:kern w:val="0"/>
          <w:sz w:val="24"/>
          <w:szCs w:val="24"/>
          <w:highlight w:val="none"/>
        </w:rPr>
        <w:t>投标人提供虚假材料投标的；</w:t>
      </w:r>
    </w:p>
    <w:p w14:paraId="25742083">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color w:val="auto"/>
          <w:kern w:val="0"/>
          <w:sz w:val="24"/>
          <w:szCs w:val="24"/>
          <w:highlight w:val="none"/>
        </w:rPr>
        <w:t>投标人仅提交备份投标文件，没有在电子交易平台传输递交投标文件的，投标无效；</w:t>
      </w:r>
    </w:p>
    <w:p w14:paraId="5AA879E7">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kern w:val="0"/>
          <w:sz w:val="24"/>
          <w:szCs w:val="24"/>
          <w:highlight w:val="none"/>
          <w:lang w:val="en-US" w:eastAsia="zh-CN" w:bidi="ar-SA"/>
        </w:rPr>
        <w:t>投标文件不满足采购文件的其他实质性要求的；</w:t>
      </w:r>
    </w:p>
    <w:p w14:paraId="5049A70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r>
        <w:rPr>
          <w:rFonts w:hint="eastAsia" w:ascii="宋体" w:hAnsi="宋体" w:eastAsia="宋体" w:cs="宋体"/>
          <w:color w:val="auto"/>
          <w:kern w:val="0"/>
          <w:sz w:val="24"/>
          <w:highlight w:val="none"/>
        </w:rPr>
        <w:t>有下列情形之一的，视为投标人串通投标</w:t>
      </w:r>
      <w:r>
        <w:rPr>
          <w:rFonts w:hint="eastAsia" w:ascii="宋体" w:hAnsi="宋体" w:eastAsia="宋体" w:cs="宋体"/>
          <w:color w:val="auto"/>
          <w:kern w:val="0"/>
          <w:sz w:val="24"/>
          <w:highlight w:val="none"/>
          <w:lang w:eastAsia="zh-CN"/>
        </w:rPr>
        <w:t>：</w:t>
      </w:r>
    </w:p>
    <w:p w14:paraId="2E86FFD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①不同投标人的投标文件由同一单位或者个人编制；</w:t>
      </w:r>
    </w:p>
    <w:p w14:paraId="679AE2B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②不同投标人委托同一单位或者个人办理投标事宜；</w:t>
      </w:r>
    </w:p>
    <w:p w14:paraId="1DD5386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③不同投标人的投标文件载明的项目管理成员或者联系人员为同一人；</w:t>
      </w:r>
    </w:p>
    <w:p w14:paraId="5DDF3B6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④不同投标人的投标文件异常一致或者投标报价呈规律性差异；</w:t>
      </w:r>
    </w:p>
    <w:p w14:paraId="05918B0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⑤不同投标人的投标文件相互混装</w:t>
      </w:r>
      <w:r>
        <w:rPr>
          <w:rFonts w:hint="eastAsia" w:ascii="宋体" w:hAnsi="宋体" w:eastAsia="宋体" w:cs="宋体"/>
          <w:color w:val="auto"/>
          <w:kern w:val="0"/>
          <w:sz w:val="24"/>
          <w:highlight w:val="none"/>
          <w:lang w:eastAsia="zh-CN"/>
        </w:rPr>
        <w:t>；</w:t>
      </w:r>
    </w:p>
    <w:p w14:paraId="20D76160">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70" w:firstLineChars="196"/>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⑥不同供应商制作电子投标(响应)文件的计算机网卡MAC地址相同的；</w:t>
      </w:r>
    </w:p>
    <w:p w14:paraId="3842095A">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70" w:firstLineChars="196"/>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⑦不同供应商制作电子投标(响应)文件的计算机硬盘序列号相同的；</w:t>
      </w:r>
    </w:p>
    <w:p w14:paraId="22A68A36">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70" w:firstLineChars="196"/>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⑧不同供应商的投标(响应)文件的内容存在两处以上细节错误一致，且无法合理解释的。</w:t>
      </w:r>
    </w:p>
    <w:p w14:paraId="3B4DC90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⑥存在法律、法规规定及采购文件规定的其它无效情形的。</w:t>
      </w:r>
    </w:p>
    <w:p w14:paraId="714D3E29">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70" w:firstLineChars="196"/>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829254A">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118E0C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.1符合专业条件的供应商或者对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作实质响应的供应商不足3家的；</w:t>
      </w:r>
    </w:p>
    <w:p w14:paraId="02A6EB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.2出现影响采购公正的违法、违规行为的；</w:t>
      </w:r>
    </w:p>
    <w:p w14:paraId="66C5A0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.3投标人的报价均超过了采购预算，采购人不能支付的；</w:t>
      </w:r>
    </w:p>
    <w:p w14:paraId="6A2BA4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.4因重大变故，采购任务取消的。</w:t>
      </w:r>
    </w:p>
    <w:p w14:paraId="335D75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废标后，采购人应当将废标理由通知所有投标人</w:t>
      </w:r>
      <w:r>
        <w:rPr>
          <w:rFonts w:hint="eastAsia" w:ascii="宋体" w:hAnsi="宋体" w:eastAsia="宋体" w:cs="宋体"/>
          <w:snapToGrid w:val="0"/>
          <w:color w:val="auto"/>
          <w:kern w:val="0"/>
          <w:sz w:val="24"/>
          <w:szCs w:val="24"/>
          <w:highlight w:val="none"/>
        </w:rPr>
        <w:t>（在线平台公布</w:t>
      </w:r>
      <w:r>
        <w:rPr>
          <w:rFonts w:hint="eastAsia" w:ascii="宋体" w:hAnsi="宋体" w:eastAsia="宋体" w:cs="宋体"/>
          <w:snapToGrid w:val="0"/>
          <w:color w:val="auto"/>
          <w:kern w:val="0"/>
          <w:sz w:val="24"/>
          <w:szCs w:val="24"/>
          <w:highlight w:val="none"/>
          <w:lang w:eastAsia="zh-CN"/>
        </w:rPr>
        <w:t>均视为通知</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rPr>
        <w:t>并重新组织招标；或者经主管部门批准，采取其他方式组织采购。</w:t>
      </w:r>
    </w:p>
    <w:p w14:paraId="4FAE56C1">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.修改</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，重新组织采购活动。</w:t>
      </w:r>
      <w:r>
        <w:rPr>
          <w:rFonts w:hint="eastAsia" w:ascii="宋体" w:hAnsi="宋体" w:eastAsia="宋体" w:cs="宋体"/>
          <w:color w:val="auto"/>
          <w:sz w:val="24"/>
          <w:szCs w:val="24"/>
          <w:highlight w:val="none"/>
        </w:rPr>
        <w:t>评标委员会发现</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存在歧义、重大缺陷导致评标工作无法进行，或者</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内容违反国家有关强制性规定的，将停止评标工作，并与采购人、采购机构沟通并作书面记录。采购人、采购机构确认后，将修改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，重新组织采购活动。</w:t>
      </w:r>
    </w:p>
    <w:p w14:paraId="4BFD5775">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08D2510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.1未确定中标或者中标人的，终止本次政府采购活动，重新开展政府采购活动。</w:t>
      </w:r>
    </w:p>
    <w:p w14:paraId="733C9F4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14:paraId="7755ED7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.3政府采购合同已签订但尚未履行的，撤销合同，从合格的中标或者成交候选人中另行确定中标或者中标人；没有合格的中标或者成交候选人的，重新开展政府采购活动。</w:t>
      </w:r>
    </w:p>
    <w:p w14:paraId="280CD9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.4政府采购合同已经履行，给采购人、供应商造成损失的，由责任人承担赔偿责任。</w:t>
      </w:r>
    </w:p>
    <w:p w14:paraId="1A4F91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.5政府采购当事人有其他违反政府采购法</w:t>
      </w:r>
      <w:r>
        <w:rPr>
          <w:rFonts w:hint="eastAsia" w:ascii="宋体" w:hAnsi="宋体" w:eastAsia="宋体" w:cs="宋体"/>
          <w:color w:val="auto"/>
          <w:kern w:val="0"/>
          <w:sz w:val="24"/>
          <w:szCs w:val="24"/>
          <w:highlight w:val="none"/>
        </w:rPr>
        <w:t>或者政府采购法实施条例等法律法规规定</w:t>
      </w:r>
      <w:r>
        <w:rPr>
          <w:rFonts w:hint="eastAsia" w:ascii="宋体" w:hAnsi="宋体" w:eastAsia="宋体" w:cs="宋体"/>
          <w:color w:val="auto"/>
          <w:sz w:val="24"/>
          <w:szCs w:val="24"/>
          <w:highlight w:val="none"/>
        </w:rPr>
        <w:t>的行为，经改正后仍然影响或者可能影响中标、成交结果或者依法被认定为中标、成交无效的，依照7.1-7.4规定处理。</w:t>
      </w:r>
    </w:p>
    <w:p w14:paraId="3610C6F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lang w:eastAsia="zh-CN"/>
        </w:rPr>
        <w:t>六</w:t>
      </w:r>
      <w:r>
        <w:rPr>
          <w:rFonts w:hint="eastAsia" w:ascii="宋体" w:hAnsi="宋体" w:eastAsia="宋体" w:cs="宋体"/>
          <w:b/>
          <w:color w:val="auto"/>
          <w:sz w:val="28"/>
          <w:szCs w:val="28"/>
          <w:highlight w:val="none"/>
        </w:rPr>
        <w:t>、评审纪律和要求</w:t>
      </w:r>
    </w:p>
    <w:p w14:paraId="028EC4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1.评审专家必须公平、公正评审，遵纪守法，客观、廉洁地履行职责。</w:t>
      </w:r>
    </w:p>
    <w:p w14:paraId="433811F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2.评审专家在评审开始前，应关闭并上交随身携带的各种通信工具。</w:t>
      </w:r>
    </w:p>
    <w:p w14:paraId="6BF9B4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3.评审专家在评审过程中，未经许可不得中途离开评审现场，不得迟到早退。</w:t>
      </w:r>
    </w:p>
    <w:p w14:paraId="732FB26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4.评审专家和工作人员不得透露评审过程中的讨论情况和评审结果。</w:t>
      </w:r>
    </w:p>
    <w:p w14:paraId="6962EA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5.评审时，评审专家须按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程序、条件和标准，对投标人投标文件的合规性、完整性和有效性进行审查、比较和评估，其中对投标人的资格条件、主要技术参数、商务报价和其他评审要素等，评审专家应逐项进行审查、比较，不得漏评少评。如发现与</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B84D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6.采购人、采购代理机构不得向评审委员会的评审专家作倾向性、误导性的解释或者说明。</w:t>
      </w:r>
    </w:p>
    <w:p w14:paraId="3DF778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35C67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8.评审专家在评审过程中不得将自己的观点强加给其他评审专家，评审专家应自主发表见解，对评审意见承担个人责任。</w:t>
      </w:r>
    </w:p>
    <w:p w14:paraId="0A2E0A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9.评审结束后，评审委员会应向采购代理机构提交项目评审报告。评审报告是采购人确定中标人的合法依据，评审委员会应当如实、客观地反映评审情况，按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BFBBE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478F9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11.评审专家应当遵守评审工作纪律，不得泄露评审文件、评审情况和评审中获悉的商业秘密。</w:t>
      </w:r>
    </w:p>
    <w:p w14:paraId="025F569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评审委员会在评审过程中发现投标人有行贿、提供虚假材料或者串通等违法行为的，应当及时向财政部门报告。</w:t>
      </w:r>
    </w:p>
    <w:p w14:paraId="776B64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内容违反国家有关强制性规定的，评审委员会应当停止评审并向采购代理机构说明情况。</w:t>
      </w:r>
    </w:p>
    <w:p w14:paraId="2B8883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13.评审专家应当配合采购代理机构答复投标人提出的质疑。</w:t>
      </w:r>
    </w:p>
    <w:p w14:paraId="2EC3F4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14.评审专家应当配合财政部门的投诉处理工作。</w:t>
      </w:r>
    </w:p>
    <w:p w14:paraId="7B5F74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15.评审专家有如下行为之一的，责令改正，给予警告，可以并处一千元以下的罚款：</w:t>
      </w:r>
    </w:p>
    <w:p w14:paraId="004D6E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①明知应当回避而未主动回避的；</w:t>
      </w:r>
    </w:p>
    <w:p w14:paraId="1B18CC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②在得知自己为评审专家身份后至评审结束前时段内私下接触投标人的；</w:t>
      </w:r>
    </w:p>
    <w:p w14:paraId="56F9BA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③在评审过程中擅离职守，影响评审程序正常进行的；</w:t>
      </w:r>
    </w:p>
    <w:p w14:paraId="314EE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④在评审过程有明显不合理或者不正当倾向性的；</w:t>
      </w:r>
    </w:p>
    <w:p w14:paraId="59DC6B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⑤未按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规定的评审方法和标准进行评审的。</w:t>
      </w:r>
    </w:p>
    <w:p w14:paraId="482992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⑥上述①至⑤行为影响中标结果的，中标结果无效。</w:t>
      </w:r>
    </w:p>
    <w:p w14:paraId="4CDA24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16.政府采购评审专家未按照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C6C3A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政府采购评审专家与投标人存在利害关系未回避的，处2万元以上5万元以下的罚款，禁止其参加政府采购评审活动。</w:t>
      </w:r>
    </w:p>
    <w:p w14:paraId="0FD471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3CA63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政府采购评审专家有上述违法行为的，其评审意见无效，不得获取评审费；有违法所得的，没收违法所得；给他人造成损失的，依法承担民事责任。</w:t>
      </w:r>
    </w:p>
    <w:p w14:paraId="0886FE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、在整个评标过程中，投标人企图影响招标结果的任何活动，可能导致其投标失败。如有违法行为，将依法追究其法律责任。</w:t>
      </w:r>
    </w:p>
    <w:p w14:paraId="35E3B7B2">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00668C95">
      <w:pPr>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第五部分 拟签订的合同文本</w:t>
      </w:r>
    </w:p>
    <w:p w14:paraId="4DDCED9C">
      <w:pPr>
        <w:pStyle w:val="14"/>
        <w:keepNext w:val="0"/>
        <w:keepLines w:val="0"/>
        <w:pageBreakBefore w:val="0"/>
        <w:widowControl w:val="0"/>
        <w:tabs>
          <w:tab w:val="left" w:pos="900"/>
        </w:tabs>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szCs w:val="24"/>
          <w:highlight w:val="none"/>
        </w:rPr>
      </w:pPr>
      <w:bookmarkStart w:id="26" w:name="_Hlk534720381"/>
    </w:p>
    <w:bookmarkEnd w:id="26"/>
    <w:p w14:paraId="3CC23C8F">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textAlignment w:val="auto"/>
        <w:rPr>
          <w:rFonts w:hint="eastAsia" w:ascii="宋体" w:hAnsi="宋体" w:eastAsia="宋体" w:cs="宋体"/>
          <w:color w:val="auto"/>
          <w:sz w:val="24"/>
          <w:szCs w:val="24"/>
          <w:highlight w:val="none"/>
        </w:rPr>
      </w:pPr>
      <w:bookmarkStart w:id="27" w:name="_Toc23822"/>
      <w:bookmarkStart w:id="28" w:name="_Toc31852"/>
      <w:bookmarkStart w:id="29" w:name="_Toc249760790"/>
      <w:bookmarkStart w:id="30" w:name="_Toc251566661"/>
      <w:bookmarkStart w:id="31" w:name="_Hlk49184772"/>
      <w:bookmarkStart w:id="32" w:name="_Toc5202"/>
      <w:bookmarkStart w:id="33" w:name="_Toc14349"/>
      <w:bookmarkStart w:id="34" w:name="_Toc23096"/>
      <w:r>
        <w:rPr>
          <w:rFonts w:hint="eastAsia" w:ascii="宋体" w:hAnsi="宋体" w:eastAsia="宋体" w:cs="宋体"/>
          <w:color w:val="auto"/>
          <w:sz w:val="24"/>
          <w:szCs w:val="24"/>
          <w:highlight w:val="none"/>
        </w:rPr>
        <w:t>项目名称：                                     项目采购编号：</w:t>
      </w:r>
    </w:p>
    <w:p w14:paraId="4E28E4D2">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326FB604">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1E3EEDCD">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），签署本合同。</w:t>
      </w:r>
    </w:p>
    <w:p w14:paraId="2474A242">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35" w:name="_Toc9981"/>
      <w:r>
        <w:rPr>
          <w:rFonts w:hint="eastAsia" w:ascii="宋体" w:hAnsi="宋体" w:eastAsia="宋体" w:cs="宋体"/>
          <w:b/>
          <w:bCs/>
          <w:color w:val="auto"/>
          <w:sz w:val="24"/>
          <w:szCs w:val="24"/>
          <w:highlight w:val="none"/>
        </w:rPr>
        <w:t>1.中标内容</w:t>
      </w:r>
      <w:bookmarkEnd w:id="35"/>
    </w:p>
    <w:p w14:paraId="09367E03">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36" w:name="_Toc584"/>
      <w:r>
        <w:rPr>
          <w:rFonts w:hint="eastAsia" w:ascii="宋体" w:hAnsi="宋体" w:eastAsia="宋体" w:cs="宋体"/>
          <w:b/>
          <w:bCs/>
          <w:color w:val="auto"/>
          <w:sz w:val="24"/>
          <w:szCs w:val="24"/>
          <w:highlight w:val="none"/>
        </w:rPr>
        <w:t>2.合同金额</w:t>
      </w:r>
      <w:bookmarkEnd w:id="36"/>
    </w:p>
    <w:p w14:paraId="30D20750">
      <w:pPr>
        <w:keepNext w:val="0"/>
        <w:keepLines w:val="0"/>
        <w:pageBreakBefore w:val="0"/>
        <w:widowControl w:val="0"/>
        <w:tabs>
          <w:tab w:val="left" w:pos="1080"/>
        </w:tabs>
        <w:kinsoku/>
        <w:wordWrap/>
        <w:overflowPunct/>
        <w:topLinePunct w:val="0"/>
        <w:autoSpaceDE/>
        <w:autoSpaceDN/>
        <w:bidi w:val="0"/>
        <w:adjustRightInd w:val="0"/>
        <w:snapToGrid w:val="0"/>
        <w:spacing w:line="460" w:lineRule="exact"/>
        <w:ind w:lef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 本合同金额</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为（大写）人民币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rPr>
        <w:t>包括但</w:t>
      </w:r>
      <w:r>
        <w:rPr>
          <w:rFonts w:hint="eastAsia" w:ascii="宋体" w:hAnsi="宋体" w:eastAsia="宋体" w:cs="宋体"/>
          <w:color w:val="auto"/>
          <w:sz w:val="24"/>
          <w:szCs w:val="24"/>
          <w:highlight w:val="none"/>
          <w:lang w:val="en-US" w:eastAsia="zh-CN"/>
        </w:rPr>
        <w:t>不限于</w:t>
      </w:r>
      <w:r>
        <w:rPr>
          <w:rFonts w:hint="eastAsia" w:ascii="宋体" w:hAnsi="宋体" w:eastAsia="宋体" w:cs="宋体"/>
          <w:color w:val="auto"/>
          <w:sz w:val="24"/>
          <w:szCs w:val="24"/>
          <w:highlight w:val="none"/>
          <w:lang w:eastAsia="zh-CN"/>
        </w:rPr>
        <w:t>维护技术服务费、人工费、</w:t>
      </w:r>
      <w:r>
        <w:rPr>
          <w:rFonts w:hint="eastAsia" w:ascii="宋体" w:hAnsi="宋体" w:eastAsia="宋体" w:cs="宋体"/>
          <w:color w:val="auto"/>
          <w:sz w:val="24"/>
          <w:szCs w:val="24"/>
          <w:highlight w:val="none"/>
          <w:lang w:val="en-US" w:eastAsia="zh-CN"/>
        </w:rPr>
        <w:t>住宿费、餐饮费、</w:t>
      </w:r>
      <w:r>
        <w:rPr>
          <w:rFonts w:hint="eastAsia" w:ascii="宋体" w:hAnsi="宋体" w:eastAsia="宋体" w:cs="宋体"/>
          <w:color w:val="auto"/>
          <w:sz w:val="24"/>
          <w:szCs w:val="24"/>
          <w:highlight w:val="none"/>
          <w:lang w:eastAsia="zh-CN"/>
        </w:rPr>
        <w:t>差旅费、调试费、培训费、制作标书费、招标服务费、管理费、利润、税金</w:t>
      </w:r>
      <w:r>
        <w:rPr>
          <w:rFonts w:hint="eastAsia" w:ascii="宋体" w:hAnsi="宋体" w:eastAsia="宋体" w:cs="宋体"/>
          <w:color w:val="auto"/>
          <w:sz w:val="24"/>
          <w:szCs w:val="24"/>
          <w:highlight w:val="none"/>
        </w:rPr>
        <w:t>及合同实施过程中不可预见的费用等一切税费</w:t>
      </w:r>
      <w:r>
        <w:rPr>
          <w:rFonts w:hint="eastAsia" w:ascii="宋体" w:hAnsi="宋体" w:eastAsia="宋体" w:cs="宋体"/>
          <w:color w:val="auto"/>
          <w:sz w:val="24"/>
          <w:szCs w:val="24"/>
          <w:highlight w:val="none"/>
          <w:lang w:val="en-US" w:eastAsia="zh-CN"/>
        </w:rPr>
        <w:t>组成。合同价款结算时中标单位须开具正式发票。</w:t>
      </w:r>
    </w:p>
    <w:p w14:paraId="44C4E12D">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37" w:name="_Toc4771"/>
      <w:r>
        <w:rPr>
          <w:rFonts w:hint="eastAsia" w:ascii="宋体" w:hAnsi="宋体" w:eastAsia="宋体" w:cs="宋体"/>
          <w:b/>
          <w:bCs/>
          <w:color w:val="auto"/>
          <w:sz w:val="24"/>
          <w:szCs w:val="24"/>
          <w:highlight w:val="none"/>
        </w:rPr>
        <w:t>3.</w:t>
      </w:r>
      <w:r>
        <w:rPr>
          <w:rFonts w:hint="eastAsia" w:ascii="宋体" w:hAnsi="宋体" w:eastAsia="宋体" w:cs="宋体"/>
          <w:b/>
          <w:bCs/>
          <w:color w:val="auto"/>
          <w:kern w:val="0"/>
          <w:sz w:val="24"/>
          <w:szCs w:val="24"/>
          <w:highlight w:val="none"/>
        </w:rPr>
        <w:t>合同履行期限</w:t>
      </w:r>
      <w:r>
        <w:rPr>
          <w:rFonts w:hint="eastAsia" w:ascii="宋体" w:hAnsi="宋体" w:eastAsia="宋体" w:cs="宋体"/>
          <w:b/>
          <w:bCs/>
          <w:color w:val="auto"/>
          <w:sz w:val="24"/>
          <w:szCs w:val="24"/>
          <w:highlight w:val="none"/>
        </w:rPr>
        <w:t>和地点</w:t>
      </w:r>
      <w:bookmarkEnd w:id="37"/>
    </w:p>
    <w:p w14:paraId="02CF643F">
      <w:pPr>
        <w:keepNext w:val="0"/>
        <w:keepLines w:val="0"/>
        <w:pageBreakBefore w:val="0"/>
        <w:widowControl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 xml:space="preserve">3.1 </w:t>
      </w:r>
      <w:r>
        <w:rPr>
          <w:rFonts w:hint="eastAsia" w:ascii="宋体" w:hAnsi="宋体" w:eastAsia="宋体" w:cs="宋体"/>
          <w:color w:val="auto"/>
          <w:kern w:val="0"/>
          <w:sz w:val="24"/>
          <w:highlight w:val="none"/>
        </w:rPr>
        <w:t>合同履行期限</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自合同签订之日起一年</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highlight w:val="none"/>
          <w:lang w:val="en-US" w:eastAsia="zh-CN"/>
        </w:rPr>
        <w:t xml:space="preserve"> </w:t>
      </w:r>
    </w:p>
    <w:p w14:paraId="747CF612">
      <w:pPr>
        <w:keepNext w:val="0"/>
        <w:keepLines w:val="0"/>
        <w:pageBreakBefore w:val="0"/>
        <w:widowControl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 xml:space="preserve">3.2 </w:t>
      </w:r>
      <w:r>
        <w:rPr>
          <w:rFonts w:hint="eastAsia" w:ascii="宋体" w:hAnsi="宋体" w:eastAsia="宋体" w:cs="宋体"/>
          <w:color w:val="auto"/>
          <w:kern w:val="0"/>
          <w:sz w:val="24"/>
          <w:highlight w:val="none"/>
        </w:rPr>
        <w:t>合同履行地点：</w:t>
      </w:r>
      <w:r>
        <w:rPr>
          <w:rFonts w:hint="eastAsia" w:ascii="宋体" w:hAnsi="宋体" w:eastAsia="宋体" w:cs="宋体"/>
          <w:color w:val="auto"/>
          <w:sz w:val="24"/>
          <w:highlight w:val="none"/>
          <w:u w:val="single"/>
        </w:rPr>
        <w:t>浦江县域内</w:t>
      </w:r>
      <w:r>
        <w:rPr>
          <w:rFonts w:hint="eastAsia" w:ascii="宋体" w:hAnsi="宋体" w:eastAsia="宋体" w:cs="宋体"/>
          <w:color w:val="auto"/>
          <w:sz w:val="24"/>
          <w:highlight w:val="none"/>
        </w:rPr>
        <w:t>。</w:t>
      </w:r>
    </w:p>
    <w:p w14:paraId="7DE3EB2F">
      <w:pPr>
        <w:pStyle w:val="14"/>
        <w:keepNext w:val="0"/>
        <w:keepLines w:val="0"/>
        <w:pageBreakBefore w:val="0"/>
        <w:widowControl w:val="0"/>
        <w:tabs>
          <w:tab w:val="left" w:pos="594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3.3 </w:t>
      </w:r>
      <w:r>
        <w:rPr>
          <w:rFonts w:hint="eastAsia" w:ascii="宋体" w:hAnsi="宋体" w:eastAsia="宋体" w:cs="宋体"/>
          <w:color w:val="auto"/>
          <w:sz w:val="24"/>
          <w:szCs w:val="24"/>
          <w:highlight w:val="none"/>
        </w:rPr>
        <w:t>乙方必须按投标文件承诺的服务响应条款向甲方提供服务。</w:t>
      </w:r>
    </w:p>
    <w:p w14:paraId="2FD74ACD">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38" w:name="_Toc9294"/>
      <w:r>
        <w:rPr>
          <w:rFonts w:hint="eastAsia" w:ascii="宋体" w:hAnsi="宋体" w:eastAsia="宋体" w:cs="宋体"/>
          <w:b/>
          <w:bCs/>
          <w:color w:val="auto"/>
          <w:sz w:val="24"/>
          <w:szCs w:val="24"/>
          <w:highlight w:val="none"/>
        </w:rPr>
        <w:t>4.产权</w:t>
      </w:r>
      <w:bookmarkEnd w:id="38"/>
    </w:p>
    <w:p w14:paraId="0B0C2FAB">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 乙方应保证所提供的服务或其任何一部分均不会侵犯任何第三方的专利权、商标权或著作权</w:t>
      </w:r>
      <w:r>
        <w:rPr>
          <w:rFonts w:hint="eastAsia" w:ascii="宋体" w:hAnsi="宋体" w:eastAsia="宋体" w:cs="宋体"/>
          <w:bCs/>
          <w:color w:val="auto"/>
          <w:sz w:val="24"/>
          <w:szCs w:val="24"/>
          <w:highlight w:val="none"/>
        </w:rPr>
        <w:t>。</w:t>
      </w:r>
    </w:p>
    <w:p w14:paraId="1A910B5A">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 乙方保证所交付服务的所有权完全属于乙方且无任何抵押、查封等产权瑕疵。如乙方所交付服务有产权瑕疵的，视为乙方违约，按照本合同8.3约定处理。但在已经全部支付完合同款后才发现有产权瑕疵的，乙方除了支付违约金还应负担甲方由此产生的一切损失。</w:t>
      </w:r>
    </w:p>
    <w:p w14:paraId="12165B12">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39" w:name="_Toc27333"/>
      <w:r>
        <w:rPr>
          <w:rFonts w:hint="eastAsia" w:ascii="宋体" w:hAnsi="宋体" w:eastAsia="宋体" w:cs="宋体"/>
          <w:b/>
          <w:bCs/>
          <w:color w:val="auto"/>
          <w:sz w:val="24"/>
          <w:szCs w:val="24"/>
          <w:highlight w:val="none"/>
        </w:rPr>
        <w:t>5.技术资料</w:t>
      </w:r>
      <w:bookmarkEnd w:id="39"/>
    </w:p>
    <w:p w14:paraId="064B74E4">
      <w:pPr>
        <w:pStyle w:val="14"/>
        <w:keepNext w:val="0"/>
        <w:keepLines w:val="0"/>
        <w:pageBreakBefore w:val="0"/>
        <w:widowControl w:val="0"/>
        <w:tabs>
          <w:tab w:val="left" w:pos="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甲方应向乙方提供提交服务成果所必需的有关数据、资料等。</w:t>
      </w:r>
    </w:p>
    <w:p w14:paraId="30AB8F6F">
      <w:pPr>
        <w:pStyle w:val="14"/>
        <w:keepNext w:val="0"/>
        <w:keepLines w:val="0"/>
        <w:pageBreakBefore w:val="0"/>
        <w:widowControl w:val="0"/>
        <w:tabs>
          <w:tab w:val="left" w:pos="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6C3DD2">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40" w:name="_Toc6631"/>
      <w:r>
        <w:rPr>
          <w:rFonts w:hint="eastAsia" w:ascii="宋体" w:hAnsi="宋体" w:eastAsia="宋体" w:cs="宋体"/>
          <w:b/>
          <w:bCs/>
          <w:color w:val="auto"/>
          <w:sz w:val="24"/>
          <w:szCs w:val="24"/>
          <w:highlight w:val="none"/>
        </w:rPr>
        <w:t>6.合同款支付及结算方式</w:t>
      </w:r>
      <w:bookmarkEnd w:id="40"/>
    </w:p>
    <w:p w14:paraId="681EB8FD">
      <w:pPr>
        <w:keepNext w:val="0"/>
        <w:keepLines w:val="0"/>
        <w:pageBreakBefore w:val="0"/>
        <w:widowControl w:val="0"/>
        <w:kinsoku/>
        <w:wordWrap/>
        <w:overflowPunct/>
        <w:topLinePunct w:val="0"/>
        <w:autoSpaceDE/>
        <w:autoSpaceDN/>
        <w:bidi w:val="0"/>
        <w:adjustRightInd/>
        <w:snapToGrid w:val="0"/>
        <w:spacing w:line="460" w:lineRule="exact"/>
        <w:ind w:left="0" w:firstLine="472" w:firstLineChars="19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6.1 </w:t>
      </w:r>
      <w:r>
        <w:rPr>
          <w:rFonts w:hint="eastAsia" w:ascii="宋体" w:hAnsi="宋体" w:eastAsia="宋体" w:cs="宋体"/>
          <w:color w:val="auto"/>
          <w:kern w:val="2"/>
          <w:sz w:val="24"/>
          <w:szCs w:val="24"/>
          <w:highlight w:val="none"/>
          <w:lang w:val="en-US" w:eastAsia="zh-CN" w:bidi="ar-SA"/>
        </w:rPr>
        <w:t>付款方式</w:t>
      </w:r>
      <w:r>
        <w:rPr>
          <w:rFonts w:hint="eastAsia" w:ascii="宋体" w:hAnsi="宋体" w:eastAsia="宋体" w:cs="宋体"/>
          <w:color w:val="auto"/>
          <w:sz w:val="24"/>
          <w:highlight w:val="none"/>
        </w:rPr>
        <w:t>：</w:t>
      </w:r>
    </w:p>
    <w:p w14:paraId="737147DA">
      <w:pPr>
        <w:spacing w:line="400" w:lineRule="exact"/>
        <w:ind w:firstLine="480" w:firstLineChars="200"/>
        <w:rPr>
          <w:rFonts w:hint="eastAsia" w:ascii="宋体" w:hAnsi="宋体" w:eastAsia="宋体" w:cs="Times New Roman"/>
          <w:color w:val="auto"/>
          <w:sz w:val="24"/>
          <w:highlight w:val="none"/>
        </w:rPr>
      </w:pPr>
      <w:r>
        <w:rPr>
          <w:rStyle w:val="91"/>
          <w:rFonts w:hint="eastAsia" w:ascii="宋体" w:hAnsi="宋体" w:eastAsia="宋体" w:cs="宋体"/>
          <w:color w:val="auto"/>
          <w:sz w:val="24"/>
          <w:szCs w:val="24"/>
          <w:highlight w:val="none"/>
          <w:lang w:val="zh-CN" w:eastAsia="zh-CN"/>
        </w:rPr>
        <w:t>（</w:t>
      </w:r>
      <w:r>
        <w:rPr>
          <w:rStyle w:val="91"/>
          <w:rFonts w:hint="eastAsia" w:ascii="宋体" w:hAnsi="宋体" w:eastAsia="宋体" w:cs="宋体"/>
          <w:color w:val="auto"/>
          <w:sz w:val="24"/>
          <w:szCs w:val="24"/>
          <w:highlight w:val="none"/>
          <w:lang w:val="en-US" w:eastAsia="zh-CN"/>
        </w:rPr>
        <w:t>1</w:t>
      </w:r>
      <w:r>
        <w:rPr>
          <w:rStyle w:val="91"/>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合同签订后，甲方向乙方支付</w:t>
      </w:r>
      <w:r>
        <w:rPr>
          <w:rStyle w:val="91"/>
          <w:rFonts w:hint="eastAsia" w:ascii="宋体" w:hAnsi="宋体" w:eastAsia="宋体" w:cs="宋体"/>
          <w:color w:val="auto"/>
          <w:sz w:val="24"/>
          <w:szCs w:val="24"/>
          <w:highlight w:val="none"/>
          <w:lang w:val="zh-CN" w:eastAsia="zh-CN"/>
        </w:rPr>
        <w:t>合同总额</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在合同生效以及具备实施条件后7个工作日内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749940A">
      <w:pPr>
        <w:spacing w:line="400" w:lineRule="exact"/>
        <w:ind w:firstLine="480" w:firstLineChars="200"/>
        <w:rPr>
          <w:rStyle w:val="91"/>
          <w:rFonts w:hint="eastAsia" w:ascii="宋体" w:hAnsi="宋体" w:eastAsia="宋体" w:cs="宋体"/>
          <w:color w:val="auto"/>
          <w:sz w:val="24"/>
          <w:szCs w:val="24"/>
          <w:highlight w:val="none"/>
          <w:lang w:val="zh-CN" w:eastAsia="zh-CN"/>
        </w:rPr>
      </w:pPr>
      <w:r>
        <w:rPr>
          <w:rFonts w:hint="eastAsia" w:ascii="宋体" w:hAnsi="宋体" w:eastAsia="宋体" w:cs="Times New Roman"/>
          <w:color w:val="auto"/>
          <w:sz w:val="24"/>
          <w:highlight w:val="none"/>
        </w:rPr>
        <w:t>（2）服务费按</w:t>
      </w:r>
      <w:r>
        <w:rPr>
          <w:rFonts w:hint="eastAsia" w:ascii="宋体" w:hAnsi="宋体" w:eastAsia="宋体" w:cs="Times New Roman"/>
          <w:color w:val="auto"/>
          <w:sz w:val="24"/>
          <w:highlight w:val="none"/>
          <w:lang w:val="en-US" w:eastAsia="zh-CN"/>
        </w:rPr>
        <w:t>实际服务次数</w:t>
      </w:r>
      <w:r>
        <w:rPr>
          <w:rFonts w:hint="eastAsia" w:ascii="宋体" w:hAnsi="宋体" w:eastAsia="宋体" w:cs="Times New Roman"/>
          <w:color w:val="auto"/>
          <w:sz w:val="24"/>
          <w:highlight w:val="none"/>
        </w:rPr>
        <w:t>结算支付</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每服务两次支付一次，</w:t>
      </w:r>
      <w:r>
        <w:rPr>
          <w:rStyle w:val="91"/>
          <w:rFonts w:hint="eastAsia" w:ascii="宋体" w:hAnsi="宋体" w:eastAsia="宋体" w:cs="宋体"/>
          <w:color w:val="auto"/>
          <w:sz w:val="24"/>
          <w:szCs w:val="24"/>
          <w:highlight w:val="none"/>
          <w:lang w:val="en-US" w:eastAsia="zh-CN"/>
        </w:rPr>
        <w:t>服务期结束后，甲方将对项目完成情况进行满意度测评（具体测评由甲方及有关部门组织开展），测评满意度达到80%及以上的，支付至合同金额的100%，测评满意度低于80%，则扣除最后两次服务费。</w:t>
      </w:r>
    </w:p>
    <w:p w14:paraId="09449FA7">
      <w:pPr>
        <w:keepNext w:val="0"/>
        <w:keepLines w:val="0"/>
        <w:pageBreakBefore w:val="0"/>
        <w:widowControl w:val="0"/>
        <w:kinsoku/>
        <w:wordWrap/>
        <w:overflowPunct/>
        <w:topLinePunct w:val="0"/>
        <w:autoSpaceDE/>
        <w:autoSpaceDN/>
        <w:bidi w:val="0"/>
        <w:adjustRightInd/>
        <w:snapToGrid w:val="0"/>
        <w:spacing w:line="460" w:lineRule="exact"/>
        <w:ind w:left="0" w:firstLine="472" w:firstLineChars="197"/>
        <w:textAlignment w:val="auto"/>
        <w:rPr>
          <w:rFonts w:hint="eastAsia" w:ascii="宋体" w:hAnsi="宋体" w:eastAsia="宋体" w:cs="宋体"/>
          <w:b/>
          <w:bCs/>
          <w:color w:val="auto"/>
          <w:sz w:val="24"/>
          <w:szCs w:val="24"/>
          <w:highlight w:val="none"/>
          <w:lang w:val="en-US" w:eastAsia="zh-CN"/>
        </w:rPr>
      </w:pPr>
      <w:r>
        <w:rPr>
          <w:rStyle w:val="91"/>
          <w:rFonts w:hint="eastAsia" w:ascii="宋体" w:hAnsi="宋体" w:eastAsia="宋体" w:cs="宋体"/>
          <w:color w:val="auto"/>
          <w:sz w:val="24"/>
          <w:szCs w:val="24"/>
          <w:highlight w:val="none"/>
          <w:lang w:val="zh-CN"/>
        </w:rPr>
        <w:t>为支持和促进中小企业发展，进一步发挥政府采购政策功能，浙江省财政厅出台浙财采监〔2020〕3 号文件，企业若有购买保险/保函或者融资意向，可登陆政采云平台融资服务（https://jinrong.zcygov.cn/），查看相应融资政策文件及各相关服务方案，咨询热线400-903-9583。</w:t>
      </w:r>
    </w:p>
    <w:p w14:paraId="6521B1DB">
      <w:pPr>
        <w:pStyle w:val="14"/>
        <w:keepNext w:val="0"/>
        <w:keepLines w:val="0"/>
        <w:pageBreakBefore w:val="0"/>
        <w:widowControl w:val="0"/>
        <w:tabs>
          <w:tab w:val="left" w:pos="5145"/>
          <w:tab w:val="left" w:pos="5355"/>
          <w:tab w:val="left" w:pos="6195"/>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6.2 政府采购监督管理部门在处理投诉事项期间，可以视具体情况书面通知甲方暂停采购活动</w:t>
      </w:r>
      <w:r>
        <w:rPr>
          <w:rFonts w:hint="eastAsia" w:ascii="宋体" w:hAnsi="宋体" w:eastAsia="宋体" w:cs="宋体"/>
          <w:bCs/>
          <w:color w:val="auto"/>
          <w:sz w:val="24"/>
          <w:szCs w:val="24"/>
          <w:highlight w:val="none"/>
        </w:rPr>
        <w:t>，并延期支付合同款。</w:t>
      </w:r>
    </w:p>
    <w:p w14:paraId="5D5F66AB">
      <w:pPr>
        <w:pStyle w:val="14"/>
        <w:keepNext w:val="0"/>
        <w:keepLines w:val="0"/>
        <w:pageBreakBefore w:val="0"/>
        <w:widowControl w:val="0"/>
        <w:tabs>
          <w:tab w:val="left" w:pos="5145"/>
          <w:tab w:val="left" w:pos="5355"/>
          <w:tab w:val="left" w:pos="6195"/>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6.3结算方式：</w:t>
      </w:r>
      <w:r>
        <w:rPr>
          <w:rFonts w:hint="eastAsia" w:ascii="宋体" w:hAnsi="宋体" w:eastAsia="宋体" w:cs="宋体"/>
          <w:color w:val="auto"/>
          <w:kern w:val="0"/>
          <w:sz w:val="24"/>
          <w:szCs w:val="24"/>
          <w:highlight w:val="none"/>
        </w:rPr>
        <w:t>当</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t>要求服务次数</w:t>
      </w:r>
      <w:r>
        <w:rPr>
          <w:rFonts w:hint="eastAsia" w:ascii="宋体" w:hAnsi="宋体" w:eastAsia="宋体" w:cs="宋体"/>
          <w:color w:val="auto"/>
          <w:kern w:val="0"/>
          <w:sz w:val="24"/>
          <w:szCs w:val="24"/>
          <w:highlight w:val="none"/>
          <w:lang w:eastAsia="zh-CN"/>
        </w:rPr>
        <w:t>与</w:t>
      </w:r>
      <w:r>
        <w:rPr>
          <w:rFonts w:hint="eastAsia" w:ascii="宋体" w:hAnsi="宋体" w:eastAsia="宋体" w:cs="宋体"/>
          <w:color w:val="auto"/>
          <w:kern w:val="0"/>
          <w:sz w:val="24"/>
          <w:szCs w:val="24"/>
          <w:highlight w:val="none"/>
        </w:rPr>
        <w:t>实际</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lang w:val="en-US" w:eastAsia="zh-CN"/>
        </w:rPr>
        <w:t>次数</w:t>
      </w:r>
      <w:r>
        <w:rPr>
          <w:rFonts w:hint="eastAsia" w:ascii="宋体" w:hAnsi="宋体" w:eastAsia="宋体" w:cs="宋体"/>
          <w:color w:val="auto"/>
          <w:kern w:val="0"/>
          <w:sz w:val="24"/>
          <w:szCs w:val="24"/>
          <w:highlight w:val="none"/>
        </w:rPr>
        <w:t>不一致时，</w:t>
      </w:r>
      <w:r>
        <w:rPr>
          <w:rFonts w:hint="eastAsia" w:ascii="宋体" w:hAnsi="宋体" w:eastAsia="宋体" w:cs="宋体"/>
          <w:color w:val="auto"/>
          <w:kern w:val="0"/>
          <w:sz w:val="24"/>
          <w:szCs w:val="24"/>
          <w:highlight w:val="none"/>
          <w:lang w:eastAsia="zh-CN"/>
        </w:rPr>
        <w:t>将</w:t>
      </w:r>
      <w:r>
        <w:rPr>
          <w:rFonts w:hint="eastAsia" w:ascii="宋体" w:hAnsi="宋体" w:eastAsia="宋体" w:cs="宋体"/>
          <w:color w:val="auto"/>
          <w:kern w:val="0"/>
          <w:sz w:val="24"/>
          <w:szCs w:val="24"/>
          <w:highlight w:val="none"/>
        </w:rPr>
        <w:t>根据实际</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lang w:val="en-US" w:eastAsia="zh-CN"/>
        </w:rPr>
        <w:t>次数</w:t>
      </w:r>
      <w:r>
        <w:rPr>
          <w:rFonts w:hint="eastAsia" w:ascii="宋体" w:hAnsi="宋体" w:eastAsia="宋体" w:cs="宋体"/>
          <w:color w:val="auto"/>
          <w:kern w:val="0"/>
          <w:sz w:val="24"/>
          <w:szCs w:val="24"/>
          <w:highlight w:val="none"/>
          <w:lang w:eastAsia="zh-CN"/>
        </w:rPr>
        <w:t>进行结算</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实际结算价</w:t>
      </w:r>
      <w:r>
        <w:rPr>
          <w:rFonts w:hint="eastAsia" w:ascii="宋体" w:hAnsi="宋体" w:eastAsia="宋体" w:cs="宋体"/>
          <w:color w:val="auto"/>
          <w:kern w:val="0"/>
          <w:sz w:val="24"/>
          <w:szCs w:val="24"/>
          <w:highlight w:val="none"/>
          <w:lang w:val="en-US" w:eastAsia="zh-CN"/>
        </w:rPr>
        <w:t>=中标单价*实际服务次数。</w:t>
      </w:r>
    </w:p>
    <w:p w14:paraId="2C4B4F16">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41" w:name="_Toc26142"/>
      <w:r>
        <w:rPr>
          <w:rFonts w:hint="eastAsia" w:ascii="宋体" w:hAnsi="宋体" w:eastAsia="宋体" w:cs="宋体"/>
          <w:b/>
          <w:bCs/>
          <w:color w:val="auto"/>
          <w:sz w:val="24"/>
          <w:szCs w:val="24"/>
          <w:highlight w:val="none"/>
        </w:rPr>
        <w:t>7.履约保证金</w:t>
      </w:r>
      <w:bookmarkEnd w:id="41"/>
    </w:p>
    <w:p w14:paraId="454B719A">
      <w:pPr>
        <w:pStyle w:val="14"/>
        <w:keepNext w:val="0"/>
        <w:keepLines w:val="0"/>
        <w:pageBreakBefore w:val="0"/>
        <w:widowControl w:val="0"/>
        <w:tabs>
          <w:tab w:val="left" w:pos="5145"/>
          <w:tab w:val="left" w:pos="5355"/>
          <w:tab w:val="left" w:pos="6195"/>
        </w:tabs>
        <w:kinsoku/>
        <w:wordWrap/>
        <w:overflowPunct/>
        <w:topLinePunct w:val="0"/>
        <w:autoSpaceDE/>
        <w:autoSpaceDN/>
        <w:bidi w:val="0"/>
        <w:spacing w:line="4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14:paraId="2EFC20BA">
      <w:pPr>
        <w:pStyle w:val="14"/>
        <w:keepNext w:val="0"/>
        <w:keepLines w:val="0"/>
        <w:pageBreakBefore w:val="0"/>
        <w:widowControl w:val="0"/>
        <w:tabs>
          <w:tab w:val="left" w:pos="5145"/>
          <w:tab w:val="left" w:pos="5355"/>
          <w:tab w:val="left" w:pos="6195"/>
        </w:tabs>
        <w:kinsoku/>
        <w:wordWrap/>
        <w:overflowPunct/>
        <w:topLinePunct w:val="0"/>
        <w:autoSpaceDE/>
        <w:autoSpaceDN/>
        <w:bidi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8.违约责任</w:t>
      </w:r>
    </w:p>
    <w:p w14:paraId="7F0EE44A">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甲方无正当理由拒收服务的，甲方向乙方偿付拒收服务费总值的百分之五违约金。</w:t>
      </w:r>
    </w:p>
    <w:p w14:paraId="19C67809">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甲方无故逾期办理合同款支付手续的，甲方应按逾期付款总额每日千分之</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向乙方支付违约金。</w:t>
      </w:r>
    </w:p>
    <w:p w14:paraId="04925E10">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乙方逾期交付服务的，乙方应按逾期提供服务总额每日千分之</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304FD892">
      <w:pPr>
        <w:pStyle w:val="14"/>
        <w:keepNext w:val="0"/>
        <w:keepLines w:val="0"/>
        <w:pageBreakBefore w:val="0"/>
        <w:widowControl w:val="0"/>
        <w:tabs>
          <w:tab w:val="left" w:pos="900"/>
        </w:tabs>
        <w:kinsoku/>
        <w:wordWrap/>
        <w:overflowPunct/>
        <w:topLinePunct w:val="0"/>
        <w:autoSpaceDE/>
        <w:autoSpaceDN/>
        <w:bidi w:val="0"/>
        <w:spacing w:line="460" w:lineRule="exact"/>
        <w:ind w:left="0"/>
        <w:textAlignment w:val="auto"/>
        <w:outlineLvl w:val="0"/>
        <w:rPr>
          <w:rFonts w:hint="eastAsia" w:ascii="宋体" w:hAnsi="宋体" w:eastAsia="宋体" w:cs="宋体"/>
          <w:b/>
          <w:bCs/>
          <w:color w:val="auto"/>
          <w:sz w:val="24"/>
          <w:szCs w:val="24"/>
          <w:highlight w:val="none"/>
        </w:rPr>
      </w:pPr>
      <w:bookmarkStart w:id="42" w:name="_Toc4371"/>
      <w:r>
        <w:rPr>
          <w:rFonts w:hint="eastAsia" w:ascii="宋体" w:hAnsi="宋体" w:eastAsia="宋体" w:cs="宋体"/>
          <w:b/>
          <w:bCs/>
          <w:color w:val="auto"/>
          <w:sz w:val="24"/>
          <w:szCs w:val="24"/>
          <w:highlight w:val="none"/>
        </w:rPr>
        <w:t>9.不可抗力事件处理</w:t>
      </w:r>
      <w:bookmarkEnd w:id="42"/>
    </w:p>
    <w:p w14:paraId="56D8BBC2">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在合同有效期内，任何一方因不可抗力事件导致不能履行合同，则合同履行期可延长，其延长期与不可抗力影响期相同。</w:t>
      </w:r>
    </w:p>
    <w:p w14:paraId="340A9E49">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不可抗力事件发生后，应立即通知对方，并寄送有关权威机构出具的证明。</w:t>
      </w:r>
    </w:p>
    <w:p w14:paraId="72930A92">
      <w:pPr>
        <w:pStyle w:val="14"/>
        <w:keepNext w:val="0"/>
        <w:keepLines w:val="0"/>
        <w:pageBreakBefore w:val="0"/>
        <w:widowControl w:val="0"/>
        <w:tabs>
          <w:tab w:val="left" w:pos="900"/>
        </w:tabs>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不可抗力事件延续120天以上，双方应通过友好协商，确定是否继续履行合同。</w:t>
      </w:r>
    </w:p>
    <w:p w14:paraId="2BB3D5FD">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10.争议仲裁</w:t>
      </w:r>
    </w:p>
    <w:p w14:paraId="675F3668">
      <w:pPr>
        <w:keepNext w:val="0"/>
        <w:keepLines w:val="0"/>
        <w:pageBreakBefore w:val="0"/>
        <w:widowControl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本合同履行过程中发生争议，双方应当协商解决，如协商调解不成的，可向甲方所在地法院起诉。</w:t>
      </w:r>
    </w:p>
    <w:p w14:paraId="167B331B">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11.合同生效及其它</w:t>
      </w:r>
    </w:p>
    <w:p w14:paraId="54D84A65">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11.1合同经双方和合同鉴证方法定代表人或授权代表签字并加盖单位公章后生效。</w:t>
      </w:r>
    </w:p>
    <w:p w14:paraId="0B5E6728">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11.2合同执行中涉及采购资金和采购内容修改或补充的，须经财政部门审批，并签书面补充协议报政府采购监督管理部门备案，方可作为主合同不可分割的一部分。</w:t>
      </w:r>
    </w:p>
    <w:p w14:paraId="17ED5554">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11.3本合同未尽事宜，遵照《民法典》有关条文执行。</w:t>
      </w:r>
    </w:p>
    <w:p w14:paraId="36F85FA3">
      <w:pPr>
        <w:pStyle w:val="14"/>
        <w:keepNext w:val="0"/>
        <w:keepLines w:val="0"/>
        <w:pageBreakBefore w:val="0"/>
        <w:widowControl w:val="0"/>
        <w:tabs>
          <w:tab w:val="left" w:pos="900"/>
        </w:tabs>
        <w:kinsoku/>
        <w:wordWrap/>
        <w:overflowPunct/>
        <w:topLinePunct w:val="0"/>
        <w:autoSpaceDE/>
        <w:autoSpaceDN/>
        <w:bidi w:val="0"/>
        <w:snapToGrid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11.4本合同一式捌份，具有同等法律效力，甲乙双方各执叁份；浦江县财政局政府采购监管科备案壹份，委托代理方浙江华杰工程咨询有限公司存档壹份。</w:t>
      </w:r>
    </w:p>
    <w:p w14:paraId="021D0586">
      <w:pPr>
        <w:pStyle w:val="14"/>
        <w:keepNext w:val="0"/>
        <w:keepLines w:val="0"/>
        <w:pageBreakBefore w:val="0"/>
        <w:widowControl w:val="0"/>
        <w:tabs>
          <w:tab w:val="left" w:pos="900"/>
        </w:tabs>
        <w:kinsoku/>
        <w:wordWrap/>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p>
    <w:p w14:paraId="28F5D71D">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 xml:space="preserve">                乙方： </w:t>
      </w:r>
    </w:p>
    <w:p w14:paraId="605B13B5">
      <w:pPr>
        <w:keepNext w:val="0"/>
        <w:keepLines w:val="0"/>
        <w:pageBreakBefore w:val="0"/>
        <w:widowControl w:val="0"/>
        <w:kinsoku/>
        <w:wordWrap/>
        <w:overflowPunct/>
        <w:topLinePunct w:val="0"/>
        <w:autoSpaceDE/>
        <w:autoSpaceDN/>
        <w:bidi w:val="0"/>
        <w:spacing w:line="460" w:lineRule="exact"/>
        <w:ind w:left="0" w:hanging="4800" w:hanging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14:paraId="47FD233A">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法定（授权）代表人：                法定（授权）代表人：</w:t>
      </w:r>
    </w:p>
    <w:p w14:paraId="3DD9139A">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电话：  </w:t>
      </w:r>
    </w:p>
    <w:p w14:paraId="47E62777">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93D2D9B">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账号：                              账号： </w:t>
      </w:r>
    </w:p>
    <w:p w14:paraId="677C9E40">
      <w:pPr>
        <w:pStyle w:val="28"/>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kern w:val="2"/>
          <w:sz w:val="24"/>
          <w:highlight w:val="none"/>
          <w:lang w:val="en-US" w:eastAsia="zh-CN" w:bidi="ar-SA"/>
        </w:rPr>
        <w:t>签字日期：    年   月    日         签字日期：      年     月     日</w:t>
      </w:r>
    </w:p>
    <w:p w14:paraId="58A654D9">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合同鉴证方:</w:t>
      </w:r>
    </w:p>
    <w:p w14:paraId="1BDB3E65">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法定代表人或主要负责人:</w:t>
      </w:r>
    </w:p>
    <w:p w14:paraId="14415683">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cs="宋体"/>
          <w:color w:val="auto"/>
          <w:sz w:val="30"/>
          <w:szCs w:val="30"/>
          <w:highlight w:val="none"/>
        </w:rPr>
      </w:pPr>
      <w:r>
        <w:rPr>
          <w:rFonts w:hint="eastAsia" w:ascii="宋体" w:hAnsi="宋体" w:eastAsia="宋体" w:cs="宋体"/>
          <w:color w:val="auto"/>
          <w:sz w:val="24"/>
          <w:highlight w:val="none"/>
        </w:rPr>
        <w:t>鉴证日期:            年  月  日</w:t>
      </w:r>
      <w:bookmarkEnd w:id="27"/>
      <w:bookmarkEnd w:id="28"/>
      <w:bookmarkEnd w:id="29"/>
      <w:bookmarkEnd w:id="30"/>
      <w:bookmarkEnd w:id="31"/>
      <w:bookmarkEnd w:id="32"/>
      <w:bookmarkEnd w:id="33"/>
      <w:bookmarkEnd w:id="34"/>
    </w:p>
    <w:p w14:paraId="3102D854">
      <w:pPr>
        <w:pStyle w:val="27"/>
        <w:ind w:left="0" w:leftChars="0" w:firstLine="0" w:firstLineChars="0"/>
        <w:rPr>
          <w:rFonts w:hint="eastAsia" w:ascii="宋体" w:hAnsi="宋体" w:eastAsia="宋体" w:cs="宋体"/>
          <w:b/>
          <w:color w:val="auto"/>
          <w:sz w:val="36"/>
          <w:highlight w:val="none"/>
        </w:rPr>
      </w:pPr>
    </w:p>
    <w:p w14:paraId="419FE942">
      <w:pPr>
        <w:jc w:val="both"/>
        <w:outlineLvl w:val="9"/>
        <w:rPr>
          <w:rFonts w:hint="eastAsia" w:ascii="宋体" w:hAnsi="宋体" w:eastAsia="宋体" w:cs="宋体"/>
          <w:b/>
          <w:color w:val="auto"/>
          <w:sz w:val="36"/>
          <w:highlight w:val="none"/>
        </w:rPr>
      </w:pPr>
    </w:p>
    <w:p w14:paraId="1F61E141">
      <w:pPr>
        <w:jc w:val="center"/>
        <w:outlineLvl w:val="9"/>
        <w:rPr>
          <w:rFonts w:hint="eastAsia" w:ascii="宋体" w:hAnsi="宋体" w:eastAsia="宋体" w:cs="宋体"/>
          <w:b/>
          <w:color w:val="auto"/>
          <w:sz w:val="36"/>
          <w:highlight w:val="none"/>
        </w:rPr>
      </w:pPr>
    </w:p>
    <w:p w14:paraId="0F0B5550">
      <w:pPr>
        <w:jc w:val="center"/>
        <w:outlineLvl w:val="9"/>
        <w:rPr>
          <w:rFonts w:hint="eastAsia" w:ascii="宋体" w:hAnsi="宋体" w:eastAsia="宋体" w:cs="宋体"/>
          <w:b/>
          <w:color w:val="auto"/>
          <w:sz w:val="36"/>
          <w:highlight w:val="none"/>
        </w:rPr>
      </w:pPr>
    </w:p>
    <w:p w14:paraId="13E6FDA1">
      <w:pPr>
        <w:jc w:val="center"/>
        <w:outlineLvl w:val="9"/>
        <w:rPr>
          <w:rFonts w:hint="eastAsia" w:ascii="宋体" w:hAnsi="宋体" w:eastAsia="宋体" w:cs="宋体"/>
          <w:b/>
          <w:color w:val="auto"/>
          <w:sz w:val="36"/>
          <w:highlight w:val="none"/>
        </w:rPr>
      </w:pPr>
    </w:p>
    <w:p w14:paraId="0867E324">
      <w:pPr>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第六部分 应提交的有关格式范例</w:t>
      </w:r>
    </w:p>
    <w:p w14:paraId="714C2FA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55868D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1.投标文件由供应商根据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要求参照附件格式编制。</w:t>
      </w:r>
    </w:p>
    <w:p w14:paraId="22A6C00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2.供应商根据实际情况填写。</w:t>
      </w:r>
    </w:p>
    <w:p w14:paraId="4A09828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中没有参考格式的，供应商自行编制。</w:t>
      </w:r>
    </w:p>
    <w:p w14:paraId="5F35C4F0">
      <w:pPr>
        <w:pStyle w:val="28"/>
        <w:ind w:left="0" w:leftChars="0" w:firstLine="0" w:firstLineChars="0"/>
        <w:rPr>
          <w:rFonts w:hint="eastAsia" w:ascii="宋体" w:hAnsi="宋体" w:eastAsia="宋体" w:cs="宋体"/>
          <w:b/>
          <w:color w:val="auto"/>
          <w:kern w:val="2"/>
          <w:sz w:val="36"/>
          <w:highlight w:val="none"/>
        </w:rPr>
      </w:pPr>
    </w:p>
    <w:p w14:paraId="2C431212">
      <w:pPr>
        <w:pStyle w:val="28"/>
        <w:ind w:left="0" w:leftChars="0" w:firstLine="0" w:firstLineChars="0"/>
        <w:rPr>
          <w:rFonts w:hint="eastAsia" w:ascii="宋体" w:hAnsi="宋体" w:eastAsia="宋体" w:cs="宋体"/>
          <w:b/>
          <w:color w:val="auto"/>
          <w:kern w:val="2"/>
          <w:sz w:val="36"/>
          <w:highlight w:val="none"/>
        </w:rPr>
      </w:pPr>
    </w:p>
    <w:p w14:paraId="14C615D8">
      <w:pPr>
        <w:rPr>
          <w:rFonts w:hint="eastAsia" w:ascii="宋体" w:hAnsi="宋体" w:eastAsia="宋体" w:cs="宋体"/>
          <w:b/>
          <w:color w:val="auto"/>
          <w:sz w:val="36"/>
          <w:highlight w:val="none"/>
        </w:rPr>
      </w:pPr>
    </w:p>
    <w:p w14:paraId="7C8DA311">
      <w:pPr>
        <w:pStyle w:val="28"/>
        <w:ind w:firstLine="723"/>
        <w:rPr>
          <w:rFonts w:hint="eastAsia" w:ascii="宋体" w:hAnsi="宋体" w:eastAsia="宋体" w:cs="宋体"/>
          <w:b/>
          <w:color w:val="auto"/>
          <w:kern w:val="2"/>
          <w:sz w:val="36"/>
          <w:highlight w:val="none"/>
        </w:rPr>
      </w:pPr>
    </w:p>
    <w:p w14:paraId="4F03EA42">
      <w:pPr>
        <w:rPr>
          <w:rFonts w:hint="eastAsia" w:ascii="宋体" w:hAnsi="宋体" w:eastAsia="宋体" w:cs="宋体"/>
          <w:b/>
          <w:color w:val="auto"/>
          <w:sz w:val="36"/>
          <w:highlight w:val="none"/>
        </w:rPr>
      </w:pPr>
    </w:p>
    <w:p w14:paraId="428098DB">
      <w:pPr>
        <w:pStyle w:val="28"/>
        <w:ind w:firstLine="723"/>
        <w:rPr>
          <w:rFonts w:hint="eastAsia" w:ascii="宋体" w:hAnsi="宋体" w:eastAsia="宋体" w:cs="宋体"/>
          <w:b/>
          <w:color w:val="auto"/>
          <w:kern w:val="2"/>
          <w:sz w:val="36"/>
          <w:highlight w:val="none"/>
        </w:rPr>
      </w:pPr>
    </w:p>
    <w:p w14:paraId="5B2C6AAB">
      <w:pPr>
        <w:rPr>
          <w:rFonts w:hint="eastAsia" w:ascii="宋体" w:hAnsi="宋体" w:eastAsia="宋体" w:cs="宋体"/>
          <w:b/>
          <w:color w:val="auto"/>
          <w:sz w:val="36"/>
          <w:highlight w:val="none"/>
        </w:rPr>
      </w:pPr>
    </w:p>
    <w:p w14:paraId="5A42338E">
      <w:pPr>
        <w:pStyle w:val="28"/>
        <w:ind w:firstLine="723"/>
        <w:rPr>
          <w:rFonts w:hint="eastAsia" w:ascii="宋体" w:hAnsi="宋体" w:eastAsia="宋体" w:cs="宋体"/>
          <w:b/>
          <w:color w:val="auto"/>
          <w:kern w:val="2"/>
          <w:sz w:val="36"/>
          <w:highlight w:val="none"/>
        </w:rPr>
      </w:pPr>
    </w:p>
    <w:p w14:paraId="207A5B4C">
      <w:pPr>
        <w:rPr>
          <w:rFonts w:hint="eastAsia" w:ascii="宋体" w:hAnsi="宋体" w:eastAsia="宋体" w:cs="宋体"/>
          <w:b/>
          <w:color w:val="auto"/>
          <w:sz w:val="36"/>
          <w:highlight w:val="none"/>
        </w:rPr>
      </w:pPr>
    </w:p>
    <w:p w14:paraId="01C35501">
      <w:pPr>
        <w:rPr>
          <w:rFonts w:hint="eastAsia" w:ascii="宋体" w:hAnsi="宋体" w:eastAsia="宋体" w:cs="宋体"/>
          <w:b/>
          <w:color w:val="auto"/>
          <w:sz w:val="28"/>
          <w:szCs w:val="28"/>
          <w:highlight w:val="none"/>
        </w:rPr>
      </w:pPr>
    </w:p>
    <w:p w14:paraId="6D7851D2">
      <w:pPr>
        <w:rPr>
          <w:rFonts w:hint="eastAsia" w:ascii="宋体" w:hAnsi="宋体" w:eastAsia="宋体" w:cs="宋体"/>
          <w:b/>
          <w:color w:val="auto"/>
          <w:sz w:val="28"/>
          <w:szCs w:val="28"/>
          <w:highlight w:val="none"/>
        </w:rPr>
      </w:pPr>
    </w:p>
    <w:p w14:paraId="6C6E0971">
      <w:pPr>
        <w:rPr>
          <w:rFonts w:hint="eastAsia" w:ascii="宋体" w:hAnsi="宋体" w:eastAsia="宋体" w:cs="宋体"/>
          <w:b/>
          <w:color w:val="auto"/>
          <w:sz w:val="28"/>
          <w:szCs w:val="28"/>
          <w:highlight w:val="none"/>
        </w:rPr>
      </w:pPr>
    </w:p>
    <w:p w14:paraId="01E2F325">
      <w:pPr>
        <w:rPr>
          <w:rFonts w:hint="eastAsia" w:ascii="宋体" w:hAnsi="宋体" w:eastAsia="宋体" w:cs="宋体"/>
          <w:b/>
          <w:color w:val="auto"/>
          <w:sz w:val="28"/>
          <w:szCs w:val="28"/>
          <w:highlight w:val="none"/>
        </w:rPr>
      </w:pPr>
    </w:p>
    <w:p w14:paraId="7B6E9AC9">
      <w:pPr>
        <w:rPr>
          <w:rFonts w:hint="eastAsia" w:ascii="宋体" w:hAnsi="宋体" w:eastAsia="宋体" w:cs="宋体"/>
          <w:b/>
          <w:color w:val="auto"/>
          <w:sz w:val="28"/>
          <w:szCs w:val="28"/>
          <w:highlight w:val="none"/>
        </w:rPr>
      </w:pPr>
    </w:p>
    <w:p w14:paraId="3541E246">
      <w:pPr>
        <w:rPr>
          <w:rFonts w:hint="eastAsia" w:ascii="宋体" w:hAnsi="宋体" w:eastAsia="宋体" w:cs="宋体"/>
          <w:b/>
          <w:color w:val="auto"/>
          <w:sz w:val="28"/>
          <w:szCs w:val="28"/>
          <w:highlight w:val="none"/>
        </w:rPr>
      </w:pPr>
    </w:p>
    <w:p w14:paraId="3B8DFF65">
      <w:pPr>
        <w:rPr>
          <w:rFonts w:hint="eastAsia" w:ascii="宋体" w:hAnsi="宋体" w:eastAsia="宋体" w:cs="宋体"/>
          <w:b/>
          <w:color w:val="auto"/>
          <w:sz w:val="28"/>
          <w:szCs w:val="28"/>
          <w:highlight w:val="none"/>
        </w:rPr>
      </w:pPr>
    </w:p>
    <w:p w14:paraId="387ED9D7">
      <w:pPr>
        <w:rPr>
          <w:rFonts w:hint="eastAsia" w:ascii="宋体" w:hAnsi="宋体" w:eastAsia="宋体" w:cs="宋体"/>
          <w:b/>
          <w:color w:val="auto"/>
          <w:sz w:val="28"/>
          <w:szCs w:val="28"/>
          <w:highlight w:val="none"/>
        </w:rPr>
      </w:pPr>
    </w:p>
    <w:p w14:paraId="2BBDD8B4">
      <w:pPr>
        <w:rPr>
          <w:rFonts w:hint="eastAsia" w:ascii="宋体" w:hAnsi="宋体" w:eastAsia="宋体" w:cs="宋体"/>
          <w:b/>
          <w:color w:val="auto"/>
          <w:sz w:val="28"/>
          <w:szCs w:val="28"/>
          <w:highlight w:val="none"/>
        </w:rPr>
      </w:pPr>
    </w:p>
    <w:p w14:paraId="0544B16A">
      <w:pPr>
        <w:rPr>
          <w:rFonts w:hint="eastAsia" w:ascii="宋体" w:hAnsi="宋体" w:eastAsia="宋体" w:cs="宋体"/>
          <w:b/>
          <w:color w:val="auto"/>
          <w:sz w:val="28"/>
          <w:szCs w:val="28"/>
          <w:highlight w:val="none"/>
        </w:rPr>
      </w:pPr>
    </w:p>
    <w:p w14:paraId="009043F7">
      <w:pPr>
        <w:rPr>
          <w:rFonts w:hint="eastAsia" w:ascii="宋体" w:hAnsi="宋体" w:eastAsia="宋体" w:cs="宋体"/>
          <w:b/>
          <w:color w:val="auto"/>
          <w:sz w:val="28"/>
          <w:szCs w:val="28"/>
          <w:highlight w:val="none"/>
        </w:rPr>
      </w:pPr>
    </w:p>
    <w:p w14:paraId="59CC0F4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一、资格文件封面格式</w:t>
      </w:r>
    </w:p>
    <w:p w14:paraId="70B5DDA0">
      <w:pPr>
        <w:spacing w:line="240" w:lineRule="auto"/>
        <w:rPr>
          <w:rFonts w:hint="eastAsia" w:ascii="宋体" w:hAnsi="宋体" w:eastAsia="宋体" w:cs="宋体"/>
          <w:b/>
          <w:bCs/>
          <w:color w:val="auto"/>
          <w:sz w:val="40"/>
          <w:szCs w:val="40"/>
          <w:highlight w:val="none"/>
        </w:rPr>
      </w:pPr>
    </w:p>
    <w:p w14:paraId="2D4893AC">
      <w:pPr>
        <w:spacing w:line="240" w:lineRule="auto"/>
        <w:jc w:val="center"/>
        <w:rPr>
          <w:rFonts w:hint="eastAsia" w:ascii="宋体" w:hAnsi="宋体" w:eastAsia="宋体" w:cs="宋体"/>
          <w:b/>
          <w:bCs/>
          <w:color w:val="auto"/>
          <w:sz w:val="40"/>
          <w:szCs w:val="40"/>
          <w:highlight w:val="none"/>
        </w:rPr>
      </w:pPr>
    </w:p>
    <w:p w14:paraId="0A61C30C">
      <w:pPr>
        <w:spacing w:line="360" w:lineRule="auto"/>
        <w:jc w:val="center"/>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lang w:eastAsia="zh-CN"/>
        </w:rPr>
        <w:t>中共浦江县委宣传部2024年网络安全服务项目</w:t>
      </w:r>
    </w:p>
    <w:p w14:paraId="1F86D8C1">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1C135742">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（资格文件）</w:t>
      </w:r>
    </w:p>
    <w:p w14:paraId="424DDE6C">
      <w:pPr>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HJGK1310012024001</w:t>
      </w:r>
    </w:p>
    <w:p w14:paraId="3D70F800">
      <w:pPr>
        <w:spacing w:line="240" w:lineRule="auto"/>
        <w:jc w:val="center"/>
        <w:rPr>
          <w:rFonts w:hint="eastAsia" w:ascii="宋体" w:hAnsi="宋体" w:eastAsia="宋体" w:cs="宋体"/>
          <w:b/>
          <w:bCs/>
          <w:color w:val="auto"/>
          <w:sz w:val="28"/>
          <w:szCs w:val="28"/>
          <w:highlight w:val="none"/>
        </w:rPr>
      </w:pPr>
    </w:p>
    <w:p w14:paraId="768A667B">
      <w:pPr>
        <w:autoSpaceDE w:val="0"/>
        <w:autoSpaceDN w:val="0"/>
        <w:adjustRightInd w:val="0"/>
        <w:spacing w:line="360" w:lineRule="auto"/>
        <w:rPr>
          <w:rFonts w:hint="eastAsia" w:ascii="宋体" w:hAnsi="宋体" w:eastAsia="宋体" w:cs="宋体"/>
          <w:b/>
          <w:color w:val="auto"/>
          <w:sz w:val="32"/>
          <w:szCs w:val="32"/>
          <w:highlight w:val="none"/>
        </w:rPr>
      </w:pPr>
    </w:p>
    <w:p w14:paraId="7C9C0BCB">
      <w:pPr>
        <w:autoSpaceDE w:val="0"/>
        <w:autoSpaceDN w:val="0"/>
        <w:adjustRightInd w:val="0"/>
        <w:spacing w:line="360" w:lineRule="auto"/>
        <w:rPr>
          <w:rFonts w:hint="eastAsia" w:ascii="宋体" w:hAnsi="宋体" w:eastAsia="宋体" w:cs="宋体"/>
          <w:b/>
          <w:color w:val="auto"/>
          <w:sz w:val="32"/>
          <w:szCs w:val="32"/>
          <w:highlight w:val="none"/>
        </w:rPr>
      </w:pPr>
    </w:p>
    <w:p w14:paraId="6EBE22D7">
      <w:pPr>
        <w:autoSpaceDE w:val="0"/>
        <w:autoSpaceDN w:val="0"/>
        <w:adjustRightInd w:val="0"/>
        <w:spacing w:line="360" w:lineRule="auto"/>
        <w:rPr>
          <w:rFonts w:hint="eastAsia" w:ascii="宋体" w:hAnsi="宋体" w:eastAsia="宋体" w:cs="宋体"/>
          <w:b/>
          <w:color w:val="auto"/>
          <w:sz w:val="32"/>
          <w:szCs w:val="32"/>
          <w:highlight w:val="none"/>
        </w:rPr>
      </w:pPr>
    </w:p>
    <w:p w14:paraId="6AD35BC5">
      <w:pPr>
        <w:autoSpaceDE w:val="0"/>
        <w:autoSpaceDN w:val="0"/>
        <w:adjustRightInd w:val="0"/>
        <w:spacing w:line="360" w:lineRule="auto"/>
        <w:rPr>
          <w:rFonts w:hint="eastAsia" w:ascii="宋体" w:hAnsi="宋体" w:eastAsia="宋体" w:cs="宋体"/>
          <w:b/>
          <w:color w:val="auto"/>
          <w:sz w:val="32"/>
          <w:szCs w:val="32"/>
          <w:highlight w:val="none"/>
        </w:rPr>
      </w:pPr>
    </w:p>
    <w:p w14:paraId="489D12FB">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62A16FB9">
      <w:pPr>
        <w:autoSpaceDE w:val="0"/>
        <w:autoSpaceDN w:val="0"/>
        <w:adjustRightInd w:val="0"/>
        <w:spacing w:line="360" w:lineRule="auto"/>
        <w:rPr>
          <w:rFonts w:hint="eastAsia" w:ascii="宋体" w:hAnsi="宋体" w:eastAsia="宋体" w:cs="宋体"/>
          <w:b/>
          <w:color w:val="auto"/>
          <w:sz w:val="32"/>
          <w:szCs w:val="32"/>
          <w:highlight w:val="none"/>
        </w:rPr>
      </w:pPr>
    </w:p>
    <w:p w14:paraId="0B2B96BF">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5B71A0EC">
      <w:pPr>
        <w:autoSpaceDE w:val="0"/>
        <w:autoSpaceDN w:val="0"/>
        <w:adjustRightInd w:val="0"/>
        <w:spacing w:line="360" w:lineRule="auto"/>
        <w:rPr>
          <w:rFonts w:hint="eastAsia" w:ascii="宋体" w:hAnsi="宋体" w:eastAsia="宋体" w:cs="宋体"/>
          <w:b/>
          <w:color w:val="auto"/>
          <w:sz w:val="32"/>
          <w:szCs w:val="32"/>
          <w:highlight w:val="none"/>
        </w:rPr>
      </w:pPr>
    </w:p>
    <w:p w14:paraId="72767462">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color w:val="auto"/>
          <w:sz w:val="32"/>
          <w:szCs w:val="32"/>
          <w:highlight w:val="none"/>
        </w:rPr>
        <w:t>时间：    年   月   日</w:t>
      </w:r>
    </w:p>
    <w:p w14:paraId="1C6889EF">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066CBF16">
      <w:pPr>
        <w:tabs>
          <w:tab w:val="left" w:pos="720"/>
        </w:tabs>
        <w:adjustRightInd w:val="0"/>
        <w:snapToGrid w:val="0"/>
        <w:spacing w:line="336"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资格文件目录</w:t>
      </w:r>
    </w:p>
    <w:p w14:paraId="2E45BDC1">
      <w:pPr>
        <w:keepNext w:val="0"/>
        <w:keepLines w:val="0"/>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1.投标声明书（格式附后）</w:t>
      </w:r>
    </w:p>
    <w:p w14:paraId="68E57678">
      <w:pPr>
        <w:keepNext w:val="0"/>
        <w:keepLines w:val="0"/>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14:paraId="678D5E6B">
      <w:pPr>
        <w:keepNext w:val="0"/>
        <w:keepLines w:val="0"/>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14:paraId="748D734E">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投标人须在投标文件中出具符合以下情况的说明材料复印件（五选一）：</w:t>
      </w:r>
    </w:p>
    <w:p w14:paraId="0BACDBD1">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①如投标人是企业（包括合伙企业），提供在工商部门注册的有效“企业法人营业执照”或“营业执照”；</w:t>
      </w:r>
    </w:p>
    <w:p w14:paraId="0F098401">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②如投标人是事业单位，提供有效的“事业单位法人证书”；</w:t>
      </w:r>
    </w:p>
    <w:p w14:paraId="2FD39BB7">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③如投标人是非企业专业服务机构的，提供执业许可证等说明文件；</w:t>
      </w:r>
    </w:p>
    <w:p w14:paraId="71A4BFCE">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④如投标人是个体工商户，提供有效的“个体工商户营业执照”；</w:t>
      </w:r>
    </w:p>
    <w:p w14:paraId="5755A998">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⑤如投标人是自然人，提供有效的自然人身份说明（居民身份证正反面或公安机关出具的临时居民身份证正反面或港澳台胞证或护照）。</w:t>
      </w:r>
    </w:p>
    <w:p w14:paraId="2E2A53B7">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2E58DFAD">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接受联合体投标的项目，投标供应商为联合体的，联合体各方均须提供。</w:t>
      </w:r>
    </w:p>
    <w:p w14:paraId="0E91846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22" w:firstLineChars="200"/>
        <w:textAlignment w:val="auto"/>
        <w:rPr>
          <w:rFonts w:hint="eastAsia"/>
          <w:color w:val="auto"/>
          <w:highlight w:val="none"/>
        </w:rPr>
      </w:pPr>
      <w:r>
        <w:rPr>
          <w:rFonts w:hint="eastAsia" w:ascii="宋体" w:hAnsi="宋体" w:cs="宋体"/>
          <w:b/>
          <w:bCs/>
          <w:color w:val="auto"/>
          <w:sz w:val="21"/>
          <w:szCs w:val="24"/>
          <w:highlight w:val="none"/>
          <w:lang w:val="en-US" w:eastAsia="zh-CN"/>
        </w:rPr>
        <w:t>4.</w:t>
      </w:r>
      <w:r>
        <w:rPr>
          <w:rFonts w:hint="eastAsia" w:ascii="宋体" w:hAnsi="宋体" w:eastAsia="宋体" w:cs="宋体"/>
          <w:b/>
          <w:bCs/>
          <w:color w:val="auto"/>
          <w:sz w:val="21"/>
          <w:szCs w:val="24"/>
          <w:highlight w:val="none"/>
        </w:rPr>
        <w:t>特定资格条件：</w:t>
      </w:r>
      <w:r>
        <w:rPr>
          <w:rFonts w:hint="eastAsia" w:ascii="宋体" w:hAnsi="宋体" w:eastAsia="宋体" w:cs="宋体"/>
          <w:b/>
          <w:bCs/>
          <w:color w:val="auto"/>
          <w:sz w:val="21"/>
          <w:szCs w:val="24"/>
          <w:highlight w:val="none"/>
          <w:lang w:val="en-US" w:eastAsia="zh-CN"/>
        </w:rPr>
        <w:t>无</w:t>
      </w:r>
      <w:r>
        <w:rPr>
          <w:rFonts w:hint="eastAsia" w:ascii="宋体" w:hAnsi="宋体" w:eastAsia="宋体" w:cs="宋体"/>
          <w:b/>
          <w:bCs/>
          <w:color w:val="auto"/>
          <w:sz w:val="21"/>
          <w:szCs w:val="24"/>
          <w:highlight w:val="none"/>
          <w:lang w:eastAsia="zh-CN"/>
        </w:rPr>
        <w:t>。</w:t>
      </w:r>
    </w:p>
    <w:p w14:paraId="19B6ACF7">
      <w:pPr>
        <w:pStyle w:val="2"/>
        <w:rPr>
          <w:rFonts w:hint="default"/>
          <w:color w:val="auto"/>
          <w:highlight w:val="none"/>
          <w:lang w:val="en-US"/>
        </w:rPr>
      </w:pPr>
      <w:r>
        <w:rPr>
          <w:rFonts w:hint="eastAsia" w:ascii="宋体" w:hAnsi="宋体" w:eastAsia="宋体" w:cs="宋体"/>
          <w:b/>
          <w:bCs/>
          <w:color w:val="auto"/>
          <w:sz w:val="21"/>
          <w:szCs w:val="24"/>
          <w:highlight w:val="none"/>
          <w:lang w:val="en-US" w:eastAsia="zh-CN"/>
        </w:rPr>
        <w:t xml:space="preserve">   </w:t>
      </w:r>
    </w:p>
    <w:p w14:paraId="4103A3B6">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Cs w:val="21"/>
          <w:highlight w:val="none"/>
        </w:rPr>
      </w:pPr>
    </w:p>
    <w:p w14:paraId="1B86A0F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0335FB4">
      <w:pPr>
        <w:keepNext w:val="0"/>
        <w:keepLines w:val="0"/>
        <w:pageBreakBefore w:val="0"/>
        <w:widowControl w:val="0"/>
        <w:kinsoku/>
        <w:wordWrap/>
        <w:overflowPunct/>
        <w:topLinePunct w:val="0"/>
        <w:autoSpaceDE/>
        <w:autoSpaceDN/>
        <w:bidi w:val="0"/>
        <w:spacing w:line="420" w:lineRule="atLeast"/>
        <w:ind w:firstLine="482" w:firstLineChars="200"/>
        <w:textAlignment w:val="auto"/>
        <w:rPr>
          <w:rFonts w:hint="eastAsia" w:ascii="宋体" w:hAnsi="宋体" w:eastAsia="宋体" w:cs="宋体"/>
          <w:b/>
          <w:bCs/>
          <w:color w:val="auto"/>
          <w:sz w:val="24"/>
          <w:szCs w:val="24"/>
          <w:highlight w:val="none"/>
          <w:u w:val="single"/>
        </w:rPr>
      </w:pPr>
    </w:p>
    <w:p w14:paraId="533478A4">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u w:val="single"/>
        </w:rPr>
        <w:t>附后无格式部分由投标人根据</w:t>
      </w:r>
      <w:r>
        <w:rPr>
          <w:rFonts w:hint="eastAsia" w:ascii="宋体" w:hAnsi="宋体" w:eastAsia="宋体" w:cs="宋体"/>
          <w:b/>
          <w:bCs/>
          <w:color w:val="auto"/>
          <w:sz w:val="24"/>
          <w:szCs w:val="24"/>
          <w:highlight w:val="none"/>
          <w:u w:val="single"/>
          <w:lang w:eastAsia="zh-CN"/>
        </w:rPr>
        <w:t>采购文件</w:t>
      </w:r>
      <w:r>
        <w:rPr>
          <w:rFonts w:hint="eastAsia" w:ascii="宋体" w:hAnsi="宋体" w:eastAsia="宋体" w:cs="宋体"/>
          <w:b/>
          <w:bCs/>
          <w:color w:val="auto"/>
          <w:sz w:val="24"/>
          <w:szCs w:val="24"/>
          <w:highlight w:val="none"/>
          <w:u w:val="single"/>
        </w:rPr>
        <w:t>规定自行编制</w:t>
      </w:r>
    </w:p>
    <w:p w14:paraId="0FA3CC0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508F96D8">
      <w:pPr>
        <w:keepNext w:val="0"/>
        <w:keepLines w:val="0"/>
        <w:pageBreakBefore w:val="0"/>
        <w:widowControl w:val="0"/>
        <w:kinsoku/>
        <w:wordWrap/>
        <w:overflowPunct/>
        <w:topLinePunct w:val="0"/>
        <w:autoSpaceDE/>
        <w:autoSpaceDN/>
        <w:bidi w:val="0"/>
        <w:adjustRightInd/>
        <w:snapToGrid w:val="0"/>
        <w:spacing w:beforeLines="50" w:after="50"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30"/>
          <w:szCs w:val="24"/>
          <w:highlight w:val="none"/>
        </w:rPr>
        <w:t>投标声明书</w:t>
      </w:r>
    </w:p>
    <w:p w14:paraId="1D66AC73">
      <w:pPr>
        <w:keepNext w:val="0"/>
        <w:keepLines w:val="0"/>
        <w:pageBreakBefore w:val="0"/>
        <w:widowControl w:val="0"/>
        <w:kinsoku/>
        <w:wordWrap/>
        <w:overflowPunct/>
        <w:topLinePunct w:val="0"/>
        <w:autoSpaceDE/>
        <w:autoSpaceDN/>
        <w:bidi w:val="0"/>
        <w:adjustRightInd/>
        <w:snapToGrid w:val="0"/>
        <w:spacing w:beforeLines="50" w:after="50"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1ECA62AE">
      <w:pPr>
        <w:keepNext w:val="0"/>
        <w:keepLines w:val="0"/>
        <w:pageBreakBefore w:val="0"/>
        <w:widowControl w:val="0"/>
        <w:kinsoku/>
        <w:wordWrap/>
        <w:overflowPunct/>
        <w:topLinePunct w:val="0"/>
        <w:autoSpaceDE/>
        <w:autoSpaceDN/>
        <w:bidi w:val="0"/>
        <w:adjustRightInd/>
        <w:snapToGrid w:val="0"/>
        <w:spacing w:beforeLines="50" w:after="50" w:line="36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DC45AE">
      <w:pPr>
        <w:keepNext w:val="0"/>
        <w:keepLines w:val="0"/>
        <w:pageBreakBefore w:val="0"/>
        <w:widowControl w:val="0"/>
        <w:kinsoku/>
        <w:wordWrap/>
        <w:overflowPunct/>
        <w:topLinePunct w:val="0"/>
        <w:autoSpaceDE/>
        <w:autoSpaceDN/>
        <w:bidi w:val="0"/>
        <w:adjustRightInd/>
        <w:snapToGrid w:val="0"/>
        <w:spacing w:beforeLines="50" w:after="50" w:line="360" w:lineRule="exact"/>
        <w:ind w:firstLine="64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0C83859B">
      <w:pPr>
        <w:keepNext w:val="0"/>
        <w:keepLines w:val="0"/>
        <w:pageBreakBefore w:val="0"/>
        <w:widowControl w:val="0"/>
        <w:kinsoku/>
        <w:wordWrap/>
        <w:overflowPunct/>
        <w:topLinePunct w:val="0"/>
        <w:autoSpaceDE/>
        <w:autoSpaceDN/>
        <w:bidi w:val="0"/>
        <w:adjustRightInd/>
        <w:spacing w:line="36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highlight w:val="none"/>
        </w:rPr>
        <w:t>1.我方向贵方提交的所有投标文件、资料都是准确的和真实的。若未中标，我单位同意采购人免费采用我单位全部或部分方案。</w:t>
      </w:r>
    </w:p>
    <w:p w14:paraId="38E0CA35">
      <w:pPr>
        <w:keepNext w:val="0"/>
        <w:keepLines w:val="0"/>
        <w:pageBreakBefore w:val="0"/>
        <w:widowControl w:val="0"/>
        <w:kinsoku/>
        <w:wordWrap/>
        <w:overflowPunct/>
        <w:topLinePunct w:val="0"/>
        <w:autoSpaceDE/>
        <w:autoSpaceDN/>
        <w:bidi w:val="0"/>
        <w:adjustRightInd/>
        <w:snapToGrid w:val="0"/>
        <w:spacing w:beforeLines="50"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 我们承诺，与为采购人采购本次招标的服务进行编制规范和其他文件所委托的咨询公司或其附属机构无任何直接或间接的关联。</w:t>
      </w:r>
    </w:p>
    <w:p w14:paraId="3E62E189">
      <w:pPr>
        <w:keepNext w:val="0"/>
        <w:keepLines w:val="0"/>
        <w:pageBreakBefore w:val="0"/>
        <w:widowControl w:val="0"/>
        <w:kinsoku/>
        <w:wordWrap/>
        <w:overflowPunct/>
        <w:topLinePunct w:val="0"/>
        <w:autoSpaceDE/>
        <w:autoSpaceDN/>
        <w:bidi w:val="0"/>
        <w:adjustRightInd/>
        <w:snapToGrid w:val="0"/>
        <w:spacing w:beforeLines="50"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3.我方此次向贵方提供的服务名称为：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，该服务我方有能力完成。</w:t>
      </w:r>
    </w:p>
    <w:p w14:paraId="5E535E75">
      <w:pPr>
        <w:keepNext w:val="0"/>
        <w:keepLines w:val="0"/>
        <w:pageBreakBefore w:val="0"/>
        <w:widowControl w:val="0"/>
        <w:kinsoku/>
        <w:wordWrap/>
        <w:overflowPunct/>
        <w:topLinePunct w:val="0"/>
        <w:autoSpaceDE/>
        <w:autoSpaceDN/>
        <w:bidi w:val="0"/>
        <w:adjustRightInd/>
        <w:snapToGrid w:val="0"/>
        <w:spacing w:beforeLines="50" w:line="3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4.我方诚意提请贵方关注：近期有关服务的组织、人员、能力、售后服务等方面的重大决策和事项有：</w:t>
      </w:r>
      <w:r>
        <w:rPr>
          <w:rFonts w:hint="eastAsia" w:ascii="宋体" w:hAnsi="宋体" w:eastAsia="宋体" w:cs="宋体"/>
          <w:color w:val="auto"/>
          <w:sz w:val="24"/>
          <w:szCs w:val="24"/>
          <w:highlight w:val="none"/>
          <w:u w:val="single"/>
        </w:rPr>
        <w:t>　　　　　　　　　　　　　　　　　　　　　　　　　</w:t>
      </w:r>
    </w:p>
    <w:p w14:paraId="73420C67">
      <w:pPr>
        <w:keepNext w:val="0"/>
        <w:keepLines w:val="0"/>
        <w:pageBreakBefore w:val="0"/>
        <w:widowControl w:val="0"/>
        <w:kinsoku/>
        <w:wordWrap/>
        <w:overflowPunct/>
        <w:topLinePunct w:val="0"/>
        <w:autoSpaceDE/>
        <w:autoSpaceDN/>
        <w:bidi w:val="0"/>
        <w:adjustRightInd/>
        <w:snapToGrid w:val="0"/>
        <w:spacing w:line="360" w:lineRule="exact"/>
        <w:ind w:firstLine="464" w:firstLineChars="200"/>
        <w:textAlignment w:val="auto"/>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rPr>
        <w:t>5.我方及由本人担任法定代表人的其他机构最近三年内被通报或者被处罚的违法行为有：</w:t>
      </w:r>
      <w:r>
        <w:rPr>
          <w:rFonts w:hint="eastAsia" w:ascii="宋体" w:hAnsi="宋体" w:eastAsia="宋体" w:cs="宋体"/>
          <w:color w:val="auto"/>
          <w:spacing w:val="-4"/>
          <w:sz w:val="24"/>
          <w:highlight w:val="none"/>
          <w:u w:val="single"/>
        </w:rPr>
        <w:t>　　　　　　　　　　　　　　　　　　　　　　　　　　　</w:t>
      </w:r>
    </w:p>
    <w:p w14:paraId="43F204BE">
      <w:pPr>
        <w:keepNext w:val="0"/>
        <w:keepLines w:val="0"/>
        <w:pageBreakBefore w:val="0"/>
        <w:widowControl w:val="0"/>
        <w:kinsoku/>
        <w:wordWrap/>
        <w:overflowPunct/>
        <w:topLinePunct w:val="0"/>
        <w:autoSpaceDE/>
        <w:autoSpaceDN/>
        <w:bidi w:val="0"/>
        <w:adjustRightInd/>
        <w:spacing w:line="36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highlight w:val="none"/>
        </w:rPr>
        <w:t>6.</w:t>
      </w:r>
      <w:r>
        <w:rPr>
          <w:rFonts w:hint="eastAsia" w:ascii="宋体" w:hAnsi="宋体" w:eastAsia="宋体" w:cs="宋体"/>
          <w:color w:val="auto"/>
          <w:spacing w:val="-4"/>
          <w:sz w:val="24"/>
          <w:szCs w:val="24"/>
          <w:highlight w:val="none"/>
        </w:rPr>
        <w:t>我们已详细审查全部</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及有关的澄清、修改文件（若有的话），我们完全理解并同意放弃对这方面提出任何异议的权利。保证遵守</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有关条款规定。</w:t>
      </w:r>
    </w:p>
    <w:p w14:paraId="2513D4A4">
      <w:pPr>
        <w:keepNext w:val="0"/>
        <w:keepLines w:val="0"/>
        <w:pageBreakBefore w:val="0"/>
        <w:widowControl w:val="0"/>
        <w:kinsoku/>
        <w:wordWrap/>
        <w:overflowPunct/>
        <w:topLinePunct w:val="0"/>
        <w:autoSpaceDE/>
        <w:autoSpaceDN/>
        <w:bidi w:val="0"/>
        <w:adjustRightInd/>
        <w:spacing w:line="36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highlight w:val="none"/>
        </w:rPr>
        <w:t>7.</w:t>
      </w:r>
      <w:r>
        <w:rPr>
          <w:rFonts w:hint="eastAsia" w:ascii="宋体" w:hAnsi="宋体" w:eastAsia="宋体" w:cs="宋体"/>
          <w:color w:val="auto"/>
          <w:spacing w:val="-4"/>
          <w:sz w:val="24"/>
          <w:szCs w:val="24"/>
          <w:highlight w:val="none"/>
        </w:rPr>
        <w:t xml:space="preserve"> 保证在中标后忠实地执行与采购人所签署的合同，并承担合同规定的责任义务。保证在中标后按照</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的规定支付采购代理服务费。承诺按采购人要求做好保密工作。</w:t>
      </w:r>
    </w:p>
    <w:p w14:paraId="78C58018">
      <w:pPr>
        <w:keepNext w:val="0"/>
        <w:keepLines w:val="0"/>
        <w:pageBreakBefore w:val="0"/>
        <w:widowControl w:val="0"/>
        <w:kinsoku/>
        <w:wordWrap/>
        <w:overflowPunct/>
        <w:topLinePunct w:val="0"/>
        <w:autoSpaceDE/>
        <w:autoSpaceDN/>
        <w:bidi w:val="0"/>
        <w:adjustRightInd/>
        <w:spacing w:line="36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highlight w:val="none"/>
        </w:rPr>
        <w:t>8.</w:t>
      </w:r>
      <w:r>
        <w:rPr>
          <w:rFonts w:hint="eastAsia" w:ascii="宋体" w:hAnsi="宋体" w:eastAsia="宋体" w:cs="宋体"/>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highlight w:val="none"/>
        </w:rPr>
        <w:t>未被列入失信被执行人名单、重大税收违法失信主体、政府采购严重违法失信行为记录名单。</w:t>
      </w:r>
    </w:p>
    <w:p w14:paraId="0DDA758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9.以上事项如有虚假或隐瞒，我方愿意承担一切后果，并不再寻求任何旨在减轻或免除法律责任的辩解。</w:t>
      </w:r>
    </w:p>
    <w:p w14:paraId="2476B529">
      <w:pPr>
        <w:keepNext w:val="0"/>
        <w:keepLines w:val="0"/>
        <w:pageBreakBefore w:val="0"/>
        <w:widowControl w:val="0"/>
        <w:kinsoku/>
        <w:wordWrap/>
        <w:overflowPunct/>
        <w:topLinePunct w:val="0"/>
        <w:autoSpaceDE/>
        <w:autoSpaceDN/>
        <w:bidi w:val="0"/>
        <w:adjustRightInd/>
        <w:snapToGrid w:val="0"/>
        <w:spacing w:beforeLines="50" w:line="360" w:lineRule="exact"/>
        <w:ind w:firstLine="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18186070">
      <w:pPr>
        <w:keepNext w:val="0"/>
        <w:keepLines w:val="0"/>
        <w:pageBreakBefore w:val="0"/>
        <w:widowControl w:val="0"/>
        <w:kinsoku/>
        <w:wordWrap/>
        <w:overflowPunct/>
        <w:topLinePunct w:val="0"/>
        <w:autoSpaceDE/>
        <w:autoSpaceDN/>
        <w:bidi w:val="0"/>
        <w:adjustRightInd/>
        <w:snapToGrid w:val="0"/>
        <w:spacing w:beforeLines="50" w:after="50"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2927FB">
      <w:pPr>
        <w:keepNext w:val="0"/>
        <w:keepLines w:val="0"/>
        <w:pageBreakBefore w:val="0"/>
        <w:widowControl w:val="0"/>
        <w:kinsoku/>
        <w:wordWrap/>
        <w:overflowPunct/>
        <w:topLinePunct w:val="0"/>
        <w:autoSpaceDE/>
        <w:autoSpaceDN/>
        <w:bidi w:val="0"/>
        <w:adjustRightInd/>
        <w:snapToGrid w:val="0"/>
        <w:spacing w:before="50" w:afterLines="50"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050DA8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A7EF297">
      <w:pPr>
        <w:keepNext w:val="0"/>
        <w:keepLines w:val="0"/>
        <w:pageBreakBefore w:val="0"/>
        <w:widowControl w:val="0"/>
        <w:kinsoku/>
        <w:wordWrap/>
        <w:overflowPunct/>
        <w:topLinePunct w:val="0"/>
        <w:autoSpaceDE/>
        <w:autoSpaceDN/>
        <w:bidi w:val="0"/>
        <w:adjustRightInd/>
        <w:snapToGrid w:val="0"/>
        <w:spacing w:before="50" w:afterLines="50"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资格承诺函格式：</w:t>
      </w:r>
    </w:p>
    <w:p w14:paraId="68DA2E52">
      <w:pPr>
        <w:keepNext w:val="0"/>
        <w:keepLines w:val="0"/>
        <w:pageBreakBefore w:val="0"/>
        <w:widowControl w:val="0"/>
        <w:kinsoku/>
        <w:wordWrap/>
        <w:overflowPunct/>
        <w:topLinePunct w:val="0"/>
        <w:autoSpaceDE/>
        <w:autoSpaceDN/>
        <w:bidi w:val="0"/>
        <w:adjustRightInd/>
        <w:snapToGrid w:val="0"/>
        <w:spacing w:beforeLines="50" w:after="50" w:line="400" w:lineRule="exact"/>
        <w:jc w:val="center"/>
        <w:textAlignment w:val="auto"/>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3B155257">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color w:val="auto"/>
          <w:kern w:val="0"/>
          <w:sz w:val="24"/>
          <w:szCs w:val="24"/>
          <w:highlight w:val="none"/>
          <w:u w:val="single"/>
        </w:rPr>
      </w:pPr>
    </w:p>
    <w:p w14:paraId="30ADF1CC">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（采购人）、（采购代理机构）</w:t>
      </w:r>
      <w:r>
        <w:rPr>
          <w:rFonts w:hint="eastAsia" w:ascii="宋体" w:hAnsi="宋体" w:eastAsia="宋体" w:cs="宋体"/>
          <w:color w:val="auto"/>
          <w:kern w:val="0"/>
          <w:sz w:val="24"/>
          <w:szCs w:val="24"/>
          <w:highlight w:val="none"/>
        </w:rPr>
        <w:t>：</w:t>
      </w:r>
    </w:p>
    <w:p w14:paraId="0752EB62">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66F68D7C">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184CC935">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2A873E02">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2.具有良好的商业信誉和健全的财务会计制度； </w:t>
      </w:r>
    </w:p>
    <w:p w14:paraId="18946DF3">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2168B4C5">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1BE5C21D">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14:paraId="5B171EE7">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6.具有法律、行政法规规定的其他条件。</w:t>
      </w:r>
    </w:p>
    <w:p w14:paraId="26A9CA44">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（二）未被信用中国（www.creditchina.gov.cn)、中国政府采购网（www.ccgp.gov.cn）列入失信被执行人、重大税收违法失信主体、政府采购严重违法失信行为记录名单。</w:t>
      </w:r>
    </w:p>
    <w:p w14:paraId="05DB6E82">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76A31499">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1.单位负责人</w:t>
      </w:r>
      <w:r>
        <w:rPr>
          <w:rFonts w:hint="eastAsia" w:ascii="宋体" w:hAnsi="宋体" w:eastAsia="宋体" w:cs="宋体"/>
          <w:color w:val="auto"/>
          <w:sz w:val="24"/>
          <w:highlight w:val="none"/>
        </w:rPr>
        <w:t>（指法定代表人或者法律、行政法规规定代表单位行使职权的主要负责人）</w:t>
      </w:r>
      <w:r>
        <w:rPr>
          <w:rFonts w:hint="eastAsia" w:ascii="宋体" w:hAnsi="宋体" w:eastAsia="宋体" w:cs="宋体"/>
          <w:color w:val="auto"/>
          <w:kern w:val="0"/>
          <w:sz w:val="24"/>
          <w:szCs w:val="24"/>
          <w:highlight w:val="none"/>
        </w:rPr>
        <w:t>为同一人或者存在直接控股、管理关系的不同供应商参加同一合同项下的政府采购活动的；</w:t>
      </w:r>
    </w:p>
    <w:p w14:paraId="4F8DB088">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2.为采购项目提供整体设计、规范编制或者项目管理、监理、检测等服务后再参加该采购项目的其他采购活动的</w:t>
      </w:r>
      <w:r>
        <w:rPr>
          <w:rFonts w:hint="eastAsia" w:ascii="宋体" w:hAnsi="宋体" w:eastAsia="宋体" w:cs="宋体"/>
          <w:color w:val="auto"/>
          <w:sz w:val="24"/>
          <w:highlight w:val="none"/>
        </w:rPr>
        <w:t>（不包括为该项目提供整体设计、规范编制或者项目管理、监理、检测等服务）</w:t>
      </w:r>
      <w:r>
        <w:rPr>
          <w:rFonts w:hint="eastAsia" w:ascii="宋体" w:hAnsi="宋体" w:eastAsia="宋体" w:cs="宋体"/>
          <w:color w:val="auto"/>
          <w:kern w:val="0"/>
          <w:sz w:val="24"/>
          <w:szCs w:val="24"/>
          <w:highlight w:val="none"/>
        </w:rPr>
        <w:t>。</w:t>
      </w:r>
    </w:p>
    <w:p w14:paraId="1BE858F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4CCB530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特此承诺！</w:t>
      </w:r>
    </w:p>
    <w:p w14:paraId="5D3508B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4"/>
          <w:highlight w:val="none"/>
        </w:rPr>
      </w:pPr>
    </w:p>
    <w:p w14:paraId="6A90935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投标人名称（电子签章）：</w:t>
      </w:r>
      <w:r>
        <w:rPr>
          <w:rFonts w:hint="eastAsia" w:ascii="宋体" w:hAnsi="宋体" w:eastAsia="宋体" w:cs="宋体"/>
          <w:color w:val="auto"/>
          <w:kern w:val="0"/>
          <w:szCs w:val="24"/>
          <w:highlight w:val="none"/>
        </w:rPr>
        <w:t>__________________________________</w:t>
      </w:r>
    </w:p>
    <w:p w14:paraId="5C592F7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日期：________年____月____日</w:t>
      </w:r>
    </w:p>
    <w:p w14:paraId="43A266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Cs w:val="24"/>
          <w:highlight w:val="none"/>
        </w:rPr>
      </w:pPr>
    </w:p>
    <w:p w14:paraId="217C1E2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编制说明：</w:t>
      </w:r>
      <w:r>
        <w:rPr>
          <w:rFonts w:hint="eastAsia" w:ascii="宋体" w:hAnsi="宋体" w:eastAsia="宋体" w:cs="宋体"/>
          <w:b/>
          <w:color w:val="auto"/>
          <w:kern w:val="0"/>
          <w:szCs w:val="24"/>
          <w:highlight w:val="none"/>
          <w:u w:val="single"/>
        </w:rPr>
        <w:t>接受联合体投标的项目，投标供应商为联合体的，联合体各方均须提供本承诺函，否则投标无效。</w:t>
      </w:r>
    </w:p>
    <w:p w14:paraId="62788007">
      <w:pPr>
        <w:keepNext w:val="0"/>
        <w:keepLines w:val="0"/>
        <w:pageBreakBefore w:val="0"/>
        <w:widowControl w:val="0"/>
        <w:kinsoku/>
        <w:wordWrap/>
        <w:overflowPunct/>
        <w:topLinePunct w:val="0"/>
        <w:autoSpaceDE/>
        <w:autoSpaceDN/>
        <w:bidi w:val="0"/>
        <w:adjustRightInd/>
        <w:snapToGrid w:val="0"/>
        <w:spacing w:before="50" w:afterLines="50" w:line="400" w:lineRule="exact"/>
        <w:jc w:val="left"/>
        <w:textAlignment w:val="auto"/>
        <w:rPr>
          <w:rFonts w:hint="eastAsia" w:ascii="宋体" w:hAnsi="宋体" w:eastAsia="宋体" w:cs="宋体"/>
          <w:b/>
          <w:color w:val="auto"/>
          <w:sz w:val="24"/>
          <w:szCs w:val="24"/>
          <w:highlight w:val="none"/>
        </w:rPr>
      </w:pPr>
    </w:p>
    <w:p w14:paraId="261D6DB9">
      <w:pPr>
        <w:keepNext w:val="0"/>
        <w:keepLines w:val="0"/>
        <w:pageBreakBefore w:val="0"/>
        <w:widowControl w:val="0"/>
        <w:kinsoku/>
        <w:wordWrap/>
        <w:overflowPunct/>
        <w:topLinePunct w:val="0"/>
        <w:autoSpaceDE/>
        <w:autoSpaceDN/>
        <w:bidi w:val="0"/>
        <w:adjustRightInd/>
        <w:snapToGrid w:val="0"/>
        <w:spacing w:before="50" w:afterLines="50" w:line="400" w:lineRule="exact"/>
        <w:jc w:val="left"/>
        <w:textAlignment w:val="auto"/>
        <w:rPr>
          <w:rFonts w:hint="eastAsia" w:ascii="宋体" w:hAnsi="宋体" w:eastAsia="宋体" w:cs="宋体"/>
          <w:b/>
          <w:color w:val="auto"/>
          <w:sz w:val="24"/>
          <w:szCs w:val="24"/>
          <w:highlight w:val="none"/>
        </w:rPr>
      </w:pPr>
    </w:p>
    <w:p w14:paraId="2731F1AE">
      <w:pPr>
        <w:keepNext w:val="0"/>
        <w:keepLines w:val="0"/>
        <w:pageBreakBefore w:val="0"/>
        <w:widowControl w:val="0"/>
        <w:kinsoku/>
        <w:wordWrap/>
        <w:overflowPunct/>
        <w:topLinePunct w:val="0"/>
        <w:autoSpaceDE/>
        <w:autoSpaceDN/>
        <w:bidi w:val="0"/>
        <w:adjustRightInd/>
        <w:snapToGrid w:val="0"/>
        <w:spacing w:before="50" w:afterLines="50" w:line="400" w:lineRule="exact"/>
        <w:jc w:val="left"/>
        <w:textAlignment w:val="auto"/>
        <w:rPr>
          <w:rFonts w:hint="eastAsia" w:ascii="宋体" w:hAnsi="宋体" w:eastAsia="宋体" w:cs="宋体"/>
          <w:b/>
          <w:color w:val="auto"/>
          <w:sz w:val="24"/>
          <w:szCs w:val="24"/>
          <w:highlight w:val="none"/>
        </w:rPr>
      </w:pPr>
    </w:p>
    <w:p w14:paraId="5E95B501">
      <w:pPr>
        <w:autoSpaceDE w:val="0"/>
        <w:autoSpaceDN w:val="0"/>
        <w:adjustRightInd w:val="0"/>
        <w:rPr>
          <w:rFonts w:hint="eastAsia" w:ascii="宋体" w:hAnsi="宋体" w:cs="宋体"/>
          <w:b/>
          <w:color w:val="auto"/>
          <w:sz w:val="32"/>
          <w:szCs w:val="32"/>
          <w:highlight w:val="none"/>
        </w:rPr>
        <w:sectPr>
          <w:footerReference r:id="rId7" w:type="default"/>
          <w:pgSz w:w="11906" w:h="16838"/>
          <w:pgMar w:top="1474" w:right="1191" w:bottom="1191" w:left="1474"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6F79837F">
      <w:pPr>
        <w:spacing w:line="24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二、商务技术文件封面格式</w:t>
      </w:r>
    </w:p>
    <w:p w14:paraId="385C1BEC">
      <w:pPr>
        <w:spacing w:line="240" w:lineRule="auto"/>
        <w:rPr>
          <w:rFonts w:hint="eastAsia" w:ascii="宋体" w:hAnsi="宋体" w:eastAsia="宋体" w:cs="宋体"/>
          <w:b/>
          <w:bCs/>
          <w:color w:val="auto"/>
          <w:sz w:val="40"/>
          <w:szCs w:val="40"/>
          <w:highlight w:val="none"/>
        </w:rPr>
      </w:pPr>
    </w:p>
    <w:p w14:paraId="2E406FE1">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cs="宋体"/>
          <w:b/>
          <w:bCs/>
          <w:color w:val="auto"/>
          <w:sz w:val="40"/>
          <w:szCs w:val="40"/>
          <w:highlight w:val="none"/>
          <w:lang w:eastAsia="zh-CN"/>
        </w:rPr>
        <w:t>中共浦江县委宣传部2024年网络安全服务项目</w:t>
      </w:r>
      <w:r>
        <w:rPr>
          <w:rFonts w:hint="eastAsia" w:ascii="宋体" w:hAnsi="宋体" w:eastAsia="宋体" w:cs="宋体"/>
          <w:color w:val="auto"/>
          <w:spacing w:val="40"/>
          <w:w w:val="90"/>
          <w:sz w:val="96"/>
          <w:szCs w:val="96"/>
          <w:highlight w:val="none"/>
          <w:lang w:bidi="th-TH"/>
        </w:rPr>
        <w:t>投 标 文 件</w:t>
      </w:r>
    </w:p>
    <w:p w14:paraId="17E12425">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（商务技术文件）</w:t>
      </w:r>
    </w:p>
    <w:p w14:paraId="1175082F">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328D9EAB">
      <w:pPr>
        <w:spacing w:line="240" w:lineRule="auto"/>
        <w:jc w:val="center"/>
        <w:rPr>
          <w:rFonts w:hint="eastAsia" w:ascii="宋体" w:hAnsi="宋体" w:eastAsia="宋体" w:cs="宋体"/>
          <w:b/>
          <w:bCs/>
          <w:color w:val="auto"/>
          <w:sz w:val="28"/>
          <w:szCs w:val="28"/>
          <w:highlight w:val="none"/>
        </w:rPr>
      </w:pPr>
    </w:p>
    <w:p w14:paraId="28B7BFD3">
      <w:pPr>
        <w:autoSpaceDE w:val="0"/>
        <w:autoSpaceDN w:val="0"/>
        <w:adjustRightInd w:val="0"/>
        <w:spacing w:line="360" w:lineRule="auto"/>
        <w:rPr>
          <w:rFonts w:hint="eastAsia" w:ascii="宋体" w:hAnsi="宋体" w:eastAsia="宋体" w:cs="宋体"/>
          <w:b/>
          <w:color w:val="auto"/>
          <w:sz w:val="32"/>
          <w:szCs w:val="32"/>
          <w:highlight w:val="none"/>
        </w:rPr>
      </w:pPr>
    </w:p>
    <w:p w14:paraId="1BFB942E">
      <w:pPr>
        <w:autoSpaceDE w:val="0"/>
        <w:autoSpaceDN w:val="0"/>
        <w:adjustRightInd w:val="0"/>
        <w:spacing w:line="360" w:lineRule="auto"/>
        <w:rPr>
          <w:rFonts w:hint="eastAsia" w:ascii="宋体" w:hAnsi="宋体" w:eastAsia="宋体" w:cs="宋体"/>
          <w:b/>
          <w:color w:val="auto"/>
          <w:sz w:val="32"/>
          <w:szCs w:val="32"/>
          <w:highlight w:val="none"/>
        </w:rPr>
      </w:pPr>
    </w:p>
    <w:p w14:paraId="38865A18">
      <w:pPr>
        <w:autoSpaceDE w:val="0"/>
        <w:autoSpaceDN w:val="0"/>
        <w:adjustRightInd w:val="0"/>
        <w:spacing w:line="360" w:lineRule="auto"/>
        <w:rPr>
          <w:rFonts w:hint="eastAsia" w:ascii="宋体" w:hAnsi="宋体" w:eastAsia="宋体" w:cs="宋体"/>
          <w:b/>
          <w:color w:val="auto"/>
          <w:sz w:val="32"/>
          <w:szCs w:val="32"/>
          <w:highlight w:val="none"/>
        </w:rPr>
      </w:pPr>
    </w:p>
    <w:p w14:paraId="33F0B977">
      <w:pPr>
        <w:autoSpaceDE w:val="0"/>
        <w:autoSpaceDN w:val="0"/>
        <w:adjustRightInd w:val="0"/>
        <w:spacing w:line="360" w:lineRule="auto"/>
        <w:rPr>
          <w:rFonts w:hint="eastAsia" w:ascii="宋体" w:hAnsi="宋体" w:eastAsia="宋体" w:cs="宋体"/>
          <w:b/>
          <w:color w:val="auto"/>
          <w:sz w:val="32"/>
          <w:szCs w:val="32"/>
          <w:highlight w:val="none"/>
        </w:rPr>
      </w:pPr>
    </w:p>
    <w:p w14:paraId="2E70A283">
      <w:pPr>
        <w:autoSpaceDE w:val="0"/>
        <w:autoSpaceDN w:val="0"/>
        <w:adjustRightInd w:val="0"/>
        <w:spacing w:line="360" w:lineRule="auto"/>
        <w:rPr>
          <w:rFonts w:hint="eastAsia" w:ascii="宋体" w:hAnsi="宋体" w:eastAsia="宋体" w:cs="宋体"/>
          <w:b/>
          <w:color w:val="auto"/>
          <w:sz w:val="32"/>
          <w:szCs w:val="32"/>
          <w:highlight w:val="none"/>
        </w:rPr>
      </w:pPr>
    </w:p>
    <w:p w14:paraId="78B33614">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00D05971">
      <w:pPr>
        <w:autoSpaceDE w:val="0"/>
        <w:autoSpaceDN w:val="0"/>
        <w:adjustRightInd w:val="0"/>
        <w:spacing w:line="360" w:lineRule="auto"/>
        <w:rPr>
          <w:rFonts w:hint="eastAsia" w:ascii="宋体" w:hAnsi="宋体" w:eastAsia="宋体" w:cs="宋体"/>
          <w:b/>
          <w:color w:val="auto"/>
          <w:sz w:val="32"/>
          <w:szCs w:val="32"/>
          <w:highlight w:val="none"/>
        </w:rPr>
      </w:pPr>
    </w:p>
    <w:p w14:paraId="33137E5F">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26936E77">
      <w:pPr>
        <w:autoSpaceDE w:val="0"/>
        <w:autoSpaceDN w:val="0"/>
        <w:adjustRightInd w:val="0"/>
        <w:spacing w:line="360" w:lineRule="auto"/>
        <w:rPr>
          <w:rFonts w:hint="eastAsia" w:ascii="宋体" w:hAnsi="宋体" w:eastAsia="宋体" w:cs="宋体"/>
          <w:b/>
          <w:color w:val="auto"/>
          <w:sz w:val="32"/>
          <w:szCs w:val="32"/>
          <w:highlight w:val="none"/>
        </w:rPr>
      </w:pPr>
    </w:p>
    <w:p w14:paraId="1E39EAC9">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color w:val="auto"/>
          <w:sz w:val="32"/>
          <w:szCs w:val="32"/>
          <w:highlight w:val="none"/>
        </w:rPr>
        <w:t>时间：    年   月   日</w:t>
      </w:r>
    </w:p>
    <w:p w14:paraId="572EF093">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13F48339">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商务技术文件目录</w:t>
      </w:r>
    </w:p>
    <w:p w14:paraId="7F60ABA4">
      <w:pPr>
        <w:snapToGrid w:val="0"/>
        <w:spacing w:before="50" w:afterLines="50" w:line="240" w:lineRule="auto"/>
        <w:jc w:val="left"/>
        <w:rPr>
          <w:rFonts w:hint="eastAsia" w:ascii="宋体" w:hAnsi="宋体" w:eastAsia="宋体" w:cs="宋体"/>
          <w:color w:val="auto"/>
          <w:sz w:val="24"/>
          <w:szCs w:val="24"/>
          <w:highlight w:val="none"/>
        </w:rPr>
      </w:pPr>
    </w:p>
    <w:p w14:paraId="6D3109B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1.投标人基本情况表（格式见附件）———————页码</w:t>
      </w:r>
    </w:p>
    <w:p w14:paraId="013926D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2.法定代表人资格说明书和法定代表人授权委托书</w:t>
      </w:r>
      <w:r>
        <w:rPr>
          <w:rFonts w:hint="eastAsia" w:ascii="宋体" w:hAnsi="宋体" w:eastAsia="宋体" w:cs="宋体"/>
          <w:color w:val="auto"/>
          <w:sz w:val="24"/>
          <w:szCs w:val="24"/>
          <w:highlight w:val="none"/>
        </w:rPr>
        <w:t>（法定代表人直接参加投标并对相应文件签字的，只需提供前者）</w:t>
      </w:r>
      <w:r>
        <w:rPr>
          <w:rFonts w:hint="eastAsia" w:ascii="宋体" w:hAnsi="宋体" w:eastAsia="宋体" w:cs="宋体"/>
          <w:color w:val="auto"/>
          <w:sz w:val="24"/>
          <w:szCs w:val="24"/>
          <w:highlight w:val="none"/>
        </w:rPr>
        <w:t>（格式见附件）—————页码</w:t>
      </w:r>
    </w:p>
    <w:p w14:paraId="698C20A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3.商务响应表（格式见附件）———————页码</w:t>
      </w:r>
    </w:p>
    <w:p w14:paraId="60B1C11C">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4.技术响应表（格式见附件）———————页码</w:t>
      </w:r>
    </w:p>
    <w:p w14:paraId="5DC203DC">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5.商务技术分自评表（格式见附件）———————页码</w:t>
      </w:r>
    </w:p>
    <w:p w14:paraId="4D5B1D3C">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cs="宋体"/>
          <w:color w:val="auto"/>
          <w:sz w:val="24"/>
          <w:szCs w:val="24"/>
          <w:highlight w:val="none"/>
          <w:lang w:eastAsia="zh-CN"/>
        </w:rPr>
        <w:t>同类项目业绩</w:t>
      </w:r>
      <w:r>
        <w:rPr>
          <w:rFonts w:hint="eastAsia" w:ascii="宋体" w:hAnsi="宋体" w:eastAsia="宋体" w:cs="宋体"/>
          <w:color w:val="auto"/>
          <w:sz w:val="24"/>
          <w:szCs w:val="24"/>
          <w:highlight w:val="none"/>
        </w:rPr>
        <w:t>———————页码</w:t>
      </w:r>
    </w:p>
    <w:p w14:paraId="58C3AB1E">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资质能力</w:t>
      </w:r>
      <w:r>
        <w:rPr>
          <w:rFonts w:hint="eastAsia" w:ascii="宋体" w:hAnsi="宋体" w:eastAsia="宋体" w:cs="宋体"/>
          <w:color w:val="auto"/>
          <w:sz w:val="24"/>
          <w:szCs w:val="24"/>
          <w:highlight w:val="none"/>
        </w:rPr>
        <w:t>———————页码</w:t>
      </w:r>
    </w:p>
    <w:p w14:paraId="29C8A3D7">
      <w:pPr>
        <w:spacing w:line="360" w:lineRule="auto"/>
        <w:ind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服务能力</w:t>
      </w:r>
      <w:r>
        <w:rPr>
          <w:rFonts w:hint="eastAsia" w:ascii="宋体" w:hAnsi="宋体" w:eastAsia="宋体" w:cs="宋体"/>
          <w:color w:val="auto"/>
          <w:sz w:val="24"/>
          <w:szCs w:val="24"/>
          <w:highlight w:val="none"/>
          <w:lang w:val="en-US" w:eastAsia="zh-CN"/>
        </w:rPr>
        <w:t>———————页码</w:t>
      </w:r>
    </w:p>
    <w:p w14:paraId="1547ECAB">
      <w:pPr>
        <w:spacing w:line="360" w:lineRule="auto"/>
        <w:ind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技术方案</w:t>
      </w:r>
      <w:r>
        <w:rPr>
          <w:rFonts w:hint="eastAsia" w:ascii="宋体" w:hAnsi="宋体" w:eastAsia="宋体" w:cs="宋体"/>
          <w:color w:val="auto"/>
          <w:sz w:val="24"/>
          <w:szCs w:val="24"/>
          <w:highlight w:val="none"/>
          <w:lang w:val="en-US" w:eastAsia="zh-CN"/>
        </w:rPr>
        <w:t>———————页码</w:t>
      </w:r>
    </w:p>
    <w:p w14:paraId="4EF5D16C">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r>
        <w:rPr>
          <w:rFonts w:hint="eastAsia" w:ascii="宋体" w:hAnsi="宋体" w:cs="宋体"/>
          <w:color w:val="auto"/>
          <w:sz w:val="24"/>
          <w:szCs w:val="24"/>
          <w:highlight w:val="none"/>
          <w:lang w:val="en-US" w:eastAsia="zh-CN"/>
        </w:rPr>
        <w:t>技术响应</w:t>
      </w:r>
      <w:r>
        <w:rPr>
          <w:rFonts w:hint="eastAsia" w:ascii="宋体" w:hAnsi="宋体" w:eastAsia="宋体" w:cs="宋体"/>
          <w:color w:val="auto"/>
          <w:sz w:val="24"/>
          <w:szCs w:val="24"/>
          <w:highlight w:val="none"/>
        </w:rPr>
        <w:t>———————页码</w:t>
      </w:r>
    </w:p>
    <w:p w14:paraId="44A0CDA1">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6服务团队</w:t>
      </w:r>
      <w:r>
        <w:rPr>
          <w:rFonts w:hint="eastAsia" w:ascii="宋体" w:hAnsi="宋体" w:eastAsia="宋体" w:cs="宋体"/>
          <w:color w:val="auto"/>
          <w:sz w:val="24"/>
          <w:szCs w:val="24"/>
          <w:highlight w:val="none"/>
        </w:rPr>
        <w:t>———————页码</w:t>
      </w:r>
    </w:p>
    <w:p w14:paraId="72250C67">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7售后服务</w:t>
      </w:r>
      <w:r>
        <w:rPr>
          <w:rFonts w:hint="eastAsia" w:ascii="宋体" w:hAnsi="宋体" w:eastAsia="宋体" w:cs="宋体"/>
          <w:color w:val="auto"/>
          <w:sz w:val="24"/>
          <w:szCs w:val="24"/>
          <w:highlight w:val="none"/>
        </w:rPr>
        <w:t>———————页码</w:t>
      </w:r>
    </w:p>
    <w:p w14:paraId="3AC482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6.投标人需要说明的其他（对照相应项目评分标准，由投标人自行考虑）——页码。</w:t>
      </w:r>
    </w:p>
    <w:p w14:paraId="1680B052">
      <w:pPr>
        <w:spacing w:line="460" w:lineRule="exact"/>
        <w:rPr>
          <w:rFonts w:hint="eastAsia" w:ascii="宋体" w:hAnsi="宋体" w:eastAsia="宋体" w:cs="宋体"/>
          <w:b/>
          <w:color w:val="auto"/>
          <w:sz w:val="24"/>
          <w:szCs w:val="24"/>
          <w:highlight w:val="none"/>
        </w:rPr>
      </w:pPr>
    </w:p>
    <w:p w14:paraId="7667BE80">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注：1.投标人根据商务技术分评分细则附“商务技术分自评表”【格式见附件】</w:t>
      </w:r>
    </w:p>
    <w:p w14:paraId="0AF7CC18">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2.商务技术文件的文字部分及其他未提供格式部分由各投标人根据</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要求、评分标准要求自行设置。</w:t>
      </w:r>
    </w:p>
    <w:p w14:paraId="1533DA69">
      <w:pPr>
        <w:spacing w:line="460" w:lineRule="exact"/>
        <w:ind w:firstLine="482" w:firstLineChars="200"/>
        <w:rPr>
          <w:rFonts w:hint="eastAsia" w:ascii="宋体" w:hAnsi="宋体" w:eastAsia="宋体" w:cs="宋体"/>
          <w:b/>
          <w:color w:val="auto"/>
          <w:sz w:val="24"/>
          <w:szCs w:val="24"/>
          <w:highlight w:val="none"/>
        </w:rPr>
      </w:pPr>
      <w:bookmarkStart w:id="43" w:name="_Toc483379796"/>
      <w:bookmarkStart w:id="44" w:name="_Toc14746861"/>
      <w:bookmarkStart w:id="45" w:name="_Toc225223761"/>
      <w:bookmarkStart w:id="46" w:name="_Toc110393361"/>
      <w:bookmarkStart w:id="47" w:name="_Toc479927873"/>
      <w:bookmarkStart w:id="48" w:name="_Toc488936100"/>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投标人应确保资料的真实、有效，一经查实存在弄虚作假行为的，作否决投标处理，同时对其不良行为予以记录，并纳入统一的信用信息平台。 </w:t>
      </w:r>
    </w:p>
    <w:p w14:paraId="6312B34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F97BB63">
      <w:pPr>
        <w:snapToGrid w:val="0"/>
        <w:spacing w:before="5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1.投标人基本情况表格式：</w:t>
      </w:r>
    </w:p>
    <w:p w14:paraId="0E9CE839">
      <w:pPr>
        <w:snapToGrid w:val="0"/>
        <w:spacing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投标人基本情况表</w:t>
      </w:r>
      <w:bookmarkEnd w:id="43"/>
      <w:bookmarkEnd w:id="44"/>
      <w:bookmarkEnd w:id="45"/>
      <w:bookmarkEnd w:id="46"/>
      <w:bookmarkEnd w:id="47"/>
      <w:bookmarkEnd w:id="48"/>
    </w:p>
    <w:tbl>
      <w:tblPr>
        <w:tblStyle w:val="30"/>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C7C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14BD1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63" w:type="dxa"/>
            <w:gridSpan w:val="3"/>
            <w:vAlign w:val="center"/>
          </w:tcPr>
          <w:p w14:paraId="370EA3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742840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322" w:type="dxa"/>
            <w:vAlign w:val="center"/>
          </w:tcPr>
          <w:p w14:paraId="63D5F2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70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F8861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63" w:type="dxa"/>
            <w:gridSpan w:val="3"/>
            <w:vAlign w:val="center"/>
          </w:tcPr>
          <w:p w14:paraId="494FD3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700518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322" w:type="dxa"/>
            <w:vAlign w:val="center"/>
          </w:tcPr>
          <w:p w14:paraId="7C2423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16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AE4E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63" w:type="dxa"/>
            <w:gridSpan w:val="3"/>
            <w:vAlign w:val="center"/>
          </w:tcPr>
          <w:p w14:paraId="119663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617135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rPr>
              <w:t>税务登记证号</w:t>
            </w:r>
          </w:p>
        </w:tc>
        <w:tc>
          <w:tcPr>
            <w:tcW w:w="2322" w:type="dxa"/>
            <w:vAlign w:val="center"/>
          </w:tcPr>
          <w:p w14:paraId="719A60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63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7B06D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63" w:type="dxa"/>
            <w:gridSpan w:val="3"/>
            <w:vAlign w:val="center"/>
          </w:tcPr>
          <w:p w14:paraId="7EF23BCC">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highlight w:val="none"/>
              </w:rPr>
            </w:pPr>
          </w:p>
        </w:tc>
        <w:tc>
          <w:tcPr>
            <w:tcW w:w="2368" w:type="dxa"/>
            <w:vAlign w:val="center"/>
          </w:tcPr>
          <w:p w14:paraId="6E7BCF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highlight w:val="none"/>
              </w:rPr>
            </w:pPr>
            <w:r>
              <w:rPr>
                <w:rFonts w:hint="eastAsia" w:ascii="宋体" w:hAnsi="宋体" w:eastAsia="宋体" w:cs="宋体"/>
                <w:color w:val="auto"/>
                <w:spacing w:val="34"/>
                <w:sz w:val="24"/>
                <w:szCs w:val="24"/>
                <w:highlight w:val="none"/>
              </w:rPr>
              <w:t>注册资本</w:t>
            </w:r>
          </w:p>
        </w:tc>
        <w:tc>
          <w:tcPr>
            <w:tcW w:w="2322" w:type="dxa"/>
            <w:vAlign w:val="center"/>
          </w:tcPr>
          <w:p w14:paraId="0F2034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D3A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9F878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63" w:type="dxa"/>
            <w:gridSpan w:val="3"/>
            <w:vAlign w:val="center"/>
          </w:tcPr>
          <w:p w14:paraId="54E9BC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72AF32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322" w:type="dxa"/>
            <w:vAlign w:val="center"/>
          </w:tcPr>
          <w:p w14:paraId="04E9C4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493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DDE58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453" w:type="dxa"/>
            <w:gridSpan w:val="5"/>
            <w:vAlign w:val="center"/>
          </w:tcPr>
          <w:p w14:paraId="596EF2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3D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9616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453" w:type="dxa"/>
            <w:gridSpan w:val="5"/>
            <w:vAlign w:val="center"/>
          </w:tcPr>
          <w:p w14:paraId="38F84DE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人，其中，高级职称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人，中级职称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r>
      <w:tr w14:paraId="1637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FFF2F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63" w:type="dxa"/>
            <w:gridSpan w:val="3"/>
            <w:vAlign w:val="center"/>
          </w:tcPr>
          <w:p w14:paraId="18232D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509C52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322" w:type="dxa"/>
            <w:vAlign w:val="center"/>
          </w:tcPr>
          <w:p w14:paraId="5A62FF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23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3443FF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453" w:type="dxa"/>
            <w:gridSpan w:val="5"/>
            <w:vAlign w:val="center"/>
          </w:tcPr>
          <w:p w14:paraId="1B35C5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p w14:paraId="6630978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B0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3AD3F0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6CE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E804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63" w:type="dxa"/>
            <w:gridSpan w:val="3"/>
            <w:vAlign w:val="center"/>
          </w:tcPr>
          <w:p w14:paraId="78F74A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287A29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22" w:type="dxa"/>
            <w:vAlign w:val="center"/>
          </w:tcPr>
          <w:p w14:paraId="594B81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C8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49DAB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23" w:type="dxa"/>
            <w:vAlign w:val="center"/>
          </w:tcPr>
          <w:p w14:paraId="2B86F1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70" w:type="dxa"/>
            <w:vAlign w:val="center"/>
          </w:tcPr>
          <w:p w14:paraId="332781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70" w:type="dxa"/>
            <w:vAlign w:val="center"/>
          </w:tcPr>
          <w:p w14:paraId="2EBB35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vAlign w:val="center"/>
          </w:tcPr>
          <w:p w14:paraId="1B56B1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322" w:type="dxa"/>
            <w:vAlign w:val="center"/>
          </w:tcPr>
          <w:p w14:paraId="470DA3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F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473AE4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776B2CBF">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489C12CB">
      <w:pPr>
        <w:spacing w:line="240" w:lineRule="auto"/>
        <w:rPr>
          <w:rFonts w:hint="eastAsia" w:ascii="宋体" w:hAnsi="宋体" w:eastAsia="宋体" w:cs="宋体"/>
          <w:b/>
          <w:color w:val="auto"/>
          <w:sz w:val="24"/>
          <w:szCs w:val="24"/>
          <w:highlight w:val="none"/>
        </w:rPr>
      </w:pPr>
    </w:p>
    <w:p w14:paraId="2A6915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3EB39AD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法定代表人或授权代表（签字或盖章）:___________ </w:t>
      </w:r>
      <w:r>
        <w:rPr>
          <w:rFonts w:hint="eastAsia" w:ascii="宋体" w:hAnsi="宋体" w:eastAsia="宋体" w:cs="宋体"/>
          <w:b/>
          <w:color w:val="auto"/>
          <w:sz w:val="24"/>
          <w:szCs w:val="24"/>
          <w:highlight w:val="none"/>
        </w:rPr>
        <w:t xml:space="preserve">             </w:t>
      </w:r>
    </w:p>
    <w:p w14:paraId="4A34BE54">
      <w:pPr>
        <w:keepNext w:val="0"/>
        <w:keepLines w:val="0"/>
        <w:pageBreakBefore w:val="0"/>
        <w:widowControl w:val="0"/>
        <w:kinsoku/>
        <w:wordWrap/>
        <w:overflowPunct/>
        <w:topLinePunct w:val="0"/>
        <w:autoSpaceDE/>
        <w:autoSpaceDN/>
        <w:bidi w:val="0"/>
        <w:adjustRightInd/>
        <w:snapToGrid w:val="0"/>
        <w:spacing w:before="50" w:afterLines="50"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2291941">
      <w:pPr>
        <w:snapToGrid w:val="0"/>
        <w:spacing w:before="50" w:afterLines="50" w:line="360" w:lineRule="auto"/>
        <w:jc w:val="left"/>
        <w:rPr>
          <w:rFonts w:hint="eastAsia" w:ascii="宋体" w:hAnsi="宋体" w:eastAsia="宋体" w:cs="宋体"/>
          <w:b/>
          <w:color w:val="auto"/>
          <w:sz w:val="24"/>
          <w:szCs w:val="24"/>
          <w:highlight w:val="none"/>
        </w:rPr>
      </w:pPr>
    </w:p>
    <w:p w14:paraId="29AE5838">
      <w:pPr>
        <w:snapToGrid w:val="0"/>
        <w:spacing w:before="50" w:afterLines="50" w:line="360" w:lineRule="auto"/>
        <w:jc w:val="left"/>
        <w:rPr>
          <w:rFonts w:hint="eastAsia" w:ascii="宋体" w:hAnsi="宋体" w:eastAsia="宋体" w:cs="宋体"/>
          <w:b/>
          <w:bCs/>
          <w:snapToGrid w:val="0"/>
          <w:color w:val="auto"/>
          <w:kern w:val="0"/>
          <w:sz w:val="28"/>
          <w:szCs w:val="28"/>
          <w:highlight w:val="none"/>
        </w:rPr>
      </w:pPr>
      <w:r>
        <w:rPr>
          <w:rFonts w:hint="eastAsia" w:ascii="宋体" w:hAnsi="宋体" w:eastAsia="宋体" w:cs="宋体"/>
          <w:b/>
          <w:color w:val="auto"/>
          <w:sz w:val="24"/>
          <w:szCs w:val="24"/>
          <w:highlight w:val="none"/>
        </w:rPr>
        <w:t>2.1法定代表人资格说明书格式：</w:t>
      </w:r>
    </w:p>
    <w:p w14:paraId="1D07B878">
      <w:pPr>
        <w:spacing w:line="240" w:lineRule="auto"/>
        <w:jc w:val="center"/>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法定代表人资格说明书</w:t>
      </w:r>
    </w:p>
    <w:p w14:paraId="79801BC5">
      <w:pPr>
        <w:adjustRightInd w:val="0"/>
        <w:spacing w:line="600" w:lineRule="exact"/>
        <w:ind w:firstLine="490"/>
        <w:jc w:val="left"/>
        <w:rPr>
          <w:rFonts w:hint="eastAsia" w:ascii="宋体" w:hAnsi="宋体" w:eastAsia="宋体" w:cs="宋体"/>
          <w:b/>
          <w:bCs/>
          <w:snapToGrid w:val="0"/>
          <w:color w:val="auto"/>
          <w:kern w:val="0"/>
          <w:sz w:val="36"/>
          <w:highlight w:val="none"/>
        </w:rPr>
      </w:pPr>
    </w:p>
    <w:p w14:paraId="0FB6D0D3">
      <w:pPr>
        <w:adjustRightInd w:val="0"/>
        <w:spacing w:line="6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（姓名）</w:t>
      </w: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（投标人名称）</w:t>
      </w:r>
      <w:r>
        <w:rPr>
          <w:rFonts w:hint="eastAsia" w:ascii="宋体" w:hAnsi="宋体" w:eastAsia="宋体" w:cs="宋体"/>
          <w:snapToGrid w:val="0"/>
          <w:color w:val="auto"/>
          <w:kern w:val="0"/>
          <w:sz w:val="24"/>
          <w:szCs w:val="24"/>
          <w:highlight w:val="none"/>
        </w:rPr>
        <w:t>的法定代表人。身份证号：</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62B983B9">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特此说明</w:t>
      </w:r>
    </w:p>
    <w:p w14:paraId="7D1F30DA">
      <w:pPr>
        <w:adjustRightInd w:val="0"/>
        <w:spacing w:line="600" w:lineRule="exact"/>
        <w:ind w:firstLine="49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2A4EB92D">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392DBE9">
      <w:pPr>
        <w:adjustRightInd w:val="0"/>
        <w:spacing w:line="360" w:lineRule="auto"/>
        <w:rPr>
          <w:rFonts w:hint="eastAsia" w:ascii="宋体" w:hAnsi="宋体" w:eastAsia="宋体" w:cs="宋体"/>
          <w:snapToGrid w:val="0"/>
          <w:color w:val="auto"/>
          <w:kern w:val="0"/>
          <w:sz w:val="24"/>
          <w:szCs w:val="24"/>
          <w:highlight w:val="none"/>
        </w:rPr>
      </w:pPr>
    </w:p>
    <w:p w14:paraId="79F2018F">
      <w:pPr>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注：须附法定代表人身份证扫描件（正反面）</w:t>
      </w:r>
    </w:p>
    <w:p w14:paraId="58A893B5">
      <w:pPr>
        <w:adjustRightInd w:val="0"/>
        <w:spacing w:line="360" w:lineRule="auto"/>
        <w:rPr>
          <w:rFonts w:hint="eastAsia" w:ascii="宋体" w:hAnsi="宋体" w:eastAsia="宋体" w:cs="宋体"/>
          <w:snapToGrid w:val="0"/>
          <w:color w:val="auto"/>
          <w:kern w:val="0"/>
          <w:szCs w:val="21"/>
          <w:highlight w:val="none"/>
        </w:rPr>
      </w:pPr>
    </w:p>
    <w:p w14:paraId="4BE25709">
      <w:pPr>
        <w:snapToGrid w:val="0"/>
        <w:spacing w:beforeLines="50" w:after="50" w:line="240" w:lineRule="auto"/>
        <w:rPr>
          <w:rFonts w:hint="eastAsia" w:ascii="宋体" w:hAnsi="宋体" w:eastAsia="宋体" w:cs="宋体"/>
          <w:color w:val="auto"/>
          <w:sz w:val="24"/>
          <w:szCs w:val="24"/>
          <w:highlight w:val="none"/>
        </w:rPr>
      </w:pPr>
    </w:p>
    <w:p w14:paraId="690807E4">
      <w:pPr>
        <w:spacing w:line="240" w:lineRule="auto"/>
        <w:rPr>
          <w:rFonts w:hint="eastAsia" w:ascii="宋体" w:hAnsi="宋体" w:eastAsia="宋体" w:cs="宋体"/>
          <w:color w:val="auto"/>
          <w:sz w:val="24"/>
          <w:szCs w:val="24"/>
          <w:highlight w:val="none"/>
        </w:rPr>
      </w:pPr>
    </w:p>
    <w:p w14:paraId="40CF798F">
      <w:pPr>
        <w:spacing w:line="240" w:lineRule="auto"/>
        <w:ind w:firstLine="420"/>
        <w:rPr>
          <w:rFonts w:hint="eastAsia" w:ascii="宋体" w:hAnsi="宋体" w:eastAsia="宋体" w:cs="宋体"/>
          <w:color w:val="auto"/>
          <w:highlight w:val="none"/>
        </w:rPr>
      </w:pPr>
    </w:p>
    <w:p w14:paraId="0D8B0784">
      <w:pPr>
        <w:spacing w:line="240" w:lineRule="auto"/>
        <w:rPr>
          <w:rFonts w:hint="eastAsia" w:ascii="宋体" w:hAnsi="宋体" w:eastAsia="宋体" w:cs="宋体"/>
          <w:color w:val="auto"/>
          <w:sz w:val="24"/>
          <w:szCs w:val="24"/>
          <w:highlight w:val="none"/>
        </w:rPr>
      </w:pPr>
    </w:p>
    <w:p w14:paraId="3A1754AD">
      <w:pPr>
        <w:spacing w:line="240" w:lineRule="auto"/>
        <w:ind w:firstLine="420"/>
        <w:rPr>
          <w:rFonts w:hint="eastAsia" w:ascii="宋体" w:hAnsi="宋体" w:eastAsia="宋体" w:cs="宋体"/>
          <w:color w:val="auto"/>
          <w:sz w:val="24"/>
          <w:highlight w:val="none"/>
        </w:rPr>
      </w:pPr>
    </w:p>
    <w:p w14:paraId="6EBF2FFC">
      <w:pPr>
        <w:spacing w:line="200" w:lineRule="exact"/>
        <w:ind w:firstLine="301"/>
        <w:rPr>
          <w:rFonts w:hint="eastAsia" w:ascii="宋体" w:hAnsi="宋体" w:eastAsia="宋体" w:cs="宋体"/>
          <w:color w:val="auto"/>
          <w:spacing w:val="-4"/>
          <w:sz w:val="18"/>
          <w:highlight w:val="none"/>
        </w:rPr>
      </w:pPr>
    </w:p>
    <w:p w14:paraId="23C616AA">
      <w:pPr>
        <w:spacing w:line="240" w:lineRule="auto"/>
        <w:rPr>
          <w:rFonts w:hint="eastAsia" w:ascii="宋体" w:hAnsi="宋体" w:eastAsia="宋体" w:cs="宋体"/>
          <w:color w:val="auto"/>
          <w:sz w:val="24"/>
          <w:szCs w:val="24"/>
          <w:highlight w:val="none"/>
        </w:rPr>
      </w:pPr>
    </w:p>
    <w:p w14:paraId="0A724FBF">
      <w:pPr>
        <w:spacing w:line="240" w:lineRule="auto"/>
        <w:rPr>
          <w:rFonts w:hint="eastAsia" w:ascii="宋体" w:hAnsi="宋体" w:eastAsia="宋体" w:cs="宋体"/>
          <w:color w:val="auto"/>
          <w:sz w:val="24"/>
          <w:szCs w:val="24"/>
          <w:highlight w:val="none"/>
        </w:rPr>
      </w:pPr>
    </w:p>
    <w:p w14:paraId="03287BCB">
      <w:pPr>
        <w:spacing w:line="240" w:lineRule="auto"/>
        <w:rPr>
          <w:rFonts w:hint="eastAsia" w:ascii="宋体" w:hAnsi="宋体" w:eastAsia="宋体" w:cs="宋体"/>
          <w:color w:val="auto"/>
          <w:sz w:val="24"/>
          <w:szCs w:val="24"/>
          <w:highlight w:val="none"/>
        </w:rPr>
      </w:pPr>
    </w:p>
    <w:p w14:paraId="097CD1CA">
      <w:pPr>
        <w:spacing w:line="240" w:lineRule="auto"/>
        <w:rPr>
          <w:rFonts w:hint="eastAsia" w:ascii="宋体" w:hAnsi="宋体" w:eastAsia="宋体" w:cs="宋体"/>
          <w:color w:val="auto"/>
          <w:sz w:val="24"/>
          <w:szCs w:val="24"/>
          <w:highlight w:val="none"/>
        </w:rPr>
      </w:pPr>
    </w:p>
    <w:p w14:paraId="391FEF6E">
      <w:pPr>
        <w:spacing w:line="360" w:lineRule="auto"/>
        <w:jc w:val="center"/>
        <w:rPr>
          <w:rFonts w:hint="eastAsia" w:ascii="宋体" w:hAnsi="宋体" w:eastAsia="宋体" w:cs="宋体"/>
          <w:b/>
          <w:bCs/>
          <w:color w:val="auto"/>
          <w:sz w:val="30"/>
          <w:szCs w:val="30"/>
          <w:highlight w:val="none"/>
        </w:rPr>
      </w:pPr>
    </w:p>
    <w:p w14:paraId="2D07A6ED">
      <w:pPr>
        <w:spacing w:line="360" w:lineRule="auto"/>
        <w:jc w:val="center"/>
        <w:rPr>
          <w:rFonts w:hint="eastAsia" w:ascii="宋体" w:hAnsi="宋体" w:eastAsia="宋体" w:cs="宋体"/>
          <w:b/>
          <w:bCs/>
          <w:color w:val="auto"/>
          <w:sz w:val="30"/>
          <w:szCs w:val="30"/>
          <w:highlight w:val="none"/>
        </w:rPr>
      </w:pPr>
    </w:p>
    <w:p w14:paraId="4E1114CD">
      <w:pPr>
        <w:spacing w:line="360" w:lineRule="auto"/>
        <w:jc w:val="center"/>
        <w:rPr>
          <w:rFonts w:hint="eastAsia" w:ascii="宋体" w:hAnsi="宋体" w:eastAsia="宋体" w:cs="宋体"/>
          <w:b/>
          <w:bCs/>
          <w:color w:val="auto"/>
          <w:sz w:val="30"/>
          <w:szCs w:val="30"/>
          <w:highlight w:val="none"/>
        </w:rPr>
      </w:pPr>
    </w:p>
    <w:p w14:paraId="0C06ADF8">
      <w:pPr>
        <w:spacing w:line="360" w:lineRule="auto"/>
        <w:jc w:val="center"/>
        <w:rPr>
          <w:rFonts w:hint="eastAsia" w:ascii="宋体" w:hAnsi="宋体" w:eastAsia="宋体" w:cs="宋体"/>
          <w:b/>
          <w:bCs/>
          <w:color w:val="auto"/>
          <w:sz w:val="30"/>
          <w:szCs w:val="30"/>
          <w:highlight w:val="none"/>
        </w:rPr>
      </w:pPr>
    </w:p>
    <w:p w14:paraId="5D4E0CFC">
      <w:pPr>
        <w:spacing w:line="360" w:lineRule="auto"/>
        <w:rPr>
          <w:rFonts w:hint="eastAsia" w:ascii="宋体" w:hAnsi="宋体" w:eastAsia="宋体" w:cs="宋体"/>
          <w:b/>
          <w:bCs/>
          <w:color w:val="auto"/>
          <w:sz w:val="30"/>
          <w:szCs w:val="30"/>
          <w:highlight w:val="none"/>
        </w:rPr>
      </w:pPr>
    </w:p>
    <w:p w14:paraId="00B8AB4A">
      <w:pPr>
        <w:snapToGrid w:val="0"/>
        <w:spacing w:before="50" w:afterLines="50" w:line="360" w:lineRule="auto"/>
        <w:jc w:val="left"/>
        <w:rPr>
          <w:rFonts w:hint="eastAsia" w:ascii="宋体" w:hAnsi="宋体" w:eastAsia="宋体" w:cs="宋体"/>
          <w:b/>
          <w:color w:val="auto"/>
          <w:sz w:val="24"/>
          <w:szCs w:val="24"/>
          <w:highlight w:val="none"/>
        </w:rPr>
      </w:pPr>
    </w:p>
    <w:p w14:paraId="6642B450">
      <w:pPr>
        <w:snapToGrid w:val="0"/>
        <w:spacing w:before="50" w:afterLines="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t>2.2法定代表人授权委托书格式：</w:t>
      </w:r>
    </w:p>
    <w:p w14:paraId="6FA30FC1">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3428102C">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3B541521">
      <w:pPr>
        <w:snapToGrid w:val="0"/>
        <w:spacing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为授权代表，以我方的名义参加项目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rPr>
        <w:t>的投标活动，并代表我方全权办理针对上述项目的投标、开标、评标、签约等具体事务和签署相关文件。我方对授权代表的签名事项负全部责任。</w:t>
      </w:r>
    </w:p>
    <w:p w14:paraId="145FDF98">
      <w:pPr>
        <w:snapToGrid w:val="0"/>
        <w:spacing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419459D1">
      <w:pPr>
        <w:snapToGrid w:val="0"/>
        <w:spacing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3221C5EC">
      <w:pPr>
        <w:snapToGrid w:val="0"/>
        <w:spacing w:beforeLines="50" w:after="50" w:line="360" w:lineRule="auto"/>
        <w:rPr>
          <w:rFonts w:hint="eastAsia" w:ascii="宋体" w:hAnsi="宋体" w:eastAsia="宋体" w:cs="宋体"/>
          <w:color w:val="auto"/>
          <w:sz w:val="24"/>
          <w:szCs w:val="24"/>
          <w:highlight w:val="none"/>
        </w:rPr>
      </w:pPr>
    </w:p>
    <w:p w14:paraId="166B0215">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1E87014">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0904FCB">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94859F2">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55AC79">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02AF13">
      <w:pPr>
        <w:snapToGrid w:val="0"/>
        <w:spacing w:beforeLines="50" w:after="50" w:line="360" w:lineRule="auto"/>
        <w:ind w:firstLine="4920" w:firstLineChars="2050"/>
        <w:rPr>
          <w:rFonts w:hint="eastAsia" w:ascii="宋体" w:hAnsi="宋体" w:eastAsia="宋体" w:cs="宋体"/>
          <w:color w:val="auto"/>
          <w:sz w:val="24"/>
          <w:szCs w:val="24"/>
          <w:highlight w:val="none"/>
        </w:rPr>
      </w:pPr>
    </w:p>
    <w:p w14:paraId="727A4AB7">
      <w:pPr>
        <w:snapToGrid w:val="0"/>
        <w:spacing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3606807">
      <w:pPr>
        <w:snapToGrid w:val="0"/>
        <w:spacing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C9633E1">
      <w:pPr>
        <w:spacing w:line="360" w:lineRule="auto"/>
        <w:rPr>
          <w:rFonts w:hint="eastAsia" w:ascii="宋体" w:hAnsi="宋体" w:eastAsia="宋体" w:cs="宋体"/>
          <w:color w:val="auto"/>
          <w:sz w:val="24"/>
          <w:szCs w:val="24"/>
          <w:highlight w:val="none"/>
        </w:rPr>
      </w:pPr>
    </w:p>
    <w:p w14:paraId="1EED33B5">
      <w:pPr>
        <w:spacing w:line="360" w:lineRule="auto"/>
        <w:jc w:val="center"/>
        <w:rPr>
          <w:rFonts w:hint="eastAsia" w:ascii="宋体" w:hAnsi="宋体" w:eastAsia="宋体" w:cs="宋体"/>
          <w:color w:val="auto"/>
          <w:sz w:val="24"/>
          <w:szCs w:val="24"/>
          <w:highlight w:val="none"/>
        </w:rPr>
      </w:pPr>
    </w:p>
    <w:p w14:paraId="007B2296">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注：1.须附授权代表身份证扫描件（正反面）</w:t>
      </w:r>
    </w:p>
    <w:p w14:paraId="4D9A2C0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2.如法定代表人参加投标的，可不填写本表。</w:t>
      </w:r>
      <w:r>
        <w:rPr>
          <w:rFonts w:hint="eastAsia" w:ascii="宋体" w:hAnsi="宋体" w:eastAsia="宋体" w:cs="宋体"/>
          <w:b/>
          <w:color w:val="auto"/>
          <w:sz w:val="24"/>
          <w:szCs w:val="24"/>
          <w:highlight w:val="none"/>
        </w:rPr>
        <w:br w:type="page"/>
      </w:r>
    </w:p>
    <w:p w14:paraId="7DD757CB">
      <w:pPr>
        <w:snapToGrid w:val="0"/>
        <w:spacing w:before="5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3.商务响应表格式：</w:t>
      </w:r>
    </w:p>
    <w:p w14:paraId="226155D7">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商务响应表</w:t>
      </w:r>
    </w:p>
    <w:tbl>
      <w:tblPr>
        <w:tblStyle w:val="30"/>
        <w:tblW w:w="8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2242"/>
        <w:gridCol w:w="1907"/>
        <w:gridCol w:w="1071"/>
        <w:gridCol w:w="2408"/>
      </w:tblGrid>
      <w:tr w14:paraId="7C7B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2DBC3EE3">
            <w:pPr>
              <w:keepNext w:val="0"/>
              <w:keepLines w:val="0"/>
              <w:suppressLineNumbers w:val="0"/>
              <w:snapToGrid w:val="0"/>
              <w:spacing w:before="0" w:beforeLines="5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6161528B">
            <w:pPr>
              <w:keepNext w:val="0"/>
              <w:keepLines w:val="0"/>
              <w:suppressLineNumbers w:val="0"/>
              <w:snapToGrid w:val="0"/>
              <w:spacing w:before="0" w:beforeLines="5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907" w:type="dxa"/>
            <w:tcBorders>
              <w:top w:val="single" w:color="auto" w:sz="4" w:space="0"/>
              <w:left w:val="single" w:color="auto" w:sz="4" w:space="0"/>
              <w:bottom w:val="single" w:color="auto" w:sz="4" w:space="0"/>
              <w:right w:val="single" w:color="auto" w:sz="4" w:space="0"/>
            </w:tcBorders>
            <w:vAlign w:val="center"/>
          </w:tcPr>
          <w:p w14:paraId="0774A431">
            <w:pPr>
              <w:keepNext w:val="0"/>
              <w:keepLines w:val="0"/>
              <w:suppressLineNumbers w:val="0"/>
              <w:snapToGrid w:val="0"/>
              <w:spacing w:before="0" w:beforeLines="5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w:t>
            </w:r>
          </w:p>
        </w:tc>
        <w:tc>
          <w:tcPr>
            <w:tcW w:w="1071" w:type="dxa"/>
            <w:tcBorders>
              <w:top w:val="single" w:color="auto" w:sz="4" w:space="0"/>
              <w:left w:val="single" w:color="auto" w:sz="4" w:space="0"/>
              <w:bottom w:val="single" w:color="auto" w:sz="4" w:space="0"/>
              <w:right w:val="single" w:color="auto" w:sz="4" w:space="0"/>
            </w:tcBorders>
            <w:vAlign w:val="center"/>
          </w:tcPr>
          <w:p w14:paraId="6315D62A">
            <w:pPr>
              <w:keepNext w:val="0"/>
              <w:keepLines w:val="0"/>
              <w:suppressLineNumbers w:val="0"/>
              <w:snapToGrid w:val="0"/>
              <w:spacing w:before="0" w:beforeLines="5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2408" w:type="dxa"/>
            <w:tcBorders>
              <w:top w:val="single" w:color="auto" w:sz="4" w:space="0"/>
              <w:left w:val="single" w:color="auto" w:sz="4" w:space="0"/>
              <w:bottom w:val="single" w:color="auto" w:sz="4" w:space="0"/>
              <w:right w:val="single" w:color="auto" w:sz="4" w:space="0"/>
            </w:tcBorders>
            <w:vAlign w:val="center"/>
          </w:tcPr>
          <w:p w14:paraId="16A959B2">
            <w:pPr>
              <w:keepNext w:val="0"/>
              <w:keepLines w:val="0"/>
              <w:suppressLineNumbers w:val="0"/>
              <w:snapToGrid w:val="0"/>
              <w:spacing w:before="0" w:beforeLines="5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投标人的承诺或说明</w:t>
            </w:r>
          </w:p>
        </w:tc>
      </w:tr>
      <w:tr w14:paraId="3536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70" w:type="dxa"/>
            <w:tcBorders>
              <w:top w:val="single" w:color="auto" w:sz="4" w:space="0"/>
              <w:left w:val="single" w:color="auto" w:sz="4" w:space="0"/>
              <w:bottom w:val="single" w:color="auto" w:sz="4" w:space="0"/>
              <w:right w:val="single" w:color="auto" w:sz="4" w:space="0"/>
            </w:tcBorders>
            <w:vAlign w:val="center"/>
          </w:tcPr>
          <w:p w14:paraId="42CAC02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top"/>
          </w:tcPr>
          <w:p w14:paraId="7A03C1FF">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0"/>
                <w:highlight w:val="none"/>
              </w:rPr>
              <w:t>服务期</w:t>
            </w:r>
          </w:p>
        </w:tc>
        <w:tc>
          <w:tcPr>
            <w:tcW w:w="1907" w:type="dxa"/>
            <w:tcBorders>
              <w:top w:val="single" w:color="auto" w:sz="4" w:space="0"/>
              <w:left w:val="single" w:color="auto" w:sz="4" w:space="0"/>
              <w:bottom w:val="single" w:color="auto" w:sz="4" w:space="0"/>
              <w:right w:val="single" w:color="auto" w:sz="4" w:space="0"/>
            </w:tcBorders>
          </w:tcPr>
          <w:p w14:paraId="47BB8108">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6B5F0918">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7DD415C4">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r>
      <w:tr w14:paraId="0E688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70" w:type="dxa"/>
            <w:tcBorders>
              <w:top w:val="single" w:color="auto" w:sz="4" w:space="0"/>
              <w:left w:val="single" w:color="auto" w:sz="4" w:space="0"/>
              <w:bottom w:val="single" w:color="auto" w:sz="4" w:space="0"/>
              <w:right w:val="single" w:color="auto" w:sz="4" w:space="0"/>
            </w:tcBorders>
            <w:vAlign w:val="center"/>
          </w:tcPr>
          <w:p w14:paraId="6CF5FF4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top"/>
          </w:tcPr>
          <w:p w14:paraId="29341350">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0"/>
                <w:highlight w:val="none"/>
              </w:rPr>
              <w:t>付款条件</w:t>
            </w:r>
          </w:p>
        </w:tc>
        <w:tc>
          <w:tcPr>
            <w:tcW w:w="1907" w:type="dxa"/>
            <w:tcBorders>
              <w:top w:val="single" w:color="auto" w:sz="4" w:space="0"/>
              <w:left w:val="single" w:color="auto" w:sz="4" w:space="0"/>
              <w:bottom w:val="single" w:color="auto" w:sz="4" w:space="0"/>
              <w:right w:val="single" w:color="auto" w:sz="4" w:space="0"/>
            </w:tcBorders>
          </w:tcPr>
          <w:p w14:paraId="69EF82FA">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520E9C83">
            <w:pPr>
              <w:keepNext w:val="0"/>
              <w:keepLines w:val="0"/>
              <w:suppressLineNumbers w:val="0"/>
              <w:snapToGrid w:val="0"/>
              <w:spacing w:before="0" w:beforeLines="50" w:beforeAutospacing="0" w:after="0" w:afterAutospacing="0" w:line="240" w:lineRule="auto"/>
              <w:ind w:left="43"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30613BED">
            <w:pPr>
              <w:keepNext w:val="0"/>
              <w:keepLines w:val="0"/>
              <w:suppressLineNumbers w:val="0"/>
              <w:snapToGrid w:val="0"/>
              <w:spacing w:before="0" w:beforeLines="50" w:beforeAutospacing="0" w:after="0" w:afterAutospacing="0" w:line="240" w:lineRule="auto"/>
              <w:ind w:left="43" w:right="0"/>
              <w:rPr>
                <w:rFonts w:hint="eastAsia" w:ascii="宋体" w:hAnsi="宋体" w:eastAsia="宋体" w:cs="宋体"/>
                <w:color w:val="auto"/>
                <w:sz w:val="24"/>
                <w:szCs w:val="20"/>
                <w:highlight w:val="none"/>
              </w:rPr>
            </w:pPr>
          </w:p>
        </w:tc>
      </w:tr>
      <w:tr w14:paraId="20D8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0" w:type="dxa"/>
            <w:tcBorders>
              <w:top w:val="single" w:color="auto" w:sz="4" w:space="0"/>
              <w:left w:val="single" w:color="auto" w:sz="4" w:space="0"/>
              <w:bottom w:val="single" w:color="auto" w:sz="4" w:space="0"/>
              <w:right w:val="single" w:color="auto" w:sz="4" w:space="0"/>
            </w:tcBorders>
            <w:vAlign w:val="center"/>
          </w:tcPr>
          <w:p w14:paraId="1D7F76F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top"/>
          </w:tcPr>
          <w:p w14:paraId="07D62978">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0"/>
                <w:highlight w:val="none"/>
              </w:rPr>
              <w:t>…</w:t>
            </w:r>
          </w:p>
        </w:tc>
        <w:tc>
          <w:tcPr>
            <w:tcW w:w="1907" w:type="dxa"/>
            <w:tcBorders>
              <w:top w:val="single" w:color="auto" w:sz="4" w:space="0"/>
              <w:left w:val="single" w:color="auto" w:sz="4" w:space="0"/>
              <w:bottom w:val="single" w:color="auto" w:sz="4" w:space="0"/>
              <w:right w:val="single" w:color="auto" w:sz="4" w:space="0"/>
            </w:tcBorders>
          </w:tcPr>
          <w:p w14:paraId="60B72A35">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25BD1049">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2EC64F6B">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r>
      <w:tr w14:paraId="151E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33D0E9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B505E6E">
            <w:pPr>
              <w:keepNext w:val="0"/>
              <w:keepLines w:val="0"/>
              <w:suppressLineNumbers w:val="0"/>
              <w:spacing w:before="0" w:beforeAutospacing="0" w:after="0" w:afterAutospacing="0" w:line="240" w:lineRule="auto"/>
              <w:ind w:left="0" w:right="0"/>
              <w:rPr>
                <w:rFonts w:hint="eastAsia"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7EF028D3">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37CA368B">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621CCB86">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r>
      <w:tr w14:paraId="3615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8706BC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D6F63B7">
            <w:pPr>
              <w:keepNext w:val="0"/>
              <w:keepLines w:val="0"/>
              <w:suppressLineNumbers w:val="0"/>
              <w:spacing w:before="0" w:beforeAutospacing="0" w:after="0" w:afterAutospacing="0" w:line="240" w:lineRule="auto"/>
              <w:ind w:left="0" w:right="0"/>
              <w:rPr>
                <w:rFonts w:hint="eastAsia"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59DE617">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11486575">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47D99AD6">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r>
      <w:tr w14:paraId="3BED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C3430C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E4A380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1907" w:type="dxa"/>
            <w:tcBorders>
              <w:top w:val="single" w:color="auto" w:sz="4" w:space="0"/>
              <w:left w:val="single" w:color="auto" w:sz="4" w:space="0"/>
              <w:bottom w:val="single" w:color="auto" w:sz="4" w:space="0"/>
              <w:right w:val="single" w:color="auto" w:sz="4" w:space="0"/>
            </w:tcBorders>
          </w:tcPr>
          <w:p w14:paraId="09B6B2AF">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14119464">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02EDD229">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r>
      <w:tr w14:paraId="1DCA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70" w:type="dxa"/>
            <w:tcBorders>
              <w:top w:val="single" w:color="auto" w:sz="4" w:space="0"/>
              <w:left w:val="single" w:color="auto" w:sz="4" w:space="0"/>
              <w:bottom w:val="single" w:color="auto" w:sz="4" w:space="0"/>
              <w:right w:val="single" w:color="auto" w:sz="4" w:space="0"/>
            </w:tcBorders>
            <w:vAlign w:val="center"/>
          </w:tcPr>
          <w:p w14:paraId="206F141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666EE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1907" w:type="dxa"/>
            <w:tcBorders>
              <w:top w:val="single" w:color="auto" w:sz="4" w:space="0"/>
              <w:left w:val="single" w:color="auto" w:sz="4" w:space="0"/>
              <w:bottom w:val="single" w:color="auto" w:sz="4" w:space="0"/>
              <w:right w:val="single" w:color="auto" w:sz="4" w:space="0"/>
            </w:tcBorders>
          </w:tcPr>
          <w:p w14:paraId="3CFAD4B5">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71" w:type="dxa"/>
            <w:tcBorders>
              <w:top w:val="single" w:color="auto" w:sz="4" w:space="0"/>
              <w:left w:val="single" w:color="auto" w:sz="4" w:space="0"/>
              <w:bottom w:val="single" w:color="auto" w:sz="4" w:space="0"/>
              <w:right w:val="single" w:color="auto" w:sz="4" w:space="0"/>
            </w:tcBorders>
          </w:tcPr>
          <w:p w14:paraId="1DAC5D10">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08" w:type="dxa"/>
            <w:tcBorders>
              <w:top w:val="single" w:color="auto" w:sz="4" w:space="0"/>
              <w:left w:val="single" w:color="auto" w:sz="4" w:space="0"/>
              <w:bottom w:val="single" w:color="auto" w:sz="4" w:space="0"/>
              <w:right w:val="single" w:color="auto" w:sz="4" w:space="0"/>
            </w:tcBorders>
          </w:tcPr>
          <w:p w14:paraId="7D82FBE2">
            <w:pPr>
              <w:keepNext w:val="0"/>
              <w:keepLines w:val="0"/>
              <w:suppressLineNumbers w:val="0"/>
              <w:snapToGrid w:val="0"/>
              <w:spacing w:before="0" w:beforeLines="50" w:beforeAutospacing="0" w:after="0" w:afterAutospacing="0" w:line="240" w:lineRule="auto"/>
              <w:ind w:left="0" w:right="0"/>
              <w:rPr>
                <w:rFonts w:hint="eastAsia" w:ascii="宋体" w:hAnsi="宋体" w:eastAsia="宋体" w:cs="宋体"/>
                <w:color w:val="auto"/>
                <w:sz w:val="24"/>
                <w:szCs w:val="20"/>
                <w:highlight w:val="none"/>
              </w:rPr>
            </w:pPr>
          </w:p>
        </w:tc>
      </w:tr>
    </w:tbl>
    <w:p w14:paraId="6293F484">
      <w:pPr>
        <w:snapToGrid w:val="0"/>
        <w:spacing w:before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注：如不填写，采购人将视为 “无偏离”。</w:t>
      </w:r>
    </w:p>
    <w:p w14:paraId="06FA1C59">
      <w:pPr>
        <w:snapToGrid w:val="0"/>
        <w:spacing w:line="360" w:lineRule="auto"/>
        <w:ind w:firstLine="4478" w:firstLineChars="1866"/>
        <w:jc w:val="right"/>
        <w:rPr>
          <w:rFonts w:hint="eastAsia" w:ascii="宋体" w:hAnsi="宋体" w:eastAsia="宋体" w:cs="宋体"/>
          <w:snapToGrid w:val="0"/>
          <w:color w:val="auto"/>
          <w:sz w:val="24"/>
          <w:szCs w:val="24"/>
          <w:highlight w:val="none"/>
        </w:rPr>
      </w:pPr>
    </w:p>
    <w:p w14:paraId="214B069B">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408A7D48">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06982CBC">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3318BAE">
      <w:pPr>
        <w:spacing w:line="24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4F403AF9">
      <w:pPr>
        <w:spacing w:line="240" w:lineRule="auto"/>
        <w:rPr>
          <w:rFonts w:hint="eastAsia" w:ascii="宋体" w:hAnsi="宋体" w:eastAsia="宋体" w:cs="宋体"/>
          <w:snapToGrid w:val="0"/>
          <w:color w:val="auto"/>
          <w:sz w:val="24"/>
          <w:szCs w:val="24"/>
          <w:highlight w:val="none"/>
        </w:rPr>
      </w:pPr>
    </w:p>
    <w:p w14:paraId="0AFA536D">
      <w:pPr>
        <w:spacing w:line="240" w:lineRule="auto"/>
        <w:rPr>
          <w:rFonts w:hint="eastAsia" w:ascii="宋体" w:hAnsi="宋体" w:eastAsia="宋体" w:cs="宋体"/>
          <w:snapToGrid w:val="0"/>
          <w:color w:val="auto"/>
          <w:sz w:val="24"/>
          <w:szCs w:val="24"/>
          <w:highlight w:val="none"/>
        </w:rPr>
      </w:pPr>
    </w:p>
    <w:p w14:paraId="0B32E2B5">
      <w:pPr>
        <w:spacing w:line="240" w:lineRule="auto"/>
        <w:rPr>
          <w:rFonts w:hint="eastAsia" w:ascii="宋体" w:hAnsi="宋体" w:eastAsia="宋体" w:cs="宋体"/>
          <w:snapToGrid w:val="0"/>
          <w:color w:val="auto"/>
          <w:sz w:val="24"/>
          <w:szCs w:val="24"/>
          <w:highlight w:val="none"/>
        </w:rPr>
      </w:pPr>
    </w:p>
    <w:p w14:paraId="4C301D24">
      <w:pPr>
        <w:spacing w:line="240" w:lineRule="auto"/>
        <w:rPr>
          <w:rFonts w:hint="eastAsia" w:ascii="宋体" w:hAnsi="宋体" w:eastAsia="宋体" w:cs="宋体"/>
          <w:snapToGrid w:val="0"/>
          <w:color w:val="auto"/>
          <w:sz w:val="24"/>
          <w:szCs w:val="24"/>
          <w:highlight w:val="none"/>
        </w:rPr>
      </w:pPr>
    </w:p>
    <w:p w14:paraId="2E184815">
      <w:pPr>
        <w:spacing w:line="240" w:lineRule="auto"/>
        <w:rPr>
          <w:rFonts w:hint="eastAsia" w:ascii="宋体" w:hAnsi="宋体" w:eastAsia="宋体" w:cs="宋体"/>
          <w:color w:val="auto"/>
          <w:sz w:val="32"/>
          <w:highlight w:val="none"/>
        </w:rPr>
      </w:pPr>
      <w:r>
        <w:rPr>
          <w:rFonts w:hint="eastAsia" w:ascii="宋体" w:hAnsi="宋体" w:eastAsia="宋体" w:cs="宋体"/>
          <w:snapToGrid w:val="0"/>
          <w:color w:val="auto"/>
          <w:sz w:val="24"/>
          <w:szCs w:val="24"/>
          <w:highlight w:val="none"/>
        </w:rPr>
        <w:t xml:space="preserve">                             </w:t>
      </w:r>
    </w:p>
    <w:p w14:paraId="41F35345">
      <w:pPr>
        <w:adjustRightInd w:val="0"/>
        <w:spacing w:line="318" w:lineRule="atLeast"/>
        <w:ind w:left="369" w:firstLine="369"/>
        <w:textAlignment w:val="baseline"/>
        <w:rPr>
          <w:rFonts w:hint="eastAsia" w:ascii="宋体" w:hAnsi="宋体" w:eastAsia="宋体" w:cs="宋体"/>
          <w:color w:val="auto"/>
          <w:sz w:val="32"/>
          <w:highlight w:val="none"/>
        </w:rPr>
      </w:pPr>
    </w:p>
    <w:p w14:paraId="0B909ECA">
      <w:pPr>
        <w:snapToGrid w:val="0"/>
        <w:spacing w:beforeLines="50" w:after="50" w:line="240" w:lineRule="auto"/>
        <w:rPr>
          <w:rFonts w:hint="eastAsia" w:ascii="宋体" w:hAnsi="宋体" w:eastAsia="宋体" w:cs="宋体"/>
          <w:b/>
          <w:color w:val="auto"/>
          <w:sz w:val="24"/>
          <w:szCs w:val="24"/>
          <w:highlight w:val="none"/>
        </w:rPr>
      </w:pPr>
    </w:p>
    <w:p w14:paraId="74E0E44F">
      <w:pPr>
        <w:snapToGrid w:val="0"/>
        <w:spacing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4.技术响应表格式：</w:t>
      </w:r>
    </w:p>
    <w:p w14:paraId="69A43B5F">
      <w:p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t xml:space="preserve"> 技术响应表</w:t>
      </w:r>
    </w:p>
    <w:tbl>
      <w:tblPr>
        <w:tblStyle w:val="30"/>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197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A83955A">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采购文件</w:t>
            </w:r>
            <w:r>
              <w:rPr>
                <w:rFonts w:hint="eastAsia" w:ascii="宋体" w:hAnsi="宋体" w:eastAsia="宋体" w:cs="宋体"/>
                <w:color w:val="auto"/>
                <w:sz w:val="24"/>
                <w:szCs w:val="21"/>
                <w:highlight w:val="none"/>
              </w:rPr>
              <w:t>要求</w:t>
            </w:r>
          </w:p>
        </w:tc>
        <w:tc>
          <w:tcPr>
            <w:tcW w:w="3784" w:type="dxa"/>
            <w:gridSpan w:val="2"/>
            <w:tcBorders>
              <w:top w:val="single" w:color="auto" w:sz="4" w:space="0"/>
              <w:left w:val="single" w:color="auto" w:sz="4" w:space="0"/>
              <w:bottom w:val="single" w:color="auto" w:sz="4" w:space="0"/>
              <w:right w:val="single" w:color="auto" w:sz="4" w:space="0"/>
            </w:tcBorders>
          </w:tcPr>
          <w:p w14:paraId="025DFD74">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35EE57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偏离情况</w:t>
            </w:r>
          </w:p>
        </w:tc>
      </w:tr>
      <w:tr w14:paraId="2900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312C3E7B">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0C47FB5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2F78BF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4934EB8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0CDCF5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4"/>
                <w:szCs w:val="21"/>
                <w:highlight w:val="none"/>
              </w:rPr>
            </w:pPr>
          </w:p>
        </w:tc>
      </w:tr>
      <w:tr w14:paraId="18FBB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2C140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9E7A80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b/>
                <w:bCs/>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431D79F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17F95E1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4829521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r w14:paraId="38F3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4CF1E7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9FC594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482F58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5470C0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E9612E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6ADB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57D543">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5E1E56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736909B4">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1295BD9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E9CB065">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r>
      <w:tr w14:paraId="1916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57D83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C87161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D5CF23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C8D2FD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A5A813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2372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CCC9D1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9EF945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50B465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89E5BC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247EA3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3AB2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A1EF01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715766A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2C8B7F9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2F88F58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5EA9F68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bl>
    <w:p w14:paraId="66E930CF">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注：</w:t>
      </w:r>
      <w:r>
        <w:rPr>
          <w:rFonts w:hint="eastAsia" w:ascii="宋体" w:hAnsi="宋体" w:eastAsia="宋体" w:cs="宋体"/>
          <w:color w:val="auto"/>
          <w:sz w:val="24"/>
          <w:szCs w:val="24"/>
          <w:highlight w:val="none"/>
        </w:rPr>
        <w:t>1.列明</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的产品设备</w:t>
      </w:r>
      <w:r>
        <w:rPr>
          <w:rFonts w:hint="eastAsia" w:ascii="宋体" w:hAnsi="宋体" w:eastAsia="宋体" w:cs="宋体"/>
          <w:color w:val="auto"/>
          <w:sz w:val="24"/>
          <w:szCs w:val="24"/>
          <w:highlight w:val="none"/>
          <w:lang w:eastAsia="zh-CN"/>
        </w:rPr>
        <w:t>参数</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与投标文件对应响应，并说明偏离状况；</w:t>
      </w:r>
    </w:p>
    <w:p w14:paraId="7B93E2E8">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2.无偏离应在本表空白处醒目地注明“无偏离”的字样。</w:t>
      </w:r>
    </w:p>
    <w:p w14:paraId="6C4FD342">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3.如不填写，采购人将视为 “无偏离”。</w:t>
      </w:r>
    </w:p>
    <w:p w14:paraId="2455CFEE">
      <w:pPr>
        <w:snapToGrid w:val="0"/>
        <w:spacing w:line="360" w:lineRule="auto"/>
        <w:rPr>
          <w:rFonts w:hint="eastAsia" w:ascii="宋体" w:hAnsi="宋体" w:eastAsia="宋体" w:cs="宋体"/>
          <w:snapToGrid w:val="0"/>
          <w:color w:val="auto"/>
          <w:sz w:val="24"/>
          <w:szCs w:val="24"/>
          <w:highlight w:val="none"/>
        </w:rPr>
      </w:pPr>
    </w:p>
    <w:p w14:paraId="5D642B54">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386D2C6F">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1090CF75">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11BD5E6">
      <w:pPr>
        <w:spacing w:line="360" w:lineRule="auto"/>
        <w:rPr>
          <w:rFonts w:hint="eastAsia" w:ascii="宋体" w:hAnsi="宋体" w:eastAsia="宋体" w:cs="宋体"/>
          <w:b/>
          <w:bCs/>
          <w:color w:val="auto"/>
          <w:kern w:val="0"/>
          <w:sz w:val="24"/>
          <w:szCs w:val="24"/>
          <w:highlight w:val="none"/>
        </w:rPr>
      </w:pPr>
    </w:p>
    <w:p w14:paraId="263A53AA">
      <w:pPr>
        <w:spacing w:line="360" w:lineRule="auto"/>
        <w:rPr>
          <w:rFonts w:hint="eastAsia" w:ascii="宋体" w:hAnsi="宋体" w:eastAsia="宋体" w:cs="宋体"/>
          <w:b/>
          <w:bCs/>
          <w:color w:val="auto"/>
          <w:kern w:val="0"/>
          <w:sz w:val="24"/>
          <w:szCs w:val="24"/>
          <w:highlight w:val="none"/>
        </w:rPr>
      </w:pPr>
    </w:p>
    <w:p w14:paraId="2BC6C907">
      <w:pPr>
        <w:snapToGrid w:val="0"/>
        <w:spacing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5.技术商务分自评表</w:t>
      </w:r>
    </w:p>
    <w:p w14:paraId="61C85274">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技术商务分自评表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A2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DA594C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vAlign w:val="center"/>
          </w:tcPr>
          <w:p w14:paraId="72630FD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vAlign w:val="center"/>
          </w:tcPr>
          <w:p w14:paraId="4AD28F9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vAlign w:val="center"/>
          </w:tcPr>
          <w:p w14:paraId="5FEF0D0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09F2295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vAlign w:val="center"/>
          </w:tcPr>
          <w:p w14:paraId="6BFF01C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2B7A977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570C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E6C0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3601F4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5D1B039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167B3D0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46C0F0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49D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919FA9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774C71A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264DE23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2E1C74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4CA55F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6F52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803126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72EBF9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324D53E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75D232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020E928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B5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2BD51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3B03D5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3BA8BCE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44A18C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599F1C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0C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0C95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0EDF5AB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5BDC314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0FF369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10D3FDB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F2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2A419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3F8F0D2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68D1D1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715D38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3D57EA4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35A9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24F10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00926E2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5F3F29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5F9CEFF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7C87DA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48A3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F8DB3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596F72B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6DDC50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0B84C18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55E9A2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61B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97E7FE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10EA09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7916EA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688534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7115BBA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F3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AC4C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0F3F64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2CEAD57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17E5A0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5B60A16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6C0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0FFC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02B8C2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236441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7474A7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273217F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25B2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A64B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331FB7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78AC2A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5B4308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359D32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44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0CE4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4D74B0F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6FA3BD4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5421E7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1CD1DA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1F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730D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77BF4D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78CAFAF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771C67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275226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7E6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A93A33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4A4308E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48DCB2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7B9FD8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276A0C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437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F2176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052A0B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471F9D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1EA4BD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0585AC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1F2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EF2C1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722DEDE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7B1FA2D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190A6B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6C8B50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789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6C8B1B0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2064" w:type="dxa"/>
          </w:tcPr>
          <w:p w14:paraId="06E80A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668" w:type="dxa"/>
          </w:tcPr>
          <w:p w14:paraId="458060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481" w:type="dxa"/>
          </w:tcPr>
          <w:p w14:paraId="354F55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45" w:type="dxa"/>
          </w:tcPr>
          <w:p w14:paraId="7634CD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6674E1E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57B8CDF">
      <w:pPr>
        <w:snapToGrid w:val="0"/>
        <w:spacing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6.1投标单位项目负责人简历、专业职称、业绩表（格式）（如有）</w:t>
      </w:r>
    </w:p>
    <w:p w14:paraId="1C2A7D9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0"/>
          <w:szCs w:val="30"/>
          <w:highlight w:val="none"/>
        </w:rPr>
        <w:t>项目负责人简历表</w:t>
      </w:r>
    </w:p>
    <w:tbl>
      <w:tblPr>
        <w:tblStyle w:val="30"/>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A5B0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67751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267" w:type="dxa"/>
            <w:vAlign w:val="center"/>
          </w:tcPr>
          <w:p w14:paraId="1F2079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63" w:type="dxa"/>
            <w:gridSpan w:val="2"/>
            <w:vAlign w:val="center"/>
          </w:tcPr>
          <w:p w14:paraId="66F83D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293" w:type="dxa"/>
            <w:gridSpan w:val="2"/>
            <w:vAlign w:val="center"/>
          </w:tcPr>
          <w:p w14:paraId="1B05D7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38" w:type="dxa"/>
            <w:vAlign w:val="center"/>
          </w:tcPr>
          <w:p w14:paraId="4D7AF8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927" w:type="dxa"/>
            <w:vAlign w:val="center"/>
          </w:tcPr>
          <w:p w14:paraId="081405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6228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330D6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67" w:type="dxa"/>
            <w:vAlign w:val="center"/>
          </w:tcPr>
          <w:p w14:paraId="7F5211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63" w:type="dxa"/>
            <w:gridSpan w:val="2"/>
            <w:vAlign w:val="center"/>
          </w:tcPr>
          <w:p w14:paraId="590EEA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拟担任本</w:t>
            </w:r>
          </w:p>
          <w:p w14:paraId="584593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项目职务</w:t>
            </w:r>
          </w:p>
        </w:tc>
        <w:tc>
          <w:tcPr>
            <w:tcW w:w="1293" w:type="dxa"/>
            <w:gridSpan w:val="2"/>
            <w:vAlign w:val="center"/>
          </w:tcPr>
          <w:p w14:paraId="27B8F5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38" w:type="dxa"/>
            <w:vAlign w:val="center"/>
          </w:tcPr>
          <w:p w14:paraId="653C7A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927" w:type="dxa"/>
            <w:vAlign w:val="center"/>
          </w:tcPr>
          <w:p w14:paraId="10CAF6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7E08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5D6E1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267" w:type="dxa"/>
            <w:vAlign w:val="center"/>
          </w:tcPr>
          <w:p w14:paraId="454ACC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894" w:type="dxa"/>
            <w:gridSpan w:val="5"/>
            <w:vAlign w:val="center"/>
          </w:tcPr>
          <w:p w14:paraId="532C31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从事项目负责人</w:t>
            </w:r>
          </w:p>
          <w:p w14:paraId="48C355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年限    </w:t>
            </w:r>
          </w:p>
        </w:tc>
        <w:tc>
          <w:tcPr>
            <w:tcW w:w="1927" w:type="dxa"/>
            <w:vAlign w:val="center"/>
          </w:tcPr>
          <w:p w14:paraId="3AD22BC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p>
          <w:p w14:paraId="3F3F36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9057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21774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088" w:type="dxa"/>
            <w:gridSpan w:val="7"/>
            <w:vAlign w:val="center"/>
          </w:tcPr>
          <w:p w14:paraId="278241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B079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65208A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 完 成 项 目 情 况</w:t>
            </w:r>
          </w:p>
        </w:tc>
      </w:tr>
      <w:tr w14:paraId="50BE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A072D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423" w:type="dxa"/>
            <w:gridSpan w:val="2"/>
            <w:vAlign w:val="center"/>
          </w:tcPr>
          <w:p w14:paraId="7CB6CB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586" w:type="dxa"/>
            <w:gridSpan w:val="2"/>
            <w:vAlign w:val="center"/>
          </w:tcPr>
          <w:p w14:paraId="1471DC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开始完成日期</w:t>
            </w:r>
          </w:p>
        </w:tc>
        <w:tc>
          <w:tcPr>
            <w:tcW w:w="2152" w:type="dxa"/>
            <w:gridSpan w:val="2"/>
            <w:vAlign w:val="center"/>
          </w:tcPr>
          <w:p w14:paraId="16C3F6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负担的技术</w:t>
            </w:r>
          </w:p>
          <w:p w14:paraId="394DC1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927" w:type="dxa"/>
            <w:vAlign w:val="center"/>
          </w:tcPr>
          <w:p w14:paraId="472F06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获奖情况</w:t>
            </w:r>
          </w:p>
        </w:tc>
      </w:tr>
      <w:tr w14:paraId="6C2C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2F716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423" w:type="dxa"/>
            <w:gridSpan w:val="2"/>
            <w:vAlign w:val="center"/>
          </w:tcPr>
          <w:p w14:paraId="080921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86" w:type="dxa"/>
            <w:gridSpan w:val="2"/>
            <w:vAlign w:val="center"/>
          </w:tcPr>
          <w:p w14:paraId="49095B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52" w:type="dxa"/>
            <w:gridSpan w:val="2"/>
            <w:vAlign w:val="center"/>
          </w:tcPr>
          <w:p w14:paraId="655F72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27" w:type="dxa"/>
            <w:vAlign w:val="center"/>
          </w:tcPr>
          <w:p w14:paraId="3C61BD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2CE1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31BA1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23" w:type="dxa"/>
            <w:gridSpan w:val="2"/>
            <w:vAlign w:val="center"/>
          </w:tcPr>
          <w:p w14:paraId="62B253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86" w:type="dxa"/>
            <w:gridSpan w:val="2"/>
            <w:vAlign w:val="center"/>
          </w:tcPr>
          <w:p w14:paraId="538703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52" w:type="dxa"/>
            <w:gridSpan w:val="2"/>
            <w:vAlign w:val="center"/>
          </w:tcPr>
          <w:p w14:paraId="3152F2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27" w:type="dxa"/>
            <w:vAlign w:val="center"/>
          </w:tcPr>
          <w:p w14:paraId="7BD839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511F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F7709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23" w:type="dxa"/>
            <w:gridSpan w:val="2"/>
            <w:vAlign w:val="center"/>
          </w:tcPr>
          <w:p w14:paraId="13FE98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86" w:type="dxa"/>
            <w:gridSpan w:val="2"/>
            <w:vAlign w:val="center"/>
          </w:tcPr>
          <w:p w14:paraId="4571B6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52" w:type="dxa"/>
            <w:gridSpan w:val="2"/>
            <w:vAlign w:val="center"/>
          </w:tcPr>
          <w:p w14:paraId="33EB22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27" w:type="dxa"/>
            <w:vAlign w:val="center"/>
          </w:tcPr>
          <w:p w14:paraId="26BC98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4E91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D0559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23" w:type="dxa"/>
            <w:gridSpan w:val="2"/>
            <w:vAlign w:val="center"/>
          </w:tcPr>
          <w:p w14:paraId="7B3A7B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86" w:type="dxa"/>
            <w:gridSpan w:val="2"/>
            <w:vAlign w:val="center"/>
          </w:tcPr>
          <w:p w14:paraId="0D8514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52" w:type="dxa"/>
            <w:gridSpan w:val="2"/>
            <w:vAlign w:val="center"/>
          </w:tcPr>
          <w:p w14:paraId="5C4B74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27" w:type="dxa"/>
            <w:vAlign w:val="center"/>
          </w:tcPr>
          <w:p w14:paraId="215A7E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E97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3753C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23" w:type="dxa"/>
            <w:gridSpan w:val="2"/>
            <w:vAlign w:val="center"/>
          </w:tcPr>
          <w:p w14:paraId="7C0D02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586" w:type="dxa"/>
            <w:gridSpan w:val="2"/>
            <w:vAlign w:val="center"/>
          </w:tcPr>
          <w:p w14:paraId="682544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152" w:type="dxa"/>
            <w:gridSpan w:val="2"/>
            <w:vAlign w:val="center"/>
          </w:tcPr>
          <w:p w14:paraId="2B6EEF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927" w:type="dxa"/>
            <w:vAlign w:val="center"/>
          </w:tcPr>
          <w:p w14:paraId="56C867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5D9428E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w:t>
      </w:r>
      <w:r>
        <w:rPr>
          <w:rFonts w:hint="eastAsia" w:ascii="宋体" w:hAnsi="宋体" w:eastAsia="宋体" w:cs="宋体"/>
          <w:snapToGrid w:val="0"/>
          <w:color w:val="auto"/>
          <w:sz w:val="24"/>
          <w:szCs w:val="24"/>
          <w:highlight w:val="none"/>
        </w:rPr>
        <w:t>1.项目负责人作为本项目联系人不得变更，必须随时听从采购单位指派，如确需变更则需经采购单位同意后方可变更。</w:t>
      </w:r>
    </w:p>
    <w:p w14:paraId="669F26AF">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项目负责人应附身份证、职称证书、执业资格证书等复印件或扫描件（具体按评标办法提供）。</w:t>
      </w:r>
    </w:p>
    <w:p w14:paraId="16C4BDC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在填写时，如本表格不适合投标单位的实际情况，可根据本表格式按评标办法要求自行划表填写并提供相关资料。</w:t>
      </w:r>
    </w:p>
    <w:p w14:paraId="7F324561">
      <w:pPr>
        <w:spacing w:line="360" w:lineRule="auto"/>
        <w:rPr>
          <w:rFonts w:hint="eastAsia" w:ascii="宋体" w:hAnsi="宋体" w:eastAsia="宋体" w:cs="宋体"/>
          <w:color w:val="auto"/>
          <w:sz w:val="24"/>
          <w:szCs w:val="24"/>
          <w:highlight w:val="none"/>
        </w:rPr>
      </w:pPr>
    </w:p>
    <w:p w14:paraId="6633DF23">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645090B">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853F890">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494B84B">
      <w:pPr>
        <w:spacing w:line="240" w:lineRule="auto"/>
        <w:ind w:right="-567"/>
        <w:jc w:val="left"/>
        <w:rPr>
          <w:rFonts w:hint="eastAsia" w:ascii="宋体" w:hAnsi="宋体" w:eastAsia="宋体" w:cs="宋体"/>
          <w:b/>
          <w:color w:val="auto"/>
          <w:sz w:val="24"/>
          <w:szCs w:val="24"/>
          <w:highlight w:val="none"/>
        </w:rPr>
      </w:pPr>
      <w:bookmarkStart w:id="49" w:name="_Toc18715"/>
      <w:r>
        <w:rPr>
          <w:rFonts w:hint="eastAsia" w:ascii="宋体" w:hAnsi="宋体" w:eastAsia="宋体" w:cs="宋体"/>
          <w:b/>
          <w:color w:val="auto"/>
          <w:sz w:val="24"/>
          <w:szCs w:val="24"/>
          <w:highlight w:val="none"/>
        </w:rPr>
        <w:t>6.2项目实施人员一览表格式</w:t>
      </w:r>
      <w:bookmarkEnd w:id="49"/>
      <w:r>
        <w:rPr>
          <w:rFonts w:hint="eastAsia" w:ascii="宋体" w:hAnsi="宋体" w:eastAsia="宋体" w:cs="宋体"/>
          <w:b/>
          <w:color w:val="auto"/>
          <w:sz w:val="24"/>
          <w:szCs w:val="24"/>
          <w:highlight w:val="none"/>
        </w:rPr>
        <w:t>（如有）</w:t>
      </w:r>
    </w:p>
    <w:p w14:paraId="2DA08F17">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项目实施人员（主要从业人员及其技术资格）一览表</w:t>
      </w:r>
    </w:p>
    <w:p w14:paraId="5094D4BE">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p w14:paraId="242A4BF3">
      <w:pPr>
        <w:spacing w:line="240" w:lineRule="auto"/>
        <w:ind w:firstLine="241"/>
        <w:rPr>
          <w:rFonts w:hint="eastAsia" w:ascii="宋体" w:hAnsi="宋体" w:eastAsia="宋体" w:cs="宋体"/>
          <w:b/>
          <w:color w:val="auto"/>
          <w:sz w:val="24"/>
          <w:szCs w:val="24"/>
          <w:highlight w:val="none"/>
        </w:rPr>
      </w:pPr>
    </w:p>
    <w:tbl>
      <w:tblPr>
        <w:tblStyle w:val="30"/>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470"/>
        <w:gridCol w:w="1236"/>
        <w:gridCol w:w="1080"/>
        <w:gridCol w:w="900"/>
        <w:gridCol w:w="1212"/>
        <w:gridCol w:w="577"/>
      </w:tblGrid>
      <w:tr w14:paraId="1D46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5EF789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拟在本项目担任的职务(岗位)</w:t>
            </w:r>
          </w:p>
        </w:tc>
        <w:tc>
          <w:tcPr>
            <w:tcW w:w="709" w:type="dxa"/>
            <w:vMerge w:val="restart"/>
            <w:vAlign w:val="center"/>
          </w:tcPr>
          <w:p w14:paraId="740DBF1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10" w:type="dxa"/>
            <w:vMerge w:val="restart"/>
            <w:vAlign w:val="center"/>
          </w:tcPr>
          <w:p w14:paraId="38C5DC0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5898" w:type="dxa"/>
            <w:gridSpan w:val="5"/>
            <w:vAlign w:val="center"/>
          </w:tcPr>
          <w:p w14:paraId="3852CF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执业或职业资格证件</w:t>
            </w:r>
          </w:p>
        </w:tc>
        <w:tc>
          <w:tcPr>
            <w:tcW w:w="577" w:type="dxa"/>
            <w:vMerge w:val="restart"/>
            <w:vAlign w:val="center"/>
          </w:tcPr>
          <w:p w14:paraId="30C51FD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6B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604CE6FA">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09" w:type="dxa"/>
            <w:vMerge w:val="continue"/>
            <w:vAlign w:val="center"/>
          </w:tcPr>
          <w:p w14:paraId="07CC2229">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10" w:type="dxa"/>
            <w:vMerge w:val="continue"/>
            <w:vAlign w:val="center"/>
          </w:tcPr>
          <w:p w14:paraId="3C7FC794">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1470" w:type="dxa"/>
            <w:vAlign w:val="center"/>
          </w:tcPr>
          <w:p w14:paraId="5B95BE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236" w:type="dxa"/>
            <w:vAlign w:val="center"/>
          </w:tcPr>
          <w:p w14:paraId="1422B2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0" w:type="dxa"/>
            <w:vAlign w:val="center"/>
          </w:tcPr>
          <w:p w14:paraId="7DEB1AA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900" w:type="dxa"/>
            <w:vAlign w:val="center"/>
          </w:tcPr>
          <w:p w14:paraId="3C4E652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212" w:type="dxa"/>
            <w:vAlign w:val="center"/>
          </w:tcPr>
          <w:p w14:paraId="391CB83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577" w:type="dxa"/>
            <w:vMerge w:val="continue"/>
            <w:vAlign w:val="center"/>
          </w:tcPr>
          <w:p w14:paraId="48BC509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r>
      <w:tr w14:paraId="2C76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20704C3F">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p>
        </w:tc>
      </w:tr>
      <w:tr w14:paraId="1D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133B013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专业技术人员</w:t>
            </w:r>
          </w:p>
        </w:tc>
      </w:tr>
      <w:tr w14:paraId="05BA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6C28A591">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437BE73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71716B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610888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19F12B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41272E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40020A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31C944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2BDEC0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750F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58F70702">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56052A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739139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5607389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28BEFF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1C27E6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6AC86D2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24FC90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7384C5E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022B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EB73E20">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014F70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2F92355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2A7D8B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6850DB3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338CB57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6D6D08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21CF122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432F53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F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B200983">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046DA9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21286F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2BAC18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7A9B0D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038BEB4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2D5BAE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4D01CB2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554D6E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59E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E347E93">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014DA4D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2C2A5C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35A1DE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392EFF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5F137BC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113DD58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bookmarkStart w:id="50" w:name="_GoBack"/>
            <w:bookmarkEnd w:id="50"/>
          </w:p>
        </w:tc>
        <w:tc>
          <w:tcPr>
            <w:tcW w:w="1212" w:type="dxa"/>
            <w:vAlign w:val="center"/>
          </w:tcPr>
          <w:p w14:paraId="1D10EFF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1E734A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01A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F914458">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7E506B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6535BE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29136E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39C51A3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476F49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30BA79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2BE2B76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699BD2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154E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5DC6039">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5DAB75C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72707F1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23E05F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7847824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191095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606BAA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6D1E19E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6DD5B9F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13C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4ADDD68">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63CD2F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662E19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1FAC74C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24DE01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0B8981D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548F182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13E749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217F79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176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150C736">
            <w:pPr>
              <w:keepNext w:val="0"/>
              <w:keepLines w:val="0"/>
              <w:suppressLineNumbers w:val="0"/>
              <w:spacing w:before="0" w:beforeAutospacing="0" w:after="0" w:afterAutospacing="0" w:line="240" w:lineRule="auto"/>
              <w:ind w:left="0" w:right="0" w:firstLine="240" w:firstLineChars="0"/>
              <w:jc w:val="center"/>
              <w:rPr>
                <w:rFonts w:hint="eastAsia" w:ascii="宋体" w:hAnsi="宋体" w:eastAsia="宋体" w:cs="宋体"/>
                <w:color w:val="auto"/>
                <w:sz w:val="24"/>
                <w:szCs w:val="24"/>
                <w:highlight w:val="none"/>
              </w:rPr>
            </w:pPr>
          </w:p>
        </w:tc>
        <w:tc>
          <w:tcPr>
            <w:tcW w:w="709" w:type="dxa"/>
            <w:vAlign w:val="center"/>
          </w:tcPr>
          <w:p w14:paraId="354550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36C64F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2BA7E7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55F1C6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7D9E66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5937AAF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4949A1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15A578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7F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6F030E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vAlign w:val="center"/>
          </w:tcPr>
          <w:p w14:paraId="3DF1955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vAlign w:val="center"/>
          </w:tcPr>
          <w:p w14:paraId="517E79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470" w:type="dxa"/>
            <w:vAlign w:val="center"/>
          </w:tcPr>
          <w:p w14:paraId="1D0C77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36" w:type="dxa"/>
            <w:vAlign w:val="center"/>
          </w:tcPr>
          <w:p w14:paraId="7B47A6C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0" w:type="dxa"/>
            <w:vAlign w:val="center"/>
          </w:tcPr>
          <w:p w14:paraId="25A605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900" w:type="dxa"/>
            <w:vAlign w:val="center"/>
          </w:tcPr>
          <w:p w14:paraId="12780C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212" w:type="dxa"/>
            <w:vAlign w:val="center"/>
          </w:tcPr>
          <w:p w14:paraId="08185D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577" w:type="dxa"/>
            <w:vAlign w:val="center"/>
          </w:tcPr>
          <w:p w14:paraId="4576E1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bl>
    <w:p w14:paraId="40449869">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注：1.项目组成人员应附职称证书、执业资格证书等复印件或扫描件（具体按评标办法提供）。</w:t>
      </w:r>
    </w:p>
    <w:p w14:paraId="7B8748B9">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2.在填写时，如本表格不适合投标单位的实际情况，可根据本表格式按评标办法要求自行划表填写并提供相关资料。</w:t>
      </w:r>
    </w:p>
    <w:p w14:paraId="57A465A8">
      <w:pPr>
        <w:snapToGrid w:val="0"/>
        <w:spacing w:before="50" w:after="50" w:line="240" w:lineRule="auto"/>
        <w:rPr>
          <w:rFonts w:hint="eastAsia" w:ascii="宋体" w:hAnsi="宋体" w:eastAsia="宋体" w:cs="宋体"/>
          <w:color w:val="auto"/>
          <w:spacing w:val="20"/>
          <w:sz w:val="24"/>
          <w:highlight w:val="none"/>
          <w:u w:val="single"/>
        </w:rPr>
      </w:pPr>
    </w:p>
    <w:p w14:paraId="3113CEB0">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0A72BDC">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7875C234">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B2834F7">
      <w:pPr>
        <w:pStyle w:val="28"/>
        <w:ind w:left="0" w:leftChars="0" w:firstLine="0" w:firstLineChars="0"/>
        <w:rPr>
          <w:rFonts w:hint="eastAsia" w:ascii="宋体" w:hAnsi="宋体" w:eastAsia="宋体" w:cs="宋体"/>
          <w:color w:val="auto"/>
          <w:highlight w:val="none"/>
        </w:rPr>
      </w:pPr>
    </w:p>
    <w:p w14:paraId="70707F4C">
      <w:pPr>
        <w:adjustRightInd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投标人需要说明的其他文件和说明（格式自拟）(如有)</w:t>
      </w:r>
    </w:p>
    <w:p w14:paraId="3DD9A81F">
      <w:pPr>
        <w:spacing w:line="24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三、报价文件封面格式</w:t>
      </w:r>
    </w:p>
    <w:p w14:paraId="195E946E">
      <w:pPr>
        <w:spacing w:line="240" w:lineRule="auto"/>
        <w:rPr>
          <w:rFonts w:hint="eastAsia" w:ascii="宋体" w:hAnsi="宋体" w:eastAsia="宋体" w:cs="宋体"/>
          <w:b/>
          <w:bCs/>
          <w:color w:val="auto"/>
          <w:sz w:val="40"/>
          <w:szCs w:val="40"/>
          <w:highlight w:val="none"/>
        </w:rPr>
      </w:pPr>
    </w:p>
    <w:p w14:paraId="12B7FB9E">
      <w:pPr>
        <w:spacing w:line="240" w:lineRule="auto"/>
        <w:jc w:val="center"/>
        <w:rPr>
          <w:rFonts w:hint="eastAsia" w:ascii="宋体" w:hAnsi="宋体" w:eastAsia="宋体" w:cs="宋体"/>
          <w:b/>
          <w:bCs/>
          <w:color w:val="auto"/>
          <w:sz w:val="40"/>
          <w:szCs w:val="40"/>
          <w:highlight w:val="none"/>
        </w:rPr>
      </w:pPr>
    </w:p>
    <w:p w14:paraId="472A7F8F">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cs="宋体"/>
          <w:b/>
          <w:bCs/>
          <w:color w:val="auto"/>
          <w:sz w:val="40"/>
          <w:szCs w:val="40"/>
          <w:highlight w:val="none"/>
          <w:lang w:eastAsia="zh-CN"/>
        </w:rPr>
        <w:t>中共浦江县委宣传部2024年网络安全服务项目</w:t>
      </w:r>
      <w:r>
        <w:rPr>
          <w:rFonts w:hint="eastAsia" w:ascii="宋体" w:hAnsi="宋体" w:eastAsia="宋体" w:cs="宋体"/>
          <w:color w:val="auto"/>
          <w:spacing w:val="40"/>
          <w:w w:val="90"/>
          <w:sz w:val="96"/>
          <w:szCs w:val="96"/>
          <w:highlight w:val="none"/>
          <w:lang w:bidi="th-TH"/>
        </w:rPr>
        <w:t>投 标 文 件</w:t>
      </w:r>
    </w:p>
    <w:p w14:paraId="5086FB25">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（报价文件）</w:t>
      </w:r>
    </w:p>
    <w:p w14:paraId="6830CDF5">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38B9A8D4">
      <w:pPr>
        <w:spacing w:line="240" w:lineRule="auto"/>
        <w:jc w:val="center"/>
        <w:rPr>
          <w:rFonts w:hint="eastAsia" w:ascii="宋体" w:hAnsi="宋体" w:eastAsia="宋体" w:cs="宋体"/>
          <w:b/>
          <w:bCs/>
          <w:color w:val="auto"/>
          <w:sz w:val="28"/>
          <w:szCs w:val="28"/>
          <w:highlight w:val="none"/>
        </w:rPr>
      </w:pPr>
    </w:p>
    <w:p w14:paraId="5A66C0CB">
      <w:pPr>
        <w:autoSpaceDE w:val="0"/>
        <w:autoSpaceDN w:val="0"/>
        <w:adjustRightInd w:val="0"/>
        <w:spacing w:line="360" w:lineRule="auto"/>
        <w:rPr>
          <w:rFonts w:hint="eastAsia" w:ascii="宋体" w:hAnsi="宋体" w:eastAsia="宋体" w:cs="宋体"/>
          <w:b/>
          <w:color w:val="auto"/>
          <w:sz w:val="32"/>
          <w:szCs w:val="32"/>
          <w:highlight w:val="none"/>
        </w:rPr>
      </w:pPr>
    </w:p>
    <w:p w14:paraId="01BF5A9A">
      <w:pPr>
        <w:autoSpaceDE w:val="0"/>
        <w:autoSpaceDN w:val="0"/>
        <w:adjustRightInd w:val="0"/>
        <w:spacing w:line="360" w:lineRule="auto"/>
        <w:rPr>
          <w:rFonts w:hint="eastAsia" w:ascii="宋体" w:hAnsi="宋体" w:eastAsia="宋体" w:cs="宋体"/>
          <w:b/>
          <w:color w:val="auto"/>
          <w:sz w:val="32"/>
          <w:szCs w:val="32"/>
          <w:highlight w:val="none"/>
        </w:rPr>
      </w:pPr>
    </w:p>
    <w:p w14:paraId="518258D3">
      <w:pPr>
        <w:autoSpaceDE w:val="0"/>
        <w:autoSpaceDN w:val="0"/>
        <w:adjustRightInd w:val="0"/>
        <w:spacing w:line="360" w:lineRule="auto"/>
        <w:rPr>
          <w:rFonts w:hint="eastAsia" w:ascii="宋体" w:hAnsi="宋体" w:eastAsia="宋体" w:cs="宋体"/>
          <w:b/>
          <w:color w:val="auto"/>
          <w:sz w:val="32"/>
          <w:szCs w:val="32"/>
          <w:highlight w:val="none"/>
        </w:rPr>
      </w:pPr>
    </w:p>
    <w:p w14:paraId="4EBBB275">
      <w:pPr>
        <w:autoSpaceDE w:val="0"/>
        <w:autoSpaceDN w:val="0"/>
        <w:adjustRightInd w:val="0"/>
        <w:spacing w:line="360" w:lineRule="auto"/>
        <w:rPr>
          <w:rFonts w:hint="eastAsia" w:ascii="宋体" w:hAnsi="宋体" w:eastAsia="宋体" w:cs="宋体"/>
          <w:b/>
          <w:color w:val="auto"/>
          <w:sz w:val="32"/>
          <w:szCs w:val="32"/>
          <w:highlight w:val="none"/>
        </w:rPr>
      </w:pPr>
    </w:p>
    <w:p w14:paraId="1B802E17">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02FD59B6">
      <w:pPr>
        <w:autoSpaceDE w:val="0"/>
        <w:autoSpaceDN w:val="0"/>
        <w:adjustRightInd w:val="0"/>
        <w:spacing w:line="360" w:lineRule="auto"/>
        <w:rPr>
          <w:rFonts w:hint="eastAsia" w:ascii="宋体" w:hAnsi="宋体" w:eastAsia="宋体" w:cs="宋体"/>
          <w:b/>
          <w:color w:val="auto"/>
          <w:sz w:val="32"/>
          <w:szCs w:val="32"/>
          <w:highlight w:val="none"/>
        </w:rPr>
      </w:pPr>
    </w:p>
    <w:p w14:paraId="7D513DD1">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5E975E27">
      <w:pPr>
        <w:autoSpaceDE w:val="0"/>
        <w:autoSpaceDN w:val="0"/>
        <w:adjustRightInd w:val="0"/>
        <w:spacing w:line="360" w:lineRule="auto"/>
        <w:rPr>
          <w:rFonts w:hint="eastAsia" w:ascii="宋体" w:hAnsi="宋体" w:eastAsia="宋体" w:cs="宋体"/>
          <w:b/>
          <w:color w:val="auto"/>
          <w:sz w:val="32"/>
          <w:szCs w:val="32"/>
          <w:highlight w:val="none"/>
        </w:rPr>
      </w:pPr>
    </w:p>
    <w:p w14:paraId="20B987B9">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color w:val="auto"/>
          <w:sz w:val="32"/>
          <w:szCs w:val="32"/>
          <w:highlight w:val="none"/>
        </w:rPr>
        <w:t>时间：    年   月   日</w:t>
      </w:r>
    </w:p>
    <w:p w14:paraId="77ADCE2A">
      <w:pPr>
        <w:tabs>
          <w:tab w:val="left" w:pos="720"/>
        </w:tabs>
        <w:adjustRightInd w:val="0"/>
        <w:snapToGrid w:val="0"/>
        <w:spacing w:line="480" w:lineRule="auto"/>
        <w:ind w:left="420"/>
        <w:jc w:val="center"/>
        <w:rPr>
          <w:rFonts w:hint="eastAsia" w:ascii="宋体" w:hAnsi="宋体" w:eastAsia="宋体" w:cs="宋体"/>
          <w:b/>
          <w:snapToGrid w:val="0"/>
          <w:color w:val="auto"/>
          <w:kern w:val="0"/>
          <w:sz w:val="32"/>
          <w:szCs w:val="32"/>
          <w:highlight w:val="none"/>
        </w:rPr>
      </w:pPr>
    </w:p>
    <w:p w14:paraId="586A05CF">
      <w:pPr>
        <w:pStyle w:val="28"/>
        <w:rPr>
          <w:rFonts w:hint="eastAsia"/>
          <w:color w:val="auto"/>
          <w:highlight w:val="none"/>
        </w:rPr>
      </w:pPr>
    </w:p>
    <w:p w14:paraId="729C6426">
      <w:pPr>
        <w:tabs>
          <w:tab w:val="left" w:pos="720"/>
        </w:tabs>
        <w:adjustRightInd w:val="0"/>
        <w:snapToGrid w:val="0"/>
        <w:spacing w:line="480" w:lineRule="auto"/>
        <w:ind w:left="420"/>
        <w:jc w:val="center"/>
        <w:rPr>
          <w:rFonts w:hint="eastAsia" w:ascii="宋体" w:hAnsi="宋体" w:eastAsia="宋体" w:cs="宋体"/>
          <w:b/>
          <w:snapToGrid w:val="0"/>
          <w:color w:val="auto"/>
          <w:kern w:val="0"/>
          <w:sz w:val="32"/>
          <w:szCs w:val="32"/>
          <w:highlight w:val="none"/>
        </w:rPr>
      </w:pPr>
    </w:p>
    <w:p w14:paraId="351EE5AE">
      <w:pPr>
        <w:tabs>
          <w:tab w:val="left" w:pos="720"/>
        </w:tabs>
        <w:adjustRightInd w:val="0"/>
        <w:snapToGrid w:val="0"/>
        <w:spacing w:line="480" w:lineRule="auto"/>
        <w:ind w:left="420"/>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报价文件目录</w:t>
      </w:r>
    </w:p>
    <w:p w14:paraId="39037321">
      <w:pPr>
        <w:snapToGrid w:val="0"/>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1.投标函（格式见附件）———————页码 </w:t>
      </w:r>
    </w:p>
    <w:p w14:paraId="58E94AED">
      <w:pPr>
        <w:snapToGrid w:val="0"/>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2.开标一览表（格式见附件）———————页码</w:t>
      </w:r>
    </w:p>
    <w:p w14:paraId="5ABE47F3">
      <w:pPr>
        <w:snapToGrid w:val="0"/>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3.投标报价明细表（格式见附件）———————页码</w:t>
      </w:r>
    </w:p>
    <w:p w14:paraId="3310B25D">
      <w:pPr>
        <w:snapToGrid w:val="0"/>
        <w:spacing w:line="480" w:lineRule="auto"/>
        <w:ind w:firstLine="480" w:firstLineChars="200"/>
        <w:jc w:val="left"/>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4.中小企业声明函（格式见附件）</w:t>
      </w:r>
      <w:r>
        <w:rPr>
          <w:rFonts w:hint="eastAsia" w:ascii="宋体" w:hAnsi="宋体" w:eastAsia="宋体" w:cs="宋体"/>
          <w:color w:val="auto"/>
          <w:sz w:val="24"/>
          <w:szCs w:val="24"/>
          <w:highlight w:val="none"/>
        </w:rPr>
        <w:t>———————页码</w:t>
      </w:r>
    </w:p>
    <w:p w14:paraId="59C3CCEB">
      <w:pPr>
        <w:snapToGrid w:val="0"/>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投标人针对报价需要说明的其他文件和说明（格式自拟）—————页码</w:t>
      </w:r>
    </w:p>
    <w:p w14:paraId="6BB8CC6F">
      <w:pPr>
        <w:snapToGrid w:val="0"/>
        <w:spacing w:line="480" w:lineRule="auto"/>
        <w:ind w:firstLine="480" w:firstLineChars="200"/>
        <w:jc w:val="left"/>
        <w:rPr>
          <w:rFonts w:hint="eastAsia" w:ascii="宋体" w:hAnsi="宋体" w:eastAsia="宋体" w:cs="宋体"/>
          <w:color w:val="auto"/>
          <w:sz w:val="24"/>
          <w:szCs w:val="24"/>
          <w:highlight w:val="none"/>
        </w:rPr>
      </w:pPr>
    </w:p>
    <w:p w14:paraId="11BB25A6">
      <w:pPr>
        <w:snapToGrid w:val="0"/>
        <w:spacing w:line="480" w:lineRule="auto"/>
        <w:ind w:firstLine="420" w:firstLineChars="200"/>
        <w:jc w:val="left"/>
        <w:rPr>
          <w:rFonts w:hint="eastAsia" w:ascii="宋体" w:hAnsi="宋体" w:eastAsia="宋体" w:cs="宋体"/>
          <w:color w:val="auto"/>
          <w:szCs w:val="24"/>
          <w:highlight w:val="none"/>
        </w:rPr>
      </w:pPr>
    </w:p>
    <w:p w14:paraId="41B05514">
      <w:pPr>
        <w:pStyle w:val="28"/>
        <w:ind w:left="0" w:leftChars="0" w:firstLine="0" w:firstLineChars="0"/>
        <w:rPr>
          <w:rFonts w:hint="eastAsia" w:ascii="宋体" w:hAnsi="宋体" w:eastAsia="宋体" w:cs="宋体"/>
          <w:b/>
          <w:color w:val="auto"/>
          <w:kern w:val="2"/>
          <w:sz w:val="36"/>
          <w:highlight w:val="none"/>
        </w:rPr>
      </w:pPr>
    </w:p>
    <w:p w14:paraId="4BD5F6E9">
      <w:pPr>
        <w:pStyle w:val="28"/>
        <w:ind w:left="0" w:leftChars="0" w:firstLine="0" w:firstLineChars="0"/>
        <w:jc w:val="center"/>
        <w:rPr>
          <w:rFonts w:hint="eastAsia" w:ascii="宋体" w:hAnsi="宋体" w:eastAsia="宋体" w:cs="宋体"/>
          <w:b/>
          <w:color w:val="auto"/>
          <w:kern w:val="2"/>
          <w:sz w:val="36"/>
          <w:highlight w:val="none"/>
        </w:rPr>
      </w:pPr>
    </w:p>
    <w:p w14:paraId="72268436">
      <w:pPr>
        <w:snapToGrid w:val="0"/>
        <w:spacing w:before="50" w:afterLines="50" w:line="240" w:lineRule="auto"/>
        <w:jc w:val="left"/>
        <w:rPr>
          <w:rFonts w:hint="eastAsia" w:ascii="宋体" w:hAnsi="宋体" w:eastAsia="宋体" w:cs="宋体"/>
          <w:b/>
          <w:color w:val="auto"/>
          <w:sz w:val="24"/>
          <w:szCs w:val="24"/>
          <w:highlight w:val="none"/>
        </w:rPr>
      </w:pPr>
    </w:p>
    <w:p w14:paraId="6CF3AD56">
      <w:pPr>
        <w:snapToGrid w:val="0"/>
        <w:spacing w:before="50" w:afterLines="50" w:line="240" w:lineRule="auto"/>
        <w:jc w:val="left"/>
        <w:rPr>
          <w:rFonts w:hint="eastAsia" w:ascii="宋体" w:hAnsi="宋体" w:eastAsia="宋体" w:cs="宋体"/>
          <w:b/>
          <w:color w:val="auto"/>
          <w:sz w:val="24"/>
          <w:szCs w:val="24"/>
          <w:highlight w:val="none"/>
        </w:rPr>
      </w:pPr>
    </w:p>
    <w:p w14:paraId="465F6C41">
      <w:pPr>
        <w:snapToGrid w:val="0"/>
        <w:spacing w:before="50" w:afterLines="50" w:line="240" w:lineRule="auto"/>
        <w:jc w:val="left"/>
        <w:rPr>
          <w:rFonts w:hint="eastAsia" w:ascii="宋体" w:hAnsi="宋体" w:eastAsia="宋体" w:cs="宋体"/>
          <w:b/>
          <w:color w:val="auto"/>
          <w:sz w:val="24"/>
          <w:szCs w:val="24"/>
          <w:highlight w:val="none"/>
        </w:rPr>
      </w:pPr>
    </w:p>
    <w:p w14:paraId="0C1E0D62">
      <w:pPr>
        <w:snapToGrid w:val="0"/>
        <w:spacing w:before="50" w:afterLines="50" w:line="240" w:lineRule="auto"/>
        <w:jc w:val="left"/>
        <w:rPr>
          <w:rFonts w:hint="eastAsia" w:ascii="宋体" w:hAnsi="宋体" w:eastAsia="宋体" w:cs="宋体"/>
          <w:b/>
          <w:color w:val="auto"/>
          <w:sz w:val="24"/>
          <w:szCs w:val="24"/>
          <w:highlight w:val="none"/>
        </w:rPr>
      </w:pPr>
    </w:p>
    <w:p w14:paraId="38AD23DD">
      <w:pPr>
        <w:snapToGrid w:val="0"/>
        <w:spacing w:before="50" w:afterLines="50" w:line="240" w:lineRule="auto"/>
        <w:jc w:val="left"/>
        <w:rPr>
          <w:rFonts w:hint="eastAsia" w:ascii="宋体" w:hAnsi="宋体" w:eastAsia="宋体" w:cs="宋体"/>
          <w:b/>
          <w:color w:val="auto"/>
          <w:sz w:val="24"/>
          <w:szCs w:val="24"/>
          <w:highlight w:val="none"/>
        </w:rPr>
      </w:pPr>
    </w:p>
    <w:p w14:paraId="7FF03B6D">
      <w:pPr>
        <w:snapToGrid w:val="0"/>
        <w:spacing w:before="50" w:afterLines="50" w:line="240" w:lineRule="auto"/>
        <w:jc w:val="left"/>
        <w:rPr>
          <w:rFonts w:hint="eastAsia" w:ascii="宋体" w:hAnsi="宋体" w:eastAsia="宋体" w:cs="宋体"/>
          <w:b/>
          <w:color w:val="auto"/>
          <w:sz w:val="24"/>
          <w:szCs w:val="24"/>
          <w:highlight w:val="none"/>
        </w:rPr>
      </w:pPr>
    </w:p>
    <w:p w14:paraId="50555B2B">
      <w:pPr>
        <w:snapToGrid w:val="0"/>
        <w:spacing w:before="50" w:afterLines="50" w:line="240" w:lineRule="auto"/>
        <w:jc w:val="left"/>
        <w:rPr>
          <w:rFonts w:hint="eastAsia" w:ascii="宋体" w:hAnsi="宋体" w:eastAsia="宋体" w:cs="宋体"/>
          <w:b/>
          <w:color w:val="auto"/>
          <w:sz w:val="24"/>
          <w:szCs w:val="24"/>
          <w:highlight w:val="none"/>
        </w:rPr>
      </w:pPr>
    </w:p>
    <w:p w14:paraId="477724CA">
      <w:pPr>
        <w:snapToGrid w:val="0"/>
        <w:spacing w:before="50" w:afterLines="50" w:line="240" w:lineRule="auto"/>
        <w:jc w:val="left"/>
        <w:rPr>
          <w:rFonts w:hint="eastAsia" w:ascii="宋体" w:hAnsi="宋体" w:eastAsia="宋体" w:cs="宋体"/>
          <w:b/>
          <w:color w:val="auto"/>
          <w:sz w:val="24"/>
          <w:szCs w:val="24"/>
          <w:highlight w:val="none"/>
        </w:rPr>
      </w:pPr>
    </w:p>
    <w:p w14:paraId="32D1D9C0">
      <w:pPr>
        <w:snapToGrid w:val="0"/>
        <w:spacing w:before="50" w:afterLines="50" w:line="240" w:lineRule="auto"/>
        <w:jc w:val="left"/>
        <w:rPr>
          <w:rFonts w:hint="eastAsia" w:ascii="宋体" w:hAnsi="宋体" w:eastAsia="宋体" w:cs="宋体"/>
          <w:b/>
          <w:color w:val="auto"/>
          <w:sz w:val="24"/>
          <w:szCs w:val="24"/>
          <w:highlight w:val="none"/>
        </w:rPr>
      </w:pPr>
    </w:p>
    <w:p w14:paraId="134D82A4">
      <w:pPr>
        <w:snapToGrid w:val="0"/>
        <w:spacing w:before="50" w:afterLines="50" w:line="240" w:lineRule="auto"/>
        <w:jc w:val="left"/>
        <w:rPr>
          <w:rFonts w:hint="eastAsia" w:ascii="宋体" w:hAnsi="宋体" w:eastAsia="宋体" w:cs="宋体"/>
          <w:b/>
          <w:color w:val="auto"/>
          <w:sz w:val="24"/>
          <w:szCs w:val="24"/>
          <w:highlight w:val="none"/>
        </w:rPr>
      </w:pPr>
    </w:p>
    <w:p w14:paraId="044A400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D9EEAB7">
      <w:pPr>
        <w:snapToGrid w:val="0"/>
        <w:spacing w:beforeLines="50" w:after="50" w:line="24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投标函格式：</w:t>
      </w:r>
    </w:p>
    <w:p w14:paraId="656D846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w:t>
      </w:r>
    </w:p>
    <w:p w14:paraId="3A9F244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cs="宋体"/>
          <w:color w:val="auto"/>
          <w:spacing w:val="-4"/>
          <w:sz w:val="24"/>
          <w:szCs w:val="24"/>
          <w:highlight w:val="none"/>
          <w:u w:val="single"/>
          <w:lang w:eastAsia="zh-CN"/>
        </w:rPr>
        <w:t>中共浦江县委宣传部</w:t>
      </w:r>
    </w:p>
    <w:p w14:paraId="13CF1235">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（供应商全称）      </w:t>
      </w:r>
      <w:r>
        <w:rPr>
          <w:rFonts w:hint="eastAsia" w:ascii="宋体" w:hAnsi="宋体" w:eastAsia="宋体" w:cs="宋体"/>
          <w:color w:val="auto"/>
          <w:spacing w:val="-4"/>
          <w:sz w:val="24"/>
          <w:szCs w:val="24"/>
          <w:highlight w:val="none"/>
        </w:rPr>
        <w:t xml:space="preserve"> 授权</w:t>
      </w:r>
      <w:r>
        <w:rPr>
          <w:rFonts w:hint="eastAsia" w:ascii="宋体" w:hAnsi="宋体" w:eastAsia="宋体" w:cs="宋体"/>
          <w:color w:val="auto"/>
          <w:spacing w:val="-4"/>
          <w:sz w:val="24"/>
          <w:szCs w:val="24"/>
          <w:highlight w:val="none"/>
          <w:u w:val="single"/>
        </w:rPr>
        <w:t xml:space="preserve"> （全权代表姓名、职务）      </w:t>
      </w:r>
      <w:r>
        <w:rPr>
          <w:rFonts w:hint="eastAsia" w:ascii="宋体" w:hAnsi="宋体" w:eastAsia="宋体" w:cs="宋体"/>
          <w:color w:val="auto"/>
          <w:spacing w:val="-4"/>
          <w:sz w:val="24"/>
          <w:szCs w:val="24"/>
          <w:highlight w:val="none"/>
        </w:rPr>
        <w:t xml:space="preserve">为本公司合法代理人，参加贵方组织的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rPr>
        <w:t>（招标编号、招标项目名称）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招投标活动，代表本公司处理招投标活动中的一切事宜，在此：</w:t>
      </w:r>
    </w:p>
    <w:p w14:paraId="13290E61">
      <w:pPr>
        <w:keepNext w:val="0"/>
        <w:keepLines w:val="0"/>
        <w:pageBreakBefore w:val="0"/>
        <w:widowControl w:val="0"/>
        <w:numPr>
          <w:ilvl w:val="0"/>
          <w:numId w:val="5"/>
        </w:numPr>
        <w:tabs>
          <w:tab w:val="left" w:pos="426"/>
          <w:tab w:val="clear" w:pos="840"/>
        </w:tabs>
        <w:kinsoku/>
        <w:wordWrap/>
        <w:overflowPunct/>
        <w:topLinePunct w:val="0"/>
        <w:autoSpaceDE/>
        <w:autoSpaceDN/>
        <w:bidi w:val="0"/>
        <w:spacing w:line="380" w:lineRule="exact"/>
        <w:ind w:left="0"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提供</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中规定的全部投标文件。</w:t>
      </w:r>
    </w:p>
    <w:p w14:paraId="69B2309F">
      <w:pPr>
        <w:keepNext w:val="0"/>
        <w:keepLines w:val="0"/>
        <w:pageBreakBefore w:val="0"/>
        <w:widowControl w:val="0"/>
        <w:numPr>
          <w:ilvl w:val="0"/>
          <w:numId w:val="5"/>
        </w:numPr>
        <w:tabs>
          <w:tab w:val="left" w:pos="426"/>
          <w:tab w:val="clear" w:pos="840"/>
        </w:tabs>
        <w:kinsoku/>
        <w:wordWrap/>
        <w:overflowPunct/>
        <w:topLinePunct w:val="0"/>
        <w:autoSpaceDE/>
        <w:autoSpaceDN/>
        <w:bidi w:val="0"/>
        <w:spacing w:line="380" w:lineRule="exact"/>
        <w:ind w:left="0"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据此函，签字代表宣布并承诺如下：</w:t>
      </w:r>
    </w:p>
    <w:p w14:paraId="428C052E">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 投标产品的投标总价为《开标一览表》所列金额。</w:t>
      </w:r>
    </w:p>
    <w:p w14:paraId="110250A2">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本报价已经包含了所供产品应纳的税金及</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规定的报价方式应包含的其他费用。本报价在投标有效期内固定不变，并在合同有效期内不受利率、物价、政策等波动的影响。</w:t>
      </w:r>
    </w:p>
    <w:p w14:paraId="3D5B021E">
      <w:pPr>
        <w:keepNext w:val="0"/>
        <w:keepLines w:val="0"/>
        <w:pageBreakBefore w:val="0"/>
        <w:widowControl w:val="0"/>
        <w:numPr>
          <w:ilvl w:val="0"/>
          <w:numId w:val="6"/>
        </w:numPr>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本投标自开标之日起</w:t>
      </w:r>
      <w:r>
        <w:rPr>
          <w:rFonts w:hint="eastAsia" w:ascii="宋体" w:hAnsi="宋体" w:eastAsia="宋体" w:cs="宋体"/>
          <w:color w:val="auto"/>
          <w:spacing w:val="-4"/>
          <w:sz w:val="24"/>
          <w:szCs w:val="24"/>
          <w:highlight w:val="none"/>
          <w:u w:val="single"/>
        </w:rPr>
        <w:t xml:space="preserve">90 </w:t>
      </w:r>
      <w:r>
        <w:rPr>
          <w:rFonts w:hint="eastAsia" w:ascii="宋体" w:hAnsi="宋体" w:eastAsia="宋体" w:cs="宋体"/>
          <w:color w:val="auto"/>
          <w:spacing w:val="-4"/>
          <w:sz w:val="24"/>
          <w:szCs w:val="24"/>
          <w:highlight w:val="none"/>
        </w:rPr>
        <w:t>天内有效。</w:t>
      </w:r>
    </w:p>
    <w:p w14:paraId="365A3240">
      <w:pPr>
        <w:keepNext w:val="0"/>
        <w:keepLines w:val="0"/>
        <w:pageBreakBefore w:val="0"/>
        <w:widowControl w:val="0"/>
        <w:numPr>
          <w:ilvl w:val="0"/>
          <w:numId w:val="6"/>
        </w:numPr>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highlight w:val="none"/>
        </w:rPr>
        <w:t>我方此次向贵方提供的</w:t>
      </w:r>
      <w:r>
        <w:rPr>
          <w:rFonts w:hint="eastAsia" w:ascii="宋体" w:hAnsi="宋体" w:eastAsia="宋体" w:cs="宋体"/>
          <w:color w:val="auto"/>
          <w:spacing w:val="-4"/>
          <w:sz w:val="24"/>
          <w:highlight w:val="none"/>
        </w:rPr>
        <w:t>项目名称为：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bCs/>
          <w:color w:val="auto"/>
          <w:spacing w:val="-4"/>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，该项目我方有能力完成。</w:t>
      </w:r>
    </w:p>
    <w:p w14:paraId="4589DFC7">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 我们已详细审查全部</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及有关的澄清、修改文件（若有的话），我们完全理解并同意放弃对这方面提出任何异议的权利。保证遵守</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有关条款规定。</w:t>
      </w:r>
    </w:p>
    <w:p w14:paraId="4652BF3D">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 保证在中标后忠实地执行与采购人所签署的合同，并承担合同规定的责任义务。保证在中标后按照</w:t>
      </w:r>
      <w:r>
        <w:rPr>
          <w:rFonts w:hint="eastAsia" w:ascii="宋体" w:hAnsi="宋体" w:eastAsia="宋体" w:cs="宋体"/>
          <w:color w:val="auto"/>
          <w:spacing w:val="-4"/>
          <w:sz w:val="24"/>
          <w:szCs w:val="24"/>
          <w:highlight w:val="none"/>
          <w:lang w:eastAsia="zh-CN"/>
        </w:rPr>
        <w:t>采购文件</w:t>
      </w:r>
      <w:r>
        <w:rPr>
          <w:rFonts w:hint="eastAsia" w:ascii="宋体" w:hAnsi="宋体" w:eastAsia="宋体" w:cs="宋体"/>
          <w:color w:val="auto"/>
          <w:spacing w:val="-4"/>
          <w:sz w:val="24"/>
          <w:szCs w:val="24"/>
          <w:highlight w:val="none"/>
        </w:rPr>
        <w:t>的规定支付采购代理服务费。</w:t>
      </w:r>
    </w:p>
    <w:p w14:paraId="6E8E8795">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 承诺应贵方要求提供任何与该项目投标有关的数据、情况和技术资料。</w:t>
      </w:r>
    </w:p>
    <w:p w14:paraId="1AA75456">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7EA912BA">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4"/>
          <w:sz w:val="24"/>
          <w:highlight w:val="none"/>
        </w:rPr>
        <w:t>我方向贵方提交的所有投标文件、资料都是准确的和真实的。若未中标，我单位同意采购人免费采用我单位全部或部分方案。</w:t>
      </w:r>
    </w:p>
    <w:p w14:paraId="2671E481">
      <w:pPr>
        <w:keepNext w:val="0"/>
        <w:keepLines w:val="0"/>
        <w:pageBreakBefore w:val="0"/>
        <w:widowControl w:val="0"/>
        <w:kinsoku/>
        <w:wordWrap/>
        <w:overflowPunct/>
        <w:topLinePunct w:val="0"/>
        <w:autoSpaceDE/>
        <w:autoSpaceDN/>
        <w:bidi w:val="0"/>
        <w:spacing w:line="380" w:lineRule="exact"/>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highlight w:val="none"/>
        </w:rPr>
        <w:t>并在人员、设备、资金等方面具有相应的供货及安装能力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highlight w:val="none"/>
        </w:rPr>
        <w:t>未被列入失信被执行人名单、重大税收违法失信主体、政府采购严重违法失信行为记录名单。</w:t>
      </w:r>
    </w:p>
    <w:p w14:paraId="124AA09B">
      <w:pPr>
        <w:keepNext w:val="0"/>
        <w:keepLines w:val="0"/>
        <w:pageBreakBefore w:val="0"/>
        <w:widowControl w:val="0"/>
        <w:numPr>
          <w:ilvl w:val="0"/>
          <w:numId w:val="5"/>
        </w:numPr>
        <w:tabs>
          <w:tab w:val="left" w:pos="426"/>
          <w:tab w:val="clear" w:pos="840"/>
        </w:tabs>
        <w:kinsoku/>
        <w:wordWrap/>
        <w:overflowPunct/>
        <w:topLinePunct w:val="0"/>
        <w:autoSpaceDE/>
        <w:autoSpaceDN/>
        <w:bidi w:val="0"/>
        <w:spacing w:line="380" w:lineRule="exact"/>
        <w:ind w:left="0"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与本投标有关的一切往来通信请寄：</w:t>
      </w:r>
    </w:p>
    <w:p w14:paraId="7466DFA7">
      <w:pPr>
        <w:keepNext w:val="0"/>
        <w:keepLines w:val="0"/>
        <w:pageBreakBefore w:val="0"/>
        <w:widowControl w:val="0"/>
        <w:kinsoku/>
        <w:wordWrap/>
        <w:overflowPunct/>
        <w:topLinePunct w:val="0"/>
        <w:autoSpaceDE/>
        <w:autoSpaceDN/>
        <w:bidi w:val="0"/>
        <w:adjustRightInd/>
        <w:snapToGrid w:val="0"/>
        <w:spacing w:before="161" w:beforeLines="50"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rPr>
        <w:t xml:space="preserve">：__________   </w:t>
      </w: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rPr>
        <w:t>电话：______________</w:t>
      </w:r>
    </w:p>
    <w:p w14:paraId="541C1C4A">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投标人名称（电子签章）:___________________</w:t>
      </w:r>
    </w:p>
    <w:p w14:paraId="325214B0">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法定代表人（签字或盖章）:________________   </w:t>
      </w:r>
    </w:p>
    <w:p w14:paraId="3CF92097">
      <w:pPr>
        <w:keepNext w:val="0"/>
        <w:keepLines w:val="0"/>
        <w:pageBreakBefore w:val="0"/>
        <w:widowControl w:val="0"/>
        <w:kinsoku/>
        <w:wordWrap/>
        <w:overflowPunct/>
        <w:topLinePunct w:val="0"/>
        <w:autoSpaceDE/>
        <w:autoSpaceDN/>
        <w:bidi w:val="0"/>
        <w:adjustRightInd w:val="0"/>
        <w:spacing w:line="38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BD451D4">
      <w:pPr>
        <w:spacing w:line="240" w:lineRule="auto"/>
        <w:ind w:right="-56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开标一览表格式：</w:t>
      </w:r>
    </w:p>
    <w:p w14:paraId="5503C5A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开标一览表</w:t>
      </w:r>
    </w:p>
    <w:p w14:paraId="441AC856">
      <w:pPr>
        <w:spacing w:line="200" w:lineRule="exact"/>
        <w:rPr>
          <w:rFonts w:hint="eastAsia" w:ascii="宋体" w:hAnsi="宋体" w:eastAsia="宋体" w:cs="宋体"/>
          <w:color w:val="auto"/>
          <w:spacing w:val="-4"/>
          <w:sz w:val="24"/>
          <w:szCs w:val="24"/>
          <w:highlight w:val="none"/>
        </w:rPr>
      </w:pPr>
    </w:p>
    <w:p w14:paraId="47F2B682">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tbl>
      <w:tblPr>
        <w:tblStyle w:val="30"/>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74"/>
        <w:gridCol w:w="1065"/>
        <w:gridCol w:w="3321"/>
        <w:gridCol w:w="1482"/>
      </w:tblGrid>
      <w:tr w14:paraId="7C09C6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3552071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2074" w:type="dxa"/>
            <w:tcBorders>
              <w:top w:val="single" w:color="auto" w:sz="4" w:space="0"/>
              <w:bottom w:val="single" w:color="auto" w:sz="4" w:space="0"/>
            </w:tcBorders>
            <w:tcMar>
              <w:left w:w="0" w:type="dxa"/>
              <w:right w:w="0" w:type="dxa"/>
            </w:tcMar>
            <w:vAlign w:val="center"/>
          </w:tcPr>
          <w:p w14:paraId="51D6EBB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65" w:type="dxa"/>
            <w:tcBorders>
              <w:top w:val="single" w:color="auto" w:sz="4" w:space="0"/>
              <w:bottom w:val="single" w:color="auto" w:sz="4" w:space="0"/>
              <w:right w:val="single" w:color="auto" w:sz="4" w:space="0"/>
            </w:tcBorders>
            <w:tcMar>
              <w:left w:w="0" w:type="dxa"/>
              <w:right w:w="0" w:type="dxa"/>
            </w:tcMar>
            <w:vAlign w:val="center"/>
          </w:tcPr>
          <w:p w14:paraId="28EA6DC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321" w:type="dxa"/>
            <w:tcBorders>
              <w:top w:val="single" w:color="auto" w:sz="4" w:space="0"/>
              <w:left w:val="single" w:color="auto" w:sz="4" w:space="0"/>
              <w:bottom w:val="single" w:color="auto" w:sz="4" w:space="0"/>
            </w:tcBorders>
            <w:tcMar>
              <w:left w:w="0" w:type="dxa"/>
              <w:right w:w="0" w:type="dxa"/>
            </w:tcMar>
            <w:vAlign w:val="center"/>
          </w:tcPr>
          <w:p w14:paraId="518C23A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投标价（人民币元）</w:t>
            </w:r>
          </w:p>
        </w:tc>
        <w:tc>
          <w:tcPr>
            <w:tcW w:w="1482" w:type="dxa"/>
            <w:tcBorders>
              <w:top w:val="single" w:color="auto" w:sz="4" w:space="0"/>
              <w:bottom w:val="single" w:color="auto" w:sz="4" w:space="0"/>
            </w:tcBorders>
            <w:tcMar>
              <w:left w:w="0" w:type="dxa"/>
              <w:right w:w="0" w:type="dxa"/>
            </w:tcMar>
            <w:vAlign w:val="center"/>
          </w:tcPr>
          <w:p w14:paraId="2F7B207C">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Cs w:val="30"/>
                <w:highlight w:val="none"/>
              </w:rPr>
              <w:t>备注</w:t>
            </w:r>
          </w:p>
        </w:tc>
      </w:tr>
      <w:tr w14:paraId="1CB32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79D0D36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p>
        </w:tc>
        <w:tc>
          <w:tcPr>
            <w:tcW w:w="2074" w:type="dxa"/>
            <w:tcBorders>
              <w:bottom w:val="single" w:color="auto" w:sz="4" w:space="0"/>
            </w:tcBorders>
            <w:tcMar>
              <w:left w:w="0" w:type="dxa"/>
              <w:right w:w="0" w:type="dxa"/>
            </w:tcMar>
            <w:vAlign w:val="center"/>
          </w:tcPr>
          <w:p w14:paraId="720F591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eastAsia="zh-CN"/>
              </w:rPr>
            </w:pPr>
            <w:r>
              <w:rPr>
                <w:rFonts w:hint="eastAsia" w:ascii="宋体" w:hAnsi="宋体" w:cs="宋体"/>
                <w:color w:val="auto"/>
                <w:spacing w:val="-4"/>
                <w:sz w:val="24"/>
                <w:szCs w:val="24"/>
                <w:highlight w:val="none"/>
                <w:lang w:eastAsia="zh-CN"/>
              </w:rPr>
              <w:t>中共浦江县委宣传部2024年网络安全服务项目</w:t>
            </w:r>
          </w:p>
        </w:tc>
        <w:tc>
          <w:tcPr>
            <w:tcW w:w="1065" w:type="dxa"/>
            <w:tcBorders>
              <w:bottom w:val="single" w:color="auto" w:sz="4" w:space="0"/>
              <w:right w:val="single" w:color="auto" w:sz="4" w:space="0"/>
            </w:tcBorders>
            <w:tcMar>
              <w:left w:w="0" w:type="dxa"/>
              <w:right w:w="0" w:type="dxa"/>
            </w:tcMar>
            <w:vAlign w:val="center"/>
          </w:tcPr>
          <w:p w14:paraId="70920AC2">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1项</w:t>
            </w:r>
          </w:p>
        </w:tc>
        <w:tc>
          <w:tcPr>
            <w:tcW w:w="3321" w:type="dxa"/>
            <w:tcBorders>
              <w:left w:val="single" w:color="auto" w:sz="4" w:space="0"/>
              <w:bottom w:val="single" w:color="auto" w:sz="4" w:space="0"/>
            </w:tcBorders>
            <w:tcMar>
              <w:left w:w="0" w:type="dxa"/>
              <w:right w:w="0" w:type="dxa"/>
            </w:tcMar>
            <w:vAlign w:val="center"/>
          </w:tcPr>
          <w:p w14:paraId="6A5D968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6361600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101B79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96CDD6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1E0916C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4AE490CF">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3737E20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471D963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0FF649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EF8E7A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5D643B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09F6B254">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305B8CC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3EBDB93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7E553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66EEC9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04BD3F9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09D4FB1C">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300FE2E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1D3331B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05BE8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655165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6878908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5FCF8488">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2A1345F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2F7F3C0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0D0630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CC6744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7EA942F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6393BE0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11AB829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0BFF6D2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5E1281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647" w:type="dxa"/>
            <w:gridSpan w:val="2"/>
            <w:tcBorders>
              <w:top w:val="single" w:color="auto" w:sz="4" w:space="0"/>
              <w:right w:val="single" w:color="auto" w:sz="2" w:space="0"/>
            </w:tcBorders>
            <w:tcMar>
              <w:left w:w="0" w:type="dxa"/>
              <w:right w:w="0" w:type="dxa"/>
            </w:tcMar>
            <w:vAlign w:val="center"/>
          </w:tcPr>
          <w:p w14:paraId="66F6CB0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投标价合计</w:t>
            </w:r>
          </w:p>
        </w:tc>
        <w:tc>
          <w:tcPr>
            <w:tcW w:w="5868" w:type="dxa"/>
            <w:gridSpan w:val="3"/>
            <w:tcBorders>
              <w:top w:val="single" w:color="auto" w:sz="4" w:space="0"/>
              <w:left w:val="single" w:color="auto" w:sz="2" w:space="0"/>
              <w:bottom w:val="single" w:color="auto" w:sz="4" w:space="0"/>
            </w:tcBorders>
            <w:vAlign w:val="center"/>
          </w:tcPr>
          <w:p w14:paraId="56E58ED7">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p>
        </w:tc>
      </w:tr>
      <w:tr w14:paraId="5CFC48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3023AD0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投标声明</w:t>
            </w:r>
          </w:p>
        </w:tc>
        <w:tc>
          <w:tcPr>
            <w:tcW w:w="7942" w:type="dxa"/>
            <w:gridSpan w:val="4"/>
            <w:tcBorders>
              <w:top w:val="single" w:color="auto" w:sz="4" w:space="0"/>
            </w:tcBorders>
            <w:tcMar>
              <w:left w:w="0" w:type="dxa"/>
              <w:right w:w="0" w:type="dxa"/>
            </w:tcMar>
            <w:vAlign w:val="center"/>
          </w:tcPr>
          <w:p w14:paraId="2B5BC5BD">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highlight w:val="none"/>
              </w:rPr>
            </w:pPr>
          </w:p>
        </w:tc>
      </w:tr>
    </w:tbl>
    <w:p w14:paraId="0FA4697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注：1.报价一经涂改，应在涂改处加盖单位公章或者由法定代表人或授权代表签字或盖章，否则其投标作无效标处理。</w:t>
      </w:r>
    </w:p>
    <w:p w14:paraId="41F9A3A3">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2.总报价应包括完成</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所确定的投标范围内全部服务内容的价格体现，应包括但不限于第三部分 招标内容及需求中“二、服务内容”，技术支持，所有员工的人工费，人员所使用作业工具等各类耗材，设施设备管理维护费，配备的设备设施和作业车辆的折旧费及运行维护费，浦义隧道全年电费，企业的管理费，利润，税金，招标代理费及合同实施过程中不可预见的费用等一切相关费用。</w:t>
      </w:r>
    </w:p>
    <w:p w14:paraId="75F8DE9A">
      <w:pPr>
        <w:spacing w:line="360" w:lineRule="auto"/>
        <w:rPr>
          <w:rFonts w:hint="eastAsia" w:ascii="宋体" w:hAnsi="宋体" w:eastAsia="宋体" w:cs="宋体"/>
          <w:color w:val="auto"/>
          <w:sz w:val="24"/>
          <w:szCs w:val="24"/>
          <w:highlight w:val="none"/>
        </w:rPr>
      </w:pPr>
    </w:p>
    <w:p w14:paraId="5F83B323">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FA437F3">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0C87F9E7">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B683788">
      <w:pPr>
        <w:jc w:val="left"/>
        <w:outlineLvl w:val="1"/>
        <w:rPr>
          <w:rFonts w:hint="eastAsia" w:ascii="宋体" w:hAnsi="宋体" w:eastAsia="宋体" w:cs="宋体"/>
          <w:bCs/>
          <w:color w:val="auto"/>
          <w:sz w:val="24"/>
          <w:highlight w:val="none"/>
        </w:rPr>
        <w:sectPr>
          <w:headerReference r:id="rId8" w:type="default"/>
          <w:footerReference r:id="rId9" w:type="default"/>
          <w:pgSz w:w="11905" w:h="16838"/>
          <w:pgMar w:top="1440" w:right="1482" w:bottom="1440" w:left="1803" w:header="850" w:footer="992" w:gutter="0"/>
          <w:pgNumType w:fmt="decimal"/>
          <w:cols w:space="0" w:num="1"/>
          <w:docGrid w:type="lines" w:linePitch="319" w:charSpace="0"/>
        </w:sectPr>
      </w:pPr>
    </w:p>
    <w:p w14:paraId="30BF902D">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投标报价明细表格式：</w:t>
      </w:r>
    </w:p>
    <w:p w14:paraId="2C35968C">
      <w:pPr>
        <w:snapToGri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投标报价明细表</w:t>
      </w:r>
    </w:p>
    <w:p w14:paraId="0C37250B">
      <w:pPr>
        <w:adjustRightInd w:val="0"/>
        <w:spacing w:line="360" w:lineRule="auto"/>
        <w:jc w:val="left"/>
        <w:rPr>
          <w:rFonts w:hint="eastAsia" w:ascii="宋体" w:hAnsi="宋体" w:cs="宋体"/>
          <w:color w:val="auto"/>
          <w:szCs w:val="21"/>
          <w:highlight w:val="none"/>
        </w:rPr>
      </w:pPr>
    </w:p>
    <w:p w14:paraId="19446BE6">
      <w:pPr>
        <w:pStyle w:val="14"/>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215"/>
        <w:gridCol w:w="1849"/>
        <w:gridCol w:w="1692"/>
        <w:gridCol w:w="1367"/>
        <w:gridCol w:w="608"/>
      </w:tblGrid>
      <w:tr w14:paraId="5240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58" w:type="pct"/>
            <w:noWrap w:val="0"/>
            <w:vAlign w:val="center"/>
          </w:tcPr>
          <w:p w14:paraId="465F9A1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301" w:type="pct"/>
            <w:noWrap w:val="0"/>
            <w:vAlign w:val="center"/>
          </w:tcPr>
          <w:p w14:paraId="4AAE29B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086" w:type="pct"/>
            <w:noWrap w:val="0"/>
            <w:vAlign w:val="center"/>
          </w:tcPr>
          <w:p w14:paraId="3360151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采购内容</w:t>
            </w:r>
          </w:p>
        </w:tc>
        <w:tc>
          <w:tcPr>
            <w:tcW w:w="994" w:type="pct"/>
            <w:noWrap w:val="0"/>
            <w:vAlign w:val="center"/>
          </w:tcPr>
          <w:p w14:paraId="71B88C31">
            <w:pPr>
              <w:keepNext w:val="0"/>
              <w:keepLines w:val="0"/>
              <w:suppressLineNumbers w:val="0"/>
              <w:spacing w:before="0" w:beforeAutospacing="0" w:after="0" w:afterAutospacing="0" w:line="400" w:lineRule="atLeas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0"/>
                <w:highlight w:val="none"/>
              </w:rPr>
              <w:t>数量（项）</w:t>
            </w:r>
          </w:p>
        </w:tc>
        <w:tc>
          <w:tcPr>
            <w:tcW w:w="802" w:type="pct"/>
            <w:noWrap w:val="0"/>
            <w:vAlign w:val="center"/>
          </w:tcPr>
          <w:p w14:paraId="7EBA2021">
            <w:pPr>
              <w:keepNext w:val="0"/>
              <w:keepLines w:val="0"/>
              <w:suppressLineNumbers w:val="0"/>
              <w:spacing w:before="0" w:beforeAutospacing="0" w:after="0" w:afterAutospacing="0" w:line="400" w:lineRule="atLeast"/>
              <w:ind w:left="0" w:right="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0"/>
                <w:highlight w:val="none"/>
              </w:rPr>
              <w:t>合计</w:t>
            </w:r>
          </w:p>
        </w:tc>
        <w:tc>
          <w:tcPr>
            <w:tcW w:w="357" w:type="pct"/>
            <w:noWrap w:val="0"/>
            <w:vAlign w:val="center"/>
          </w:tcPr>
          <w:p w14:paraId="75AECBF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1594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458" w:type="pct"/>
            <w:noWrap w:val="0"/>
            <w:vAlign w:val="center"/>
          </w:tcPr>
          <w:p w14:paraId="6035AB4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1" w:type="pct"/>
            <w:noWrap w:val="0"/>
            <w:vAlign w:val="center"/>
          </w:tcPr>
          <w:p w14:paraId="0C5375D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pacing w:val="-4"/>
                <w:sz w:val="24"/>
                <w:szCs w:val="24"/>
                <w:highlight w:val="none"/>
                <w:lang w:eastAsia="zh-CN"/>
              </w:rPr>
              <w:t>中共浦江县委宣传部2024年网络安全服务项目</w:t>
            </w:r>
          </w:p>
        </w:tc>
        <w:tc>
          <w:tcPr>
            <w:tcW w:w="1086" w:type="pct"/>
            <w:noWrap w:val="0"/>
            <w:vAlign w:val="center"/>
          </w:tcPr>
          <w:p w14:paraId="24C744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pacing w:val="-4"/>
                <w:sz w:val="24"/>
                <w:szCs w:val="24"/>
                <w:highlight w:val="none"/>
                <w:lang w:eastAsia="zh-CN"/>
              </w:rPr>
              <w:t>中共浦江县委宣传部2024年网络安全服务项目</w:t>
            </w:r>
          </w:p>
        </w:tc>
        <w:tc>
          <w:tcPr>
            <w:tcW w:w="994" w:type="pct"/>
            <w:noWrap w:val="0"/>
            <w:vAlign w:val="center"/>
          </w:tcPr>
          <w:p w14:paraId="7CD8FDD8">
            <w:pPr>
              <w:keepNext w:val="0"/>
              <w:keepLines w:val="0"/>
              <w:suppressLineNumbers w:val="0"/>
              <w:spacing w:before="0" w:beforeAutospacing="0" w:after="0" w:afterAutospacing="0" w:line="400" w:lineRule="atLeast"/>
              <w:ind w:left="0" w:right="0"/>
              <w:jc w:val="center"/>
              <w:rPr>
                <w:rFonts w:hint="eastAsia" w:ascii="宋体" w:hAnsi="宋体" w:eastAsia="宋体" w:cs="宋体"/>
                <w:bCs/>
                <w:color w:val="auto"/>
                <w:sz w:val="24"/>
                <w:szCs w:val="24"/>
                <w:highlight w:val="none"/>
                <w:lang w:val="en-US" w:eastAsia="zh-CN" w:bidi="ar-SA"/>
              </w:rPr>
            </w:pPr>
            <w:r>
              <w:rPr>
                <w:rFonts w:hint="eastAsia" w:ascii="宋体" w:hAnsi="宋体" w:cs="宋体"/>
                <w:color w:val="auto"/>
                <w:sz w:val="24"/>
                <w:szCs w:val="20"/>
                <w:highlight w:val="none"/>
              </w:rPr>
              <w:t>1</w:t>
            </w:r>
          </w:p>
        </w:tc>
        <w:tc>
          <w:tcPr>
            <w:tcW w:w="802" w:type="pct"/>
            <w:noWrap w:val="0"/>
            <w:vAlign w:val="center"/>
          </w:tcPr>
          <w:p w14:paraId="65F24D30">
            <w:pPr>
              <w:keepNext w:val="0"/>
              <w:keepLines w:val="0"/>
              <w:suppressLineNumbers w:val="0"/>
              <w:spacing w:before="0" w:beforeAutospacing="0" w:after="0" w:afterAutospacing="0" w:line="400" w:lineRule="atLeast"/>
              <w:ind w:left="0" w:right="0"/>
              <w:jc w:val="center"/>
              <w:rPr>
                <w:rFonts w:hint="eastAsia" w:ascii="宋体" w:hAnsi="宋体" w:eastAsia="宋体" w:cs="宋体"/>
                <w:color w:val="auto"/>
                <w:sz w:val="24"/>
                <w:szCs w:val="24"/>
                <w:highlight w:val="none"/>
                <w:lang w:val="en-US" w:eastAsia="zh-CN"/>
              </w:rPr>
            </w:pPr>
          </w:p>
        </w:tc>
        <w:tc>
          <w:tcPr>
            <w:tcW w:w="357" w:type="pct"/>
            <w:noWrap w:val="0"/>
            <w:vAlign w:val="center"/>
          </w:tcPr>
          <w:p w14:paraId="0A70DF1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p>
        </w:tc>
      </w:tr>
      <w:tr w14:paraId="7714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8" w:type="pct"/>
            <w:noWrap w:val="0"/>
            <w:vAlign w:val="center"/>
          </w:tcPr>
          <w:p w14:paraId="6AA3C881">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84" w:type="pct"/>
            <w:gridSpan w:val="4"/>
            <w:noWrap w:val="0"/>
            <w:vAlign w:val="center"/>
          </w:tcPr>
          <w:p w14:paraId="4684656A">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投标总价：大写__________________元</w:t>
            </w:r>
          </w:p>
        </w:tc>
        <w:tc>
          <w:tcPr>
            <w:tcW w:w="357" w:type="pct"/>
            <w:noWrap w:val="0"/>
            <w:vAlign w:val="center"/>
          </w:tcPr>
          <w:p w14:paraId="6ED49AC7">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bCs/>
                <w:color w:val="auto"/>
                <w:sz w:val="24"/>
                <w:szCs w:val="24"/>
                <w:highlight w:val="none"/>
                <w:lang w:val="en-US" w:eastAsia="zh-CN"/>
              </w:rPr>
            </w:pPr>
          </w:p>
        </w:tc>
      </w:tr>
    </w:tbl>
    <w:p w14:paraId="597A7E87">
      <w:pPr>
        <w:numPr>
          <w:ilvl w:val="0"/>
          <w:numId w:val="0"/>
        </w:numPr>
        <w:spacing w:line="360" w:lineRule="auto"/>
        <w:ind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注：1.投标人根据实际情况可在表中报价明细的基础上进行扩展。</w:t>
      </w:r>
    </w:p>
    <w:p w14:paraId="01219270">
      <w:pPr>
        <w:numPr>
          <w:ilvl w:val="0"/>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上表所述“总报价”应与“开标一览表”中的总报价一致，如有矛盾，以“开标一览表”中的为准。</w:t>
      </w:r>
    </w:p>
    <w:p w14:paraId="5EAC347A">
      <w:pPr>
        <w:snapToGrid w:val="0"/>
        <w:spacing w:line="360" w:lineRule="auto"/>
        <w:rPr>
          <w:rFonts w:hint="eastAsia" w:ascii="宋体" w:hAnsi="宋体" w:cs="宋体"/>
          <w:color w:val="auto"/>
          <w:sz w:val="24"/>
          <w:highlight w:val="none"/>
        </w:rPr>
      </w:pPr>
    </w:p>
    <w:p w14:paraId="12023664">
      <w:pPr>
        <w:pStyle w:val="27"/>
        <w:rPr>
          <w:rFonts w:hint="eastAsia" w:ascii="宋体" w:hAnsi="宋体" w:cs="宋体"/>
          <w:color w:val="auto"/>
          <w:sz w:val="24"/>
          <w:highlight w:val="none"/>
        </w:rPr>
      </w:pPr>
    </w:p>
    <w:p w14:paraId="19118FFE">
      <w:pPr>
        <w:pStyle w:val="27"/>
        <w:rPr>
          <w:rFonts w:hint="eastAsia" w:ascii="宋体" w:hAnsi="宋体" w:cs="宋体"/>
          <w:color w:val="auto"/>
          <w:sz w:val="24"/>
          <w:highlight w:val="none"/>
        </w:rPr>
      </w:pPr>
    </w:p>
    <w:p w14:paraId="262A15F6">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6EE3FF36">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552AE251">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73DA7428">
      <w:pPr>
        <w:snapToGrid w:val="0"/>
        <w:spacing w:line="360" w:lineRule="auto"/>
        <w:rPr>
          <w:rFonts w:hint="eastAsia" w:ascii="宋体" w:hAnsi="宋体" w:cs="宋体"/>
          <w:b/>
          <w:color w:val="auto"/>
          <w:szCs w:val="21"/>
          <w:highlight w:val="none"/>
        </w:rPr>
      </w:pPr>
    </w:p>
    <w:p w14:paraId="476C4EF3">
      <w:pPr>
        <w:pStyle w:val="12"/>
        <w:rPr>
          <w:rFonts w:hint="eastAsia"/>
          <w:color w:val="auto"/>
          <w:highlight w:val="none"/>
        </w:rPr>
      </w:pPr>
    </w:p>
    <w:p w14:paraId="65370645">
      <w:pPr>
        <w:pStyle w:val="12"/>
        <w:rPr>
          <w:rFonts w:hint="eastAsia"/>
          <w:color w:val="auto"/>
          <w:highlight w:val="none"/>
        </w:rPr>
      </w:pPr>
    </w:p>
    <w:p w14:paraId="14781C72">
      <w:pPr>
        <w:pStyle w:val="12"/>
        <w:rPr>
          <w:rFonts w:hint="eastAsia"/>
          <w:color w:val="auto"/>
          <w:highlight w:val="none"/>
        </w:rPr>
      </w:pPr>
    </w:p>
    <w:p w14:paraId="1A92A32A">
      <w:pPr>
        <w:pStyle w:val="12"/>
        <w:rPr>
          <w:rFonts w:hint="eastAsia"/>
          <w:color w:val="auto"/>
          <w:highlight w:val="none"/>
        </w:rPr>
      </w:pPr>
    </w:p>
    <w:p w14:paraId="7E21E4CA">
      <w:pPr>
        <w:pStyle w:val="12"/>
        <w:rPr>
          <w:rFonts w:hint="eastAsia"/>
          <w:color w:val="auto"/>
          <w:highlight w:val="none"/>
        </w:rPr>
      </w:pPr>
    </w:p>
    <w:p w14:paraId="5C38A7BB">
      <w:pPr>
        <w:pStyle w:val="12"/>
        <w:rPr>
          <w:rFonts w:hint="eastAsia"/>
          <w:color w:val="auto"/>
          <w:highlight w:val="none"/>
        </w:rPr>
      </w:pPr>
    </w:p>
    <w:p w14:paraId="2C8CD8CF">
      <w:pPr>
        <w:jc w:val="center"/>
        <w:outlineLvl w:val="9"/>
        <w:rPr>
          <w:rFonts w:hint="eastAsia" w:ascii="宋体" w:hAnsi="宋体" w:eastAsia="宋体" w:cs="宋体"/>
          <w:b/>
          <w:color w:val="auto"/>
          <w:sz w:val="36"/>
          <w:highlight w:val="none"/>
        </w:rPr>
      </w:pPr>
    </w:p>
    <w:p w14:paraId="0F0EA08A">
      <w:pPr>
        <w:rPr>
          <w:rFonts w:hint="eastAsia" w:ascii="宋体" w:hAnsi="宋体" w:eastAsia="宋体" w:cs="宋体"/>
          <w:b/>
          <w:bCs/>
          <w:color w:val="auto"/>
          <w:sz w:val="24"/>
          <w:szCs w:val="24"/>
          <w:highlight w:val="none"/>
          <w:lang w:val="en-US" w:eastAsia="zh-CN"/>
        </w:rPr>
      </w:pPr>
    </w:p>
    <w:p w14:paraId="3F1ABF0E">
      <w:pPr>
        <w:rPr>
          <w:rFonts w:hint="eastAsia" w:ascii="宋体" w:hAnsi="宋体" w:eastAsia="宋体" w:cs="宋体"/>
          <w:b/>
          <w:bCs/>
          <w:color w:val="auto"/>
          <w:sz w:val="24"/>
          <w:szCs w:val="24"/>
          <w:highlight w:val="none"/>
          <w:lang w:val="en-US" w:eastAsia="zh-CN"/>
        </w:rPr>
      </w:pPr>
    </w:p>
    <w:p w14:paraId="200CA6DC">
      <w:pP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宋体" w:hAnsi="宋体" w:eastAsia="宋体" w:cs="宋体"/>
          <w:b/>
          <w:color w:val="auto"/>
          <w:sz w:val="24"/>
          <w:szCs w:val="24"/>
          <w:highlight w:val="none"/>
          <w:lang w:val="en-US" w:eastAsia="zh-CN"/>
        </w:rPr>
        <w:t>函格式：</w:t>
      </w:r>
    </w:p>
    <w:p w14:paraId="035FF26B">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中小企业声明函（服务、工程）（如是）</w:t>
      </w:r>
    </w:p>
    <w:p w14:paraId="7DB272E1">
      <w:pPr>
        <w:spacing w:line="460" w:lineRule="atLeas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i/>
          <w:iCs/>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F553B8A">
      <w:pPr>
        <w:spacing w:line="460" w:lineRule="atLeas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 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万元，属于（中型企业、 小型企业、微型企业）； </w:t>
      </w:r>
    </w:p>
    <w:p w14:paraId="069213A3">
      <w:pPr>
        <w:spacing w:line="460" w:lineRule="atLeas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 小型企业、微型企业）；</w:t>
      </w:r>
    </w:p>
    <w:p w14:paraId="5ECF987E">
      <w:pPr>
        <w:spacing w:line="460" w:lineRule="atLeas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584B7AA">
      <w:pPr>
        <w:autoSpaceDE w:val="0"/>
        <w:autoSpaceDN w:val="0"/>
        <w:adjustRightInd w:val="0"/>
        <w:spacing w:before="108" w:line="360" w:lineRule="auto"/>
        <w:ind w:right="-54" w:firstLine="645"/>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0A9A2203">
      <w:pPr>
        <w:autoSpaceDE w:val="0"/>
        <w:autoSpaceDN w:val="0"/>
        <w:adjustRightInd w:val="0"/>
        <w:spacing w:line="360" w:lineRule="auto"/>
        <w:ind w:right="-54" w:firstLine="64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1B91F21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238AD89A">
      <w:pPr>
        <w:autoSpaceDE w:val="0"/>
        <w:autoSpaceDN w:val="0"/>
        <w:adjustRightInd w:val="0"/>
        <w:spacing w:line="360" w:lineRule="auto"/>
        <w:ind w:firstLine="480" w:firstLineChars="200"/>
        <w:jc w:val="left"/>
        <w:rPr>
          <w:rFonts w:hint="eastAsia" w:ascii="宋体" w:hAnsi="宋体" w:eastAsia="宋体" w:cs="宋体"/>
          <w:b/>
          <w:bCs/>
          <w:color w:val="auto"/>
          <w:kern w:val="2"/>
          <w:sz w:val="21"/>
          <w:szCs w:val="21"/>
          <w:highlight w:val="none"/>
          <w:lang w:val="zh-TW" w:eastAsia="zh-TW" w:bidi="zh-TW"/>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C9BC91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right="0" w:firstLine="211" w:firstLineChars="1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CN" w:bidi="zh-TW"/>
        </w:rPr>
        <w:t>注</w:t>
      </w:r>
      <w:r>
        <w:rPr>
          <w:rFonts w:hint="eastAsia" w:ascii="宋体" w:hAnsi="宋体" w:eastAsia="宋体" w:cs="宋体"/>
          <w:b/>
          <w:bCs/>
          <w:color w:val="auto"/>
          <w:kern w:val="2"/>
          <w:sz w:val="21"/>
          <w:szCs w:val="21"/>
          <w:highlight w:val="none"/>
          <w:lang w:val="zh-TW" w:eastAsia="zh-TW" w:bidi="zh-TW"/>
        </w:rPr>
        <w:t>：</w:t>
      </w:r>
      <w:r>
        <w:rPr>
          <w:rFonts w:hint="eastAsia" w:ascii="宋体" w:hAnsi="宋体" w:eastAsia="宋体" w:cs="宋体"/>
          <w:b w:val="0"/>
          <w:bCs w:val="0"/>
          <w:color w:val="auto"/>
          <w:kern w:val="2"/>
          <w:sz w:val="21"/>
          <w:szCs w:val="21"/>
          <w:highlight w:val="none"/>
          <w:lang w:val="zh-TW" w:eastAsia="zh-TW" w:bidi="zh-TW"/>
        </w:rPr>
        <w:t>①“采购文件中明确的所属行业”依据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1908AAE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②</w:t>
      </w:r>
      <w:r>
        <w:rPr>
          <w:rFonts w:hint="eastAsia" w:ascii="宋体" w:hAnsi="宋体" w:eastAsia="宋体" w:cs="宋体"/>
          <w:b/>
          <w:bCs/>
          <w:color w:val="auto"/>
          <w:kern w:val="2"/>
          <w:sz w:val="21"/>
          <w:szCs w:val="21"/>
          <w:highlight w:val="none"/>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lang w:val="zh-TW" w:eastAsia="zh-TW" w:bidi="zh-TW"/>
        </w:rPr>
        <w:t>；</w:t>
      </w:r>
    </w:p>
    <w:p w14:paraId="405D5A9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val="0"/>
          <w:snapToGrid w:val="0"/>
          <w:color w:val="auto"/>
          <w:kern w:val="0"/>
          <w:sz w:val="21"/>
          <w:szCs w:val="21"/>
          <w:highlight w:val="none"/>
          <w:u w:val="single"/>
          <w:lang w:eastAsia="zh-CN"/>
        </w:rPr>
        <w:t>（</w:t>
      </w:r>
      <w:r>
        <w:rPr>
          <w:rFonts w:hint="eastAsia" w:ascii="宋体" w:hAnsi="宋体" w:cs="宋体"/>
          <w:b/>
          <w:bCs w:val="0"/>
          <w:snapToGrid w:val="0"/>
          <w:color w:val="auto"/>
          <w:kern w:val="0"/>
          <w:sz w:val="21"/>
          <w:szCs w:val="21"/>
          <w:highlight w:val="none"/>
          <w:u w:val="single"/>
          <w:lang w:eastAsia="zh-CN"/>
        </w:rPr>
        <w:t>十二</w:t>
      </w:r>
      <w:r>
        <w:rPr>
          <w:rFonts w:hint="eastAsia" w:ascii="宋体" w:hAnsi="宋体" w:eastAsia="宋体" w:cs="宋体"/>
          <w:b/>
          <w:bCs w:val="0"/>
          <w:snapToGrid w:val="0"/>
          <w:color w:val="auto"/>
          <w:kern w:val="0"/>
          <w:sz w:val="21"/>
          <w:szCs w:val="21"/>
          <w:highlight w:val="none"/>
          <w:u w:val="single"/>
          <w:lang w:eastAsia="zh-CN"/>
        </w:rPr>
        <w:t>）</w:t>
      </w:r>
      <w:r>
        <w:rPr>
          <w:rFonts w:hint="eastAsia" w:ascii="宋体" w:hAnsi="宋体" w:eastAsia="宋体" w:cs="宋体"/>
          <w:b/>
          <w:bCs w:val="0"/>
          <w:snapToGrid w:val="0"/>
          <w:color w:val="auto"/>
          <w:kern w:val="0"/>
          <w:sz w:val="21"/>
          <w:szCs w:val="21"/>
          <w:highlight w:val="none"/>
          <w:u w:val="single"/>
          <w:lang w:val="en-US" w:eastAsia="zh-CN"/>
        </w:rPr>
        <w:t>软件和信息技术服务业</w:t>
      </w:r>
      <w:r>
        <w:rPr>
          <w:rFonts w:hint="eastAsia" w:ascii="宋体" w:hAnsi="宋体" w:eastAsia="宋体" w:cs="宋体"/>
          <w:b/>
          <w:bCs w:val="0"/>
          <w:color w:val="auto"/>
          <w:sz w:val="21"/>
          <w:szCs w:val="21"/>
          <w:highlight w:val="none"/>
          <w:u w:val="single"/>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1F45EA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kern w:val="2"/>
          <w:sz w:val="21"/>
          <w:szCs w:val="21"/>
          <w:highlight w:val="none"/>
          <w:lang w:val="zh-TW" w:eastAsia="zh-TW" w:bidi="ar-SA"/>
        </w:rPr>
      </w:pPr>
      <w:r>
        <w:rPr>
          <w:rFonts w:hint="eastAsia" w:ascii="宋体" w:hAnsi="宋体" w:eastAsia="宋体" w:cs="宋体"/>
          <w:b w:val="0"/>
          <w:bCs w:val="0"/>
          <w:color w:val="auto"/>
          <w:kern w:val="2"/>
          <w:sz w:val="21"/>
          <w:szCs w:val="21"/>
          <w:highlight w:val="none"/>
          <w:lang w:val="zh-TW" w:eastAsia="zh-TW" w:bidi="zh-TW"/>
        </w:rPr>
        <w:t>④</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7055E47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kern w:val="2"/>
          <w:sz w:val="21"/>
          <w:szCs w:val="21"/>
          <w:highlight w:val="none"/>
          <w:lang w:val="en-US" w:eastAsia="zh-CN" w:bidi="ar-SA"/>
        </w:rPr>
        <w:t>⑤如中标人声明为小微企业，本声明函将随中标结果同时公告，接受社会监督。</w:t>
      </w:r>
    </w:p>
    <w:p w14:paraId="12E4393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残疾人福利性单位声明函格式：</w:t>
      </w:r>
    </w:p>
    <w:p w14:paraId="3FDB322C">
      <w:pPr>
        <w:pStyle w:val="28"/>
        <w:rPr>
          <w:rFonts w:hint="eastAsia" w:ascii="宋体" w:hAnsi="宋体" w:eastAsia="宋体" w:cs="宋体"/>
          <w:color w:val="auto"/>
          <w:highlight w:val="none"/>
        </w:rPr>
      </w:pPr>
    </w:p>
    <w:p w14:paraId="3D3A3F09">
      <w:pPr>
        <w:spacing w:line="588"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62FD563">
      <w:pPr>
        <w:spacing w:line="588" w:lineRule="exact"/>
        <w:rPr>
          <w:rFonts w:hint="eastAsia" w:ascii="宋体" w:hAnsi="宋体" w:eastAsia="宋体" w:cs="宋体"/>
          <w:b/>
          <w:color w:val="auto"/>
          <w:spacing w:val="6"/>
          <w:sz w:val="30"/>
          <w:szCs w:val="30"/>
          <w:highlight w:val="none"/>
        </w:rPr>
      </w:pPr>
    </w:p>
    <w:p w14:paraId="41176C6D">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6265F6">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DECA00E">
      <w:pPr>
        <w:spacing w:line="588" w:lineRule="exact"/>
        <w:ind w:firstLine="504" w:firstLineChars="200"/>
        <w:rPr>
          <w:rFonts w:hint="eastAsia" w:ascii="宋体" w:hAnsi="宋体" w:eastAsia="宋体" w:cs="宋体"/>
          <w:color w:val="auto"/>
          <w:spacing w:val="6"/>
          <w:sz w:val="24"/>
          <w:highlight w:val="none"/>
        </w:rPr>
      </w:pPr>
    </w:p>
    <w:p w14:paraId="3995B875">
      <w:pPr>
        <w:spacing w:line="588" w:lineRule="exact"/>
        <w:ind w:firstLine="504" w:firstLineChars="200"/>
        <w:rPr>
          <w:rFonts w:hint="eastAsia" w:ascii="宋体" w:hAnsi="宋体" w:eastAsia="宋体" w:cs="宋体"/>
          <w:color w:val="auto"/>
          <w:spacing w:val="6"/>
          <w:sz w:val="24"/>
          <w:highlight w:val="none"/>
        </w:rPr>
      </w:pPr>
    </w:p>
    <w:p w14:paraId="6C1345E6">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z w:val="24"/>
          <w:highlight w:val="none"/>
        </w:rPr>
        <w:t>投标人全称（盖电子公章）</w:t>
      </w:r>
      <w:r>
        <w:rPr>
          <w:rFonts w:hint="eastAsia" w:ascii="宋体" w:hAnsi="宋体" w:eastAsia="宋体" w:cs="宋体"/>
          <w:color w:val="auto"/>
          <w:spacing w:val="6"/>
          <w:sz w:val="24"/>
          <w:highlight w:val="none"/>
        </w:rPr>
        <w:t>：</w:t>
      </w:r>
    </w:p>
    <w:p w14:paraId="4EC11F5D">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72057A8E">
      <w:pPr>
        <w:pStyle w:val="28"/>
        <w:spacing w:line="460" w:lineRule="exact"/>
        <w:ind w:firstLine="482"/>
        <w:rPr>
          <w:rFonts w:hint="eastAsia" w:ascii="宋体" w:hAnsi="宋体" w:eastAsia="宋体" w:cs="宋体"/>
          <w:b/>
          <w:color w:val="auto"/>
          <w:szCs w:val="24"/>
          <w:highlight w:val="none"/>
        </w:rPr>
      </w:pPr>
    </w:p>
    <w:p w14:paraId="3A6ABBAC">
      <w:pPr>
        <w:pStyle w:val="28"/>
        <w:spacing w:line="46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注：投标人为残疾人福利性单位时须满足财库[2017]141号文件第一条的规定同时提供“残疾人福利性单位声明函”。</w:t>
      </w:r>
    </w:p>
    <w:p w14:paraId="21B0D1D4">
      <w:pPr>
        <w:adjustRightInd w:val="0"/>
        <w:snapToGrid w:val="0"/>
        <w:spacing w:before="120" w:beforeLines="50" w:after="120" w:afterLines="50" w:line="360" w:lineRule="auto"/>
        <w:jc w:val="both"/>
        <w:outlineLvl w:val="9"/>
        <w:rPr>
          <w:rFonts w:hint="eastAsia" w:ascii="宋体" w:hAnsi="宋体" w:eastAsia="宋体" w:cs="宋体"/>
          <w:b/>
          <w:color w:val="auto"/>
          <w:sz w:val="30"/>
          <w:szCs w:val="30"/>
          <w:highlight w:val="none"/>
        </w:rPr>
      </w:pPr>
    </w:p>
    <w:p w14:paraId="71FB5A14">
      <w:pPr>
        <w:spacing w:line="360" w:lineRule="auto"/>
        <w:jc w:val="right"/>
        <w:rPr>
          <w:rFonts w:hint="eastAsia" w:ascii="宋体" w:hAnsi="宋体" w:eastAsia="宋体" w:cs="宋体"/>
          <w:color w:val="auto"/>
          <w:sz w:val="24"/>
          <w:szCs w:val="24"/>
          <w:highlight w:val="none"/>
        </w:rPr>
      </w:pPr>
    </w:p>
    <w:p w14:paraId="5A9BC8E4">
      <w:pPr>
        <w:spacing w:line="360" w:lineRule="auto"/>
        <w:jc w:val="left"/>
        <w:rPr>
          <w:rFonts w:hint="eastAsia" w:ascii="宋体" w:hAnsi="宋体" w:eastAsia="宋体" w:cs="宋体"/>
          <w:b/>
          <w:bCs/>
          <w:color w:val="auto"/>
          <w:spacing w:val="-4"/>
          <w:sz w:val="24"/>
          <w:szCs w:val="24"/>
          <w:highlight w:val="none"/>
        </w:rPr>
      </w:pPr>
    </w:p>
    <w:p w14:paraId="6D5C1FAE">
      <w:pPr>
        <w:spacing w:line="360" w:lineRule="auto"/>
        <w:jc w:val="left"/>
        <w:rPr>
          <w:rFonts w:hint="eastAsia" w:ascii="宋体" w:hAnsi="宋体" w:eastAsia="宋体" w:cs="宋体"/>
          <w:b/>
          <w:bCs/>
          <w:color w:val="auto"/>
          <w:spacing w:val="-4"/>
          <w:sz w:val="24"/>
          <w:szCs w:val="24"/>
          <w:highlight w:val="none"/>
        </w:rPr>
      </w:pPr>
    </w:p>
    <w:p w14:paraId="43926896">
      <w:pPr>
        <w:pStyle w:val="28"/>
        <w:rPr>
          <w:rFonts w:hint="eastAsia" w:ascii="宋体" w:hAnsi="宋体" w:eastAsia="宋体" w:cs="宋体"/>
          <w:b/>
          <w:bCs/>
          <w:color w:val="auto"/>
          <w:spacing w:val="-4"/>
          <w:sz w:val="24"/>
          <w:szCs w:val="24"/>
          <w:highlight w:val="none"/>
        </w:rPr>
      </w:pPr>
    </w:p>
    <w:p w14:paraId="016381C6">
      <w:pPr>
        <w:pStyle w:val="12"/>
        <w:rPr>
          <w:rFonts w:hint="eastAsia" w:ascii="宋体" w:hAnsi="宋体" w:eastAsia="宋体" w:cs="宋体"/>
          <w:b/>
          <w:bCs/>
          <w:color w:val="auto"/>
          <w:spacing w:val="-4"/>
          <w:sz w:val="24"/>
          <w:szCs w:val="24"/>
          <w:highlight w:val="none"/>
        </w:rPr>
      </w:pPr>
    </w:p>
    <w:p w14:paraId="2B63B020">
      <w:pPr>
        <w:pStyle w:val="27"/>
        <w:rPr>
          <w:rFonts w:hint="eastAsia" w:ascii="宋体" w:hAnsi="宋体" w:eastAsia="宋体" w:cs="宋体"/>
          <w:b/>
          <w:bCs/>
          <w:color w:val="auto"/>
          <w:spacing w:val="-4"/>
          <w:sz w:val="24"/>
          <w:szCs w:val="24"/>
          <w:highlight w:val="none"/>
        </w:rPr>
      </w:pPr>
    </w:p>
    <w:p w14:paraId="641E09CC">
      <w:pPr>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监狱企业声明文件：</w:t>
      </w:r>
    </w:p>
    <w:p w14:paraId="04369A73">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16D7FDBC">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4E0B030B">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433BE43D">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03B29DF8">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3AFF212F">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4196D519">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6CFD06B9">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464BCDAE">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25AD7AAE">
      <w:pPr>
        <w:tabs>
          <w:tab w:val="left" w:pos="3870"/>
          <w:tab w:val="left" w:pos="4085"/>
        </w:tabs>
        <w:snapToGrid w:val="0"/>
        <w:spacing w:line="400" w:lineRule="exact"/>
        <w:jc w:val="center"/>
        <w:rPr>
          <w:rFonts w:hint="eastAsia" w:ascii="宋体" w:hAnsi="宋体" w:eastAsia="宋体" w:cs="宋体"/>
          <w:color w:val="auto"/>
          <w:sz w:val="32"/>
          <w:szCs w:val="32"/>
          <w:highlight w:val="none"/>
        </w:rPr>
      </w:pPr>
    </w:p>
    <w:p w14:paraId="198EB306">
      <w:pPr>
        <w:tabs>
          <w:tab w:val="left" w:pos="3870"/>
          <w:tab w:val="left" w:pos="4085"/>
        </w:tabs>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省级以上监狱管理局、戒毒管理局（含新疆生产建设兵团）出具的属于监狱企业的证明文件（格式自拟）</w:t>
      </w:r>
    </w:p>
    <w:p w14:paraId="7651F956">
      <w:pPr>
        <w:pStyle w:val="28"/>
        <w:ind w:firstLine="640"/>
        <w:rPr>
          <w:rFonts w:hint="eastAsia" w:ascii="宋体" w:hAnsi="宋体" w:eastAsia="宋体" w:cs="宋体"/>
          <w:color w:val="auto"/>
          <w:sz w:val="32"/>
          <w:szCs w:val="32"/>
          <w:highlight w:val="none"/>
        </w:rPr>
      </w:pPr>
    </w:p>
    <w:p w14:paraId="61536EEB">
      <w:pPr>
        <w:pStyle w:val="28"/>
        <w:spacing w:line="460" w:lineRule="exact"/>
        <w:ind w:firstLine="482"/>
        <w:rPr>
          <w:rFonts w:hint="eastAsia" w:ascii="宋体" w:hAnsi="宋体" w:eastAsia="宋体" w:cs="宋体"/>
          <w:b/>
          <w:color w:val="auto"/>
          <w:szCs w:val="24"/>
          <w:highlight w:val="none"/>
        </w:rPr>
      </w:pPr>
    </w:p>
    <w:p w14:paraId="5D9083A4">
      <w:pPr>
        <w:pStyle w:val="28"/>
        <w:spacing w:line="460" w:lineRule="exact"/>
        <w:ind w:firstLine="482"/>
        <w:rPr>
          <w:rFonts w:hint="eastAsia" w:ascii="宋体" w:hAnsi="宋体" w:eastAsia="宋体" w:cs="宋体"/>
          <w:b/>
          <w:color w:val="auto"/>
          <w:szCs w:val="24"/>
          <w:highlight w:val="none"/>
        </w:rPr>
      </w:pPr>
    </w:p>
    <w:p w14:paraId="3E9811C6">
      <w:pPr>
        <w:pStyle w:val="28"/>
        <w:spacing w:line="460" w:lineRule="exact"/>
        <w:ind w:firstLine="482"/>
        <w:rPr>
          <w:rFonts w:hint="eastAsia" w:ascii="宋体" w:hAnsi="宋体" w:eastAsia="宋体" w:cs="宋体"/>
          <w:b/>
          <w:color w:val="auto"/>
          <w:szCs w:val="24"/>
          <w:highlight w:val="none"/>
        </w:rPr>
      </w:pPr>
    </w:p>
    <w:p w14:paraId="3DFA4E34">
      <w:pPr>
        <w:pStyle w:val="28"/>
        <w:spacing w:line="460" w:lineRule="exact"/>
        <w:ind w:firstLine="482"/>
        <w:rPr>
          <w:rFonts w:hint="eastAsia" w:ascii="宋体" w:hAnsi="宋体" w:eastAsia="宋体" w:cs="宋体"/>
          <w:b/>
          <w:color w:val="auto"/>
          <w:szCs w:val="24"/>
          <w:highlight w:val="none"/>
        </w:rPr>
      </w:pPr>
    </w:p>
    <w:p w14:paraId="2543C2B6">
      <w:pPr>
        <w:pStyle w:val="28"/>
        <w:spacing w:line="460" w:lineRule="exact"/>
        <w:ind w:firstLine="281" w:firstLineChars="100"/>
        <w:rPr>
          <w:rFonts w:hint="eastAsia" w:ascii="宋体" w:hAnsi="宋体" w:eastAsia="宋体" w:cs="宋体"/>
          <w:b/>
          <w:color w:val="auto"/>
          <w:sz w:val="36"/>
          <w:highlight w:val="none"/>
          <w:lang w:val="en-US" w:eastAsia="zh-CN"/>
        </w:rPr>
      </w:pPr>
      <w:r>
        <w:rPr>
          <w:rFonts w:hint="eastAsia" w:ascii="宋体" w:hAnsi="宋体" w:eastAsia="宋体" w:cs="宋体"/>
          <w:b/>
          <w:color w:val="auto"/>
          <w:szCs w:val="24"/>
          <w:highlight w:val="none"/>
        </w:rPr>
        <w:t>注：投标人属于监狱企业时需提</w:t>
      </w:r>
      <w:r>
        <w:rPr>
          <w:rFonts w:hint="eastAsia" w:ascii="宋体" w:hAnsi="宋体" w:cs="宋体"/>
          <w:b/>
          <w:color w:val="auto"/>
          <w:szCs w:val="24"/>
          <w:highlight w:val="none"/>
          <w:lang w:eastAsia="zh-CN"/>
        </w:rPr>
        <w:t>供</w:t>
      </w:r>
    </w:p>
    <w:p w14:paraId="0B789D66">
      <w:pPr>
        <w:jc w:val="center"/>
        <w:outlineLvl w:val="9"/>
        <w:rPr>
          <w:rFonts w:hint="eastAsia" w:ascii="宋体" w:hAnsi="宋体" w:eastAsia="宋体" w:cs="宋体"/>
          <w:b/>
          <w:color w:val="auto"/>
          <w:sz w:val="36"/>
          <w:highlight w:val="none"/>
        </w:rPr>
      </w:pPr>
    </w:p>
    <w:p w14:paraId="0517A87E">
      <w:pPr>
        <w:pStyle w:val="2"/>
        <w:rPr>
          <w:rFonts w:hint="eastAsia" w:ascii="宋体" w:hAnsi="宋体" w:eastAsia="宋体" w:cs="宋体"/>
          <w:b/>
          <w:color w:val="auto"/>
          <w:sz w:val="36"/>
          <w:highlight w:val="none"/>
        </w:rPr>
      </w:pPr>
    </w:p>
    <w:p w14:paraId="74D06BAA">
      <w:pPr>
        <w:rPr>
          <w:rFonts w:hint="eastAsia" w:ascii="宋体" w:hAnsi="宋体" w:eastAsia="宋体" w:cs="宋体"/>
          <w:b/>
          <w:color w:val="auto"/>
          <w:sz w:val="36"/>
          <w:highlight w:val="none"/>
        </w:rPr>
      </w:pPr>
    </w:p>
    <w:p w14:paraId="29277EBF">
      <w:pPr>
        <w:pStyle w:val="2"/>
        <w:rPr>
          <w:rFonts w:hint="eastAsia" w:ascii="宋体" w:hAnsi="宋体" w:eastAsia="宋体" w:cs="宋体"/>
          <w:b/>
          <w:color w:val="auto"/>
          <w:sz w:val="36"/>
          <w:highlight w:val="none"/>
        </w:rPr>
      </w:pPr>
    </w:p>
    <w:p w14:paraId="6FD491BB">
      <w:pPr>
        <w:rPr>
          <w:rFonts w:hint="eastAsia" w:ascii="宋体" w:hAnsi="宋体" w:eastAsia="宋体" w:cs="宋体"/>
          <w:b/>
          <w:color w:val="auto"/>
          <w:sz w:val="36"/>
          <w:highlight w:val="none"/>
        </w:rPr>
      </w:pPr>
    </w:p>
    <w:p w14:paraId="1AC8E814">
      <w:pPr>
        <w:pStyle w:val="2"/>
        <w:rPr>
          <w:rFonts w:hint="eastAsia" w:ascii="宋体" w:hAnsi="宋体" w:eastAsia="宋体" w:cs="宋体"/>
          <w:b/>
          <w:color w:val="auto"/>
          <w:sz w:val="36"/>
          <w:highlight w:val="none"/>
        </w:rPr>
      </w:pPr>
    </w:p>
    <w:p w14:paraId="182ABCE7">
      <w:pPr>
        <w:rPr>
          <w:rFonts w:hint="eastAsia" w:ascii="宋体" w:hAnsi="宋体" w:eastAsia="宋体" w:cs="宋体"/>
          <w:b/>
          <w:color w:val="auto"/>
          <w:sz w:val="36"/>
          <w:highlight w:val="none"/>
        </w:rPr>
      </w:pPr>
    </w:p>
    <w:p w14:paraId="27C7095E">
      <w:pPr>
        <w:pStyle w:val="2"/>
        <w:rPr>
          <w:rFonts w:hint="eastAsia"/>
          <w:color w:val="auto"/>
          <w:highlight w:val="none"/>
        </w:rPr>
      </w:pPr>
    </w:p>
    <w:p w14:paraId="07D05797">
      <w:pPr>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6"/>
          <w:highlight w:val="none"/>
        </w:rPr>
        <w:t>第七部分 其他</w:t>
      </w:r>
    </w:p>
    <w:p w14:paraId="01B0D331">
      <w:pPr>
        <w:pStyle w:val="56"/>
        <w:widowControl w:val="0"/>
        <w:snapToGrid w:val="0"/>
        <w:spacing w:afterLines="50" w:line="312"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政府采购活动现场确认声明书</w:t>
      </w:r>
    </w:p>
    <w:p w14:paraId="39F4D210">
      <w:pPr>
        <w:pStyle w:val="56"/>
        <w:widowControl w:val="0"/>
        <w:snapToGrid w:val="0"/>
        <w:spacing w:line="312" w:lineRule="auto"/>
        <w:jc w:val="both"/>
        <w:rPr>
          <w:rFonts w:hint="eastAsia" w:ascii="宋体" w:hAnsi="宋体" w:eastAsia="宋体" w:cs="宋体"/>
          <w:color w:val="auto"/>
          <w:kern w:val="0"/>
          <w:sz w:val="24"/>
          <w:szCs w:val="24"/>
          <w:highlight w:val="none"/>
          <w:u w:val="single"/>
          <w:lang w:eastAsia="zh-CN"/>
        </w:rPr>
      </w:pPr>
      <w:r>
        <w:rPr>
          <w:rFonts w:hint="eastAsia" w:hAnsi="宋体" w:cs="宋体"/>
          <w:color w:val="auto"/>
          <w:kern w:val="0"/>
          <w:sz w:val="24"/>
          <w:szCs w:val="24"/>
          <w:highlight w:val="none"/>
          <w:u w:val="single"/>
          <w:lang w:eastAsia="zh-CN"/>
        </w:rPr>
        <w:t>中共浦江县委宣传部</w:t>
      </w:r>
      <w:r>
        <w:rPr>
          <w:rFonts w:hint="eastAsia" w:ascii="宋体" w:hAnsi="宋体" w:eastAsia="宋体" w:cs="宋体"/>
          <w:color w:val="auto"/>
          <w:kern w:val="0"/>
          <w:sz w:val="24"/>
          <w:szCs w:val="24"/>
          <w:highlight w:val="none"/>
          <w:u w:val="none"/>
          <w:lang w:eastAsia="zh-CN"/>
        </w:rPr>
        <w:t>：</w:t>
      </w:r>
    </w:p>
    <w:p w14:paraId="3D229727">
      <w:pPr>
        <w:pStyle w:val="56"/>
        <w:widowControl w:val="0"/>
        <w:snapToGrid w:val="0"/>
        <w:spacing w:line="312" w:lineRule="auto"/>
        <w:jc w:val="both"/>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lang w:eastAsia="zh-CN"/>
        </w:rPr>
        <w:t>浙江华杰工程咨询有限公司</w:t>
      </w:r>
      <w:r>
        <w:rPr>
          <w:rFonts w:hint="eastAsia" w:ascii="宋体" w:hAnsi="宋体" w:eastAsia="宋体" w:cs="宋体"/>
          <w:color w:val="auto"/>
          <w:kern w:val="0"/>
          <w:sz w:val="24"/>
          <w:szCs w:val="24"/>
          <w:highlight w:val="none"/>
        </w:rPr>
        <w:t>：</w:t>
      </w:r>
    </w:p>
    <w:p w14:paraId="572B7A63">
      <w:pPr>
        <w:pStyle w:val="56"/>
        <w:widowControl w:val="0"/>
        <w:snapToGrid w:val="0"/>
        <w:spacing w:line="312"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政府采购项目（编号：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507A87A7">
      <w:pPr>
        <w:pStyle w:val="57"/>
        <w:widowControl/>
        <w:numPr>
          <w:ilvl w:val="0"/>
          <w:numId w:val="7"/>
        </w:numPr>
        <w:snapToGrid w:val="0"/>
        <w:spacing w:line="312"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9E3C00D">
      <w:pPr>
        <w:pStyle w:val="57"/>
        <w:widowControl/>
        <w:snapToGrid w:val="0"/>
        <w:spacing w:line="312"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3E71462E">
      <w:pPr>
        <w:pStyle w:val="57"/>
        <w:widowControl/>
        <w:snapToGrid w:val="0"/>
        <w:spacing w:line="312"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4D54CBEE">
      <w:pPr>
        <w:pStyle w:val="57"/>
        <w:widowControl/>
        <w:snapToGrid w:val="0"/>
        <w:spacing w:line="312" w:lineRule="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068F449">
      <w:pPr>
        <w:pStyle w:val="56"/>
        <w:widowControl w:val="0"/>
        <w:snapToGrid w:val="0"/>
        <w:spacing w:line="312"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077EDD51">
      <w:pPr>
        <w:pStyle w:val="56"/>
        <w:widowControl w:val="0"/>
        <w:snapToGrid w:val="0"/>
        <w:spacing w:line="312" w:lineRule="auto"/>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2AEC5188">
      <w:pPr>
        <w:pStyle w:val="56"/>
        <w:widowControl w:val="0"/>
        <w:snapToGrid w:val="0"/>
        <w:spacing w:line="312" w:lineRule="auto"/>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6275266E">
      <w:pPr>
        <w:pStyle w:val="56"/>
        <w:widowControl w:val="0"/>
        <w:snapToGrid w:val="0"/>
        <w:spacing w:line="312" w:lineRule="auto"/>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6CB769B3">
      <w:pPr>
        <w:pStyle w:val="56"/>
        <w:widowControl w:val="0"/>
        <w:snapToGrid w:val="0"/>
        <w:spacing w:line="312"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4E3DB81">
      <w:pPr>
        <w:pStyle w:val="56"/>
        <w:widowControl w:val="0"/>
        <w:snapToGrid w:val="0"/>
        <w:spacing w:line="312"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7F1820A2">
      <w:pPr>
        <w:pStyle w:val="56"/>
        <w:widowControl w:val="0"/>
        <w:snapToGrid w:val="0"/>
        <w:spacing w:line="312"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59CC7CDA">
      <w:pPr>
        <w:pStyle w:val="56"/>
        <w:widowControl w:val="0"/>
        <w:snapToGrid w:val="0"/>
        <w:spacing w:line="312"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529A9330">
      <w:pPr>
        <w:pStyle w:val="56"/>
        <w:widowControl w:val="0"/>
        <w:snapToGrid w:val="0"/>
        <w:spacing w:line="312" w:lineRule="auto"/>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DBB14A2">
      <w:pPr>
        <w:pStyle w:val="57"/>
        <w:widowControl/>
        <w:numPr>
          <w:ilvl w:val="0"/>
          <w:numId w:val="8"/>
        </w:numPr>
        <w:snapToGrid w:val="0"/>
        <w:spacing w:line="312"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73FBAD97">
      <w:pPr>
        <w:pStyle w:val="57"/>
        <w:widowControl/>
        <w:numPr>
          <w:ilvl w:val="0"/>
          <w:numId w:val="8"/>
        </w:numPr>
        <w:snapToGrid w:val="0"/>
        <w:spacing w:line="312"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17BD2619">
      <w:pPr>
        <w:pStyle w:val="56"/>
        <w:widowControl w:val="0"/>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w:t>
      </w:r>
    </w:p>
    <w:p w14:paraId="2A837FEE">
      <w:pPr>
        <w:pStyle w:val="56"/>
        <w:widowControl w:val="0"/>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2F7AB61">
      <w:pPr>
        <w:pStyle w:val="56"/>
        <w:widowControl w:val="0"/>
        <w:snapToGrid w:val="0"/>
        <w:spacing w:line="312"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rPr>
        <w:t>结束解密后，供应商通过邮件形式将经授权代表签署的《政府采购活动现场确认声明书》扫描件发至代理机构经办人邮箱</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943427861@qq.com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。未按规定发送的，视为无异议，后果由投标人承担。</w:t>
      </w:r>
    </w:p>
    <w:p w14:paraId="63963A8A">
      <w:pPr>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3A6A67BC">
      <w:pPr>
        <w:widowControl/>
        <w:spacing w:before="100" w:beforeAutospacing="1" w:after="100" w:afterAutospacing="1" w:line="300" w:lineRule="atLeas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招标代理服务收费标准(费 率) </w:t>
      </w:r>
    </w:p>
    <w:tbl>
      <w:tblPr>
        <w:tblStyle w:val="3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08B821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50BD865">
            <w:pPr>
              <w:keepNext w:val="0"/>
              <w:keepLines w:val="0"/>
              <w:widowControl/>
              <w:suppressLineNumbers w:val="0"/>
              <w:spacing w:before="100" w:beforeAutospacing="1" w:after="100" w:afterAutospacing="1" w:line="300" w:lineRule="atLeast"/>
              <w:ind w:left="0" w:right="0"/>
              <w:jc w:val="center"/>
              <w:rPr>
                <w:rFonts w:hint="eastAsia" w:ascii="宋体" w:hAnsi="宋体" w:eastAsia="宋体" w:cs="宋体"/>
                <w:b/>
                <w:bCs/>
                <w:color w:val="auto"/>
                <w:kern w:val="0"/>
                <w:sz w:val="20"/>
                <w:szCs w:val="20"/>
                <w:highlight w:val="none"/>
              </w:rPr>
            </w:pPr>
            <w:r>
              <w:rPr>
                <w:rFonts w:hint="eastAsia" w:ascii="宋体" w:hAnsi="宋体" w:eastAsia="宋体" w:cs="宋体"/>
                <w:color w:val="auto"/>
                <w:kern w:val="0"/>
                <w:sz w:val="20"/>
                <w:szCs w:val="20"/>
                <w:highlight w:val="none"/>
              </w:rPr>
              <w:t xml:space="preserve">              </w:t>
            </w:r>
            <w:r>
              <w:rPr>
                <w:rFonts w:hint="eastAsia" w:ascii="宋体" w:hAnsi="宋体" w:eastAsia="宋体" w:cs="宋体"/>
                <w:b/>
                <w:bCs/>
                <w:color w:val="auto"/>
                <w:kern w:val="0"/>
                <w:sz w:val="20"/>
                <w:szCs w:val="20"/>
                <w:highlight w:val="none"/>
              </w:rPr>
              <w:t xml:space="preserve">服务类型     </w:t>
            </w:r>
          </w:p>
          <w:p w14:paraId="522ECF8D">
            <w:pPr>
              <w:keepNext w:val="0"/>
              <w:keepLines w:val="0"/>
              <w:widowControl/>
              <w:suppressLineNumbers w:val="0"/>
              <w:spacing w:before="100" w:beforeAutospacing="1" w:after="100" w:afterAutospacing="1" w:line="300" w:lineRule="atLeast"/>
              <w:ind w:left="0" w:right="0"/>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0"/>
                <w:szCs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9D3FF60">
            <w:pPr>
              <w:keepNext w:val="0"/>
              <w:keepLines w:val="0"/>
              <w:widowControl/>
              <w:suppressLineNumbers w:val="0"/>
              <w:spacing w:before="100" w:beforeAutospacing="1" w:after="100" w:afterAutospacing="1" w:line="30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0"/>
                <w:szCs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DF31A99">
            <w:pPr>
              <w:keepNext w:val="0"/>
              <w:keepLines w:val="0"/>
              <w:widowControl/>
              <w:suppressLineNumbers w:val="0"/>
              <w:spacing w:before="100" w:beforeAutospacing="1" w:after="100" w:afterAutospacing="1" w:line="300" w:lineRule="atLeast"/>
              <w:ind w:left="0" w:right="0"/>
              <w:jc w:val="center"/>
              <w:rPr>
                <w:rFonts w:hint="eastAsia" w:ascii="宋体" w:hAnsi="宋体" w:eastAsia="宋体" w:cs="宋体"/>
                <w:b/>
                <w:color w:val="auto"/>
                <w:kern w:val="0"/>
                <w:sz w:val="24"/>
                <w:szCs w:val="20"/>
                <w:highlight w:val="none"/>
              </w:rPr>
            </w:pPr>
            <w:r>
              <w:rPr>
                <w:rFonts w:hint="eastAsia" w:ascii="宋体" w:hAnsi="宋体" w:eastAsia="宋体" w:cs="宋体"/>
                <w:b/>
                <w:bCs/>
                <w:color w:val="auto"/>
                <w:kern w:val="0"/>
                <w:sz w:val="20"/>
                <w:szCs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431A3A7">
            <w:pPr>
              <w:keepNext w:val="0"/>
              <w:keepLines w:val="0"/>
              <w:widowControl/>
              <w:suppressLineNumbers w:val="0"/>
              <w:spacing w:before="100" w:beforeAutospacing="1" w:after="100" w:afterAutospacing="1" w:line="30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0"/>
                <w:szCs w:val="20"/>
                <w:highlight w:val="none"/>
              </w:rPr>
              <w:t>工程招标</w:t>
            </w:r>
          </w:p>
        </w:tc>
      </w:tr>
      <w:tr w14:paraId="3C3449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1721D4C">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650CE17">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9F88EF4">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009EFF2">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1.0％</w:t>
            </w:r>
          </w:p>
        </w:tc>
      </w:tr>
      <w:tr w14:paraId="33687C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5B97D862">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B0EDEC9">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0790A97">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933A728">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0.7％</w:t>
            </w:r>
          </w:p>
        </w:tc>
      </w:tr>
      <w:tr w14:paraId="55CCFA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191E584">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E709D16">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AF645FD">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A925459">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0.55％</w:t>
            </w:r>
          </w:p>
        </w:tc>
      </w:tr>
      <w:tr w14:paraId="5F3347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3A28AA90">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0C01C76">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5BBA843">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DE62950">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0.35％</w:t>
            </w:r>
          </w:p>
        </w:tc>
      </w:tr>
      <w:tr w14:paraId="72407C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96E4AD7">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9747CF0">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B8B1967">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0DFE9DB5">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0.2％</w:t>
            </w:r>
          </w:p>
        </w:tc>
      </w:tr>
      <w:tr w14:paraId="0CF0D2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4C40BFE0">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A333865">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28E10D3">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17BDED9">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0.05％</w:t>
            </w:r>
          </w:p>
        </w:tc>
      </w:tr>
      <w:tr w14:paraId="22DA7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60F53C91">
            <w:pPr>
              <w:keepNext w:val="0"/>
              <w:keepLines w:val="0"/>
              <w:widowControl/>
              <w:suppressLineNumbers w:val="0"/>
              <w:spacing w:before="100" w:beforeAutospacing="1" w:after="100" w:afterAutospacing="1" w:line="210" w:lineRule="atLeast"/>
              <w:ind w:left="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6604CCD">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val="0"/>
                <w:bCs/>
                <w:color w:val="auto"/>
                <w:kern w:val="0"/>
                <w:sz w:val="24"/>
                <w:szCs w:val="20"/>
                <w:highlight w:val="none"/>
              </w:rPr>
            </w:pPr>
            <w:r>
              <w:rPr>
                <w:rFonts w:hint="eastAsia" w:ascii="宋体" w:hAnsi="宋体" w:eastAsia="宋体" w:cs="宋体"/>
                <w:b w:val="0"/>
                <w:bCs/>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96DDC31">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60A0B12D">
            <w:pPr>
              <w:keepNext w:val="0"/>
              <w:keepLines w:val="0"/>
              <w:widowControl/>
              <w:suppressLineNumbers w:val="0"/>
              <w:spacing w:before="100" w:beforeAutospacing="1" w:after="100" w:afterAutospacing="1" w:line="210" w:lineRule="atLeast"/>
              <w:ind w:left="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0"/>
                <w:highlight w:val="none"/>
              </w:rPr>
              <w:t>0.01％</w:t>
            </w:r>
          </w:p>
        </w:tc>
      </w:tr>
    </w:tbl>
    <w:p w14:paraId="109750E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w:t>
      </w:r>
    </w:p>
    <w:p w14:paraId="2030CA1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color w:val="auto"/>
          <w:kern w:val="0"/>
          <w:sz w:val="20"/>
          <w:szCs w:val="20"/>
          <w:highlight w:val="none"/>
          <w:lang w:val="en-US" w:eastAsia="zh-CN"/>
        </w:rPr>
        <w:t xml:space="preserve"> </w:t>
      </w:r>
      <w:r>
        <w:rPr>
          <w:rFonts w:hint="eastAsia" w:ascii="宋体" w:hAnsi="宋体" w:eastAsia="宋体" w:cs="宋体"/>
          <w:color w:val="auto"/>
          <w:kern w:val="0"/>
          <w:sz w:val="20"/>
          <w:szCs w:val="20"/>
          <w:highlight w:val="none"/>
        </w:rPr>
        <w:t>招标代理服务收费按差额定率累进法计算。例如：某工程招标代理业务中标金额为6000万元，计算招标代理服务费额如下：</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100万元×1.0％＝1万元</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（500－100）万元×0.7％＝2.8万元</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（1000－500）万元×0.55％＝2.75万元</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（5000－1000）万元×0.35％＝14万元</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（6000－5000）万元×0.2％＝2万元</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    合计收费＝1＋2.8＋2.75＋14＋2＝22.55(万元)</w:t>
      </w:r>
    </w:p>
    <w:p w14:paraId="636DCF70">
      <w:pPr>
        <w:pStyle w:val="28"/>
        <w:rPr>
          <w:rFonts w:hint="eastAsia" w:ascii="宋体" w:hAnsi="宋体" w:eastAsia="宋体" w:cs="宋体"/>
          <w:color w:val="auto"/>
          <w:kern w:val="0"/>
          <w:sz w:val="20"/>
          <w:szCs w:val="20"/>
          <w:highlight w:val="none"/>
        </w:rPr>
      </w:pPr>
    </w:p>
    <w:p w14:paraId="24BBD640">
      <w:pPr>
        <w:rPr>
          <w:rFonts w:hint="eastAsia" w:ascii="宋体" w:hAnsi="宋体" w:eastAsia="宋体" w:cs="宋体"/>
          <w:color w:val="auto"/>
          <w:kern w:val="0"/>
          <w:sz w:val="20"/>
          <w:szCs w:val="20"/>
          <w:highlight w:val="none"/>
        </w:rPr>
      </w:pPr>
    </w:p>
    <w:p w14:paraId="40994F97">
      <w:pPr>
        <w:pStyle w:val="28"/>
        <w:rPr>
          <w:rFonts w:hint="eastAsia" w:ascii="宋体" w:hAnsi="宋体" w:eastAsia="宋体" w:cs="宋体"/>
          <w:color w:val="auto"/>
          <w:kern w:val="0"/>
          <w:sz w:val="20"/>
          <w:szCs w:val="20"/>
          <w:highlight w:val="none"/>
        </w:rPr>
      </w:pPr>
    </w:p>
    <w:p w14:paraId="6ED1FEFB">
      <w:pPr>
        <w:pStyle w:val="12"/>
        <w:rPr>
          <w:rFonts w:hint="eastAsia" w:ascii="宋体" w:hAnsi="宋体" w:eastAsia="宋体" w:cs="宋体"/>
          <w:color w:val="auto"/>
          <w:kern w:val="0"/>
          <w:sz w:val="20"/>
          <w:szCs w:val="20"/>
          <w:highlight w:val="none"/>
        </w:rPr>
      </w:pPr>
    </w:p>
    <w:p w14:paraId="1D55C4F5">
      <w:pPr>
        <w:pStyle w:val="27"/>
        <w:rPr>
          <w:rFonts w:hint="eastAsia" w:ascii="宋体" w:hAnsi="宋体" w:eastAsia="宋体" w:cs="宋体"/>
          <w:color w:val="auto"/>
          <w:kern w:val="0"/>
          <w:sz w:val="20"/>
          <w:szCs w:val="20"/>
          <w:highlight w:val="none"/>
        </w:rPr>
      </w:pPr>
    </w:p>
    <w:p w14:paraId="3719E268">
      <w:pPr>
        <w:rPr>
          <w:rFonts w:hint="eastAsia" w:ascii="宋体" w:hAnsi="宋体" w:eastAsia="宋体" w:cs="宋体"/>
          <w:color w:val="auto"/>
          <w:kern w:val="0"/>
          <w:sz w:val="20"/>
          <w:szCs w:val="20"/>
          <w:highlight w:val="none"/>
        </w:rPr>
      </w:pPr>
    </w:p>
    <w:p w14:paraId="21861A2B">
      <w:pPr>
        <w:pStyle w:val="28"/>
        <w:rPr>
          <w:rFonts w:hint="eastAsia" w:ascii="宋体" w:hAnsi="宋体" w:eastAsia="宋体" w:cs="宋体"/>
          <w:color w:val="auto"/>
          <w:kern w:val="0"/>
          <w:sz w:val="20"/>
          <w:szCs w:val="20"/>
          <w:highlight w:val="none"/>
        </w:rPr>
      </w:pPr>
    </w:p>
    <w:p w14:paraId="33D23B5C">
      <w:pPr>
        <w:pStyle w:val="12"/>
        <w:rPr>
          <w:rFonts w:hint="eastAsia" w:ascii="宋体" w:hAnsi="宋体" w:eastAsia="宋体" w:cs="宋体"/>
          <w:color w:val="auto"/>
          <w:kern w:val="0"/>
          <w:sz w:val="20"/>
          <w:szCs w:val="20"/>
          <w:highlight w:val="none"/>
        </w:rPr>
      </w:pPr>
    </w:p>
    <w:p w14:paraId="5C8F3060">
      <w:pPr>
        <w:pStyle w:val="27"/>
        <w:rPr>
          <w:rFonts w:hint="eastAsia" w:ascii="宋体" w:hAnsi="宋体" w:eastAsia="宋体" w:cs="宋体"/>
          <w:color w:val="auto"/>
          <w:highlight w:val="none"/>
        </w:rPr>
      </w:pPr>
    </w:p>
    <w:p w14:paraId="20ABBBE1">
      <w:pPr>
        <w:pStyle w:val="56"/>
        <w:widowControl w:val="0"/>
        <w:snapToGrid w:val="0"/>
        <w:spacing w:line="312" w:lineRule="auto"/>
        <w:jc w:val="both"/>
        <w:rPr>
          <w:rFonts w:hint="eastAsia" w:ascii="宋体" w:hAnsi="宋体" w:eastAsia="宋体" w:cs="宋体"/>
          <w:b/>
          <w:bCs/>
          <w:color w:val="auto"/>
          <w:sz w:val="24"/>
          <w:szCs w:val="24"/>
          <w:highlight w:val="none"/>
        </w:rPr>
      </w:pPr>
    </w:p>
    <w:p w14:paraId="203E8EF0">
      <w:pPr>
        <w:widowControl/>
        <w:adjustRightInd w:val="0"/>
        <w:spacing w:line="360" w:lineRule="auto"/>
        <w:ind w:firstLine="420" w:firstLineChars="200"/>
        <w:jc w:val="left"/>
        <w:rPr>
          <w:rFonts w:hint="eastAsia" w:ascii="宋体" w:hAnsi="宋体" w:eastAsia="宋体" w:cs="宋体"/>
          <w:color w:val="auto"/>
          <w:highlight w:val="none"/>
        </w:rPr>
      </w:pPr>
    </w:p>
    <w:sectPr>
      <w:headerReference r:id="rId10" w:type="default"/>
      <w:footerReference r:id="rId11" w:type="default"/>
      <w:pgSz w:w="11905" w:h="16838"/>
      <w:pgMar w:top="1440" w:right="1803" w:bottom="1440" w:left="1803" w:header="850" w:footer="992" w:gutter="0"/>
      <w:pgNumType w:fmt="decimal"/>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7A496">
    <w:pPr>
      <w:pStyle w:val="19"/>
      <w:rPr>
        <w:rFonts w:hint="eastAsia"/>
      </w:rPr>
    </w:pP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7EED">
    <w:pPr>
      <w:pStyle w:val="19"/>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31C02">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831C02">
                    <w:pPr>
                      <w:pStyle w:val="19"/>
                    </w:pPr>
                    <w:r>
                      <w:fldChar w:fldCharType="begin"/>
                    </w:r>
                    <w:r>
                      <w:instrText xml:space="preserve"> PAGE  \* MERGEFORMAT </w:instrText>
                    </w:r>
                    <w:r>
                      <w:fldChar w:fldCharType="separate"/>
                    </w:r>
                    <w:r>
                      <w:t>3</w:t>
                    </w:r>
                    <w:r>
                      <w:fldChar w:fldCharType="end"/>
                    </w:r>
                  </w:p>
                </w:txbxContent>
              </v:textbox>
            </v:shape>
          </w:pict>
        </mc:Fallback>
      </mc:AlternateContent>
    </w:r>
    <w:r>
      <w:tab/>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2127">
    <w:pPr>
      <w:snapToGrid w:val="0"/>
      <w:spacing w:line="240" w:lineRule="auto"/>
      <w:jc w:val="center"/>
      <w:rPr>
        <w:rFonts w:hint="default" w:ascii="Calibri" w:hAnsi="Calibri" w:eastAsia="黑体"/>
        <w:snapToGrid w:val="0"/>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18E36E">
                          <w:pPr>
                            <w:pStyle w:val="1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p w14:paraId="3F18E36E">
                    <w:pPr>
                      <w:pStyle w:val="19"/>
                    </w:pPr>
                    <w:r>
                      <w:fldChar w:fldCharType="begin"/>
                    </w:r>
                    <w:r>
                      <w:instrText xml:space="preserve"> PAGE  \* MERGEFORMAT </w:instrText>
                    </w:r>
                    <w:r>
                      <w:fldChar w:fldCharType="separate"/>
                    </w:r>
                    <w:r>
                      <w:t>32</w:t>
                    </w:r>
                    <w:r>
                      <w:fldChar w:fldCharType="end"/>
                    </w:r>
                  </w:p>
                </w:txbxContent>
              </v:textbox>
            </v:shape>
          </w:pict>
        </mc:Fallback>
      </mc:AlternateContent>
    </w:r>
  </w:p>
  <w:p w14:paraId="7BF593E9">
    <w:pPr>
      <w:snapToGrid w:val="0"/>
      <w:spacing w:line="240" w:lineRule="auto"/>
      <w:jc w:val="center"/>
      <w:rPr>
        <w:rFonts w:hint="default" w:ascii="Calibri" w:hAnsi="Calibri" w:eastAsia="黑体"/>
        <w:snapToGrid w:val="0"/>
        <w:kern w:val="0"/>
        <w:sz w:val="18"/>
        <w:szCs w:val="18"/>
      </w:rPr>
    </w:pPr>
  </w:p>
  <w:p w14:paraId="6D1EC7B2">
    <w:pPr>
      <w:snapToGrid w:val="0"/>
      <w:spacing w:line="240" w:lineRule="auto"/>
      <w:jc w:val="left"/>
      <w:rPr>
        <w:rFonts w:hint="default" w:ascii="Calibri" w:hAnsi="Calibri" w:eastAsia="黑体"/>
        <w:snapToGrid w:val="0"/>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C2EF">
    <w:pPr>
      <w:pStyle w:val="19"/>
      <w:rPr>
        <w:rFonts w:hint="default"/>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1A12F">
                          <w:pPr>
                            <w:pStyle w:val="19"/>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14:paraId="09A1A12F">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E64E">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D0F1">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8104E21">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08104E21">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1188623C">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1188623C">
                    <w:pPr>
                      <w:spacing w:line="214" w:lineRule="exact"/>
                      <w:jc w:val="left"/>
                      <w:rPr>
                        <w:rFonts w:hint="default" w:ascii="宋体" w:hAnsi="宋体" w:eastAsia="宋体" w:cs="宋体"/>
                        <w:sz w:val="18"/>
                        <w:szCs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E474">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A49033E">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fill on="f" focussize="0,0"/>
              <v:stroke on="f"/>
              <v:imagedata o:title=""/>
              <o:lock v:ext="edit" aspectratio="f"/>
              <v:textbox inset="0mm,0mm,0mm,0mm">
                <w:txbxContent>
                  <w:p w14:paraId="0A49033E">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644AC11C">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fill on="f" focussize="0,0"/>
              <v:stroke on="f"/>
              <v:imagedata o:title=""/>
              <o:lock v:ext="edit" aspectratio="f"/>
              <v:textbox inset="0mm,0mm,0mm,0mm">
                <w:txbxContent>
                  <w:p w14:paraId="644AC11C">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D9B25"/>
    <w:multiLevelType w:val="multilevel"/>
    <w:tmpl w:val="891D9B25"/>
    <w:lvl w:ilvl="0" w:tentative="0">
      <w:start w:val="1"/>
      <w:numFmt w:val="chineseCounting"/>
      <w:lvlText w:val="第%1部分"/>
      <w:lvlJc w:val="left"/>
      <w:pPr>
        <w:ind w:left="425" w:hanging="425"/>
      </w:pPr>
      <w:rPr>
        <w:rFonts w:hint="eastAsia"/>
      </w:rPr>
    </w:lvl>
    <w:lvl w:ilvl="1" w:tentative="0">
      <w:start w:val="1"/>
      <w:numFmt w:val="chineseCountingThousand"/>
      <w:lvlText w:val="%2、"/>
      <w:lvlJc w:val="left"/>
      <w:pPr>
        <w:ind w:left="425" w:hanging="425"/>
      </w:pPr>
      <w:rPr>
        <w:rFonts w:hint="eastAsia"/>
      </w:rPr>
    </w:lvl>
    <w:lvl w:ilvl="2" w:tentative="0">
      <w:start w:val="1"/>
      <w:numFmt w:val="decimal"/>
      <w:suff w:val="space"/>
      <w:lvlText w:val="（%3）"/>
      <w:lvlJc w:val="left"/>
      <w:pPr>
        <w:tabs>
          <w:tab w:val="left" w:pos="0"/>
        </w:tabs>
        <w:ind w:left="0" w:leftChars="0" w:firstLine="0" w:firstLineChars="0"/>
      </w:pPr>
      <w:rPr>
        <w:rFonts w:hint="eastAsia" w:ascii="宋体" w:hAnsi="宋体" w:eastAsia="宋体" w:cs="宋体"/>
      </w:rPr>
    </w:lvl>
    <w:lvl w:ilvl="3" w:tentative="0">
      <w:start w:val="1"/>
      <w:numFmt w:val="decimal"/>
      <w:lvlText w:val="%4."/>
      <w:lvlJc w:val="left"/>
      <w:pPr>
        <w:ind w:left="425" w:hanging="425"/>
      </w:pPr>
      <w:rPr>
        <w:rFonts w:hint="eastAsia" w:ascii="宋体" w:hAnsi="宋体" w:eastAsia="宋体" w:cs="宋体"/>
      </w:rPr>
    </w:lvl>
    <w:lvl w:ilvl="4" w:tentative="0">
      <w:start w:val="1"/>
      <w:numFmt w:val="none"/>
      <w:lvlText w:val="1.1"/>
      <w:lvlJc w:val="left"/>
      <w:pPr>
        <w:ind w:left="905" w:hanging="425"/>
      </w:pPr>
      <w:rPr>
        <w:rFonts w:hint="eastAsia" w:ascii="宋体" w:hAnsi="宋体" w:eastAsia="宋体" w:cs="宋体"/>
      </w:rPr>
    </w:lvl>
    <w:lvl w:ilvl="5" w:tentative="0">
      <w:start w:val="1"/>
      <w:numFmt w:val="none"/>
      <w:lvlText w:val="1.1.1"/>
      <w:lvlJc w:val="left"/>
      <w:pPr>
        <w:ind w:left="425" w:hanging="425"/>
      </w:pPr>
      <w:rPr>
        <w:rFonts w:hint="eastAsia" w:ascii="宋体" w:hAnsi="宋体" w:eastAsia="宋体" w:cs="宋体"/>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A4EA9059"/>
    <w:multiLevelType w:val="singleLevel"/>
    <w:tmpl w:val="A4EA9059"/>
    <w:lvl w:ilvl="0" w:tentative="0">
      <w:start w:val="5"/>
      <w:numFmt w:val="chineseCounting"/>
      <w:suff w:val="nothing"/>
      <w:lvlText w:val="%1、"/>
      <w:lvlJc w:val="left"/>
      <w:rPr>
        <w:rFonts w:hint="eastAsia"/>
      </w:rPr>
    </w:lvl>
  </w:abstractNum>
  <w:abstractNum w:abstractNumId="2">
    <w:nsid w:val="B6840344"/>
    <w:multiLevelType w:val="multilevel"/>
    <w:tmpl w:val="B684034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jQwNjAyYWZlOWQ4Y2IyMjBiNGM5MTViYjA1NzIifQ=="/>
  </w:docVars>
  <w:rsids>
    <w:rsidRoot w:val="00172A27"/>
    <w:rsid w:val="000E3650"/>
    <w:rsid w:val="00163B6B"/>
    <w:rsid w:val="00172A27"/>
    <w:rsid w:val="001E63EA"/>
    <w:rsid w:val="00363F05"/>
    <w:rsid w:val="003A7F4C"/>
    <w:rsid w:val="0040705E"/>
    <w:rsid w:val="0046519E"/>
    <w:rsid w:val="00597E0F"/>
    <w:rsid w:val="005D2592"/>
    <w:rsid w:val="00684655"/>
    <w:rsid w:val="006C3D92"/>
    <w:rsid w:val="006D5437"/>
    <w:rsid w:val="007731C9"/>
    <w:rsid w:val="00812ACE"/>
    <w:rsid w:val="008322BB"/>
    <w:rsid w:val="008D0E4D"/>
    <w:rsid w:val="009C4E76"/>
    <w:rsid w:val="00A364B9"/>
    <w:rsid w:val="00A65FA9"/>
    <w:rsid w:val="00AF20F8"/>
    <w:rsid w:val="00BC3A1F"/>
    <w:rsid w:val="00CC1BE7"/>
    <w:rsid w:val="00D16539"/>
    <w:rsid w:val="00DE6C76"/>
    <w:rsid w:val="00E631CF"/>
    <w:rsid w:val="00F042D7"/>
    <w:rsid w:val="00F57BA2"/>
    <w:rsid w:val="01082AF3"/>
    <w:rsid w:val="012445AC"/>
    <w:rsid w:val="01361273"/>
    <w:rsid w:val="01430838"/>
    <w:rsid w:val="01514167"/>
    <w:rsid w:val="015A0D9E"/>
    <w:rsid w:val="016D1EEA"/>
    <w:rsid w:val="01785B98"/>
    <w:rsid w:val="01942BBE"/>
    <w:rsid w:val="01A71FD9"/>
    <w:rsid w:val="01D84888"/>
    <w:rsid w:val="01EA356F"/>
    <w:rsid w:val="02102EE8"/>
    <w:rsid w:val="02123DB6"/>
    <w:rsid w:val="02131C1D"/>
    <w:rsid w:val="022F6B7C"/>
    <w:rsid w:val="025C1016"/>
    <w:rsid w:val="025C7C16"/>
    <w:rsid w:val="026566F3"/>
    <w:rsid w:val="026D4B89"/>
    <w:rsid w:val="02897931"/>
    <w:rsid w:val="028E3199"/>
    <w:rsid w:val="02A84987"/>
    <w:rsid w:val="02AD6C29"/>
    <w:rsid w:val="02B1757E"/>
    <w:rsid w:val="02B613AF"/>
    <w:rsid w:val="02BC113A"/>
    <w:rsid w:val="02C60B85"/>
    <w:rsid w:val="02DD18B6"/>
    <w:rsid w:val="02F523A5"/>
    <w:rsid w:val="02FF592B"/>
    <w:rsid w:val="030F42DA"/>
    <w:rsid w:val="03195159"/>
    <w:rsid w:val="0326425B"/>
    <w:rsid w:val="035E700F"/>
    <w:rsid w:val="03687BD5"/>
    <w:rsid w:val="037C7C1A"/>
    <w:rsid w:val="03950013"/>
    <w:rsid w:val="039D55F6"/>
    <w:rsid w:val="03AE3AF3"/>
    <w:rsid w:val="03B31563"/>
    <w:rsid w:val="03DE2286"/>
    <w:rsid w:val="03F2289B"/>
    <w:rsid w:val="03F86B1C"/>
    <w:rsid w:val="040A4AA1"/>
    <w:rsid w:val="041022F0"/>
    <w:rsid w:val="042F62B6"/>
    <w:rsid w:val="044A176C"/>
    <w:rsid w:val="04510922"/>
    <w:rsid w:val="0475494B"/>
    <w:rsid w:val="047E0AB9"/>
    <w:rsid w:val="047F15AB"/>
    <w:rsid w:val="048D685F"/>
    <w:rsid w:val="04906AFB"/>
    <w:rsid w:val="04B64387"/>
    <w:rsid w:val="04B84620"/>
    <w:rsid w:val="04C7090F"/>
    <w:rsid w:val="04D942E4"/>
    <w:rsid w:val="04ED6048"/>
    <w:rsid w:val="04F27A0F"/>
    <w:rsid w:val="05087233"/>
    <w:rsid w:val="050A6C0A"/>
    <w:rsid w:val="051777D5"/>
    <w:rsid w:val="05205135"/>
    <w:rsid w:val="052E6005"/>
    <w:rsid w:val="05501595"/>
    <w:rsid w:val="055965AA"/>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1D6E9D"/>
    <w:rsid w:val="07283BBC"/>
    <w:rsid w:val="075D2619"/>
    <w:rsid w:val="077E558A"/>
    <w:rsid w:val="078742B3"/>
    <w:rsid w:val="07B87418"/>
    <w:rsid w:val="07D054B3"/>
    <w:rsid w:val="07D12C86"/>
    <w:rsid w:val="07F12200"/>
    <w:rsid w:val="07F341CA"/>
    <w:rsid w:val="0818456B"/>
    <w:rsid w:val="081A339A"/>
    <w:rsid w:val="08236132"/>
    <w:rsid w:val="08257C7A"/>
    <w:rsid w:val="08397703"/>
    <w:rsid w:val="083A05AF"/>
    <w:rsid w:val="0858227F"/>
    <w:rsid w:val="08716E9D"/>
    <w:rsid w:val="08A07BBF"/>
    <w:rsid w:val="08A8403D"/>
    <w:rsid w:val="08C571E9"/>
    <w:rsid w:val="08D65F4B"/>
    <w:rsid w:val="08D72CFC"/>
    <w:rsid w:val="08F13376"/>
    <w:rsid w:val="08F73F38"/>
    <w:rsid w:val="0903431A"/>
    <w:rsid w:val="09095327"/>
    <w:rsid w:val="090E6DE2"/>
    <w:rsid w:val="09137F54"/>
    <w:rsid w:val="091E1603"/>
    <w:rsid w:val="092B4317"/>
    <w:rsid w:val="092D0DA0"/>
    <w:rsid w:val="09313208"/>
    <w:rsid w:val="093F50D4"/>
    <w:rsid w:val="095864E6"/>
    <w:rsid w:val="096C444A"/>
    <w:rsid w:val="096F4D95"/>
    <w:rsid w:val="097053A7"/>
    <w:rsid w:val="097438B8"/>
    <w:rsid w:val="098A005C"/>
    <w:rsid w:val="099A638F"/>
    <w:rsid w:val="09AC7F67"/>
    <w:rsid w:val="09B90AFC"/>
    <w:rsid w:val="09BB7E03"/>
    <w:rsid w:val="09D46402"/>
    <w:rsid w:val="09D662AB"/>
    <w:rsid w:val="09D75426"/>
    <w:rsid w:val="09DC2A3C"/>
    <w:rsid w:val="09E55D95"/>
    <w:rsid w:val="09EE4D5A"/>
    <w:rsid w:val="0A0B3CBF"/>
    <w:rsid w:val="0A32030C"/>
    <w:rsid w:val="0A330A9D"/>
    <w:rsid w:val="0A341AA6"/>
    <w:rsid w:val="0A474359"/>
    <w:rsid w:val="0A563076"/>
    <w:rsid w:val="0A6359E2"/>
    <w:rsid w:val="0A6A3006"/>
    <w:rsid w:val="0A6E6D86"/>
    <w:rsid w:val="0A764C3F"/>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C70B6"/>
    <w:rsid w:val="0C2E7E48"/>
    <w:rsid w:val="0C353565"/>
    <w:rsid w:val="0C3865A9"/>
    <w:rsid w:val="0C401EB4"/>
    <w:rsid w:val="0C4921C5"/>
    <w:rsid w:val="0C5438B2"/>
    <w:rsid w:val="0C5C2791"/>
    <w:rsid w:val="0C9016AD"/>
    <w:rsid w:val="0C9141AC"/>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82097C"/>
    <w:rsid w:val="0D84798A"/>
    <w:rsid w:val="0D965A32"/>
    <w:rsid w:val="0D9F0112"/>
    <w:rsid w:val="0DAB4BFF"/>
    <w:rsid w:val="0DAF5EB9"/>
    <w:rsid w:val="0DB50B2F"/>
    <w:rsid w:val="0DC66F3D"/>
    <w:rsid w:val="0DF34C60"/>
    <w:rsid w:val="0E2D3866"/>
    <w:rsid w:val="0E43752E"/>
    <w:rsid w:val="0E4532A6"/>
    <w:rsid w:val="0E574324"/>
    <w:rsid w:val="0E5F6E06"/>
    <w:rsid w:val="0E600B76"/>
    <w:rsid w:val="0E673936"/>
    <w:rsid w:val="0E68551B"/>
    <w:rsid w:val="0E735F69"/>
    <w:rsid w:val="0E7A4F47"/>
    <w:rsid w:val="0E7B0A75"/>
    <w:rsid w:val="0E82200E"/>
    <w:rsid w:val="0E87741A"/>
    <w:rsid w:val="0EA8219D"/>
    <w:rsid w:val="0EA93835"/>
    <w:rsid w:val="0EAA7883"/>
    <w:rsid w:val="0EAE0E4B"/>
    <w:rsid w:val="0EB13B2F"/>
    <w:rsid w:val="0EC33B21"/>
    <w:rsid w:val="0EC65296"/>
    <w:rsid w:val="0ED87C76"/>
    <w:rsid w:val="0EE37B71"/>
    <w:rsid w:val="0F073315"/>
    <w:rsid w:val="0F1658A5"/>
    <w:rsid w:val="0F2A57D8"/>
    <w:rsid w:val="0F2B55F6"/>
    <w:rsid w:val="0F466D20"/>
    <w:rsid w:val="0F4E1AD3"/>
    <w:rsid w:val="0F586415"/>
    <w:rsid w:val="0F592880"/>
    <w:rsid w:val="0F640839"/>
    <w:rsid w:val="0F692FC4"/>
    <w:rsid w:val="0F6E0FB8"/>
    <w:rsid w:val="0F975858"/>
    <w:rsid w:val="0FAB4A0B"/>
    <w:rsid w:val="0FBA110B"/>
    <w:rsid w:val="0FBA2B3E"/>
    <w:rsid w:val="0FD02393"/>
    <w:rsid w:val="0FDA69F6"/>
    <w:rsid w:val="0FEF171B"/>
    <w:rsid w:val="0FF43425"/>
    <w:rsid w:val="0FF85A5B"/>
    <w:rsid w:val="100B120E"/>
    <w:rsid w:val="102201FD"/>
    <w:rsid w:val="102E1B18"/>
    <w:rsid w:val="1037379A"/>
    <w:rsid w:val="10507CE0"/>
    <w:rsid w:val="105166CC"/>
    <w:rsid w:val="105B114E"/>
    <w:rsid w:val="105E0CDE"/>
    <w:rsid w:val="106054CF"/>
    <w:rsid w:val="10614099"/>
    <w:rsid w:val="10853AAC"/>
    <w:rsid w:val="10857989"/>
    <w:rsid w:val="10AE6453"/>
    <w:rsid w:val="10C009C2"/>
    <w:rsid w:val="10D662BF"/>
    <w:rsid w:val="10D80401"/>
    <w:rsid w:val="10E01064"/>
    <w:rsid w:val="10F13271"/>
    <w:rsid w:val="10FF4A5D"/>
    <w:rsid w:val="110C6F27"/>
    <w:rsid w:val="11286567"/>
    <w:rsid w:val="113C4F76"/>
    <w:rsid w:val="11596BB5"/>
    <w:rsid w:val="116457F1"/>
    <w:rsid w:val="116F770F"/>
    <w:rsid w:val="11845E93"/>
    <w:rsid w:val="11B60016"/>
    <w:rsid w:val="11DD7458"/>
    <w:rsid w:val="11E6308D"/>
    <w:rsid w:val="11EB328A"/>
    <w:rsid w:val="11F45033"/>
    <w:rsid w:val="12040312"/>
    <w:rsid w:val="120A31AF"/>
    <w:rsid w:val="12561D1D"/>
    <w:rsid w:val="125E0CD2"/>
    <w:rsid w:val="126E1828"/>
    <w:rsid w:val="127D203B"/>
    <w:rsid w:val="12887C05"/>
    <w:rsid w:val="128A21D8"/>
    <w:rsid w:val="128E58B4"/>
    <w:rsid w:val="12922832"/>
    <w:rsid w:val="12A0411B"/>
    <w:rsid w:val="12BB727E"/>
    <w:rsid w:val="12C308D1"/>
    <w:rsid w:val="12E90D0E"/>
    <w:rsid w:val="13023513"/>
    <w:rsid w:val="130B2642"/>
    <w:rsid w:val="13160D6D"/>
    <w:rsid w:val="132F1E2E"/>
    <w:rsid w:val="132F6F6F"/>
    <w:rsid w:val="13561816"/>
    <w:rsid w:val="1356385F"/>
    <w:rsid w:val="136D548D"/>
    <w:rsid w:val="13BE2E3E"/>
    <w:rsid w:val="13C73F1E"/>
    <w:rsid w:val="13D82E31"/>
    <w:rsid w:val="1407543A"/>
    <w:rsid w:val="140D0925"/>
    <w:rsid w:val="141430ED"/>
    <w:rsid w:val="14302302"/>
    <w:rsid w:val="143516C6"/>
    <w:rsid w:val="143F42F3"/>
    <w:rsid w:val="146D4FE5"/>
    <w:rsid w:val="14832432"/>
    <w:rsid w:val="149752D2"/>
    <w:rsid w:val="149955F1"/>
    <w:rsid w:val="14E9250C"/>
    <w:rsid w:val="14EF48EE"/>
    <w:rsid w:val="14F80D42"/>
    <w:rsid w:val="150B635E"/>
    <w:rsid w:val="150E4805"/>
    <w:rsid w:val="15226A72"/>
    <w:rsid w:val="15250B3A"/>
    <w:rsid w:val="1530670B"/>
    <w:rsid w:val="1549176A"/>
    <w:rsid w:val="1562473D"/>
    <w:rsid w:val="15741B4D"/>
    <w:rsid w:val="157C1295"/>
    <w:rsid w:val="1588590C"/>
    <w:rsid w:val="158B3283"/>
    <w:rsid w:val="15A5761C"/>
    <w:rsid w:val="15A9236C"/>
    <w:rsid w:val="15C41F6F"/>
    <w:rsid w:val="15D31197"/>
    <w:rsid w:val="15D95805"/>
    <w:rsid w:val="15F11190"/>
    <w:rsid w:val="15F80BFE"/>
    <w:rsid w:val="15F85DE6"/>
    <w:rsid w:val="16341684"/>
    <w:rsid w:val="16394EC0"/>
    <w:rsid w:val="16421E79"/>
    <w:rsid w:val="1651030E"/>
    <w:rsid w:val="1659531E"/>
    <w:rsid w:val="166E0EC0"/>
    <w:rsid w:val="169F0158"/>
    <w:rsid w:val="16A10BCA"/>
    <w:rsid w:val="16C66BE6"/>
    <w:rsid w:val="16D43419"/>
    <w:rsid w:val="16D55CB8"/>
    <w:rsid w:val="16D9501B"/>
    <w:rsid w:val="16DE6045"/>
    <w:rsid w:val="16EF3DAF"/>
    <w:rsid w:val="17142A15"/>
    <w:rsid w:val="1725583B"/>
    <w:rsid w:val="1725731E"/>
    <w:rsid w:val="172600A9"/>
    <w:rsid w:val="17572B9C"/>
    <w:rsid w:val="178707C2"/>
    <w:rsid w:val="179100AB"/>
    <w:rsid w:val="17A5171C"/>
    <w:rsid w:val="17CB3934"/>
    <w:rsid w:val="17FE0021"/>
    <w:rsid w:val="17FF11E9"/>
    <w:rsid w:val="18005138"/>
    <w:rsid w:val="1825665B"/>
    <w:rsid w:val="1826220B"/>
    <w:rsid w:val="18281015"/>
    <w:rsid w:val="1854340F"/>
    <w:rsid w:val="185E46D9"/>
    <w:rsid w:val="186D426B"/>
    <w:rsid w:val="188906B7"/>
    <w:rsid w:val="189E637B"/>
    <w:rsid w:val="18BB651D"/>
    <w:rsid w:val="18C21C4F"/>
    <w:rsid w:val="18C43DCA"/>
    <w:rsid w:val="18D3093B"/>
    <w:rsid w:val="18DA370C"/>
    <w:rsid w:val="18E436BB"/>
    <w:rsid w:val="19002914"/>
    <w:rsid w:val="190E253D"/>
    <w:rsid w:val="191120AF"/>
    <w:rsid w:val="19181BDE"/>
    <w:rsid w:val="19433FC0"/>
    <w:rsid w:val="196103F9"/>
    <w:rsid w:val="196B14AE"/>
    <w:rsid w:val="19773162"/>
    <w:rsid w:val="19831126"/>
    <w:rsid w:val="198A5EC7"/>
    <w:rsid w:val="19A1022E"/>
    <w:rsid w:val="19B22CDC"/>
    <w:rsid w:val="19BF1530"/>
    <w:rsid w:val="19DE3BFF"/>
    <w:rsid w:val="19F504BF"/>
    <w:rsid w:val="1A13499A"/>
    <w:rsid w:val="1A142343"/>
    <w:rsid w:val="1A1E357E"/>
    <w:rsid w:val="1A345F7C"/>
    <w:rsid w:val="1A413514"/>
    <w:rsid w:val="1A587BF3"/>
    <w:rsid w:val="1A6105AA"/>
    <w:rsid w:val="1A692698"/>
    <w:rsid w:val="1A6C20A0"/>
    <w:rsid w:val="1A6F6D3D"/>
    <w:rsid w:val="1A704F3C"/>
    <w:rsid w:val="1A751B8A"/>
    <w:rsid w:val="1A7728F4"/>
    <w:rsid w:val="1A8B7005"/>
    <w:rsid w:val="1AA10E99"/>
    <w:rsid w:val="1AA15212"/>
    <w:rsid w:val="1ABE7FFF"/>
    <w:rsid w:val="1AF65A73"/>
    <w:rsid w:val="1B15245C"/>
    <w:rsid w:val="1B1838EF"/>
    <w:rsid w:val="1B1A1616"/>
    <w:rsid w:val="1B3C1606"/>
    <w:rsid w:val="1B490BB9"/>
    <w:rsid w:val="1B742AD4"/>
    <w:rsid w:val="1B823818"/>
    <w:rsid w:val="1BA469DF"/>
    <w:rsid w:val="1BA64C58"/>
    <w:rsid w:val="1BA90A64"/>
    <w:rsid w:val="1BB21D96"/>
    <w:rsid w:val="1BBF5D08"/>
    <w:rsid w:val="1C177904"/>
    <w:rsid w:val="1C35664D"/>
    <w:rsid w:val="1C59115B"/>
    <w:rsid w:val="1C613CCA"/>
    <w:rsid w:val="1C7134B8"/>
    <w:rsid w:val="1CB9400D"/>
    <w:rsid w:val="1CC1604E"/>
    <w:rsid w:val="1CC23D13"/>
    <w:rsid w:val="1CC47B7B"/>
    <w:rsid w:val="1CC63804"/>
    <w:rsid w:val="1CCC4063"/>
    <w:rsid w:val="1CD67367"/>
    <w:rsid w:val="1CDA364E"/>
    <w:rsid w:val="1CFD2B24"/>
    <w:rsid w:val="1D344C11"/>
    <w:rsid w:val="1D4B1F5B"/>
    <w:rsid w:val="1D556F39"/>
    <w:rsid w:val="1D7414B2"/>
    <w:rsid w:val="1D793E18"/>
    <w:rsid w:val="1D862F93"/>
    <w:rsid w:val="1DA022A7"/>
    <w:rsid w:val="1DA653E3"/>
    <w:rsid w:val="1DA940DF"/>
    <w:rsid w:val="1DB964C8"/>
    <w:rsid w:val="1DBC13BC"/>
    <w:rsid w:val="1DF63C75"/>
    <w:rsid w:val="1DFF2E17"/>
    <w:rsid w:val="1E043956"/>
    <w:rsid w:val="1E0765B2"/>
    <w:rsid w:val="1E186026"/>
    <w:rsid w:val="1E384E6B"/>
    <w:rsid w:val="1E4E1D03"/>
    <w:rsid w:val="1E566E09"/>
    <w:rsid w:val="1E63672A"/>
    <w:rsid w:val="1E686B6B"/>
    <w:rsid w:val="1E6E4153"/>
    <w:rsid w:val="1E894AE9"/>
    <w:rsid w:val="1E9D3BAA"/>
    <w:rsid w:val="1EA266C0"/>
    <w:rsid w:val="1EA54146"/>
    <w:rsid w:val="1EBB6C6C"/>
    <w:rsid w:val="1EBD0C36"/>
    <w:rsid w:val="1EBF49AE"/>
    <w:rsid w:val="1EC00C2B"/>
    <w:rsid w:val="1ED90941"/>
    <w:rsid w:val="1EEA1E45"/>
    <w:rsid w:val="1EEE0DF0"/>
    <w:rsid w:val="1F005F4C"/>
    <w:rsid w:val="1F2E5C5F"/>
    <w:rsid w:val="1F324DD9"/>
    <w:rsid w:val="1F500200"/>
    <w:rsid w:val="1F501AAA"/>
    <w:rsid w:val="1F6115C2"/>
    <w:rsid w:val="1F7F413E"/>
    <w:rsid w:val="1F822D28"/>
    <w:rsid w:val="1F9279CD"/>
    <w:rsid w:val="1F9C1B32"/>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02238"/>
    <w:rsid w:val="20D22EE3"/>
    <w:rsid w:val="20D41D2C"/>
    <w:rsid w:val="210E0EEE"/>
    <w:rsid w:val="21215EAD"/>
    <w:rsid w:val="21537844"/>
    <w:rsid w:val="215C64E4"/>
    <w:rsid w:val="21613AFB"/>
    <w:rsid w:val="216C71C3"/>
    <w:rsid w:val="21723F5A"/>
    <w:rsid w:val="21846654"/>
    <w:rsid w:val="21934799"/>
    <w:rsid w:val="22001928"/>
    <w:rsid w:val="220B7F0B"/>
    <w:rsid w:val="222F1EDF"/>
    <w:rsid w:val="2251345B"/>
    <w:rsid w:val="225361F3"/>
    <w:rsid w:val="226745E1"/>
    <w:rsid w:val="226D3E54"/>
    <w:rsid w:val="2272003C"/>
    <w:rsid w:val="22827E15"/>
    <w:rsid w:val="22995516"/>
    <w:rsid w:val="229B49B6"/>
    <w:rsid w:val="22A47373"/>
    <w:rsid w:val="22AF0271"/>
    <w:rsid w:val="22CE1550"/>
    <w:rsid w:val="22DE333F"/>
    <w:rsid w:val="22DF57AC"/>
    <w:rsid w:val="22F83EE6"/>
    <w:rsid w:val="22F866E1"/>
    <w:rsid w:val="23264FFC"/>
    <w:rsid w:val="235A4CA6"/>
    <w:rsid w:val="235B27CC"/>
    <w:rsid w:val="235C7323"/>
    <w:rsid w:val="2361764F"/>
    <w:rsid w:val="23617BC7"/>
    <w:rsid w:val="23702888"/>
    <w:rsid w:val="239B0E1A"/>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5062104"/>
    <w:rsid w:val="251610A0"/>
    <w:rsid w:val="251D73FB"/>
    <w:rsid w:val="25292A9F"/>
    <w:rsid w:val="253F0DC9"/>
    <w:rsid w:val="2540611D"/>
    <w:rsid w:val="254F572A"/>
    <w:rsid w:val="255B0327"/>
    <w:rsid w:val="258C5790"/>
    <w:rsid w:val="25900E53"/>
    <w:rsid w:val="25AC730F"/>
    <w:rsid w:val="25DD55FB"/>
    <w:rsid w:val="25E635ED"/>
    <w:rsid w:val="25E76599"/>
    <w:rsid w:val="25EC5E97"/>
    <w:rsid w:val="25EE1820"/>
    <w:rsid w:val="25F25669"/>
    <w:rsid w:val="25F47331"/>
    <w:rsid w:val="26000FFC"/>
    <w:rsid w:val="2619082C"/>
    <w:rsid w:val="26431A21"/>
    <w:rsid w:val="264B5B71"/>
    <w:rsid w:val="264C2EC3"/>
    <w:rsid w:val="265E688C"/>
    <w:rsid w:val="26602476"/>
    <w:rsid w:val="2674607E"/>
    <w:rsid w:val="26916114"/>
    <w:rsid w:val="26926505"/>
    <w:rsid w:val="26AB196E"/>
    <w:rsid w:val="26B261B0"/>
    <w:rsid w:val="26BE2A60"/>
    <w:rsid w:val="26C82FA1"/>
    <w:rsid w:val="26D926BA"/>
    <w:rsid w:val="26E057A9"/>
    <w:rsid w:val="26EE5B51"/>
    <w:rsid w:val="27172430"/>
    <w:rsid w:val="271C0821"/>
    <w:rsid w:val="2724615F"/>
    <w:rsid w:val="27247AA4"/>
    <w:rsid w:val="2736333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20641"/>
    <w:rsid w:val="28575CC3"/>
    <w:rsid w:val="28643ED1"/>
    <w:rsid w:val="286B1703"/>
    <w:rsid w:val="286C4031"/>
    <w:rsid w:val="287265EE"/>
    <w:rsid w:val="287F0356"/>
    <w:rsid w:val="28A37EB2"/>
    <w:rsid w:val="28B40580"/>
    <w:rsid w:val="28B76287"/>
    <w:rsid w:val="28BF5277"/>
    <w:rsid w:val="28CF69D6"/>
    <w:rsid w:val="28D2408A"/>
    <w:rsid w:val="28EF1E39"/>
    <w:rsid w:val="2909272D"/>
    <w:rsid w:val="290F02E0"/>
    <w:rsid w:val="29224DE0"/>
    <w:rsid w:val="292A6EC8"/>
    <w:rsid w:val="292D7947"/>
    <w:rsid w:val="293270B1"/>
    <w:rsid w:val="29453CC8"/>
    <w:rsid w:val="295411CF"/>
    <w:rsid w:val="29567CBD"/>
    <w:rsid w:val="29712D49"/>
    <w:rsid w:val="2973261D"/>
    <w:rsid w:val="29736FE5"/>
    <w:rsid w:val="29766F66"/>
    <w:rsid w:val="298B3B0A"/>
    <w:rsid w:val="298D3A07"/>
    <w:rsid w:val="29954C89"/>
    <w:rsid w:val="29F37C02"/>
    <w:rsid w:val="29FA4177"/>
    <w:rsid w:val="2A056F23"/>
    <w:rsid w:val="2A0F7D89"/>
    <w:rsid w:val="2A2A750B"/>
    <w:rsid w:val="2A3034C7"/>
    <w:rsid w:val="2A375D41"/>
    <w:rsid w:val="2A4163FA"/>
    <w:rsid w:val="2A5630ED"/>
    <w:rsid w:val="2A66642C"/>
    <w:rsid w:val="2A681556"/>
    <w:rsid w:val="2A881ACC"/>
    <w:rsid w:val="2A994305"/>
    <w:rsid w:val="2AA50EFC"/>
    <w:rsid w:val="2AB00919"/>
    <w:rsid w:val="2AC14717"/>
    <w:rsid w:val="2ACF7D27"/>
    <w:rsid w:val="2AD23FB4"/>
    <w:rsid w:val="2AE6153A"/>
    <w:rsid w:val="2AE86AF0"/>
    <w:rsid w:val="2AFE23BA"/>
    <w:rsid w:val="2B02634F"/>
    <w:rsid w:val="2B1004CE"/>
    <w:rsid w:val="2B166C16"/>
    <w:rsid w:val="2B202BC8"/>
    <w:rsid w:val="2B3E4676"/>
    <w:rsid w:val="2B496BFF"/>
    <w:rsid w:val="2B6D6F98"/>
    <w:rsid w:val="2B770F05"/>
    <w:rsid w:val="2B795EE5"/>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704F25"/>
    <w:rsid w:val="2C844DC2"/>
    <w:rsid w:val="2C8763E0"/>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7092"/>
    <w:rsid w:val="2DAD6525"/>
    <w:rsid w:val="2DB24CA7"/>
    <w:rsid w:val="2DB33930"/>
    <w:rsid w:val="2DD021FE"/>
    <w:rsid w:val="2DD815E9"/>
    <w:rsid w:val="2DE053A8"/>
    <w:rsid w:val="2DF33D2D"/>
    <w:rsid w:val="2DFA155E"/>
    <w:rsid w:val="2E007628"/>
    <w:rsid w:val="2E033D28"/>
    <w:rsid w:val="2E2760CC"/>
    <w:rsid w:val="2E364F28"/>
    <w:rsid w:val="2E4232D2"/>
    <w:rsid w:val="2E57104F"/>
    <w:rsid w:val="2E7110F5"/>
    <w:rsid w:val="2E7E3F56"/>
    <w:rsid w:val="2E8D0030"/>
    <w:rsid w:val="2EA17C2D"/>
    <w:rsid w:val="2EA24D6B"/>
    <w:rsid w:val="2EF266D0"/>
    <w:rsid w:val="2EFF232D"/>
    <w:rsid w:val="2EFF5184"/>
    <w:rsid w:val="2F187F34"/>
    <w:rsid w:val="2F4C48DC"/>
    <w:rsid w:val="2F573D83"/>
    <w:rsid w:val="2F6762E4"/>
    <w:rsid w:val="2F6A2714"/>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A26A8"/>
    <w:rsid w:val="30C6397A"/>
    <w:rsid w:val="30DD5C2B"/>
    <w:rsid w:val="30F12943"/>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267D53"/>
    <w:rsid w:val="32364B30"/>
    <w:rsid w:val="323A1733"/>
    <w:rsid w:val="323D1A1A"/>
    <w:rsid w:val="325B0FA8"/>
    <w:rsid w:val="325C117B"/>
    <w:rsid w:val="32743D5D"/>
    <w:rsid w:val="32863051"/>
    <w:rsid w:val="329029CD"/>
    <w:rsid w:val="32A34F36"/>
    <w:rsid w:val="32AC7FC4"/>
    <w:rsid w:val="32FD2138"/>
    <w:rsid w:val="33076910"/>
    <w:rsid w:val="331D6C5F"/>
    <w:rsid w:val="332957FB"/>
    <w:rsid w:val="334A5539"/>
    <w:rsid w:val="33500CB4"/>
    <w:rsid w:val="33550FE6"/>
    <w:rsid w:val="336851BD"/>
    <w:rsid w:val="336A2CE3"/>
    <w:rsid w:val="33802E4E"/>
    <w:rsid w:val="33947ECE"/>
    <w:rsid w:val="33B91574"/>
    <w:rsid w:val="33CC7BAF"/>
    <w:rsid w:val="33CF2B46"/>
    <w:rsid w:val="33DB2E25"/>
    <w:rsid w:val="33E21A62"/>
    <w:rsid w:val="33E74334"/>
    <w:rsid w:val="33EA12CE"/>
    <w:rsid w:val="33FF008E"/>
    <w:rsid w:val="34076441"/>
    <w:rsid w:val="34136939"/>
    <w:rsid w:val="341416D0"/>
    <w:rsid w:val="34282029"/>
    <w:rsid w:val="343C51BE"/>
    <w:rsid w:val="34776C95"/>
    <w:rsid w:val="34815013"/>
    <w:rsid w:val="34916596"/>
    <w:rsid w:val="349974E7"/>
    <w:rsid w:val="34B74D4F"/>
    <w:rsid w:val="34C36335"/>
    <w:rsid w:val="34C42847"/>
    <w:rsid w:val="34D060A0"/>
    <w:rsid w:val="34E56493"/>
    <w:rsid w:val="34EB0CD0"/>
    <w:rsid w:val="34FC1B12"/>
    <w:rsid w:val="35112B4A"/>
    <w:rsid w:val="351B1DBB"/>
    <w:rsid w:val="35375348"/>
    <w:rsid w:val="35425726"/>
    <w:rsid w:val="354457B6"/>
    <w:rsid w:val="35750E4A"/>
    <w:rsid w:val="358374A1"/>
    <w:rsid w:val="359961F6"/>
    <w:rsid w:val="361D64B0"/>
    <w:rsid w:val="362F5873"/>
    <w:rsid w:val="36306787"/>
    <w:rsid w:val="36356EAC"/>
    <w:rsid w:val="36440597"/>
    <w:rsid w:val="36743882"/>
    <w:rsid w:val="36767BF1"/>
    <w:rsid w:val="367C2037"/>
    <w:rsid w:val="36A83949"/>
    <w:rsid w:val="36BA5F52"/>
    <w:rsid w:val="36C97C9C"/>
    <w:rsid w:val="36DF321D"/>
    <w:rsid w:val="36F23C0E"/>
    <w:rsid w:val="37154D84"/>
    <w:rsid w:val="371F3EA6"/>
    <w:rsid w:val="37205944"/>
    <w:rsid w:val="374970B3"/>
    <w:rsid w:val="374E3303"/>
    <w:rsid w:val="375F68D7"/>
    <w:rsid w:val="376E4733"/>
    <w:rsid w:val="377E5277"/>
    <w:rsid w:val="378109BC"/>
    <w:rsid w:val="37823111"/>
    <w:rsid w:val="37A33F4B"/>
    <w:rsid w:val="37B26A07"/>
    <w:rsid w:val="37B3452D"/>
    <w:rsid w:val="37B565B2"/>
    <w:rsid w:val="37BC72FF"/>
    <w:rsid w:val="37C4673A"/>
    <w:rsid w:val="37D01583"/>
    <w:rsid w:val="37E3005B"/>
    <w:rsid w:val="37F45271"/>
    <w:rsid w:val="37F665FF"/>
    <w:rsid w:val="37F75AC9"/>
    <w:rsid w:val="37F9570C"/>
    <w:rsid w:val="380A3DA4"/>
    <w:rsid w:val="380F5C07"/>
    <w:rsid w:val="381908AE"/>
    <w:rsid w:val="38284F1B"/>
    <w:rsid w:val="384B0C09"/>
    <w:rsid w:val="384D15D5"/>
    <w:rsid w:val="38683569"/>
    <w:rsid w:val="3881462B"/>
    <w:rsid w:val="38A147D3"/>
    <w:rsid w:val="38A50319"/>
    <w:rsid w:val="38A9615A"/>
    <w:rsid w:val="38BE13DB"/>
    <w:rsid w:val="38CE21D3"/>
    <w:rsid w:val="38E1756D"/>
    <w:rsid w:val="39033292"/>
    <w:rsid w:val="39094D4C"/>
    <w:rsid w:val="390D31F4"/>
    <w:rsid w:val="390E4110"/>
    <w:rsid w:val="393F251C"/>
    <w:rsid w:val="39462E37"/>
    <w:rsid w:val="39475874"/>
    <w:rsid w:val="395F21EA"/>
    <w:rsid w:val="397C7AAC"/>
    <w:rsid w:val="397E0892"/>
    <w:rsid w:val="398432FC"/>
    <w:rsid w:val="399B6AA3"/>
    <w:rsid w:val="39A700C1"/>
    <w:rsid w:val="39A84565"/>
    <w:rsid w:val="39AE31FE"/>
    <w:rsid w:val="39CA6901"/>
    <w:rsid w:val="39ED3668"/>
    <w:rsid w:val="39F43911"/>
    <w:rsid w:val="3A037CC3"/>
    <w:rsid w:val="3A170D7D"/>
    <w:rsid w:val="3A1A5C49"/>
    <w:rsid w:val="3A30455A"/>
    <w:rsid w:val="3A476BFD"/>
    <w:rsid w:val="3A487A68"/>
    <w:rsid w:val="3A4A4988"/>
    <w:rsid w:val="3A4A561C"/>
    <w:rsid w:val="3A4D2A17"/>
    <w:rsid w:val="3A52002D"/>
    <w:rsid w:val="3A5244D1"/>
    <w:rsid w:val="3A6230F7"/>
    <w:rsid w:val="3A661D2A"/>
    <w:rsid w:val="3A6E574F"/>
    <w:rsid w:val="3A7F7E6E"/>
    <w:rsid w:val="3A8D5509"/>
    <w:rsid w:val="3A991D17"/>
    <w:rsid w:val="3AC8354D"/>
    <w:rsid w:val="3AD24D52"/>
    <w:rsid w:val="3AD24EC1"/>
    <w:rsid w:val="3AE13040"/>
    <w:rsid w:val="3AEC01F5"/>
    <w:rsid w:val="3AED3D86"/>
    <w:rsid w:val="3AF52133"/>
    <w:rsid w:val="3AFD788C"/>
    <w:rsid w:val="3B011F11"/>
    <w:rsid w:val="3B10440A"/>
    <w:rsid w:val="3B291BC2"/>
    <w:rsid w:val="3B3D4AAF"/>
    <w:rsid w:val="3B5D312D"/>
    <w:rsid w:val="3B8A5507"/>
    <w:rsid w:val="3BB9547E"/>
    <w:rsid w:val="3BC44C39"/>
    <w:rsid w:val="3BC45EB1"/>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4501F5"/>
    <w:rsid w:val="3D516B7C"/>
    <w:rsid w:val="3D5C482A"/>
    <w:rsid w:val="3D6E4E53"/>
    <w:rsid w:val="3D7B0CAB"/>
    <w:rsid w:val="3D801355"/>
    <w:rsid w:val="3D924F47"/>
    <w:rsid w:val="3D933161"/>
    <w:rsid w:val="3D962A7D"/>
    <w:rsid w:val="3DAB2BED"/>
    <w:rsid w:val="3DBD6105"/>
    <w:rsid w:val="3DD60F75"/>
    <w:rsid w:val="3DF5624C"/>
    <w:rsid w:val="3E06185A"/>
    <w:rsid w:val="3E334A2F"/>
    <w:rsid w:val="3E572893"/>
    <w:rsid w:val="3E611186"/>
    <w:rsid w:val="3E6C130B"/>
    <w:rsid w:val="3E7A2248"/>
    <w:rsid w:val="3E8B2FC1"/>
    <w:rsid w:val="3E9339D2"/>
    <w:rsid w:val="3E9924C6"/>
    <w:rsid w:val="3EB05C6A"/>
    <w:rsid w:val="3EB51D6D"/>
    <w:rsid w:val="3EDF6309"/>
    <w:rsid w:val="3EF929E4"/>
    <w:rsid w:val="3EFE14D9"/>
    <w:rsid w:val="3F1D39BD"/>
    <w:rsid w:val="3F253F62"/>
    <w:rsid w:val="3F357796"/>
    <w:rsid w:val="3F3F3230"/>
    <w:rsid w:val="3F424B14"/>
    <w:rsid w:val="3F473ED8"/>
    <w:rsid w:val="3F510DCC"/>
    <w:rsid w:val="3F5701CF"/>
    <w:rsid w:val="3F5D4622"/>
    <w:rsid w:val="3F887D8B"/>
    <w:rsid w:val="3FB96C6E"/>
    <w:rsid w:val="3FBA6DA0"/>
    <w:rsid w:val="3FE94852"/>
    <w:rsid w:val="3FEE25A6"/>
    <w:rsid w:val="3FF028AA"/>
    <w:rsid w:val="3FFA03CE"/>
    <w:rsid w:val="4004001B"/>
    <w:rsid w:val="401260B0"/>
    <w:rsid w:val="40175FA1"/>
    <w:rsid w:val="40324391"/>
    <w:rsid w:val="40354679"/>
    <w:rsid w:val="403D7CE3"/>
    <w:rsid w:val="404C3770"/>
    <w:rsid w:val="407313D2"/>
    <w:rsid w:val="40926BB0"/>
    <w:rsid w:val="4094359A"/>
    <w:rsid w:val="40A86BF9"/>
    <w:rsid w:val="40B414F2"/>
    <w:rsid w:val="40CF687B"/>
    <w:rsid w:val="40F0234E"/>
    <w:rsid w:val="40F46CAF"/>
    <w:rsid w:val="40FC5196"/>
    <w:rsid w:val="40FD625C"/>
    <w:rsid w:val="410544E3"/>
    <w:rsid w:val="41061B71"/>
    <w:rsid w:val="411249BA"/>
    <w:rsid w:val="41140064"/>
    <w:rsid w:val="41263FC1"/>
    <w:rsid w:val="412759B9"/>
    <w:rsid w:val="412E5F0D"/>
    <w:rsid w:val="41380CFD"/>
    <w:rsid w:val="413B181B"/>
    <w:rsid w:val="41553397"/>
    <w:rsid w:val="416237F3"/>
    <w:rsid w:val="41645C03"/>
    <w:rsid w:val="41665ED0"/>
    <w:rsid w:val="41822C66"/>
    <w:rsid w:val="41A84C6F"/>
    <w:rsid w:val="41A96E8D"/>
    <w:rsid w:val="41E33AEE"/>
    <w:rsid w:val="41E9396D"/>
    <w:rsid w:val="41F610A8"/>
    <w:rsid w:val="41FD2F74"/>
    <w:rsid w:val="421C0F3D"/>
    <w:rsid w:val="42353D89"/>
    <w:rsid w:val="4244047B"/>
    <w:rsid w:val="426052B1"/>
    <w:rsid w:val="42630F38"/>
    <w:rsid w:val="42664FBD"/>
    <w:rsid w:val="42691573"/>
    <w:rsid w:val="427A042F"/>
    <w:rsid w:val="42862F6A"/>
    <w:rsid w:val="42A31D6D"/>
    <w:rsid w:val="42AC5787"/>
    <w:rsid w:val="42BA2DC1"/>
    <w:rsid w:val="42C505D5"/>
    <w:rsid w:val="42EC59A5"/>
    <w:rsid w:val="42ED4682"/>
    <w:rsid w:val="43234836"/>
    <w:rsid w:val="432758F1"/>
    <w:rsid w:val="43302443"/>
    <w:rsid w:val="43C24AED"/>
    <w:rsid w:val="43D03D38"/>
    <w:rsid w:val="43D1290A"/>
    <w:rsid w:val="43EC20F7"/>
    <w:rsid w:val="43F839F3"/>
    <w:rsid w:val="43FE4D82"/>
    <w:rsid w:val="441445A5"/>
    <w:rsid w:val="441647C1"/>
    <w:rsid w:val="4435195C"/>
    <w:rsid w:val="44452965"/>
    <w:rsid w:val="44600F21"/>
    <w:rsid w:val="44660A2F"/>
    <w:rsid w:val="44786980"/>
    <w:rsid w:val="44786B45"/>
    <w:rsid w:val="447B63D2"/>
    <w:rsid w:val="44874D1E"/>
    <w:rsid w:val="449C4CC6"/>
    <w:rsid w:val="44AA6867"/>
    <w:rsid w:val="44C06310"/>
    <w:rsid w:val="44CB1108"/>
    <w:rsid w:val="44CC6C2E"/>
    <w:rsid w:val="44CF2F53"/>
    <w:rsid w:val="44D24738"/>
    <w:rsid w:val="44F21868"/>
    <w:rsid w:val="44FA49EA"/>
    <w:rsid w:val="44FC1A13"/>
    <w:rsid w:val="450B59A8"/>
    <w:rsid w:val="451016B9"/>
    <w:rsid w:val="451A6BEA"/>
    <w:rsid w:val="45312839"/>
    <w:rsid w:val="453E6F8C"/>
    <w:rsid w:val="454D5FC1"/>
    <w:rsid w:val="455235D7"/>
    <w:rsid w:val="455959FB"/>
    <w:rsid w:val="456A1CCE"/>
    <w:rsid w:val="456B06D8"/>
    <w:rsid w:val="45796DB6"/>
    <w:rsid w:val="457B2B2E"/>
    <w:rsid w:val="458A207C"/>
    <w:rsid w:val="459040FF"/>
    <w:rsid w:val="459C67FB"/>
    <w:rsid w:val="45A87FD5"/>
    <w:rsid w:val="45DE0C29"/>
    <w:rsid w:val="45FC6629"/>
    <w:rsid w:val="46003033"/>
    <w:rsid w:val="461D3BE5"/>
    <w:rsid w:val="462103E3"/>
    <w:rsid w:val="46234537"/>
    <w:rsid w:val="46265F14"/>
    <w:rsid w:val="465758BB"/>
    <w:rsid w:val="46665A96"/>
    <w:rsid w:val="46715CDF"/>
    <w:rsid w:val="4671647E"/>
    <w:rsid w:val="467375F3"/>
    <w:rsid w:val="467F1621"/>
    <w:rsid w:val="46826C09"/>
    <w:rsid w:val="46B80D3C"/>
    <w:rsid w:val="46C44060"/>
    <w:rsid w:val="46D77073"/>
    <w:rsid w:val="470613D7"/>
    <w:rsid w:val="470E57F6"/>
    <w:rsid w:val="47153CD5"/>
    <w:rsid w:val="4720040C"/>
    <w:rsid w:val="47482DC2"/>
    <w:rsid w:val="474F4272"/>
    <w:rsid w:val="47545CAC"/>
    <w:rsid w:val="475A6773"/>
    <w:rsid w:val="475B77EB"/>
    <w:rsid w:val="476B4E24"/>
    <w:rsid w:val="476D64A6"/>
    <w:rsid w:val="476F0470"/>
    <w:rsid w:val="478B4B7E"/>
    <w:rsid w:val="47C87B80"/>
    <w:rsid w:val="47CE2219"/>
    <w:rsid w:val="47D76D09"/>
    <w:rsid w:val="47DB3D58"/>
    <w:rsid w:val="47E81FD1"/>
    <w:rsid w:val="480F4E7E"/>
    <w:rsid w:val="482524AE"/>
    <w:rsid w:val="482C7777"/>
    <w:rsid w:val="48343C94"/>
    <w:rsid w:val="483A1C23"/>
    <w:rsid w:val="484F2050"/>
    <w:rsid w:val="48627FD5"/>
    <w:rsid w:val="48731B3C"/>
    <w:rsid w:val="48755B39"/>
    <w:rsid w:val="48825F81"/>
    <w:rsid w:val="488B6D72"/>
    <w:rsid w:val="48912F2D"/>
    <w:rsid w:val="489B19E5"/>
    <w:rsid w:val="489E2F22"/>
    <w:rsid w:val="48A846FC"/>
    <w:rsid w:val="48AB50B7"/>
    <w:rsid w:val="48AC7F0D"/>
    <w:rsid w:val="48BB1493"/>
    <w:rsid w:val="48C31FC8"/>
    <w:rsid w:val="48F86243"/>
    <w:rsid w:val="48FC21D7"/>
    <w:rsid w:val="49113BBD"/>
    <w:rsid w:val="49246B66"/>
    <w:rsid w:val="492B6619"/>
    <w:rsid w:val="493B79D8"/>
    <w:rsid w:val="49465201"/>
    <w:rsid w:val="49484B80"/>
    <w:rsid w:val="4961203A"/>
    <w:rsid w:val="49824A97"/>
    <w:rsid w:val="498B70B7"/>
    <w:rsid w:val="49C063B1"/>
    <w:rsid w:val="49CB1BAA"/>
    <w:rsid w:val="49CC7E8E"/>
    <w:rsid w:val="49D375DB"/>
    <w:rsid w:val="49F920E0"/>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5D1D89"/>
    <w:rsid w:val="4B6B6E2B"/>
    <w:rsid w:val="4B766DE0"/>
    <w:rsid w:val="4B9F39CC"/>
    <w:rsid w:val="4BC304FC"/>
    <w:rsid w:val="4BE758CC"/>
    <w:rsid w:val="4BEC3790"/>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243AAB"/>
    <w:rsid w:val="4D5C4B93"/>
    <w:rsid w:val="4D662A16"/>
    <w:rsid w:val="4D881597"/>
    <w:rsid w:val="4D9525E9"/>
    <w:rsid w:val="4D9E42D5"/>
    <w:rsid w:val="4DA102F4"/>
    <w:rsid w:val="4DA31884"/>
    <w:rsid w:val="4DB2238C"/>
    <w:rsid w:val="4DC13703"/>
    <w:rsid w:val="4DCD273D"/>
    <w:rsid w:val="4DDA223F"/>
    <w:rsid w:val="4E024055"/>
    <w:rsid w:val="4E2E5285"/>
    <w:rsid w:val="4E2F0942"/>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DB6F4B"/>
    <w:rsid w:val="4EE16A6B"/>
    <w:rsid w:val="4EE84846"/>
    <w:rsid w:val="4EFC3B00"/>
    <w:rsid w:val="4F02210F"/>
    <w:rsid w:val="4F1F7794"/>
    <w:rsid w:val="4F4C087D"/>
    <w:rsid w:val="4F6111B6"/>
    <w:rsid w:val="4F8C6490"/>
    <w:rsid w:val="4F9C2E07"/>
    <w:rsid w:val="4FA44C38"/>
    <w:rsid w:val="4FB57E2A"/>
    <w:rsid w:val="4FBF3F5F"/>
    <w:rsid w:val="4FCA4635"/>
    <w:rsid w:val="4FD07F1A"/>
    <w:rsid w:val="4FD17AF1"/>
    <w:rsid w:val="4FE4651F"/>
    <w:rsid w:val="4FFB2993"/>
    <w:rsid w:val="50016325"/>
    <w:rsid w:val="501A0857"/>
    <w:rsid w:val="50242B38"/>
    <w:rsid w:val="50694456"/>
    <w:rsid w:val="507C1E50"/>
    <w:rsid w:val="508F30B2"/>
    <w:rsid w:val="509251CF"/>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F7105"/>
    <w:rsid w:val="51547A9F"/>
    <w:rsid w:val="5155600C"/>
    <w:rsid w:val="51735001"/>
    <w:rsid w:val="518018D1"/>
    <w:rsid w:val="51C25640"/>
    <w:rsid w:val="51C712C4"/>
    <w:rsid w:val="523A42A8"/>
    <w:rsid w:val="524349D3"/>
    <w:rsid w:val="52464727"/>
    <w:rsid w:val="524E537D"/>
    <w:rsid w:val="52554706"/>
    <w:rsid w:val="525C35DE"/>
    <w:rsid w:val="52635AD4"/>
    <w:rsid w:val="52895D96"/>
    <w:rsid w:val="52AD009F"/>
    <w:rsid w:val="52B3755F"/>
    <w:rsid w:val="52B6757D"/>
    <w:rsid w:val="52C21FCC"/>
    <w:rsid w:val="52DF615E"/>
    <w:rsid w:val="530641D2"/>
    <w:rsid w:val="531719BC"/>
    <w:rsid w:val="531B1FA6"/>
    <w:rsid w:val="5345236F"/>
    <w:rsid w:val="534F73A8"/>
    <w:rsid w:val="53541376"/>
    <w:rsid w:val="536D6E1E"/>
    <w:rsid w:val="536F6BAF"/>
    <w:rsid w:val="537E227E"/>
    <w:rsid w:val="5385101B"/>
    <w:rsid w:val="538A6ABE"/>
    <w:rsid w:val="538E1256"/>
    <w:rsid w:val="538F59F6"/>
    <w:rsid w:val="53913F8A"/>
    <w:rsid w:val="53B41778"/>
    <w:rsid w:val="53BB49B7"/>
    <w:rsid w:val="53BF0089"/>
    <w:rsid w:val="53C81568"/>
    <w:rsid w:val="53DC1821"/>
    <w:rsid w:val="53EA5FAE"/>
    <w:rsid w:val="543640C4"/>
    <w:rsid w:val="546F3CA6"/>
    <w:rsid w:val="54703A7A"/>
    <w:rsid w:val="54B75204"/>
    <w:rsid w:val="54C4758E"/>
    <w:rsid w:val="54C55580"/>
    <w:rsid w:val="5515460A"/>
    <w:rsid w:val="5515572F"/>
    <w:rsid w:val="55164621"/>
    <w:rsid w:val="55213C8D"/>
    <w:rsid w:val="55241393"/>
    <w:rsid w:val="552F4E07"/>
    <w:rsid w:val="554E4764"/>
    <w:rsid w:val="5557524A"/>
    <w:rsid w:val="556C30CA"/>
    <w:rsid w:val="5587505C"/>
    <w:rsid w:val="55A35789"/>
    <w:rsid w:val="55BA1450"/>
    <w:rsid w:val="55BF0815"/>
    <w:rsid w:val="55C53951"/>
    <w:rsid w:val="55E22755"/>
    <w:rsid w:val="55F25FAC"/>
    <w:rsid w:val="55FA5DFE"/>
    <w:rsid w:val="55FF28BE"/>
    <w:rsid w:val="55FF3307"/>
    <w:rsid w:val="560223A7"/>
    <w:rsid w:val="5616253F"/>
    <w:rsid w:val="56170651"/>
    <w:rsid w:val="561A1EEF"/>
    <w:rsid w:val="561C1DF7"/>
    <w:rsid w:val="564E438D"/>
    <w:rsid w:val="56556786"/>
    <w:rsid w:val="565811D3"/>
    <w:rsid w:val="56682C5A"/>
    <w:rsid w:val="567551C0"/>
    <w:rsid w:val="56847368"/>
    <w:rsid w:val="5687373F"/>
    <w:rsid w:val="568774F1"/>
    <w:rsid w:val="569C7C87"/>
    <w:rsid w:val="56BC6B02"/>
    <w:rsid w:val="56C4574F"/>
    <w:rsid w:val="56C66B98"/>
    <w:rsid w:val="56E11ADD"/>
    <w:rsid w:val="56F4512E"/>
    <w:rsid w:val="56FE1C5E"/>
    <w:rsid w:val="57012DE8"/>
    <w:rsid w:val="570C5CDB"/>
    <w:rsid w:val="571903F8"/>
    <w:rsid w:val="57283CBF"/>
    <w:rsid w:val="573050F9"/>
    <w:rsid w:val="5737262D"/>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917C9"/>
    <w:rsid w:val="584F474D"/>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8F44DD"/>
    <w:rsid w:val="59A165FF"/>
    <w:rsid w:val="59AA0A61"/>
    <w:rsid w:val="59B12845"/>
    <w:rsid w:val="59C357D7"/>
    <w:rsid w:val="59D66BCC"/>
    <w:rsid w:val="59E10F92"/>
    <w:rsid w:val="59E50301"/>
    <w:rsid w:val="5A016FC4"/>
    <w:rsid w:val="5A1D45B8"/>
    <w:rsid w:val="5A27087F"/>
    <w:rsid w:val="5A327F1A"/>
    <w:rsid w:val="5A5E0651"/>
    <w:rsid w:val="5A7E2423"/>
    <w:rsid w:val="5A83768C"/>
    <w:rsid w:val="5A852700"/>
    <w:rsid w:val="5AA1498D"/>
    <w:rsid w:val="5AA1673B"/>
    <w:rsid w:val="5AB741B0"/>
    <w:rsid w:val="5ACF67B4"/>
    <w:rsid w:val="5AD9394C"/>
    <w:rsid w:val="5AF13A4B"/>
    <w:rsid w:val="5B10213F"/>
    <w:rsid w:val="5B1135C8"/>
    <w:rsid w:val="5B1C04B7"/>
    <w:rsid w:val="5B2F7149"/>
    <w:rsid w:val="5B4812AC"/>
    <w:rsid w:val="5B585197"/>
    <w:rsid w:val="5B5A1BA6"/>
    <w:rsid w:val="5B5B350D"/>
    <w:rsid w:val="5B664CF3"/>
    <w:rsid w:val="5B7420A1"/>
    <w:rsid w:val="5B7A0631"/>
    <w:rsid w:val="5B81536E"/>
    <w:rsid w:val="5B88386E"/>
    <w:rsid w:val="5B911696"/>
    <w:rsid w:val="5BC03985"/>
    <w:rsid w:val="5BC36B85"/>
    <w:rsid w:val="5BF22FC6"/>
    <w:rsid w:val="5BF3746A"/>
    <w:rsid w:val="5BFE6FAC"/>
    <w:rsid w:val="5C0056E3"/>
    <w:rsid w:val="5C007491"/>
    <w:rsid w:val="5C08561B"/>
    <w:rsid w:val="5C101EC9"/>
    <w:rsid w:val="5C1E1C8C"/>
    <w:rsid w:val="5C582FA8"/>
    <w:rsid w:val="5C766189"/>
    <w:rsid w:val="5C8D24CD"/>
    <w:rsid w:val="5C910A31"/>
    <w:rsid w:val="5CA17479"/>
    <w:rsid w:val="5CA471A4"/>
    <w:rsid w:val="5CA6628A"/>
    <w:rsid w:val="5CB62246"/>
    <w:rsid w:val="5CC826A5"/>
    <w:rsid w:val="5CC91F79"/>
    <w:rsid w:val="5CD512A6"/>
    <w:rsid w:val="5CEC51D4"/>
    <w:rsid w:val="5D375134"/>
    <w:rsid w:val="5D3970FE"/>
    <w:rsid w:val="5D3F6600"/>
    <w:rsid w:val="5D41047F"/>
    <w:rsid w:val="5D443CF5"/>
    <w:rsid w:val="5D472FB8"/>
    <w:rsid w:val="5D4B6E32"/>
    <w:rsid w:val="5D4C0510"/>
    <w:rsid w:val="5D501056"/>
    <w:rsid w:val="5D596097"/>
    <w:rsid w:val="5D7465B5"/>
    <w:rsid w:val="5D8E40C4"/>
    <w:rsid w:val="5DB2795F"/>
    <w:rsid w:val="5DCB63C7"/>
    <w:rsid w:val="5DDB6408"/>
    <w:rsid w:val="5DF84693"/>
    <w:rsid w:val="5E130BE2"/>
    <w:rsid w:val="5E1608F8"/>
    <w:rsid w:val="5E243CD2"/>
    <w:rsid w:val="5E2F671E"/>
    <w:rsid w:val="5E430C39"/>
    <w:rsid w:val="5E434E06"/>
    <w:rsid w:val="5E58443E"/>
    <w:rsid w:val="5E69549F"/>
    <w:rsid w:val="5E6D6BAB"/>
    <w:rsid w:val="5E8107C8"/>
    <w:rsid w:val="5E9465B6"/>
    <w:rsid w:val="5E961869"/>
    <w:rsid w:val="5EB246B7"/>
    <w:rsid w:val="5EB427B5"/>
    <w:rsid w:val="5ECC4572"/>
    <w:rsid w:val="5ECF75EF"/>
    <w:rsid w:val="5EDA046D"/>
    <w:rsid w:val="5EDA3EA1"/>
    <w:rsid w:val="5EDB41E5"/>
    <w:rsid w:val="5EFF7ED4"/>
    <w:rsid w:val="5F037C1C"/>
    <w:rsid w:val="5F093317"/>
    <w:rsid w:val="5F1917F3"/>
    <w:rsid w:val="5F1F40D2"/>
    <w:rsid w:val="5F24722A"/>
    <w:rsid w:val="5F2E0544"/>
    <w:rsid w:val="5F3D1841"/>
    <w:rsid w:val="5F4273E9"/>
    <w:rsid w:val="5F434264"/>
    <w:rsid w:val="5F521D57"/>
    <w:rsid w:val="5F5A55DE"/>
    <w:rsid w:val="5F697A43"/>
    <w:rsid w:val="5F8C6C68"/>
    <w:rsid w:val="5F9F5213"/>
    <w:rsid w:val="5FA623B0"/>
    <w:rsid w:val="5FC1077B"/>
    <w:rsid w:val="5FCE4366"/>
    <w:rsid w:val="5FF84D4A"/>
    <w:rsid w:val="5FFB68E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A52E03"/>
    <w:rsid w:val="60BF5B37"/>
    <w:rsid w:val="60D81297"/>
    <w:rsid w:val="61156629"/>
    <w:rsid w:val="611A52F4"/>
    <w:rsid w:val="613C71BD"/>
    <w:rsid w:val="613F0A5C"/>
    <w:rsid w:val="614D13CA"/>
    <w:rsid w:val="615654B0"/>
    <w:rsid w:val="6162474A"/>
    <w:rsid w:val="616B1851"/>
    <w:rsid w:val="616B7AA3"/>
    <w:rsid w:val="616E1375"/>
    <w:rsid w:val="61A057BF"/>
    <w:rsid w:val="61A145D6"/>
    <w:rsid w:val="61B52ACC"/>
    <w:rsid w:val="61C24881"/>
    <w:rsid w:val="61ED495B"/>
    <w:rsid w:val="61F76FEB"/>
    <w:rsid w:val="61F8640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B072C"/>
    <w:rsid w:val="63114E07"/>
    <w:rsid w:val="63274C05"/>
    <w:rsid w:val="63292486"/>
    <w:rsid w:val="63311484"/>
    <w:rsid w:val="63391F7B"/>
    <w:rsid w:val="633A0B5B"/>
    <w:rsid w:val="6348499B"/>
    <w:rsid w:val="634A4FE8"/>
    <w:rsid w:val="635F7193"/>
    <w:rsid w:val="6379138E"/>
    <w:rsid w:val="6380280E"/>
    <w:rsid w:val="6388493C"/>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E541B4"/>
    <w:rsid w:val="64E75692"/>
    <w:rsid w:val="64EB5133"/>
    <w:rsid w:val="65221862"/>
    <w:rsid w:val="652A48FD"/>
    <w:rsid w:val="65444892"/>
    <w:rsid w:val="6544669C"/>
    <w:rsid w:val="65456C72"/>
    <w:rsid w:val="654937DE"/>
    <w:rsid w:val="65542600"/>
    <w:rsid w:val="65575CDF"/>
    <w:rsid w:val="655C5B9D"/>
    <w:rsid w:val="656E5DB3"/>
    <w:rsid w:val="656F18FF"/>
    <w:rsid w:val="65724CC9"/>
    <w:rsid w:val="6575002E"/>
    <w:rsid w:val="65964ABA"/>
    <w:rsid w:val="65AD01C5"/>
    <w:rsid w:val="65B131D7"/>
    <w:rsid w:val="65DC04C1"/>
    <w:rsid w:val="65DC6A94"/>
    <w:rsid w:val="65EE2A50"/>
    <w:rsid w:val="66047037"/>
    <w:rsid w:val="660A654B"/>
    <w:rsid w:val="661F4B14"/>
    <w:rsid w:val="66375D0B"/>
    <w:rsid w:val="66810989"/>
    <w:rsid w:val="668C49AC"/>
    <w:rsid w:val="66A55805"/>
    <w:rsid w:val="66B5531C"/>
    <w:rsid w:val="66BD39E5"/>
    <w:rsid w:val="66C37A39"/>
    <w:rsid w:val="66D2724C"/>
    <w:rsid w:val="67235885"/>
    <w:rsid w:val="672F50CE"/>
    <w:rsid w:val="67354557"/>
    <w:rsid w:val="6736645D"/>
    <w:rsid w:val="673B1CC5"/>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CA77A4"/>
    <w:rsid w:val="68EA606B"/>
    <w:rsid w:val="68F44821"/>
    <w:rsid w:val="69026F3E"/>
    <w:rsid w:val="690305C1"/>
    <w:rsid w:val="6917273A"/>
    <w:rsid w:val="6932462A"/>
    <w:rsid w:val="693D1D24"/>
    <w:rsid w:val="69670B4F"/>
    <w:rsid w:val="697029F4"/>
    <w:rsid w:val="698D1E1C"/>
    <w:rsid w:val="699039B0"/>
    <w:rsid w:val="699C68A6"/>
    <w:rsid w:val="699F0AE7"/>
    <w:rsid w:val="69AE49D0"/>
    <w:rsid w:val="69EB4027"/>
    <w:rsid w:val="69F813EF"/>
    <w:rsid w:val="69FB04DB"/>
    <w:rsid w:val="69FC398E"/>
    <w:rsid w:val="6A2124C5"/>
    <w:rsid w:val="6A427A57"/>
    <w:rsid w:val="6A4470E3"/>
    <w:rsid w:val="6A501EC1"/>
    <w:rsid w:val="6A777609"/>
    <w:rsid w:val="6A9A4F55"/>
    <w:rsid w:val="6AA04AF2"/>
    <w:rsid w:val="6AB36CBC"/>
    <w:rsid w:val="6AC15DFA"/>
    <w:rsid w:val="6ACA3A8C"/>
    <w:rsid w:val="6ADA17F5"/>
    <w:rsid w:val="6AE269FE"/>
    <w:rsid w:val="6AFE3056"/>
    <w:rsid w:val="6B104D22"/>
    <w:rsid w:val="6B1F4E4B"/>
    <w:rsid w:val="6B2D401B"/>
    <w:rsid w:val="6B352EE7"/>
    <w:rsid w:val="6B3727A3"/>
    <w:rsid w:val="6B780F23"/>
    <w:rsid w:val="6B897911"/>
    <w:rsid w:val="6B912876"/>
    <w:rsid w:val="6B980A64"/>
    <w:rsid w:val="6BAD6D33"/>
    <w:rsid w:val="6BB7225B"/>
    <w:rsid w:val="6BBB58D5"/>
    <w:rsid w:val="6C15565F"/>
    <w:rsid w:val="6C1D4DD7"/>
    <w:rsid w:val="6C305B70"/>
    <w:rsid w:val="6C375952"/>
    <w:rsid w:val="6C53185F"/>
    <w:rsid w:val="6C641928"/>
    <w:rsid w:val="6C69493A"/>
    <w:rsid w:val="6C727F37"/>
    <w:rsid w:val="6C7C6837"/>
    <w:rsid w:val="6C8B0FF9"/>
    <w:rsid w:val="6CA03235"/>
    <w:rsid w:val="6CBA3000"/>
    <w:rsid w:val="6CBE6744"/>
    <w:rsid w:val="6CD97242"/>
    <w:rsid w:val="6CDD0F7C"/>
    <w:rsid w:val="6CE04A05"/>
    <w:rsid w:val="6CE43F9C"/>
    <w:rsid w:val="6CE4695B"/>
    <w:rsid w:val="6D0D7C60"/>
    <w:rsid w:val="6D14188E"/>
    <w:rsid w:val="6D18613F"/>
    <w:rsid w:val="6D394122"/>
    <w:rsid w:val="6D4A0DDE"/>
    <w:rsid w:val="6D5B6C1D"/>
    <w:rsid w:val="6D601D5E"/>
    <w:rsid w:val="6D6072C7"/>
    <w:rsid w:val="6D716441"/>
    <w:rsid w:val="6DA23F0F"/>
    <w:rsid w:val="6DA5433C"/>
    <w:rsid w:val="6DC6542E"/>
    <w:rsid w:val="6DD35943"/>
    <w:rsid w:val="6DFD78E8"/>
    <w:rsid w:val="6E2718E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E5000"/>
    <w:rsid w:val="6EEF7CDF"/>
    <w:rsid w:val="6EF015E7"/>
    <w:rsid w:val="6F007AA4"/>
    <w:rsid w:val="6F03093B"/>
    <w:rsid w:val="6F0F5F11"/>
    <w:rsid w:val="6F12155D"/>
    <w:rsid w:val="6F176BFE"/>
    <w:rsid w:val="6F1C6901"/>
    <w:rsid w:val="6F20011E"/>
    <w:rsid w:val="6F2A2368"/>
    <w:rsid w:val="6F314405"/>
    <w:rsid w:val="6F3527DB"/>
    <w:rsid w:val="6F391E65"/>
    <w:rsid w:val="6F524D03"/>
    <w:rsid w:val="6F8767EF"/>
    <w:rsid w:val="6F9D047A"/>
    <w:rsid w:val="6FA93A68"/>
    <w:rsid w:val="6FBB2BF0"/>
    <w:rsid w:val="6FDF1C82"/>
    <w:rsid w:val="6FE938A9"/>
    <w:rsid w:val="6FEF1D95"/>
    <w:rsid w:val="6FF44FCD"/>
    <w:rsid w:val="70111815"/>
    <w:rsid w:val="702E645E"/>
    <w:rsid w:val="70344158"/>
    <w:rsid w:val="7064228D"/>
    <w:rsid w:val="70652BEF"/>
    <w:rsid w:val="709D624E"/>
    <w:rsid w:val="70A408DB"/>
    <w:rsid w:val="70C66AA3"/>
    <w:rsid w:val="70E10D25"/>
    <w:rsid w:val="70F057A3"/>
    <w:rsid w:val="70F46326"/>
    <w:rsid w:val="71025602"/>
    <w:rsid w:val="711F4406"/>
    <w:rsid w:val="712832BA"/>
    <w:rsid w:val="71324139"/>
    <w:rsid w:val="71520DF7"/>
    <w:rsid w:val="71555D0B"/>
    <w:rsid w:val="716E13F7"/>
    <w:rsid w:val="71C02738"/>
    <w:rsid w:val="71DF5F0D"/>
    <w:rsid w:val="71EF3C6E"/>
    <w:rsid w:val="720A4EA2"/>
    <w:rsid w:val="720B597F"/>
    <w:rsid w:val="720F297F"/>
    <w:rsid w:val="72247F25"/>
    <w:rsid w:val="72563136"/>
    <w:rsid w:val="726063F0"/>
    <w:rsid w:val="726D53D3"/>
    <w:rsid w:val="72700ACA"/>
    <w:rsid w:val="729055BB"/>
    <w:rsid w:val="729C3F60"/>
    <w:rsid w:val="72A1438D"/>
    <w:rsid w:val="72CB653C"/>
    <w:rsid w:val="72E176CB"/>
    <w:rsid w:val="72E47ECE"/>
    <w:rsid w:val="72F378F8"/>
    <w:rsid w:val="72FC50A0"/>
    <w:rsid w:val="731738CD"/>
    <w:rsid w:val="7349117E"/>
    <w:rsid w:val="73666139"/>
    <w:rsid w:val="7369271F"/>
    <w:rsid w:val="736E6783"/>
    <w:rsid w:val="73735EDF"/>
    <w:rsid w:val="73783F59"/>
    <w:rsid w:val="73830C7C"/>
    <w:rsid w:val="73B0352C"/>
    <w:rsid w:val="73DE2D36"/>
    <w:rsid w:val="73E334C8"/>
    <w:rsid w:val="73FC7FB0"/>
    <w:rsid w:val="74143FCA"/>
    <w:rsid w:val="742B29CC"/>
    <w:rsid w:val="743435AB"/>
    <w:rsid w:val="743466B9"/>
    <w:rsid w:val="74461E78"/>
    <w:rsid w:val="744877CF"/>
    <w:rsid w:val="74936C9D"/>
    <w:rsid w:val="74A72312"/>
    <w:rsid w:val="74C96B62"/>
    <w:rsid w:val="74CC0400"/>
    <w:rsid w:val="75091655"/>
    <w:rsid w:val="75182586"/>
    <w:rsid w:val="75194C26"/>
    <w:rsid w:val="752E4C17"/>
    <w:rsid w:val="755D72B0"/>
    <w:rsid w:val="75632B54"/>
    <w:rsid w:val="756D573F"/>
    <w:rsid w:val="7582790C"/>
    <w:rsid w:val="75B3511C"/>
    <w:rsid w:val="75C11BD0"/>
    <w:rsid w:val="75D237F5"/>
    <w:rsid w:val="75D94B83"/>
    <w:rsid w:val="762C1090"/>
    <w:rsid w:val="76353458"/>
    <w:rsid w:val="763647A6"/>
    <w:rsid w:val="763D7808"/>
    <w:rsid w:val="76480CDA"/>
    <w:rsid w:val="764E1A90"/>
    <w:rsid w:val="76500BBB"/>
    <w:rsid w:val="76A553AD"/>
    <w:rsid w:val="76D277F3"/>
    <w:rsid w:val="76E539FB"/>
    <w:rsid w:val="76F86756"/>
    <w:rsid w:val="7719504D"/>
    <w:rsid w:val="7724681C"/>
    <w:rsid w:val="77266551"/>
    <w:rsid w:val="773F135E"/>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2115C4"/>
    <w:rsid w:val="78310847"/>
    <w:rsid w:val="783219DD"/>
    <w:rsid w:val="78341A4E"/>
    <w:rsid w:val="783A201E"/>
    <w:rsid w:val="784A33A1"/>
    <w:rsid w:val="787046EB"/>
    <w:rsid w:val="78793335"/>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7F6A7B"/>
    <w:rsid w:val="79832B1E"/>
    <w:rsid w:val="79AE6327"/>
    <w:rsid w:val="79C21DD2"/>
    <w:rsid w:val="79D07C49"/>
    <w:rsid w:val="79E262EA"/>
    <w:rsid w:val="79FC3536"/>
    <w:rsid w:val="79FE3DE4"/>
    <w:rsid w:val="7A0F0131"/>
    <w:rsid w:val="7A130587"/>
    <w:rsid w:val="7A196609"/>
    <w:rsid w:val="7A2465E9"/>
    <w:rsid w:val="7A293A71"/>
    <w:rsid w:val="7A3A4F23"/>
    <w:rsid w:val="7A505630"/>
    <w:rsid w:val="7A6077F3"/>
    <w:rsid w:val="7A6631CB"/>
    <w:rsid w:val="7A6824A1"/>
    <w:rsid w:val="7A730369"/>
    <w:rsid w:val="7A7B26AD"/>
    <w:rsid w:val="7A8162C2"/>
    <w:rsid w:val="7A9E639B"/>
    <w:rsid w:val="7AB37ABD"/>
    <w:rsid w:val="7AC57DCC"/>
    <w:rsid w:val="7ACF6A42"/>
    <w:rsid w:val="7AD41DBD"/>
    <w:rsid w:val="7AE52A16"/>
    <w:rsid w:val="7AEA338E"/>
    <w:rsid w:val="7AF2415B"/>
    <w:rsid w:val="7AFE3D7E"/>
    <w:rsid w:val="7B097E4E"/>
    <w:rsid w:val="7B0A1C83"/>
    <w:rsid w:val="7B107771"/>
    <w:rsid w:val="7B4968BF"/>
    <w:rsid w:val="7B4B6523"/>
    <w:rsid w:val="7B547823"/>
    <w:rsid w:val="7B765E52"/>
    <w:rsid w:val="7B872BF5"/>
    <w:rsid w:val="7BB06386"/>
    <w:rsid w:val="7BC20DF1"/>
    <w:rsid w:val="7BC6441E"/>
    <w:rsid w:val="7BC76ADB"/>
    <w:rsid w:val="7BD43933"/>
    <w:rsid w:val="7BD55DED"/>
    <w:rsid w:val="7BDB672C"/>
    <w:rsid w:val="7BF02C30"/>
    <w:rsid w:val="7BF840E6"/>
    <w:rsid w:val="7C1167C1"/>
    <w:rsid w:val="7C1456CD"/>
    <w:rsid w:val="7C276F98"/>
    <w:rsid w:val="7C2F7F12"/>
    <w:rsid w:val="7CC06F9B"/>
    <w:rsid w:val="7CFB7844"/>
    <w:rsid w:val="7D1E30DE"/>
    <w:rsid w:val="7D1F00CE"/>
    <w:rsid w:val="7D511DEB"/>
    <w:rsid w:val="7D5B3899"/>
    <w:rsid w:val="7D77575B"/>
    <w:rsid w:val="7D890D90"/>
    <w:rsid w:val="7D893333"/>
    <w:rsid w:val="7D9074D5"/>
    <w:rsid w:val="7DC20ABD"/>
    <w:rsid w:val="7DD67717"/>
    <w:rsid w:val="7DE0456D"/>
    <w:rsid w:val="7DE55489"/>
    <w:rsid w:val="7DE63A1C"/>
    <w:rsid w:val="7E1852E5"/>
    <w:rsid w:val="7E362383"/>
    <w:rsid w:val="7E7E136B"/>
    <w:rsid w:val="7E841262"/>
    <w:rsid w:val="7E847F59"/>
    <w:rsid w:val="7E8D04BA"/>
    <w:rsid w:val="7EA80825"/>
    <w:rsid w:val="7EB15FE9"/>
    <w:rsid w:val="7EBE700C"/>
    <w:rsid w:val="7ECD4B5B"/>
    <w:rsid w:val="7F08297D"/>
    <w:rsid w:val="7F230A24"/>
    <w:rsid w:val="7F2350C1"/>
    <w:rsid w:val="7F2869A1"/>
    <w:rsid w:val="7F693119"/>
    <w:rsid w:val="7F9D4E73"/>
    <w:rsid w:val="7FA47B62"/>
    <w:rsid w:val="7FAD30ED"/>
    <w:rsid w:val="7FAE52D2"/>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kern w:val="44"/>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7">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仿宋_GB2312"/>
      <w:sz w:val="24"/>
    </w:rPr>
  </w:style>
  <w:style w:type="paragraph" w:styleId="8">
    <w:name w:val="Normal Indent"/>
    <w:basedOn w:val="1"/>
    <w:next w:val="9"/>
    <w:qFormat/>
    <w:uiPriority w:val="0"/>
    <w:pPr>
      <w:spacing w:line="460" w:lineRule="exact"/>
      <w:ind w:firstLine="420"/>
      <w:jc w:val="left"/>
    </w:pPr>
    <w:rPr>
      <w:rFonts w:ascii="Calibri" w:hAnsi="Calibri" w:eastAsia="宋体"/>
      <w:spacing w:val="10"/>
      <w:kern w:val="24"/>
      <w:sz w:val="24"/>
    </w:rPr>
  </w:style>
  <w:style w:type="paragraph" w:styleId="9">
    <w:name w:val="Body Text Indent"/>
    <w:basedOn w:val="1"/>
    <w:next w:val="1"/>
    <w:qFormat/>
    <w:uiPriority w:val="0"/>
    <w:pPr>
      <w:spacing w:line="480" w:lineRule="exact"/>
      <w:ind w:firstLine="480" w:firstLineChars="200"/>
    </w:pPr>
    <w:rPr>
      <w:rFonts w:ascii="宋体" w:hAnsi="宋体" w:eastAsia="仿宋_GB2312"/>
      <w:sz w:val="24"/>
    </w:rPr>
  </w:style>
  <w:style w:type="paragraph" w:styleId="10">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1">
    <w:name w:val="Salutation"/>
    <w:basedOn w:val="1"/>
    <w:next w:val="1"/>
    <w:unhideWhenUsed/>
    <w:qFormat/>
    <w:uiPriority w:val="99"/>
  </w:style>
  <w:style w:type="paragraph" w:styleId="12">
    <w:name w:val="Body Text"/>
    <w:basedOn w:val="1"/>
    <w:next w:val="1"/>
    <w:qFormat/>
    <w:uiPriority w:val="0"/>
  </w:style>
  <w:style w:type="paragraph" w:styleId="13">
    <w:name w:val="Block Text"/>
    <w:basedOn w:val="1"/>
    <w:qFormat/>
    <w:uiPriority w:val="0"/>
    <w:pPr>
      <w:framePr w:hSpace="180" w:wrap="around" w:vAnchor="text" w:hAnchor="text" w:y="1"/>
      <w:ind w:left="113" w:right="113"/>
      <w:jc w:val="center"/>
    </w:pPr>
    <w:rPr>
      <w:sz w:val="18"/>
    </w:rPr>
  </w:style>
  <w:style w:type="paragraph" w:styleId="14">
    <w:name w:val="Plain Text"/>
    <w:basedOn w:val="1"/>
    <w:next w:val="11"/>
    <w:qFormat/>
    <w:uiPriority w:val="0"/>
    <w:rPr>
      <w:rFonts w:ascii="宋体" w:hAnsi="Courier New" w:eastAsia="宋体"/>
    </w:rPr>
  </w:style>
  <w:style w:type="paragraph" w:styleId="15">
    <w:name w:val="Date"/>
    <w:basedOn w:val="1"/>
    <w:next w:val="1"/>
    <w:qFormat/>
    <w:uiPriority w:val="0"/>
    <w:pPr>
      <w:ind w:left="2500" w:leftChars="2500"/>
    </w:pPr>
    <w:rPr>
      <w:rFonts w:ascii="宋体" w:hAnsi="宋体"/>
      <w:sz w:val="24"/>
    </w:rPr>
  </w:style>
  <w:style w:type="paragraph" w:styleId="16">
    <w:name w:val="Body Text Indent 2"/>
    <w:basedOn w:val="1"/>
    <w:next w:val="17"/>
    <w:qFormat/>
    <w:uiPriority w:val="0"/>
    <w:pPr>
      <w:ind w:firstLine="560" w:firstLineChars="200"/>
    </w:pPr>
    <w:rPr>
      <w:rFonts w:ascii="Calibri" w:hAnsi="Calibri" w:eastAsia="宋体"/>
      <w:sz w:val="28"/>
      <w:szCs w:val="24"/>
    </w:rPr>
  </w:style>
  <w:style w:type="paragraph" w:customStyle="1" w:styleId="17">
    <w:name w:val="z正文"/>
    <w:basedOn w:val="14"/>
    <w:qFormat/>
    <w:uiPriority w:val="99"/>
    <w:pPr>
      <w:tabs>
        <w:tab w:val="left" w:pos="525"/>
      </w:tabs>
      <w:snapToGrid w:val="0"/>
      <w:spacing w:line="360" w:lineRule="auto"/>
    </w:pPr>
    <w:rPr>
      <w:rFonts w:hAnsi="宋体" w:eastAsia="宋体"/>
      <w:sz w:val="24"/>
      <w:szCs w:val="20"/>
    </w:rPr>
  </w:style>
  <w:style w:type="paragraph" w:styleId="18">
    <w:name w:val="Balloon Text"/>
    <w:basedOn w:val="1"/>
    <w:link w:val="88"/>
    <w:qFormat/>
    <w:uiPriority w:val="0"/>
    <w:pPr>
      <w:spacing w:line="240" w:lineRule="auto"/>
    </w:pPr>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List"/>
    <w:basedOn w:val="1"/>
    <w:qFormat/>
    <w:uiPriority w:val="0"/>
    <w:pPr>
      <w:ind w:left="200" w:hanging="200" w:hangingChars="200"/>
    </w:pPr>
    <w:rPr>
      <w:sz w:val="28"/>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link w:val="66"/>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4">
    <w:name w:val="table of figures"/>
    <w:basedOn w:val="1"/>
    <w:next w:val="1"/>
    <w:unhideWhenUsed/>
    <w:qFormat/>
    <w:uiPriority w:val="99"/>
    <w:pPr>
      <w:ind w:left="200" w:leftChars="200" w:hanging="200" w:hangingChars="200"/>
    </w:pPr>
  </w:style>
  <w:style w:type="paragraph" w:styleId="25">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6">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w:basedOn w:val="12"/>
    <w:next w:val="1"/>
    <w:qFormat/>
    <w:uiPriority w:val="0"/>
    <w:pPr>
      <w:ind w:firstLine="420" w:firstLineChars="100"/>
    </w:pPr>
    <w:rPr>
      <w:rFonts w:ascii="Times New Roman" w:hAnsi="Times New Roman" w:eastAsia="宋体"/>
      <w:szCs w:val="24"/>
    </w:rPr>
  </w:style>
  <w:style w:type="paragraph" w:styleId="28">
    <w:name w:val="Body Text First Indent 2"/>
    <w:basedOn w:val="9"/>
    <w:next w:val="29"/>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1">
    <w:name w:val="Table Grid"/>
    <w:basedOn w:val="30"/>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3">
    <w:name w:val="Strong"/>
    <w:basedOn w:val="32"/>
    <w:qFormat/>
    <w:uiPriority w:val="0"/>
    <w:rPr>
      <w:b/>
    </w:rPr>
  </w:style>
  <w:style w:type="character" w:styleId="34">
    <w:name w:val="page number"/>
    <w:qFormat/>
    <w:uiPriority w:val="0"/>
  </w:style>
  <w:style w:type="character" w:styleId="35">
    <w:name w:val="Hyperlink"/>
    <w:basedOn w:val="32"/>
    <w:qFormat/>
    <w:uiPriority w:val="0"/>
    <w:rPr>
      <w:color w:val="0000FF"/>
      <w:u w:val="single"/>
    </w:rPr>
  </w:style>
  <w:style w:type="paragraph" w:customStyle="1" w:styleId="3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7">
    <w:name w:val="表格文字"/>
    <w:next w:val="12"/>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1">
    <w:name w:val="正文缩进1"/>
    <w:basedOn w:val="1"/>
    <w:qFormat/>
    <w:uiPriority w:val="0"/>
    <w:pPr>
      <w:ind w:firstLine="420" w:firstLineChars="200"/>
    </w:pPr>
    <w:rPr>
      <w:rFonts w:ascii="Times New Roman"/>
      <w:szCs w:val="22"/>
    </w:rPr>
  </w:style>
  <w:style w:type="paragraph" w:customStyle="1" w:styleId="4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3">
    <w:name w:val="样式 正文文本缩进 + 左  0 字符"/>
    <w:basedOn w:val="9"/>
    <w:qFormat/>
    <w:uiPriority w:val="0"/>
    <w:pPr>
      <w:ind w:firstLine="250" w:firstLineChars="250"/>
    </w:pPr>
    <w:rPr>
      <w:color w:val="000000"/>
    </w:rPr>
  </w:style>
  <w:style w:type="paragraph" w:customStyle="1" w:styleId="4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7">
    <w:name w:val="[Normal]"/>
    <w:qFormat/>
    <w:uiPriority w:val="0"/>
    <w:rPr>
      <w:rFonts w:ascii="宋体" w:hAnsi="宋体" w:eastAsia="宋体" w:cs="Times New Roman"/>
      <w:sz w:val="24"/>
      <w:szCs w:val="22"/>
      <w:lang w:val="zh-CN" w:eastAsia="zh-CN" w:bidi="ar-SA"/>
    </w:rPr>
  </w:style>
  <w:style w:type="paragraph" w:customStyle="1" w:styleId="48">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纯文本1"/>
    <w:basedOn w:val="50"/>
    <w:qFormat/>
    <w:uiPriority w:val="0"/>
    <w:pPr>
      <w:snapToGrid w:val="0"/>
      <w:jc w:val="left"/>
    </w:pPr>
    <w:rPr>
      <w:rFonts w:ascii="Century Gothic" w:hAnsi="楷体_GB2312" w:eastAsia="Century Gothic"/>
    </w:rPr>
  </w:style>
  <w:style w:type="paragraph" w:customStyle="1" w:styleId="50">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51">
    <w:name w:val="List Paragraph"/>
    <w:basedOn w:val="1"/>
    <w:qFormat/>
    <w:uiPriority w:val="34"/>
    <w:pPr>
      <w:ind w:firstLine="420" w:firstLineChars="200"/>
    </w:pPr>
    <w:rPr>
      <w:rFonts w:ascii="Calibri" w:hAnsi="Calibri" w:eastAsia="宋体"/>
      <w:szCs w:val="22"/>
    </w:rPr>
  </w:style>
  <w:style w:type="paragraph" w:customStyle="1" w:styleId="52">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3">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4">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5">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6">
    <w:name w:val="纯文本2"/>
    <w:qFormat/>
    <w:uiPriority w:val="0"/>
    <w:rPr>
      <w:rFonts w:hint="eastAsia" w:ascii="宋体" w:hAnsi="Courier New" w:eastAsia="宋体" w:cs="Times New Roman"/>
      <w:kern w:val="2"/>
      <w:sz w:val="21"/>
      <w:szCs w:val="22"/>
      <w:lang w:val="en-US" w:eastAsia="zh-CN" w:bidi="ar-SA"/>
    </w:rPr>
  </w:style>
  <w:style w:type="paragraph" w:customStyle="1" w:styleId="57">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正文2"/>
    <w:basedOn w:val="1"/>
    <w:qFormat/>
    <w:uiPriority w:val="0"/>
    <w:pPr>
      <w:spacing w:before="156" w:line="360" w:lineRule="auto"/>
      <w:ind w:firstLine="510" w:firstLineChars="200"/>
    </w:pPr>
    <w:rPr>
      <w:sz w:val="24"/>
    </w:rPr>
  </w:style>
  <w:style w:type="paragraph" w:customStyle="1" w:styleId="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
    <w:name w:val="列表段落1"/>
    <w:basedOn w:val="1"/>
    <w:qFormat/>
    <w:uiPriority w:val="99"/>
    <w:pPr>
      <w:ind w:firstLine="420" w:firstLineChars="200"/>
    </w:pPr>
    <w:rPr>
      <w:rFonts w:ascii="Calibri" w:hAnsi="Calibri"/>
      <w:szCs w:val="22"/>
    </w:rPr>
  </w:style>
  <w:style w:type="character" w:customStyle="1" w:styleId="62">
    <w:name w:val="font01"/>
    <w:basedOn w:val="32"/>
    <w:qFormat/>
    <w:uiPriority w:val="0"/>
    <w:rPr>
      <w:rFonts w:hint="eastAsia" w:ascii="宋体" w:hAnsi="宋体" w:eastAsia="宋体" w:cs="宋体"/>
      <w:color w:val="000000"/>
      <w:kern w:val="2"/>
      <w:sz w:val="24"/>
      <w:szCs w:val="24"/>
      <w:u w:val="none"/>
    </w:rPr>
  </w:style>
  <w:style w:type="paragraph" w:customStyle="1" w:styleId="63">
    <w:name w:val="*正文"/>
    <w:basedOn w:val="1"/>
    <w:qFormat/>
    <w:uiPriority w:val="0"/>
    <w:pPr>
      <w:spacing w:line="360" w:lineRule="auto"/>
      <w:ind w:firstLine="482" w:firstLineChars="200"/>
    </w:pPr>
    <w:rPr>
      <w:rFonts w:ascii="宋体" w:hAnsi="宋体"/>
      <w:kern w:val="0"/>
      <w:sz w:val="24"/>
    </w:rPr>
  </w:style>
  <w:style w:type="paragraph" w:customStyle="1" w:styleId="64">
    <w:name w:val="样式 (符号) 宋体"/>
    <w:basedOn w:val="1"/>
    <w:qFormat/>
    <w:uiPriority w:val="0"/>
    <w:pPr>
      <w:ind w:firstLine="420"/>
    </w:pPr>
    <w:rPr>
      <w:rFonts w:ascii="Times New Roman" w:hAnsi="Times New Roman" w:eastAsia="宋体"/>
      <w:color w:val="000000"/>
      <w:kern w:val="1"/>
    </w:rPr>
  </w:style>
  <w:style w:type="paragraph" w:customStyle="1" w:styleId="65">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6">
    <w:name w:val="正文文本缩进 3 Char"/>
    <w:link w:val="23"/>
    <w:qFormat/>
    <w:uiPriority w:val="0"/>
    <w:rPr>
      <w:rFonts w:ascii="仿宋_GB2312" w:hAnsi="宋体" w:eastAsia="仿宋_GB2312" w:cs="Times New Roman"/>
      <w:color w:val="000000"/>
      <w:kern w:val="2"/>
      <w:sz w:val="24"/>
      <w:szCs w:val="24"/>
      <w:lang w:val="en-US" w:eastAsia="zh-CN" w:bidi="ar-SA"/>
    </w:rPr>
  </w:style>
  <w:style w:type="paragraph" w:customStyle="1" w:styleId="67">
    <w:name w:val="样式 表格正文 + 两端对齐"/>
    <w:basedOn w:val="1"/>
    <w:next w:val="55"/>
    <w:qFormat/>
    <w:uiPriority w:val="0"/>
    <w:pPr>
      <w:spacing w:line="300" w:lineRule="auto"/>
    </w:pPr>
    <w:rPr>
      <w:rFonts w:ascii="Times New Roman"/>
    </w:rPr>
  </w:style>
  <w:style w:type="paragraph" w:customStyle="1" w:styleId="68">
    <w:name w:val="p0"/>
    <w:basedOn w:val="1"/>
    <w:qFormat/>
    <w:uiPriority w:val="0"/>
    <w:pPr>
      <w:widowControl/>
      <w:ind w:left="108" w:right="108" w:firstLine="200"/>
    </w:pPr>
    <w:rPr>
      <w:rFonts w:eastAsia="微软雅黑"/>
      <w:kern w:val="0"/>
      <w:szCs w:val="21"/>
    </w:rPr>
  </w:style>
  <w:style w:type="character" w:customStyle="1" w:styleId="69">
    <w:name w:val="font31"/>
    <w:basedOn w:val="32"/>
    <w:qFormat/>
    <w:uiPriority w:val="0"/>
    <w:rPr>
      <w:rFonts w:hint="eastAsia" w:ascii="宋体" w:hAnsi="宋体" w:eastAsia="宋体" w:cs="宋体"/>
      <w:color w:val="000000"/>
      <w:sz w:val="21"/>
      <w:szCs w:val="21"/>
      <w:u w:val="none"/>
    </w:rPr>
  </w:style>
  <w:style w:type="table" w:customStyle="1" w:styleId="70">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
    <w:name w:val="!正文"/>
    <w:basedOn w:val="1"/>
    <w:qFormat/>
    <w:uiPriority w:val="0"/>
    <w:pPr>
      <w:ind w:firstLine="200"/>
      <w:jc w:val="left"/>
    </w:pPr>
    <w:rPr>
      <w:szCs w:val="24"/>
    </w:rPr>
  </w:style>
  <w:style w:type="paragraph" w:customStyle="1" w:styleId="72">
    <w:name w:val="样式 正文缩进 + 首行缩进:  2 字符"/>
    <w:basedOn w:val="8"/>
    <w:qFormat/>
    <w:uiPriority w:val="0"/>
    <w:pPr>
      <w:ind w:firstLine="200"/>
    </w:pPr>
    <w:rPr>
      <w:rFonts w:ascii="Times New Roman" w:hAnsi="Times New Roman" w:cs="宋体"/>
      <w:sz w:val="28"/>
      <w:szCs w:val="24"/>
    </w:rPr>
  </w:style>
  <w:style w:type="paragraph" w:customStyle="1" w:styleId="73">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4">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5">
    <w:name w:val="列出段落2"/>
    <w:basedOn w:val="1"/>
    <w:qFormat/>
    <w:uiPriority w:val="0"/>
    <w:pPr>
      <w:ind w:firstLine="420" w:firstLineChars="200"/>
    </w:pPr>
    <w:rPr>
      <w:szCs w:val="24"/>
    </w:rPr>
  </w:style>
  <w:style w:type="character" w:customStyle="1" w:styleId="76">
    <w:name w:val="font101"/>
    <w:basedOn w:val="32"/>
    <w:qFormat/>
    <w:uiPriority w:val="0"/>
    <w:rPr>
      <w:rFonts w:hint="eastAsia" w:ascii="宋体" w:hAnsi="宋体" w:eastAsia="宋体" w:cs="宋体"/>
      <w:color w:val="000000"/>
      <w:sz w:val="20"/>
      <w:szCs w:val="20"/>
      <w:u w:val="none"/>
    </w:rPr>
  </w:style>
  <w:style w:type="character" w:customStyle="1" w:styleId="77">
    <w:name w:val="font81"/>
    <w:basedOn w:val="32"/>
    <w:qFormat/>
    <w:uiPriority w:val="0"/>
    <w:rPr>
      <w:rFonts w:hint="default" w:ascii="Tahoma" w:hAnsi="Tahoma" w:eastAsia="Tahoma" w:cs="Tahoma"/>
      <w:color w:val="FF0000"/>
      <w:sz w:val="20"/>
      <w:szCs w:val="20"/>
      <w:u w:val="none"/>
    </w:rPr>
  </w:style>
  <w:style w:type="character" w:customStyle="1" w:styleId="78">
    <w:name w:val="font112"/>
    <w:basedOn w:val="32"/>
    <w:qFormat/>
    <w:uiPriority w:val="0"/>
    <w:rPr>
      <w:rFonts w:hint="eastAsia" w:ascii="宋体" w:hAnsi="宋体" w:eastAsia="宋体" w:cs="宋体"/>
      <w:color w:val="FF0000"/>
      <w:sz w:val="20"/>
      <w:szCs w:val="20"/>
      <w:u w:val="none"/>
    </w:rPr>
  </w:style>
  <w:style w:type="character" w:customStyle="1" w:styleId="79">
    <w:name w:val="font21"/>
    <w:basedOn w:val="32"/>
    <w:qFormat/>
    <w:uiPriority w:val="0"/>
    <w:rPr>
      <w:rFonts w:hint="default" w:ascii="Tahoma" w:hAnsi="Tahoma" w:eastAsia="Tahoma" w:cs="Tahoma"/>
      <w:color w:val="FF0000"/>
      <w:sz w:val="20"/>
      <w:szCs w:val="20"/>
      <w:u w:val="none"/>
    </w:rPr>
  </w:style>
  <w:style w:type="character" w:customStyle="1" w:styleId="80">
    <w:name w:val="font121"/>
    <w:basedOn w:val="32"/>
    <w:qFormat/>
    <w:uiPriority w:val="0"/>
    <w:rPr>
      <w:rFonts w:hint="eastAsia" w:ascii="宋体" w:hAnsi="宋体" w:eastAsia="宋体" w:cs="宋体"/>
      <w:color w:val="FF0000"/>
      <w:sz w:val="20"/>
      <w:szCs w:val="20"/>
      <w:u w:val="none"/>
    </w:rPr>
  </w:style>
  <w:style w:type="character" w:customStyle="1" w:styleId="81">
    <w:name w:val="font71"/>
    <w:basedOn w:val="32"/>
    <w:qFormat/>
    <w:uiPriority w:val="0"/>
    <w:rPr>
      <w:rFonts w:hint="default" w:ascii="Arial" w:hAnsi="Arial" w:cs="Arial"/>
      <w:color w:val="FF0000"/>
      <w:sz w:val="20"/>
      <w:szCs w:val="20"/>
      <w:u w:val="none"/>
    </w:rPr>
  </w:style>
  <w:style w:type="character" w:customStyle="1" w:styleId="82">
    <w:name w:val="font91"/>
    <w:basedOn w:val="32"/>
    <w:qFormat/>
    <w:uiPriority w:val="0"/>
    <w:rPr>
      <w:rFonts w:hint="default" w:ascii="Arial" w:hAnsi="Arial" w:cs="Arial"/>
      <w:color w:val="000000"/>
      <w:sz w:val="20"/>
      <w:szCs w:val="20"/>
      <w:u w:val="none"/>
    </w:rPr>
  </w:style>
  <w:style w:type="character" w:customStyle="1" w:styleId="83">
    <w:name w:val="font61"/>
    <w:basedOn w:val="32"/>
    <w:qFormat/>
    <w:uiPriority w:val="0"/>
    <w:rPr>
      <w:rFonts w:hint="default" w:ascii="Arial" w:hAnsi="Arial" w:cs="Arial"/>
      <w:color w:val="FF0000"/>
      <w:sz w:val="20"/>
      <w:szCs w:val="20"/>
      <w:u w:val="none"/>
    </w:rPr>
  </w:style>
  <w:style w:type="table" w:customStyle="1" w:styleId="84">
    <w:name w:val="Table Normal"/>
    <w:semiHidden/>
    <w:unhideWhenUsed/>
    <w:qFormat/>
    <w:uiPriority w:val="0"/>
    <w:tblPr>
      <w:tblCellMar>
        <w:top w:w="0" w:type="dxa"/>
        <w:left w:w="0" w:type="dxa"/>
        <w:bottom w:w="0" w:type="dxa"/>
        <w:right w:w="0" w:type="dxa"/>
      </w:tblCellMar>
    </w:tblPr>
  </w:style>
  <w:style w:type="paragraph" w:customStyle="1" w:styleId="85">
    <w:name w:val="样式1"/>
    <w:basedOn w:val="7"/>
    <w:qFormat/>
    <w:uiPriority w:val="0"/>
    <w:pPr>
      <w:snapToGrid w:val="0"/>
      <w:spacing w:before="0" w:after="0" w:line="240" w:lineRule="auto"/>
    </w:pPr>
    <w:rPr>
      <w:bCs w:val="0"/>
      <w:spacing w:val="20"/>
      <w:sz w:val="21"/>
      <w:szCs w:val="20"/>
    </w:rPr>
  </w:style>
  <w:style w:type="paragraph" w:customStyle="1" w:styleId="86">
    <w:name w:val="Table Paragraph"/>
    <w:basedOn w:val="1"/>
    <w:qFormat/>
    <w:uiPriority w:val="1"/>
    <w:rPr>
      <w:rFonts w:ascii="宋体" w:hAnsi="宋体" w:eastAsia="宋体" w:cs="宋体"/>
      <w:lang w:val="zh-CN" w:bidi="zh-CN"/>
    </w:rPr>
  </w:style>
  <w:style w:type="paragraph" w:customStyle="1" w:styleId="87">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8">
    <w:name w:val="批注框文本 Char"/>
    <w:basedOn w:val="32"/>
    <w:link w:val="18"/>
    <w:qFormat/>
    <w:uiPriority w:val="0"/>
    <w:rPr>
      <w:rFonts w:ascii="等线" w:hAnsi="等线" w:eastAsia="等线"/>
      <w:kern w:val="2"/>
      <w:sz w:val="18"/>
      <w:szCs w:val="18"/>
    </w:rPr>
  </w:style>
  <w:style w:type="paragraph" w:customStyle="1" w:styleId="89">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列出段落1"/>
    <w:basedOn w:val="1"/>
    <w:qFormat/>
    <w:uiPriority w:val="0"/>
    <w:pPr>
      <w:widowControl w:val="0"/>
      <w:ind w:firstLine="420" w:firstLineChars="200"/>
    </w:pPr>
    <w:rPr>
      <w:kern w:val="2"/>
      <w:szCs w:val="22"/>
    </w:rPr>
  </w:style>
  <w:style w:type="character" w:customStyle="1" w:styleId="91">
    <w:name w:val="15"/>
    <w:qFormat/>
    <w:uiPriority w:val="0"/>
    <w:rPr>
      <w:rFonts w:hint="default" w:ascii="Times New Roman" w:hAnsi="Times New Roman" w:cs="Times New Roman"/>
      <w:kern w:val="0"/>
      <w:sz w:val="24"/>
      <w:szCs w:val="20"/>
    </w:rPr>
  </w:style>
  <w:style w:type="paragraph" w:customStyle="1" w:styleId="92">
    <w:name w:val="Plain Text"/>
    <w:basedOn w:val="93"/>
    <w:qFormat/>
    <w:uiPriority w:val="0"/>
    <w:pPr>
      <w:widowControl/>
      <w:jc w:val="left"/>
    </w:pPr>
    <w:rPr>
      <w:rFonts w:ascii="宋体" w:hAnsi="Courier New"/>
    </w:rPr>
  </w:style>
  <w:style w:type="paragraph" w:customStyle="1" w:styleId="9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Body text|1"/>
    <w:basedOn w:val="1"/>
    <w:qFormat/>
    <w:uiPriority w:val="0"/>
    <w:pPr>
      <w:spacing w:line="401" w:lineRule="auto"/>
      <w:ind w:firstLine="400"/>
    </w:pPr>
    <w:rPr>
      <w:rFonts w:ascii="宋体" w:hAnsi="宋体" w:cs="宋体"/>
      <w:sz w:val="28"/>
      <w:szCs w:val="28"/>
      <w:lang w:val="zh-TW" w:eastAsia="zh-TW" w:bidi="zh-TW"/>
    </w:rPr>
  </w:style>
  <w:style w:type="paragraph" w:customStyle="1" w:styleId="95">
    <w:name w:val="No Spacing"/>
    <w:qFormat/>
    <w:uiPriority w:val="0"/>
    <w:rPr>
      <w:rFonts w:ascii="Times New Roman" w:hAnsi="Times New Roman" w:eastAsia="宋体" w:cs="Times New Roman"/>
      <w:sz w:val="22"/>
      <w:szCs w:val="22"/>
      <w:lang w:val="en-US" w:eastAsia="en-US" w:bidi="ar-SA"/>
    </w:rPr>
  </w:style>
  <w:style w:type="paragraph" w:customStyle="1" w:styleId="96">
    <w:name w:val="无间隔1"/>
    <w:basedOn w:val="1"/>
    <w:qFormat/>
    <w:uiPriority w:val="1"/>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43467</Words>
  <Characters>46468</Characters>
  <Lines>1</Lines>
  <Paragraphs>1</Paragraphs>
  <TotalTime>5</TotalTime>
  <ScaleCrop>false</ScaleCrop>
  <LinksUpToDate>false</LinksUpToDate>
  <CharactersWithSpaces>49245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王震</cp:lastModifiedBy>
  <cp:lastPrinted>2024-12-20T07:13:00Z</cp:lastPrinted>
  <dcterms:modified xsi:type="dcterms:W3CDTF">2024-12-20T09:01:41Z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B69C7CB890AC4447820F17F8486E05CE_13</vt:lpwstr>
  </property>
</Properties>
</file>