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F173F4">
      <w:pPr>
        <w:spacing w:line="1100" w:lineRule="exact"/>
        <w:ind w:left="0" w:leftChars="0"/>
        <w:jc w:val="center"/>
        <w:rPr>
          <w:rFonts w:hint="eastAsia" w:ascii="宋体" w:hAnsi="宋体" w:cs="宋体"/>
          <w:b/>
          <w:color w:val="auto"/>
          <w:sz w:val="48"/>
          <w:szCs w:val="48"/>
          <w:highlight w:val="none"/>
          <w:lang w:eastAsia="zh-CN"/>
        </w:rPr>
      </w:pPr>
      <w:r>
        <w:rPr>
          <w:rFonts w:hint="eastAsia" w:ascii="宋体" w:hAnsi="宋体" w:cs="宋体"/>
          <w:b/>
          <w:color w:val="auto"/>
          <w:sz w:val="48"/>
          <w:szCs w:val="48"/>
          <w:highlight w:val="none"/>
        </w:rPr>
        <w:t>东阳市鑫盛工程咨询有限公司关于</w:t>
      </w:r>
      <w:r>
        <w:rPr>
          <w:rFonts w:hint="eastAsia" w:ascii="宋体" w:hAnsi="宋体" w:cs="宋体"/>
          <w:b/>
          <w:color w:val="auto"/>
          <w:sz w:val="48"/>
          <w:szCs w:val="48"/>
          <w:highlight w:val="none"/>
          <w:lang w:eastAsia="zh-CN"/>
        </w:rPr>
        <w:t>浙江东阳经济开发区城市分批次建设项目土地报批</w:t>
      </w:r>
    </w:p>
    <w:p w14:paraId="78144C0E">
      <w:pPr>
        <w:spacing w:line="1100" w:lineRule="exact"/>
        <w:ind w:left="0" w:leftChars="0"/>
        <w:jc w:val="center"/>
        <w:rPr>
          <w:rFonts w:hint="eastAsia" w:ascii="宋体" w:hAnsi="宋体" w:eastAsia="宋体" w:cs="宋体"/>
          <w:b/>
          <w:color w:val="auto"/>
          <w:sz w:val="48"/>
          <w:szCs w:val="48"/>
          <w:highlight w:val="none"/>
          <w:lang w:eastAsia="zh-CN"/>
        </w:rPr>
      </w:pPr>
      <w:r>
        <w:rPr>
          <w:rFonts w:hint="eastAsia" w:ascii="宋体" w:hAnsi="宋体" w:cs="宋体"/>
          <w:b/>
          <w:color w:val="auto"/>
          <w:sz w:val="48"/>
          <w:szCs w:val="48"/>
          <w:highlight w:val="none"/>
          <w:lang w:eastAsia="zh-CN"/>
        </w:rPr>
        <w:t>技术服务项目</w:t>
      </w:r>
    </w:p>
    <w:p w14:paraId="7DB9CD5A">
      <w:pPr>
        <w:rPr>
          <w:color w:val="auto"/>
          <w:highlight w:val="none"/>
        </w:rPr>
      </w:pPr>
    </w:p>
    <w:p w14:paraId="7BBB3FF0">
      <w:pPr>
        <w:rPr>
          <w:color w:val="auto"/>
          <w:highlight w:val="none"/>
        </w:rPr>
      </w:pPr>
    </w:p>
    <w:p w14:paraId="26E75DC2">
      <w:pPr>
        <w:rPr>
          <w:color w:val="auto"/>
          <w:highlight w:val="none"/>
        </w:rPr>
      </w:pPr>
    </w:p>
    <w:p w14:paraId="00EF7460">
      <w:pPr>
        <w:jc w:val="center"/>
        <w:rPr>
          <w:rFonts w:ascii="宋体" w:hAnsi="宋体" w:cs="宋体"/>
          <w:b/>
          <w:color w:val="auto"/>
          <w:kern w:val="0"/>
          <w:sz w:val="72"/>
          <w:szCs w:val="72"/>
          <w:highlight w:val="none"/>
        </w:rPr>
      </w:pPr>
    </w:p>
    <w:p w14:paraId="468CE297">
      <w:pPr>
        <w:jc w:val="center"/>
        <w:rPr>
          <w:rFonts w:hint="default" w:eastAsia="宋体"/>
          <w:color w:val="auto"/>
          <w:highlight w:val="none"/>
          <w:lang w:val="en-US" w:eastAsia="zh-CN"/>
        </w:rPr>
      </w:pPr>
      <w:r>
        <w:rPr>
          <w:rFonts w:hint="eastAsia" w:ascii="宋体" w:hAnsi="宋体" w:cs="宋体"/>
          <w:b/>
          <w:color w:val="auto"/>
          <w:kern w:val="0"/>
          <w:sz w:val="72"/>
          <w:szCs w:val="72"/>
          <w:highlight w:val="none"/>
          <w:lang w:val="en-US" w:eastAsia="zh-CN"/>
        </w:rPr>
        <w:t>公开招标文件</w:t>
      </w:r>
    </w:p>
    <w:p w14:paraId="65B03B9D">
      <w:pPr>
        <w:pStyle w:val="2"/>
        <w:rPr>
          <w:color w:val="auto"/>
          <w:highlight w:val="none"/>
        </w:rPr>
      </w:pPr>
    </w:p>
    <w:p w14:paraId="0D8129B2">
      <w:pPr>
        <w:rPr>
          <w:color w:val="auto"/>
          <w:highlight w:val="none"/>
        </w:rPr>
      </w:pPr>
    </w:p>
    <w:p w14:paraId="31E725F5">
      <w:pPr>
        <w:pStyle w:val="10"/>
        <w:ind w:left="0" w:leftChars="0" w:firstLine="0" w:firstLineChars="0"/>
        <w:rPr>
          <w:color w:val="auto"/>
          <w:highlight w:val="none"/>
        </w:rPr>
      </w:pPr>
    </w:p>
    <w:p w14:paraId="5EA23620">
      <w:pPr>
        <w:pStyle w:val="2"/>
        <w:rPr>
          <w:color w:val="auto"/>
          <w:highlight w:val="none"/>
        </w:rPr>
      </w:pPr>
    </w:p>
    <w:p w14:paraId="43AB1CBA">
      <w:pPr>
        <w:rPr>
          <w:color w:val="auto"/>
          <w:highlight w:val="none"/>
        </w:rPr>
      </w:pPr>
    </w:p>
    <w:p w14:paraId="55835732">
      <w:pPr>
        <w:tabs>
          <w:tab w:val="left" w:pos="7880"/>
        </w:tabs>
        <w:spacing w:line="860" w:lineRule="exact"/>
        <w:ind w:left="2249" w:leftChars="306" w:hanging="1606" w:hangingChars="500"/>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rPr>
        <w:t>项目名称：浙江东阳经济开发区城市分批次建设项目土地报批技术服务项目</w:t>
      </w:r>
    </w:p>
    <w:p w14:paraId="608C5061">
      <w:pPr>
        <w:tabs>
          <w:tab w:val="left" w:pos="7880"/>
        </w:tabs>
        <w:spacing w:line="860" w:lineRule="exact"/>
        <w:ind w:left="2249" w:leftChars="306" w:hanging="1606" w:hangingChars="500"/>
        <w:rPr>
          <w:rFonts w:hint="default"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rPr>
        <w:t>项目编号：</w:t>
      </w:r>
      <w:r>
        <w:rPr>
          <w:rFonts w:hint="eastAsia" w:ascii="宋体" w:hAnsi="宋体" w:cs="宋体"/>
          <w:b/>
          <w:color w:val="auto"/>
          <w:kern w:val="0"/>
          <w:sz w:val="32"/>
          <w:szCs w:val="32"/>
          <w:highlight w:val="none"/>
          <w:lang w:eastAsia="zh-CN"/>
        </w:rPr>
        <w:t>XSZFCGDZ202</w:t>
      </w:r>
      <w:r>
        <w:rPr>
          <w:rFonts w:hint="eastAsia" w:ascii="宋体" w:hAnsi="宋体" w:cs="宋体"/>
          <w:b/>
          <w:color w:val="auto"/>
          <w:kern w:val="0"/>
          <w:sz w:val="32"/>
          <w:szCs w:val="32"/>
          <w:highlight w:val="none"/>
          <w:lang w:val="en-US" w:eastAsia="zh-CN"/>
        </w:rPr>
        <w:t>5</w:t>
      </w:r>
      <w:r>
        <w:rPr>
          <w:rFonts w:hint="eastAsia" w:ascii="宋体" w:hAnsi="宋体" w:cs="宋体"/>
          <w:b/>
          <w:color w:val="auto"/>
          <w:kern w:val="0"/>
          <w:sz w:val="32"/>
          <w:szCs w:val="32"/>
          <w:highlight w:val="none"/>
          <w:lang w:eastAsia="zh-CN"/>
        </w:rPr>
        <w:t>-</w:t>
      </w:r>
      <w:r>
        <w:rPr>
          <w:rFonts w:hint="eastAsia" w:ascii="宋体" w:hAnsi="宋体" w:cs="宋体"/>
          <w:b/>
          <w:color w:val="auto"/>
          <w:kern w:val="0"/>
          <w:sz w:val="32"/>
          <w:szCs w:val="32"/>
          <w:highlight w:val="none"/>
          <w:lang w:val="en-US" w:eastAsia="zh-CN"/>
        </w:rPr>
        <w:t>101</w:t>
      </w:r>
    </w:p>
    <w:p w14:paraId="32F6CE42">
      <w:pPr>
        <w:tabs>
          <w:tab w:val="left" w:pos="7880"/>
        </w:tabs>
        <w:spacing w:line="860" w:lineRule="exact"/>
        <w:ind w:left="2249" w:leftChars="306" w:hanging="1606" w:hangingChars="5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采购单位：</w:t>
      </w:r>
      <w:r>
        <w:rPr>
          <w:rFonts w:hint="eastAsia" w:ascii="宋体" w:hAnsi="宋体" w:cs="宋体"/>
          <w:b/>
          <w:color w:val="auto"/>
          <w:kern w:val="0"/>
          <w:sz w:val="32"/>
          <w:szCs w:val="32"/>
          <w:highlight w:val="none"/>
          <w:lang w:eastAsia="zh-CN"/>
        </w:rPr>
        <w:t>浙江东阳经济开发区管理委员会</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rPr>
        <w:tab/>
      </w:r>
    </w:p>
    <w:p w14:paraId="7D9651E7">
      <w:pPr>
        <w:spacing w:line="860" w:lineRule="exact"/>
        <w:ind w:left="2249" w:leftChars="306" w:hanging="1606" w:hangingChars="500"/>
        <w:rPr>
          <w:color w:val="auto"/>
          <w:highlight w:val="none"/>
        </w:rPr>
      </w:pPr>
      <w:r>
        <w:rPr>
          <w:rFonts w:hint="eastAsia" w:ascii="宋体" w:hAnsi="宋体" w:cs="宋体"/>
          <w:b/>
          <w:color w:val="auto"/>
          <w:kern w:val="0"/>
          <w:sz w:val="32"/>
          <w:szCs w:val="32"/>
          <w:highlight w:val="none"/>
        </w:rPr>
        <w:t>招标机构：东阳市鑫盛工程咨询有限公司</w:t>
      </w:r>
    </w:p>
    <w:p w14:paraId="11C44E1D">
      <w:pPr>
        <w:pStyle w:val="18"/>
        <w:spacing w:line="860" w:lineRule="exact"/>
        <w:jc w:val="center"/>
        <w:rPr>
          <w:rFonts w:hint="eastAsia" w:ascii="宋体" w:hAnsi="宋体" w:cs="宋体"/>
          <w:b/>
          <w:color w:val="auto"/>
          <w:sz w:val="28"/>
          <w:szCs w:val="28"/>
          <w:highlight w:val="none"/>
        </w:rPr>
      </w:pPr>
    </w:p>
    <w:p w14:paraId="3DE7AB37">
      <w:pPr>
        <w:pStyle w:val="18"/>
        <w:spacing w:line="860" w:lineRule="exact"/>
        <w:jc w:val="center"/>
        <w:rPr>
          <w:rFonts w:ascii="宋体" w:hAnsi="宋体" w:cs="宋体"/>
          <w:b/>
          <w:color w:val="auto"/>
          <w:sz w:val="28"/>
          <w:szCs w:val="28"/>
          <w:highlight w:val="none"/>
        </w:rPr>
      </w:pPr>
      <w:r>
        <w:rPr>
          <w:rFonts w:hint="eastAsia" w:ascii="宋体" w:hAnsi="宋体" w:cs="宋体"/>
          <w:b/>
          <w:color w:val="auto"/>
          <w:sz w:val="28"/>
          <w:szCs w:val="28"/>
          <w:highlight w:val="none"/>
          <w:lang w:val="en-US" w:eastAsia="zh-CN"/>
        </w:rPr>
        <w:t>2025</w:t>
      </w:r>
      <w:r>
        <w:rPr>
          <w:rFonts w:hint="eastAsia" w:ascii="宋体" w:hAnsi="宋体" w:cs="宋体"/>
          <w:b/>
          <w:color w:val="auto"/>
          <w:sz w:val="28"/>
          <w:szCs w:val="28"/>
          <w:highlight w:val="none"/>
        </w:rPr>
        <w:t>年</w:t>
      </w:r>
      <w:r>
        <w:rPr>
          <w:rFonts w:hint="eastAsia" w:ascii="宋体" w:hAnsi="宋体" w:cs="宋体"/>
          <w:b/>
          <w:color w:val="auto"/>
          <w:sz w:val="28"/>
          <w:szCs w:val="28"/>
          <w:highlight w:val="none"/>
          <w:lang w:val="en-US" w:eastAsia="zh-CN"/>
        </w:rPr>
        <w:t>2</w:t>
      </w:r>
      <w:r>
        <w:rPr>
          <w:rFonts w:hint="eastAsia" w:ascii="宋体" w:hAnsi="宋体" w:cs="宋体"/>
          <w:b/>
          <w:color w:val="auto"/>
          <w:sz w:val="28"/>
          <w:szCs w:val="28"/>
          <w:highlight w:val="none"/>
        </w:rPr>
        <w:t>月</w:t>
      </w:r>
    </w:p>
    <w:p w14:paraId="53B82D9B">
      <w:pPr>
        <w:pStyle w:val="18"/>
        <w:pageBreakBefore/>
        <w:spacing w:line="860" w:lineRule="exact"/>
        <w:jc w:val="center"/>
        <w:rPr>
          <w:rFonts w:ascii="宋体" w:hAnsi="宋体" w:cs="宋体"/>
          <w:b/>
          <w:color w:val="auto"/>
          <w:szCs w:val="24"/>
          <w:highlight w:val="none"/>
        </w:rPr>
        <w:sectPr>
          <w:headerReference r:id="rId3" w:type="default"/>
          <w:footerReference r:id="rId4" w:type="default"/>
          <w:pgSz w:w="11906" w:h="16838"/>
          <w:pgMar w:top="1060" w:right="1174" w:bottom="1060" w:left="1174" w:header="851" w:footer="992" w:gutter="0"/>
          <w:pgNumType w:fmt="decimal"/>
          <w:cols w:space="425" w:num="1"/>
          <w:docGrid w:type="lines" w:linePitch="312" w:charSpace="0"/>
        </w:sectPr>
      </w:pPr>
    </w:p>
    <w:p w14:paraId="2BB616DC">
      <w:pPr>
        <w:pStyle w:val="18"/>
        <w:pageBreakBefore/>
        <w:spacing w:line="276" w:lineRule="auto"/>
        <w:jc w:val="center"/>
        <w:rPr>
          <w:rFonts w:ascii="宋体" w:hAnsi="宋体" w:cs="宋体"/>
          <w:b/>
          <w:color w:val="auto"/>
          <w:szCs w:val="24"/>
          <w:highlight w:val="none"/>
        </w:rPr>
      </w:pPr>
      <w:r>
        <w:rPr>
          <w:rFonts w:hint="eastAsia" w:ascii="宋体" w:hAnsi="宋体" w:cs="宋体"/>
          <w:b/>
          <w:color w:val="auto"/>
          <w:szCs w:val="24"/>
          <w:highlight w:val="none"/>
        </w:rPr>
        <w:t>目    录</w:t>
      </w:r>
    </w:p>
    <w:p w14:paraId="074C18E6">
      <w:pPr>
        <w:pStyle w:val="21"/>
        <w:tabs>
          <w:tab w:val="right" w:leader="dot" w:pos="9070"/>
        </w:tabs>
        <w:rPr>
          <w:color w:val="auto"/>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TOC \o "1-2" \h \z \u </w:instrText>
      </w:r>
      <w:r>
        <w:rPr>
          <w:rFonts w:hint="eastAsia" w:ascii="宋体" w:hAnsi="宋体" w:cs="宋体"/>
          <w:color w:val="auto"/>
          <w:sz w:val="24"/>
          <w:highlight w:val="none"/>
        </w:rPr>
        <w:fldChar w:fldCharType="separate"/>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_Toc25500 </w:instrText>
      </w:r>
      <w:r>
        <w:rPr>
          <w:rFonts w:hint="eastAsia" w:ascii="宋体" w:hAnsi="宋体" w:cs="宋体"/>
          <w:color w:val="auto"/>
          <w:highlight w:val="none"/>
        </w:rPr>
        <w:fldChar w:fldCharType="separate"/>
      </w:r>
      <w:r>
        <w:rPr>
          <w:rFonts w:hint="eastAsia" w:ascii="宋体" w:hAnsi="宋体" w:cs="宋体"/>
          <w:color w:val="auto"/>
          <w:szCs w:val="28"/>
          <w:highlight w:val="none"/>
        </w:rPr>
        <w:t>第一章  公开招标采购公告</w:t>
      </w:r>
      <w:r>
        <w:rPr>
          <w:color w:val="auto"/>
          <w:highlight w:val="none"/>
        </w:rPr>
        <w:tab/>
      </w:r>
      <w:r>
        <w:rPr>
          <w:color w:val="auto"/>
          <w:highlight w:val="none"/>
        </w:rPr>
        <w:fldChar w:fldCharType="begin"/>
      </w:r>
      <w:r>
        <w:rPr>
          <w:color w:val="auto"/>
          <w:highlight w:val="none"/>
        </w:rPr>
        <w:instrText xml:space="preserve"> PAGEREF _Toc25500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cs="宋体"/>
          <w:color w:val="auto"/>
          <w:highlight w:val="none"/>
        </w:rPr>
        <w:fldChar w:fldCharType="end"/>
      </w:r>
    </w:p>
    <w:p w14:paraId="334A8C26">
      <w:pPr>
        <w:pStyle w:val="21"/>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_Toc6987 </w:instrText>
      </w:r>
      <w:r>
        <w:rPr>
          <w:rFonts w:hint="eastAsia" w:ascii="宋体" w:hAnsi="宋体" w:cs="宋体"/>
          <w:color w:val="auto"/>
          <w:highlight w:val="none"/>
        </w:rPr>
        <w:fldChar w:fldCharType="separate"/>
      </w:r>
      <w:r>
        <w:rPr>
          <w:rFonts w:hint="eastAsia" w:ascii="宋体" w:hAnsi="宋体" w:cs="宋体"/>
          <w:color w:val="auto"/>
          <w:szCs w:val="24"/>
          <w:highlight w:val="none"/>
        </w:rPr>
        <w:t>第二章  招标需求</w:t>
      </w:r>
      <w:r>
        <w:rPr>
          <w:color w:val="auto"/>
          <w:highlight w:val="none"/>
        </w:rPr>
        <w:tab/>
      </w:r>
      <w:r>
        <w:rPr>
          <w:color w:val="auto"/>
          <w:highlight w:val="none"/>
        </w:rPr>
        <w:fldChar w:fldCharType="begin"/>
      </w:r>
      <w:r>
        <w:rPr>
          <w:color w:val="auto"/>
          <w:highlight w:val="none"/>
        </w:rPr>
        <w:instrText xml:space="preserve"> PAGEREF _Toc6987 \h </w:instrText>
      </w:r>
      <w:r>
        <w:rPr>
          <w:color w:val="auto"/>
          <w:highlight w:val="none"/>
        </w:rPr>
        <w:fldChar w:fldCharType="separate"/>
      </w:r>
      <w:r>
        <w:rPr>
          <w:color w:val="auto"/>
          <w:highlight w:val="none"/>
        </w:rPr>
        <w:t>8</w:t>
      </w:r>
      <w:r>
        <w:rPr>
          <w:color w:val="auto"/>
          <w:highlight w:val="none"/>
        </w:rPr>
        <w:fldChar w:fldCharType="end"/>
      </w:r>
      <w:r>
        <w:rPr>
          <w:rFonts w:hint="eastAsia" w:ascii="宋体" w:hAnsi="宋体" w:cs="宋体"/>
          <w:color w:val="auto"/>
          <w:highlight w:val="none"/>
        </w:rPr>
        <w:fldChar w:fldCharType="end"/>
      </w:r>
    </w:p>
    <w:p w14:paraId="3F8FDE23">
      <w:pPr>
        <w:pStyle w:val="21"/>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_Toc3884 </w:instrText>
      </w:r>
      <w:r>
        <w:rPr>
          <w:rFonts w:hint="eastAsia" w:ascii="宋体" w:hAnsi="宋体" w:cs="宋体"/>
          <w:color w:val="auto"/>
          <w:highlight w:val="none"/>
        </w:rPr>
        <w:fldChar w:fldCharType="separate"/>
      </w:r>
      <w:r>
        <w:rPr>
          <w:rFonts w:hint="eastAsia" w:ascii="宋体" w:hAnsi="宋体" w:cs="宋体"/>
          <w:color w:val="auto"/>
          <w:szCs w:val="24"/>
          <w:highlight w:val="none"/>
        </w:rPr>
        <w:t>第三章   投标人须知</w:t>
      </w:r>
      <w:r>
        <w:rPr>
          <w:color w:val="auto"/>
          <w:highlight w:val="none"/>
        </w:rPr>
        <w:tab/>
      </w:r>
      <w:r>
        <w:rPr>
          <w:color w:val="auto"/>
          <w:highlight w:val="none"/>
        </w:rPr>
        <w:fldChar w:fldCharType="begin"/>
      </w:r>
      <w:r>
        <w:rPr>
          <w:color w:val="auto"/>
          <w:highlight w:val="none"/>
        </w:rPr>
        <w:instrText xml:space="preserve"> PAGEREF _Toc3884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cs="宋体"/>
          <w:color w:val="auto"/>
          <w:highlight w:val="none"/>
        </w:rPr>
        <w:fldChar w:fldCharType="end"/>
      </w:r>
    </w:p>
    <w:p w14:paraId="5A87FC97">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_Toc31598 </w:instrText>
      </w:r>
      <w:r>
        <w:rPr>
          <w:rFonts w:hint="eastAsia" w:ascii="宋体" w:hAnsi="宋体" w:cs="宋体"/>
          <w:color w:val="auto"/>
          <w:highlight w:val="none"/>
        </w:rPr>
        <w:fldChar w:fldCharType="separate"/>
      </w:r>
      <w:r>
        <w:rPr>
          <w:rFonts w:hint="eastAsia" w:ascii="宋体" w:hAnsi="宋体" w:cs="宋体"/>
          <w:color w:val="auto"/>
          <w:szCs w:val="24"/>
          <w:highlight w:val="none"/>
        </w:rPr>
        <w:t>前附表</w:t>
      </w:r>
      <w:r>
        <w:rPr>
          <w:color w:val="auto"/>
          <w:highlight w:val="none"/>
        </w:rPr>
        <w:tab/>
      </w:r>
      <w:r>
        <w:rPr>
          <w:color w:val="auto"/>
          <w:highlight w:val="none"/>
        </w:rPr>
        <w:fldChar w:fldCharType="begin"/>
      </w:r>
      <w:r>
        <w:rPr>
          <w:color w:val="auto"/>
          <w:highlight w:val="none"/>
        </w:rPr>
        <w:instrText xml:space="preserve"> PAGEREF _Toc31598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cs="宋体"/>
          <w:color w:val="auto"/>
          <w:highlight w:val="none"/>
        </w:rPr>
        <w:fldChar w:fldCharType="end"/>
      </w:r>
    </w:p>
    <w:p w14:paraId="37519CF3">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_Toc21737 </w:instrText>
      </w:r>
      <w:r>
        <w:rPr>
          <w:rFonts w:hint="eastAsia" w:ascii="宋体" w:hAnsi="宋体" w:cs="宋体"/>
          <w:color w:val="auto"/>
          <w:highlight w:val="none"/>
        </w:rPr>
        <w:fldChar w:fldCharType="separate"/>
      </w:r>
      <w:r>
        <w:rPr>
          <w:rFonts w:hint="default" w:ascii="宋体" w:hAnsi="宋体" w:cs="宋体"/>
          <w:color w:val="auto"/>
          <w:szCs w:val="24"/>
          <w:highlight w:val="none"/>
        </w:rPr>
        <w:t xml:space="preserve">一、 </w:t>
      </w:r>
      <w:r>
        <w:rPr>
          <w:rFonts w:hint="eastAsia" w:ascii="宋体" w:hAnsi="宋体" w:cs="宋体"/>
          <w:color w:val="auto"/>
          <w:szCs w:val="24"/>
          <w:highlight w:val="none"/>
        </w:rPr>
        <w:t>总则</w:t>
      </w:r>
      <w:r>
        <w:rPr>
          <w:color w:val="auto"/>
          <w:highlight w:val="none"/>
        </w:rPr>
        <w:tab/>
      </w:r>
      <w:r>
        <w:rPr>
          <w:color w:val="auto"/>
          <w:highlight w:val="none"/>
        </w:rPr>
        <w:fldChar w:fldCharType="begin"/>
      </w:r>
      <w:r>
        <w:rPr>
          <w:color w:val="auto"/>
          <w:highlight w:val="none"/>
        </w:rPr>
        <w:instrText xml:space="preserve"> PAGEREF _Toc21737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cs="宋体"/>
          <w:color w:val="auto"/>
          <w:highlight w:val="none"/>
        </w:rPr>
        <w:fldChar w:fldCharType="end"/>
      </w:r>
    </w:p>
    <w:p w14:paraId="22F857A4">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_Toc19426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二、招标文件</w:t>
      </w:r>
      <w:r>
        <w:rPr>
          <w:color w:val="auto"/>
          <w:highlight w:val="none"/>
        </w:rPr>
        <w:tab/>
      </w:r>
      <w:r>
        <w:rPr>
          <w:color w:val="auto"/>
          <w:highlight w:val="none"/>
        </w:rPr>
        <w:fldChar w:fldCharType="begin"/>
      </w:r>
      <w:r>
        <w:rPr>
          <w:color w:val="auto"/>
          <w:highlight w:val="none"/>
        </w:rPr>
        <w:instrText xml:space="preserve"> PAGEREF _Toc19426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cs="宋体"/>
          <w:color w:val="auto"/>
          <w:highlight w:val="none"/>
        </w:rPr>
        <w:fldChar w:fldCharType="end"/>
      </w:r>
    </w:p>
    <w:p w14:paraId="5EDD093D">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_Toc552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三、投标文件的编制</w:t>
      </w:r>
      <w:r>
        <w:rPr>
          <w:color w:val="auto"/>
          <w:highlight w:val="none"/>
        </w:rPr>
        <w:tab/>
      </w:r>
      <w:r>
        <w:rPr>
          <w:color w:val="auto"/>
          <w:highlight w:val="none"/>
        </w:rPr>
        <w:fldChar w:fldCharType="begin"/>
      </w:r>
      <w:r>
        <w:rPr>
          <w:color w:val="auto"/>
          <w:highlight w:val="none"/>
        </w:rPr>
        <w:instrText xml:space="preserve"> PAGEREF _Toc552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cs="宋体"/>
          <w:color w:val="auto"/>
          <w:highlight w:val="none"/>
        </w:rPr>
        <w:fldChar w:fldCharType="end"/>
      </w:r>
    </w:p>
    <w:p w14:paraId="127A196B">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_Toc23926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四、开标</w:t>
      </w:r>
      <w:r>
        <w:rPr>
          <w:color w:val="auto"/>
          <w:highlight w:val="none"/>
        </w:rPr>
        <w:tab/>
      </w:r>
      <w:r>
        <w:rPr>
          <w:color w:val="auto"/>
          <w:highlight w:val="none"/>
        </w:rPr>
        <w:fldChar w:fldCharType="begin"/>
      </w:r>
      <w:r>
        <w:rPr>
          <w:color w:val="auto"/>
          <w:highlight w:val="none"/>
        </w:rPr>
        <w:instrText xml:space="preserve"> PAGEREF _Toc23926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cs="宋体"/>
          <w:color w:val="auto"/>
          <w:highlight w:val="none"/>
        </w:rPr>
        <w:fldChar w:fldCharType="end"/>
      </w:r>
    </w:p>
    <w:p w14:paraId="59625BAF">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_Toc8732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五、评标</w:t>
      </w:r>
      <w:r>
        <w:rPr>
          <w:color w:val="auto"/>
          <w:highlight w:val="none"/>
        </w:rPr>
        <w:tab/>
      </w:r>
      <w:r>
        <w:rPr>
          <w:color w:val="auto"/>
          <w:highlight w:val="none"/>
        </w:rPr>
        <w:fldChar w:fldCharType="begin"/>
      </w:r>
      <w:r>
        <w:rPr>
          <w:color w:val="auto"/>
          <w:highlight w:val="none"/>
        </w:rPr>
        <w:instrText xml:space="preserve"> PAGEREF _Toc8732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cs="宋体"/>
          <w:color w:val="auto"/>
          <w:highlight w:val="none"/>
        </w:rPr>
        <w:fldChar w:fldCharType="end"/>
      </w:r>
    </w:p>
    <w:p w14:paraId="3D80F18D">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_Toc7589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六、定标</w:t>
      </w:r>
      <w:r>
        <w:rPr>
          <w:color w:val="auto"/>
          <w:highlight w:val="none"/>
        </w:rPr>
        <w:tab/>
      </w:r>
      <w:r>
        <w:rPr>
          <w:color w:val="auto"/>
          <w:highlight w:val="none"/>
        </w:rPr>
        <w:fldChar w:fldCharType="begin"/>
      </w:r>
      <w:r>
        <w:rPr>
          <w:color w:val="auto"/>
          <w:highlight w:val="none"/>
        </w:rPr>
        <w:instrText xml:space="preserve"> PAGEREF _Toc7589 \h </w:instrText>
      </w:r>
      <w:r>
        <w:rPr>
          <w:color w:val="auto"/>
          <w:highlight w:val="none"/>
        </w:rPr>
        <w:fldChar w:fldCharType="separate"/>
      </w:r>
      <w:r>
        <w:rPr>
          <w:color w:val="auto"/>
          <w:highlight w:val="none"/>
        </w:rPr>
        <w:t>33</w:t>
      </w:r>
      <w:r>
        <w:rPr>
          <w:color w:val="auto"/>
          <w:highlight w:val="none"/>
        </w:rPr>
        <w:fldChar w:fldCharType="end"/>
      </w:r>
      <w:r>
        <w:rPr>
          <w:rFonts w:hint="eastAsia" w:ascii="宋体" w:hAnsi="宋体" w:cs="宋体"/>
          <w:color w:val="auto"/>
          <w:highlight w:val="none"/>
        </w:rPr>
        <w:fldChar w:fldCharType="end"/>
      </w:r>
    </w:p>
    <w:p w14:paraId="06D9ED5F">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_Toc9992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七、合同授予</w:t>
      </w:r>
      <w:r>
        <w:rPr>
          <w:color w:val="auto"/>
          <w:highlight w:val="none"/>
        </w:rPr>
        <w:tab/>
      </w:r>
      <w:r>
        <w:rPr>
          <w:color w:val="auto"/>
          <w:highlight w:val="none"/>
        </w:rPr>
        <w:fldChar w:fldCharType="begin"/>
      </w:r>
      <w:r>
        <w:rPr>
          <w:color w:val="auto"/>
          <w:highlight w:val="none"/>
        </w:rPr>
        <w:instrText xml:space="preserve"> PAGEREF _Toc9992 \h </w:instrText>
      </w:r>
      <w:r>
        <w:rPr>
          <w:color w:val="auto"/>
          <w:highlight w:val="none"/>
        </w:rPr>
        <w:fldChar w:fldCharType="separate"/>
      </w:r>
      <w:r>
        <w:rPr>
          <w:color w:val="auto"/>
          <w:highlight w:val="none"/>
        </w:rPr>
        <w:t>34</w:t>
      </w:r>
      <w:r>
        <w:rPr>
          <w:color w:val="auto"/>
          <w:highlight w:val="none"/>
        </w:rPr>
        <w:fldChar w:fldCharType="end"/>
      </w:r>
      <w:r>
        <w:rPr>
          <w:rFonts w:hint="eastAsia" w:ascii="宋体" w:hAnsi="宋体" w:cs="宋体"/>
          <w:color w:val="auto"/>
          <w:highlight w:val="none"/>
        </w:rPr>
        <w:fldChar w:fldCharType="end"/>
      </w:r>
    </w:p>
    <w:p w14:paraId="5CC85BF8">
      <w:pPr>
        <w:pStyle w:val="21"/>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_Toc19863 </w:instrText>
      </w:r>
      <w:r>
        <w:rPr>
          <w:rFonts w:hint="eastAsia" w:ascii="宋体" w:hAnsi="宋体" w:cs="宋体"/>
          <w:color w:val="auto"/>
          <w:highlight w:val="none"/>
        </w:rPr>
        <w:fldChar w:fldCharType="separate"/>
      </w:r>
      <w:r>
        <w:rPr>
          <w:rFonts w:hint="eastAsia" w:ascii="宋体" w:hAnsi="宋体" w:cs="宋体"/>
          <w:color w:val="auto"/>
          <w:szCs w:val="24"/>
          <w:highlight w:val="none"/>
        </w:rPr>
        <w:t>第四章  评标办法及评分标准</w:t>
      </w:r>
      <w:r>
        <w:rPr>
          <w:color w:val="auto"/>
          <w:highlight w:val="none"/>
        </w:rPr>
        <w:tab/>
      </w:r>
      <w:r>
        <w:rPr>
          <w:color w:val="auto"/>
          <w:highlight w:val="none"/>
        </w:rPr>
        <w:fldChar w:fldCharType="begin"/>
      </w:r>
      <w:r>
        <w:rPr>
          <w:color w:val="auto"/>
          <w:highlight w:val="none"/>
        </w:rPr>
        <w:instrText xml:space="preserve"> PAGEREF _Toc19863 \h </w:instrText>
      </w:r>
      <w:r>
        <w:rPr>
          <w:color w:val="auto"/>
          <w:highlight w:val="none"/>
        </w:rPr>
        <w:fldChar w:fldCharType="separate"/>
      </w:r>
      <w:r>
        <w:rPr>
          <w:color w:val="auto"/>
          <w:highlight w:val="none"/>
        </w:rPr>
        <w:t>35</w:t>
      </w:r>
      <w:r>
        <w:rPr>
          <w:color w:val="auto"/>
          <w:highlight w:val="none"/>
        </w:rPr>
        <w:fldChar w:fldCharType="end"/>
      </w:r>
      <w:r>
        <w:rPr>
          <w:rFonts w:hint="eastAsia" w:ascii="宋体" w:hAnsi="宋体" w:cs="宋体"/>
          <w:color w:val="auto"/>
          <w:highlight w:val="none"/>
        </w:rPr>
        <w:fldChar w:fldCharType="end"/>
      </w:r>
    </w:p>
    <w:p w14:paraId="7A6B1347">
      <w:pPr>
        <w:pStyle w:val="21"/>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_Toc11703 </w:instrText>
      </w:r>
      <w:r>
        <w:rPr>
          <w:rFonts w:hint="eastAsia" w:ascii="宋体" w:hAnsi="宋体" w:cs="宋体"/>
          <w:color w:val="auto"/>
          <w:highlight w:val="none"/>
        </w:rPr>
        <w:fldChar w:fldCharType="separate"/>
      </w:r>
      <w:r>
        <w:rPr>
          <w:rFonts w:hint="eastAsia" w:ascii="宋体" w:hAnsi="宋体" w:cs="宋体"/>
          <w:bCs w:val="0"/>
          <w:color w:val="auto"/>
          <w:szCs w:val="32"/>
          <w:highlight w:val="none"/>
        </w:rPr>
        <w:t xml:space="preserve">第五章 </w:t>
      </w:r>
      <w:r>
        <w:rPr>
          <w:rFonts w:hint="eastAsia" w:ascii="宋体" w:hAnsi="宋体" w:cs="宋体"/>
          <w:bCs w:val="0"/>
          <w:color w:val="auto"/>
          <w:szCs w:val="32"/>
          <w:highlight w:val="none"/>
        </w:rPr>
        <w:t>合同主要条款</w:t>
      </w:r>
      <w:r>
        <w:rPr>
          <w:color w:val="auto"/>
          <w:highlight w:val="none"/>
        </w:rPr>
        <w:tab/>
      </w:r>
      <w:r>
        <w:rPr>
          <w:color w:val="auto"/>
          <w:highlight w:val="none"/>
        </w:rPr>
        <w:fldChar w:fldCharType="begin"/>
      </w:r>
      <w:r>
        <w:rPr>
          <w:color w:val="auto"/>
          <w:highlight w:val="none"/>
        </w:rPr>
        <w:instrText xml:space="preserve"> PAGEREF _Toc11703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cs="宋体"/>
          <w:color w:val="auto"/>
          <w:highlight w:val="none"/>
        </w:rPr>
        <w:fldChar w:fldCharType="end"/>
      </w:r>
    </w:p>
    <w:p w14:paraId="4BDE300A">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_Toc32287 </w:instrText>
      </w:r>
      <w:r>
        <w:rPr>
          <w:rFonts w:hint="eastAsia" w:ascii="宋体" w:hAnsi="宋体" w:cs="宋体"/>
          <w:color w:val="auto"/>
          <w:highlight w:val="none"/>
        </w:rPr>
        <w:fldChar w:fldCharType="separate"/>
      </w:r>
      <w:r>
        <w:rPr>
          <w:rFonts w:hint="eastAsia" w:ascii="宋体" w:hAnsi="宋体"/>
          <w:color w:val="auto"/>
          <w:szCs w:val="32"/>
          <w:highlight w:val="none"/>
        </w:rPr>
        <w:t>东阳市政府采购合同（样本）</w:t>
      </w:r>
      <w:r>
        <w:rPr>
          <w:color w:val="auto"/>
          <w:highlight w:val="none"/>
        </w:rPr>
        <w:tab/>
      </w:r>
      <w:r>
        <w:rPr>
          <w:color w:val="auto"/>
          <w:highlight w:val="none"/>
        </w:rPr>
        <w:fldChar w:fldCharType="begin"/>
      </w:r>
      <w:r>
        <w:rPr>
          <w:color w:val="auto"/>
          <w:highlight w:val="none"/>
        </w:rPr>
        <w:instrText xml:space="preserve"> PAGEREF _Toc32287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cs="宋体"/>
          <w:color w:val="auto"/>
          <w:highlight w:val="none"/>
        </w:rPr>
        <w:fldChar w:fldCharType="end"/>
      </w:r>
    </w:p>
    <w:p w14:paraId="12763F1B">
      <w:pPr>
        <w:pStyle w:val="21"/>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_Toc13822 </w:instrText>
      </w:r>
      <w:r>
        <w:rPr>
          <w:rFonts w:hint="eastAsia" w:ascii="宋体" w:hAnsi="宋体" w:cs="宋体"/>
          <w:color w:val="auto"/>
          <w:highlight w:val="none"/>
        </w:rPr>
        <w:fldChar w:fldCharType="separate"/>
      </w:r>
      <w:r>
        <w:rPr>
          <w:rFonts w:hint="eastAsia" w:ascii="宋体" w:hAnsi="宋体" w:cs="宋体"/>
          <w:color w:val="auto"/>
          <w:szCs w:val="24"/>
          <w:highlight w:val="none"/>
        </w:rPr>
        <w:t>第六章　投标文件组成内容及格式</w:t>
      </w:r>
      <w:r>
        <w:rPr>
          <w:color w:val="auto"/>
          <w:highlight w:val="none"/>
        </w:rPr>
        <w:tab/>
      </w:r>
      <w:r>
        <w:rPr>
          <w:color w:val="auto"/>
          <w:highlight w:val="none"/>
        </w:rPr>
        <w:fldChar w:fldCharType="begin"/>
      </w:r>
      <w:r>
        <w:rPr>
          <w:color w:val="auto"/>
          <w:highlight w:val="none"/>
        </w:rPr>
        <w:instrText xml:space="preserve"> PAGEREF _Toc13822 \h </w:instrText>
      </w:r>
      <w:r>
        <w:rPr>
          <w:color w:val="auto"/>
          <w:highlight w:val="none"/>
        </w:rPr>
        <w:fldChar w:fldCharType="separate"/>
      </w:r>
      <w:r>
        <w:rPr>
          <w:color w:val="auto"/>
          <w:highlight w:val="none"/>
        </w:rPr>
        <w:t>43</w:t>
      </w:r>
      <w:r>
        <w:rPr>
          <w:color w:val="auto"/>
          <w:highlight w:val="none"/>
        </w:rPr>
        <w:fldChar w:fldCharType="end"/>
      </w:r>
      <w:r>
        <w:rPr>
          <w:rFonts w:hint="eastAsia" w:ascii="宋体" w:hAnsi="宋体" w:cs="宋体"/>
          <w:color w:val="auto"/>
          <w:highlight w:val="none"/>
        </w:rPr>
        <w:fldChar w:fldCharType="end"/>
      </w:r>
    </w:p>
    <w:p w14:paraId="37BB80F9">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_Toc24778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附件一：投标声明书</w:t>
      </w:r>
      <w:r>
        <w:rPr>
          <w:color w:val="auto"/>
          <w:highlight w:val="none"/>
        </w:rPr>
        <w:tab/>
      </w:r>
      <w:r>
        <w:rPr>
          <w:color w:val="auto"/>
          <w:highlight w:val="none"/>
        </w:rPr>
        <w:fldChar w:fldCharType="begin"/>
      </w:r>
      <w:r>
        <w:rPr>
          <w:color w:val="auto"/>
          <w:highlight w:val="none"/>
        </w:rPr>
        <w:instrText xml:space="preserve"> PAGEREF _Toc24778 \h </w:instrText>
      </w:r>
      <w:r>
        <w:rPr>
          <w:color w:val="auto"/>
          <w:highlight w:val="none"/>
        </w:rPr>
        <w:fldChar w:fldCharType="separate"/>
      </w:r>
      <w:r>
        <w:rPr>
          <w:color w:val="auto"/>
          <w:highlight w:val="none"/>
        </w:rPr>
        <w:t>46</w:t>
      </w:r>
      <w:r>
        <w:rPr>
          <w:color w:val="auto"/>
          <w:highlight w:val="none"/>
        </w:rPr>
        <w:fldChar w:fldCharType="end"/>
      </w:r>
      <w:r>
        <w:rPr>
          <w:rFonts w:hint="eastAsia" w:ascii="宋体" w:hAnsi="宋体" w:cs="宋体"/>
          <w:color w:val="auto"/>
          <w:highlight w:val="none"/>
        </w:rPr>
        <w:fldChar w:fldCharType="end"/>
      </w:r>
    </w:p>
    <w:p w14:paraId="4A380030">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_Toc16412 </w:instrText>
      </w:r>
      <w:r>
        <w:rPr>
          <w:rFonts w:hint="eastAsia" w:ascii="宋体" w:hAnsi="宋体" w:cs="宋体"/>
          <w:color w:val="auto"/>
          <w:highlight w:val="none"/>
        </w:rPr>
        <w:fldChar w:fldCharType="separate"/>
      </w:r>
      <w:r>
        <w:rPr>
          <w:rFonts w:hint="eastAsia" w:ascii="宋体" w:hAnsi="宋体" w:eastAsia="宋体" w:cs="宋体"/>
          <w:bCs w:val="0"/>
          <w:color w:val="auto"/>
          <w:szCs w:val="24"/>
          <w:highlight w:val="none"/>
        </w:rPr>
        <w:t>附件二：符合参加政府采购活动应当具备的一般条件的承诺函</w:t>
      </w:r>
      <w:r>
        <w:rPr>
          <w:color w:val="auto"/>
          <w:highlight w:val="none"/>
        </w:rPr>
        <w:tab/>
      </w:r>
      <w:r>
        <w:rPr>
          <w:color w:val="auto"/>
          <w:highlight w:val="none"/>
        </w:rPr>
        <w:fldChar w:fldCharType="begin"/>
      </w:r>
      <w:r>
        <w:rPr>
          <w:color w:val="auto"/>
          <w:highlight w:val="none"/>
        </w:rPr>
        <w:instrText xml:space="preserve"> PAGEREF _Toc16412 \h </w:instrText>
      </w:r>
      <w:r>
        <w:rPr>
          <w:color w:val="auto"/>
          <w:highlight w:val="none"/>
        </w:rPr>
        <w:fldChar w:fldCharType="separate"/>
      </w:r>
      <w:r>
        <w:rPr>
          <w:color w:val="auto"/>
          <w:highlight w:val="none"/>
        </w:rPr>
        <w:t>47</w:t>
      </w:r>
      <w:r>
        <w:rPr>
          <w:color w:val="auto"/>
          <w:highlight w:val="none"/>
        </w:rPr>
        <w:fldChar w:fldCharType="end"/>
      </w:r>
      <w:r>
        <w:rPr>
          <w:rFonts w:hint="eastAsia" w:ascii="宋体" w:hAnsi="宋体" w:cs="宋体"/>
          <w:color w:val="auto"/>
          <w:highlight w:val="none"/>
        </w:rPr>
        <w:fldChar w:fldCharType="end"/>
      </w:r>
    </w:p>
    <w:p w14:paraId="482B00AD">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_Toc15925 </w:instrText>
      </w:r>
      <w:r>
        <w:rPr>
          <w:rFonts w:hint="eastAsia" w:ascii="宋体" w:hAnsi="宋体" w:cs="宋体"/>
          <w:color w:val="auto"/>
          <w:highlight w:val="none"/>
        </w:rPr>
        <w:fldChar w:fldCharType="separate"/>
      </w:r>
      <w:r>
        <w:rPr>
          <w:rFonts w:hint="eastAsia" w:ascii="宋体" w:hAnsi="宋体" w:eastAsia="宋体" w:cs="宋体"/>
          <w:bCs w:val="0"/>
          <w:color w:val="auto"/>
          <w:szCs w:val="24"/>
          <w:highlight w:val="none"/>
        </w:rPr>
        <w:t>附件三：政府采购活动现场确认声明书</w:t>
      </w:r>
      <w:r>
        <w:rPr>
          <w:color w:val="auto"/>
          <w:highlight w:val="none"/>
        </w:rPr>
        <w:tab/>
      </w:r>
      <w:r>
        <w:rPr>
          <w:color w:val="auto"/>
          <w:highlight w:val="none"/>
        </w:rPr>
        <w:fldChar w:fldCharType="begin"/>
      </w:r>
      <w:r>
        <w:rPr>
          <w:color w:val="auto"/>
          <w:highlight w:val="none"/>
        </w:rPr>
        <w:instrText xml:space="preserve"> PAGEREF _Toc15925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cs="宋体"/>
          <w:color w:val="auto"/>
          <w:highlight w:val="none"/>
        </w:rPr>
        <w:fldChar w:fldCharType="end"/>
      </w:r>
    </w:p>
    <w:p w14:paraId="63BAD96F">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_Toc32296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附件四：法定代表人授权委托书</w:t>
      </w:r>
      <w:r>
        <w:rPr>
          <w:color w:val="auto"/>
          <w:highlight w:val="none"/>
        </w:rPr>
        <w:tab/>
      </w:r>
      <w:r>
        <w:rPr>
          <w:color w:val="auto"/>
          <w:highlight w:val="none"/>
        </w:rPr>
        <w:fldChar w:fldCharType="begin"/>
      </w:r>
      <w:r>
        <w:rPr>
          <w:color w:val="auto"/>
          <w:highlight w:val="none"/>
        </w:rPr>
        <w:instrText xml:space="preserve"> PAGEREF _Toc32296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cs="宋体"/>
          <w:color w:val="auto"/>
          <w:highlight w:val="none"/>
        </w:rPr>
        <w:fldChar w:fldCharType="end"/>
      </w:r>
    </w:p>
    <w:p w14:paraId="5EE64164">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_Toc9286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附件五：联合体协议</w:t>
      </w:r>
      <w:r>
        <w:rPr>
          <w:color w:val="auto"/>
          <w:highlight w:val="none"/>
        </w:rPr>
        <w:tab/>
      </w:r>
      <w:r>
        <w:rPr>
          <w:color w:val="auto"/>
          <w:highlight w:val="none"/>
        </w:rPr>
        <w:fldChar w:fldCharType="begin"/>
      </w:r>
      <w:r>
        <w:rPr>
          <w:color w:val="auto"/>
          <w:highlight w:val="none"/>
        </w:rPr>
        <w:instrText xml:space="preserve"> PAGEREF _Toc9286 \h </w:instrText>
      </w:r>
      <w:r>
        <w:rPr>
          <w:color w:val="auto"/>
          <w:highlight w:val="none"/>
        </w:rPr>
        <w:fldChar w:fldCharType="separate"/>
      </w:r>
      <w:r>
        <w:rPr>
          <w:color w:val="auto"/>
          <w:highlight w:val="none"/>
        </w:rPr>
        <w:t>50</w:t>
      </w:r>
      <w:r>
        <w:rPr>
          <w:color w:val="auto"/>
          <w:highlight w:val="none"/>
        </w:rPr>
        <w:fldChar w:fldCharType="end"/>
      </w:r>
      <w:r>
        <w:rPr>
          <w:rFonts w:hint="eastAsia" w:ascii="宋体" w:hAnsi="宋体" w:cs="宋体"/>
          <w:color w:val="auto"/>
          <w:highlight w:val="none"/>
        </w:rPr>
        <w:fldChar w:fldCharType="end"/>
      </w:r>
    </w:p>
    <w:p w14:paraId="49C43572">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_Toc501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附件六：分包意向协议</w:t>
      </w:r>
      <w:r>
        <w:rPr>
          <w:color w:val="auto"/>
          <w:highlight w:val="none"/>
        </w:rPr>
        <w:tab/>
      </w:r>
      <w:r>
        <w:rPr>
          <w:color w:val="auto"/>
          <w:highlight w:val="none"/>
        </w:rPr>
        <w:fldChar w:fldCharType="begin"/>
      </w:r>
      <w:r>
        <w:rPr>
          <w:color w:val="auto"/>
          <w:highlight w:val="none"/>
        </w:rPr>
        <w:instrText xml:space="preserve"> PAGEREF _Toc501 \h </w:instrText>
      </w:r>
      <w:r>
        <w:rPr>
          <w:color w:val="auto"/>
          <w:highlight w:val="none"/>
        </w:rPr>
        <w:fldChar w:fldCharType="separate"/>
      </w:r>
      <w:r>
        <w:rPr>
          <w:color w:val="auto"/>
          <w:highlight w:val="none"/>
        </w:rPr>
        <w:t>51</w:t>
      </w:r>
      <w:r>
        <w:rPr>
          <w:color w:val="auto"/>
          <w:highlight w:val="none"/>
        </w:rPr>
        <w:fldChar w:fldCharType="end"/>
      </w:r>
      <w:r>
        <w:rPr>
          <w:rFonts w:hint="eastAsia" w:ascii="宋体" w:hAnsi="宋体" w:cs="宋体"/>
          <w:color w:val="auto"/>
          <w:highlight w:val="none"/>
        </w:rPr>
        <w:fldChar w:fldCharType="end"/>
      </w:r>
    </w:p>
    <w:p w14:paraId="6E4EC30A">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_Toc13054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附件七：投标人资信商务、技术自评得分表</w:t>
      </w:r>
      <w:r>
        <w:rPr>
          <w:color w:val="auto"/>
          <w:highlight w:val="none"/>
        </w:rPr>
        <w:tab/>
      </w:r>
      <w:r>
        <w:rPr>
          <w:color w:val="auto"/>
          <w:highlight w:val="none"/>
        </w:rPr>
        <w:fldChar w:fldCharType="begin"/>
      </w:r>
      <w:r>
        <w:rPr>
          <w:color w:val="auto"/>
          <w:highlight w:val="none"/>
        </w:rPr>
        <w:instrText xml:space="preserve"> PAGEREF _Toc13054 \h </w:instrText>
      </w:r>
      <w:r>
        <w:rPr>
          <w:color w:val="auto"/>
          <w:highlight w:val="none"/>
        </w:rPr>
        <w:fldChar w:fldCharType="separate"/>
      </w:r>
      <w:r>
        <w:rPr>
          <w:color w:val="auto"/>
          <w:highlight w:val="none"/>
        </w:rPr>
        <w:t>52</w:t>
      </w:r>
      <w:r>
        <w:rPr>
          <w:color w:val="auto"/>
          <w:highlight w:val="none"/>
        </w:rPr>
        <w:fldChar w:fldCharType="end"/>
      </w:r>
      <w:r>
        <w:rPr>
          <w:rFonts w:hint="eastAsia" w:ascii="宋体" w:hAnsi="宋体" w:cs="宋体"/>
          <w:color w:val="auto"/>
          <w:highlight w:val="none"/>
        </w:rPr>
        <w:fldChar w:fldCharType="end"/>
      </w:r>
    </w:p>
    <w:p w14:paraId="3C949EEC">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_Toc21267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附件八：商务响应表</w:t>
      </w:r>
      <w:r>
        <w:rPr>
          <w:color w:val="auto"/>
          <w:highlight w:val="none"/>
        </w:rPr>
        <w:tab/>
      </w:r>
      <w:r>
        <w:rPr>
          <w:color w:val="auto"/>
          <w:highlight w:val="none"/>
        </w:rPr>
        <w:fldChar w:fldCharType="begin"/>
      </w:r>
      <w:r>
        <w:rPr>
          <w:color w:val="auto"/>
          <w:highlight w:val="none"/>
        </w:rPr>
        <w:instrText xml:space="preserve"> PAGEREF _Toc21267 \h </w:instrText>
      </w:r>
      <w:r>
        <w:rPr>
          <w:color w:val="auto"/>
          <w:highlight w:val="none"/>
        </w:rPr>
        <w:fldChar w:fldCharType="separate"/>
      </w:r>
      <w:r>
        <w:rPr>
          <w:color w:val="auto"/>
          <w:highlight w:val="none"/>
        </w:rPr>
        <w:t>53</w:t>
      </w:r>
      <w:r>
        <w:rPr>
          <w:color w:val="auto"/>
          <w:highlight w:val="none"/>
        </w:rPr>
        <w:fldChar w:fldCharType="end"/>
      </w:r>
      <w:r>
        <w:rPr>
          <w:rFonts w:hint="eastAsia" w:ascii="宋体" w:hAnsi="宋体" w:cs="宋体"/>
          <w:color w:val="auto"/>
          <w:highlight w:val="none"/>
        </w:rPr>
        <w:fldChar w:fldCharType="end"/>
      </w:r>
    </w:p>
    <w:p w14:paraId="131379EA">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_Toc30163 </w:instrText>
      </w:r>
      <w:r>
        <w:rPr>
          <w:rFonts w:hint="eastAsia" w:ascii="宋体" w:hAnsi="宋体" w:cs="宋体"/>
          <w:color w:val="auto"/>
          <w:highlight w:val="none"/>
        </w:rPr>
        <w:fldChar w:fldCharType="separate"/>
      </w:r>
      <w:r>
        <w:rPr>
          <w:rFonts w:hint="eastAsia" w:ascii="宋体" w:hAnsi="宋体" w:eastAsia="宋体" w:cs="宋体"/>
          <w:bCs w:val="0"/>
          <w:color w:val="auto"/>
          <w:szCs w:val="24"/>
          <w:highlight w:val="none"/>
        </w:rPr>
        <w:t>附件九：技术响应表</w:t>
      </w:r>
      <w:r>
        <w:rPr>
          <w:color w:val="auto"/>
          <w:highlight w:val="none"/>
        </w:rPr>
        <w:tab/>
      </w:r>
      <w:r>
        <w:rPr>
          <w:color w:val="auto"/>
          <w:highlight w:val="none"/>
        </w:rPr>
        <w:fldChar w:fldCharType="begin"/>
      </w:r>
      <w:r>
        <w:rPr>
          <w:color w:val="auto"/>
          <w:highlight w:val="none"/>
        </w:rPr>
        <w:instrText xml:space="preserve"> PAGEREF _Toc30163 \h </w:instrText>
      </w:r>
      <w:r>
        <w:rPr>
          <w:color w:val="auto"/>
          <w:highlight w:val="none"/>
        </w:rPr>
        <w:fldChar w:fldCharType="separate"/>
      </w:r>
      <w:r>
        <w:rPr>
          <w:color w:val="auto"/>
          <w:highlight w:val="none"/>
        </w:rPr>
        <w:t>54</w:t>
      </w:r>
      <w:r>
        <w:rPr>
          <w:color w:val="auto"/>
          <w:highlight w:val="none"/>
        </w:rPr>
        <w:fldChar w:fldCharType="end"/>
      </w:r>
      <w:r>
        <w:rPr>
          <w:rFonts w:hint="eastAsia" w:ascii="宋体" w:hAnsi="宋体" w:cs="宋体"/>
          <w:color w:val="auto"/>
          <w:highlight w:val="none"/>
        </w:rPr>
        <w:fldChar w:fldCharType="end"/>
      </w:r>
    </w:p>
    <w:p w14:paraId="4A37695D">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_Toc22741 </w:instrText>
      </w:r>
      <w:r>
        <w:rPr>
          <w:rFonts w:hint="eastAsia" w:ascii="宋体" w:hAnsi="宋体" w:cs="宋体"/>
          <w:color w:val="auto"/>
          <w:highlight w:val="none"/>
        </w:rPr>
        <w:fldChar w:fldCharType="separate"/>
      </w:r>
      <w:r>
        <w:rPr>
          <w:rFonts w:hint="eastAsia" w:ascii="宋体" w:hAnsi="宋体" w:cs="宋体"/>
          <w:color w:val="auto"/>
          <w:highlight w:val="none"/>
        </w:rPr>
        <w:t>附件十：项目组成员一览表</w:t>
      </w:r>
      <w:r>
        <w:rPr>
          <w:color w:val="auto"/>
          <w:highlight w:val="none"/>
        </w:rPr>
        <w:tab/>
      </w:r>
      <w:r>
        <w:rPr>
          <w:color w:val="auto"/>
          <w:highlight w:val="none"/>
        </w:rPr>
        <w:fldChar w:fldCharType="begin"/>
      </w:r>
      <w:r>
        <w:rPr>
          <w:color w:val="auto"/>
          <w:highlight w:val="none"/>
        </w:rPr>
        <w:instrText xml:space="preserve"> PAGEREF _Toc22741 \h </w:instrText>
      </w:r>
      <w:r>
        <w:rPr>
          <w:color w:val="auto"/>
          <w:highlight w:val="none"/>
        </w:rPr>
        <w:fldChar w:fldCharType="separate"/>
      </w:r>
      <w:r>
        <w:rPr>
          <w:color w:val="auto"/>
          <w:highlight w:val="none"/>
        </w:rPr>
        <w:t>55</w:t>
      </w:r>
      <w:r>
        <w:rPr>
          <w:color w:val="auto"/>
          <w:highlight w:val="none"/>
        </w:rPr>
        <w:fldChar w:fldCharType="end"/>
      </w:r>
      <w:r>
        <w:rPr>
          <w:rFonts w:hint="eastAsia" w:ascii="宋体" w:hAnsi="宋体" w:cs="宋体"/>
          <w:color w:val="auto"/>
          <w:highlight w:val="none"/>
        </w:rPr>
        <w:fldChar w:fldCharType="end"/>
      </w:r>
    </w:p>
    <w:p w14:paraId="0675E17C">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_Toc29566 </w:instrText>
      </w:r>
      <w:r>
        <w:rPr>
          <w:rFonts w:hint="eastAsia" w:ascii="宋体" w:hAnsi="宋体" w:cs="宋体"/>
          <w:color w:val="auto"/>
          <w:highlight w:val="none"/>
        </w:rPr>
        <w:fldChar w:fldCharType="separate"/>
      </w:r>
      <w:r>
        <w:rPr>
          <w:rFonts w:hint="eastAsia" w:ascii="宋体" w:hAnsi="宋体" w:eastAsia="宋体" w:cs="宋体"/>
          <w:color w:val="auto"/>
          <w:kern w:val="0"/>
          <w:szCs w:val="24"/>
          <w:highlight w:val="none"/>
        </w:rPr>
        <w:t>附件十</w:t>
      </w:r>
      <w:r>
        <w:rPr>
          <w:rFonts w:hint="eastAsia" w:ascii="宋体" w:hAnsi="宋体" w:eastAsia="宋体" w:cs="宋体"/>
          <w:color w:val="auto"/>
          <w:kern w:val="0"/>
          <w:szCs w:val="24"/>
          <w:highlight w:val="none"/>
          <w:lang w:val="en-US" w:eastAsia="zh-CN"/>
        </w:rPr>
        <w:t>一</w:t>
      </w:r>
      <w:r>
        <w:rPr>
          <w:rFonts w:hint="eastAsia" w:ascii="宋体" w:hAnsi="宋体" w:eastAsia="宋体" w:cs="宋体"/>
          <w:color w:val="auto"/>
          <w:kern w:val="0"/>
          <w:szCs w:val="24"/>
          <w:highlight w:val="none"/>
        </w:rPr>
        <w:t>：同类项目业绩一览表</w:t>
      </w:r>
      <w:r>
        <w:rPr>
          <w:color w:val="auto"/>
          <w:highlight w:val="none"/>
        </w:rPr>
        <w:tab/>
      </w:r>
      <w:r>
        <w:rPr>
          <w:color w:val="auto"/>
          <w:highlight w:val="none"/>
        </w:rPr>
        <w:fldChar w:fldCharType="begin"/>
      </w:r>
      <w:r>
        <w:rPr>
          <w:color w:val="auto"/>
          <w:highlight w:val="none"/>
        </w:rPr>
        <w:instrText xml:space="preserve"> PAGEREF _Toc29566 \h </w:instrText>
      </w:r>
      <w:r>
        <w:rPr>
          <w:color w:val="auto"/>
          <w:highlight w:val="none"/>
        </w:rPr>
        <w:fldChar w:fldCharType="separate"/>
      </w:r>
      <w:r>
        <w:rPr>
          <w:color w:val="auto"/>
          <w:highlight w:val="none"/>
        </w:rPr>
        <w:t>56</w:t>
      </w:r>
      <w:r>
        <w:rPr>
          <w:color w:val="auto"/>
          <w:highlight w:val="none"/>
        </w:rPr>
        <w:fldChar w:fldCharType="end"/>
      </w:r>
      <w:r>
        <w:rPr>
          <w:rFonts w:hint="eastAsia" w:ascii="宋体" w:hAnsi="宋体" w:cs="宋体"/>
          <w:color w:val="auto"/>
          <w:highlight w:val="none"/>
        </w:rPr>
        <w:fldChar w:fldCharType="end"/>
      </w:r>
    </w:p>
    <w:p w14:paraId="6BB6D5A8">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_Toc2860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二</w:t>
      </w:r>
      <w:r>
        <w:rPr>
          <w:rFonts w:hint="eastAsia" w:ascii="宋体" w:hAnsi="宋体" w:cs="宋体"/>
          <w:bCs/>
          <w:color w:val="auto"/>
          <w:highlight w:val="none"/>
        </w:rPr>
        <w:t>：服务费承诺书</w:t>
      </w:r>
      <w:r>
        <w:rPr>
          <w:color w:val="auto"/>
          <w:highlight w:val="none"/>
        </w:rPr>
        <w:tab/>
      </w:r>
      <w:r>
        <w:rPr>
          <w:color w:val="auto"/>
          <w:highlight w:val="none"/>
        </w:rPr>
        <w:fldChar w:fldCharType="begin"/>
      </w:r>
      <w:r>
        <w:rPr>
          <w:color w:val="auto"/>
          <w:highlight w:val="none"/>
        </w:rPr>
        <w:instrText xml:space="preserve"> PAGEREF _Toc2860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cs="宋体"/>
          <w:color w:val="auto"/>
          <w:highlight w:val="none"/>
        </w:rPr>
        <w:fldChar w:fldCharType="end"/>
      </w:r>
    </w:p>
    <w:p w14:paraId="559647DF">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_Toc13589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三</w:t>
      </w:r>
      <w:r>
        <w:rPr>
          <w:rFonts w:hint="eastAsia" w:ascii="宋体" w:hAnsi="宋体" w:cs="宋体"/>
          <w:bCs/>
          <w:color w:val="auto"/>
          <w:highlight w:val="none"/>
        </w:rPr>
        <w:t>: 投标函</w:t>
      </w:r>
      <w:r>
        <w:rPr>
          <w:color w:val="auto"/>
          <w:highlight w:val="none"/>
        </w:rPr>
        <w:tab/>
      </w:r>
      <w:r>
        <w:rPr>
          <w:color w:val="auto"/>
          <w:highlight w:val="none"/>
        </w:rPr>
        <w:fldChar w:fldCharType="begin"/>
      </w:r>
      <w:r>
        <w:rPr>
          <w:color w:val="auto"/>
          <w:highlight w:val="none"/>
        </w:rPr>
        <w:instrText xml:space="preserve"> PAGEREF _Toc13589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cs="宋体"/>
          <w:color w:val="auto"/>
          <w:highlight w:val="none"/>
        </w:rPr>
        <w:fldChar w:fldCharType="end"/>
      </w:r>
    </w:p>
    <w:p w14:paraId="24268E16">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_Toc11436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四</w:t>
      </w:r>
      <w:r>
        <w:rPr>
          <w:rFonts w:hint="eastAsia" w:ascii="宋体" w:hAnsi="宋体" w:cs="宋体"/>
          <w:bCs/>
          <w:color w:val="auto"/>
          <w:highlight w:val="none"/>
        </w:rPr>
        <w:t>：开标一览表</w:t>
      </w:r>
      <w:r>
        <w:rPr>
          <w:color w:val="auto"/>
          <w:highlight w:val="none"/>
        </w:rPr>
        <w:tab/>
      </w:r>
      <w:r>
        <w:rPr>
          <w:color w:val="auto"/>
          <w:highlight w:val="none"/>
        </w:rPr>
        <w:fldChar w:fldCharType="begin"/>
      </w:r>
      <w:r>
        <w:rPr>
          <w:color w:val="auto"/>
          <w:highlight w:val="none"/>
        </w:rPr>
        <w:instrText xml:space="preserve"> PAGEREF _Toc11436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cs="宋体"/>
          <w:color w:val="auto"/>
          <w:highlight w:val="none"/>
        </w:rPr>
        <w:fldChar w:fldCharType="end"/>
      </w:r>
    </w:p>
    <w:p w14:paraId="08C3CDF2">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_Toc19808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五</w:t>
      </w:r>
      <w:r>
        <w:rPr>
          <w:rFonts w:hint="eastAsia" w:ascii="宋体" w:hAnsi="宋体" w:cs="宋体"/>
          <w:bCs/>
          <w:color w:val="auto"/>
          <w:highlight w:val="none"/>
        </w:rPr>
        <w:t>：残疾人福利性单位声明函</w:t>
      </w:r>
      <w:r>
        <w:rPr>
          <w:color w:val="auto"/>
          <w:highlight w:val="none"/>
        </w:rPr>
        <w:tab/>
      </w:r>
      <w:r>
        <w:rPr>
          <w:color w:val="auto"/>
          <w:highlight w:val="none"/>
        </w:rPr>
        <w:fldChar w:fldCharType="begin"/>
      </w:r>
      <w:r>
        <w:rPr>
          <w:color w:val="auto"/>
          <w:highlight w:val="none"/>
        </w:rPr>
        <w:instrText xml:space="preserve"> PAGEREF _Toc19808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cs="宋体"/>
          <w:color w:val="auto"/>
          <w:highlight w:val="none"/>
        </w:rPr>
        <w:fldChar w:fldCharType="end"/>
      </w:r>
    </w:p>
    <w:p w14:paraId="41598196">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_Toc24208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六</w:t>
      </w:r>
      <w:r>
        <w:rPr>
          <w:rFonts w:hint="eastAsia" w:ascii="宋体" w:hAnsi="宋体" w:cs="宋体"/>
          <w:bCs/>
          <w:color w:val="auto"/>
          <w:highlight w:val="none"/>
        </w:rPr>
        <w:t>：中小企业声明函（工程、服务）</w:t>
      </w:r>
      <w:r>
        <w:rPr>
          <w:color w:val="auto"/>
          <w:highlight w:val="none"/>
        </w:rPr>
        <w:tab/>
      </w:r>
      <w:r>
        <w:rPr>
          <w:color w:val="auto"/>
          <w:highlight w:val="none"/>
        </w:rPr>
        <w:fldChar w:fldCharType="begin"/>
      </w:r>
      <w:r>
        <w:rPr>
          <w:color w:val="auto"/>
          <w:highlight w:val="none"/>
        </w:rPr>
        <w:instrText xml:space="preserve"> PAGEREF _Toc24208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cs="宋体"/>
          <w:color w:val="auto"/>
          <w:highlight w:val="none"/>
        </w:rPr>
        <w:fldChar w:fldCharType="end"/>
      </w:r>
    </w:p>
    <w:p w14:paraId="5282965A">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_Toc29708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七</w:t>
      </w:r>
      <w:r>
        <w:rPr>
          <w:rFonts w:hint="eastAsia" w:ascii="宋体" w:hAnsi="宋体" w:cs="宋体"/>
          <w:bCs/>
          <w:color w:val="auto"/>
          <w:highlight w:val="none"/>
        </w:rPr>
        <w:t>：东阳市采购项目验收方案</w:t>
      </w:r>
      <w:r>
        <w:rPr>
          <w:color w:val="auto"/>
          <w:highlight w:val="none"/>
        </w:rPr>
        <w:tab/>
      </w:r>
      <w:r>
        <w:rPr>
          <w:color w:val="auto"/>
          <w:highlight w:val="none"/>
        </w:rPr>
        <w:fldChar w:fldCharType="begin"/>
      </w:r>
      <w:r>
        <w:rPr>
          <w:color w:val="auto"/>
          <w:highlight w:val="none"/>
        </w:rPr>
        <w:instrText xml:space="preserve"> PAGEREF _Toc29708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cs="宋体"/>
          <w:color w:val="auto"/>
          <w:highlight w:val="none"/>
        </w:rPr>
        <w:fldChar w:fldCharType="end"/>
      </w:r>
    </w:p>
    <w:p w14:paraId="7D0378D5">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_Toc12195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八</w:t>
      </w:r>
      <w:r>
        <w:rPr>
          <w:rFonts w:hint="eastAsia" w:ascii="宋体" w:hAnsi="宋体" w:cs="宋体"/>
          <w:bCs/>
          <w:color w:val="auto"/>
          <w:highlight w:val="none"/>
        </w:rPr>
        <w:t>：东阳市政府采购代理机构社会评价表</w:t>
      </w:r>
      <w:r>
        <w:rPr>
          <w:color w:val="auto"/>
          <w:highlight w:val="none"/>
        </w:rPr>
        <w:tab/>
      </w:r>
      <w:r>
        <w:rPr>
          <w:color w:val="auto"/>
          <w:highlight w:val="none"/>
        </w:rPr>
        <w:fldChar w:fldCharType="begin"/>
      </w:r>
      <w:r>
        <w:rPr>
          <w:color w:val="auto"/>
          <w:highlight w:val="none"/>
        </w:rPr>
        <w:instrText xml:space="preserve"> PAGEREF _Toc12195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cs="宋体"/>
          <w:color w:val="auto"/>
          <w:highlight w:val="none"/>
        </w:rPr>
        <w:fldChar w:fldCharType="end"/>
      </w:r>
    </w:p>
    <w:p w14:paraId="4E5B3881">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_Toc17196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附件十</w:t>
      </w:r>
      <w:r>
        <w:rPr>
          <w:rFonts w:hint="eastAsia" w:ascii="宋体" w:hAnsi="宋体" w:eastAsia="宋体" w:cs="宋体"/>
          <w:color w:val="auto"/>
          <w:szCs w:val="24"/>
          <w:highlight w:val="none"/>
          <w:lang w:val="en-US" w:eastAsia="zh-CN"/>
        </w:rPr>
        <w:t>九</w:t>
      </w:r>
      <w:r>
        <w:rPr>
          <w:rFonts w:hint="eastAsia" w:ascii="宋体" w:hAnsi="宋体" w:eastAsia="宋体" w:cs="宋体"/>
          <w:color w:val="auto"/>
          <w:szCs w:val="24"/>
          <w:highlight w:val="none"/>
        </w:rPr>
        <w:t>：办理保函需提供资料</w:t>
      </w:r>
      <w:r>
        <w:rPr>
          <w:color w:val="auto"/>
          <w:highlight w:val="none"/>
        </w:rPr>
        <w:tab/>
      </w:r>
      <w:r>
        <w:rPr>
          <w:color w:val="auto"/>
          <w:highlight w:val="none"/>
        </w:rPr>
        <w:fldChar w:fldCharType="begin"/>
      </w:r>
      <w:r>
        <w:rPr>
          <w:color w:val="auto"/>
          <w:highlight w:val="none"/>
        </w:rPr>
        <w:instrText xml:space="preserve"> PAGEREF _Toc17196 \h </w:instrText>
      </w:r>
      <w:r>
        <w:rPr>
          <w:color w:val="auto"/>
          <w:highlight w:val="none"/>
        </w:rPr>
        <w:fldChar w:fldCharType="separate"/>
      </w:r>
      <w:r>
        <w:rPr>
          <w:color w:val="auto"/>
          <w:highlight w:val="none"/>
        </w:rPr>
        <w:t>64</w:t>
      </w:r>
      <w:r>
        <w:rPr>
          <w:color w:val="auto"/>
          <w:highlight w:val="none"/>
        </w:rPr>
        <w:fldChar w:fldCharType="end"/>
      </w:r>
      <w:r>
        <w:rPr>
          <w:rFonts w:hint="eastAsia" w:ascii="宋体" w:hAnsi="宋体" w:cs="宋体"/>
          <w:color w:val="auto"/>
          <w:highlight w:val="none"/>
        </w:rPr>
        <w:fldChar w:fldCharType="end"/>
      </w:r>
    </w:p>
    <w:p w14:paraId="4EF3E455">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_Toc18011 </w:instrText>
      </w:r>
      <w:r>
        <w:rPr>
          <w:rFonts w:hint="eastAsia" w:ascii="宋体" w:hAnsi="宋体" w:cs="宋体"/>
          <w:color w:val="auto"/>
          <w:highlight w:val="none"/>
        </w:rPr>
        <w:fldChar w:fldCharType="separate"/>
      </w:r>
      <w:r>
        <w:rPr>
          <w:rFonts w:hint="eastAsia" w:ascii="宋体" w:hAnsi="宋体" w:eastAsia="宋体" w:cs="宋体"/>
          <w:color w:val="auto"/>
          <w:highlight w:val="none"/>
        </w:rPr>
        <w:t>附件二十：质疑函范本</w:t>
      </w:r>
      <w:r>
        <w:rPr>
          <w:color w:val="auto"/>
          <w:highlight w:val="none"/>
        </w:rPr>
        <w:tab/>
      </w:r>
      <w:r>
        <w:rPr>
          <w:color w:val="auto"/>
          <w:highlight w:val="none"/>
        </w:rPr>
        <w:fldChar w:fldCharType="begin"/>
      </w:r>
      <w:r>
        <w:rPr>
          <w:color w:val="auto"/>
          <w:highlight w:val="none"/>
        </w:rPr>
        <w:instrText xml:space="preserve"> PAGEREF _Toc18011 \h </w:instrText>
      </w:r>
      <w:r>
        <w:rPr>
          <w:color w:val="auto"/>
          <w:highlight w:val="none"/>
        </w:rPr>
        <w:fldChar w:fldCharType="separate"/>
      </w:r>
      <w:r>
        <w:rPr>
          <w:color w:val="auto"/>
          <w:highlight w:val="none"/>
        </w:rPr>
        <w:t>66</w:t>
      </w:r>
      <w:r>
        <w:rPr>
          <w:color w:val="auto"/>
          <w:highlight w:val="none"/>
        </w:rPr>
        <w:fldChar w:fldCharType="end"/>
      </w:r>
      <w:r>
        <w:rPr>
          <w:rFonts w:hint="eastAsia" w:ascii="宋体" w:hAnsi="宋体" w:cs="宋体"/>
          <w:color w:val="auto"/>
          <w:highlight w:val="none"/>
        </w:rPr>
        <w:fldChar w:fldCharType="end"/>
      </w:r>
    </w:p>
    <w:p w14:paraId="2137D48D">
      <w:pPr>
        <w:pStyle w:val="4"/>
        <w:tabs>
          <w:tab w:val="right" w:leader="dot" w:pos="9070"/>
        </w:tabs>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_Toc4445 </w:instrText>
      </w:r>
      <w:r>
        <w:rPr>
          <w:rFonts w:hint="eastAsia" w:ascii="宋体" w:hAnsi="宋体" w:cs="宋体"/>
          <w:color w:val="auto"/>
          <w:highlight w:val="none"/>
        </w:rPr>
        <w:fldChar w:fldCharType="separate"/>
      </w:r>
      <w:r>
        <w:rPr>
          <w:rFonts w:hint="eastAsia" w:ascii="宋体" w:hAnsi="宋体" w:eastAsia="宋体" w:cs="宋体"/>
          <w:color w:val="auto"/>
          <w:highlight w:val="none"/>
        </w:rPr>
        <w:t>附件二十</w:t>
      </w:r>
      <w:r>
        <w:rPr>
          <w:rFonts w:hint="eastAsia" w:ascii="宋体" w:hAnsi="宋体" w:eastAsia="宋体" w:cs="宋体"/>
          <w:color w:val="auto"/>
          <w:highlight w:val="none"/>
          <w:lang w:val="en-US" w:eastAsia="zh-CN"/>
        </w:rPr>
        <w:t>一</w:t>
      </w:r>
      <w:r>
        <w:rPr>
          <w:rFonts w:hint="eastAsia" w:ascii="宋体" w:hAnsi="宋体" w:eastAsia="宋体" w:cs="宋体"/>
          <w:color w:val="auto"/>
          <w:highlight w:val="none"/>
        </w:rPr>
        <w:t>：投诉书范本</w:t>
      </w:r>
      <w:r>
        <w:rPr>
          <w:color w:val="auto"/>
          <w:highlight w:val="none"/>
        </w:rPr>
        <w:tab/>
      </w:r>
      <w:r>
        <w:rPr>
          <w:color w:val="auto"/>
          <w:highlight w:val="none"/>
        </w:rPr>
        <w:fldChar w:fldCharType="begin"/>
      </w:r>
      <w:r>
        <w:rPr>
          <w:color w:val="auto"/>
          <w:highlight w:val="none"/>
        </w:rPr>
        <w:instrText xml:space="preserve"> PAGEREF _Toc4445 \h </w:instrText>
      </w:r>
      <w:r>
        <w:rPr>
          <w:color w:val="auto"/>
          <w:highlight w:val="none"/>
        </w:rPr>
        <w:fldChar w:fldCharType="separate"/>
      </w:r>
      <w:r>
        <w:rPr>
          <w:color w:val="auto"/>
          <w:highlight w:val="none"/>
        </w:rPr>
        <w:t>68</w:t>
      </w:r>
      <w:r>
        <w:rPr>
          <w:color w:val="auto"/>
          <w:highlight w:val="none"/>
        </w:rPr>
        <w:fldChar w:fldCharType="end"/>
      </w:r>
      <w:r>
        <w:rPr>
          <w:rFonts w:hint="eastAsia" w:ascii="宋体" w:hAnsi="宋体" w:cs="宋体"/>
          <w:color w:val="auto"/>
          <w:highlight w:val="none"/>
        </w:rPr>
        <w:fldChar w:fldCharType="end"/>
      </w:r>
    </w:p>
    <w:p w14:paraId="104C7A6D">
      <w:pPr>
        <w:pStyle w:val="21"/>
        <w:keepNext w:val="0"/>
        <w:keepLines w:val="0"/>
        <w:pageBreakBefore w:val="0"/>
        <w:widowControl w:val="0"/>
        <w:tabs>
          <w:tab w:val="right" w:leader="middleDot" w:pos="9070"/>
        </w:tabs>
        <w:kinsoku/>
        <w:wordWrap/>
        <w:overflowPunct/>
        <w:topLinePunct w:val="0"/>
        <w:autoSpaceDE/>
        <w:autoSpaceDN/>
        <w:bidi w:val="0"/>
        <w:adjustRightInd/>
        <w:snapToGrid/>
        <w:spacing w:line="360" w:lineRule="auto"/>
        <w:jc w:val="center"/>
        <w:textAlignment w:val="auto"/>
        <w:rPr>
          <w:rFonts w:ascii="宋体" w:hAnsi="宋体" w:cs="宋体"/>
          <w:color w:val="auto"/>
          <w:sz w:val="24"/>
          <w:highlight w:val="none"/>
        </w:rPr>
      </w:pPr>
      <w:r>
        <w:rPr>
          <w:rFonts w:hint="eastAsia" w:ascii="宋体" w:hAnsi="宋体" w:cs="宋体"/>
          <w:color w:val="auto"/>
          <w:highlight w:val="none"/>
        </w:rPr>
        <w:fldChar w:fldCharType="end"/>
      </w:r>
    </w:p>
    <w:p w14:paraId="7B847DF8">
      <w:pPr>
        <w:pStyle w:val="21"/>
        <w:pageBreakBefore/>
        <w:tabs>
          <w:tab w:val="right" w:leader="dot" w:pos="9402"/>
        </w:tabs>
        <w:spacing w:line="480" w:lineRule="auto"/>
        <w:jc w:val="center"/>
        <w:outlineLvl w:val="0"/>
        <w:rPr>
          <w:rFonts w:ascii="宋体" w:hAnsi="宋体" w:cs="宋体"/>
          <w:b/>
          <w:color w:val="auto"/>
          <w:sz w:val="28"/>
          <w:szCs w:val="28"/>
          <w:highlight w:val="none"/>
        </w:rPr>
      </w:pPr>
      <w:bookmarkStart w:id="0" w:name="_Toc25500"/>
      <w:r>
        <w:rPr>
          <w:rFonts w:hint="eastAsia" w:ascii="宋体" w:hAnsi="宋体" w:cs="宋体"/>
          <w:b/>
          <w:color w:val="auto"/>
          <w:sz w:val="28"/>
          <w:szCs w:val="28"/>
          <w:highlight w:val="none"/>
        </w:rPr>
        <w:t>第一章  公开招标采购公告</w:t>
      </w:r>
      <w:bookmarkEnd w:id="0"/>
      <w:r>
        <w:rPr>
          <w:rFonts w:hint="eastAsia" w:ascii="宋体" w:hAnsi="宋体" w:cs="宋体"/>
          <w:b/>
          <w:color w:val="auto"/>
          <w:sz w:val="28"/>
          <w:szCs w:val="28"/>
          <w:highlight w:val="none"/>
        </w:rPr>
        <w:t xml:space="preserve"> </w:t>
      </w:r>
    </w:p>
    <w:p w14:paraId="2F2EE89B">
      <w:pPr>
        <w:pBdr>
          <w:top w:val="single" w:color="auto" w:sz="4" w:space="1"/>
          <w:left w:val="single" w:color="auto" w:sz="4" w:space="4"/>
          <w:bottom w:val="single" w:color="auto" w:sz="4" w:space="1"/>
          <w:right w:val="single" w:color="auto" w:sz="4" w:space="4"/>
        </w:pBd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项目概况</w:t>
      </w:r>
    </w:p>
    <w:p w14:paraId="4120BF5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浙江东阳经济开发区城市分批次建设项目土地报批技术服务项目</w:t>
      </w:r>
      <w:r>
        <w:rPr>
          <w:rFonts w:hint="eastAsia" w:ascii="宋体" w:hAnsi="宋体" w:cs="宋体"/>
          <w:color w:val="auto"/>
          <w:sz w:val="24"/>
          <w:highlight w:val="none"/>
        </w:rPr>
        <w:t>的潜在投标人应在浙江政府采购网（http://zfcg.czt.zj.gov.cn/）；东阳市公共资源交易网(http://www.dongyang.gov.cn/ggzyjy/index.html)获取（下载）招标文件，并于</w:t>
      </w:r>
      <w:r>
        <w:rPr>
          <w:rFonts w:hint="eastAsia" w:ascii="宋体" w:hAnsi="宋体" w:cs="宋体"/>
          <w:color w:val="auto"/>
          <w:sz w:val="24"/>
          <w:highlight w:val="none"/>
          <w:lang w:val="en-US" w:eastAsia="zh-CN"/>
        </w:rPr>
        <w:t>2025</w:t>
      </w:r>
      <w:r>
        <w:rPr>
          <w:rFonts w:hint="eastAsia" w:ascii="宋体" w:hAnsi="宋体" w:cs="宋体"/>
          <w:color w:val="auto"/>
          <w:sz w:val="24"/>
          <w:highlight w:val="none"/>
          <w:lang w:eastAsia="zh-CN"/>
        </w:rPr>
        <w:t>年</w:t>
      </w:r>
      <w:r>
        <w:rPr>
          <w:rFonts w:hint="eastAsia" w:ascii="宋体" w:hAnsi="宋体" w:cs="宋体"/>
          <w:color w:val="auto"/>
          <w:sz w:val="24"/>
          <w:highlight w:val="none"/>
          <w:lang w:val="en-US" w:eastAsia="zh-CN"/>
        </w:rPr>
        <w:t>5</w:t>
      </w:r>
      <w:r>
        <w:rPr>
          <w:rFonts w:hint="eastAsia" w:ascii="宋体" w:hAnsi="宋体" w:cs="宋体"/>
          <w:color w:val="auto"/>
          <w:sz w:val="24"/>
          <w:highlight w:val="none"/>
          <w:lang w:eastAsia="zh-CN"/>
        </w:rPr>
        <w:t>月</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日</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时</w:t>
      </w:r>
      <w:r>
        <w:rPr>
          <w:rFonts w:hint="eastAsia" w:ascii="宋体" w:hAnsi="宋体" w:cs="宋体"/>
          <w:color w:val="auto"/>
          <w:sz w:val="24"/>
          <w:highlight w:val="none"/>
          <w:lang w:val="en-US" w:eastAsia="zh-CN"/>
        </w:rPr>
        <w:t>30</w:t>
      </w:r>
      <w:r>
        <w:rPr>
          <w:rFonts w:hint="eastAsia" w:ascii="宋体" w:hAnsi="宋体" w:cs="宋体"/>
          <w:color w:val="auto"/>
          <w:sz w:val="24"/>
          <w:highlight w:val="none"/>
          <w:lang w:eastAsia="zh-CN"/>
        </w:rPr>
        <w:t>分</w:t>
      </w:r>
      <w:r>
        <w:rPr>
          <w:rFonts w:hint="eastAsia" w:ascii="宋体" w:hAnsi="宋体" w:cs="宋体"/>
          <w:color w:val="auto"/>
          <w:sz w:val="24"/>
          <w:highlight w:val="none"/>
        </w:rPr>
        <w:t>（北京时间）前递交（上传）电子投标文件。</w:t>
      </w:r>
    </w:p>
    <w:p w14:paraId="45725FAB">
      <w:pPr>
        <w:numPr>
          <w:ilvl w:val="0"/>
          <w:numId w:val="1"/>
        </w:numPr>
        <w:snapToGrid w:val="0"/>
        <w:spacing w:line="500" w:lineRule="exact"/>
        <w:rPr>
          <w:rFonts w:ascii="宋体" w:hAnsi="宋体" w:cs="宋体"/>
          <w:b/>
          <w:bCs/>
          <w:color w:val="auto"/>
          <w:sz w:val="24"/>
          <w:highlight w:val="none"/>
        </w:rPr>
      </w:pPr>
      <w:r>
        <w:rPr>
          <w:rFonts w:hint="eastAsia" w:ascii="宋体" w:hAnsi="宋体" w:cs="宋体"/>
          <w:b/>
          <w:bCs/>
          <w:color w:val="auto"/>
          <w:sz w:val="24"/>
          <w:highlight w:val="none"/>
        </w:rPr>
        <w:t>项目基本情况</w:t>
      </w:r>
    </w:p>
    <w:p w14:paraId="4A387EFB">
      <w:pPr>
        <w:spacing w:line="500" w:lineRule="exact"/>
        <w:ind w:firstLine="482" w:firstLineChars="200"/>
        <w:rPr>
          <w:rFonts w:hint="eastAsia" w:ascii="宋体" w:hAnsi="宋体" w:cs="宋体"/>
          <w:b/>
          <w:bCs/>
          <w:color w:val="auto"/>
          <w:sz w:val="24"/>
          <w:highlight w:val="none"/>
          <w:lang w:eastAsia="zh-CN"/>
        </w:rPr>
      </w:pPr>
      <w:r>
        <w:rPr>
          <w:rFonts w:hint="eastAsia" w:ascii="宋体" w:hAnsi="宋体" w:cs="宋体"/>
          <w:b/>
          <w:bCs/>
          <w:color w:val="auto"/>
          <w:sz w:val="24"/>
          <w:highlight w:val="none"/>
        </w:rPr>
        <w:t>项目编号：</w:t>
      </w:r>
      <w:r>
        <w:rPr>
          <w:rFonts w:hint="eastAsia" w:ascii="宋体" w:hAnsi="宋体" w:cs="宋体"/>
          <w:b/>
          <w:bCs/>
          <w:color w:val="auto"/>
          <w:sz w:val="24"/>
          <w:highlight w:val="none"/>
          <w:lang w:eastAsia="zh-CN"/>
        </w:rPr>
        <w:t>XSZFCGDZ202</w:t>
      </w: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lang w:val="en-US" w:eastAsia="zh-CN"/>
        </w:rPr>
        <w:t>101</w:t>
      </w:r>
    </w:p>
    <w:p w14:paraId="57B86052">
      <w:pPr>
        <w:spacing w:line="500" w:lineRule="exact"/>
        <w:ind w:firstLine="482" w:firstLine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项目名称：</w:t>
      </w:r>
      <w:r>
        <w:rPr>
          <w:rFonts w:hint="eastAsia" w:ascii="宋体" w:hAnsi="宋体" w:cs="宋体"/>
          <w:b/>
          <w:bCs/>
          <w:color w:val="auto"/>
          <w:sz w:val="24"/>
          <w:highlight w:val="none"/>
          <w:lang w:eastAsia="zh-CN"/>
        </w:rPr>
        <w:t>浙江东阳经济开发区城市分批次建设项目土地报批技术服务项目</w:t>
      </w:r>
    </w:p>
    <w:p w14:paraId="0550F672">
      <w:pPr>
        <w:spacing w:line="500" w:lineRule="exact"/>
        <w:ind w:firstLine="480" w:firstLineChars="200"/>
        <w:rPr>
          <w:rFonts w:hint="default" w:ascii="宋体" w:hAnsi="宋体" w:cs="宋体"/>
          <w:bCs/>
          <w:color w:val="auto"/>
          <w:sz w:val="24"/>
          <w:highlight w:val="none"/>
          <w:lang w:val="en-US" w:eastAsia="zh-CN"/>
        </w:rPr>
      </w:pPr>
      <w:r>
        <w:rPr>
          <w:rFonts w:hint="eastAsia" w:ascii="宋体" w:hAnsi="宋体" w:cs="宋体"/>
          <w:bCs/>
          <w:color w:val="auto"/>
          <w:sz w:val="24"/>
          <w:highlight w:val="none"/>
        </w:rPr>
        <w:t>预算金额（元）：</w:t>
      </w:r>
      <w:r>
        <w:rPr>
          <w:rFonts w:hint="eastAsia" w:ascii="宋体" w:hAnsi="宋体" w:cs="宋体"/>
          <w:bCs/>
          <w:color w:val="auto"/>
          <w:sz w:val="24"/>
          <w:highlight w:val="none"/>
          <w:lang w:val="en-US" w:eastAsia="zh-CN"/>
        </w:rPr>
        <w:t>2689200</w:t>
      </w:r>
    </w:p>
    <w:p w14:paraId="533F08F4">
      <w:pPr>
        <w:spacing w:line="500" w:lineRule="exact"/>
        <w:ind w:firstLine="480" w:firstLineChars="200"/>
        <w:rPr>
          <w:rFonts w:ascii="宋体" w:hAnsi="宋体" w:cs="宋体"/>
          <w:color w:val="auto"/>
          <w:sz w:val="24"/>
          <w:highlight w:val="none"/>
        </w:rPr>
      </w:pPr>
      <w:r>
        <w:rPr>
          <w:rFonts w:hint="eastAsia" w:ascii="宋体" w:hAnsi="宋体" w:cs="宋体"/>
          <w:bCs/>
          <w:color w:val="auto"/>
          <w:sz w:val="24"/>
          <w:highlight w:val="none"/>
        </w:rPr>
        <w:t xml:space="preserve">最高限价（元）： </w:t>
      </w:r>
      <w:r>
        <w:rPr>
          <w:rFonts w:hint="eastAsia" w:ascii="宋体" w:hAnsi="宋体" w:cs="宋体"/>
          <w:bCs/>
          <w:color w:val="auto"/>
          <w:sz w:val="24"/>
          <w:highlight w:val="none"/>
          <w:lang w:val="en-US" w:eastAsia="zh-CN"/>
        </w:rPr>
        <w:t xml:space="preserve">      </w:t>
      </w:r>
    </w:p>
    <w:p w14:paraId="46B0C90C">
      <w:pPr>
        <w:pStyle w:val="14"/>
        <w:spacing w:line="500" w:lineRule="exact"/>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采购需求：</w:t>
      </w:r>
    </w:p>
    <w:p w14:paraId="6281A57F">
      <w:pPr>
        <w:pStyle w:val="14"/>
        <w:spacing w:line="500" w:lineRule="exact"/>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标项一：</w:t>
      </w:r>
    </w:p>
    <w:p w14:paraId="517821B4">
      <w:pPr>
        <w:pStyle w:val="14"/>
        <w:spacing w:line="500" w:lineRule="exact"/>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标项名称：</w:t>
      </w:r>
      <w:r>
        <w:rPr>
          <w:rFonts w:hint="eastAsia" w:ascii="宋体" w:hAnsi="宋体" w:cs="宋体"/>
          <w:color w:val="auto"/>
          <w:sz w:val="24"/>
          <w:highlight w:val="none"/>
          <w:lang w:eastAsia="zh-CN"/>
        </w:rPr>
        <w:t>浙江东阳经济开发区城市分批次建设项目土地报批技术服务项目</w:t>
      </w:r>
    </w:p>
    <w:p w14:paraId="28E21AAC">
      <w:pPr>
        <w:pStyle w:val="14"/>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数量：1项</w:t>
      </w:r>
    </w:p>
    <w:p w14:paraId="2E207595">
      <w:pPr>
        <w:spacing w:line="500" w:lineRule="exact"/>
        <w:ind w:firstLine="480" w:firstLineChars="200"/>
        <w:rPr>
          <w:rFonts w:hint="default" w:ascii="宋体" w:hAnsi="宋体" w:cs="宋体"/>
          <w:bCs/>
          <w:color w:val="auto"/>
          <w:sz w:val="24"/>
          <w:highlight w:val="none"/>
          <w:lang w:val="en-US"/>
        </w:rPr>
      </w:pPr>
      <w:r>
        <w:rPr>
          <w:rFonts w:hint="eastAsia" w:ascii="宋体" w:hAnsi="宋体" w:cs="宋体"/>
          <w:color w:val="auto"/>
          <w:sz w:val="24"/>
          <w:highlight w:val="none"/>
        </w:rPr>
        <w:t>预算金额（元）：</w:t>
      </w:r>
      <w:r>
        <w:rPr>
          <w:rFonts w:hint="eastAsia" w:ascii="宋体" w:hAnsi="宋体" w:cs="宋体"/>
          <w:bCs/>
          <w:color w:val="auto"/>
          <w:sz w:val="24"/>
          <w:highlight w:val="none"/>
          <w:lang w:val="en-US" w:eastAsia="zh-CN"/>
        </w:rPr>
        <w:t>2689200</w:t>
      </w:r>
    </w:p>
    <w:p w14:paraId="60F158F9">
      <w:pPr>
        <w:pStyle w:val="14"/>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简要规格描述或项目基本概况介绍、用途：具体要求详见第二章招标需求</w:t>
      </w:r>
    </w:p>
    <w:p w14:paraId="22A84ED0">
      <w:pPr>
        <w:pStyle w:val="14"/>
        <w:spacing w:line="50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备注：</w:t>
      </w:r>
      <w:r>
        <w:rPr>
          <w:rFonts w:hint="eastAsia" w:ascii="宋体" w:hAnsi="宋体" w:cs="宋体"/>
          <w:color w:val="auto"/>
          <w:sz w:val="24"/>
          <w:highlight w:val="none"/>
          <w:lang w:val="en-US" w:eastAsia="zh-CN"/>
        </w:rPr>
        <w:t>预算金额2689200元/年，</w:t>
      </w:r>
      <w:r>
        <w:rPr>
          <w:rFonts w:hint="eastAsia" w:ascii="宋体" w:hAnsi="宋体" w:cs="宋体"/>
          <w:color w:val="auto"/>
          <w:sz w:val="24"/>
          <w:highlight w:val="none"/>
        </w:rPr>
        <w:t>服务期限</w:t>
      </w:r>
      <w:r>
        <w:rPr>
          <w:rFonts w:hint="eastAsia" w:ascii="宋体" w:hAnsi="宋体" w:cs="宋体"/>
          <w:color w:val="auto"/>
          <w:sz w:val="24"/>
          <w:highlight w:val="none"/>
          <w:lang w:val="en-US" w:eastAsia="zh-CN"/>
        </w:rPr>
        <w:t>暂定2</w:t>
      </w:r>
      <w:r>
        <w:rPr>
          <w:rFonts w:hint="eastAsia" w:ascii="宋体" w:hAnsi="宋体" w:cs="宋体"/>
          <w:color w:val="auto"/>
          <w:sz w:val="24"/>
          <w:highlight w:val="none"/>
        </w:rPr>
        <w:t>年</w:t>
      </w:r>
      <w:r>
        <w:rPr>
          <w:rFonts w:hint="eastAsia" w:ascii="宋体" w:hAnsi="宋体" w:cs="宋体"/>
          <w:color w:val="auto"/>
          <w:sz w:val="24"/>
          <w:highlight w:val="none"/>
          <w:lang w:eastAsia="zh-CN"/>
        </w:rPr>
        <w:t>，</w:t>
      </w:r>
      <w:r>
        <w:rPr>
          <w:rFonts w:hint="eastAsia" w:asciiTheme="majorEastAsia" w:hAnsiTheme="majorEastAsia" w:eastAsiaTheme="majorEastAsia" w:cstheme="majorEastAsia"/>
          <w:color w:val="auto"/>
          <w:sz w:val="24"/>
          <w:highlight w:val="none"/>
          <w:lang w:val="en-US" w:eastAsia="zh-CN"/>
        </w:rPr>
        <w:t>合同一年一签。</w:t>
      </w:r>
    </w:p>
    <w:p w14:paraId="6C7D15F8">
      <w:pPr>
        <w:pStyle w:val="14"/>
        <w:spacing w:line="500" w:lineRule="exact"/>
        <w:ind w:firstLine="480" w:firstLineChars="200"/>
        <w:rPr>
          <w:color w:val="auto"/>
          <w:highlight w:val="none"/>
        </w:rPr>
      </w:pPr>
      <w:r>
        <w:rPr>
          <w:rFonts w:hint="eastAsia" w:ascii="宋体" w:hAnsi="宋体" w:cs="宋体"/>
          <w:color w:val="auto"/>
          <w:sz w:val="24"/>
          <w:highlight w:val="none"/>
        </w:rPr>
        <w:t>合同履约期限：详见招标文件</w:t>
      </w:r>
    </w:p>
    <w:p w14:paraId="59233E0F">
      <w:pPr>
        <w:pStyle w:val="14"/>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本项目（</w:t>
      </w:r>
      <w:r>
        <w:rPr>
          <w:rFonts w:hint="eastAsia" w:ascii="宋体" w:hAnsi="宋体" w:cs="宋体"/>
          <w:color w:val="auto"/>
          <w:sz w:val="24"/>
          <w:highlight w:val="none"/>
          <w:lang w:val="en-US" w:eastAsia="zh-CN"/>
        </w:rPr>
        <w:t>是</w:t>
      </w:r>
      <w:r>
        <w:rPr>
          <w:rFonts w:hint="eastAsia" w:ascii="宋体" w:hAnsi="宋体" w:cs="宋体"/>
          <w:color w:val="auto"/>
          <w:sz w:val="24"/>
          <w:highlight w:val="none"/>
        </w:rPr>
        <w:t>）接受联合体投标</w:t>
      </w:r>
    </w:p>
    <w:p w14:paraId="232602C1">
      <w:pPr>
        <w:snapToGrid w:val="0"/>
        <w:spacing w:line="500" w:lineRule="exact"/>
        <w:rPr>
          <w:rFonts w:ascii="宋体" w:hAnsi="宋体" w:cs="宋体"/>
          <w:b/>
          <w:bCs/>
          <w:strike/>
          <w:color w:val="auto"/>
          <w:sz w:val="24"/>
          <w:highlight w:val="none"/>
        </w:rPr>
      </w:pPr>
      <w:r>
        <w:rPr>
          <w:rFonts w:hint="eastAsia" w:ascii="宋体" w:hAnsi="宋体" w:cs="宋体"/>
          <w:b/>
          <w:bCs/>
          <w:color w:val="auto"/>
          <w:sz w:val="24"/>
          <w:highlight w:val="none"/>
        </w:rPr>
        <w:t>▲二、申请人的资格要求：</w:t>
      </w:r>
    </w:p>
    <w:p w14:paraId="5507D645">
      <w:pPr>
        <w:pStyle w:val="14"/>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0224BF43">
      <w:pPr>
        <w:spacing w:line="500" w:lineRule="exact"/>
        <w:ind w:firstLine="720" w:firstLineChars="300"/>
        <w:rPr>
          <w:color w:val="auto"/>
          <w:highlight w:val="none"/>
        </w:rPr>
      </w:pPr>
      <w:r>
        <w:rPr>
          <w:rFonts w:hint="eastAsia" w:ascii="宋体" w:hAnsi="宋体" w:cs="宋体"/>
          <w:color w:val="auto"/>
          <w:sz w:val="24"/>
          <w:highlight w:val="none"/>
        </w:rPr>
        <w:t xml:space="preserve">2.落实政府采购政策需满足的资格要求：根据《政府采购促进中小企业发展管理办法》有关规定，本项目仅面向中小型及以下企业响应投标。 </w:t>
      </w:r>
    </w:p>
    <w:p w14:paraId="7280A97A">
      <w:pPr>
        <w:pStyle w:val="14"/>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3.本项目的特定资格要求：</w:t>
      </w:r>
    </w:p>
    <w:p w14:paraId="0EB9B1D4">
      <w:pPr>
        <w:pStyle w:val="14"/>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（1）投标人须为浙江政府采购网注册的正式供应商或承诺中标后30天内注册为浙江政府采购网正式供应商。</w:t>
      </w:r>
    </w:p>
    <w:p w14:paraId="370B368C">
      <w:pPr>
        <w:snapToGrid w:val="0"/>
        <w:spacing w:line="500" w:lineRule="exact"/>
        <w:rPr>
          <w:rFonts w:ascii="宋体" w:hAnsi="宋体" w:cs="宋体"/>
          <w:b/>
          <w:bCs/>
          <w:color w:val="auto"/>
          <w:sz w:val="24"/>
          <w:highlight w:val="none"/>
        </w:rPr>
      </w:pPr>
      <w:r>
        <w:rPr>
          <w:rFonts w:hint="eastAsia" w:ascii="宋体" w:hAnsi="宋体" w:cs="宋体"/>
          <w:b/>
          <w:bCs/>
          <w:color w:val="auto"/>
          <w:sz w:val="24"/>
          <w:highlight w:val="none"/>
        </w:rPr>
        <w:t xml:space="preserve">▲三、获取招标文件： </w:t>
      </w:r>
    </w:p>
    <w:p w14:paraId="503A1757">
      <w:pPr>
        <w:spacing w:line="500" w:lineRule="exact"/>
        <w:ind w:firstLine="640"/>
        <w:rPr>
          <w:rFonts w:ascii="宋体" w:hAnsi="宋体" w:cs="宋体"/>
          <w:color w:val="auto"/>
          <w:sz w:val="24"/>
          <w:highlight w:val="none"/>
        </w:rPr>
      </w:pPr>
      <w:r>
        <w:rPr>
          <w:rFonts w:hint="eastAsia" w:ascii="宋体" w:hAnsi="宋体" w:cs="宋体"/>
          <w:color w:val="auto"/>
          <w:sz w:val="24"/>
          <w:highlight w:val="none"/>
        </w:rPr>
        <w:t>时间：/至</w:t>
      </w:r>
      <w:r>
        <w:rPr>
          <w:rFonts w:hint="eastAsia" w:ascii="宋体" w:hAnsi="宋体" w:cs="宋体"/>
          <w:color w:val="auto"/>
          <w:sz w:val="24"/>
          <w:highlight w:val="none"/>
          <w:lang w:val="en-US" w:eastAsia="zh-CN"/>
        </w:rPr>
        <w:t>2025</w:t>
      </w:r>
      <w:r>
        <w:rPr>
          <w:rFonts w:hint="eastAsia" w:ascii="宋体" w:hAnsi="宋体" w:cs="宋体"/>
          <w:color w:val="auto"/>
          <w:sz w:val="24"/>
          <w:highlight w:val="none"/>
          <w:lang w:eastAsia="zh-CN"/>
        </w:rPr>
        <w:t>年</w:t>
      </w:r>
      <w:r>
        <w:rPr>
          <w:rFonts w:hint="eastAsia" w:ascii="宋体" w:hAnsi="宋体" w:cs="宋体"/>
          <w:color w:val="auto"/>
          <w:sz w:val="24"/>
          <w:highlight w:val="none"/>
          <w:lang w:val="en-US" w:eastAsia="zh-CN"/>
        </w:rPr>
        <w:t>5</w:t>
      </w:r>
      <w:r>
        <w:rPr>
          <w:rFonts w:hint="eastAsia" w:ascii="宋体" w:hAnsi="宋体" w:cs="宋体"/>
          <w:color w:val="auto"/>
          <w:sz w:val="24"/>
          <w:highlight w:val="none"/>
          <w:lang w:eastAsia="zh-CN"/>
        </w:rPr>
        <w:t>月</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日</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时</w:t>
      </w:r>
      <w:r>
        <w:rPr>
          <w:rFonts w:hint="eastAsia" w:ascii="宋体" w:hAnsi="宋体" w:cs="宋体"/>
          <w:color w:val="auto"/>
          <w:sz w:val="24"/>
          <w:highlight w:val="none"/>
          <w:lang w:val="en-US" w:eastAsia="zh-CN"/>
        </w:rPr>
        <w:t>30</w:t>
      </w:r>
      <w:r>
        <w:rPr>
          <w:rFonts w:hint="eastAsia" w:ascii="宋体" w:hAnsi="宋体" w:cs="宋体"/>
          <w:color w:val="auto"/>
          <w:sz w:val="24"/>
          <w:highlight w:val="none"/>
          <w:lang w:eastAsia="zh-CN"/>
        </w:rPr>
        <w:t>分</w:t>
      </w:r>
      <w:r>
        <w:rPr>
          <w:rFonts w:hint="eastAsia" w:ascii="宋体" w:hAnsi="宋体" w:cs="宋体"/>
          <w:color w:val="auto"/>
          <w:sz w:val="24"/>
          <w:highlight w:val="none"/>
        </w:rPr>
        <w:t>，每天上午00：00至12:00，下午12:00至23:59（北京时间，线上获取法定节假日均可，线下获取文件法定节假日除外）</w:t>
      </w:r>
    </w:p>
    <w:p w14:paraId="4517C21F">
      <w:pPr>
        <w:spacing w:line="500" w:lineRule="exact"/>
        <w:ind w:firstLine="640"/>
        <w:rPr>
          <w:rFonts w:ascii="宋体" w:hAnsi="宋体" w:cs="宋体"/>
          <w:color w:val="auto"/>
          <w:sz w:val="24"/>
          <w:highlight w:val="none"/>
        </w:rPr>
      </w:pPr>
      <w:r>
        <w:rPr>
          <w:rFonts w:hint="eastAsia" w:ascii="宋体" w:hAnsi="宋体" w:cs="宋体"/>
          <w:color w:val="auto"/>
          <w:sz w:val="24"/>
          <w:highlight w:val="none"/>
        </w:rPr>
        <w:t>地点（网址）：浙江政府采购网（http://zfcg.czt.zj.gov.cn/）； 东阳市公共资源交易网(http://www.dongyang.gov.cn/ggzyjy/index.html)</w:t>
      </w:r>
    </w:p>
    <w:p w14:paraId="27619CE5">
      <w:pPr>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方式：1、由投标人通过登录浙江省政府采购网(http://zfcg.czt.zj.gov.cn/)上的政采云系统进行获取（首次参加投标的单位应先登录浙江省政府采购网(http://zfcg.czt.zj.gov.cn/)进行账户注册，注册完毕待审核成功后方可登录政采云系统获取；注册流程见网址</w:t>
      </w:r>
    </w:p>
    <w:p w14:paraId="07F70B1D">
      <w:pPr>
        <w:snapToGrid w:val="0"/>
        <w:spacing w:line="500" w:lineRule="exact"/>
        <w:rPr>
          <w:rFonts w:ascii="宋体" w:hAnsi="宋体" w:cs="宋体"/>
          <w:color w:val="auto"/>
          <w:sz w:val="24"/>
          <w:highlight w:val="none"/>
        </w:rPr>
      </w:pPr>
      <w:r>
        <w:rPr>
          <w:rFonts w:hint="eastAsia" w:ascii="宋体" w:hAnsi="宋体" w:cs="宋体"/>
          <w:color w:val="auto"/>
          <w:sz w:val="24"/>
          <w:highlight w:val="none"/>
        </w:rPr>
        <w:t>http://zfcg.czt.zj.gov.cn/register/2017-07-24/6728.html?_=2017-11-13%2011:10:28）；</w:t>
      </w:r>
    </w:p>
    <w:p w14:paraId="45C828C1">
      <w:pPr>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2、招标文件获取流程：浙江政府采购网-政采云用户登录-用户中心-项目采购-获取采购文件管理。</w:t>
      </w:r>
    </w:p>
    <w:p w14:paraId="0E271032">
      <w:pPr>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3、浙江政府采购网上以“游客”身份获取的采购文件仅供阅览；潜在供应商应按上述方式获取采购文件；未按上述方式获取采购文件的，不得对采购文件提起质疑投诉。</w:t>
      </w:r>
    </w:p>
    <w:p w14:paraId="5C11179E">
      <w:pPr>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售价（元）：0</w:t>
      </w:r>
    </w:p>
    <w:p w14:paraId="24932CA8">
      <w:pPr>
        <w:snapToGrid w:val="0"/>
        <w:spacing w:line="500" w:lineRule="exact"/>
        <w:rPr>
          <w:rFonts w:ascii="宋体" w:hAnsi="宋体" w:cs="宋体"/>
          <w:b/>
          <w:bCs/>
          <w:color w:val="auto"/>
          <w:sz w:val="24"/>
          <w:highlight w:val="none"/>
        </w:rPr>
      </w:pPr>
      <w:r>
        <w:rPr>
          <w:rFonts w:hint="eastAsia" w:ascii="宋体" w:hAnsi="宋体" w:cs="宋体"/>
          <w:b/>
          <w:bCs/>
          <w:color w:val="auto"/>
          <w:sz w:val="24"/>
          <w:highlight w:val="none"/>
        </w:rPr>
        <w:t>四、提交投标文件截止时间、开标时间和地点</w:t>
      </w:r>
    </w:p>
    <w:p w14:paraId="4D690020">
      <w:pPr>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提交投标文件截止时间：</w:t>
      </w:r>
      <w:r>
        <w:rPr>
          <w:rFonts w:hint="eastAsia" w:ascii="宋体" w:hAnsi="宋体" w:cs="宋体"/>
          <w:color w:val="auto"/>
          <w:sz w:val="24"/>
          <w:highlight w:val="none"/>
          <w:lang w:val="en-US" w:eastAsia="zh-CN"/>
        </w:rPr>
        <w:t>2025</w:t>
      </w:r>
      <w:r>
        <w:rPr>
          <w:rFonts w:hint="eastAsia" w:ascii="宋体" w:hAnsi="宋体" w:cs="宋体"/>
          <w:color w:val="auto"/>
          <w:sz w:val="24"/>
          <w:highlight w:val="none"/>
          <w:lang w:eastAsia="zh-CN"/>
        </w:rPr>
        <w:t>年</w:t>
      </w:r>
      <w:r>
        <w:rPr>
          <w:rFonts w:hint="eastAsia" w:ascii="宋体" w:hAnsi="宋体" w:cs="宋体"/>
          <w:color w:val="auto"/>
          <w:sz w:val="24"/>
          <w:highlight w:val="none"/>
          <w:lang w:val="en-US" w:eastAsia="zh-CN"/>
        </w:rPr>
        <w:t>5</w:t>
      </w:r>
      <w:r>
        <w:rPr>
          <w:rFonts w:hint="eastAsia" w:ascii="宋体" w:hAnsi="宋体" w:cs="宋体"/>
          <w:color w:val="auto"/>
          <w:sz w:val="24"/>
          <w:highlight w:val="none"/>
          <w:lang w:eastAsia="zh-CN"/>
        </w:rPr>
        <w:t>月</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日</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时</w:t>
      </w:r>
      <w:r>
        <w:rPr>
          <w:rFonts w:hint="eastAsia" w:ascii="宋体" w:hAnsi="宋体" w:cs="宋体"/>
          <w:color w:val="auto"/>
          <w:sz w:val="24"/>
          <w:highlight w:val="none"/>
          <w:lang w:val="en-US" w:eastAsia="zh-CN"/>
        </w:rPr>
        <w:t>30</w:t>
      </w:r>
      <w:r>
        <w:rPr>
          <w:rFonts w:hint="eastAsia" w:ascii="宋体" w:hAnsi="宋体" w:cs="宋体"/>
          <w:color w:val="auto"/>
          <w:sz w:val="24"/>
          <w:highlight w:val="none"/>
          <w:lang w:eastAsia="zh-CN"/>
        </w:rPr>
        <w:t>分</w:t>
      </w:r>
      <w:r>
        <w:rPr>
          <w:rFonts w:hint="eastAsia" w:ascii="宋体" w:hAnsi="宋体" w:cs="宋体"/>
          <w:color w:val="auto"/>
          <w:sz w:val="24"/>
          <w:highlight w:val="none"/>
        </w:rPr>
        <w:t>（北京时间）</w:t>
      </w:r>
    </w:p>
    <w:p w14:paraId="49DE58E0">
      <w:pPr>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投标地点（网址）：政采云平台</w:t>
      </w:r>
    </w:p>
    <w:p w14:paraId="08C0E3D8">
      <w:pPr>
        <w:snapToGrid w:val="0"/>
        <w:spacing w:line="500" w:lineRule="exact"/>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开标时间：</w:t>
      </w:r>
      <w:r>
        <w:rPr>
          <w:rFonts w:hint="eastAsia" w:ascii="宋体" w:hAnsi="宋体" w:cs="宋体"/>
          <w:color w:val="auto"/>
          <w:sz w:val="24"/>
          <w:highlight w:val="none"/>
          <w:lang w:val="en-US" w:eastAsia="zh-CN"/>
        </w:rPr>
        <w:t>2025</w:t>
      </w:r>
      <w:r>
        <w:rPr>
          <w:rFonts w:hint="eastAsia" w:ascii="宋体" w:hAnsi="宋体" w:cs="宋体"/>
          <w:color w:val="auto"/>
          <w:sz w:val="24"/>
          <w:highlight w:val="none"/>
          <w:lang w:eastAsia="zh-CN"/>
        </w:rPr>
        <w:t>年</w:t>
      </w:r>
      <w:r>
        <w:rPr>
          <w:rFonts w:hint="eastAsia" w:ascii="宋体" w:hAnsi="宋体" w:cs="宋体"/>
          <w:color w:val="auto"/>
          <w:sz w:val="24"/>
          <w:highlight w:val="none"/>
          <w:lang w:val="en-US" w:eastAsia="zh-CN"/>
        </w:rPr>
        <w:t>5</w:t>
      </w:r>
      <w:r>
        <w:rPr>
          <w:rFonts w:hint="eastAsia" w:ascii="宋体" w:hAnsi="宋体" w:cs="宋体"/>
          <w:color w:val="auto"/>
          <w:sz w:val="24"/>
          <w:highlight w:val="none"/>
          <w:lang w:eastAsia="zh-CN"/>
        </w:rPr>
        <w:t>月</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日</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时</w:t>
      </w:r>
      <w:r>
        <w:rPr>
          <w:rFonts w:hint="eastAsia" w:ascii="宋体" w:hAnsi="宋体" w:cs="宋体"/>
          <w:color w:val="auto"/>
          <w:sz w:val="24"/>
          <w:highlight w:val="none"/>
          <w:lang w:val="en-US" w:eastAsia="zh-CN"/>
        </w:rPr>
        <w:t>30</w:t>
      </w:r>
      <w:r>
        <w:rPr>
          <w:rFonts w:hint="eastAsia" w:ascii="宋体" w:hAnsi="宋体" w:cs="宋体"/>
          <w:color w:val="auto"/>
          <w:sz w:val="24"/>
          <w:highlight w:val="none"/>
          <w:lang w:eastAsia="zh-CN"/>
        </w:rPr>
        <w:t>分</w:t>
      </w:r>
    </w:p>
    <w:p w14:paraId="7F1ADA75">
      <w:pPr>
        <w:snapToGrid w:val="0"/>
        <w:spacing w:line="500" w:lineRule="exact"/>
        <w:ind w:firstLine="481"/>
        <w:rPr>
          <w:rFonts w:ascii="宋体" w:hAnsi="宋体" w:cs="宋体"/>
          <w:b/>
          <w:bCs/>
          <w:color w:val="auto"/>
          <w:sz w:val="24"/>
          <w:highlight w:val="none"/>
        </w:rPr>
      </w:pPr>
      <w:r>
        <w:rPr>
          <w:rFonts w:hint="eastAsia" w:ascii="宋体" w:hAnsi="宋体" w:cs="宋体"/>
          <w:color w:val="auto"/>
          <w:sz w:val="24"/>
          <w:highlight w:val="none"/>
        </w:rPr>
        <w:t>开标地点（网址）：政采云平台</w:t>
      </w:r>
    </w:p>
    <w:p w14:paraId="64E5D41D">
      <w:pPr>
        <w:numPr>
          <w:ilvl w:val="0"/>
          <w:numId w:val="2"/>
        </w:numPr>
        <w:snapToGrid w:val="0"/>
        <w:spacing w:line="500" w:lineRule="exact"/>
        <w:rPr>
          <w:rFonts w:ascii="宋体" w:hAnsi="宋体" w:cs="宋体"/>
          <w:b/>
          <w:bCs/>
          <w:color w:val="auto"/>
          <w:sz w:val="24"/>
          <w:highlight w:val="none"/>
        </w:rPr>
      </w:pPr>
      <w:r>
        <w:rPr>
          <w:rFonts w:hint="eastAsia" w:ascii="宋体" w:hAnsi="宋体" w:cs="宋体"/>
          <w:b/>
          <w:bCs/>
          <w:color w:val="auto"/>
          <w:sz w:val="24"/>
          <w:highlight w:val="none"/>
        </w:rPr>
        <w:t>采购意向公开链接</w:t>
      </w:r>
    </w:p>
    <w:p w14:paraId="4CBEBB23">
      <w:pPr>
        <w:snapToGrid w:val="0"/>
        <w:spacing w:line="5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fldChar w:fldCharType="begin"/>
      </w:r>
      <w:r>
        <w:rPr>
          <w:rFonts w:hint="eastAsia" w:ascii="宋体" w:hAnsi="宋体" w:cs="宋体"/>
          <w:b/>
          <w:bCs/>
          <w:color w:val="auto"/>
          <w:sz w:val="24"/>
          <w:highlight w:val="none"/>
        </w:rPr>
        <w:instrText xml:space="preserve"> HYPERLINK "https://zfcg.czt.zj.gov.cn/site/detail?categoryCode=ZcyAnnouncement&amp;parentId=600007&amp;articleId=MLGt6eACiwQF9hYW9OwJ5Q==" </w:instrText>
      </w:r>
      <w:r>
        <w:rPr>
          <w:rFonts w:hint="eastAsia" w:ascii="宋体" w:hAnsi="宋体" w:cs="宋体"/>
          <w:b/>
          <w:bCs/>
          <w:color w:val="auto"/>
          <w:sz w:val="24"/>
          <w:highlight w:val="none"/>
        </w:rPr>
        <w:fldChar w:fldCharType="separate"/>
      </w:r>
      <w:r>
        <w:rPr>
          <w:rStyle w:val="28"/>
          <w:rFonts w:hint="eastAsia" w:ascii="宋体" w:hAnsi="宋体" w:cs="宋体"/>
          <w:b/>
          <w:bCs/>
          <w:color w:val="auto"/>
          <w:sz w:val="24"/>
          <w:highlight w:val="none"/>
        </w:rPr>
        <w:t>https://zfcg.czt.zj.gov.cn/site/detail?categoryCode=ZcyAnnouncement&amp;parentId=600007&amp;articleId=MLGt6eACiwQF9hYW9OwJ5Q==</w:t>
      </w:r>
      <w:r>
        <w:rPr>
          <w:rFonts w:hint="eastAsia" w:ascii="宋体" w:hAnsi="宋体" w:cs="宋体"/>
          <w:b/>
          <w:bCs/>
          <w:color w:val="auto"/>
          <w:sz w:val="24"/>
          <w:highlight w:val="none"/>
        </w:rPr>
        <w:fldChar w:fldCharType="end"/>
      </w:r>
    </w:p>
    <w:p w14:paraId="51204505">
      <w:pPr>
        <w:snapToGrid w:val="0"/>
        <w:spacing w:line="500" w:lineRule="exact"/>
        <w:jc w:val="left"/>
        <w:rPr>
          <w:rFonts w:ascii="宋体" w:hAnsi="宋体" w:cs="宋体"/>
          <w:b/>
          <w:bCs/>
          <w:color w:val="auto"/>
          <w:sz w:val="24"/>
          <w:highlight w:val="none"/>
        </w:rPr>
      </w:pPr>
      <w:r>
        <w:rPr>
          <w:rFonts w:hint="eastAsia" w:ascii="宋体" w:hAnsi="宋体" w:cs="宋体"/>
          <w:b/>
          <w:bCs/>
          <w:color w:val="auto"/>
          <w:sz w:val="24"/>
          <w:highlight w:val="none"/>
        </w:rPr>
        <w:t>六、公告期限</w:t>
      </w:r>
    </w:p>
    <w:p w14:paraId="6F72A89D">
      <w:pPr>
        <w:snapToGrid w:val="0"/>
        <w:spacing w:line="5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6FA7413E">
      <w:pPr>
        <w:snapToGrid w:val="0"/>
        <w:spacing w:line="500" w:lineRule="exact"/>
        <w:rPr>
          <w:rFonts w:ascii="宋体" w:hAnsi="宋体" w:cs="宋体"/>
          <w:b/>
          <w:bCs/>
          <w:color w:val="auto"/>
          <w:sz w:val="24"/>
          <w:highlight w:val="none"/>
        </w:rPr>
      </w:pPr>
      <w:r>
        <w:rPr>
          <w:rFonts w:hint="eastAsia" w:ascii="宋体" w:hAnsi="宋体" w:cs="宋体"/>
          <w:b/>
          <w:bCs/>
          <w:color w:val="auto"/>
          <w:sz w:val="24"/>
          <w:highlight w:val="none"/>
        </w:rPr>
        <w:t>七、其他补充事宜</w:t>
      </w:r>
    </w:p>
    <w:p w14:paraId="20A9EB84">
      <w:pPr>
        <w:pStyle w:val="23"/>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360" w:lineRule="auto"/>
        <w:ind w:left="0" w:firstLine="0"/>
        <w:textAlignment w:val="auto"/>
        <w:rPr>
          <w:rFonts w:hint="eastAsia" w:ascii="宋体" w:hAnsi="宋体" w:eastAsia="宋体" w:cs="宋体"/>
          <w:color w:val="auto"/>
          <w:kern w:val="2"/>
          <w:sz w:val="24"/>
          <w:szCs w:val="24"/>
          <w:highlight w:val="none"/>
          <w:lang w:val="en-US" w:eastAsia="zh-CN" w:bidi="ar-SA"/>
        </w:rPr>
      </w:pPr>
      <w:r>
        <w:rPr>
          <w:rFonts w:hint="eastAsia"/>
          <w:color w:val="auto"/>
          <w:highlight w:val="none"/>
        </w:rPr>
        <w:t xml:space="preserve"> </w:t>
      </w:r>
      <w:bookmarkStart w:id="1" w:name="_Toc28359085"/>
      <w:bookmarkStart w:id="2" w:name="_Toc35393796"/>
      <w:bookmarkStart w:id="3" w:name="_Toc35393627"/>
      <w:bookmarkStart w:id="4" w:name="_Toc28359008"/>
      <w:r>
        <w:rPr>
          <w:rFonts w:hint="eastAsia" w:ascii="宋体" w:hAnsi="宋体" w:cs="宋体"/>
          <w:color w:val="auto"/>
          <w:sz w:val="24"/>
          <w:highlight w:val="none"/>
        </w:rPr>
        <w:t xml:space="preserve"> </w:t>
      </w:r>
      <w:r>
        <w:rPr>
          <w:rFonts w:hint="eastAsia" w:ascii="宋体" w:hAnsi="宋体" w:eastAsia="宋体" w:cs="宋体"/>
          <w:color w:val="auto"/>
          <w:kern w:val="2"/>
          <w:sz w:val="24"/>
          <w:szCs w:val="24"/>
          <w:highlight w:val="none"/>
          <w:lang w:val="en-US" w:eastAsia="zh-CN" w:bidi="ar-SA"/>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4D08F1C">
      <w:pPr>
        <w:pStyle w:val="23"/>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360" w:lineRule="auto"/>
        <w:ind w:left="0"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2、其他事项：1.《浙江省财政厅关于进一步发挥政府采购政策功能全力推动经济稳进提质的通知》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助力扎实稳住经济的通知》（浙财采监〔2022〕8号）已分别于2022年1月29日、2022年2月1日和2022年7月1日开始实施，此前有关规定与上述文件内容不一致的，按上述文件要求执行。</w:t>
      </w:r>
    </w:p>
    <w:p w14:paraId="3345AF8B">
      <w:pPr>
        <w:pStyle w:val="23"/>
        <w:keepNext w:val="0"/>
        <w:keepLines w:val="0"/>
        <w:pageBreakBefore w:val="0"/>
        <w:widowControl/>
        <w:suppressLineNumbers w:val="0"/>
        <w:kinsoku/>
        <w:wordWrap/>
        <w:overflowPunct/>
        <w:topLinePunct w:val="0"/>
        <w:autoSpaceDE/>
        <w:autoSpaceDN/>
        <w:bidi w:val="0"/>
        <w:adjustRightInd w:val="0"/>
        <w:snapToGrid w:val="0"/>
        <w:spacing w:beforeAutospacing="0" w:afterAutospacing="0" w:line="360" w:lineRule="auto"/>
        <w:ind w:left="0" w:firstLine="240" w:firstLineChars="1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w:t>
      </w:r>
      <w:r>
        <w:rPr>
          <w:rFonts w:hint="eastAsia"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FA3252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https://zfcg.czt.zj.gov.cn)的中小企业信用融资栏目了解相关信息。 供应商可以通过浙江政府采购网(https://zfcg. czt.zj. gov.cn/)首页的“浙江政采贷”模块进入申请，还可以通过政府采购云平台(https://www.zcygov.cn/)首页的“金融服务”模块进入申请。</w:t>
      </w:r>
    </w:p>
    <w:p w14:paraId="2568DDA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69A2999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本项目实行电子投标，投标文件应按照本项目招标文件和政采云平台的要求编制、加密并递交。投标人在使用系统进行投标的过程中遇到涉及平台使用的任何问题，可致电政采云平台技术支持热线咨询，联系方式：</w:t>
      </w:r>
      <w:r>
        <w:rPr>
          <w:rFonts w:hint="default" w:ascii="宋体" w:hAnsi="宋体" w:cs="宋体"/>
          <w:color w:val="auto"/>
          <w:sz w:val="24"/>
          <w:highlight w:val="none"/>
          <w:lang w:val="en-US"/>
        </w:rPr>
        <w:t>95763</w:t>
      </w:r>
      <w:r>
        <w:rPr>
          <w:rFonts w:hint="eastAsia" w:ascii="宋体" w:hAnsi="宋体" w:cs="宋体"/>
          <w:color w:val="auto"/>
          <w:sz w:val="24"/>
          <w:highlight w:val="none"/>
        </w:rPr>
        <w:t>。</w:t>
      </w:r>
    </w:p>
    <w:p w14:paraId="713DB02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.投 标 人 应 在 开 标 前 完 成 CA 数 字 证 书 办 理 。 （ 办 理 流 程 详 见http://zfcg.czt.zj.gov.cn/bidClientTemplate/2019-05-27/12945.html）。完成 CA 数字证书办理预计一周左右，建议各投标人抓紧时间办理。</w:t>
      </w:r>
    </w:p>
    <w:p w14:paraId="6A83AC6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.投标人通过政采云平台电子投标工具制作投标文件，电子投标工具请供应商自行前往浙江省政府采购网下载并安装，（下载网址：http://zfcg.czt.zj.gov.cn/bidClientTemplate/2019-08-30/12975.html），</w:t>
      </w:r>
    </w:p>
    <w:p w14:paraId="1D6A818F">
      <w:pPr>
        <w:snapToGrid w:val="0"/>
        <w:spacing w:line="360" w:lineRule="auto"/>
        <w:rPr>
          <w:rStyle w:val="28"/>
          <w:rFonts w:ascii="宋体" w:hAnsi="宋体" w:cs="宋体"/>
          <w:color w:val="auto"/>
          <w:sz w:val="24"/>
          <w:highlight w:val="none"/>
        </w:rPr>
      </w:pPr>
      <w:r>
        <w:rPr>
          <w:rFonts w:hint="eastAsia" w:ascii="宋体" w:hAnsi="宋体" w:cs="宋体"/>
          <w:color w:val="auto"/>
          <w:sz w:val="24"/>
          <w:highlight w:val="none"/>
        </w:rPr>
        <w:t xml:space="preserve">（ 电 子 投 标 相 关 学 习 网 址 ： </w:t>
      </w:r>
      <w:r>
        <w:rPr>
          <w:color w:val="auto"/>
          <w:highlight w:val="none"/>
        </w:rPr>
        <w:fldChar w:fldCharType="begin"/>
      </w:r>
      <w:r>
        <w:rPr>
          <w:color w:val="auto"/>
          <w:highlight w:val="none"/>
        </w:rPr>
        <w:instrText xml:space="preserve"> HYPERLINK "https://edu.zcygov.cn/luban/e-biding?utm=a0004.2ef5001f.0001.0109.2d44db10df9111e9b92b0f36d4889416。）" </w:instrText>
      </w:r>
      <w:r>
        <w:rPr>
          <w:color w:val="auto"/>
          <w:highlight w:val="none"/>
        </w:rPr>
        <w:fldChar w:fldCharType="separate"/>
      </w:r>
      <w:r>
        <w:rPr>
          <w:rStyle w:val="28"/>
          <w:rFonts w:hint="eastAsia" w:ascii="宋体" w:hAnsi="宋体" w:cs="宋体"/>
          <w:color w:val="auto"/>
          <w:sz w:val="24"/>
          <w:highlight w:val="none"/>
        </w:rPr>
        <w:t>https://edu.zcygov.cn/luban/e-biding?utm=a0004.2ef5001f.0001.0109.2d44db10df9111e9b92b0f36d4889416。）</w:t>
      </w:r>
      <w:r>
        <w:rPr>
          <w:rStyle w:val="28"/>
          <w:rFonts w:hint="eastAsia" w:ascii="宋体" w:hAnsi="宋体" w:cs="宋体"/>
          <w:color w:val="auto"/>
          <w:sz w:val="24"/>
          <w:highlight w:val="none"/>
        </w:rPr>
        <w:fldChar w:fldCharType="end"/>
      </w:r>
    </w:p>
    <w:p w14:paraId="57F97914">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lang w:val="en-US" w:eastAsia="zh-CN"/>
        </w:rPr>
        <w:t>9</w:t>
      </w:r>
      <w:r>
        <w:rPr>
          <w:rFonts w:hint="eastAsia" w:ascii="宋体" w:hAnsi="宋体" w:cs="宋体"/>
          <w:color w:val="auto"/>
          <w:sz w:val="24"/>
          <w:highlight w:val="none"/>
        </w:rPr>
        <w:t>.</w:t>
      </w:r>
      <w:r>
        <w:rPr>
          <w:rFonts w:hint="eastAsia" w:ascii="宋体" w:hAnsi="宋体" w:cs="宋体"/>
          <w:b/>
          <w:bCs/>
          <w:color w:val="auto"/>
          <w:sz w:val="24"/>
          <w:highlight w:val="none"/>
        </w:rPr>
        <w:t xml:space="preserve">政府采购金融服务提示：为扩大政府采购金融服务面，除政采云网上金融服务合作银行外，东阳市范围内增加浙商银行金华分行东阳支行作为线下合作银行。   </w:t>
      </w:r>
    </w:p>
    <w:p w14:paraId="7C3417DA">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浙商银行金华东阳支行  联系人：许燕  联系电话：13967983441  0579-86222992</w:t>
      </w:r>
    </w:p>
    <w:p w14:paraId="727BAA3E">
      <w:pPr>
        <w:spacing w:line="360" w:lineRule="auto"/>
        <w:rPr>
          <w:rFonts w:ascii="宋体" w:hAnsi="宋体" w:cs="宋体"/>
          <w:b/>
          <w:color w:val="auto"/>
          <w:sz w:val="24"/>
          <w:highlight w:val="none"/>
        </w:rPr>
      </w:pPr>
      <w:r>
        <w:rPr>
          <w:rFonts w:hint="eastAsia" w:ascii="宋体" w:hAnsi="宋体" w:cs="宋体"/>
          <w:b/>
          <w:color w:val="auto"/>
          <w:sz w:val="24"/>
          <w:highlight w:val="none"/>
        </w:rPr>
        <w:t>八、</w:t>
      </w:r>
      <w:bookmarkEnd w:id="1"/>
      <w:bookmarkEnd w:id="2"/>
      <w:bookmarkEnd w:id="3"/>
      <w:bookmarkEnd w:id="4"/>
      <w:r>
        <w:rPr>
          <w:rFonts w:hint="eastAsia" w:ascii="宋体" w:hAnsi="宋体" w:cs="宋体"/>
          <w:b/>
          <w:color w:val="auto"/>
          <w:sz w:val="24"/>
          <w:highlight w:val="none"/>
        </w:rPr>
        <w:t>对本次采购提出询问、质疑、投诉，请按以下方式联系。</w:t>
      </w:r>
    </w:p>
    <w:p w14:paraId="1ABEC007">
      <w:pPr>
        <w:spacing w:line="360" w:lineRule="auto"/>
        <w:ind w:firstLine="723" w:firstLineChars="300"/>
        <w:rPr>
          <w:rFonts w:ascii="宋体" w:hAnsi="宋体" w:cs="宋体"/>
          <w:color w:val="auto"/>
          <w:sz w:val="24"/>
          <w:highlight w:val="none"/>
        </w:rPr>
      </w:pPr>
      <w:bookmarkStart w:id="5" w:name="_Toc28359086"/>
      <w:bookmarkStart w:id="6" w:name="_Toc28359009"/>
      <w:r>
        <w:rPr>
          <w:rFonts w:hint="eastAsia" w:ascii="宋体" w:hAnsi="宋体" w:cs="宋体"/>
          <w:b/>
          <w:bCs/>
          <w:color w:val="auto"/>
          <w:sz w:val="24"/>
          <w:highlight w:val="none"/>
        </w:rPr>
        <w:t xml:space="preserve">1.采购人信息  </w:t>
      </w:r>
    </w:p>
    <w:p w14:paraId="74BFE866">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浙江东阳经济开发区管理委员会</w:t>
      </w:r>
      <w:r>
        <w:rPr>
          <w:rFonts w:hint="eastAsia" w:ascii="宋体" w:hAnsi="宋体" w:cs="宋体"/>
          <w:color w:val="auto"/>
          <w:sz w:val="36"/>
          <w:szCs w:val="36"/>
          <w:highlight w:val="none"/>
        </w:rPr>
        <w:t xml:space="preserve">  </w:t>
      </w:r>
      <w:r>
        <w:rPr>
          <w:rFonts w:hint="eastAsia" w:ascii="宋体" w:hAnsi="宋体" w:cs="宋体"/>
          <w:color w:val="auto"/>
          <w:sz w:val="24"/>
          <w:highlight w:val="none"/>
        </w:rPr>
        <w:t xml:space="preserve">              </w:t>
      </w:r>
    </w:p>
    <w:p w14:paraId="25F71BC0">
      <w:pPr>
        <w:spacing w:line="360" w:lineRule="auto"/>
        <w:ind w:firstLine="720" w:firstLineChars="3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地 址：</w:t>
      </w:r>
      <w:r>
        <w:rPr>
          <w:rFonts w:hint="eastAsia" w:ascii="宋体" w:hAnsi="宋体" w:cs="宋体"/>
          <w:color w:val="auto"/>
          <w:sz w:val="24"/>
          <w:highlight w:val="none"/>
          <w:lang w:val="en-US" w:eastAsia="zh-CN"/>
        </w:rPr>
        <w:t xml:space="preserve">六石街道木雕小镇云松路二号经济开发区     </w:t>
      </w:r>
    </w:p>
    <w:p w14:paraId="03347127">
      <w:pPr>
        <w:spacing w:line="360" w:lineRule="auto"/>
        <w:ind w:firstLine="720" w:firstLineChars="3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 xml:space="preserve">赵哲昊 </w:t>
      </w: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 xml:space="preserve">18458044686  </w:t>
      </w:r>
    </w:p>
    <w:p w14:paraId="722FEB04">
      <w:pPr>
        <w:spacing w:line="360" w:lineRule="auto"/>
        <w:ind w:firstLine="720" w:firstLineChars="3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 xml:space="preserve">马志冬  </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质疑联系方式：0579-86768858</w:t>
      </w:r>
    </w:p>
    <w:p w14:paraId="41F055F0">
      <w:pPr>
        <w:spacing w:line="360" w:lineRule="auto"/>
        <w:ind w:firstLine="723" w:firstLineChars="300"/>
        <w:rPr>
          <w:rFonts w:ascii="宋体" w:hAnsi="宋体" w:cs="宋体"/>
          <w:b/>
          <w:bCs/>
          <w:color w:val="auto"/>
          <w:sz w:val="24"/>
          <w:highlight w:val="none"/>
        </w:rPr>
      </w:pPr>
      <w:r>
        <w:rPr>
          <w:rFonts w:hint="eastAsia" w:ascii="宋体" w:hAnsi="宋体" w:cs="宋体"/>
          <w:b/>
          <w:bCs/>
          <w:color w:val="auto"/>
          <w:sz w:val="24"/>
          <w:highlight w:val="none"/>
        </w:rPr>
        <w:t>2.采购代理机构</w:t>
      </w:r>
      <w:bookmarkEnd w:id="5"/>
      <w:bookmarkEnd w:id="6"/>
      <w:r>
        <w:rPr>
          <w:rFonts w:hint="eastAsia" w:ascii="宋体" w:hAnsi="宋体" w:cs="宋体"/>
          <w:b/>
          <w:bCs/>
          <w:color w:val="auto"/>
          <w:sz w:val="24"/>
          <w:highlight w:val="none"/>
        </w:rPr>
        <w:t>信息</w:t>
      </w:r>
    </w:p>
    <w:p w14:paraId="39DB2AC4">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 xml:space="preserve">名 称：东阳市鑫盛工程咨询有限公司 </w:t>
      </w:r>
    </w:p>
    <w:p w14:paraId="1C889093">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 xml:space="preserve">地 址：东阳市白云街道八华南路63号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传 真：0579-86633123 </w:t>
      </w:r>
    </w:p>
    <w:p w14:paraId="38DDC23D">
      <w:pPr>
        <w:spacing w:line="360" w:lineRule="auto"/>
        <w:ind w:firstLine="720" w:firstLineChars="3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葛芸</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0579-86018279</w:t>
      </w:r>
    </w:p>
    <w:p w14:paraId="638B376B">
      <w:pPr>
        <w:spacing w:line="360" w:lineRule="auto"/>
        <w:ind w:firstLine="720" w:firstLineChars="3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胡丹春</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质疑联系方式：</w:t>
      </w:r>
      <w:bookmarkStart w:id="7" w:name="_Toc28359010"/>
      <w:bookmarkStart w:id="8" w:name="_Toc28359087"/>
      <w:r>
        <w:rPr>
          <w:rFonts w:hint="eastAsia" w:ascii="宋体" w:hAnsi="宋体" w:cs="宋体"/>
          <w:color w:val="auto"/>
          <w:sz w:val="24"/>
          <w:highlight w:val="none"/>
        </w:rPr>
        <w:t>0579-</w:t>
      </w:r>
      <w:r>
        <w:rPr>
          <w:rFonts w:hint="eastAsia" w:ascii="宋体" w:hAnsi="宋体" w:cs="宋体"/>
          <w:color w:val="auto"/>
          <w:sz w:val="24"/>
          <w:highlight w:val="none"/>
          <w:lang w:val="en-US" w:eastAsia="zh-CN"/>
        </w:rPr>
        <w:t>86633123</w:t>
      </w:r>
    </w:p>
    <w:p w14:paraId="25F384BD">
      <w:pPr>
        <w:spacing w:line="500" w:lineRule="exact"/>
        <w:ind w:firstLine="723" w:firstLineChars="300"/>
        <w:rPr>
          <w:rFonts w:ascii="宋体" w:hAnsi="宋体" w:cs="宋体"/>
          <w:color w:val="auto"/>
          <w:sz w:val="24"/>
          <w:highlight w:val="none"/>
          <w:u w:val="single"/>
        </w:rPr>
      </w:pPr>
      <w:r>
        <w:rPr>
          <w:rFonts w:hint="eastAsia" w:ascii="宋体" w:hAnsi="宋体" w:cs="宋体"/>
          <w:b/>
          <w:bCs/>
          <w:color w:val="auto"/>
          <w:sz w:val="24"/>
          <w:highlight w:val="none"/>
        </w:rPr>
        <w:t>3.</w:t>
      </w:r>
      <w:bookmarkEnd w:id="7"/>
      <w:bookmarkEnd w:id="8"/>
      <w:r>
        <w:rPr>
          <w:rFonts w:hint="eastAsia" w:ascii="宋体" w:hAnsi="宋体" w:cs="宋体"/>
          <w:b/>
          <w:bCs/>
          <w:color w:val="auto"/>
          <w:sz w:val="24"/>
          <w:highlight w:val="none"/>
        </w:rPr>
        <w:t>同级政府采购监督管理部门：</w:t>
      </w:r>
    </w:p>
    <w:p w14:paraId="53E0D950">
      <w:pPr>
        <w:spacing w:line="500" w:lineRule="exact"/>
        <w:ind w:firstLine="720" w:firstLineChars="300"/>
        <w:rPr>
          <w:rFonts w:ascii="宋体" w:hAnsi="宋体" w:cs="宋体"/>
          <w:color w:val="auto"/>
          <w:sz w:val="24"/>
          <w:highlight w:val="none"/>
        </w:rPr>
      </w:pPr>
      <w:r>
        <w:rPr>
          <w:rFonts w:hint="eastAsia" w:ascii="宋体" w:hAnsi="宋体" w:cs="宋体"/>
          <w:color w:val="auto"/>
          <w:sz w:val="24"/>
          <w:highlight w:val="none"/>
        </w:rPr>
        <w:t>名称：东阳市财政局采监科              地址：东阳市人民路8号</w:t>
      </w:r>
    </w:p>
    <w:p w14:paraId="656584A7">
      <w:pPr>
        <w:spacing w:line="500" w:lineRule="exact"/>
        <w:ind w:firstLine="720" w:firstLineChars="300"/>
        <w:rPr>
          <w:rFonts w:ascii="宋体" w:hAnsi="宋体" w:cs="宋体"/>
          <w:b/>
          <w:color w:val="auto"/>
          <w:sz w:val="24"/>
          <w:highlight w:val="none"/>
        </w:rPr>
      </w:pPr>
      <w:r>
        <w:rPr>
          <w:rFonts w:hint="eastAsia" w:ascii="宋体" w:hAnsi="宋体" w:cs="宋体"/>
          <w:color w:val="auto"/>
          <w:sz w:val="24"/>
          <w:highlight w:val="none"/>
        </w:rPr>
        <w:t>监督投诉电话：0579-86662677</w:t>
      </w:r>
    </w:p>
    <w:p w14:paraId="5F4C0971">
      <w:pPr>
        <w:snapToGrid w:val="0"/>
        <w:spacing w:line="500" w:lineRule="exact"/>
        <w:ind w:left="1441" w:leftChars="342" w:hanging="723" w:hangingChars="300"/>
        <w:rPr>
          <w:rFonts w:ascii="宋体" w:hAnsi="宋体" w:cs="宋体"/>
          <w:b w:val="0"/>
          <w:bCs/>
          <w:color w:val="auto"/>
          <w:sz w:val="24"/>
          <w:highlight w:val="none"/>
        </w:rPr>
      </w:pPr>
      <w:r>
        <w:rPr>
          <w:rFonts w:hint="eastAsia" w:ascii="宋体" w:hAnsi="宋体" w:cs="宋体"/>
          <w:b/>
          <w:color w:val="auto"/>
          <w:sz w:val="24"/>
          <w:highlight w:val="none"/>
        </w:rPr>
        <w:t>附件：</w:t>
      </w:r>
      <w:r>
        <w:rPr>
          <w:rFonts w:hint="eastAsia" w:ascii="宋体" w:hAnsi="宋体" w:cs="宋体"/>
          <w:b/>
          <w:color w:val="auto"/>
          <w:sz w:val="24"/>
          <w:szCs w:val="22"/>
          <w:highlight w:val="none"/>
          <w:lang w:eastAsia="zh-CN"/>
        </w:rPr>
        <w:t>浙江东阳经济开发区城市分批次建设项目土地报批技术服务项目</w:t>
      </w:r>
    </w:p>
    <w:p w14:paraId="6C1F13E8">
      <w:pPr>
        <w:snapToGrid w:val="0"/>
        <w:spacing w:line="500" w:lineRule="exact"/>
        <w:ind w:left="5799" w:leftChars="237" w:right="198" w:hanging="5301" w:hangingChars="2200"/>
        <w:jc w:val="center"/>
        <w:rPr>
          <w:rFonts w:ascii="宋体" w:hAnsi="宋体" w:cs="宋体"/>
          <w:b/>
          <w:color w:val="auto"/>
          <w:sz w:val="24"/>
          <w:highlight w:val="none"/>
        </w:rPr>
      </w:pPr>
    </w:p>
    <w:p w14:paraId="40190CA1">
      <w:pPr>
        <w:pStyle w:val="7"/>
        <w:ind w:firstLine="482"/>
        <w:rPr>
          <w:rFonts w:ascii="宋体" w:hAnsi="宋体" w:cs="宋体"/>
          <w:b/>
          <w:color w:val="auto"/>
          <w:sz w:val="24"/>
          <w:highlight w:val="none"/>
        </w:rPr>
      </w:pPr>
    </w:p>
    <w:p w14:paraId="3DFB181D">
      <w:pPr>
        <w:rPr>
          <w:color w:val="auto"/>
          <w:highlight w:val="none"/>
        </w:rPr>
      </w:pPr>
    </w:p>
    <w:p w14:paraId="52904BE5">
      <w:pPr>
        <w:snapToGrid w:val="0"/>
        <w:spacing w:line="500" w:lineRule="exact"/>
        <w:ind w:left="5799" w:leftChars="237" w:right="198" w:hanging="5301" w:hangingChars="2200"/>
        <w:jc w:val="center"/>
        <w:rPr>
          <w:rFonts w:ascii="宋体" w:hAnsi="宋体" w:cs="宋体"/>
          <w:b/>
          <w:color w:val="auto"/>
          <w:sz w:val="24"/>
          <w:highlight w:val="none"/>
        </w:rPr>
      </w:pPr>
      <w:r>
        <w:rPr>
          <w:rFonts w:hint="eastAsia" w:ascii="宋体" w:hAnsi="宋体" w:cs="宋体"/>
          <w:b/>
          <w:color w:val="auto"/>
          <w:sz w:val="24"/>
          <w:highlight w:val="none"/>
        </w:rPr>
        <w:t xml:space="preserve">                                   </w:t>
      </w:r>
      <w:r>
        <w:rPr>
          <w:rFonts w:hint="eastAsia" w:ascii="宋体" w:hAnsi="宋体" w:cs="宋体"/>
          <w:b/>
          <w:color w:val="auto"/>
          <w:sz w:val="24"/>
          <w:highlight w:val="none"/>
          <w:lang w:eastAsia="zh-CN"/>
        </w:rPr>
        <w:t>浙江东阳经济开发区管理委员会</w:t>
      </w:r>
      <w:r>
        <w:rPr>
          <w:rFonts w:hint="eastAsia" w:ascii="宋体" w:hAnsi="宋体" w:cs="宋体"/>
          <w:b/>
          <w:color w:val="auto"/>
          <w:sz w:val="24"/>
          <w:highlight w:val="none"/>
        </w:rPr>
        <w:t xml:space="preserve">                             </w:t>
      </w:r>
    </w:p>
    <w:p w14:paraId="0769D722">
      <w:pPr>
        <w:snapToGrid w:val="0"/>
        <w:spacing w:line="500" w:lineRule="exact"/>
        <w:ind w:left="5799" w:leftChars="237" w:right="198" w:hanging="5301" w:hangingChars="2200"/>
        <w:jc w:val="center"/>
        <w:rPr>
          <w:rFonts w:ascii="宋体" w:hAnsi="宋体" w:cs="宋体"/>
          <w:b/>
          <w:color w:val="auto"/>
          <w:sz w:val="24"/>
          <w:highlight w:val="none"/>
        </w:rPr>
      </w:pPr>
      <w:r>
        <w:rPr>
          <w:rFonts w:hint="eastAsia" w:ascii="宋体" w:hAnsi="宋体" w:cs="宋体"/>
          <w:b/>
          <w:color w:val="auto"/>
          <w:sz w:val="24"/>
          <w:highlight w:val="none"/>
        </w:rPr>
        <w:t xml:space="preserve">                              </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 xml:space="preserve"> 东阳市鑫盛工程咨询有限公司</w:t>
      </w:r>
    </w:p>
    <w:p w14:paraId="7B0F0A25">
      <w:pPr>
        <w:snapToGrid w:val="0"/>
        <w:spacing w:line="500" w:lineRule="exact"/>
        <w:ind w:right="198" w:firstLine="5783" w:firstLineChars="2400"/>
        <w:rPr>
          <w:rFonts w:ascii="宋体" w:hAnsi="宋体" w:cs="宋体"/>
          <w:color w:val="auto"/>
          <w:kern w:val="0"/>
          <w:sz w:val="24"/>
          <w:highlight w:val="none"/>
        </w:rPr>
      </w:pPr>
      <w:r>
        <w:rPr>
          <w:rFonts w:hint="eastAsia" w:ascii="宋体" w:hAnsi="宋体" w:cs="宋体"/>
          <w:b/>
          <w:color w:val="auto"/>
          <w:sz w:val="24"/>
          <w:highlight w:val="none"/>
        </w:rPr>
        <w:t>202</w:t>
      </w: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年</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月</w:t>
      </w:r>
      <w:r>
        <w:rPr>
          <w:rFonts w:hint="eastAsia" w:ascii="宋体" w:hAnsi="宋体" w:cs="宋体"/>
          <w:b/>
          <w:color w:val="auto"/>
          <w:sz w:val="24"/>
          <w:highlight w:val="none"/>
          <w:lang w:val="en-US" w:eastAsia="zh-CN"/>
        </w:rPr>
        <w:t>17</w:t>
      </w:r>
      <w:r>
        <w:rPr>
          <w:rFonts w:hint="eastAsia" w:ascii="宋体" w:hAnsi="宋体" w:cs="宋体"/>
          <w:b/>
          <w:color w:val="auto"/>
          <w:sz w:val="24"/>
          <w:highlight w:val="none"/>
        </w:rPr>
        <w:t>日</w:t>
      </w:r>
    </w:p>
    <w:p w14:paraId="7E3FF459">
      <w:pPr>
        <w:snapToGrid w:val="0"/>
        <w:spacing w:line="500" w:lineRule="exact"/>
        <w:ind w:right="198"/>
        <w:rPr>
          <w:rFonts w:ascii="宋体" w:hAnsi="宋体" w:cs="宋体"/>
          <w:color w:val="auto"/>
          <w:kern w:val="0"/>
          <w:sz w:val="22"/>
          <w:szCs w:val="22"/>
          <w:highlight w:val="none"/>
        </w:rPr>
      </w:pPr>
    </w:p>
    <w:p w14:paraId="227F823A">
      <w:pPr>
        <w:snapToGrid w:val="0"/>
        <w:spacing w:line="500" w:lineRule="exact"/>
        <w:ind w:right="198"/>
        <w:rPr>
          <w:rFonts w:ascii="宋体" w:hAnsi="宋体" w:cs="宋体"/>
          <w:color w:val="auto"/>
          <w:kern w:val="0"/>
          <w:sz w:val="22"/>
          <w:szCs w:val="22"/>
          <w:highlight w:val="none"/>
        </w:rPr>
      </w:pPr>
    </w:p>
    <w:p w14:paraId="21C98C14">
      <w:pPr>
        <w:snapToGrid w:val="0"/>
        <w:spacing w:line="500" w:lineRule="exact"/>
        <w:ind w:right="198"/>
        <w:rPr>
          <w:rFonts w:ascii="宋体" w:hAnsi="宋体" w:cs="宋体"/>
          <w:color w:val="auto"/>
          <w:sz w:val="22"/>
          <w:szCs w:val="22"/>
          <w:highlight w:val="none"/>
        </w:rPr>
      </w:pPr>
      <w:r>
        <w:rPr>
          <w:rFonts w:hint="eastAsia" w:ascii="宋体" w:hAnsi="宋体" w:cs="宋体"/>
          <w:color w:val="auto"/>
          <w:kern w:val="0"/>
          <w:sz w:val="22"/>
          <w:szCs w:val="22"/>
          <w:highlight w:val="none"/>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4"/>
          <w:highlight w:val="none"/>
        </w:rPr>
        <w:t>95763</w:t>
      </w:r>
      <w:r>
        <w:rPr>
          <w:rFonts w:hint="eastAsia" w:ascii="宋体" w:hAnsi="宋体" w:cs="宋体"/>
          <w:color w:val="auto"/>
          <w:kern w:val="0"/>
          <w:sz w:val="22"/>
          <w:szCs w:val="22"/>
          <w:highlight w:val="none"/>
        </w:rPr>
        <w:t>获取热线服务帮助。CA问题联系电话（人工）：汇信CA 400-888-4636；天谷CA 400-087-8198。</w:t>
      </w:r>
    </w:p>
    <w:p w14:paraId="78D634A4">
      <w:pPr>
        <w:pStyle w:val="18"/>
        <w:pageBreakBefore/>
        <w:snapToGrid w:val="0"/>
        <w:spacing w:before="120" w:after="120" w:line="360" w:lineRule="auto"/>
        <w:jc w:val="center"/>
        <w:outlineLvl w:val="0"/>
        <w:rPr>
          <w:rFonts w:ascii="宋体" w:hAnsi="宋体" w:cs="宋体"/>
          <w:b/>
          <w:color w:val="auto"/>
          <w:szCs w:val="24"/>
          <w:highlight w:val="none"/>
        </w:rPr>
      </w:pPr>
      <w:bookmarkStart w:id="9" w:name="_Toc6987"/>
      <w:r>
        <w:rPr>
          <w:rFonts w:hint="eastAsia" w:ascii="宋体" w:hAnsi="宋体" w:cs="宋体"/>
          <w:b/>
          <w:color w:val="auto"/>
          <w:szCs w:val="24"/>
          <w:highlight w:val="none"/>
        </w:rPr>
        <w:t>第二章  招标需求</w:t>
      </w:r>
      <w:bookmarkEnd w:id="9"/>
    </w:p>
    <w:p w14:paraId="6EF51BBC">
      <w:pPr>
        <w:spacing w:line="360" w:lineRule="auto"/>
        <w:rPr>
          <w:rFonts w:hint="eastAsia" w:ascii="宋体" w:hAnsi="宋体" w:cs="宋体"/>
          <w:b/>
          <w:color w:val="auto"/>
          <w:sz w:val="24"/>
          <w:szCs w:val="22"/>
          <w:highlight w:val="none"/>
          <w:lang w:eastAsia="zh-CN"/>
        </w:rPr>
      </w:pPr>
      <w:r>
        <w:rPr>
          <w:rFonts w:hint="eastAsia" w:ascii="宋体" w:hAnsi="宋体" w:cs="宋体"/>
          <w:b/>
          <w:color w:val="auto"/>
          <w:sz w:val="24"/>
          <w:szCs w:val="22"/>
          <w:highlight w:val="none"/>
        </w:rPr>
        <w:t>一、项目编号：</w:t>
      </w:r>
      <w:r>
        <w:rPr>
          <w:rFonts w:hint="eastAsia" w:ascii="宋体" w:hAnsi="宋体" w:cs="宋体"/>
          <w:b/>
          <w:color w:val="auto"/>
          <w:sz w:val="24"/>
          <w:szCs w:val="22"/>
          <w:highlight w:val="none"/>
          <w:lang w:eastAsia="zh-CN"/>
        </w:rPr>
        <w:t>XSZFCGDZ202</w:t>
      </w:r>
      <w:r>
        <w:rPr>
          <w:rFonts w:hint="eastAsia" w:ascii="宋体" w:hAnsi="宋体" w:cs="宋体"/>
          <w:b/>
          <w:color w:val="auto"/>
          <w:sz w:val="24"/>
          <w:szCs w:val="22"/>
          <w:highlight w:val="none"/>
          <w:lang w:val="en-US" w:eastAsia="zh-CN"/>
        </w:rPr>
        <w:t>5</w:t>
      </w:r>
      <w:r>
        <w:rPr>
          <w:rFonts w:hint="eastAsia" w:ascii="宋体" w:hAnsi="宋体" w:cs="宋体"/>
          <w:b/>
          <w:color w:val="auto"/>
          <w:sz w:val="24"/>
          <w:szCs w:val="22"/>
          <w:highlight w:val="none"/>
          <w:lang w:eastAsia="zh-CN"/>
        </w:rPr>
        <w:t>-</w:t>
      </w:r>
      <w:r>
        <w:rPr>
          <w:rFonts w:hint="eastAsia" w:ascii="宋体" w:hAnsi="宋体" w:cs="宋体"/>
          <w:b/>
          <w:color w:val="auto"/>
          <w:sz w:val="24"/>
          <w:szCs w:val="22"/>
          <w:highlight w:val="none"/>
          <w:lang w:val="en-US" w:eastAsia="zh-CN"/>
        </w:rPr>
        <w:t>101</w:t>
      </w:r>
    </w:p>
    <w:p w14:paraId="487003DB">
      <w:pPr>
        <w:spacing w:line="360" w:lineRule="auto"/>
        <w:rPr>
          <w:rFonts w:hint="eastAsia" w:ascii="宋体" w:hAnsi="宋体" w:cs="宋体"/>
          <w:b/>
          <w:color w:val="auto"/>
          <w:sz w:val="24"/>
          <w:szCs w:val="22"/>
          <w:highlight w:val="none"/>
          <w:lang w:eastAsia="zh-CN"/>
        </w:rPr>
      </w:pPr>
      <w:r>
        <w:rPr>
          <w:rFonts w:hint="eastAsia" w:ascii="宋体" w:hAnsi="宋体" w:cs="宋体"/>
          <w:b/>
          <w:color w:val="auto"/>
          <w:sz w:val="24"/>
          <w:szCs w:val="22"/>
          <w:highlight w:val="none"/>
        </w:rPr>
        <w:t>二、项目名称：</w:t>
      </w:r>
      <w:bookmarkStart w:id="10" w:name="_Toc495926918"/>
      <w:r>
        <w:rPr>
          <w:rFonts w:hint="eastAsia" w:ascii="宋体" w:hAnsi="宋体" w:cs="宋体"/>
          <w:b/>
          <w:color w:val="auto"/>
          <w:sz w:val="24"/>
          <w:szCs w:val="22"/>
          <w:highlight w:val="none"/>
          <w:lang w:eastAsia="zh-CN"/>
        </w:rPr>
        <w:t>浙江东阳经济开发区城市分批次建设项目土地报批技术服务项目</w:t>
      </w:r>
    </w:p>
    <w:tbl>
      <w:tblPr>
        <w:tblStyle w:val="24"/>
        <w:tblW w:w="98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3584"/>
        <w:gridCol w:w="1919"/>
        <w:gridCol w:w="2083"/>
        <w:gridCol w:w="1503"/>
      </w:tblGrid>
      <w:tr w14:paraId="7F51C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721" w:type="dxa"/>
            <w:vAlign w:val="center"/>
          </w:tcPr>
          <w:p w14:paraId="358F5D88">
            <w:pPr>
              <w:widowControl/>
              <w:overflowPunct w:val="0"/>
              <w:autoSpaceDE w:val="0"/>
              <w:autoSpaceDN w:val="0"/>
              <w:adjustRightInd w:val="0"/>
              <w:spacing w:line="460" w:lineRule="exact"/>
              <w:jc w:val="center"/>
              <w:textAlignment w:val="baseline"/>
              <w:rPr>
                <w:b/>
                <w:bCs w:val="0"/>
                <w:color w:val="auto"/>
                <w:sz w:val="24"/>
                <w:highlight w:val="none"/>
              </w:rPr>
            </w:pPr>
            <w:r>
              <w:rPr>
                <w:rFonts w:hint="eastAsia"/>
                <w:b/>
                <w:bCs w:val="0"/>
                <w:color w:val="auto"/>
                <w:sz w:val="24"/>
                <w:highlight w:val="none"/>
              </w:rPr>
              <w:t>序号</w:t>
            </w:r>
          </w:p>
        </w:tc>
        <w:tc>
          <w:tcPr>
            <w:tcW w:w="3584" w:type="dxa"/>
            <w:vAlign w:val="center"/>
          </w:tcPr>
          <w:p w14:paraId="492CD2A0">
            <w:pPr>
              <w:widowControl/>
              <w:overflowPunct w:val="0"/>
              <w:autoSpaceDE w:val="0"/>
              <w:autoSpaceDN w:val="0"/>
              <w:adjustRightInd w:val="0"/>
              <w:spacing w:line="460" w:lineRule="exact"/>
              <w:jc w:val="center"/>
              <w:textAlignment w:val="baseline"/>
              <w:rPr>
                <w:rFonts w:ascii="宋体" w:hAnsi="宋体"/>
                <w:b/>
                <w:bCs w:val="0"/>
                <w:color w:val="auto"/>
                <w:kern w:val="0"/>
                <w:sz w:val="24"/>
                <w:highlight w:val="none"/>
              </w:rPr>
            </w:pPr>
            <w:r>
              <w:rPr>
                <w:rFonts w:hint="eastAsia" w:ascii="宋体" w:hAnsi="宋体"/>
                <w:b/>
                <w:bCs w:val="0"/>
                <w:color w:val="auto"/>
                <w:kern w:val="0"/>
                <w:sz w:val="24"/>
                <w:highlight w:val="none"/>
              </w:rPr>
              <w:t>采购内容</w:t>
            </w:r>
          </w:p>
        </w:tc>
        <w:tc>
          <w:tcPr>
            <w:tcW w:w="1919" w:type="dxa"/>
            <w:shd w:val="clear" w:color="auto" w:fill="auto"/>
            <w:vAlign w:val="center"/>
          </w:tcPr>
          <w:p w14:paraId="60AB3D95">
            <w:pPr>
              <w:snapToGrid w:val="0"/>
              <w:spacing w:line="440" w:lineRule="exact"/>
              <w:jc w:val="center"/>
              <w:rPr>
                <w:rFonts w:hint="eastAsia" w:ascii="宋体" w:hAnsi="宋体" w:eastAsia="宋体" w:cs="Times New Roman"/>
                <w:b/>
                <w:bCs w:val="0"/>
                <w:color w:val="auto"/>
                <w:kern w:val="2"/>
                <w:sz w:val="24"/>
                <w:szCs w:val="24"/>
                <w:highlight w:val="none"/>
                <w:lang w:val="en-US" w:eastAsia="zh-CN" w:bidi="ar-SA"/>
              </w:rPr>
            </w:pPr>
            <w:r>
              <w:rPr>
                <w:rFonts w:hint="eastAsia" w:ascii="宋体" w:hAnsi="宋体"/>
                <w:b/>
                <w:bCs w:val="0"/>
                <w:color w:val="auto"/>
                <w:sz w:val="24"/>
                <w:highlight w:val="none"/>
                <w:lang w:val="en-US" w:eastAsia="zh-CN"/>
              </w:rPr>
              <w:t>最高单价限价</w:t>
            </w:r>
          </w:p>
        </w:tc>
        <w:tc>
          <w:tcPr>
            <w:tcW w:w="2083" w:type="dxa"/>
            <w:vAlign w:val="center"/>
          </w:tcPr>
          <w:p w14:paraId="73F017EA">
            <w:pPr>
              <w:snapToGrid w:val="0"/>
              <w:spacing w:line="440" w:lineRule="exact"/>
              <w:jc w:val="center"/>
              <w:rPr>
                <w:b/>
                <w:bCs w:val="0"/>
                <w:color w:val="auto"/>
                <w:sz w:val="24"/>
                <w:highlight w:val="none"/>
              </w:rPr>
            </w:pPr>
            <w:r>
              <w:rPr>
                <w:rFonts w:hint="eastAsia" w:ascii="宋体" w:hAnsi="宋体"/>
                <w:b/>
                <w:bCs w:val="0"/>
                <w:color w:val="auto"/>
                <w:sz w:val="24"/>
                <w:highlight w:val="none"/>
                <w:lang w:val="en-US" w:eastAsia="zh-CN"/>
              </w:rPr>
              <w:t>预算金额</w:t>
            </w:r>
          </w:p>
        </w:tc>
        <w:tc>
          <w:tcPr>
            <w:tcW w:w="1503" w:type="dxa"/>
            <w:vAlign w:val="center"/>
          </w:tcPr>
          <w:p w14:paraId="00C93AD3">
            <w:pPr>
              <w:snapToGrid w:val="0"/>
              <w:spacing w:line="440" w:lineRule="exact"/>
              <w:jc w:val="center"/>
              <w:rPr>
                <w:rFonts w:ascii="宋体" w:hAnsi="宋体"/>
                <w:b/>
                <w:bCs w:val="0"/>
                <w:color w:val="auto"/>
                <w:kern w:val="0"/>
                <w:sz w:val="24"/>
                <w:highlight w:val="none"/>
              </w:rPr>
            </w:pPr>
            <w:r>
              <w:rPr>
                <w:rFonts w:hint="eastAsia" w:ascii="宋体" w:hAnsi="宋体"/>
                <w:b/>
                <w:bCs w:val="0"/>
                <w:color w:val="auto"/>
                <w:sz w:val="24"/>
                <w:highlight w:val="none"/>
              </w:rPr>
              <w:t>备注</w:t>
            </w:r>
          </w:p>
        </w:tc>
      </w:tr>
      <w:tr w14:paraId="0A6FC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2" w:hRule="atLeast"/>
          <w:jc w:val="center"/>
        </w:trPr>
        <w:tc>
          <w:tcPr>
            <w:tcW w:w="721" w:type="dxa"/>
            <w:vAlign w:val="center"/>
          </w:tcPr>
          <w:p w14:paraId="033FE4D2">
            <w:pPr>
              <w:spacing w:line="380" w:lineRule="exact"/>
              <w:jc w:val="center"/>
              <w:rPr>
                <w:rFonts w:ascii="宋体" w:hAnsi="宋体" w:cs="宋体"/>
                <w:color w:val="auto"/>
                <w:sz w:val="24"/>
                <w:highlight w:val="none"/>
              </w:rPr>
            </w:pPr>
            <w:r>
              <w:rPr>
                <w:rFonts w:hint="eastAsia" w:ascii="宋体" w:hAnsi="宋体" w:cs="宋体"/>
                <w:color w:val="auto"/>
                <w:sz w:val="24"/>
                <w:highlight w:val="none"/>
              </w:rPr>
              <w:t>1</w:t>
            </w:r>
          </w:p>
        </w:tc>
        <w:tc>
          <w:tcPr>
            <w:tcW w:w="3584" w:type="dxa"/>
            <w:vAlign w:val="center"/>
          </w:tcPr>
          <w:p w14:paraId="51EB1D44">
            <w:pPr>
              <w:spacing w:line="380" w:lineRule="exact"/>
              <w:jc w:val="center"/>
              <w:rPr>
                <w:rFonts w:hint="eastAsia" w:eastAsia="宋体"/>
                <w:b w:val="0"/>
                <w:bCs/>
                <w:color w:val="auto"/>
                <w:sz w:val="24"/>
                <w:highlight w:val="none"/>
                <w:lang w:eastAsia="zh-CN"/>
              </w:rPr>
            </w:pPr>
            <w:r>
              <w:rPr>
                <w:rFonts w:hint="eastAsia" w:eastAsia="宋体"/>
                <w:b w:val="0"/>
                <w:bCs/>
                <w:color w:val="auto"/>
                <w:sz w:val="24"/>
                <w:highlight w:val="none"/>
                <w:lang w:eastAsia="zh-CN"/>
              </w:rPr>
              <w:t>浙江东阳经济开发区城市分批次建设项目土地报批技术服务项目</w:t>
            </w:r>
          </w:p>
        </w:tc>
        <w:tc>
          <w:tcPr>
            <w:tcW w:w="1919" w:type="dxa"/>
            <w:shd w:val="clear" w:color="auto" w:fill="auto"/>
            <w:vAlign w:val="center"/>
          </w:tcPr>
          <w:p w14:paraId="7088CE3F">
            <w:pPr>
              <w:snapToGrid w:val="0"/>
              <w:spacing w:line="440" w:lineRule="exact"/>
              <w:jc w:val="center"/>
              <w:rPr>
                <w:rFonts w:hint="eastAsia" w:ascii="Times New Roman" w:hAnsi="Times New Roman" w:eastAsia="宋体" w:cs="Times New Roman"/>
                <w:b w:val="0"/>
                <w:bCs/>
                <w:color w:val="auto"/>
                <w:kern w:val="2"/>
                <w:sz w:val="24"/>
                <w:szCs w:val="32"/>
                <w:highlight w:val="none"/>
                <w:lang w:val="en-US" w:eastAsia="zh-CN" w:bidi="ar-SA"/>
              </w:rPr>
            </w:pPr>
            <w:r>
              <w:rPr>
                <w:rFonts w:hint="eastAsia" w:ascii="宋体" w:hAnsi="宋体" w:cs="宋体"/>
                <w:b w:val="0"/>
                <w:bCs/>
                <w:color w:val="auto"/>
                <w:sz w:val="24"/>
                <w:szCs w:val="24"/>
                <w:highlight w:val="none"/>
                <w:lang w:val="en-US" w:eastAsia="zh-CN"/>
              </w:rPr>
              <w:t>99600元/个</w:t>
            </w:r>
          </w:p>
        </w:tc>
        <w:tc>
          <w:tcPr>
            <w:tcW w:w="2083" w:type="dxa"/>
            <w:vAlign w:val="center"/>
          </w:tcPr>
          <w:p w14:paraId="788E434C">
            <w:pPr>
              <w:snapToGrid w:val="0"/>
              <w:spacing w:line="440" w:lineRule="exact"/>
              <w:jc w:val="center"/>
              <w:rPr>
                <w:rFonts w:hint="default" w:eastAsia="宋体"/>
                <w:color w:val="auto"/>
                <w:sz w:val="24"/>
                <w:highlight w:val="none"/>
                <w:lang w:val="en-US" w:eastAsia="zh-CN"/>
              </w:rPr>
            </w:pPr>
            <w:r>
              <w:rPr>
                <w:rFonts w:hint="eastAsia" w:ascii="宋体" w:hAnsi="宋体" w:cs="宋体"/>
                <w:b w:val="0"/>
                <w:bCs/>
                <w:color w:val="auto"/>
                <w:sz w:val="24"/>
                <w:szCs w:val="24"/>
                <w:highlight w:val="none"/>
                <w:lang w:val="en-US" w:eastAsia="zh-CN"/>
              </w:rPr>
              <w:t>2689200元/年</w:t>
            </w:r>
          </w:p>
        </w:tc>
        <w:tc>
          <w:tcPr>
            <w:tcW w:w="1503" w:type="dxa"/>
            <w:vAlign w:val="center"/>
          </w:tcPr>
          <w:p w14:paraId="228E9221">
            <w:pPr>
              <w:widowControl/>
              <w:spacing w:line="440" w:lineRule="exact"/>
              <w:jc w:val="center"/>
              <w:rPr>
                <w:color w:val="auto"/>
                <w:sz w:val="24"/>
                <w:highlight w:val="none"/>
              </w:rPr>
            </w:pPr>
          </w:p>
        </w:tc>
      </w:tr>
      <w:bookmarkEnd w:id="10"/>
    </w:tbl>
    <w:p w14:paraId="5D1FAEC9">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420" w:lineRule="exact"/>
        <w:ind w:leftChars="0"/>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lang w:val="en-US" w:eastAsia="zh-CN"/>
        </w:rPr>
        <w:t>项目概况</w:t>
      </w:r>
      <w:r>
        <w:rPr>
          <w:rFonts w:hint="eastAsia" w:ascii="宋体" w:hAnsi="宋体" w:cs="宋体"/>
          <w:b/>
          <w:bCs/>
          <w:color w:val="auto"/>
          <w:sz w:val="24"/>
          <w:szCs w:val="24"/>
          <w:highlight w:val="none"/>
          <w:lang w:val="en-US" w:eastAsia="zh-CN"/>
        </w:rPr>
        <w:t>、服务期</w:t>
      </w:r>
    </w:p>
    <w:p w14:paraId="32556D56">
      <w:pPr>
        <w:pStyle w:val="14"/>
        <w:spacing w:line="50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因东阳市“万亩千亿”新产业平台综合开发建设，</w:t>
      </w:r>
      <w:r>
        <w:rPr>
          <w:rFonts w:hint="eastAsia" w:ascii="宋体" w:hAnsi="宋体" w:eastAsia="宋体" w:cs="宋体"/>
          <w:color w:val="auto"/>
          <w:sz w:val="24"/>
          <w:szCs w:val="24"/>
          <w:highlight w:val="none"/>
        </w:rPr>
        <w:t>鉴于</w:t>
      </w:r>
      <w:r>
        <w:rPr>
          <w:rFonts w:hint="eastAsia" w:ascii="宋体" w:hAnsi="宋体" w:cs="宋体"/>
          <w:color w:val="auto"/>
          <w:sz w:val="24"/>
          <w:szCs w:val="24"/>
          <w:highlight w:val="none"/>
          <w:lang w:val="en-US" w:eastAsia="zh-CN"/>
        </w:rPr>
        <w:t>平台</w:t>
      </w:r>
      <w:r>
        <w:rPr>
          <w:rFonts w:hint="eastAsia" w:ascii="宋体" w:hAnsi="宋体" w:eastAsia="宋体" w:cs="宋体"/>
          <w:color w:val="auto"/>
          <w:sz w:val="24"/>
          <w:szCs w:val="24"/>
          <w:highlight w:val="none"/>
        </w:rPr>
        <w:t>项目</w:t>
      </w:r>
      <w:r>
        <w:rPr>
          <w:rFonts w:hint="eastAsia" w:ascii="宋体" w:hAnsi="宋体" w:cs="宋体"/>
          <w:color w:val="auto"/>
          <w:sz w:val="24"/>
          <w:szCs w:val="24"/>
          <w:highlight w:val="none"/>
          <w:lang w:val="en-US" w:eastAsia="zh-CN"/>
        </w:rPr>
        <w:t>土地报批</w:t>
      </w:r>
      <w:r>
        <w:rPr>
          <w:rFonts w:hint="eastAsia" w:ascii="宋体" w:hAnsi="宋体" w:eastAsia="宋体" w:cs="宋体"/>
          <w:color w:val="auto"/>
          <w:sz w:val="24"/>
          <w:szCs w:val="24"/>
          <w:highlight w:val="none"/>
        </w:rPr>
        <w:t>工作时间紧、工作量大、专业性强</w:t>
      </w:r>
      <w:r>
        <w:rPr>
          <w:rFonts w:hint="eastAsia" w:ascii="宋体" w:hAnsi="宋体" w:eastAsia="宋体" w:cs="宋体"/>
          <w:color w:val="auto"/>
          <w:sz w:val="24"/>
          <w:szCs w:val="24"/>
          <w:highlight w:val="none"/>
          <w:lang w:eastAsia="zh-CN"/>
        </w:rPr>
        <w:t>，为确保按时保质完成土地报批工作，</w:t>
      </w:r>
      <w:r>
        <w:rPr>
          <w:rFonts w:hint="eastAsia" w:ascii="宋体" w:hAnsi="宋体" w:eastAsia="宋体" w:cs="宋体"/>
          <w:color w:val="auto"/>
          <w:sz w:val="24"/>
          <w:szCs w:val="24"/>
          <w:highlight w:val="none"/>
        </w:rPr>
        <w:t>现对浙江东阳经济开发区城市分批次建设项目土地报批技术服务项目工作进行招标。通过技术支持，可有效提高建设用地报批效率，具体</w:t>
      </w:r>
      <w:r>
        <w:rPr>
          <w:rFonts w:hint="eastAsia" w:ascii="宋体" w:hAnsi="宋体" w:eastAsia="宋体" w:cs="宋体"/>
          <w:color w:val="auto"/>
          <w:sz w:val="24"/>
          <w:szCs w:val="24"/>
          <w:highlight w:val="none"/>
          <w:lang w:val="en-US" w:eastAsia="zh-CN"/>
        </w:rPr>
        <w:t>工作</w:t>
      </w:r>
      <w:r>
        <w:rPr>
          <w:rFonts w:hint="eastAsia" w:ascii="宋体" w:hAnsi="宋体" w:cs="宋体"/>
          <w:color w:val="auto"/>
          <w:sz w:val="24"/>
          <w:szCs w:val="24"/>
          <w:highlight w:val="none"/>
          <w:lang w:val="en-US" w:eastAsia="zh-CN"/>
        </w:rPr>
        <w:t>为各环节</w:t>
      </w:r>
      <w:r>
        <w:rPr>
          <w:rFonts w:hint="eastAsia" w:ascii="宋体" w:hAnsi="宋体" w:eastAsia="宋体" w:cs="宋体"/>
          <w:color w:val="auto"/>
          <w:sz w:val="24"/>
          <w:szCs w:val="24"/>
          <w:highlight w:val="none"/>
        </w:rPr>
        <w:t>咨询服务工作。</w:t>
      </w:r>
    </w:p>
    <w:p w14:paraId="69BE318B">
      <w:pPr>
        <w:pStyle w:val="14"/>
        <w:spacing w:line="500" w:lineRule="exact"/>
        <w:ind w:firstLine="480" w:firstLineChars="200"/>
        <w:rPr>
          <w:rFonts w:hint="eastAsia" w:asciiTheme="majorEastAsia" w:hAnsiTheme="majorEastAsia" w:eastAsiaTheme="majorEastAsia" w:cstheme="majorEastAsia"/>
          <w:color w:val="auto"/>
          <w:sz w:val="24"/>
          <w:highlight w:val="none"/>
          <w:lang w:val="en-US" w:eastAsia="zh-CN"/>
        </w:rPr>
      </w:pPr>
      <w:r>
        <w:rPr>
          <w:rFonts w:hint="eastAsia" w:ascii="宋体" w:hAnsi="宋体" w:cs="宋体"/>
          <w:b w:val="0"/>
          <w:bCs w:val="0"/>
          <w:color w:val="auto"/>
          <w:sz w:val="24"/>
          <w:szCs w:val="24"/>
          <w:highlight w:val="none"/>
          <w:lang w:val="en-US" w:eastAsia="zh-CN"/>
        </w:rPr>
        <w:t>服务期</w:t>
      </w:r>
      <w:r>
        <w:rPr>
          <w:rFonts w:hint="eastAsia" w:ascii="宋体" w:hAnsi="宋体" w:cs="宋体"/>
          <w:color w:val="auto"/>
          <w:sz w:val="24"/>
          <w:highlight w:val="none"/>
        </w:rPr>
        <w:t>限</w:t>
      </w:r>
      <w:r>
        <w:rPr>
          <w:rFonts w:hint="eastAsia" w:ascii="宋体" w:hAnsi="宋体" w:cs="宋体"/>
          <w:b w:val="0"/>
          <w:bCs w:val="0"/>
          <w:color w:val="auto"/>
          <w:sz w:val="24"/>
          <w:szCs w:val="24"/>
          <w:highlight w:val="none"/>
          <w:lang w:val="en-US" w:eastAsia="zh-CN"/>
        </w:rPr>
        <w:t>：</w:t>
      </w:r>
      <w:r>
        <w:rPr>
          <w:rFonts w:hint="eastAsia" w:ascii="宋体" w:hAnsi="宋体" w:cs="宋体"/>
          <w:color w:val="auto"/>
          <w:sz w:val="24"/>
          <w:highlight w:val="none"/>
          <w:lang w:val="en-US" w:eastAsia="zh-CN"/>
        </w:rPr>
        <w:t>暂定2</w:t>
      </w:r>
      <w:r>
        <w:rPr>
          <w:rFonts w:hint="eastAsia" w:ascii="宋体" w:hAnsi="宋体" w:cs="宋体"/>
          <w:color w:val="auto"/>
          <w:sz w:val="24"/>
          <w:highlight w:val="none"/>
        </w:rPr>
        <w:t>年</w:t>
      </w:r>
      <w:r>
        <w:rPr>
          <w:rFonts w:hint="eastAsia" w:ascii="宋体" w:hAnsi="宋体" w:cs="宋体"/>
          <w:color w:val="auto"/>
          <w:sz w:val="24"/>
          <w:highlight w:val="none"/>
          <w:lang w:eastAsia="zh-CN"/>
        </w:rPr>
        <w:t>，</w:t>
      </w:r>
      <w:r>
        <w:rPr>
          <w:rFonts w:hint="eastAsia" w:asciiTheme="majorEastAsia" w:hAnsiTheme="majorEastAsia" w:eastAsiaTheme="majorEastAsia" w:cstheme="majorEastAsia"/>
          <w:color w:val="auto"/>
          <w:sz w:val="24"/>
          <w:highlight w:val="none"/>
          <w:lang w:val="en-US" w:eastAsia="zh-CN"/>
        </w:rPr>
        <w:t>合同一年一签，如中标人的履约情况良好，无违约情形记录且采购人满意的，合同期满后可续签下一年度合同。合同期内若有资金、采购政策等重大变动的，采购人有权解除合同并重新组织招标。</w:t>
      </w:r>
    </w:p>
    <w:p w14:paraId="6DB2B120">
      <w:pPr>
        <w:keepNext w:val="0"/>
        <w:keepLines w:val="0"/>
        <w:pageBreakBefore w:val="0"/>
        <w:widowControl w:val="0"/>
        <w:kinsoku/>
        <w:wordWrap/>
        <w:overflowPunct/>
        <w:topLinePunct w:val="0"/>
        <w:autoSpaceDE/>
        <w:autoSpaceDN/>
        <w:bidi w:val="0"/>
        <w:adjustRightInd/>
        <w:snapToGrid/>
        <w:spacing w:before="157" w:beforeLines="50" w:after="157" w:afterLines="50" w:line="42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lang w:val="en-US" w:eastAsia="zh-CN"/>
        </w:rPr>
        <w:t>、技术要求</w:t>
      </w:r>
    </w:p>
    <w:p w14:paraId="473AB586">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1、工作内容</w:t>
      </w:r>
    </w:p>
    <w:p w14:paraId="6F6A1BA8">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土地</w:t>
      </w:r>
      <w:r>
        <w:rPr>
          <w:rFonts w:hint="eastAsia" w:ascii="宋体" w:hAnsi="宋体" w:eastAsia="宋体" w:cs="宋体"/>
          <w:color w:val="auto"/>
          <w:sz w:val="24"/>
          <w:szCs w:val="24"/>
          <w:highlight w:val="none"/>
        </w:rPr>
        <w:t>报批服务：具体</w:t>
      </w:r>
      <w:r>
        <w:rPr>
          <w:rFonts w:hint="eastAsia" w:ascii="宋体" w:hAnsi="宋体" w:eastAsia="宋体" w:cs="宋体"/>
          <w:color w:val="auto"/>
          <w:sz w:val="24"/>
          <w:szCs w:val="24"/>
          <w:highlight w:val="none"/>
          <w:lang w:val="en-US" w:eastAsia="zh-CN"/>
        </w:rPr>
        <w:t>工作</w:t>
      </w:r>
      <w:r>
        <w:rPr>
          <w:rFonts w:hint="eastAsia" w:ascii="宋体" w:hAnsi="宋体" w:eastAsia="宋体" w:cs="宋体"/>
          <w:color w:val="auto"/>
          <w:sz w:val="24"/>
          <w:szCs w:val="24"/>
          <w:highlight w:val="none"/>
        </w:rPr>
        <w:t>包括按要求完成用地预审、</w:t>
      </w:r>
      <w:r>
        <w:rPr>
          <w:rFonts w:hint="eastAsia" w:ascii="宋体" w:hAnsi="宋体" w:eastAsia="宋体" w:cs="宋体"/>
          <w:color w:val="auto"/>
          <w:sz w:val="24"/>
          <w:szCs w:val="24"/>
          <w:highlight w:val="none"/>
          <w:lang w:val="en-US" w:eastAsia="zh-CN"/>
        </w:rPr>
        <w:t>林地报批、土地征收、用地报批、项目供地</w:t>
      </w:r>
      <w:r>
        <w:rPr>
          <w:rFonts w:hint="eastAsia" w:ascii="宋体" w:hAnsi="宋体" w:eastAsia="宋体" w:cs="宋体"/>
          <w:color w:val="auto"/>
          <w:sz w:val="24"/>
          <w:szCs w:val="24"/>
          <w:highlight w:val="none"/>
        </w:rPr>
        <w:t>材料收集整理、审查、报批、项目备案、进度催办等咨询服务工作。</w:t>
      </w:r>
    </w:p>
    <w:p w14:paraId="135DF935">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highlight w:val="none"/>
        </w:rPr>
        <w:t>▲</w:t>
      </w:r>
      <w:r>
        <w:rPr>
          <w:rFonts w:hint="eastAsia" w:ascii="宋体" w:hAnsi="宋体" w:eastAsia="宋体" w:cs="宋体"/>
          <w:color w:val="auto"/>
          <w:sz w:val="24"/>
          <w:szCs w:val="24"/>
          <w:highlight w:val="none"/>
          <w:lang w:val="en-US" w:eastAsia="zh-CN"/>
        </w:rPr>
        <w:t>2、基本要求：</w:t>
      </w:r>
      <w:r>
        <w:rPr>
          <w:rFonts w:hint="eastAsia" w:ascii="宋体" w:hAnsi="宋体" w:cs="宋体"/>
          <w:color w:val="auto"/>
          <w:sz w:val="24"/>
          <w:szCs w:val="24"/>
          <w:highlight w:val="none"/>
          <w:lang w:val="en-US" w:eastAsia="zh-CN"/>
        </w:rPr>
        <w:t>根据现场情况至少配备1名驻场人员，</w:t>
      </w:r>
      <w:r>
        <w:rPr>
          <w:rFonts w:hint="eastAsia" w:ascii="宋体" w:hAnsi="宋体" w:cs="宋体"/>
          <w:color w:val="auto"/>
          <w:sz w:val="24"/>
          <w:szCs w:val="24"/>
          <w:highlight w:val="none"/>
          <w:lang w:val="en-US" w:eastAsia="zh-CN"/>
        </w:rPr>
        <w:t>2-3名现场办公人员。</w:t>
      </w:r>
    </w:p>
    <w:p w14:paraId="256C9A10">
      <w:pPr>
        <w:keepNext w:val="0"/>
        <w:keepLines w:val="0"/>
        <w:pageBreakBefore w:val="0"/>
        <w:widowControl w:val="0"/>
        <w:numPr>
          <w:ilvl w:val="0"/>
          <w:numId w:val="0"/>
        </w:numPr>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主要依据</w:t>
      </w:r>
    </w:p>
    <w:p w14:paraId="5920293E">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（1）《中华人民共和国土地管理法》；</w:t>
      </w:r>
    </w:p>
    <w:p w14:paraId="5F5A7091">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（2）《建设用地审查报批管理办法》（国土资源部令第69号）；</w:t>
      </w:r>
    </w:p>
    <w:p w14:paraId="46F4A98A">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（3）《自然资源部 农业农村部关于加强和改进永久基本农田保护工作的通知》（自然资规〔2019〕1号）；</w:t>
      </w:r>
    </w:p>
    <w:p w14:paraId="11D8EC22">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（4）《自然资源部国土空间用途管制司关于提供建设用地审查要点的函》（自然资用途管制函〔2020〕15号）；</w:t>
      </w:r>
    </w:p>
    <w:p w14:paraId="57C1C6C5">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（5）《自然资源部办公厅关于以“三调”成果为基础做好建设用地审查报批地类认定的通知》（自然资办〔</w:t>
      </w:r>
      <w:r>
        <w:rPr>
          <w:rFonts w:hint="eastAsia" w:ascii="宋体" w:hAnsi="宋体" w:cs="宋体"/>
          <w:color w:val="auto"/>
          <w:sz w:val="24"/>
          <w:szCs w:val="24"/>
          <w:highlight w:val="none"/>
          <w:lang w:eastAsia="zh-CN"/>
        </w:rPr>
        <w:t>2023</w:t>
      </w:r>
      <w:r>
        <w:rPr>
          <w:rFonts w:hint="eastAsia" w:ascii="宋体" w:hAnsi="宋体" w:eastAsia="宋体" w:cs="宋体"/>
          <w:color w:val="auto"/>
          <w:sz w:val="24"/>
          <w:szCs w:val="24"/>
          <w:highlight w:val="none"/>
        </w:rPr>
        <w:t>〕411号）；</w:t>
      </w:r>
    </w:p>
    <w:p w14:paraId="6232DB58">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（6）《浙江省国土资源厅关于进一步完善建设用地审查报批工作的通知》（浙土资发〔2006〕49号）；</w:t>
      </w:r>
    </w:p>
    <w:p w14:paraId="15300E1F">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（7）《浙江省国土资源厅关于进一步改进国土资源行政审批工作提高行政审批效率的若干意见》(浙土资〔2013〕78号)；</w:t>
      </w:r>
    </w:p>
    <w:p w14:paraId="1F4298FD">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（8）《中共浙江省委 浙江省人民政府关于加强耕地保护和改进占补平衡的实施意见》（浙委发〔2018〕10号）；</w:t>
      </w:r>
    </w:p>
    <w:p w14:paraId="278AAA63">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（9）《浙江省国土资源厅关于改进和落实耕地占补平衡的通知》（浙土资规[2018]9号）；</w:t>
      </w:r>
    </w:p>
    <w:p w14:paraId="65565A6E">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（10）浙江省自然资源厅办公室关于印发建设用地报批模本的通知（浙自然资办[2019]1号）。</w:t>
      </w:r>
    </w:p>
    <w:p w14:paraId="5C36DE44">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（11）《浙江省国土资源厅关于改进和落实耕地占补平衡的通知》（浙土资规〔2018〕9号）；</w:t>
      </w:r>
    </w:p>
    <w:p w14:paraId="059E9B72">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（12）《浙江省自然资源厅 浙江省农业农村厅关于加强和改进永久基本农田保护工作的实施意见》（浙自然资规〔2019〕16号）；</w:t>
      </w:r>
    </w:p>
    <w:p w14:paraId="4D47550E">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（13）《浙江省自然资源厅办公室关于印发建设用地报批模本的通知》（浙自然资办〔2019〕1号）；</w:t>
      </w:r>
    </w:p>
    <w:p w14:paraId="1E0EB7FB">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（14）《浙江省自然资源厅关于印发&lt;建设用地审查要点&gt;的通知》(浙自然资厅函〔2020〕288号) ；</w:t>
      </w:r>
    </w:p>
    <w:p w14:paraId="2A3D2C82">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（15）《浙江省自然资源厅关于印发&lt;浙江省土地征收程序规定&gt;的通知》（浙自然资规〔</w:t>
      </w:r>
      <w:r>
        <w:rPr>
          <w:rFonts w:hint="eastAsia" w:ascii="宋体" w:hAnsi="宋体" w:cs="宋体"/>
          <w:color w:val="auto"/>
          <w:sz w:val="24"/>
          <w:szCs w:val="24"/>
          <w:highlight w:val="none"/>
          <w:lang w:eastAsia="zh-CN"/>
        </w:rPr>
        <w:t>2023</w:t>
      </w:r>
      <w:r>
        <w:rPr>
          <w:rFonts w:hint="eastAsia" w:ascii="宋体" w:hAnsi="宋体" w:eastAsia="宋体" w:cs="宋体"/>
          <w:color w:val="auto"/>
          <w:sz w:val="24"/>
          <w:szCs w:val="24"/>
          <w:highlight w:val="none"/>
        </w:rPr>
        <w:t xml:space="preserve">〕4号）； </w:t>
      </w:r>
    </w:p>
    <w:p w14:paraId="313E24BA">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（16）《浙江省自然资源厅等部门贯彻落实&lt;自然资源部等7部门关于加强用地审批前期工作积极推进基础设施项目建设的通知&gt;的实施意见》（浙自然资发[</w:t>
      </w:r>
      <w:r>
        <w:rPr>
          <w:rFonts w:hint="eastAsia" w:ascii="宋体" w:hAnsi="宋体" w:cs="宋体"/>
          <w:color w:val="auto"/>
          <w:sz w:val="24"/>
          <w:szCs w:val="24"/>
          <w:highlight w:val="none"/>
          <w:lang w:eastAsia="zh-CN"/>
        </w:rPr>
        <w:t>2023</w:t>
      </w:r>
      <w:r>
        <w:rPr>
          <w:rFonts w:hint="eastAsia" w:ascii="宋体" w:hAnsi="宋体" w:eastAsia="宋体" w:cs="宋体"/>
          <w:color w:val="auto"/>
          <w:sz w:val="24"/>
          <w:szCs w:val="24"/>
          <w:highlight w:val="none"/>
        </w:rPr>
        <w:t>]13号）。</w:t>
      </w:r>
    </w:p>
    <w:p w14:paraId="28CA8E22">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提交</w:t>
      </w:r>
      <w:r>
        <w:rPr>
          <w:rFonts w:hint="eastAsia" w:ascii="宋体" w:hAnsi="宋体" w:eastAsia="宋体" w:cs="宋体"/>
          <w:color w:val="auto"/>
          <w:sz w:val="24"/>
          <w:szCs w:val="24"/>
          <w:highlight w:val="none"/>
        </w:rPr>
        <w:t>成果</w:t>
      </w:r>
    </w:p>
    <w:p w14:paraId="583794A5">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各阶段成果不一，征地报批以</w:t>
      </w:r>
      <w:r>
        <w:rPr>
          <w:rFonts w:hint="eastAsia" w:ascii="宋体" w:hAnsi="宋体" w:eastAsia="宋体" w:cs="宋体"/>
          <w:color w:val="auto"/>
          <w:sz w:val="24"/>
          <w:szCs w:val="24"/>
          <w:highlight w:val="none"/>
        </w:rPr>
        <w:t>取得浙江省建设用地审批意见书或浙江省城乡建设用地增减挂钩实施方案审批意见书</w:t>
      </w:r>
      <w:r>
        <w:rPr>
          <w:rFonts w:hint="eastAsia" w:ascii="宋体" w:hAnsi="宋体" w:cs="宋体"/>
          <w:color w:val="auto"/>
          <w:sz w:val="24"/>
          <w:szCs w:val="24"/>
          <w:highlight w:val="none"/>
          <w:lang w:val="en-US" w:eastAsia="zh-CN"/>
        </w:rPr>
        <w:t>为成果</w:t>
      </w:r>
      <w:r>
        <w:rPr>
          <w:rFonts w:hint="eastAsia" w:ascii="宋体" w:hAnsi="宋体" w:eastAsia="宋体" w:cs="宋体"/>
          <w:color w:val="auto"/>
          <w:sz w:val="24"/>
          <w:szCs w:val="24"/>
          <w:highlight w:val="none"/>
        </w:rPr>
        <w:t>。</w:t>
      </w:r>
    </w:p>
    <w:p w14:paraId="45EA5EAE">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、特别说明</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本项目无法确定最后申报地块的数量，每个地块预算按99600元/个计算。每年的结算价超过当年投标总价的按当年的投标价不做调整，低于投标价按实结算。</w:t>
      </w:r>
    </w:p>
    <w:p w14:paraId="4169F445">
      <w:pPr>
        <w:keepNext w:val="0"/>
        <w:keepLines w:val="0"/>
        <w:pageBreakBefore w:val="0"/>
        <w:widowControl w:val="0"/>
        <w:kinsoku/>
        <w:wordWrap/>
        <w:overflowPunct/>
        <w:topLinePunct w:val="0"/>
        <w:autoSpaceDE/>
        <w:autoSpaceDN/>
        <w:bidi w:val="0"/>
        <w:adjustRightInd/>
        <w:snapToGrid/>
        <w:spacing w:before="157" w:beforeLines="50" w:after="157" w:afterLines="50" w:line="42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lang w:val="en-US" w:eastAsia="zh-CN"/>
        </w:rPr>
        <w:t>、商务要求</w:t>
      </w:r>
    </w:p>
    <w:p w14:paraId="6C3392BD">
      <w:pPr>
        <w:keepNext w:val="0"/>
        <w:keepLines w:val="0"/>
        <w:pageBreakBefore w:val="0"/>
        <w:widowControl w:val="0"/>
        <w:kinsoku/>
        <w:wordWrap/>
        <w:overflowPunct/>
        <w:topLinePunct w:val="0"/>
        <w:autoSpaceDE/>
        <w:autoSpaceDN/>
        <w:bidi w:val="0"/>
        <w:adjustRightInd/>
        <w:snapToGrid w:val="0"/>
        <w:spacing w:line="360" w:lineRule="auto"/>
        <w:ind w:firstLine="468" w:firstLineChars="19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付款方式：</w:t>
      </w:r>
      <w:r>
        <w:rPr>
          <w:rFonts w:hint="eastAsia" w:ascii="宋体" w:hAnsi="Courier New" w:eastAsia="宋体" w:cs="Times New Roman"/>
          <w:color w:val="auto"/>
          <w:sz w:val="24"/>
          <w:szCs w:val="24"/>
          <w:highlight w:val="none"/>
          <w:lang w:val="en-US" w:eastAsia="zh-CN"/>
        </w:rPr>
        <w:t>合同生效后7个工作日内</w:t>
      </w:r>
      <w:r>
        <w:rPr>
          <w:rFonts w:hint="eastAsia" w:ascii="宋体" w:hAnsi="Courier New" w:cs="Times New Roman"/>
          <w:color w:val="auto"/>
          <w:sz w:val="24"/>
          <w:szCs w:val="24"/>
          <w:highlight w:val="none"/>
          <w:lang w:val="en-US" w:eastAsia="zh-CN"/>
        </w:rPr>
        <w:t>，</w:t>
      </w:r>
      <w:r>
        <w:rPr>
          <w:rFonts w:hint="eastAsia" w:ascii="宋体" w:hAnsi="Courier New" w:eastAsia="宋体" w:cs="Times New Roman"/>
          <w:color w:val="auto"/>
          <w:sz w:val="24"/>
          <w:szCs w:val="24"/>
          <w:highlight w:val="none"/>
          <w:lang w:val="en-US" w:eastAsia="zh-CN"/>
        </w:rPr>
        <w:t>采购</w:t>
      </w:r>
      <w:r>
        <w:rPr>
          <w:rFonts w:hint="eastAsia" w:ascii="宋体" w:hAnsi="Courier New" w:cs="Times New Roman"/>
          <w:color w:val="auto"/>
          <w:sz w:val="24"/>
          <w:szCs w:val="24"/>
          <w:highlight w:val="none"/>
          <w:lang w:val="en-US" w:eastAsia="zh-CN"/>
        </w:rPr>
        <w:t>人</w:t>
      </w:r>
      <w:r>
        <w:rPr>
          <w:rFonts w:hint="eastAsia" w:ascii="宋体" w:hAnsi="Courier New" w:eastAsia="宋体" w:cs="Times New Roman"/>
          <w:color w:val="auto"/>
          <w:sz w:val="24"/>
          <w:szCs w:val="24"/>
          <w:highlight w:val="none"/>
          <w:lang w:val="en-US" w:eastAsia="zh-CN"/>
        </w:rPr>
        <w:t>支付合同金额的40%作为项目的预付款</w:t>
      </w:r>
      <w:r>
        <w:rPr>
          <w:rFonts w:hint="eastAsia" w:ascii="宋体" w:hAnsi="宋体" w:eastAsia="宋体" w:cs="宋体"/>
          <w:color w:val="auto"/>
          <w:kern w:val="2"/>
          <w:sz w:val="24"/>
          <w:szCs w:val="24"/>
          <w:highlight w:val="none"/>
          <w:lang w:val="en-US" w:eastAsia="zh-CN" w:bidi="ar-SA"/>
        </w:rPr>
        <w:t>（采购人根据项目特点、供应商诚信等因素，可以要求中标人提交预付款保函）</w:t>
      </w:r>
      <w:r>
        <w:rPr>
          <w:rFonts w:hint="eastAsia" w:ascii="宋体" w:hAnsi="宋体" w:cs="宋体"/>
          <w:color w:val="auto"/>
          <w:kern w:val="2"/>
          <w:sz w:val="24"/>
          <w:szCs w:val="24"/>
          <w:highlight w:val="none"/>
          <w:lang w:val="en-US" w:eastAsia="zh-CN" w:bidi="ar-SA"/>
        </w:rPr>
        <w:t>。</w:t>
      </w:r>
    </w:p>
    <w:p w14:paraId="67932F0D">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本项目按单个地块结算。单个地块</w:t>
      </w:r>
      <w:r>
        <w:rPr>
          <w:rFonts w:hint="eastAsia" w:ascii="宋体" w:hAnsi="宋体" w:eastAsia="宋体" w:cs="宋体"/>
          <w:color w:val="auto"/>
          <w:sz w:val="24"/>
          <w:szCs w:val="24"/>
          <w:highlight w:val="none"/>
          <w:lang w:val="en-US" w:eastAsia="zh-CN"/>
        </w:rPr>
        <w:t>完成</w:t>
      </w:r>
      <w:r>
        <w:rPr>
          <w:rFonts w:hint="eastAsia" w:ascii="宋体" w:hAnsi="宋体" w:cs="宋体"/>
          <w:color w:val="auto"/>
          <w:sz w:val="24"/>
          <w:szCs w:val="24"/>
          <w:highlight w:val="none"/>
          <w:lang w:val="en-US" w:eastAsia="zh-CN"/>
        </w:rPr>
        <w:t>取得</w:t>
      </w:r>
      <w:r>
        <w:rPr>
          <w:rFonts w:hint="eastAsia" w:ascii="宋体" w:hAnsi="宋体" w:eastAsia="宋体" w:cs="宋体"/>
          <w:color w:val="auto"/>
          <w:sz w:val="24"/>
          <w:szCs w:val="24"/>
          <w:highlight w:val="none"/>
        </w:rPr>
        <w:t>审批意见书</w:t>
      </w:r>
      <w:r>
        <w:rPr>
          <w:rFonts w:hint="eastAsia" w:ascii="宋体" w:hAnsi="宋体" w:eastAsia="宋体" w:cs="宋体"/>
          <w:color w:val="auto"/>
          <w:sz w:val="24"/>
          <w:szCs w:val="24"/>
          <w:highlight w:val="none"/>
          <w:lang w:val="en-US" w:eastAsia="zh-CN"/>
        </w:rPr>
        <w:t>后</w:t>
      </w:r>
      <w:r>
        <w:rPr>
          <w:rFonts w:hint="eastAsia" w:ascii="宋体" w:hAnsi="宋体" w:eastAsia="宋体" w:cs="宋体"/>
          <w:color w:val="auto"/>
          <w:sz w:val="24"/>
          <w:szCs w:val="24"/>
          <w:highlight w:val="none"/>
        </w:rPr>
        <w:t>收到乙方发票</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个工作日内付清该</w:t>
      </w:r>
      <w:r>
        <w:rPr>
          <w:rFonts w:hint="eastAsia" w:ascii="宋体" w:hAnsi="宋体" w:cs="宋体"/>
          <w:color w:val="auto"/>
          <w:sz w:val="24"/>
          <w:szCs w:val="24"/>
          <w:highlight w:val="none"/>
          <w:lang w:val="en-US" w:eastAsia="zh-CN"/>
        </w:rPr>
        <w:t>地块</w:t>
      </w:r>
      <w:r>
        <w:rPr>
          <w:rFonts w:hint="eastAsia" w:ascii="宋体" w:hAnsi="宋体" w:eastAsia="宋体" w:cs="宋体"/>
          <w:color w:val="auto"/>
          <w:sz w:val="24"/>
          <w:szCs w:val="24"/>
          <w:highlight w:val="none"/>
          <w:lang w:val="en-US" w:eastAsia="zh-CN"/>
        </w:rPr>
        <w:t>费用</w:t>
      </w:r>
      <w:r>
        <w:rPr>
          <w:rFonts w:hint="eastAsia" w:ascii="宋体" w:hAnsi="宋体" w:eastAsia="宋体" w:cs="宋体"/>
          <w:color w:val="auto"/>
          <w:sz w:val="24"/>
          <w:szCs w:val="24"/>
          <w:highlight w:val="none"/>
        </w:rPr>
        <w:t>。</w:t>
      </w:r>
    </w:p>
    <w:p w14:paraId="05259E70">
      <w:pPr>
        <w:pStyle w:val="65"/>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420" w:lineRule="exact"/>
        <w:ind w:leftChars="1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项目实施期限</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根据报批各部门进度要求。</w:t>
      </w:r>
    </w:p>
    <w:p w14:paraId="36291A14">
      <w:pPr>
        <w:pStyle w:val="65"/>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42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六</w:t>
      </w:r>
      <w:r>
        <w:rPr>
          <w:rFonts w:hint="eastAsia" w:ascii="宋体" w:hAnsi="宋体" w:eastAsia="宋体" w:cs="宋体"/>
          <w:b/>
          <w:bCs/>
          <w:color w:val="auto"/>
          <w:sz w:val="24"/>
          <w:szCs w:val="24"/>
          <w:highlight w:val="none"/>
          <w:lang w:val="en-US" w:eastAsia="zh-CN"/>
        </w:rPr>
        <w:t>、验收标准及方法</w:t>
      </w:r>
    </w:p>
    <w:p w14:paraId="061FF98C">
      <w:pPr>
        <w:keepNext w:val="0"/>
        <w:keepLines w:val="0"/>
        <w:pageBreakBefore w:val="0"/>
        <w:widowControl w:val="0"/>
        <w:tabs>
          <w:tab w:val="left" w:pos="540"/>
        </w:tabs>
        <w:kinsoku/>
        <w:wordWrap/>
        <w:overflowPunct/>
        <w:topLinePunct w:val="0"/>
        <w:autoSpaceDE/>
        <w:autoSpaceDN/>
        <w:bidi w:val="0"/>
        <w:adjustRightInd/>
        <w:snapToGrid/>
        <w:spacing w:before="157" w:beforeLines="50" w:after="157" w:afterLines="5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取得浙江省建设用地审批意见书或浙江省城乡建设用地增减挂钩实施方案审批意见书</w:t>
      </w:r>
      <w:r>
        <w:rPr>
          <w:rFonts w:hint="eastAsia" w:ascii="宋体" w:hAnsi="宋体" w:cs="宋体"/>
          <w:color w:val="auto"/>
          <w:sz w:val="24"/>
          <w:szCs w:val="24"/>
          <w:highlight w:val="none"/>
          <w:lang w:eastAsia="zh-CN"/>
        </w:rPr>
        <w:t>为验收合格</w:t>
      </w:r>
      <w:r>
        <w:rPr>
          <w:rFonts w:hint="eastAsia" w:ascii="宋体" w:hAnsi="宋体" w:eastAsia="宋体" w:cs="宋体"/>
          <w:color w:val="auto"/>
          <w:sz w:val="24"/>
          <w:szCs w:val="24"/>
          <w:highlight w:val="none"/>
        </w:rPr>
        <w:t>。</w:t>
      </w:r>
    </w:p>
    <w:p w14:paraId="2A429380">
      <w:pPr>
        <w:keepNext w:val="0"/>
        <w:keepLines w:val="0"/>
        <w:pageBreakBefore w:val="0"/>
        <w:widowControl w:val="0"/>
        <w:kinsoku/>
        <w:wordWrap/>
        <w:overflowPunct/>
        <w:topLinePunct w:val="0"/>
        <w:autoSpaceDE/>
        <w:autoSpaceDN/>
        <w:bidi w:val="0"/>
        <w:adjustRightInd/>
        <w:spacing w:line="420" w:lineRule="exact"/>
        <w:textAlignment w:val="auto"/>
        <w:outlineLvl w:val="9"/>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七</w:t>
      </w:r>
      <w:r>
        <w:rPr>
          <w:rFonts w:hint="eastAsia" w:ascii="宋体" w:hAnsi="宋体" w:eastAsia="宋体" w:cs="宋体"/>
          <w:b/>
          <w:color w:val="auto"/>
          <w:sz w:val="24"/>
          <w:szCs w:val="24"/>
          <w:highlight w:val="none"/>
        </w:rPr>
        <w:t>、 保密</w:t>
      </w:r>
    </w:p>
    <w:p w14:paraId="47BF29D3">
      <w:pPr>
        <w:keepNext w:val="0"/>
        <w:keepLines w:val="0"/>
        <w:pageBreakBefore w:val="0"/>
        <w:widowControl w:val="0"/>
        <w:kinsoku/>
        <w:wordWrap/>
        <w:overflowPunct/>
        <w:topLinePunct w:val="0"/>
        <w:autoSpaceDE/>
        <w:autoSpaceDN/>
        <w:bidi w:val="0"/>
        <w:adjustRightInd/>
        <w:spacing w:line="420" w:lineRule="exact"/>
        <w:ind w:firstLine="48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招投标双方应分别为对方在投标文件和招标文件中涉及的商业和技术等秘密保密，违者应对由此造成的后果承担责任。</w:t>
      </w:r>
    </w:p>
    <w:p w14:paraId="2E3CD6C6">
      <w:pPr>
        <w:keepNext w:val="0"/>
        <w:keepLines w:val="0"/>
        <w:pageBreakBefore w:val="0"/>
        <w:widowControl w:val="0"/>
        <w:kinsoku/>
        <w:wordWrap/>
        <w:overflowPunct/>
        <w:topLinePunct w:val="0"/>
        <w:autoSpaceDE/>
        <w:autoSpaceDN/>
        <w:bidi w:val="0"/>
        <w:adjustRightInd/>
        <w:spacing w:line="420" w:lineRule="exact"/>
        <w:textAlignment w:val="auto"/>
        <w:outlineLvl w:val="9"/>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八</w:t>
      </w:r>
      <w:r>
        <w:rPr>
          <w:rFonts w:hint="eastAsia" w:ascii="宋体" w:hAnsi="宋体" w:eastAsia="宋体" w:cs="宋体"/>
          <w:b/>
          <w:color w:val="auto"/>
          <w:sz w:val="24"/>
          <w:szCs w:val="24"/>
          <w:highlight w:val="none"/>
        </w:rPr>
        <w:t>、合同的签订</w:t>
      </w:r>
    </w:p>
    <w:p w14:paraId="0B4D741A">
      <w:pPr>
        <w:keepNext w:val="0"/>
        <w:keepLines w:val="0"/>
        <w:pageBreakBefore w:val="0"/>
        <w:widowControl w:val="0"/>
        <w:kinsoku/>
        <w:wordWrap/>
        <w:overflowPunct/>
        <w:topLinePunct w:val="0"/>
        <w:autoSpaceDE/>
        <w:autoSpaceDN/>
        <w:bidi w:val="0"/>
        <w:adjustRightInd/>
        <w:spacing w:line="420" w:lineRule="exact"/>
        <w:ind w:firstLine="48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中标单位在收到《中标通知书》后20日内与</w:t>
      </w:r>
      <w:r>
        <w:rPr>
          <w:rFonts w:hint="eastAsia" w:ascii="宋体" w:hAnsi="宋体" w:cs="宋体"/>
          <w:bCs/>
          <w:color w:val="auto"/>
          <w:sz w:val="24"/>
          <w:szCs w:val="24"/>
          <w:highlight w:val="none"/>
          <w:lang w:val="en-US" w:eastAsia="zh-CN"/>
        </w:rPr>
        <w:t>浙江</w:t>
      </w:r>
      <w:r>
        <w:rPr>
          <w:rFonts w:hint="eastAsia" w:ascii="宋体" w:hAnsi="宋体" w:cs="宋体"/>
          <w:color w:val="auto"/>
          <w:sz w:val="24"/>
          <w:szCs w:val="24"/>
          <w:highlight w:val="none"/>
          <w:lang w:eastAsia="zh-CN"/>
        </w:rPr>
        <w:t>东阳</w:t>
      </w:r>
      <w:r>
        <w:rPr>
          <w:rFonts w:hint="eastAsia" w:ascii="宋体" w:hAnsi="宋体" w:cs="宋体"/>
          <w:color w:val="auto"/>
          <w:sz w:val="24"/>
          <w:szCs w:val="24"/>
          <w:highlight w:val="none"/>
          <w:lang w:val="en-US" w:eastAsia="zh-CN"/>
        </w:rPr>
        <w:t>经济开发区管理委员会</w:t>
      </w:r>
      <w:r>
        <w:rPr>
          <w:rFonts w:hint="eastAsia" w:ascii="宋体" w:hAnsi="宋体" w:eastAsia="宋体" w:cs="宋体"/>
          <w:bCs/>
          <w:color w:val="auto"/>
          <w:sz w:val="24"/>
          <w:szCs w:val="24"/>
          <w:highlight w:val="none"/>
        </w:rPr>
        <w:t>签订合同。</w:t>
      </w:r>
    </w:p>
    <w:p w14:paraId="243210E0">
      <w:pPr>
        <w:numPr>
          <w:ilvl w:val="0"/>
          <w:numId w:val="0"/>
        </w:numPr>
        <w:spacing w:line="360" w:lineRule="auto"/>
        <w:ind w:leftChars="0"/>
        <w:rPr>
          <w:rFonts w:hint="eastAsia" w:ascii="宋体" w:hAnsi="宋体"/>
          <w:b/>
          <w:color w:val="auto"/>
          <w:sz w:val="24"/>
          <w:highlight w:val="none"/>
          <w:lang w:val="en-US" w:eastAsia="zh-CN"/>
        </w:rPr>
      </w:pPr>
    </w:p>
    <w:p w14:paraId="74B4C69F">
      <w:pPr>
        <w:pStyle w:val="10"/>
        <w:keepNext w:val="0"/>
        <w:keepLines w:val="0"/>
        <w:pageBreakBefore w:val="0"/>
        <w:widowControl w:val="0"/>
        <w:kinsoku/>
        <w:wordWrap/>
        <w:overflowPunct/>
        <w:topLinePunct w:val="0"/>
        <w:bidi w:val="0"/>
        <w:snapToGrid/>
        <w:spacing w:line="360" w:lineRule="auto"/>
        <w:textAlignment w:val="auto"/>
        <w:rPr>
          <w:rFonts w:hint="default"/>
          <w:color w:val="auto"/>
          <w:highlight w:val="none"/>
          <w:lang w:val="en-US" w:eastAsia="zh-CN"/>
        </w:rPr>
      </w:pPr>
    </w:p>
    <w:p w14:paraId="42D86C7A">
      <w:pPr>
        <w:pStyle w:val="5"/>
        <w:keepNext w:val="0"/>
        <w:keepLines w:val="0"/>
        <w:pageBreakBefore/>
        <w:spacing w:line="240" w:lineRule="auto"/>
        <w:jc w:val="center"/>
        <w:rPr>
          <w:rFonts w:ascii="宋体" w:hAnsi="宋体" w:cs="宋体"/>
          <w:color w:val="auto"/>
          <w:kern w:val="0"/>
          <w:sz w:val="24"/>
          <w:szCs w:val="24"/>
          <w:highlight w:val="none"/>
        </w:rPr>
      </w:pPr>
      <w:bookmarkStart w:id="11" w:name="_Toc3884"/>
      <w:r>
        <w:rPr>
          <w:rFonts w:hint="eastAsia" w:ascii="宋体" w:hAnsi="宋体" w:cs="宋体"/>
          <w:color w:val="auto"/>
          <w:sz w:val="24"/>
          <w:szCs w:val="24"/>
          <w:highlight w:val="none"/>
        </w:rPr>
        <w:t>第三章   投标人须知</w:t>
      </w:r>
      <w:bookmarkEnd w:id="11"/>
    </w:p>
    <w:p w14:paraId="465B5B2A">
      <w:pPr>
        <w:pStyle w:val="18"/>
        <w:snapToGrid w:val="0"/>
        <w:spacing w:before="120" w:after="120"/>
        <w:ind w:firstLine="472" w:firstLineChars="196"/>
        <w:jc w:val="center"/>
        <w:outlineLvl w:val="1"/>
        <w:rPr>
          <w:rFonts w:ascii="宋体" w:hAnsi="宋体" w:cs="宋体"/>
          <w:b/>
          <w:color w:val="auto"/>
          <w:szCs w:val="24"/>
          <w:highlight w:val="none"/>
        </w:rPr>
      </w:pPr>
      <w:bookmarkStart w:id="12" w:name="_Toc31598"/>
      <w:r>
        <w:rPr>
          <w:rFonts w:hint="eastAsia" w:ascii="宋体" w:hAnsi="宋体" w:cs="宋体"/>
          <w:b/>
          <w:color w:val="auto"/>
          <w:szCs w:val="24"/>
          <w:highlight w:val="none"/>
        </w:rPr>
        <w:t>前附表</w:t>
      </w:r>
      <w:bookmarkEnd w:id="12"/>
    </w:p>
    <w:tbl>
      <w:tblPr>
        <w:tblStyle w:val="24"/>
        <w:tblW w:w="949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9"/>
        <w:gridCol w:w="8750"/>
      </w:tblGrid>
      <w:tr w14:paraId="454E7A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4"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2F3E741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序号</w:t>
            </w:r>
          </w:p>
        </w:tc>
        <w:tc>
          <w:tcPr>
            <w:tcW w:w="8750" w:type="dxa"/>
            <w:tcBorders>
              <w:top w:val="single" w:color="auto" w:sz="4" w:space="0"/>
              <w:left w:val="single" w:color="auto" w:sz="4" w:space="0"/>
              <w:bottom w:val="single" w:color="auto" w:sz="4" w:space="0"/>
              <w:right w:val="single" w:color="auto" w:sz="4" w:space="0"/>
            </w:tcBorders>
            <w:vAlign w:val="center"/>
          </w:tcPr>
          <w:p w14:paraId="06AE28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内容、要求</w:t>
            </w:r>
          </w:p>
        </w:tc>
      </w:tr>
      <w:tr w14:paraId="2D40BA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1A535E80">
            <w:pPr>
              <w:snapToGrid w:val="0"/>
              <w:spacing w:line="360" w:lineRule="auto"/>
              <w:ind w:firstLine="240" w:firstLineChars="100"/>
              <w:jc w:val="left"/>
              <w:rPr>
                <w:rFonts w:ascii="宋体" w:hAnsi="宋体" w:cs="宋体"/>
                <w:color w:val="auto"/>
                <w:sz w:val="24"/>
                <w:highlight w:val="none"/>
              </w:rPr>
            </w:pPr>
            <w:r>
              <w:rPr>
                <w:rFonts w:hint="eastAsia" w:ascii="宋体" w:hAnsi="宋体" w:cs="宋体"/>
                <w:color w:val="auto"/>
                <w:sz w:val="24"/>
                <w:highlight w:val="none"/>
              </w:rPr>
              <w:t>1</w:t>
            </w:r>
          </w:p>
        </w:tc>
        <w:tc>
          <w:tcPr>
            <w:tcW w:w="8750" w:type="dxa"/>
            <w:tcBorders>
              <w:top w:val="single" w:color="auto" w:sz="4" w:space="0"/>
              <w:left w:val="single" w:color="auto" w:sz="4" w:space="0"/>
              <w:bottom w:val="single" w:color="auto" w:sz="4" w:space="0"/>
              <w:right w:val="single" w:color="auto" w:sz="4" w:space="0"/>
            </w:tcBorders>
            <w:vAlign w:val="center"/>
          </w:tcPr>
          <w:p w14:paraId="2E22CF2F">
            <w:pPr>
              <w:snapToGrid w:val="0"/>
              <w:spacing w:line="360" w:lineRule="auto"/>
              <w:jc w:val="left"/>
              <w:rPr>
                <w:rFonts w:hint="eastAsia" w:ascii="宋体" w:hAnsi="宋体" w:eastAsia="宋体" w:cs="宋体"/>
                <w:b/>
                <w:bCs/>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浙江东阳经济开发区城市分批次建设项目土地报批技术服务项目</w:t>
            </w:r>
          </w:p>
        </w:tc>
      </w:tr>
      <w:tr w14:paraId="57C4A0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3CE5226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8750" w:type="dxa"/>
            <w:tcBorders>
              <w:top w:val="single" w:color="auto" w:sz="4" w:space="0"/>
              <w:left w:val="single" w:color="auto" w:sz="4" w:space="0"/>
              <w:bottom w:val="single" w:color="auto" w:sz="4" w:space="0"/>
              <w:right w:val="single" w:color="auto" w:sz="4" w:space="0"/>
            </w:tcBorders>
            <w:vAlign w:val="center"/>
          </w:tcPr>
          <w:p w14:paraId="7616054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投标报价及费用：1、本项目投标应以人民币报价；2、不论投标结果如何，投标人均应自行承担所有与投标有关的全部费用；3、投标费用：东阳市鑫盛工程咨询有限公司按照本招标文件总则第（五）条规定向中标人收取中标服务费。</w:t>
            </w:r>
          </w:p>
        </w:tc>
      </w:tr>
      <w:tr w14:paraId="4B484B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EDB63FF">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3</w:t>
            </w:r>
          </w:p>
        </w:tc>
        <w:tc>
          <w:tcPr>
            <w:tcW w:w="8750" w:type="dxa"/>
            <w:tcBorders>
              <w:top w:val="single" w:color="auto" w:sz="4" w:space="0"/>
              <w:left w:val="single" w:color="auto" w:sz="4" w:space="0"/>
              <w:bottom w:val="single" w:color="auto" w:sz="4" w:space="0"/>
              <w:right w:val="single" w:color="auto" w:sz="4" w:space="0"/>
            </w:tcBorders>
            <w:vAlign w:val="center"/>
          </w:tcPr>
          <w:p w14:paraId="2E1F0FC8">
            <w:pPr>
              <w:snapToGrid w:val="0"/>
              <w:spacing w:line="420" w:lineRule="exact"/>
              <w:rPr>
                <w:rFonts w:hint="default" w:ascii="宋体" w:hAnsi="宋体" w:eastAsia="宋体" w:cs="宋体"/>
                <w:color w:val="auto"/>
                <w:sz w:val="24"/>
                <w:highlight w:val="none"/>
                <w:lang w:val="en-US" w:eastAsia="zh-CN"/>
              </w:rPr>
            </w:pPr>
            <w:r>
              <w:rPr>
                <w:rFonts w:hint="eastAsia" w:ascii="宋体" w:hAnsi="宋体" w:cs="宋体"/>
                <w:b/>
                <w:bCs/>
                <w:color w:val="auto"/>
                <w:sz w:val="24"/>
                <w:highlight w:val="none"/>
              </w:rPr>
              <w:t>根据《政府采购促进中小企业管理办法》及《关于印发中小企业划型标准规定的通知工信部联企业》（〔2011〕300号）有关规定，本采购标的对应的所属行业为：</w:t>
            </w:r>
            <w:r>
              <w:rPr>
                <w:rFonts w:hint="eastAsia" w:asciiTheme="minorEastAsia" w:hAnsiTheme="minorEastAsia" w:eastAsiaTheme="minorEastAsia" w:cstheme="minorEastAsia"/>
                <w:b/>
                <w:bCs/>
                <w:i w:val="0"/>
                <w:iCs w:val="0"/>
                <w:caps w:val="0"/>
                <w:color w:val="auto"/>
                <w:spacing w:val="0"/>
                <w:sz w:val="24"/>
                <w:szCs w:val="24"/>
                <w:highlight w:val="none"/>
                <w:u w:val="single"/>
              </w:rPr>
              <w:t>其他未列明行业</w:t>
            </w:r>
            <w:r>
              <w:rPr>
                <w:rFonts w:hint="eastAsia" w:asciiTheme="minorEastAsia" w:hAnsiTheme="minorEastAsia" w:eastAsiaTheme="minorEastAsia" w:cstheme="minorEastAsia"/>
                <w:b/>
                <w:bCs/>
                <w:color w:val="auto"/>
                <w:sz w:val="24"/>
                <w:szCs w:val="24"/>
                <w:highlight w:val="none"/>
              </w:rPr>
              <w:t>。</w:t>
            </w:r>
          </w:p>
        </w:tc>
      </w:tr>
      <w:tr w14:paraId="39B34B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5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1B207EAD">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4</w:t>
            </w:r>
          </w:p>
        </w:tc>
        <w:tc>
          <w:tcPr>
            <w:tcW w:w="8750" w:type="dxa"/>
            <w:tcBorders>
              <w:top w:val="single" w:color="auto" w:sz="4" w:space="0"/>
              <w:left w:val="single" w:color="auto" w:sz="4" w:space="0"/>
              <w:bottom w:val="single" w:color="auto" w:sz="4" w:space="0"/>
              <w:right w:val="single" w:color="auto" w:sz="4" w:space="0"/>
            </w:tcBorders>
            <w:vAlign w:val="center"/>
          </w:tcPr>
          <w:p w14:paraId="54120B5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根据《关于在政府采购活动中查询及使用信用记录有关问题的通知》财库[2016]125号的规定：</w:t>
            </w:r>
          </w:p>
          <w:p w14:paraId="56852F1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（1）采购人或采购代理机构将对本项目供应商的信用记录进行查询。查询渠道为信用中国网站（www.creditchina.gov.cn）、中国政府采购网（www.ccgp.gov.cn）；</w:t>
            </w:r>
          </w:p>
          <w:p w14:paraId="662CA5B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（2）截止时点：提交投标文件（响应文件）截止时间前3年内；</w:t>
            </w:r>
          </w:p>
          <w:p w14:paraId="53F670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（3）查询记录和证据的留存：信用信息查询记录和证据以网页截图等方式留存。</w:t>
            </w:r>
          </w:p>
          <w:p w14:paraId="2ADB0A3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4314403D">
            <w:pPr>
              <w:snapToGrid w:val="0"/>
              <w:spacing w:line="360" w:lineRule="auto"/>
              <w:rPr>
                <w:rFonts w:ascii="宋体" w:hAnsi="宋体" w:cs="宋体"/>
                <w:b/>
                <w:bCs/>
                <w:color w:val="auto"/>
                <w:sz w:val="24"/>
                <w:highlight w:val="none"/>
              </w:rPr>
            </w:pPr>
            <w:r>
              <w:rPr>
                <w:rFonts w:hint="eastAsia" w:ascii="宋体" w:hAnsi="宋体" w:cs="宋体"/>
                <w:color w:val="auto"/>
                <w:sz w:val="24"/>
                <w:highlight w:val="none"/>
              </w:rPr>
              <w:t>（5）联合体成员任意一方存在不良信用记录的，视同联合体存在不良信用记录。</w:t>
            </w:r>
          </w:p>
        </w:tc>
      </w:tr>
      <w:tr w14:paraId="29017A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0943B8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8750" w:type="dxa"/>
            <w:tcBorders>
              <w:top w:val="single" w:color="auto" w:sz="4" w:space="0"/>
              <w:left w:val="single" w:color="auto" w:sz="4" w:space="0"/>
              <w:bottom w:val="single" w:color="auto" w:sz="4" w:space="0"/>
              <w:right w:val="single" w:color="auto" w:sz="4" w:space="0"/>
            </w:tcBorders>
            <w:vAlign w:val="center"/>
          </w:tcPr>
          <w:p w14:paraId="7D41DF19">
            <w:pPr>
              <w:spacing w:line="380" w:lineRule="exact"/>
              <w:jc w:val="left"/>
              <w:rPr>
                <w:rFonts w:ascii="宋体" w:hAnsi="宋体" w:cs="宋体"/>
                <w:color w:val="auto"/>
                <w:sz w:val="24"/>
                <w:highlight w:val="none"/>
              </w:rPr>
            </w:pPr>
            <w:r>
              <w:rPr>
                <w:rFonts w:hint="eastAsia" w:ascii="宋体" w:hAnsi="宋体" w:cs="宋体"/>
                <w:color w:val="auto"/>
                <w:sz w:val="24"/>
                <w:highlight w:val="none"/>
              </w:rPr>
              <w:t xml:space="preserve">节能产品：□ 强制采购节能产品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 xml:space="preserve"> 优先采购节能产品   </w:t>
            </w:r>
            <w:r>
              <w:rPr>
                <w:rFonts w:hint="eastAsia" w:ascii="宋体" w:hAnsi="宋体" w:cs="宋体"/>
                <w:color w:val="auto"/>
                <w:sz w:val="24"/>
                <w:highlight w:val="none"/>
              </w:rPr>
              <w:sym w:font="Wingdings" w:char="00FE"/>
            </w:r>
            <w:r>
              <w:rPr>
                <w:rFonts w:hint="eastAsia" w:ascii="宋体" w:hAnsi="宋体" w:cs="宋体"/>
                <w:color w:val="auto"/>
                <w:sz w:val="24"/>
                <w:highlight w:val="none"/>
              </w:rPr>
              <w:t xml:space="preserve"> 不适用</w:t>
            </w:r>
          </w:p>
          <w:p w14:paraId="74B515F9">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 xml:space="preserve">环境标志产品： </w:t>
            </w:r>
            <w:r>
              <w:rPr>
                <w:rFonts w:hint="eastAsia" w:ascii="宋体" w:hAnsi="宋体" w:cs="宋体"/>
                <w:color w:val="auto"/>
                <w:sz w:val="24"/>
                <w:highlight w:val="none"/>
              </w:rPr>
              <w:sym w:font="Wingdings 2" w:char="00A3"/>
            </w:r>
            <w:r>
              <w:rPr>
                <w:rFonts w:hint="eastAsia" w:ascii="宋体" w:hAnsi="宋体" w:cs="宋体"/>
                <w:color w:val="auto"/>
                <w:sz w:val="24"/>
                <w:highlight w:val="none"/>
              </w:rPr>
              <w:t xml:space="preserve"> 优先采购环境标志产品   </w:t>
            </w:r>
            <w:r>
              <w:rPr>
                <w:rFonts w:hint="eastAsia" w:ascii="宋体" w:hAnsi="宋体" w:cs="宋体"/>
                <w:color w:val="auto"/>
                <w:sz w:val="24"/>
                <w:highlight w:val="none"/>
              </w:rPr>
              <w:sym w:font="Wingdings" w:char="00FE"/>
            </w:r>
            <w:r>
              <w:rPr>
                <w:rFonts w:hint="eastAsia" w:ascii="宋体" w:hAnsi="宋体" w:cs="宋体"/>
                <w:color w:val="auto"/>
                <w:sz w:val="24"/>
                <w:highlight w:val="none"/>
              </w:rPr>
              <w:t xml:space="preserve"> 不适用</w:t>
            </w:r>
          </w:p>
        </w:tc>
      </w:tr>
      <w:tr w14:paraId="65D789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262142C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8750" w:type="dxa"/>
            <w:tcBorders>
              <w:top w:val="single" w:color="auto" w:sz="4" w:space="0"/>
              <w:left w:val="single" w:color="auto" w:sz="4" w:space="0"/>
              <w:bottom w:val="single" w:color="auto" w:sz="4" w:space="0"/>
              <w:right w:val="single" w:color="auto" w:sz="4" w:space="0"/>
            </w:tcBorders>
            <w:vAlign w:val="center"/>
          </w:tcPr>
          <w:p w14:paraId="4903356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答疑与澄清：投标人如认为招标文件表述不清晰、存在歧视性、排他性或者其他违法内容的，应当按照公开招标公告第三、七条规定以书面形式要求招标方作出书面解释、澄清或者向招标方提出书面质疑；</w:t>
            </w:r>
            <w:r>
              <w:rPr>
                <w:rFonts w:hint="eastAsia" w:ascii="宋体" w:hAnsi="宋体" w:cs="宋体"/>
                <w:b w:val="0"/>
                <w:bCs/>
                <w:color w:val="auto"/>
                <w:sz w:val="24"/>
                <w:highlight w:val="none"/>
              </w:rPr>
              <w:t>在质疑截止时间前，未对招标文件提出质疑时，视投标人对招标文件的默认；招标</w:t>
            </w:r>
            <w:r>
              <w:rPr>
                <w:rFonts w:hint="eastAsia" w:ascii="宋体" w:hAnsi="宋体" w:cs="宋体"/>
                <w:color w:val="auto"/>
                <w:sz w:val="24"/>
                <w:highlight w:val="none"/>
              </w:rPr>
              <w:t>采购单位对已发出的招标文件进行必要澄清、答复、修改或者补充的，在财政部门指定的政府采购信息发布媒体上发布更正公告，并以书面形式通知所有已获取招标文件的投标人；答疑内容是招标文件的组成部分；澄清或者修改的内容可能影响投标文件编制的，应当在投标截止时间至少15日前，以书面形式通知所有获取招标文件的潜在投标人；不足15日的，顺延提交投标文件的截止时间。</w:t>
            </w:r>
          </w:p>
        </w:tc>
      </w:tr>
      <w:tr w14:paraId="5404B2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81"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72EAFD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8750" w:type="dxa"/>
            <w:tcBorders>
              <w:top w:val="single" w:color="auto" w:sz="4" w:space="0"/>
              <w:left w:val="single" w:color="auto" w:sz="4" w:space="0"/>
              <w:bottom w:val="single" w:color="auto" w:sz="4" w:space="0"/>
              <w:right w:val="single" w:color="auto" w:sz="4" w:space="0"/>
            </w:tcBorders>
            <w:vAlign w:val="center"/>
          </w:tcPr>
          <w:p w14:paraId="208AE9FB">
            <w:pPr>
              <w:autoSpaceDE w:val="0"/>
              <w:autoSpaceDN w:val="0"/>
              <w:snapToGrid w:val="0"/>
              <w:spacing w:line="360" w:lineRule="auto"/>
              <w:textAlignment w:val="bottom"/>
              <w:rPr>
                <w:rFonts w:ascii="宋体" w:hAnsi="宋体" w:cs="宋体"/>
                <w:color w:val="auto"/>
                <w:sz w:val="24"/>
                <w:highlight w:val="none"/>
              </w:rPr>
            </w:pPr>
            <w:r>
              <w:rPr>
                <w:rFonts w:hint="eastAsia" w:ascii="宋体" w:hAnsi="宋体" w:cs="宋体"/>
                <w:color w:val="auto"/>
                <w:sz w:val="24"/>
                <w:highlight w:val="none"/>
              </w:rPr>
              <w:t>投标文件的递交：</w:t>
            </w:r>
          </w:p>
          <w:p w14:paraId="3F926902">
            <w:pPr>
              <w:autoSpaceDE w:val="0"/>
              <w:autoSpaceDN w:val="0"/>
              <w:snapToGrid w:val="0"/>
              <w:spacing w:line="360" w:lineRule="auto"/>
              <w:textAlignment w:val="bottom"/>
              <w:rPr>
                <w:rFonts w:ascii="宋体" w:hAnsi="宋体" w:cs="宋体"/>
                <w:color w:val="auto"/>
                <w:sz w:val="24"/>
                <w:highlight w:val="none"/>
              </w:rPr>
            </w:pPr>
            <w:r>
              <w:rPr>
                <w:rFonts w:hint="eastAsia" w:ascii="宋体" w:hAnsi="宋体" w:cs="宋体"/>
                <w:color w:val="auto"/>
                <w:sz w:val="24"/>
                <w:highlight w:val="none"/>
              </w:rPr>
              <w:t>本项目投标文件由资格审查文件、商务技术文件和报价文件三部分组成。投标人应按以下方式递交投标文件：</w:t>
            </w:r>
          </w:p>
          <w:p w14:paraId="28850916">
            <w:pPr>
              <w:autoSpaceDE w:val="0"/>
              <w:autoSpaceDN w:val="0"/>
              <w:snapToGrid w:val="0"/>
              <w:spacing w:line="360" w:lineRule="auto"/>
              <w:textAlignment w:val="bottom"/>
              <w:rPr>
                <w:rFonts w:ascii="宋体" w:hAnsi="宋体" w:cs="宋体"/>
                <w:color w:val="auto"/>
                <w:sz w:val="24"/>
                <w:highlight w:val="none"/>
              </w:rPr>
            </w:pPr>
            <w:r>
              <w:rPr>
                <w:rFonts w:hint="eastAsia" w:ascii="宋体" w:hAnsi="宋体" w:cs="宋体"/>
                <w:color w:val="auto"/>
                <w:sz w:val="24"/>
                <w:highlight w:val="none"/>
              </w:rPr>
              <w:t>▲1、本项目实行“网上投标、电子评标”，投标人应于投标截止时间前在“政采云”（电子交易平台）上传输、递交电子版投标文件（包括资格审查文件、商务技术文件和报价文件）；</w:t>
            </w:r>
          </w:p>
          <w:p w14:paraId="50D6158D">
            <w:pPr>
              <w:autoSpaceDE w:val="0"/>
              <w:autoSpaceDN w:val="0"/>
              <w:snapToGrid w:val="0"/>
              <w:spacing w:line="360" w:lineRule="auto"/>
              <w:textAlignment w:val="bottom"/>
              <w:rPr>
                <w:rFonts w:ascii="宋体" w:hAnsi="宋体" w:cs="宋体"/>
                <w:color w:val="auto"/>
                <w:sz w:val="24"/>
                <w:highlight w:val="none"/>
              </w:rPr>
            </w:pPr>
            <w:r>
              <w:rPr>
                <w:rFonts w:hint="eastAsia" w:ascii="宋体" w:hAnsi="宋体" w:cs="宋体"/>
                <w:color w:val="auto"/>
                <w:sz w:val="24"/>
                <w:highlight w:val="none"/>
              </w:rPr>
              <w:t>2、为了避免由于电子交易平台无法正常运行等技术、安全故障原因造成投标文件无法解密或解密失败，导致投标无效的情况，投标人可以在投标截止时间前将电子备份投标文件（经政采云电子交易客户端和CA驱动制作出的后缀名为“bfbs”的加密电子备份投标文件）发送至东阳市鑫盛工程咨询有限公司邮箱：1816352277@qq.com，逾期发送或发错后缀名的备份投标文件将被视为无效；</w:t>
            </w:r>
          </w:p>
          <w:p w14:paraId="314050A3">
            <w:pPr>
              <w:autoSpaceDE w:val="0"/>
              <w:autoSpaceDN w:val="0"/>
              <w:snapToGrid w:val="0"/>
              <w:spacing w:line="360" w:lineRule="auto"/>
              <w:textAlignment w:val="bottom"/>
              <w:rPr>
                <w:rFonts w:ascii="宋体" w:hAnsi="宋体" w:cs="宋体"/>
                <w:color w:val="auto"/>
                <w:sz w:val="24"/>
                <w:highlight w:val="none"/>
              </w:rPr>
            </w:pPr>
            <w:r>
              <w:rPr>
                <w:rFonts w:hint="eastAsia" w:ascii="宋体" w:hAnsi="宋体" w:cs="宋体"/>
                <w:color w:val="auto"/>
                <w:sz w:val="24"/>
                <w:highlight w:val="none"/>
              </w:rPr>
              <w:t>3、投标人仅提交电子备份投标文件的，投标无效；</w:t>
            </w:r>
          </w:p>
          <w:p w14:paraId="450F0929">
            <w:pPr>
              <w:autoSpaceDE w:val="0"/>
              <w:autoSpaceDN w:val="0"/>
              <w:snapToGrid w:val="0"/>
              <w:spacing w:line="360" w:lineRule="auto"/>
              <w:textAlignment w:val="bottom"/>
              <w:rPr>
                <w:rFonts w:ascii="宋体" w:hAnsi="宋体" w:cs="宋体"/>
                <w:color w:val="auto"/>
                <w:sz w:val="24"/>
                <w:highlight w:val="none"/>
              </w:rPr>
            </w:pPr>
            <w:r>
              <w:rPr>
                <w:rFonts w:hint="eastAsia" w:ascii="宋体" w:hAnsi="宋体" w:cs="宋体"/>
                <w:color w:val="auto"/>
                <w:sz w:val="24"/>
                <w:highlight w:val="none"/>
              </w:rPr>
              <w:t>4、本项目不强制投标人提交电子备份投标文件；如在开评标时出现电子投标文件无法解密或解密失败等情况，因投标人未提供电子备份投标文件而造成投标无效等一切后果和风险由投标人自行承担。</w:t>
            </w:r>
          </w:p>
        </w:tc>
      </w:tr>
      <w:tr w14:paraId="7CACA5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73"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3FE7AB1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8750" w:type="dxa"/>
            <w:tcBorders>
              <w:top w:val="single" w:color="auto" w:sz="4" w:space="0"/>
              <w:left w:val="single" w:color="auto" w:sz="4" w:space="0"/>
              <w:bottom w:val="single" w:color="auto" w:sz="4" w:space="0"/>
              <w:right w:val="single" w:color="auto" w:sz="4" w:space="0"/>
            </w:tcBorders>
            <w:vAlign w:val="center"/>
          </w:tcPr>
          <w:p w14:paraId="3CB8806D">
            <w:pPr>
              <w:snapToGrid w:val="0"/>
              <w:spacing w:line="360" w:lineRule="auto"/>
              <w:rPr>
                <w:rFonts w:hint="eastAsia" w:ascii="宋体" w:hAnsi="宋体" w:eastAsia="宋体" w:cs="宋体"/>
                <w:bCs/>
                <w:color w:val="auto"/>
                <w:sz w:val="24"/>
                <w:highlight w:val="none"/>
                <w:u w:val="single"/>
                <w:lang w:eastAsia="zh-CN"/>
              </w:rPr>
            </w:pPr>
            <w:r>
              <w:rPr>
                <w:rFonts w:hint="eastAsia" w:ascii="宋体" w:hAnsi="宋体" w:cs="宋体"/>
                <w:bCs/>
                <w:color w:val="auto"/>
                <w:sz w:val="24"/>
                <w:highlight w:val="none"/>
              </w:rPr>
              <w:t>投标截止时间：</w:t>
            </w:r>
            <w:r>
              <w:rPr>
                <w:rFonts w:hint="eastAsia" w:ascii="宋体" w:hAnsi="宋体" w:cs="宋体"/>
                <w:bCs/>
                <w:color w:val="auto"/>
                <w:sz w:val="24"/>
                <w:highlight w:val="none"/>
                <w:lang w:val="en-US" w:eastAsia="zh-CN"/>
              </w:rPr>
              <w:t>2025</w:t>
            </w:r>
            <w:r>
              <w:rPr>
                <w:rFonts w:hint="eastAsia" w:ascii="宋体" w:hAnsi="宋体" w:cs="宋体"/>
                <w:bCs/>
                <w:color w:val="auto"/>
                <w:sz w:val="24"/>
                <w:highlight w:val="none"/>
                <w:lang w:eastAsia="zh-CN"/>
              </w:rPr>
              <w:t>年</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lang w:eastAsia="zh-CN"/>
              </w:rPr>
              <w:t>月</w:t>
            </w:r>
            <w:r>
              <w:rPr>
                <w:rFonts w:hint="eastAsia" w:ascii="宋体" w:hAnsi="宋体" w:cs="宋体"/>
                <w:bCs/>
                <w:color w:val="auto"/>
                <w:sz w:val="24"/>
                <w:highlight w:val="none"/>
                <w:lang w:val="en-US" w:eastAsia="zh-CN"/>
              </w:rPr>
              <w:t>8</w:t>
            </w:r>
            <w:r>
              <w:rPr>
                <w:rFonts w:hint="eastAsia" w:ascii="宋体" w:hAnsi="宋体" w:cs="宋体"/>
                <w:bCs/>
                <w:color w:val="auto"/>
                <w:sz w:val="24"/>
                <w:highlight w:val="none"/>
                <w:lang w:eastAsia="zh-CN"/>
              </w:rPr>
              <w:t>日</w:t>
            </w:r>
            <w:r>
              <w:rPr>
                <w:rFonts w:hint="eastAsia" w:ascii="宋体" w:hAnsi="宋体" w:cs="宋体"/>
                <w:bCs/>
                <w:color w:val="auto"/>
                <w:sz w:val="24"/>
                <w:highlight w:val="none"/>
                <w:lang w:val="en-US" w:eastAsia="zh-CN"/>
              </w:rPr>
              <w:t>8</w:t>
            </w:r>
            <w:r>
              <w:rPr>
                <w:rFonts w:hint="eastAsia" w:ascii="宋体" w:hAnsi="宋体" w:cs="宋体"/>
                <w:bCs/>
                <w:color w:val="auto"/>
                <w:sz w:val="24"/>
                <w:highlight w:val="none"/>
                <w:lang w:eastAsia="zh-CN"/>
              </w:rPr>
              <w:t>时</w:t>
            </w:r>
            <w:r>
              <w:rPr>
                <w:rFonts w:hint="eastAsia" w:ascii="宋体" w:hAnsi="宋体" w:cs="宋体"/>
                <w:bCs/>
                <w:color w:val="auto"/>
                <w:sz w:val="24"/>
                <w:highlight w:val="none"/>
                <w:lang w:val="en-US" w:eastAsia="zh-CN"/>
              </w:rPr>
              <w:t>30</w:t>
            </w:r>
            <w:r>
              <w:rPr>
                <w:rFonts w:hint="eastAsia" w:ascii="宋体" w:hAnsi="宋体" w:cs="宋体"/>
                <w:bCs/>
                <w:color w:val="auto"/>
                <w:sz w:val="24"/>
                <w:highlight w:val="none"/>
                <w:lang w:eastAsia="zh-CN"/>
              </w:rPr>
              <w:t>分</w:t>
            </w:r>
          </w:p>
          <w:p w14:paraId="7C39BD31">
            <w:pPr>
              <w:pStyle w:val="18"/>
              <w:spacing w:line="360" w:lineRule="auto"/>
              <w:rPr>
                <w:rFonts w:ascii="宋体" w:hAnsi="宋体" w:cs="宋体"/>
                <w:bCs/>
                <w:color w:val="auto"/>
                <w:szCs w:val="24"/>
                <w:highlight w:val="none"/>
              </w:rPr>
            </w:pPr>
            <w:r>
              <w:rPr>
                <w:rFonts w:hint="eastAsia" w:ascii="宋体" w:hAnsi="宋体" w:cs="宋体"/>
                <w:bCs/>
                <w:color w:val="auto"/>
                <w:szCs w:val="24"/>
                <w:highlight w:val="none"/>
              </w:rPr>
              <w:t>1、投标人应当在投标截止时间前在“政采云”（电子交易平台）上自行上传加密的电子投标文件。投标截止时间前未完成传输的，视为撤回电子投标文件。投标截止时间后递交的电子投标文件，将被政采云平台拒收。</w:t>
            </w:r>
          </w:p>
          <w:p w14:paraId="63C3435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2、电子备份投标文件的递交时间：投标人应当在投标截止时间前，逾期未递交的视为自动放弃。</w:t>
            </w:r>
          </w:p>
          <w:p w14:paraId="6290B6EE">
            <w:pPr>
              <w:pStyle w:val="18"/>
              <w:spacing w:line="360" w:lineRule="auto"/>
              <w:rPr>
                <w:rFonts w:ascii="宋体" w:hAnsi="宋体" w:cs="宋体"/>
                <w:color w:val="auto"/>
                <w:szCs w:val="24"/>
                <w:highlight w:val="none"/>
              </w:rPr>
            </w:pPr>
            <w:r>
              <w:rPr>
                <w:rFonts w:hint="eastAsia" w:ascii="宋体" w:hAnsi="宋体" w:cs="宋体"/>
                <w:bCs/>
                <w:color w:val="auto"/>
                <w:szCs w:val="24"/>
                <w:highlight w:val="none"/>
              </w:rPr>
              <w:t>3、投标人应当在投标截止时间前完成投标准备事宜（应具备上网的技术条件并保持网络及联系方式畅通）及电子投标文件的传输递交，可以补充、修改或者撤回电子投标文件。补充或者修改电子投标文件的，应当先行撤回原文件，补充、修改后重新传输递交。</w:t>
            </w:r>
          </w:p>
        </w:tc>
      </w:tr>
      <w:tr w14:paraId="08A55F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2"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927234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8750" w:type="dxa"/>
            <w:tcBorders>
              <w:top w:val="single" w:color="auto" w:sz="4" w:space="0"/>
              <w:left w:val="single" w:color="auto" w:sz="4" w:space="0"/>
              <w:bottom w:val="single" w:color="auto" w:sz="4" w:space="0"/>
              <w:right w:val="single" w:color="auto" w:sz="4" w:space="0"/>
            </w:tcBorders>
            <w:vAlign w:val="center"/>
          </w:tcPr>
          <w:p w14:paraId="22B4A1AE">
            <w:pPr>
              <w:snapToGrid w:val="0"/>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开标时间：</w:t>
            </w:r>
            <w:r>
              <w:rPr>
                <w:rFonts w:hint="eastAsia" w:ascii="宋体" w:hAnsi="宋体" w:cs="宋体"/>
                <w:color w:val="auto"/>
                <w:sz w:val="24"/>
                <w:highlight w:val="none"/>
                <w:lang w:val="en-US" w:eastAsia="zh-CN"/>
              </w:rPr>
              <w:t>2025</w:t>
            </w:r>
            <w:r>
              <w:rPr>
                <w:rFonts w:hint="eastAsia" w:ascii="宋体" w:hAnsi="宋体" w:cs="宋体"/>
                <w:color w:val="auto"/>
                <w:sz w:val="24"/>
                <w:highlight w:val="none"/>
                <w:lang w:eastAsia="zh-CN"/>
              </w:rPr>
              <w:t>年</w:t>
            </w:r>
            <w:r>
              <w:rPr>
                <w:rFonts w:hint="eastAsia" w:ascii="宋体" w:hAnsi="宋体" w:cs="宋体"/>
                <w:color w:val="auto"/>
                <w:sz w:val="24"/>
                <w:highlight w:val="none"/>
                <w:lang w:val="en-US" w:eastAsia="zh-CN"/>
              </w:rPr>
              <w:t>5</w:t>
            </w:r>
            <w:r>
              <w:rPr>
                <w:rFonts w:hint="eastAsia" w:ascii="宋体" w:hAnsi="宋体" w:cs="宋体"/>
                <w:color w:val="auto"/>
                <w:sz w:val="24"/>
                <w:highlight w:val="none"/>
                <w:lang w:eastAsia="zh-CN"/>
              </w:rPr>
              <w:t>月</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日</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eastAsia="zh-CN"/>
              </w:rPr>
              <w:t>时</w:t>
            </w:r>
            <w:r>
              <w:rPr>
                <w:rFonts w:hint="eastAsia" w:ascii="宋体" w:hAnsi="宋体" w:cs="宋体"/>
                <w:color w:val="auto"/>
                <w:sz w:val="24"/>
                <w:highlight w:val="none"/>
                <w:lang w:val="en-US" w:eastAsia="zh-CN"/>
              </w:rPr>
              <w:t>30</w:t>
            </w:r>
            <w:r>
              <w:rPr>
                <w:rFonts w:hint="eastAsia" w:ascii="宋体" w:hAnsi="宋体" w:cs="宋体"/>
                <w:color w:val="auto"/>
                <w:sz w:val="24"/>
                <w:highlight w:val="none"/>
                <w:lang w:eastAsia="zh-CN"/>
              </w:rPr>
              <w:t>分</w:t>
            </w:r>
          </w:p>
          <w:p w14:paraId="4904B9E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不要求投标人到开标现场开标，但投标人应派法定代表人或委托代理人【委托代理人应当是投标人的在职正式职工（以投标人本单位缴纳社保花名册为准）】准时在线出席电子开标会议，随时关注开标进度，如在开标过程中有电子询标，应在规定的时间内对电子询标函进行澄清回复。</w:t>
            </w:r>
          </w:p>
          <w:p w14:paraId="3641640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tc>
      </w:tr>
      <w:tr w14:paraId="49194B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4"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24918BA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8750" w:type="dxa"/>
            <w:tcBorders>
              <w:top w:val="single" w:color="auto" w:sz="4" w:space="0"/>
              <w:left w:val="single" w:color="auto" w:sz="4" w:space="0"/>
              <w:bottom w:val="single" w:color="auto" w:sz="4" w:space="0"/>
              <w:right w:val="single" w:color="auto" w:sz="4" w:space="0"/>
            </w:tcBorders>
            <w:vAlign w:val="center"/>
          </w:tcPr>
          <w:p w14:paraId="166A78E4">
            <w:pPr>
              <w:autoSpaceDE w:val="0"/>
              <w:autoSpaceDN w:val="0"/>
              <w:snapToGrid w:val="0"/>
              <w:spacing w:line="360" w:lineRule="auto"/>
              <w:textAlignment w:val="bottom"/>
              <w:rPr>
                <w:rFonts w:ascii="宋体" w:hAnsi="宋体" w:cs="宋体"/>
                <w:color w:val="auto"/>
                <w:sz w:val="24"/>
                <w:highlight w:val="none"/>
              </w:rPr>
            </w:pPr>
            <w:r>
              <w:rPr>
                <w:rFonts w:hint="eastAsia" w:ascii="宋体" w:hAnsi="宋体" w:cs="宋体"/>
                <w:color w:val="auto"/>
                <w:sz w:val="24"/>
                <w:highlight w:val="none"/>
              </w:rPr>
              <w:t>评标办法：综合评分法</w:t>
            </w:r>
          </w:p>
        </w:tc>
      </w:tr>
      <w:tr w14:paraId="7CDB34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128EAC1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8750" w:type="dxa"/>
            <w:tcBorders>
              <w:top w:val="single" w:color="auto" w:sz="4" w:space="0"/>
              <w:left w:val="single" w:color="auto" w:sz="4" w:space="0"/>
              <w:bottom w:val="single" w:color="auto" w:sz="4" w:space="0"/>
              <w:right w:val="single" w:color="auto" w:sz="4" w:space="0"/>
            </w:tcBorders>
            <w:vAlign w:val="center"/>
          </w:tcPr>
          <w:p w14:paraId="09074257">
            <w:pPr>
              <w:autoSpaceDE w:val="0"/>
              <w:autoSpaceDN w:val="0"/>
              <w:snapToGrid w:val="0"/>
              <w:spacing w:line="360" w:lineRule="auto"/>
              <w:textAlignment w:val="bottom"/>
              <w:rPr>
                <w:rFonts w:ascii="宋体" w:hAnsi="宋体" w:cs="宋体"/>
                <w:color w:val="auto"/>
                <w:sz w:val="24"/>
                <w:highlight w:val="none"/>
              </w:rPr>
            </w:pPr>
            <w:bookmarkStart w:id="13" w:name="_Toc457480905"/>
            <w:r>
              <w:rPr>
                <w:rFonts w:hint="eastAsia" w:ascii="宋体" w:hAnsi="宋体" w:cs="宋体"/>
                <w:color w:val="auto"/>
                <w:sz w:val="24"/>
                <w:highlight w:val="none"/>
              </w:rPr>
              <w:t>中标结果公告：自中标人确定之日起2个工作日内，中标结果公告于浙江省政府采购网(http://zfcg.czt.zj.gov.cn/)、东阳市公共资源交易网(http://www.dongyang.gov.cn/ggzyjy/index.html)，公告1个工作日</w:t>
            </w:r>
            <w:bookmarkEnd w:id="13"/>
            <w:r>
              <w:rPr>
                <w:rFonts w:hint="eastAsia" w:ascii="宋体" w:hAnsi="宋体" w:cs="宋体"/>
                <w:color w:val="auto"/>
                <w:sz w:val="24"/>
                <w:highlight w:val="none"/>
              </w:rPr>
              <w:t>。</w:t>
            </w:r>
          </w:p>
        </w:tc>
      </w:tr>
      <w:tr w14:paraId="21E36A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52"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1105BCF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8750" w:type="dxa"/>
            <w:tcBorders>
              <w:top w:val="single" w:color="auto" w:sz="4" w:space="0"/>
              <w:left w:val="single" w:color="auto" w:sz="4" w:space="0"/>
              <w:bottom w:val="single" w:color="auto" w:sz="4" w:space="0"/>
              <w:right w:val="single" w:color="auto" w:sz="4" w:space="0"/>
            </w:tcBorders>
            <w:vAlign w:val="center"/>
          </w:tcPr>
          <w:p w14:paraId="52033CB7">
            <w:pPr>
              <w:autoSpaceDE w:val="0"/>
              <w:autoSpaceDN w:val="0"/>
              <w:snapToGrid w:val="0"/>
              <w:spacing w:line="360" w:lineRule="auto"/>
              <w:textAlignment w:val="bottom"/>
              <w:rPr>
                <w:rFonts w:ascii="宋体" w:hAnsi="宋体" w:cs="宋体"/>
                <w:color w:val="auto"/>
                <w:sz w:val="24"/>
                <w:highlight w:val="none"/>
              </w:rPr>
            </w:pPr>
            <w:r>
              <w:rPr>
                <w:rFonts w:hint="eastAsia" w:ascii="宋体" w:hAnsi="宋体" w:cs="宋体"/>
                <w:color w:val="auto"/>
                <w:sz w:val="24"/>
                <w:highlight w:val="none"/>
              </w:rPr>
              <w:t>《中标通知书》的领取时间：中标人应自中标结果公告结束日起，在3个工作日内领取，否则按放弃中标资格处理，并因违反诚信原则，提交财政部门列入政府采购黑名单。</w:t>
            </w:r>
          </w:p>
        </w:tc>
      </w:tr>
      <w:tr w14:paraId="6AA85F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0300357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8750" w:type="dxa"/>
            <w:tcBorders>
              <w:top w:val="single" w:color="auto" w:sz="4" w:space="0"/>
              <w:left w:val="single" w:color="auto" w:sz="4" w:space="0"/>
              <w:bottom w:val="single" w:color="auto" w:sz="4" w:space="0"/>
              <w:right w:val="single" w:color="auto" w:sz="4" w:space="0"/>
            </w:tcBorders>
            <w:vAlign w:val="center"/>
          </w:tcPr>
          <w:p w14:paraId="11002BD2">
            <w:pPr>
              <w:autoSpaceDE w:val="0"/>
              <w:autoSpaceDN w:val="0"/>
              <w:snapToGrid w:val="0"/>
              <w:spacing w:line="360" w:lineRule="auto"/>
              <w:textAlignment w:val="bottom"/>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履约保证金：</w:t>
            </w:r>
            <w:r>
              <w:rPr>
                <w:rFonts w:hint="eastAsia" w:ascii="宋体" w:hAnsi="宋体" w:cs="宋体"/>
                <w:color w:val="auto"/>
                <w:sz w:val="24"/>
                <w:highlight w:val="none"/>
                <w:lang w:val="en-US" w:eastAsia="zh-CN"/>
              </w:rPr>
              <w:t>本项目不收取履约保证金</w:t>
            </w:r>
          </w:p>
        </w:tc>
      </w:tr>
      <w:tr w14:paraId="6F4524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2C4D1EF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8750" w:type="dxa"/>
            <w:tcBorders>
              <w:top w:val="single" w:color="auto" w:sz="4" w:space="0"/>
              <w:left w:val="single" w:color="auto" w:sz="4" w:space="0"/>
              <w:bottom w:val="single" w:color="auto" w:sz="4" w:space="0"/>
              <w:right w:val="single" w:color="auto" w:sz="4" w:space="0"/>
            </w:tcBorders>
            <w:vAlign w:val="center"/>
          </w:tcPr>
          <w:p w14:paraId="2A00305B">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1、企业信用融资: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0346D116">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2、政府采购金融服务提示：为扩大政府采购金融服务面，除政采云网上金融服务合作银行外，东阳市范围内增加浙商银行金华分行东阳支行作为线下合作银行。   </w:t>
            </w:r>
          </w:p>
          <w:p w14:paraId="3EA9AF9A">
            <w:pPr>
              <w:snapToGrid w:val="0"/>
              <w:spacing w:line="360" w:lineRule="auto"/>
              <w:jc w:val="left"/>
              <w:rPr>
                <w:rFonts w:ascii="宋体" w:hAnsi="宋体" w:cs="宋体"/>
                <w:color w:val="auto"/>
                <w:highlight w:val="none"/>
              </w:rPr>
            </w:pPr>
            <w:r>
              <w:rPr>
                <w:rFonts w:hint="eastAsia" w:ascii="宋体" w:hAnsi="宋体" w:cs="宋体"/>
                <w:color w:val="auto"/>
                <w:sz w:val="24"/>
                <w:highlight w:val="none"/>
              </w:rPr>
              <w:t>浙商银行金华东阳支行联系人：许燕  联系电话：13967983441  0579-86222992</w:t>
            </w:r>
          </w:p>
        </w:tc>
      </w:tr>
      <w:tr w14:paraId="17A40E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5C0FBB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15</w:t>
            </w:r>
          </w:p>
        </w:tc>
        <w:tc>
          <w:tcPr>
            <w:tcW w:w="8750" w:type="dxa"/>
            <w:tcBorders>
              <w:top w:val="single" w:color="auto" w:sz="4" w:space="0"/>
              <w:left w:val="single" w:color="auto" w:sz="4" w:space="0"/>
              <w:bottom w:val="single" w:color="auto" w:sz="4" w:space="0"/>
              <w:right w:val="single" w:color="auto" w:sz="4" w:space="0"/>
            </w:tcBorders>
            <w:vAlign w:val="center"/>
          </w:tcPr>
          <w:p w14:paraId="21D8260D">
            <w:pPr>
              <w:autoSpaceDE w:val="0"/>
              <w:autoSpaceDN w:val="0"/>
              <w:snapToGrid w:val="0"/>
              <w:spacing w:line="240" w:lineRule="auto"/>
              <w:textAlignment w:val="bottom"/>
              <w:rPr>
                <w:rFonts w:hint="eastAsia" w:eastAsiaTheme="minorEastAsia"/>
                <w:color w:val="auto"/>
                <w:highlight w:val="none"/>
                <w:lang w:eastAsia="zh-CN"/>
              </w:rPr>
            </w:pPr>
            <w:r>
              <w:rPr>
                <w:rFonts w:hint="eastAsia" w:ascii="宋体" w:hAnsi="宋体" w:cs="宋体"/>
                <w:color w:val="auto"/>
                <w:sz w:val="24"/>
                <w:highlight w:val="none"/>
              </w:rPr>
              <w:t>签订合同时间：</w:t>
            </w:r>
            <w:r>
              <w:rPr>
                <w:rFonts w:hint="eastAsia" w:asciiTheme="minorEastAsia" w:hAnsiTheme="minorEastAsia" w:eastAsiaTheme="minorEastAsia" w:cstheme="minorEastAsia"/>
                <w:b w:val="0"/>
                <w:bCs w:val="0"/>
                <w:color w:val="auto"/>
                <w:sz w:val="24"/>
                <w:szCs w:val="24"/>
                <w:highlight w:val="none"/>
              </w:rPr>
              <w:t>中标单位在收到《中标通知书》后20日内</w:t>
            </w:r>
            <w:r>
              <w:rPr>
                <w:rFonts w:hint="eastAsia" w:asciiTheme="minorEastAsia" w:hAnsiTheme="minorEastAsia" w:eastAsiaTheme="minorEastAsia" w:cstheme="minorEastAsia"/>
                <w:b w:val="0"/>
                <w:bCs w:val="0"/>
                <w:color w:val="auto"/>
                <w:sz w:val="24"/>
                <w:szCs w:val="24"/>
                <w:highlight w:val="none"/>
                <w:lang w:eastAsia="zh-CN"/>
              </w:rPr>
              <w:t>。</w:t>
            </w:r>
          </w:p>
        </w:tc>
      </w:tr>
      <w:tr w14:paraId="4BF703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613040B">
            <w:pPr>
              <w:snapToGrid w:val="0"/>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16</w:t>
            </w:r>
          </w:p>
        </w:tc>
        <w:tc>
          <w:tcPr>
            <w:tcW w:w="8750" w:type="dxa"/>
            <w:tcBorders>
              <w:top w:val="single" w:color="auto" w:sz="4" w:space="0"/>
              <w:left w:val="single" w:color="auto" w:sz="4" w:space="0"/>
              <w:bottom w:val="single" w:color="auto" w:sz="4" w:space="0"/>
              <w:right w:val="single" w:color="auto" w:sz="4" w:space="0"/>
            </w:tcBorders>
            <w:vAlign w:val="center"/>
          </w:tcPr>
          <w:p w14:paraId="05DB1703">
            <w:pPr>
              <w:autoSpaceDE w:val="0"/>
              <w:autoSpaceDN w:val="0"/>
              <w:snapToGrid w:val="0"/>
              <w:spacing w:line="360" w:lineRule="auto"/>
              <w:textAlignment w:val="bottom"/>
              <w:rPr>
                <w:rFonts w:ascii="宋体" w:hAnsi="宋体" w:cs="宋体"/>
                <w:color w:val="auto"/>
                <w:sz w:val="24"/>
                <w:highlight w:val="none"/>
              </w:rPr>
            </w:pPr>
            <w:r>
              <w:rPr>
                <w:rFonts w:hint="eastAsia" w:ascii="宋体" w:hAnsi="宋体" w:cs="宋体"/>
                <w:color w:val="auto"/>
                <w:sz w:val="24"/>
                <w:highlight w:val="none"/>
              </w:rPr>
              <w:t>中标人与</w:t>
            </w:r>
            <w:r>
              <w:rPr>
                <w:rFonts w:hint="eastAsia" w:ascii="宋体" w:hAnsi="宋体" w:cs="宋体"/>
                <w:color w:val="auto"/>
                <w:sz w:val="24"/>
                <w:highlight w:val="none"/>
                <w:lang w:eastAsia="zh-CN"/>
              </w:rPr>
              <w:t>浙江东阳经济开发区管理委员会</w:t>
            </w:r>
            <w:r>
              <w:rPr>
                <w:rFonts w:hint="eastAsia" w:ascii="宋体" w:hAnsi="宋体" w:cs="宋体"/>
                <w:color w:val="auto"/>
                <w:sz w:val="24"/>
                <w:highlight w:val="none"/>
              </w:rPr>
              <w:t>签订政府采购合同。</w:t>
            </w:r>
          </w:p>
        </w:tc>
      </w:tr>
      <w:tr w14:paraId="499D38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5"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F69C30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17</w:t>
            </w:r>
          </w:p>
        </w:tc>
        <w:tc>
          <w:tcPr>
            <w:tcW w:w="8750" w:type="dxa"/>
            <w:tcBorders>
              <w:top w:val="single" w:color="auto" w:sz="4" w:space="0"/>
              <w:left w:val="single" w:color="auto" w:sz="4" w:space="0"/>
              <w:bottom w:val="single" w:color="auto" w:sz="4" w:space="0"/>
              <w:right w:val="single" w:color="auto" w:sz="4" w:space="0"/>
            </w:tcBorders>
            <w:vAlign w:val="center"/>
          </w:tcPr>
          <w:p w14:paraId="7EE550D7">
            <w:pPr>
              <w:keepNext w:val="0"/>
              <w:keepLines w:val="0"/>
              <w:pageBreakBefore w:val="0"/>
              <w:widowControl w:val="0"/>
              <w:kinsoku/>
              <w:wordWrap/>
              <w:overflowPunct/>
              <w:topLinePunct w:val="0"/>
              <w:autoSpaceDE/>
              <w:autoSpaceDN/>
              <w:bidi w:val="0"/>
              <w:adjustRightInd/>
              <w:snapToGrid w:val="0"/>
              <w:spacing w:line="420" w:lineRule="exact"/>
              <w:ind w:firstLine="468" w:firstLineChars="195"/>
              <w:textAlignment w:val="auto"/>
              <w:rPr>
                <w:rFonts w:ascii="宋体" w:hAnsi="宋体" w:cs="宋体"/>
                <w:color w:val="auto"/>
                <w:sz w:val="24"/>
                <w:highlight w:val="none"/>
              </w:rPr>
            </w:pPr>
            <w:r>
              <w:rPr>
                <w:rFonts w:hint="eastAsia" w:ascii="宋体" w:hAnsi="Courier New" w:eastAsia="宋体" w:cs="Times New Roman"/>
                <w:color w:val="auto"/>
                <w:sz w:val="24"/>
                <w:szCs w:val="24"/>
                <w:highlight w:val="none"/>
                <w:lang w:val="en-US" w:eastAsia="zh-CN"/>
              </w:rPr>
              <w:t>付款方式：合同生效后7个工作日内</w:t>
            </w:r>
            <w:r>
              <w:rPr>
                <w:rFonts w:hint="eastAsia" w:ascii="宋体" w:hAnsi="Courier New" w:cs="Times New Roman"/>
                <w:color w:val="auto"/>
                <w:sz w:val="24"/>
                <w:szCs w:val="24"/>
                <w:highlight w:val="none"/>
                <w:lang w:val="en-US" w:eastAsia="zh-CN"/>
              </w:rPr>
              <w:t>，</w:t>
            </w:r>
            <w:r>
              <w:rPr>
                <w:rFonts w:hint="eastAsia" w:ascii="宋体" w:hAnsi="Courier New" w:eastAsia="宋体" w:cs="Times New Roman"/>
                <w:color w:val="auto"/>
                <w:sz w:val="24"/>
                <w:szCs w:val="24"/>
                <w:highlight w:val="none"/>
                <w:lang w:val="en-US" w:eastAsia="zh-CN"/>
              </w:rPr>
              <w:t>采购</w:t>
            </w:r>
            <w:r>
              <w:rPr>
                <w:rFonts w:hint="eastAsia" w:ascii="宋体" w:hAnsi="Courier New" w:cs="Times New Roman"/>
                <w:color w:val="auto"/>
                <w:sz w:val="24"/>
                <w:szCs w:val="24"/>
                <w:highlight w:val="none"/>
                <w:lang w:val="en-US" w:eastAsia="zh-CN"/>
              </w:rPr>
              <w:t>人</w:t>
            </w:r>
            <w:r>
              <w:rPr>
                <w:rFonts w:hint="eastAsia" w:ascii="宋体" w:hAnsi="Courier New" w:eastAsia="宋体" w:cs="Times New Roman"/>
                <w:color w:val="auto"/>
                <w:sz w:val="24"/>
                <w:szCs w:val="24"/>
                <w:highlight w:val="none"/>
                <w:lang w:val="en-US" w:eastAsia="zh-CN"/>
              </w:rPr>
              <w:t>支付合同金额的40%作为项目的预付款</w:t>
            </w:r>
            <w:r>
              <w:rPr>
                <w:rFonts w:hint="eastAsia" w:ascii="宋体" w:hAnsi="宋体" w:eastAsia="宋体" w:cs="宋体"/>
                <w:color w:val="auto"/>
                <w:kern w:val="2"/>
                <w:sz w:val="24"/>
                <w:szCs w:val="24"/>
                <w:highlight w:val="none"/>
                <w:lang w:val="en-US" w:eastAsia="zh-CN" w:bidi="ar-SA"/>
              </w:rPr>
              <w:t>（采购人根据项目特点、供应商诚信等因素，可以要求中标人提交预付款保函）</w:t>
            </w:r>
            <w:r>
              <w:rPr>
                <w:rFonts w:hint="eastAsia" w:ascii="宋体" w:hAnsi="宋体" w:cs="宋体"/>
                <w:color w:val="auto"/>
                <w:kern w:val="2"/>
                <w:sz w:val="24"/>
                <w:szCs w:val="24"/>
                <w:highlight w:val="none"/>
                <w:lang w:val="en-US" w:eastAsia="zh-CN" w:bidi="ar-SA"/>
              </w:rPr>
              <w:t>。</w:t>
            </w:r>
            <w:r>
              <w:rPr>
                <w:rFonts w:hint="eastAsia" w:ascii="宋体" w:hAnsi="宋体" w:cs="宋体"/>
                <w:color w:val="auto"/>
                <w:sz w:val="24"/>
                <w:szCs w:val="24"/>
                <w:highlight w:val="none"/>
                <w:lang w:val="en-US" w:eastAsia="zh-CN"/>
              </w:rPr>
              <w:t>本项目按单个地块结算。单个地块</w:t>
            </w:r>
            <w:r>
              <w:rPr>
                <w:rFonts w:hint="eastAsia" w:ascii="宋体" w:hAnsi="宋体" w:eastAsia="宋体" w:cs="宋体"/>
                <w:color w:val="auto"/>
                <w:sz w:val="24"/>
                <w:szCs w:val="24"/>
                <w:highlight w:val="none"/>
                <w:lang w:val="en-US" w:eastAsia="zh-CN"/>
              </w:rPr>
              <w:t>完成</w:t>
            </w:r>
            <w:r>
              <w:rPr>
                <w:rFonts w:hint="eastAsia" w:ascii="宋体" w:hAnsi="宋体" w:cs="宋体"/>
                <w:color w:val="auto"/>
                <w:sz w:val="24"/>
                <w:szCs w:val="24"/>
                <w:highlight w:val="none"/>
                <w:lang w:val="en-US" w:eastAsia="zh-CN"/>
              </w:rPr>
              <w:t>取得</w:t>
            </w:r>
            <w:r>
              <w:rPr>
                <w:rFonts w:hint="eastAsia" w:ascii="宋体" w:hAnsi="宋体" w:eastAsia="宋体" w:cs="宋体"/>
                <w:color w:val="auto"/>
                <w:sz w:val="24"/>
                <w:szCs w:val="24"/>
                <w:highlight w:val="none"/>
              </w:rPr>
              <w:t>审批意见书</w:t>
            </w:r>
            <w:r>
              <w:rPr>
                <w:rFonts w:hint="eastAsia" w:ascii="宋体" w:hAnsi="宋体" w:eastAsia="宋体" w:cs="宋体"/>
                <w:color w:val="auto"/>
                <w:sz w:val="24"/>
                <w:szCs w:val="24"/>
                <w:highlight w:val="none"/>
                <w:lang w:val="en-US" w:eastAsia="zh-CN"/>
              </w:rPr>
              <w:t>后</w:t>
            </w:r>
            <w:r>
              <w:rPr>
                <w:rFonts w:hint="eastAsia" w:ascii="宋体" w:hAnsi="宋体" w:eastAsia="宋体" w:cs="宋体"/>
                <w:color w:val="auto"/>
                <w:sz w:val="24"/>
                <w:szCs w:val="24"/>
                <w:highlight w:val="none"/>
              </w:rPr>
              <w:t>收到乙方发票</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个工作日内付清该</w:t>
            </w:r>
            <w:r>
              <w:rPr>
                <w:rFonts w:hint="eastAsia" w:ascii="宋体" w:hAnsi="宋体" w:cs="宋体"/>
                <w:color w:val="auto"/>
                <w:sz w:val="24"/>
                <w:szCs w:val="24"/>
                <w:highlight w:val="none"/>
                <w:lang w:val="en-US" w:eastAsia="zh-CN"/>
              </w:rPr>
              <w:t>地块</w:t>
            </w:r>
            <w:r>
              <w:rPr>
                <w:rFonts w:hint="eastAsia" w:ascii="宋体" w:hAnsi="宋体" w:eastAsia="宋体" w:cs="宋体"/>
                <w:color w:val="auto"/>
                <w:sz w:val="24"/>
                <w:szCs w:val="24"/>
                <w:highlight w:val="none"/>
                <w:lang w:val="en-US" w:eastAsia="zh-CN"/>
              </w:rPr>
              <w:t>费用</w:t>
            </w:r>
            <w:r>
              <w:rPr>
                <w:rFonts w:hint="eastAsia" w:ascii="宋体" w:hAnsi="宋体" w:eastAsia="宋体" w:cs="宋体"/>
                <w:color w:val="auto"/>
                <w:sz w:val="24"/>
                <w:szCs w:val="24"/>
                <w:highlight w:val="none"/>
              </w:rPr>
              <w:t>。</w:t>
            </w:r>
          </w:p>
        </w:tc>
      </w:tr>
      <w:tr w14:paraId="2E8318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5B199C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18</w:t>
            </w:r>
          </w:p>
        </w:tc>
        <w:tc>
          <w:tcPr>
            <w:tcW w:w="8750" w:type="dxa"/>
            <w:tcBorders>
              <w:top w:val="single" w:color="auto" w:sz="4" w:space="0"/>
              <w:left w:val="single" w:color="auto" w:sz="4" w:space="0"/>
              <w:bottom w:val="single" w:color="auto" w:sz="4" w:space="0"/>
              <w:right w:val="single" w:color="auto" w:sz="4" w:space="0"/>
            </w:tcBorders>
            <w:vAlign w:val="center"/>
          </w:tcPr>
          <w:p w14:paraId="232F0C5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货物交付/服务地点：东阳市内，采购人指定的地点。</w:t>
            </w:r>
          </w:p>
          <w:p w14:paraId="78938A6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验收：</w:t>
            </w:r>
          </w:p>
          <w:p w14:paraId="2CF1652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采购人组织相关人员对供应商履约的验收，验收费用由中标人承担；采购人出具一式二份验收报告，一份由中标人保管，一份由东阳市鑫盛工程咨询有限公司（原件）存档。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29F3AE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2.采购人可以邀请参加本项目的其他供应商或者第三方机构参与验收。参与验收的供应商或者第三方机构的意见作为验收书的参考资料一并存档。</w:t>
            </w:r>
          </w:p>
          <w:p w14:paraId="5CEA7B3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236227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4.采购人原则上应当在履约验收之日起2个工作日内，将履约验收结果在浙江政府采购网上公告。</w:t>
            </w:r>
          </w:p>
          <w:p w14:paraId="71B3A92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5.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tc>
      </w:tr>
      <w:tr w14:paraId="5F0C73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6E6BB15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19</w:t>
            </w:r>
          </w:p>
        </w:tc>
        <w:tc>
          <w:tcPr>
            <w:tcW w:w="8750" w:type="dxa"/>
            <w:tcBorders>
              <w:top w:val="single" w:color="auto" w:sz="4" w:space="0"/>
              <w:left w:val="single" w:color="auto" w:sz="4" w:space="0"/>
              <w:bottom w:val="single" w:color="auto" w:sz="4" w:space="0"/>
              <w:right w:val="single" w:color="auto" w:sz="4" w:space="0"/>
            </w:tcBorders>
            <w:vAlign w:val="center"/>
          </w:tcPr>
          <w:p w14:paraId="04C53B43">
            <w:pPr>
              <w:snapToGrid w:val="0"/>
              <w:spacing w:beforeLines="50" w:line="360" w:lineRule="auto"/>
              <w:outlineLvl w:val="2"/>
              <w:rPr>
                <w:rFonts w:ascii="宋体" w:hAnsi="宋体"/>
                <w:b/>
                <w:color w:val="auto"/>
                <w:sz w:val="24"/>
                <w:highlight w:val="none"/>
              </w:rPr>
            </w:pPr>
            <w:r>
              <w:rPr>
                <w:rFonts w:hint="eastAsia" w:ascii="宋体" w:hAnsi="宋体"/>
                <w:b/>
                <w:color w:val="auto"/>
                <w:sz w:val="24"/>
                <w:highlight w:val="none"/>
              </w:rPr>
              <w:t>供应商有下列情形之一的，列入失信名单，同时依照《政府采购法》第七十七条及《中华人民共和国政府采购法实施条例》第七十二条规定处罚并追究法律责任。</w:t>
            </w:r>
          </w:p>
          <w:p w14:paraId="3E3E9B7B">
            <w:pPr>
              <w:snapToGrid w:val="0"/>
              <w:spacing w:line="360" w:lineRule="auto"/>
              <w:jc w:val="left"/>
              <w:rPr>
                <w:rFonts w:ascii="宋体" w:hAnsi="宋体"/>
                <w:color w:val="auto"/>
                <w:sz w:val="24"/>
                <w:highlight w:val="none"/>
              </w:rPr>
            </w:pPr>
            <w:r>
              <w:rPr>
                <w:rFonts w:hint="eastAsia" w:ascii="宋体" w:hAnsi="宋体"/>
                <w:color w:val="auto"/>
                <w:sz w:val="24"/>
                <w:highlight w:val="none"/>
              </w:rPr>
              <w:t xml:space="preserve">1、提供虚假材料谋取中标、成交的； </w:t>
            </w:r>
          </w:p>
          <w:p w14:paraId="68427FEF">
            <w:pPr>
              <w:snapToGrid w:val="0"/>
              <w:spacing w:line="360" w:lineRule="auto"/>
              <w:jc w:val="left"/>
              <w:rPr>
                <w:rFonts w:ascii="宋体" w:hAnsi="宋体"/>
                <w:color w:val="auto"/>
                <w:sz w:val="24"/>
                <w:highlight w:val="none"/>
              </w:rPr>
            </w:pPr>
            <w:r>
              <w:rPr>
                <w:rFonts w:hint="eastAsia" w:ascii="宋体" w:hAnsi="宋体"/>
                <w:color w:val="auto"/>
                <w:sz w:val="24"/>
                <w:highlight w:val="none"/>
              </w:rPr>
              <w:t xml:space="preserve">2、采取不正当手段诋毁、排挤其他供应商的； </w:t>
            </w:r>
          </w:p>
          <w:p w14:paraId="36E10019">
            <w:pPr>
              <w:snapToGrid w:val="0"/>
              <w:spacing w:line="360" w:lineRule="auto"/>
              <w:jc w:val="left"/>
              <w:rPr>
                <w:rFonts w:ascii="宋体" w:hAnsi="宋体"/>
                <w:color w:val="auto"/>
                <w:sz w:val="24"/>
                <w:highlight w:val="none"/>
              </w:rPr>
            </w:pPr>
            <w:r>
              <w:rPr>
                <w:rFonts w:hint="eastAsia" w:ascii="宋体" w:hAnsi="宋体"/>
                <w:color w:val="auto"/>
                <w:sz w:val="24"/>
                <w:highlight w:val="none"/>
              </w:rPr>
              <w:t xml:space="preserve">3、与采购人、其他供应商或者采购代理机构恶意串通的； </w:t>
            </w:r>
          </w:p>
          <w:p w14:paraId="0F614F78">
            <w:pPr>
              <w:snapToGrid w:val="0"/>
              <w:spacing w:line="360" w:lineRule="auto"/>
              <w:jc w:val="left"/>
              <w:rPr>
                <w:rFonts w:ascii="宋体" w:hAnsi="宋体"/>
                <w:color w:val="auto"/>
                <w:sz w:val="24"/>
                <w:highlight w:val="none"/>
              </w:rPr>
            </w:pPr>
            <w:r>
              <w:rPr>
                <w:rFonts w:hint="eastAsia" w:ascii="宋体" w:hAnsi="宋体"/>
                <w:color w:val="auto"/>
                <w:sz w:val="24"/>
                <w:highlight w:val="none"/>
              </w:rPr>
              <w:t xml:space="preserve">4、向采购人、采购代理机构行贿或者提供其他不正当利益的； </w:t>
            </w:r>
          </w:p>
          <w:p w14:paraId="3522F39C">
            <w:pPr>
              <w:snapToGrid w:val="0"/>
              <w:spacing w:line="360" w:lineRule="auto"/>
              <w:jc w:val="left"/>
              <w:rPr>
                <w:rFonts w:ascii="宋体" w:hAnsi="宋体"/>
                <w:color w:val="auto"/>
                <w:sz w:val="24"/>
                <w:highlight w:val="none"/>
              </w:rPr>
            </w:pPr>
            <w:r>
              <w:rPr>
                <w:rFonts w:hint="eastAsia" w:ascii="宋体" w:hAnsi="宋体"/>
                <w:color w:val="auto"/>
                <w:sz w:val="24"/>
                <w:highlight w:val="none"/>
              </w:rPr>
              <w:t xml:space="preserve">5、在招标采购过程中与采购人进行协商谈判的； </w:t>
            </w:r>
          </w:p>
          <w:p w14:paraId="3E410A5F">
            <w:pPr>
              <w:snapToGrid w:val="0"/>
              <w:spacing w:line="360" w:lineRule="auto"/>
              <w:jc w:val="left"/>
              <w:rPr>
                <w:rFonts w:ascii="宋体" w:hAnsi="宋体"/>
                <w:color w:val="auto"/>
                <w:sz w:val="24"/>
                <w:highlight w:val="none"/>
              </w:rPr>
            </w:pPr>
            <w:r>
              <w:rPr>
                <w:rFonts w:hint="eastAsia" w:ascii="宋体" w:hAnsi="宋体"/>
                <w:color w:val="auto"/>
                <w:sz w:val="24"/>
                <w:highlight w:val="none"/>
              </w:rPr>
              <w:t>6、向评标委员会、竞争性谈判小组或者询价小组成员行贿或者提供其他不正当利益；</w:t>
            </w:r>
          </w:p>
          <w:p w14:paraId="35AC8B12">
            <w:pPr>
              <w:snapToGrid w:val="0"/>
              <w:spacing w:line="360" w:lineRule="auto"/>
              <w:jc w:val="left"/>
              <w:rPr>
                <w:rFonts w:ascii="宋体" w:hAnsi="宋体"/>
                <w:color w:val="auto"/>
                <w:sz w:val="24"/>
                <w:highlight w:val="none"/>
              </w:rPr>
            </w:pPr>
            <w:r>
              <w:rPr>
                <w:rFonts w:hint="eastAsia" w:ascii="宋体" w:hAnsi="宋体"/>
                <w:color w:val="auto"/>
                <w:sz w:val="24"/>
                <w:highlight w:val="none"/>
              </w:rPr>
              <w:t>7、中标或者成交后无正当理由拒不与采购人签订政府采购合同；</w:t>
            </w:r>
          </w:p>
          <w:p w14:paraId="24BB20E1">
            <w:pPr>
              <w:snapToGrid w:val="0"/>
              <w:spacing w:line="360" w:lineRule="auto"/>
              <w:jc w:val="left"/>
              <w:rPr>
                <w:rFonts w:ascii="宋体" w:hAnsi="宋体"/>
                <w:color w:val="auto"/>
                <w:sz w:val="24"/>
                <w:highlight w:val="none"/>
              </w:rPr>
            </w:pPr>
            <w:r>
              <w:rPr>
                <w:rFonts w:hint="eastAsia" w:ascii="宋体" w:hAnsi="宋体"/>
                <w:color w:val="auto"/>
                <w:sz w:val="24"/>
                <w:highlight w:val="none"/>
              </w:rPr>
              <w:t>8、未按照采购文件确定的事项签订政府采购合同；</w:t>
            </w:r>
          </w:p>
          <w:p w14:paraId="54C28921">
            <w:pPr>
              <w:snapToGrid w:val="0"/>
              <w:spacing w:line="360" w:lineRule="auto"/>
              <w:jc w:val="left"/>
              <w:rPr>
                <w:rFonts w:ascii="宋体" w:hAnsi="宋体"/>
                <w:color w:val="auto"/>
                <w:sz w:val="24"/>
                <w:highlight w:val="none"/>
              </w:rPr>
            </w:pPr>
            <w:r>
              <w:rPr>
                <w:rFonts w:hint="eastAsia" w:ascii="宋体" w:hAnsi="宋体"/>
                <w:color w:val="auto"/>
                <w:sz w:val="24"/>
                <w:highlight w:val="none"/>
              </w:rPr>
              <w:t>9、将政府采购合同转包；</w:t>
            </w:r>
          </w:p>
          <w:p w14:paraId="6D0A38EF">
            <w:pPr>
              <w:snapToGrid w:val="0"/>
              <w:spacing w:line="360" w:lineRule="auto"/>
              <w:jc w:val="left"/>
              <w:rPr>
                <w:rFonts w:ascii="宋体" w:hAnsi="宋体"/>
                <w:color w:val="auto"/>
                <w:sz w:val="24"/>
                <w:highlight w:val="none"/>
              </w:rPr>
            </w:pPr>
            <w:r>
              <w:rPr>
                <w:rFonts w:hint="eastAsia" w:ascii="宋体" w:hAnsi="宋体"/>
                <w:color w:val="auto"/>
                <w:sz w:val="24"/>
                <w:highlight w:val="none"/>
              </w:rPr>
              <w:t>10、提供假冒伪劣产品；</w:t>
            </w:r>
          </w:p>
          <w:p w14:paraId="768C6B20">
            <w:pPr>
              <w:snapToGrid w:val="0"/>
              <w:spacing w:line="360" w:lineRule="auto"/>
              <w:jc w:val="left"/>
              <w:rPr>
                <w:rFonts w:hint="eastAsia" w:ascii="宋体" w:hAnsi="宋体" w:eastAsia="宋体"/>
                <w:color w:val="auto"/>
                <w:sz w:val="24"/>
                <w:highlight w:val="none"/>
                <w:lang w:eastAsia="zh-CN"/>
              </w:rPr>
            </w:pPr>
            <w:r>
              <w:rPr>
                <w:rFonts w:hint="eastAsia" w:ascii="宋体" w:hAnsi="宋体"/>
                <w:color w:val="auto"/>
                <w:sz w:val="24"/>
                <w:highlight w:val="none"/>
              </w:rPr>
              <w:t>11、擅自变更、中止或者终止政府采购合同</w:t>
            </w:r>
            <w:r>
              <w:rPr>
                <w:rFonts w:hint="eastAsia" w:ascii="宋体" w:hAnsi="宋体"/>
                <w:color w:val="auto"/>
                <w:sz w:val="24"/>
                <w:highlight w:val="none"/>
                <w:lang w:eastAsia="zh-CN"/>
              </w:rPr>
              <w:t>；</w:t>
            </w:r>
          </w:p>
          <w:p w14:paraId="122EADA9">
            <w:pPr>
              <w:snapToGrid w:val="0"/>
              <w:spacing w:line="360" w:lineRule="auto"/>
              <w:rPr>
                <w:rFonts w:ascii="宋体" w:hAnsi="宋体" w:cs="宋体"/>
                <w:color w:val="auto"/>
                <w:sz w:val="24"/>
                <w:highlight w:val="none"/>
              </w:rPr>
            </w:pPr>
            <w:r>
              <w:rPr>
                <w:rFonts w:hint="eastAsia" w:ascii="宋体" w:hAnsi="宋体"/>
                <w:color w:val="auto"/>
                <w:sz w:val="24"/>
                <w:highlight w:val="none"/>
              </w:rPr>
              <w:t>12、其他严重扰乱招投标程序的。</w:t>
            </w:r>
          </w:p>
        </w:tc>
      </w:tr>
      <w:tr w14:paraId="16792D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5EE8F10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20</w:t>
            </w:r>
          </w:p>
        </w:tc>
        <w:tc>
          <w:tcPr>
            <w:tcW w:w="8750" w:type="dxa"/>
            <w:tcBorders>
              <w:top w:val="single" w:color="auto" w:sz="4" w:space="0"/>
              <w:left w:val="single" w:color="auto" w:sz="4" w:space="0"/>
              <w:bottom w:val="single" w:color="auto" w:sz="4" w:space="0"/>
              <w:right w:val="single" w:color="auto" w:sz="4" w:space="0"/>
            </w:tcBorders>
            <w:vAlign w:val="center"/>
          </w:tcPr>
          <w:p w14:paraId="3E9E879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投标文件有效期：</w:t>
            </w:r>
            <w:r>
              <w:rPr>
                <w:rFonts w:hint="eastAsia" w:ascii="宋体" w:hAnsi="宋体" w:cs="宋体"/>
                <w:color w:val="auto"/>
                <w:sz w:val="24"/>
                <w:highlight w:val="none"/>
                <w:u w:val="single"/>
              </w:rPr>
              <w:t>60</w:t>
            </w:r>
            <w:r>
              <w:rPr>
                <w:rFonts w:hint="eastAsia" w:ascii="宋体" w:hAnsi="宋体" w:cs="宋体"/>
                <w:color w:val="auto"/>
                <w:sz w:val="24"/>
                <w:highlight w:val="none"/>
              </w:rPr>
              <w:t>天</w:t>
            </w:r>
          </w:p>
        </w:tc>
      </w:tr>
      <w:tr w14:paraId="678345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17C720B">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21</w:t>
            </w:r>
          </w:p>
        </w:tc>
        <w:tc>
          <w:tcPr>
            <w:tcW w:w="8750" w:type="dxa"/>
            <w:tcBorders>
              <w:top w:val="single" w:color="auto" w:sz="4" w:space="0"/>
              <w:left w:val="single" w:color="auto" w:sz="4" w:space="0"/>
              <w:bottom w:val="single" w:color="auto" w:sz="4" w:space="0"/>
              <w:right w:val="single" w:color="auto" w:sz="4" w:space="0"/>
            </w:tcBorders>
            <w:vAlign w:val="center"/>
          </w:tcPr>
          <w:p w14:paraId="257989E3">
            <w:pPr>
              <w:snapToGrid w:val="0"/>
              <w:spacing w:line="360" w:lineRule="auto"/>
              <w:rPr>
                <w:rFonts w:hint="eastAsia" w:ascii="宋体" w:hAnsi="宋体" w:cs="宋体"/>
                <w:color w:val="auto"/>
                <w:sz w:val="24"/>
                <w:highlight w:val="none"/>
              </w:rPr>
            </w:pPr>
            <w:r>
              <w:rPr>
                <w:rFonts w:hint="eastAsia" w:ascii="宋体" w:hAnsi="宋体" w:cs="宋体"/>
                <w:b/>
                <w:bCs/>
                <w:color w:val="auto"/>
                <w:sz w:val="24"/>
                <w:highlight w:val="none"/>
              </w:rPr>
              <w:t>本招标文件未尽事宜根据相关法律法规执行。</w:t>
            </w:r>
          </w:p>
        </w:tc>
      </w:tr>
      <w:tr w14:paraId="3942D7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2697D7FD">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2</w:t>
            </w:r>
          </w:p>
        </w:tc>
        <w:tc>
          <w:tcPr>
            <w:tcW w:w="8750" w:type="dxa"/>
            <w:tcBorders>
              <w:top w:val="single" w:color="auto" w:sz="4" w:space="0"/>
              <w:left w:val="single" w:color="auto" w:sz="4" w:space="0"/>
              <w:bottom w:val="single" w:color="auto" w:sz="4" w:space="0"/>
              <w:right w:val="single" w:color="auto" w:sz="4" w:space="0"/>
            </w:tcBorders>
            <w:vAlign w:val="center"/>
          </w:tcPr>
          <w:p w14:paraId="4530502F">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招标方对投标人的落选不作出任何解释。</w:t>
            </w:r>
          </w:p>
        </w:tc>
      </w:tr>
      <w:tr w14:paraId="6CE21E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7"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6D63BED9">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p>
        </w:tc>
        <w:tc>
          <w:tcPr>
            <w:tcW w:w="8750" w:type="dxa"/>
            <w:tcBorders>
              <w:top w:val="single" w:color="auto" w:sz="4" w:space="0"/>
              <w:left w:val="single" w:color="auto" w:sz="4" w:space="0"/>
              <w:bottom w:val="single" w:color="auto" w:sz="4" w:space="0"/>
              <w:right w:val="single" w:color="auto" w:sz="4" w:space="0"/>
            </w:tcBorders>
            <w:vAlign w:val="center"/>
          </w:tcPr>
          <w:p w14:paraId="360835AC">
            <w:pPr>
              <w:spacing w:line="360" w:lineRule="auto"/>
              <w:rPr>
                <w:rFonts w:ascii="宋体" w:hAnsi="宋体" w:cs="宋体"/>
                <w:b/>
                <w:color w:val="auto"/>
                <w:sz w:val="24"/>
                <w:highlight w:val="none"/>
              </w:rPr>
            </w:pPr>
            <w:r>
              <w:rPr>
                <w:rFonts w:hint="eastAsia" w:ascii="宋体" w:hAnsi="宋体" w:cs="宋体"/>
                <w:b/>
                <w:color w:val="auto"/>
                <w:kern w:val="0"/>
                <w:sz w:val="24"/>
                <w:highlight w:val="none"/>
              </w:rPr>
              <w:t>采购人和招标代理机构的任何工作人员对投标人所作的任何口头解释、介绍、答复，仅供投标人参考，不作为招标依据，对采购人、招标代理机构和投标人无任何约束力，一切以网上公告及书面形式为准。</w:t>
            </w:r>
          </w:p>
        </w:tc>
      </w:tr>
      <w:tr w14:paraId="414DB3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345C43E0">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p>
        </w:tc>
        <w:tc>
          <w:tcPr>
            <w:tcW w:w="8750" w:type="dxa"/>
            <w:tcBorders>
              <w:top w:val="single" w:color="auto" w:sz="4" w:space="0"/>
              <w:left w:val="single" w:color="auto" w:sz="4" w:space="0"/>
              <w:bottom w:val="single" w:color="auto" w:sz="4" w:space="0"/>
              <w:right w:val="single" w:color="auto" w:sz="4" w:space="0"/>
            </w:tcBorders>
            <w:vAlign w:val="center"/>
          </w:tcPr>
          <w:p w14:paraId="76ABA20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解释：本招标文件的解释权属于东阳市鑫盛工程咨询有限公司。</w:t>
            </w:r>
          </w:p>
        </w:tc>
      </w:tr>
    </w:tbl>
    <w:p w14:paraId="563548F4">
      <w:pPr>
        <w:pStyle w:val="18"/>
        <w:snapToGrid w:val="0"/>
        <w:spacing w:before="120" w:after="120" w:line="360" w:lineRule="auto"/>
        <w:rPr>
          <w:rFonts w:ascii="宋体" w:hAnsi="宋体" w:cs="宋体"/>
          <w:b/>
          <w:color w:val="auto"/>
          <w:szCs w:val="24"/>
          <w:highlight w:val="none"/>
        </w:rPr>
      </w:pPr>
      <w:r>
        <w:rPr>
          <w:rFonts w:hint="eastAsia" w:ascii="宋体" w:hAnsi="宋体" w:cs="宋体"/>
          <w:b/>
          <w:color w:val="auto"/>
          <w:szCs w:val="24"/>
          <w:highlight w:val="none"/>
        </w:rPr>
        <w:t>注：如本招标文件后面的条款与本表有矛盾的以本表的内容为准。</w:t>
      </w:r>
    </w:p>
    <w:p w14:paraId="1C469216">
      <w:pPr>
        <w:pStyle w:val="18"/>
        <w:pageBreakBefore/>
        <w:numPr>
          <w:ilvl w:val="0"/>
          <w:numId w:val="3"/>
        </w:numPr>
        <w:snapToGrid w:val="0"/>
        <w:spacing w:line="360" w:lineRule="auto"/>
        <w:ind w:left="826" w:hanging="826" w:hangingChars="343"/>
        <w:jc w:val="center"/>
        <w:outlineLvl w:val="1"/>
        <w:rPr>
          <w:rFonts w:ascii="宋体" w:hAnsi="宋体" w:cs="宋体"/>
          <w:b/>
          <w:color w:val="auto"/>
          <w:szCs w:val="24"/>
          <w:highlight w:val="none"/>
        </w:rPr>
      </w:pPr>
      <w:bookmarkStart w:id="14" w:name="_Toc21737"/>
      <w:r>
        <w:rPr>
          <w:rFonts w:hint="eastAsia" w:ascii="宋体" w:hAnsi="宋体" w:cs="宋体"/>
          <w:b/>
          <w:color w:val="auto"/>
          <w:szCs w:val="24"/>
          <w:highlight w:val="none"/>
        </w:rPr>
        <w:t>总则</w:t>
      </w:r>
      <w:bookmarkEnd w:id="14"/>
    </w:p>
    <w:p w14:paraId="12F7E313">
      <w:pPr>
        <w:spacing w:line="360" w:lineRule="auto"/>
        <w:rPr>
          <w:rFonts w:ascii="宋体" w:hAnsi="宋体" w:cs="宋体"/>
          <w:b/>
          <w:color w:val="auto"/>
          <w:sz w:val="24"/>
          <w:highlight w:val="none"/>
        </w:rPr>
      </w:pPr>
      <w:bookmarkStart w:id="15" w:name="_Toc407182093"/>
      <w:r>
        <w:rPr>
          <w:rFonts w:hint="eastAsia" w:ascii="宋体" w:hAnsi="宋体" w:cs="宋体"/>
          <w:b/>
          <w:color w:val="auto"/>
          <w:sz w:val="24"/>
          <w:highlight w:val="none"/>
        </w:rPr>
        <w:t>（一） 适用范围</w:t>
      </w:r>
      <w:bookmarkEnd w:id="15"/>
    </w:p>
    <w:p w14:paraId="67ABBA28">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本招标文件适用于浙江东阳经济开发区城市分批次建设项目土地报批技术服务项目的招标、投标、评标、定标、验收、合同履约、付款等行为（法律、法规另有规定的，从其规定）。</w:t>
      </w:r>
    </w:p>
    <w:p w14:paraId="037CD2B5">
      <w:pPr>
        <w:spacing w:line="360" w:lineRule="auto"/>
        <w:rPr>
          <w:rFonts w:ascii="宋体" w:hAnsi="宋体" w:cs="宋体"/>
          <w:b/>
          <w:color w:val="auto"/>
          <w:sz w:val="24"/>
          <w:highlight w:val="none"/>
        </w:rPr>
      </w:pPr>
      <w:bookmarkStart w:id="16" w:name="_Toc407182094"/>
      <w:r>
        <w:rPr>
          <w:rFonts w:hint="eastAsia" w:ascii="宋体" w:hAnsi="宋体" w:cs="宋体"/>
          <w:b/>
          <w:color w:val="auto"/>
          <w:sz w:val="24"/>
          <w:highlight w:val="none"/>
        </w:rPr>
        <w:t>（二）定义</w:t>
      </w:r>
      <w:bookmarkEnd w:id="16"/>
      <w:r>
        <w:rPr>
          <w:rFonts w:hint="eastAsia" w:ascii="宋体" w:hAnsi="宋体" w:cs="宋体"/>
          <w:b/>
          <w:color w:val="auto"/>
          <w:sz w:val="24"/>
          <w:highlight w:val="none"/>
        </w:rPr>
        <w:t>及采购项目需要落实的政府采购政策</w:t>
      </w:r>
    </w:p>
    <w:p w14:paraId="2F04F206">
      <w:pPr>
        <w:spacing w:line="360" w:lineRule="auto"/>
        <w:rPr>
          <w:rFonts w:ascii="宋体" w:hAnsi="宋体" w:cs="宋体"/>
          <w:color w:val="auto"/>
          <w:sz w:val="24"/>
          <w:highlight w:val="none"/>
        </w:rPr>
      </w:pPr>
      <w:r>
        <w:rPr>
          <w:rFonts w:hint="eastAsia" w:ascii="宋体" w:hAnsi="宋体" w:cs="宋体"/>
          <w:color w:val="auto"/>
          <w:sz w:val="24"/>
          <w:highlight w:val="none"/>
        </w:rPr>
        <w:t>1.招标采购单位系指组织本次招标的东阳市鑫盛工程咨询有限公司（“招标方”）和</w:t>
      </w:r>
      <w:r>
        <w:rPr>
          <w:rFonts w:hint="eastAsia" w:ascii="宋体" w:hAnsi="宋体" w:cs="宋体"/>
          <w:color w:val="auto"/>
          <w:sz w:val="24"/>
          <w:highlight w:val="none"/>
          <w:lang w:eastAsia="zh-CN"/>
        </w:rPr>
        <w:t>浙江东阳经济开发区管理委员会</w:t>
      </w:r>
      <w:r>
        <w:rPr>
          <w:rFonts w:hint="eastAsia" w:ascii="宋体" w:hAnsi="宋体" w:cs="宋体"/>
          <w:color w:val="auto"/>
          <w:sz w:val="24"/>
          <w:highlight w:val="none"/>
        </w:rPr>
        <w:t>（“采购人”）。</w:t>
      </w:r>
    </w:p>
    <w:p w14:paraId="11FA923B">
      <w:pPr>
        <w:spacing w:line="360" w:lineRule="auto"/>
        <w:rPr>
          <w:rFonts w:ascii="宋体" w:hAnsi="宋体" w:cs="宋体"/>
          <w:color w:val="auto"/>
          <w:sz w:val="24"/>
          <w:highlight w:val="none"/>
        </w:rPr>
      </w:pPr>
      <w:r>
        <w:rPr>
          <w:rFonts w:hint="eastAsia" w:ascii="宋体" w:hAnsi="宋体" w:cs="宋体"/>
          <w:color w:val="auto"/>
          <w:sz w:val="24"/>
          <w:highlight w:val="none"/>
        </w:rPr>
        <w:t>2.“投标人”系指向招标方提交投标文件的单位或个人。</w:t>
      </w:r>
    </w:p>
    <w:p w14:paraId="6ACC9ED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3.“服务”系指招标文件规定投标人须承担的本项目所衍生的一切服务义务。 </w:t>
      </w:r>
    </w:p>
    <w:p w14:paraId="04F44132">
      <w:pPr>
        <w:spacing w:line="360" w:lineRule="auto"/>
        <w:rPr>
          <w:rFonts w:ascii="宋体" w:hAnsi="宋体" w:cs="宋体"/>
          <w:color w:val="auto"/>
          <w:sz w:val="24"/>
          <w:highlight w:val="none"/>
        </w:rPr>
      </w:pPr>
      <w:r>
        <w:rPr>
          <w:rFonts w:hint="eastAsia" w:ascii="宋体" w:hAnsi="宋体" w:cs="宋体"/>
          <w:color w:val="auto"/>
          <w:sz w:val="24"/>
          <w:highlight w:val="none"/>
        </w:rPr>
        <w:t>4.“项目”系指投标人按招标文件规定向采购人提供的成果和项目服务。</w:t>
      </w:r>
    </w:p>
    <w:p w14:paraId="00126DE2">
      <w:pPr>
        <w:spacing w:line="360" w:lineRule="auto"/>
        <w:rPr>
          <w:rFonts w:ascii="宋体" w:hAnsi="宋体" w:cs="宋体"/>
          <w:color w:val="auto"/>
          <w:sz w:val="24"/>
          <w:highlight w:val="none"/>
        </w:rPr>
      </w:pPr>
      <w:r>
        <w:rPr>
          <w:rFonts w:hint="eastAsia" w:ascii="宋体" w:hAnsi="宋体" w:cs="宋体"/>
          <w:color w:val="auto"/>
          <w:sz w:val="24"/>
          <w:highlight w:val="none"/>
        </w:rPr>
        <w:t>5.“书面形式”包括信函、传真、电报等。</w:t>
      </w:r>
    </w:p>
    <w:p w14:paraId="7E1497DF">
      <w:pPr>
        <w:spacing w:line="360" w:lineRule="auto"/>
        <w:rPr>
          <w:rFonts w:ascii="宋体" w:hAnsi="宋体" w:cs="宋体"/>
          <w:color w:val="auto"/>
          <w:sz w:val="24"/>
          <w:highlight w:val="none"/>
        </w:rPr>
      </w:pPr>
      <w:r>
        <w:rPr>
          <w:rFonts w:hint="eastAsia" w:ascii="宋体" w:hAnsi="宋体" w:cs="宋体"/>
          <w:color w:val="auto"/>
          <w:sz w:val="24"/>
          <w:highlight w:val="none"/>
        </w:rPr>
        <w:t>6.“</w:t>
      </w:r>
      <w:bookmarkStart w:id="17" w:name="OLE_LINK24"/>
      <w:r>
        <w:rPr>
          <w:rFonts w:hint="eastAsia" w:ascii="宋体" w:hAnsi="宋体" w:cs="宋体"/>
          <w:color w:val="auto"/>
          <w:sz w:val="24"/>
          <w:highlight w:val="none"/>
        </w:rPr>
        <w:t>▲</w:t>
      </w:r>
      <w:bookmarkEnd w:id="17"/>
      <w:r>
        <w:rPr>
          <w:rFonts w:hint="eastAsia" w:ascii="宋体" w:hAnsi="宋体" w:cs="宋体"/>
          <w:color w:val="auto"/>
          <w:sz w:val="24"/>
          <w:highlight w:val="none"/>
        </w:rPr>
        <w:t>”系指实质性要求条款。</w:t>
      </w:r>
    </w:p>
    <w:p w14:paraId="5B9720DA">
      <w:pPr>
        <w:spacing w:line="360" w:lineRule="auto"/>
        <w:rPr>
          <w:rFonts w:ascii="宋体" w:hAnsi="宋体" w:cs="宋体"/>
          <w:color w:val="auto"/>
          <w:sz w:val="24"/>
          <w:highlight w:val="none"/>
        </w:rPr>
      </w:pPr>
      <w:r>
        <w:rPr>
          <w:rFonts w:hint="eastAsia" w:ascii="宋体" w:hAnsi="宋体" w:cs="宋体"/>
          <w:color w:val="auto"/>
          <w:sz w:val="24"/>
          <w:highlight w:val="none"/>
        </w:rPr>
        <w:t>7. 采购项目需要落实的政府采购政策</w:t>
      </w:r>
    </w:p>
    <w:p w14:paraId="1CCFE8D5">
      <w:pPr>
        <w:spacing w:line="360" w:lineRule="auto"/>
        <w:rPr>
          <w:rFonts w:ascii="宋体" w:hAnsi="宋体" w:cs="宋体"/>
          <w:color w:val="auto"/>
          <w:sz w:val="24"/>
          <w:highlight w:val="none"/>
        </w:rPr>
      </w:pPr>
      <w:r>
        <w:rPr>
          <w:rFonts w:hint="eastAsia" w:ascii="宋体" w:hAnsi="宋体" w:cs="宋体"/>
          <w:color w:val="auto"/>
          <w:sz w:val="24"/>
          <w:highlight w:val="none"/>
        </w:rPr>
        <w:t>7.1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683B8E04">
      <w:pPr>
        <w:spacing w:line="360" w:lineRule="auto"/>
        <w:rPr>
          <w:rFonts w:ascii="宋体" w:hAnsi="宋体" w:cs="宋体"/>
          <w:color w:val="auto"/>
          <w:sz w:val="24"/>
          <w:highlight w:val="none"/>
        </w:rPr>
      </w:pPr>
      <w:r>
        <w:rPr>
          <w:rFonts w:hint="eastAsia" w:ascii="宋体" w:hAnsi="宋体" w:cs="宋体"/>
          <w:color w:val="auto"/>
          <w:sz w:val="24"/>
          <w:highlight w:val="none"/>
        </w:rPr>
        <w:t>7.2 支持绿色发展</w:t>
      </w:r>
    </w:p>
    <w:p w14:paraId="6E2A1508">
      <w:pPr>
        <w:spacing w:line="360" w:lineRule="auto"/>
        <w:rPr>
          <w:rFonts w:ascii="宋体" w:hAnsi="宋体" w:cs="宋体"/>
          <w:color w:val="auto"/>
          <w:sz w:val="24"/>
          <w:highlight w:val="none"/>
        </w:rPr>
      </w:pPr>
      <w:r>
        <w:rPr>
          <w:rFonts w:hint="eastAsia" w:ascii="宋体" w:hAnsi="宋体" w:cs="宋体"/>
          <w:color w:val="auto"/>
          <w:sz w:val="24"/>
          <w:highlight w:val="none"/>
        </w:rPr>
        <w:t>7.2.1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7C4E9190">
      <w:pPr>
        <w:spacing w:line="360" w:lineRule="auto"/>
        <w:rPr>
          <w:rFonts w:ascii="宋体" w:hAnsi="宋体" w:cs="宋体"/>
          <w:color w:val="auto"/>
          <w:sz w:val="24"/>
          <w:highlight w:val="none"/>
        </w:rPr>
      </w:pPr>
      <w:r>
        <w:rPr>
          <w:rFonts w:hint="eastAsia" w:ascii="宋体" w:hAnsi="宋体" w:cs="宋体"/>
          <w:color w:val="auto"/>
          <w:sz w:val="24"/>
          <w:highlight w:val="none"/>
        </w:rPr>
        <w:t>7.2.2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3469B0B">
      <w:pPr>
        <w:spacing w:line="360" w:lineRule="auto"/>
        <w:rPr>
          <w:rFonts w:ascii="宋体" w:hAnsi="宋体" w:cs="宋体"/>
          <w:color w:val="auto"/>
          <w:sz w:val="24"/>
          <w:highlight w:val="none"/>
        </w:rPr>
      </w:pPr>
      <w:r>
        <w:rPr>
          <w:rFonts w:hint="eastAsia" w:ascii="宋体" w:hAnsi="宋体" w:cs="宋体"/>
          <w:color w:val="auto"/>
          <w:sz w:val="24"/>
          <w:highlight w:val="none"/>
        </w:rPr>
        <w:t>7.3支持中小企业发展</w:t>
      </w:r>
    </w:p>
    <w:p w14:paraId="3AD3E532">
      <w:pPr>
        <w:spacing w:line="360" w:lineRule="auto"/>
        <w:rPr>
          <w:rFonts w:ascii="宋体" w:hAnsi="宋体" w:cs="宋体"/>
          <w:color w:val="auto"/>
          <w:sz w:val="24"/>
          <w:highlight w:val="none"/>
        </w:rPr>
      </w:pPr>
      <w:r>
        <w:rPr>
          <w:rFonts w:hint="eastAsia" w:ascii="宋体" w:hAnsi="宋体" w:cs="宋体"/>
          <w:color w:val="auto"/>
          <w:sz w:val="24"/>
          <w:highlight w:val="none"/>
        </w:rPr>
        <w:t>7.3.1中小企业，是指在中华人民共和国境内依法设立，依据国务院批准的中小企业划分标准确定的中型企业、小型企业和微型企业，但与大企业的负责人为同一人，或者与大企业存在直接控股、管理关系的除外。</w:t>
      </w:r>
    </w:p>
    <w:p w14:paraId="4BC2A731">
      <w:pPr>
        <w:spacing w:line="360" w:lineRule="auto"/>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256E277D">
      <w:pPr>
        <w:spacing w:line="360" w:lineRule="auto"/>
        <w:rPr>
          <w:rFonts w:ascii="宋体" w:hAnsi="宋体" w:cs="宋体"/>
          <w:color w:val="auto"/>
          <w:sz w:val="24"/>
          <w:highlight w:val="none"/>
        </w:rPr>
      </w:pPr>
      <w:r>
        <w:rPr>
          <w:rFonts w:hint="eastAsia" w:ascii="宋体" w:hAnsi="宋体" w:cs="宋体"/>
          <w:color w:val="auto"/>
          <w:sz w:val="24"/>
          <w:highlight w:val="none"/>
        </w:rPr>
        <w:t>7.3.2在政府采购活动中，供应商提供的货物、工程或者服务符合下列情形的，享受中小企业扶持政策：</w:t>
      </w:r>
    </w:p>
    <w:p w14:paraId="02C72217">
      <w:pPr>
        <w:spacing w:line="360" w:lineRule="auto"/>
        <w:rPr>
          <w:rFonts w:ascii="宋体" w:hAnsi="宋体" w:cs="宋体"/>
          <w:color w:val="auto"/>
          <w:sz w:val="24"/>
          <w:highlight w:val="none"/>
        </w:rPr>
      </w:pPr>
      <w:r>
        <w:rPr>
          <w:rFonts w:hint="eastAsia" w:ascii="宋体" w:hAnsi="宋体" w:cs="宋体"/>
          <w:color w:val="auto"/>
          <w:sz w:val="24"/>
          <w:highlight w:val="none"/>
        </w:rPr>
        <w:t>7.3.2.1在货物采购项目中，货物由中小企业制造，即货物由中小企业生产且使用该中小企业商号或者注册商标；</w:t>
      </w:r>
    </w:p>
    <w:p w14:paraId="113AB6AD">
      <w:pPr>
        <w:spacing w:line="360" w:lineRule="auto"/>
        <w:rPr>
          <w:rFonts w:ascii="宋体" w:hAnsi="宋体" w:cs="宋体"/>
          <w:color w:val="auto"/>
          <w:sz w:val="24"/>
          <w:highlight w:val="none"/>
        </w:rPr>
      </w:pPr>
      <w:r>
        <w:rPr>
          <w:rFonts w:hint="eastAsia" w:ascii="宋体" w:hAnsi="宋体" w:cs="宋体"/>
          <w:color w:val="auto"/>
          <w:sz w:val="24"/>
          <w:highlight w:val="none"/>
        </w:rPr>
        <w:t>7.3.2.2在工程采购项目中，工程由中小企业承建，即工程施工单位为中小企业；</w:t>
      </w:r>
    </w:p>
    <w:p w14:paraId="35C5F803">
      <w:pPr>
        <w:spacing w:line="360" w:lineRule="auto"/>
        <w:rPr>
          <w:rFonts w:ascii="宋体" w:hAnsi="宋体" w:cs="宋体"/>
          <w:color w:val="auto"/>
          <w:sz w:val="24"/>
          <w:highlight w:val="none"/>
        </w:rPr>
      </w:pPr>
      <w:r>
        <w:rPr>
          <w:rFonts w:hint="eastAsia" w:ascii="宋体" w:hAnsi="宋体" w:cs="宋体"/>
          <w:color w:val="auto"/>
          <w:sz w:val="24"/>
          <w:highlight w:val="none"/>
        </w:rPr>
        <w:t>7.3.2.3在服务采购项目中，服务由中小企业承接，即提供服务的人员为中小企业依照《中华人民共和国劳动合同法》订立劳动合同的从业人员。</w:t>
      </w:r>
    </w:p>
    <w:p w14:paraId="7D9E1148">
      <w:pPr>
        <w:spacing w:line="360" w:lineRule="auto"/>
        <w:rPr>
          <w:rFonts w:ascii="宋体" w:hAnsi="宋体" w:cs="宋体"/>
          <w:color w:val="auto"/>
          <w:sz w:val="24"/>
          <w:highlight w:val="none"/>
        </w:rPr>
      </w:pPr>
      <w:r>
        <w:rPr>
          <w:rFonts w:hint="eastAsia" w:ascii="宋体" w:hAnsi="宋体" w:cs="宋体"/>
          <w:color w:val="auto"/>
          <w:sz w:val="24"/>
          <w:highlight w:val="none"/>
        </w:rPr>
        <w:t>在货物采购项目中，供应商提供的货物既有中小企业制造货物，也有大型企业制造货物的，不享受中小企业扶持政策。</w:t>
      </w:r>
    </w:p>
    <w:p w14:paraId="4B1D0B38">
      <w:pPr>
        <w:spacing w:line="360" w:lineRule="auto"/>
        <w:rPr>
          <w:rFonts w:ascii="宋体" w:hAnsi="宋体" w:cs="宋体"/>
          <w:color w:val="auto"/>
          <w:sz w:val="24"/>
          <w:highlight w:val="none"/>
        </w:rPr>
      </w:pPr>
      <w:r>
        <w:rPr>
          <w:rFonts w:hint="eastAsia" w:ascii="宋体" w:hAnsi="宋体" w:cs="宋体"/>
          <w:color w:val="auto"/>
          <w:sz w:val="24"/>
          <w:highlight w:val="none"/>
        </w:rPr>
        <w:t>以联合体形式参加政府采购活动，联合体各方均为中小企业的，联合体视同中小企业。其中，联合体各方均为小微企业的，联合体视同小微企业。</w:t>
      </w:r>
    </w:p>
    <w:p w14:paraId="5929B721">
      <w:pPr>
        <w:spacing w:line="360" w:lineRule="auto"/>
        <w:rPr>
          <w:rFonts w:ascii="宋体" w:hAnsi="宋体" w:cs="宋体"/>
          <w:color w:val="auto"/>
          <w:sz w:val="24"/>
          <w:highlight w:val="none"/>
        </w:rPr>
      </w:pPr>
      <w:r>
        <w:rPr>
          <w:rFonts w:hint="eastAsia" w:ascii="宋体" w:hAnsi="宋体" w:cs="宋体"/>
          <w:color w:val="auto"/>
          <w:sz w:val="24"/>
          <w:highlight w:val="none"/>
        </w:rPr>
        <w:t>7.3.3符合《关于促进残疾人就业政府采购政策的通知》（财库〔2017〕141号）规定的条件并提供《残疾人福利性单位声明函》（附件1）的残疾人福利性单位视同小型、微型企业；</w:t>
      </w:r>
    </w:p>
    <w:p w14:paraId="3D4475CD">
      <w:pPr>
        <w:spacing w:line="360" w:lineRule="auto"/>
        <w:rPr>
          <w:rFonts w:ascii="宋体" w:hAnsi="宋体" w:cs="宋体"/>
          <w:color w:val="auto"/>
          <w:sz w:val="24"/>
          <w:highlight w:val="none"/>
        </w:rPr>
      </w:pPr>
      <w:r>
        <w:rPr>
          <w:rFonts w:hint="eastAsia" w:ascii="宋体" w:hAnsi="宋体" w:cs="宋体"/>
          <w:color w:val="auto"/>
          <w:sz w:val="24"/>
          <w:highlight w:val="none"/>
        </w:rPr>
        <w:t>7.3.4符合《关于政府采购支持监狱企业发展有关问题的通知》（财库[2014]68号）规定的监狱企业并提供由省级以上监狱管理局、戒毒管理局（含新疆生产建设兵团）出具的属于监狱企业证明文件的，视同为小型、微型企业。</w:t>
      </w:r>
    </w:p>
    <w:p w14:paraId="486D5809">
      <w:pPr>
        <w:spacing w:line="360" w:lineRule="auto"/>
        <w:rPr>
          <w:rFonts w:ascii="宋体" w:hAnsi="宋体" w:cs="宋体"/>
          <w:color w:val="auto"/>
          <w:sz w:val="24"/>
          <w:highlight w:val="none"/>
        </w:rPr>
      </w:pPr>
      <w:r>
        <w:rPr>
          <w:rFonts w:hint="eastAsia" w:ascii="宋体" w:hAnsi="宋体" w:cs="宋体"/>
          <w:color w:val="auto"/>
          <w:sz w:val="24"/>
          <w:highlight w:val="none"/>
        </w:rPr>
        <w:t>7.3.5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2035A565">
      <w:pPr>
        <w:spacing w:line="360" w:lineRule="auto"/>
        <w:rPr>
          <w:rFonts w:ascii="宋体" w:hAnsi="宋体" w:cs="宋体"/>
          <w:color w:val="auto"/>
          <w:sz w:val="24"/>
          <w:highlight w:val="none"/>
        </w:rPr>
      </w:pPr>
      <w:r>
        <w:rPr>
          <w:rFonts w:hint="eastAsia" w:ascii="宋体" w:hAnsi="宋体" w:cs="宋体"/>
          <w:color w:val="auto"/>
          <w:sz w:val="24"/>
          <w:highlight w:val="none"/>
        </w:rPr>
        <w:t>7.3.6中小企业享受扶持政策获得政府采购合同的，小微企业不得将合同分包给大中型企业，中型企业不得将合同分包给大型企业。</w:t>
      </w:r>
    </w:p>
    <w:p w14:paraId="0F0D05E7">
      <w:pPr>
        <w:spacing w:line="360" w:lineRule="auto"/>
        <w:rPr>
          <w:rFonts w:ascii="宋体" w:hAnsi="宋体" w:cs="宋体"/>
          <w:color w:val="auto"/>
          <w:sz w:val="24"/>
          <w:highlight w:val="none"/>
        </w:rPr>
      </w:pPr>
      <w:r>
        <w:rPr>
          <w:rFonts w:hint="eastAsia" w:ascii="宋体" w:hAnsi="宋体" w:cs="宋体"/>
          <w:color w:val="auto"/>
          <w:sz w:val="24"/>
          <w:highlight w:val="none"/>
        </w:rPr>
        <w:t>7.4支持创新发展</w:t>
      </w:r>
    </w:p>
    <w:p w14:paraId="2E26D69F">
      <w:pPr>
        <w:spacing w:line="360" w:lineRule="auto"/>
        <w:rPr>
          <w:rFonts w:ascii="宋体" w:hAnsi="宋体" w:cs="宋体"/>
          <w:color w:val="auto"/>
          <w:sz w:val="24"/>
          <w:highlight w:val="none"/>
        </w:rPr>
      </w:pPr>
      <w:r>
        <w:rPr>
          <w:rFonts w:hint="eastAsia" w:ascii="宋体" w:hAnsi="宋体" w:cs="宋体"/>
          <w:color w:val="auto"/>
          <w:sz w:val="24"/>
          <w:highlight w:val="none"/>
        </w:rPr>
        <w:t>7.4.1 采购人优先采购被认定为首台套产品和“制造精品”的自主创新产品。</w:t>
      </w:r>
    </w:p>
    <w:p w14:paraId="4DF75E29">
      <w:pPr>
        <w:spacing w:line="360" w:lineRule="auto"/>
        <w:rPr>
          <w:rFonts w:ascii="宋体" w:hAnsi="宋体" w:cs="宋体"/>
          <w:color w:val="auto"/>
          <w:sz w:val="24"/>
          <w:highlight w:val="none"/>
        </w:rPr>
      </w:pPr>
      <w:r>
        <w:rPr>
          <w:rFonts w:hint="eastAsia" w:ascii="宋体" w:hAnsi="宋体" w:cs="宋体"/>
          <w:color w:val="auto"/>
          <w:sz w:val="24"/>
          <w:highlight w:val="none"/>
        </w:rPr>
        <w:t>7.4.2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2759CF56">
      <w:pPr>
        <w:spacing w:line="360" w:lineRule="auto"/>
        <w:rPr>
          <w:rFonts w:ascii="宋体" w:hAnsi="宋体" w:cs="宋体"/>
          <w:color w:val="auto"/>
          <w:sz w:val="24"/>
          <w:highlight w:val="none"/>
        </w:rPr>
      </w:pPr>
      <w:r>
        <w:rPr>
          <w:rFonts w:hint="eastAsia" w:ascii="宋体" w:hAnsi="宋体" w:cs="宋体"/>
          <w:color w:val="auto"/>
          <w:sz w:val="24"/>
          <w:highlight w:val="none"/>
        </w:rPr>
        <w:t>7.5中小企业信用融资：为支持和促进中小企业发展，进一步发挥政府采购政策功能，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https://zfcg.czt.zj.gov.cn)的中小企业信用融资栏目了解相关信息。 供应商可以通过浙江政府采购网(https://zfcg. czt.zj. gov.cn/)首页的“浙江政采贷”模块进入申请，还可以通过政府采购云平台(https://wwwzcygov.cn/)首页的“金融服务”模块进入申请。</w:t>
      </w:r>
    </w:p>
    <w:p w14:paraId="501B7875">
      <w:pPr>
        <w:spacing w:line="360" w:lineRule="auto"/>
        <w:rPr>
          <w:rFonts w:ascii="宋体" w:hAnsi="宋体" w:cs="宋体"/>
          <w:b/>
          <w:color w:val="auto"/>
          <w:sz w:val="24"/>
          <w:highlight w:val="none"/>
        </w:rPr>
      </w:pPr>
      <w:r>
        <w:rPr>
          <w:rFonts w:hint="eastAsia" w:ascii="宋体" w:hAnsi="宋体" w:cs="宋体"/>
          <w:b/>
          <w:color w:val="auto"/>
          <w:sz w:val="24"/>
          <w:highlight w:val="none"/>
        </w:rPr>
        <w:t>（三）招标方式</w:t>
      </w:r>
    </w:p>
    <w:p w14:paraId="50220E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本次招标采用公开招标方式进行。</w:t>
      </w:r>
    </w:p>
    <w:p w14:paraId="45578084">
      <w:pPr>
        <w:spacing w:line="360" w:lineRule="auto"/>
        <w:rPr>
          <w:rFonts w:ascii="宋体" w:hAnsi="宋体" w:cs="宋体"/>
          <w:b/>
          <w:color w:val="auto"/>
          <w:sz w:val="24"/>
          <w:highlight w:val="none"/>
        </w:rPr>
      </w:pPr>
      <w:r>
        <w:rPr>
          <w:rFonts w:hint="eastAsia" w:ascii="宋体" w:hAnsi="宋体" w:cs="宋体"/>
          <w:b/>
          <w:color w:val="auto"/>
          <w:sz w:val="24"/>
          <w:highlight w:val="none"/>
        </w:rPr>
        <w:t>（四）投标委托</w:t>
      </w:r>
    </w:p>
    <w:p w14:paraId="731F8A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如投标人代表不是法定代表人，须有法定代表人出具的授权委托书，委托代理人必须为投标人的在职正式职工（以投标人本单位缴纳社保花名册为准）。</w:t>
      </w:r>
    </w:p>
    <w:p w14:paraId="2AC7FAD5">
      <w:pPr>
        <w:spacing w:line="360" w:lineRule="auto"/>
        <w:rPr>
          <w:rFonts w:ascii="宋体" w:hAnsi="宋体" w:cs="宋体"/>
          <w:b/>
          <w:color w:val="auto"/>
          <w:sz w:val="24"/>
          <w:highlight w:val="none"/>
        </w:rPr>
      </w:pPr>
      <w:r>
        <w:rPr>
          <w:rFonts w:hint="eastAsia" w:ascii="宋体" w:hAnsi="宋体" w:cs="宋体"/>
          <w:b/>
          <w:color w:val="auto"/>
          <w:sz w:val="24"/>
          <w:highlight w:val="none"/>
        </w:rPr>
        <w:t>▲（五）投标费用</w:t>
      </w:r>
    </w:p>
    <w:p w14:paraId="7D55C8AE">
      <w:pPr>
        <w:snapToGrid w:val="0"/>
        <w:spacing w:line="360" w:lineRule="auto"/>
        <w:ind w:firstLine="480" w:firstLineChars="200"/>
        <w:textAlignment w:val="baseline"/>
        <w:rPr>
          <w:rFonts w:ascii="宋体" w:hAnsi="宋体" w:cs="宋体"/>
          <w:bCs/>
          <w:color w:val="auto"/>
          <w:sz w:val="24"/>
          <w:highlight w:val="none"/>
        </w:rPr>
      </w:pPr>
      <w:r>
        <w:rPr>
          <w:rFonts w:hint="eastAsia" w:ascii="宋体" w:hAnsi="宋体" w:cs="宋体"/>
          <w:bCs/>
          <w:color w:val="auto"/>
          <w:sz w:val="24"/>
          <w:highlight w:val="none"/>
        </w:rPr>
        <w:t>不论投标结果如何，投标人均应自行承担所有与投标有关的全部费用（招标文件有相反规定除外）。</w:t>
      </w:r>
    </w:p>
    <w:p w14:paraId="0C3B6539">
      <w:pPr>
        <w:snapToGrid w:val="0"/>
        <w:spacing w:line="360" w:lineRule="auto"/>
        <w:ind w:firstLine="482" w:firstLineChars="200"/>
        <w:textAlignment w:val="baseline"/>
        <w:rPr>
          <w:rFonts w:hint="eastAsia" w:ascii="宋体" w:hAnsi="宋体" w:cs="宋体"/>
          <w:b/>
          <w:bCs/>
          <w:color w:val="auto"/>
          <w:sz w:val="24"/>
          <w:highlight w:val="none"/>
          <w:lang w:val="en-US" w:eastAsia="zh-CN"/>
        </w:rPr>
      </w:pPr>
      <w:r>
        <w:rPr>
          <w:rFonts w:hint="eastAsia" w:ascii="宋体" w:hAnsi="宋体" w:cs="宋体"/>
          <w:b/>
          <w:color w:val="auto"/>
          <w:sz w:val="24"/>
          <w:highlight w:val="none"/>
        </w:rPr>
        <w:t>2.</w:t>
      </w:r>
      <w:r>
        <w:rPr>
          <w:rFonts w:hint="eastAsia" w:ascii="宋体" w:hAnsi="宋体" w:cs="宋体"/>
          <w:b/>
          <w:bCs/>
          <w:color w:val="auto"/>
          <w:sz w:val="24"/>
          <w:highlight w:val="none"/>
        </w:rPr>
        <w:t>东阳市鑫盛工程咨询有限公司按差额定率累进法计算（详见本条下列表格收费标准），每年向中标人收取中标服务费，收取标准以预算价为计费基数，</w:t>
      </w:r>
      <w:r>
        <w:rPr>
          <w:rFonts w:hint="eastAsia" w:ascii="宋体" w:hAnsi="宋体" w:cs="宋体"/>
          <w:b/>
          <w:bCs/>
          <w:color w:val="auto"/>
          <w:sz w:val="24"/>
          <w:highlight w:val="none"/>
          <w:lang w:val="en-US" w:eastAsia="zh-CN"/>
        </w:rPr>
        <w:t>第一年中标服务费在中标结果公示结束之日起3天内（在领取中标通知书前）交纳，第二年的中标服务费在合同送财政备案登记前交纳。</w:t>
      </w:r>
    </w:p>
    <w:tbl>
      <w:tblPr>
        <w:tblStyle w:val="24"/>
        <w:tblW w:w="9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74"/>
        <w:gridCol w:w="4065"/>
      </w:tblGrid>
      <w:tr w14:paraId="6827D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jc w:val="center"/>
        </w:trPr>
        <w:tc>
          <w:tcPr>
            <w:tcW w:w="5274" w:type="dxa"/>
            <w:tcBorders>
              <w:top w:val="single" w:color="auto" w:sz="4" w:space="0"/>
              <w:left w:val="single" w:color="auto" w:sz="4" w:space="0"/>
              <w:bottom w:val="single" w:color="auto" w:sz="4" w:space="0"/>
              <w:right w:val="single" w:color="auto" w:sz="4" w:space="0"/>
              <w:tl2br w:val="single" w:color="auto" w:sz="4" w:space="0"/>
            </w:tcBorders>
          </w:tcPr>
          <w:p w14:paraId="2E2102CE">
            <w:pPr>
              <w:spacing w:line="360" w:lineRule="auto"/>
              <w:ind w:firstLine="2310" w:firstLineChars="1100"/>
              <w:rPr>
                <w:rFonts w:ascii="宋体" w:hAnsi="宋体" w:cs="宋体"/>
                <w:b/>
                <w:color w:val="auto"/>
                <w:sz w:val="24"/>
                <w:highlight w:val="none"/>
              </w:rPr>
            </w:pPr>
            <w:r>
              <w:rPr>
                <w:rFonts w:ascii="宋体" w:hAnsi="宋体" w:cs="宋体"/>
                <w:color w:val="auto"/>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140" name="直接连接符 140"/>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9pt;margin-top:-0.5pt;height:0pt;width:0.05pt;z-index:251659264;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a5HTftUAAAAJAQAA&#10;DwAAAAAAAAABACAAAAAiAAAAZHJzL2Rvd25yZXYueG1sUEsBAhQAFAAAAAgAh07iQHmJbojjAQAA&#10;tgMAAA4AAAAAAAAAAQAgAAAAJAEAAGRycy9lMm9Eb2MueG1sUEsFBgAAAAAGAAYAWQEAAHkFAAAA&#10;AA==&#10;">
                      <v:fill on="f" focussize="0,0"/>
                      <v:stroke color="#000000" joinstyle="round"/>
                      <v:imagedata o:title=""/>
                      <o:lock v:ext="edit" aspectratio="f"/>
                    </v:line>
                  </w:pict>
                </mc:Fallback>
              </mc:AlternateContent>
            </w:r>
            <w:r>
              <w:rPr>
                <w:rFonts w:hint="eastAsia" w:ascii="宋体" w:hAnsi="宋体" w:cs="宋体"/>
                <w:b/>
                <w:color w:val="auto"/>
                <w:sz w:val="24"/>
                <w:highlight w:val="none"/>
              </w:rPr>
              <w:t>服务类型</w:t>
            </w:r>
          </w:p>
          <w:p w14:paraId="50B7CD67">
            <w:pPr>
              <w:spacing w:line="360" w:lineRule="auto"/>
              <w:rPr>
                <w:rFonts w:ascii="宋体" w:hAnsi="宋体" w:cs="宋体"/>
                <w:b/>
                <w:color w:val="auto"/>
                <w:sz w:val="24"/>
                <w:highlight w:val="none"/>
              </w:rPr>
            </w:pPr>
            <w:r>
              <w:rPr>
                <w:rFonts w:hint="eastAsia" w:ascii="宋体" w:hAnsi="宋体" w:cs="宋体"/>
                <w:b/>
                <w:color w:val="auto"/>
                <w:sz w:val="24"/>
                <w:highlight w:val="none"/>
              </w:rPr>
              <w:t>费率</w:t>
            </w:r>
          </w:p>
          <w:p w14:paraId="28AF146B">
            <w:pPr>
              <w:spacing w:line="360" w:lineRule="auto"/>
              <w:rPr>
                <w:rFonts w:ascii="宋体" w:hAnsi="宋体" w:cs="宋体"/>
                <w:b/>
                <w:color w:val="auto"/>
                <w:sz w:val="24"/>
                <w:highlight w:val="none"/>
              </w:rPr>
            </w:pPr>
            <w:r>
              <w:rPr>
                <w:rFonts w:ascii="宋体" w:hAnsi="宋体" w:cs="宋体"/>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-59690</wp:posOffset>
                      </wp:positionH>
                      <wp:positionV relativeFrom="paragraph">
                        <wp:posOffset>153670</wp:posOffset>
                      </wp:positionV>
                      <wp:extent cx="3246755" cy="424180"/>
                      <wp:effectExtent l="635" t="4445" r="10160" b="9525"/>
                      <wp:wrapNone/>
                      <wp:docPr id="141" name="直接连接符 141"/>
                      <wp:cNvGraphicFramePr/>
                      <a:graphic xmlns:a="http://schemas.openxmlformats.org/drawingml/2006/main">
                        <a:graphicData uri="http://schemas.microsoft.com/office/word/2010/wordprocessingShape">
                          <wps:wsp>
                            <wps:cNvCnPr>
                              <a:cxnSpLocks noChangeShapeType="1"/>
                            </wps:cNvCnPr>
                            <wps:spPr bwMode="auto">
                              <a:xfrm>
                                <a:off x="0" y="0"/>
                                <a:ext cx="3246755" cy="42418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4.7pt;margin-top:12.1pt;height:33.4pt;width:255.65pt;z-index:251660288;mso-width-relative:page;mso-height-relative:page;" filled="f" stroked="t" coordsize="21600,21600" o:gfxdata="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OMHM51wAAAAgBAAAPAAAAAAAAAAEAIAAAACIAAABkcnMvZG93bnJldi54bWxQSwECFAAU&#10;AAAACACHTuJAaX8GivIBAADBAwAADgAAAAAAAAABACAAAAAmAQAAZHJzL2Uyb0RvYy54bWxQSwUG&#10;AAAAAAYABgBZAQAAigUAAAAA&#10;">
                      <v:fill on="f" focussize="0,0"/>
                      <v:stroke color="#000000" joinstyle="round"/>
                      <v:imagedata o:title=""/>
                      <o:lock v:ext="edit" aspectratio="f"/>
                    </v:line>
                  </w:pict>
                </mc:Fallback>
              </mc:AlternateContent>
            </w:r>
          </w:p>
          <w:p w14:paraId="7CB236B4">
            <w:pPr>
              <w:spacing w:line="360" w:lineRule="auto"/>
              <w:rPr>
                <w:rFonts w:ascii="宋体" w:hAnsi="宋体" w:cs="宋体"/>
                <w:b/>
                <w:color w:val="auto"/>
                <w:sz w:val="24"/>
                <w:highlight w:val="none"/>
              </w:rPr>
            </w:pPr>
            <w:r>
              <w:rPr>
                <w:rFonts w:hint="eastAsia" w:ascii="宋体" w:hAnsi="宋体" w:cs="宋体"/>
                <w:b/>
                <w:color w:val="auto"/>
                <w:sz w:val="24"/>
                <w:highlight w:val="none"/>
              </w:rPr>
              <w:t>金额（万元）</w:t>
            </w:r>
          </w:p>
        </w:tc>
        <w:tc>
          <w:tcPr>
            <w:tcW w:w="4065" w:type="dxa"/>
            <w:tcBorders>
              <w:top w:val="single" w:color="auto" w:sz="4" w:space="0"/>
              <w:left w:val="single" w:color="auto" w:sz="4" w:space="0"/>
              <w:bottom w:val="single" w:color="auto" w:sz="4" w:space="0"/>
              <w:right w:val="single" w:color="auto" w:sz="4" w:space="0"/>
            </w:tcBorders>
            <w:vAlign w:val="center"/>
          </w:tcPr>
          <w:p w14:paraId="106C864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服务招标</w:t>
            </w:r>
          </w:p>
        </w:tc>
      </w:tr>
      <w:tr w14:paraId="7D85B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5274" w:type="dxa"/>
            <w:tcBorders>
              <w:top w:val="single" w:color="auto" w:sz="4" w:space="0"/>
              <w:left w:val="single" w:color="auto" w:sz="4" w:space="0"/>
              <w:bottom w:val="single" w:color="auto" w:sz="4" w:space="0"/>
              <w:right w:val="single" w:color="auto" w:sz="4" w:space="0"/>
            </w:tcBorders>
            <w:vAlign w:val="center"/>
          </w:tcPr>
          <w:p w14:paraId="602DFE36">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100以下</w:t>
            </w:r>
          </w:p>
        </w:tc>
        <w:tc>
          <w:tcPr>
            <w:tcW w:w="4065" w:type="dxa"/>
            <w:tcBorders>
              <w:top w:val="single" w:color="auto" w:sz="4" w:space="0"/>
              <w:left w:val="single" w:color="auto" w:sz="4" w:space="0"/>
              <w:bottom w:val="single" w:color="auto" w:sz="4" w:space="0"/>
              <w:right w:val="single" w:color="auto" w:sz="4" w:space="0"/>
            </w:tcBorders>
            <w:vAlign w:val="center"/>
          </w:tcPr>
          <w:p w14:paraId="6A05211D">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w:t>
            </w:r>
          </w:p>
        </w:tc>
      </w:tr>
      <w:tr w14:paraId="0A071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5274" w:type="dxa"/>
            <w:tcBorders>
              <w:top w:val="single" w:color="auto" w:sz="4" w:space="0"/>
              <w:left w:val="single" w:color="auto" w:sz="4" w:space="0"/>
              <w:bottom w:val="single" w:color="auto" w:sz="4" w:space="0"/>
              <w:right w:val="single" w:color="auto" w:sz="4" w:space="0"/>
            </w:tcBorders>
            <w:shd w:val="clear" w:color="auto" w:fill="auto"/>
            <w:vAlign w:val="center"/>
          </w:tcPr>
          <w:p w14:paraId="1D853984">
            <w:pPr>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100-500</w:t>
            </w:r>
          </w:p>
        </w:tc>
        <w:tc>
          <w:tcPr>
            <w:tcW w:w="4065" w:type="dxa"/>
            <w:tcBorders>
              <w:top w:val="single" w:color="auto" w:sz="4" w:space="0"/>
              <w:left w:val="single" w:color="auto" w:sz="4" w:space="0"/>
              <w:bottom w:val="single" w:color="auto" w:sz="4" w:space="0"/>
              <w:right w:val="single" w:color="auto" w:sz="4" w:space="0"/>
            </w:tcBorders>
            <w:shd w:val="clear" w:color="auto" w:fill="auto"/>
            <w:vAlign w:val="center"/>
          </w:tcPr>
          <w:p w14:paraId="224095A1">
            <w:pPr>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0.8%</w:t>
            </w:r>
          </w:p>
        </w:tc>
      </w:tr>
    </w:tbl>
    <w:p w14:paraId="7E0A68E3">
      <w:pPr>
        <w:spacing w:line="360" w:lineRule="auto"/>
        <w:rPr>
          <w:rFonts w:hint="eastAsia" w:ascii="宋体" w:hAnsi="宋体" w:cs="宋体"/>
          <w:b/>
          <w:color w:val="auto"/>
          <w:sz w:val="24"/>
          <w:highlight w:val="none"/>
        </w:rPr>
      </w:pPr>
    </w:p>
    <w:p w14:paraId="0DD5A7DE">
      <w:pPr>
        <w:spacing w:line="360" w:lineRule="auto"/>
        <w:rPr>
          <w:rFonts w:hint="eastAsia" w:ascii="宋体" w:hAnsi="宋体" w:cs="宋体"/>
          <w:b/>
          <w:color w:val="auto"/>
          <w:sz w:val="24"/>
          <w:highlight w:val="none"/>
        </w:rPr>
      </w:pPr>
    </w:p>
    <w:p w14:paraId="0737D135">
      <w:pPr>
        <w:spacing w:line="360" w:lineRule="auto"/>
        <w:rPr>
          <w:rFonts w:ascii="宋体" w:hAnsi="宋体" w:cs="宋体"/>
          <w:b/>
          <w:color w:val="auto"/>
          <w:sz w:val="24"/>
          <w:highlight w:val="none"/>
        </w:rPr>
      </w:pPr>
      <w:r>
        <w:rPr>
          <w:rFonts w:hint="eastAsia" w:ascii="宋体" w:hAnsi="宋体" w:cs="宋体"/>
          <w:b/>
          <w:color w:val="auto"/>
          <w:sz w:val="24"/>
          <w:highlight w:val="none"/>
        </w:rPr>
        <w:t>中标服务费由中标人汇至以下账户：</w:t>
      </w:r>
    </w:p>
    <w:p w14:paraId="506C1254">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帐户名称：东阳市鑫盛工程咨询有限公司</w:t>
      </w:r>
    </w:p>
    <w:p w14:paraId="45959B5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开户银行：兴业银行股份有限公司金华东阳支行</w:t>
      </w:r>
    </w:p>
    <w:p w14:paraId="4C1073F8">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账号：356090100100082625</w:t>
      </w:r>
    </w:p>
    <w:p w14:paraId="25F62651">
      <w:pPr>
        <w:spacing w:line="360" w:lineRule="auto"/>
        <w:rPr>
          <w:rFonts w:ascii="宋体" w:hAnsi="宋体" w:cs="宋体"/>
          <w:color w:val="auto"/>
          <w:sz w:val="24"/>
          <w:highlight w:val="none"/>
        </w:rPr>
      </w:pPr>
      <w:r>
        <w:rPr>
          <w:rFonts w:hint="eastAsia" w:ascii="宋体" w:hAnsi="宋体" w:cs="宋体"/>
          <w:b/>
          <w:color w:val="auto"/>
          <w:sz w:val="24"/>
          <w:highlight w:val="none"/>
        </w:rPr>
        <w:t>（六）联合体投标</w:t>
      </w:r>
      <w:r>
        <w:rPr>
          <w:rFonts w:hint="eastAsia" w:ascii="宋体" w:hAnsi="宋体" w:cs="宋体"/>
          <w:b/>
          <w:color w:val="auto"/>
          <w:sz w:val="24"/>
          <w:highlight w:val="none"/>
        </w:rPr>
        <w:tab/>
      </w:r>
    </w:p>
    <w:p w14:paraId="4334BD14">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本项目（是）接受联合体投标。</w:t>
      </w:r>
    </w:p>
    <w:p w14:paraId="09C87B0E">
      <w:pPr>
        <w:spacing w:line="360" w:lineRule="auto"/>
        <w:rPr>
          <w:rFonts w:ascii="宋体" w:hAnsi="宋体" w:cs="宋体"/>
          <w:b/>
          <w:color w:val="auto"/>
          <w:kern w:val="0"/>
          <w:sz w:val="24"/>
          <w:highlight w:val="none"/>
        </w:rPr>
      </w:pPr>
      <w:r>
        <w:rPr>
          <w:rFonts w:hint="eastAsia" w:ascii="宋体" w:hAnsi="宋体" w:cs="宋体"/>
          <w:b/>
          <w:color w:val="auto"/>
          <w:sz w:val="24"/>
          <w:highlight w:val="none"/>
        </w:rPr>
        <w:t>（七）</w:t>
      </w:r>
      <w:r>
        <w:rPr>
          <w:rFonts w:hint="eastAsia" w:ascii="宋体" w:hAnsi="宋体" w:cs="宋体"/>
          <w:b/>
          <w:color w:val="auto"/>
          <w:kern w:val="0"/>
          <w:sz w:val="24"/>
          <w:highlight w:val="none"/>
        </w:rPr>
        <w:t>转包与分包</w:t>
      </w:r>
    </w:p>
    <w:p w14:paraId="7F30C56D">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1.本项目不允许转包。</w:t>
      </w:r>
    </w:p>
    <w:p w14:paraId="246B7A28">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2.本项目允许分包。</w:t>
      </w:r>
    </w:p>
    <w:p w14:paraId="69CA6CF2">
      <w:pPr>
        <w:spacing w:line="360" w:lineRule="auto"/>
        <w:rPr>
          <w:rFonts w:ascii="宋体" w:hAnsi="宋体" w:cs="宋体"/>
          <w:b/>
          <w:bCs/>
          <w:color w:val="auto"/>
          <w:sz w:val="24"/>
          <w:highlight w:val="none"/>
        </w:rPr>
      </w:pPr>
      <w:r>
        <w:rPr>
          <w:rFonts w:hint="eastAsia" w:ascii="宋体" w:hAnsi="宋体" w:cs="宋体"/>
          <w:color w:val="auto"/>
          <w:sz w:val="24"/>
          <w:highlight w:val="none"/>
        </w:rPr>
        <w:t>▲</w:t>
      </w:r>
      <w:r>
        <w:rPr>
          <w:rFonts w:hint="eastAsia" w:ascii="宋体" w:hAnsi="宋体" w:cs="宋体"/>
          <w:b/>
          <w:bCs/>
          <w:color w:val="auto"/>
          <w:sz w:val="24"/>
          <w:highlight w:val="none"/>
        </w:rPr>
        <w:t>（八）特别说明：</w:t>
      </w:r>
    </w:p>
    <w:p w14:paraId="6992F7B7">
      <w:pPr>
        <w:spacing w:line="360" w:lineRule="auto"/>
        <w:rPr>
          <w:rFonts w:ascii="宋体" w:hAnsi="宋体" w:cs="宋体"/>
          <w:color w:val="auto"/>
          <w:sz w:val="24"/>
          <w:highlight w:val="none"/>
        </w:rPr>
      </w:pPr>
      <w:r>
        <w:rPr>
          <w:rFonts w:hint="eastAsia" w:ascii="宋体" w:hAnsi="宋体" w:cs="宋体"/>
          <w:color w:val="auto"/>
          <w:sz w:val="24"/>
          <w:highlight w:val="none"/>
        </w:rPr>
        <w:t>1.多家供应商参加投标，如其中两家或两家以上供应商的法定代表人为同一人或相互之间存在投资关系且达到控股的，同时提供的是同一品牌产品的，应当按一个供应商认定。</w:t>
      </w:r>
    </w:p>
    <w:p w14:paraId="3E26AC2A">
      <w:pPr>
        <w:spacing w:line="360" w:lineRule="auto"/>
        <w:rPr>
          <w:rFonts w:ascii="宋体" w:hAnsi="宋体" w:cs="宋体"/>
          <w:color w:val="auto"/>
          <w:sz w:val="24"/>
          <w:highlight w:val="none"/>
        </w:rPr>
      </w:pPr>
      <w:r>
        <w:rPr>
          <w:rFonts w:hint="eastAsia" w:ascii="宋体" w:hAnsi="宋体" w:cs="宋体"/>
          <w:color w:val="auto"/>
          <w:sz w:val="24"/>
          <w:highlight w:val="none"/>
        </w:rPr>
        <w:t>2.投标人投标所使用的资格、信誉、荣誉与企业认证必须为本法人所拥有。投标人投标所使用的采购项目实施人员必须为本法人员工（或必须为本法人或控股公司正式员工）。</w:t>
      </w:r>
    </w:p>
    <w:p w14:paraId="69CDDF90">
      <w:pPr>
        <w:spacing w:line="360" w:lineRule="auto"/>
        <w:rPr>
          <w:rFonts w:ascii="宋体" w:hAnsi="宋体" w:cs="宋体"/>
          <w:color w:val="auto"/>
          <w:sz w:val="24"/>
          <w:highlight w:val="none"/>
        </w:rPr>
      </w:pPr>
      <w:r>
        <w:rPr>
          <w:rFonts w:hint="eastAsia" w:ascii="宋体" w:hAnsi="宋体" w:cs="宋体"/>
          <w:color w:val="auto"/>
          <w:sz w:val="24"/>
          <w:highlight w:val="none"/>
        </w:rPr>
        <w:t>3.投标人应仔细阅读招标文件的所有内容，按照招标文件的要求提交投标文件，并对所提供的全部资料的真实性承担法律责任。</w:t>
      </w:r>
    </w:p>
    <w:p w14:paraId="715D2883">
      <w:pPr>
        <w:spacing w:line="360" w:lineRule="auto"/>
        <w:rPr>
          <w:rFonts w:ascii="宋体" w:hAnsi="宋体" w:cs="宋体"/>
          <w:color w:val="auto"/>
          <w:sz w:val="24"/>
          <w:highlight w:val="none"/>
        </w:rPr>
      </w:pPr>
      <w:r>
        <w:rPr>
          <w:rFonts w:hint="eastAsia" w:ascii="宋体" w:hAnsi="宋体" w:cs="宋体"/>
          <w:color w:val="auto"/>
          <w:sz w:val="24"/>
          <w:highlight w:val="none"/>
        </w:rPr>
        <w:t>4.投标人在投标活动中提供任何虚假材料,其投标无效，并报监管部门查处；中标后发现的,中标人须依照《中华人民共和国消费者权益保护法》第49条之规定，按中标价双倍赔偿采购人，且民事赔偿并不免除违法投标人的行政与刑事责任。</w:t>
      </w:r>
    </w:p>
    <w:p w14:paraId="1964A71D">
      <w:pPr>
        <w:spacing w:line="360" w:lineRule="auto"/>
        <w:rPr>
          <w:rFonts w:ascii="宋体" w:hAnsi="宋体" w:cs="宋体"/>
          <w:color w:val="auto"/>
          <w:sz w:val="24"/>
          <w:highlight w:val="none"/>
        </w:rPr>
      </w:pPr>
      <w:r>
        <w:rPr>
          <w:rFonts w:hint="eastAsia" w:ascii="宋体" w:hAnsi="宋体" w:cs="宋体"/>
          <w:color w:val="auto"/>
          <w:sz w:val="24"/>
          <w:highlight w:val="none"/>
        </w:rPr>
        <w:t>5. 评标委员会认为预中标人的投标报价明显低于其他通过符合性审查投标人的报价，有可能影响产品质量或者不能诚信履约的，应当要求其在评标现场合理的时间内提供书面说明，必要时提交相关证明材料，预中标人不能证明其报价合理性的，评标委员会应当将其作为无效投标处理。</w:t>
      </w:r>
    </w:p>
    <w:p w14:paraId="12EEE5B0">
      <w:pPr>
        <w:spacing w:line="360" w:lineRule="auto"/>
        <w:rPr>
          <w:rFonts w:ascii="宋体" w:hAnsi="宋体" w:cs="宋体"/>
          <w:color w:val="auto"/>
          <w:sz w:val="24"/>
          <w:highlight w:val="none"/>
        </w:rPr>
      </w:pPr>
      <w:r>
        <w:rPr>
          <w:rFonts w:hint="eastAsia" w:ascii="宋体" w:hAnsi="宋体" w:cs="宋体"/>
          <w:color w:val="auto"/>
          <w:sz w:val="24"/>
          <w:highlight w:val="none"/>
        </w:rPr>
        <w:t>6. 招标方不保证最低报价者为中标方。</w:t>
      </w:r>
    </w:p>
    <w:p w14:paraId="6E9BF542">
      <w:pPr>
        <w:spacing w:line="360" w:lineRule="auto"/>
        <w:rPr>
          <w:rFonts w:ascii="宋体" w:hAnsi="宋体" w:cs="宋体"/>
          <w:color w:val="auto"/>
          <w:sz w:val="24"/>
          <w:highlight w:val="none"/>
        </w:rPr>
      </w:pPr>
      <w:r>
        <w:rPr>
          <w:rFonts w:hint="eastAsia" w:ascii="宋体" w:hAnsi="宋体" w:cs="宋体"/>
          <w:color w:val="auto"/>
          <w:sz w:val="24"/>
          <w:highlight w:val="none"/>
        </w:rPr>
        <w:t>7. “政采云”平台运营机构，以及与该机构有直接控股或者管理关系可能影响采购公正性的任何单位和个人，不得在该平台进行的政府采购项目电子交易中投标、响应政府采购项目。</w:t>
      </w:r>
    </w:p>
    <w:p w14:paraId="57DF3963">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（九）质疑和投诉</w:t>
      </w:r>
    </w:p>
    <w:p w14:paraId="6C7CF700">
      <w:pPr>
        <w:spacing w:line="360" w:lineRule="auto"/>
        <w:rPr>
          <w:rFonts w:ascii="宋体" w:hAnsi="宋体" w:cs="宋体"/>
          <w:color w:val="auto"/>
          <w:sz w:val="24"/>
          <w:highlight w:val="none"/>
        </w:rPr>
      </w:pPr>
      <w:r>
        <w:rPr>
          <w:rFonts w:hint="eastAsia" w:ascii="宋体" w:hAnsi="宋体" w:cs="宋体"/>
          <w:color w:val="auto"/>
          <w:sz w:val="24"/>
          <w:highlight w:val="none"/>
        </w:rPr>
        <w:t>1.投标人认为招标文件、招标过程或中标结果使自己的合法权益受到损害的，应当在知道或者应知其权益受到损害之日起七个工作日内，以书面形式向采购人、招标方提出质疑。投标人对招标方的质疑答复不满意或者招标方未在规定时间内作出答复的，可以在答复期满后十五个工作日内向同级采购监管部门投诉。</w:t>
      </w:r>
    </w:p>
    <w:p w14:paraId="44C4D5F5">
      <w:pPr>
        <w:spacing w:line="360" w:lineRule="auto"/>
        <w:rPr>
          <w:rFonts w:ascii="宋体" w:hAnsi="宋体" w:cs="宋体"/>
          <w:color w:val="auto"/>
          <w:sz w:val="24"/>
          <w:highlight w:val="none"/>
        </w:rPr>
      </w:pPr>
      <w:r>
        <w:rPr>
          <w:rFonts w:hint="eastAsia" w:ascii="宋体" w:hAnsi="宋体" w:cs="宋体"/>
          <w:color w:val="auto"/>
          <w:sz w:val="24"/>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419F4437">
      <w:pPr>
        <w:spacing w:line="360" w:lineRule="auto"/>
        <w:rPr>
          <w:rFonts w:ascii="宋体" w:hAnsi="宋体" w:cs="宋体"/>
          <w:color w:val="auto"/>
          <w:sz w:val="24"/>
          <w:highlight w:val="none"/>
        </w:rPr>
      </w:pPr>
      <w:r>
        <w:rPr>
          <w:rFonts w:hint="eastAsia" w:ascii="宋体" w:hAnsi="宋体" w:cs="宋体"/>
          <w:color w:val="auto"/>
          <w:sz w:val="24"/>
          <w:highlight w:val="none"/>
        </w:rPr>
        <w:t>3. 采购人、招标方应当按照《浙江省政府采购供应商质疑处理办法》、中华人民共和国财政部第94号令《政府采购质疑和投诉办法》进行受理与答复质疑。</w:t>
      </w:r>
    </w:p>
    <w:p w14:paraId="6BAD6824">
      <w:pPr>
        <w:pStyle w:val="6"/>
        <w:keepNext w:val="0"/>
        <w:keepLines w:val="0"/>
        <w:pageBreakBefore/>
        <w:spacing w:line="360" w:lineRule="auto"/>
        <w:jc w:val="center"/>
        <w:rPr>
          <w:rFonts w:ascii="宋体" w:hAnsi="宋体" w:eastAsia="宋体" w:cs="宋体"/>
          <w:color w:val="auto"/>
          <w:sz w:val="24"/>
          <w:szCs w:val="24"/>
          <w:highlight w:val="none"/>
        </w:rPr>
      </w:pPr>
      <w:bookmarkStart w:id="18" w:name="_Toc19426"/>
      <w:bookmarkStart w:id="19" w:name="_Toc454196066"/>
      <w:bookmarkStart w:id="20" w:name="_Toc458697268"/>
      <w:r>
        <w:rPr>
          <w:rFonts w:hint="eastAsia" w:ascii="宋体" w:hAnsi="宋体" w:eastAsia="宋体" w:cs="宋体"/>
          <w:color w:val="auto"/>
          <w:sz w:val="24"/>
          <w:szCs w:val="24"/>
          <w:highlight w:val="none"/>
        </w:rPr>
        <w:t>二、招标文件</w:t>
      </w:r>
      <w:bookmarkEnd w:id="18"/>
      <w:bookmarkEnd w:id="19"/>
      <w:bookmarkEnd w:id="20"/>
    </w:p>
    <w:p w14:paraId="313F4F5B">
      <w:pPr>
        <w:spacing w:line="360" w:lineRule="auto"/>
        <w:rPr>
          <w:rFonts w:ascii="宋体" w:hAnsi="宋体" w:cs="宋体"/>
          <w:b/>
          <w:color w:val="auto"/>
          <w:sz w:val="24"/>
          <w:highlight w:val="none"/>
        </w:rPr>
      </w:pPr>
      <w:r>
        <w:rPr>
          <w:rFonts w:hint="eastAsia" w:ascii="宋体" w:hAnsi="宋体" w:cs="宋体"/>
          <w:b/>
          <w:color w:val="auto"/>
          <w:sz w:val="24"/>
          <w:highlight w:val="none"/>
        </w:rPr>
        <w:t>（一）招标文件的构成。本招标文件由以下部分组成：</w:t>
      </w:r>
    </w:p>
    <w:p w14:paraId="7F2E0ACC">
      <w:pPr>
        <w:spacing w:line="360" w:lineRule="auto"/>
        <w:rPr>
          <w:rFonts w:ascii="宋体" w:hAnsi="宋体" w:cs="宋体"/>
          <w:color w:val="auto"/>
          <w:sz w:val="24"/>
          <w:highlight w:val="none"/>
        </w:rPr>
      </w:pPr>
      <w:r>
        <w:rPr>
          <w:rFonts w:hint="eastAsia" w:ascii="宋体" w:hAnsi="宋体" w:cs="宋体"/>
          <w:color w:val="auto"/>
          <w:sz w:val="24"/>
          <w:highlight w:val="none"/>
        </w:rPr>
        <w:t>1.招标公告</w:t>
      </w:r>
    </w:p>
    <w:p w14:paraId="3C6AE02A">
      <w:pPr>
        <w:spacing w:line="360" w:lineRule="auto"/>
        <w:rPr>
          <w:rFonts w:ascii="宋体" w:hAnsi="宋体" w:cs="宋体"/>
          <w:color w:val="auto"/>
          <w:sz w:val="24"/>
          <w:highlight w:val="none"/>
        </w:rPr>
      </w:pPr>
      <w:r>
        <w:rPr>
          <w:rFonts w:hint="eastAsia" w:ascii="宋体" w:hAnsi="宋体" w:cs="宋体"/>
          <w:color w:val="auto"/>
          <w:sz w:val="24"/>
          <w:highlight w:val="none"/>
        </w:rPr>
        <w:t>2.招标需求</w:t>
      </w:r>
    </w:p>
    <w:p w14:paraId="46E540D8">
      <w:pPr>
        <w:spacing w:line="360" w:lineRule="auto"/>
        <w:rPr>
          <w:rFonts w:ascii="宋体" w:hAnsi="宋体" w:cs="宋体"/>
          <w:color w:val="auto"/>
          <w:sz w:val="24"/>
          <w:highlight w:val="none"/>
        </w:rPr>
      </w:pPr>
      <w:r>
        <w:rPr>
          <w:rFonts w:hint="eastAsia" w:ascii="宋体" w:hAnsi="宋体" w:cs="宋体"/>
          <w:color w:val="auto"/>
          <w:sz w:val="24"/>
          <w:highlight w:val="none"/>
        </w:rPr>
        <w:t>3.投标人须知</w:t>
      </w:r>
    </w:p>
    <w:p w14:paraId="1EB8CA18">
      <w:pPr>
        <w:spacing w:line="360" w:lineRule="auto"/>
        <w:rPr>
          <w:rFonts w:ascii="宋体" w:hAnsi="宋体" w:cs="宋体"/>
          <w:color w:val="auto"/>
          <w:sz w:val="24"/>
          <w:highlight w:val="none"/>
        </w:rPr>
      </w:pPr>
      <w:r>
        <w:rPr>
          <w:rFonts w:hint="eastAsia" w:ascii="宋体" w:hAnsi="宋体" w:cs="宋体"/>
          <w:color w:val="auto"/>
          <w:sz w:val="24"/>
          <w:highlight w:val="none"/>
        </w:rPr>
        <w:t>4.评标办法及标准</w:t>
      </w:r>
    </w:p>
    <w:p w14:paraId="7239C389">
      <w:pPr>
        <w:spacing w:line="360" w:lineRule="auto"/>
        <w:rPr>
          <w:rFonts w:ascii="宋体" w:hAnsi="宋体" w:cs="宋体"/>
          <w:color w:val="auto"/>
          <w:sz w:val="24"/>
          <w:highlight w:val="none"/>
        </w:rPr>
      </w:pPr>
      <w:r>
        <w:rPr>
          <w:rFonts w:hint="eastAsia" w:ascii="宋体" w:hAnsi="宋体" w:cs="宋体"/>
          <w:color w:val="auto"/>
          <w:sz w:val="24"/>
          <w:highlight w:val="none"/>
        </w:rPr>
        <w:t>5.合同主要条款</w:t>
      </w:r>
    </w:p>
    <w:p w14:paraId="475BEA15">
      <w:pPr>
        <w:spacing w:line="360" w:lineRule="auto"/>
        <w:rPr>
          <w:rFonts w:ascii="宋体" w:hAnsi="宋体" w:cs="宋体"/>
          <w:color w:val="auto"/>
          <w:sz w:val="24"/>
          <w:highlight w:val="none"/>
        </w:rPr>
      </w:pPr>
      <w:r>
        <w:rPr>
          <w:rFonts w:hint="eastAsia" w:ascii="宋体" w:hAnsi="宋体" w:cs="宋体"/>
          <w:color w:val="auto"/>
          <w:sz w:val="24"/>
          <w:highlight w:val="none"/>
        </w:rPr>
        <w:t>6.投标文件格式</w:t>
      </w:r>
    </w:p>
    <w:p w14:paraId="6A39C3F0">
      <w:pPr>
        <w:spacing w:line="360" w:lineRule="auto"/>
        <w:rPr>
          <w:rFonts w:ascii="宋体" w:hAnsi="宋体" w:cs="宋体"/>
          <w:color w:val="auto"/>
          <w:sz w:val="24"/>
          <w:highlight w:val="none"/>
        </w:rPr>
      </w:pPr>
      <w:r>
        <w:rPr>
          <w:rFonts w:hint="eastAsia" w:ascii="宋体" w:hAnsi="宋体" w:cs="宋体"/>
          <w:color w:val="auto"/>
          <w:sz w:val="24"/>
          <w:highlight w:val="none"/>
        </w:rPr>
        <w:t>7.本项目招标文件的澄清、答复、修改、补充的内容</w:t>
      </w:r>
    </w:p>
    <w:p w14:paraId="4C4BB407">
      <w:pPr>
        <w:spacing w:line="360" w:lineRule="auto"/>
        <w:rPr>
          <w:rFonts w:ascii="宋体" w:hAnsi="宋体" w:cs="宋体"/>
          <w:b/>
          <w:color w:val="auto"/>
          <w:sz w:val="24"/>
          <w:highlight w:val="none"/>
        </w:rPr>
      </w:pPr>
      <w:r>
        <w:rPr>
          <w:rFonts w:hint="eastAsia" w:ascii="宋体" w:hAnsi="宋体" w:cs="宋体"/>
          <w:b/>
          <w:color w:val="auto"/>
          <w:sz w:val="24"/>
          <w:highlight w:val="none"/>
        </w:rPr>
        <w:t>（二）投标人的风险</w:t>
      </w:r>
    </w:p>
    <w:p w14:paraId="1F96064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投标人没有按照招标文件要求提供全部资料，或者投标人没有对招标文件在各方面作出实质性响应是投标人的风险，并可能导致其投标被拒绝。</w:t>
      </w:r>
    </w:p>
    <w:p w14:paraId="279AFD10">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（三）招标文件的澄清与修改 </w:t>
      </w:r>
    </w:p>
    <w:p w14:paraId="42A3374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bCs/>
          <w:color w:val="auto"/>
          <w:sz w:val="24"/>
          <w:highlight w:val="none"/>
        </w:rPr>
        <w:t>投标人应认真阅读本招标文件，发现其中有误或有不合理要求的，投标人应当按照公开招标公告第三、七条规定以书面形式要求招标方澄清</w:t>
      </w:r>
      <w:r>
        <w:rPr>
          <w:rFonts w:hint="eastAsia" w:ascii="宋体" w:hAnsi="宋体" w:cs="宋体"/>
          <w:color w:val="auto"/>
          <w:sz w:val="24"/>
          <w:highlight w:val="none"/>
        </w:rPr>
        <w:t>。招标方对已发出的招标文件进行必要澄清、答复、修改或补充的，应当在招标文件要求提交投标文件截止时间15日前，在财政部门指定的政府采购信息发布媒体上发布更正公告，并以书面形式通知所有招标文件收受人。</w:t>
      </w:r>
    </w:p>
    <w:p w14:paraId="66E8A93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2.招标方必须以书面形式答复投标人要求澄清的问题，并将不包含问题来源的答复书面通知所有购买招标文件的投标人；除书面答复以外的其他澄清方式及澄清内容均无效。</w:t>
      </w:r>
    </w:p>
    <w:p w14:paraId="15B474F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3.招标文件澄清、答复、修改、补充的内容为招标文件的组成部分。当招标文件与招标文件的答复、澄清、修改、补充通知就同一内容的表述不一致时，以最后发出的书面文件为准。</w:t>
      </w:r>
    </w:p>
    <w:p w14:paraId="77F12B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4.招标文件的澄清、答复、修改或补充都应该通过本招标机构以法定形式发布，采购人非通过本机构，不得擅自澄清、答复、修改或补充招标文件。</w:t>
      </w:r>
    </w:p>
    <w:p w14:paraId="5AADCD3D">
      <w:pPr>
        <w:pStyle w:val="6"/>
        <w:keepNext w:val="0"/>
        <w:keepLines w:val="0"/>
        <w:pageBreakBefore/>
        <w:spacing w:line="360" w:lineRule="auto"/>
        <w:jc w:val="center"/>
        <w:rPr>
          <w:rFonts w:ascii="宋体" w:hAnsi="宋体" w:eastAsia="宋体" w:cs="宋体"/>
          <w:color w:val="auto"/>
          <w:sz w:val="24"/>
          <w:szCs w:val="24"/>
          <w:highlight w:val="none"/>
        </w:rPr>
      </w:pPr>
      <w:bookmarkStart w:id="21" w:name="_Toc454196067"/>
      <w:bookmarkStart w:id="22" w:name="_Toc458697269"/>
      <w:bookmarkStart w:id="23" w:name="_Toc552"/>
      <w:r>
        <w:rPr>
          <w:rFonts w:hint="eastAsia" w:ascii="宋体" w:hAnsi="宋体" w:eastAsia="宋体" w:cs="宋体"/>
          <w:color w:val="auto"/>
          <w:sz w:val="24"/>
          <w:szCs w:val="24"/>
          <w:highlight w:val="none"/>
        </w:rPr>
        <w:t>三、投标文件的编制</w:t>
      </w:r>
      <w:bookmarkEnd w:id="21"/>
      <w:bookmarkEnd w:id="22"/>
      <w:bookmarkEnd w:id="23"/>
    </w:p>
    <w:p w14:paraId="7E30D659">
      <w:pPr>
        <w:spacing w:line="360" w:lineRule="auto"/>
        <w:rPr>
          <w:rFonts w:ascii="宋体" w:hAnsi="宋体" w:cs="宋体"/>
          <w:b/>
          <w:color w:val="auto"/>
          <w:sz w:val="24"/>
          <w:highlight w:val="none"/>
        </w:rPr>
      </w:pPr>
      <w:r>
        <w:rPr>
          <w:rFonts w:hint="eastAsia" w:ascii="宋体" w:hAnsi="宋体" w:cs="宋体"/>
          <w:b/>
          <w:color w:val="auto"/>
          <w:sz w:val="24"/>
          <w:highlight w:val="none"/>
        </w:rPr>
        <w:t>▲（一）投标文件的组成</w:t>
      </w:r>
    </w:p>
    <w:p w14:paraId="041DB3AD">
      <w:pPr>
        <w:spacing w:line="360" w:lineRule="auto"/>
        <w:rPr>
          <w:rFonts w:ascii="宋体" w:hAnsi="宋体" w:cs="宋体"/>
          <w:color w:val="auto"/>
          <w:sz w:val="24"/>
          <w:highlight w:val="none"/>
        </w:rPr>
      </w:pPr>
      <w:r>
        <w:rPr>
          <w:rFonts w:hint="eastAsia" w:ascii="宋体" w:hAnsi="宋体" w:cs="宋体"/>
          <w:color w:val="auto"/>
          <w:sz w:val="24"/>
          <w:highlight w:val="none"/>
        </w:rPr>
        <w:t>投标文件由资格审查文件、商务技术文件、报价文件三部分组成。</w:t>
      </w:r>
    </w:p>
    <w:p w14:paraId="06DCB4B9">
      <w:pPr>
        <w:spacing w:line="360" w:lineRule="auto"/>
        <w:rPr>
          <w:rFonts w:ascii="宋体" w:hAnsi="宋体" w:cs="宋体"/>
          <w:b/>
          <w:color w:val="auto"/>
          <w:sz w:val="24"/>
          <w:highlight w:val="none"/>
        </w:rPr>
      </w:pPr>
      <w:r>
        <w:rPr>
          <w:rFonts w:hint="eastAsia" w:ascii="宋体" w:hAnsi="宋体" w:cs="宋体"/>
          <w:b/>
          <w:color w:val="auto"/>
          <w:sz w:val="24"/>
          <w:highlight w:val="none"/>
        </w:rPr>
        <w:t>1.资格审查文件：</w:t>
      </w:r>
    </w:p>
    <w:p w14:paraId="27024174">
      <w:pPr>
        <w:spacing w:line="360" w:lineRule="auto"/>
        <w:rPr>
          <w:rFonts w:ascii="宋体" w:hAnsi="宋体" w:cs="宋体"/>
          <w:color w:val="auto"/>
          <w:sz w:val="24"/>
          <w:highlight w:val="none"/>
        </w:rPr>
      </w:pPr>
      <w:r>
        <w:rPr>
          <w:rFonts w:hint="eastAsia" w:ascii="宋体" w:hAnsi="宋体" w:cs="宋体"/>
          <w:color w:val="auto"/>
          <w:sz w:val="24"/>
          <w:highlight w:val="none"/>
        </w:rPr>
        <w:t>（1）具有独立承担民事责任的能力：投标人须在投标文件中出具符合以下情况的证明材料复印件（五选一）：</w:t>
      </w:r>
    </w:p>
    <w:p w14:paraId="1739B13E">
      <w:pPr>
        <w:spacing w:line="360" w:lineRule="auto"/>
        <w:rPr>
          <w:rFonts w:ascii="宋体" w:hAnsi="宋体" w:cs="宋体"/>
          <w:color w:val="auto"/>
          <w:sz w:val="24"/>
          <w:highlight w:val="none"/>
        </w:rPr>
      </w:pPr>
      <w:r>
        <w:rPr>
          <w:rFonts w:hint="eastAsia" w:ascii="宋体" w:hAnsi="宋体" w:cs="宋体"/>
          <w:color w:val="auto"/>
          <w:sz w:val="24"/>
          <w:highlight w:val="none"/>
        </w:rPr>
        <w:t>①如投标人是企业（包括合伙企业），提供在工商部门注册的有效“企业法人营业执照”或“营业执照”；</w:t>
      </w:r>
    </w:p>
    <w:p w14:paraId="681CCFC1">
      <w:pPr>
        <w:spacing w:line="360" w:lineRule="auto"/>
        <w:rPr>
          <w:rFonts w:ascii="宋体" w:hAnsi="宋体" w:cs="宋体"/>
          <w:color w:val="auto"/>
          <w:sz w:val="24"/>
          <w:highlight w:val="none"/>
        </w:rPr>
      </w:pPr>
      <w:r>
        <w:rPr>
          <w:rFonts w:hint="eastAsia" w:ascii="宋体" w:hAnsi="宋体" w:cs="宋体"/>
          <w:color w:val="auto"/>
          <w:sz w:val="24"/>
          <w:highlight w:val="none"/>
        </w:rPr>
        <w:t>②如投标人是事业单位，提供有效的“事业单位法人证书”；</w:t>
      </w:r>
    </w:p>
    <w:p w14:paraId="77FB00FA">
      <w:pPr>
        <w:spacing w:line="360" w:lineRule="auto"/>
        <w:rPr>
          <w:rFonts w:ascii="宋体" w:hAnsi="宋体" w:cs="宋体"/>
          <w:color w:val="auto"/>
          <w:sz w:val="24"/>
          <w:highlight w:val="none"/>
        </w:rPr>
      </w:pPr>
      <w:r>
        <w:rPr>
          <w:rFonts w:hint="eastAsia" w:ascii="宋体" w:hAnsi="宋体" w:cs="宋体"/>
          <w:color w:val="auto"/>
          <w:sz w:val="24"/>
          <w:highlight w:val="none"/>
        </w:rPr>
        <w:t>③如投标人是非企业专业服务机构的，提供执业许可证等证明文件；</w:t>
      </w:r>
    </w:p>
    <w:p w14:paraId="4ABA4CED">
      <w:pPr>
        <w:spacing w:line="360" w:lineRule="auto"/>
        <w:rPr>
          <w:rFonts w:ascii="宋体" w:hAnsi="宋体" w:cs="宋体"/>
          <w:color w:val="auto"/>
          <w:sz w:val="24"/>
          <w:highlight w:val="none"/>
        </w:rPr>
      </w:pPr>
      <w:r>
        <w:rPr>
          <w:rFonts w:hint="eastAsia" w:ascii="宋体" w:hAnsi="宋体" w:cs="宋体"/>
          <w:color w:val="auto"/>
          <w:sz w:val="24"/>
          <w:highlight w:val="none"/>
        </w:rPr>
        <w:t>④如投标人是个体工商户，提供有效的“个体工商户营业执照”；</w:t>
      </w:r>
    </w:p>
    <w:p w14:paraId="2F6C8608">
      <w:pPr>
        <w:spacing w:line="360" w:lineRule="auto"/>
        <w:rPr>
          <w:rFonts w:ascii="宋体" w:hAnsi="宋体" w:cs="宋体"/>
          <w:color w:val="auto"/>
          <w:sz w:val="24"/>
          <w:highlight w:val="none"/>
        </w:rPr>
      </w:pPr>
      <w:r>
        <w:rPr>
          <w:rFonts w:hint="eastAsia" w:ascii="宋体" w:hAnsi="宋体" w:cs="宋体"/>
          <w:color w:val="auto"/>
          <w:sz w:val="24"/>
          <w:highlight w:val="none"/>
        </w:rPr>
        <w:t>⑤如投标人是自然人，提供有效的自然人身份证明（居民身份证正反面或公安机关出具的临时居民身份证正反面或港澳台胞证或护照）。</w:t>
      </w:r>
    </w:p>
    <w:p w14:paraId="762B71C6">
      <w:pPr>
        <w:spacing w:line="360" w:lineRule="auto"/>
        <w:rPr>
          <w:rFonts w:ascii="宋体" w:hAnsi="宋体" w:cs="宋体"/>
          <w:color w:val="auto"/>
          <w:sz w:val="24"/>
          <w:highlight w:val="none"/>
        </w:rPr>
      </w:pPr>
      <w:r>
        <w:rPr>
          <w:rFonts w:hint="eastAsia" w:ascii="宋体" w:hAnsi="宋体" w:cs="宋体"/>
          <w:color w:val="auto"/>
          <w:sz w:val="24"/>
          <w:highlight w:val="none"/>
        </w:rPr>
        <w:t>（2）法定代表人身份证复印件或法定代表人授权委托书(格式见附件)；</w:t>
      </w:r>
    </w:p>
    <w:p w14:paraId="789F961A">
      <w:pPr>
        <w:spacing w:line="360" w:lineRule="auto"/>
        <w:rPr>
          <w:rFonts w:ascii="宋体" w:hAnsi="宋体" w:cs="宋体"/>
          <w:color w:val="auto"/>
          <w:sz w:val="24"/>
          <w:highlight w:val="none"/>
        </w:rPr>
      </w:pPr>
      <w:r>
        <w:rPr>
          <w:rFonts w:hint="eastAsia" w:ascii="宋体" w:hAnsi="宋体" w:cs="宋体"/>
          <w:color w:val="auto"/>
          <w:sz w:val="24"/>
          <w:highlight w:val="none"/>
        </w:rPr>
        <w:t>（3）符合参加政府采购活动应当具备的一般条件的承诺函（格式见附件）；</w:t>
      </w:r>
    </w:p>
    <w:p w14:paraId="068F884C">
      <w:pPr>
        <w:spacing w:line="360" w:lineRule="auto"/>
        <w:rPr>
          <w:rFonts w:ascii="宋体" w:hAnsi="宋体" w:cs="宋体"/>
          <w:color w:val="auto"/>
          <w:sz w:val="24"/>
          <w:highlight w:val="none"/>
        </w:rPr>
      </w:pPr>
      <w:r>
        <w:rPr>
          <w:rFonts w:hint="eastAsia" w:ascii="宋体" w:hAnsi="宋体" w:cs="宋体"/>
          <w:color w:val="auto"/>
          <w:sz w:val="24"/>
          <w:highlight w:val="none"/>
        </w:rPr>
        <w:t>（4）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9B38576">
      <w:pPr>
        <w:spacing w:line="360" w:lineRule="auto"/>
        <w:rPr>
          <w:rFonts w:ascii="宋体" w:hAnsi="宋体" w:cs="宋体"/>
          <w:color w:val="auto"/>
          <w:sz w:val="24"/>
          <w:highlight w:val="none"/>
        </w:rPr>
      </w:pPr>
      <w:r>
        <w:rPr>
          <w:rFonts w:hint="eastAsia" w:ascii="宋体" w:hAnsi="宋体" w:cs="宋体"/>
          <w:color w:val="auto"/>
          <w:sz w:val="24"/>
          <w:highlight w:val="none"/>
        </w:rPr>
        <w:t>（5）浙江政府采购网注册正式供应商的网络截图或承诺中标后30天内注册为浙江政府采购网正式供应商（须提供承诺书）；</w:t>
      </w:r>
    </w:p>
    <w:p w14:paraId="59706DF6">
      <w:pPr>
        <w:spacing w:line="360" w:lineRule="auto"/>
        <w:rPr>
          <w:rFonts w:ascii="宋体" w:hAnsi="宋体" w:cs="宋体"/>
          <w:color w:val="auto"/>
          <w:sz w:val="24"/>
          <w:highlight w:val="none"/>
        </w:rPr>
      </w:pPr>
      <w:r>
        <w:rPr>
          <w:rFonts w:hint="eastAsia" w:ascii="宋体" w:hAnsi="宋体" w:cs="宋体"/>
          <w:color w:val="auto"/>
          <w:sz w:val="24"/>
          <w:highlight w:val="none"/>
        </w:rPr>
        <w:t>（6）东阳市政府采购代理机构社会评价表（格式见附件）；</w:t>
      </w:r>
    </w:p>
    <w:p w14:paraId="4F1D330F">
      <w:pPr>
        <w:spacing w:line="360" w:lineRule="auto"/>
        <w:rPr>
          <w:rFonts w:ascii="宋体" w:hAnsi="宋体" w:cs="宋体"/>
          <w:color w:val="auto"/>
          <w:sz w:val="24"/>
          <w:highlight w:val="none"/>
        </w:rPr>
      </w:pPr>
      <w:r>
        <w:rPr>
          <w:rFonts w:hint="eastAsia" w:ascii="宋体" w:hAnsi="宋体" w:cs="宋体"/>
          <w:color w:val="auto"/>
          <w:sz w:val="24"/>
          <w:highlight w:val="none"/>
        </w:rPr>
        <w:t>（7）投标声明书 (格式见附件) ；</w:t>
      </w:r>
    </w:p>
    <w:p w14:paraId="6627C984">
      <w:pPr>
        <w:spacing w:line="360" w:lineRule="auto"/>
        <w:rPr>
          <w:rFonts w:ascii="宋体" w:hAnsi="宋体" w:cs="宋体"/>
          <w:color w:val="auto"/>
          <w:sz w:val="24"/>
          <w:highlight w:val="none"/>
        </w:rPr>
      </w:pPr>
      <w:r>
        <w:rPr>
          <w:rFonts w:hint="eastAsia" w:ascii="宋体" w:hAnsi="宋体" w:cs="宋体"/>
          <w:color w:val="auto"/>
          <w:sz w:val="24"/>
          <w:highlight w:val="none"/>
        </w:rPr>
        <w:t>（8）政府采购活动现场确认声明书 (格式见附件) ；</w:t>
      </w:r>
    </w:p>
    <w:p w14:paraId="1D34782A">
      <w:pPr>
        <w:spacing w:line="360" w:lineRule="auto"/>
        <w:rPr>
          <w:rFonts w:ascii="宋体" w:hAnsi="宋体" w:cs="宋体"/>
          <w:color w:val="auto"/>
          <w:sz w:val="24"/>
          <w:highlight w:val="none"/>
        </w:rPr>
      </w:pPr>
      <w:r>
        <w:rPr>
          <w:rFonts w:hint="eastAsia" w:ascii="宋体" w:hAnsi="宋体" w:cs="宋体"/>
          <w:color w:val="auto"/>
          <w:sz w:val="24"/>
          <w:highlight w:val="none"/>
        </w:rPr>
        <w:t>（9）联合体协议书（联合体投标时提供）（格式见附件）；</w:t>
      </w:r>
    </w:p>
    <w:p w14:paraId="28C73421">
      <w:pPr>
        <w:spacing w:line="360" w:lineRule="auto"/>
        <w:rPr>
          <w:rFonts w:ascii="宋体" w:hAnsi="宋体" w:cs="宋体"/>
          <w:b w:val="0"/>
          <w:bCs w:val="0"/>
          <w:color w:val="auto"/>
          <w:sz w:val="24"/>
          <w:highlight w:val="none"/>
        </w:rPr>
      </w:pPr>
      <w:r>
        <w:rPr>
          <w:rFonts w:hint="eastAsia" w:ascii="宋体" w:hAnsi="宋体" w:cs="宋体"/>
          <w:color w:val="auto"/>
          <w:sz w:val="24"/>
          <w:highlight w:val="none"/>
        </w:rPr>
        <w:t>（</w:t>
      </w:r>
      <w:r>
        <w:rPr>
          <w:rFonts w:hint="eastAsia" w:ascii="宋体" w:hAnsi="宋体" w:cs="宋体"/>
          <w:b w:val="0"/>
          <w:bCs w:val="0"/>
          <w:color w:val="auto"/>
          <w:sz w:val="24"/>
          <w:highlight w:val="none"/>
        </w:rPr>
        <w:t>10）落实政府采购政策需满足的资格：供应商为中小企业/小微企业，提供《中小企业声明函》（格式见附件）；</w:t>
      </w:r>
    </w:p>
    <w:p w14:paraId="3E24762C">
      <w:pPr>
        <w:spacing w:line="360" w:lineRule="auto"/>
        <w:rPr>
          <w:rFonts w:ascii="宋体" w:hAnsi="宋体" w:cs="宋体"/>
          <w:color w:val="auto"/>
          <w:sz w:val="24"/>
          <w:highlight w:val="none"/>
        </w:rPr>
      </w:pPr>
      <w:r>
        <w:rPr>
          <w:rFonts w:hint="eastAsia" w:ascii="宋体" w:hAnsi="宋体" w:cs="宋体"/>
          <w:color w:val="auto"/>
          <w:sz w:val="24"/>
          <w:highlight w:val="none"/>
        </w:rPr>
        <w:t>（11）投标人情况介绍；</w:t>
      </w:r>
    </w:p>
    <w:p w14:paraId="08772D00">
      <w:pPr>
        <w:spacing w:line="360" w:lineRule="auto"/>
        <w:rPr>
          <w:rFonts w:ascii="宋体" w:hAnsi="宋体" w:cs="宋体"/>
          <w:color w:val="auto"/>
          <w:sz w:val="24"/>
          <w:highlight w:val="none"/>
        </w:rPr>
      </w:pPr>
      <w:r>
        <w:rPr>
          <w:rFonts w:hint="eastAsia" w:ascii="宋体" w:hAnsi="宋体" w:cs="宋体"/>
          <w:color w:val="auto"/>
          <w:sz w:val="24"/>
          <w:highlight w:val="none"/>
        </w:rPr>
        <w:t>（12）投标人认为有必要提供的其它文件。</w:t>
      </w:r>
    </w:p>
    <w:p w14:paraId="34FB17EC">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2.商务技术文件</w:t>
      </w:r>
    </w:p>
    <w:p w14:paraId="4AF743A4">
      <w:pPr>
        <w:spacing w:line="360" w:lineRule="auto"/>
        <w:rPr>
          <w:rFonts w:hint="eastAsia" w:ascii="宋体" w:hAnsi="宋体" w:cs="宋体"/>
          <w:color w:val="auto"/>
          <w:sz w:val="24"/>
          <w:highlight w:val="none"/>
        </w:rPr>
      </w:pPr>
      <w:r>
        <w:rPr>
          <w:rFonts w:hint="eastAsia" w:ascii="宋体" w:hAnsi="宋体" w:cs="宋体"/>
          <w:color w:val="auto"/>
          <w:sz w:val="24"/>
          <w:highlight w:val="none"/>
        </w:rPr>
        <w:t>（1）投标人资信商务、技术自评得分表（格式见附件）；</w:t>
      </w:r>
    </w:p>
    <w:p w14:paraId="78B8E325">
      <w:pPr>
        <w:spacing w:line="360" w:lineRule="auto"/>
        <w:rPr>
          <w:rFonts w:hint="eastAsia" w:ascii="宋体" w:hAnsi="宋体" w:cs="宋体"/>
          <w:color w:val="auto"/>
          <w:sz w:val="24"/>
          <w:highlight w:val="none"/>
        </w:rPr>
      </w:pPr>
      <w:r>
        <w:rPr>
          <w:rFonts w:hint="eastAsia" w:ascii="宋体" w:hAnsi="宋体" w:cs="宋体"/>
          <w:color w:val="auto"/>
          <w:sz w:val="24"/>
          <w:highlight w:val="none"/>
        </w:rPr>
        <w:t>（2）商务响应表（格式见附件）；</w:t>
      </w:r>
    </w:p>
    <w:p w14:paraId="27A5EE4D">
      <w:pPr>
        <w:spacing w:line="360" w:lineRule="auto"/>
        <w:rPr>
          <w:rFonts w:hint="eastAsia" w:ascii="宋体" w:hAnsi="宋体" w:cs="宋体"/>
          <w:color w:val="auto"/>
          <w:sz w:val="24"/>
          <w:highlight w:val="none"/>
        </w:rPr>
      </w:pPr>
      <w:r>
        <w:rPr>
          <w:rFonts w:hint="eastAsia" w:ascii="宋体" w:hAnsi="宋体" w:cs="宋体"/>
          <w:color w:val="auto"/>
          <w:sz w:val="24"/>
          <w:highlight w:val="none"/>
        </w:rPr>
        <w:t>（3）技术响应表（格式见附件）；</w:t>
      </w:r>
    </w:p>
    <w:p w14:paraId="156ADA5F">
      <w:pPr>
        <w:spacing w:line="360" w:lineRule="auto"/>
        <w:rPr>
          <w:rFonts w:hint="eastAsia" w:ascii="宋体" w:hAnsi="宋体" w:cs="宋体"/>
          <w:color w:val="auto"/>
          <w:sz w:val="24"/>
          <w:highlight w:val="none"/>
        </w:rPr>
      </w:pPr>
      <w:r>
        <w:rPr>
          <w:rFonts w:hint="eastAsia" w:ascii="宋体" w:hAnsi="宋体" w:cs="宋体"/>
          <w:color w:val="auto"/>
          <w:sz w:val="24"/>
          <w:highlight w:val="none"/>
        </w:rPr>
        <w:t>（4）</w:t>
      </w:r>
      <w:r>
        <w:rPr>
          <w:rFonts w:hint="eastAsia" w:ascii="宋体" w:hAnsi="宋体" w:cs="宋体"/>
          <w:color w:val="auto"/>
          <w:sz w:val="24"/>
          <w:highlight w:val="none"/>
          <w:lang w:val="en-US" w:eastAsia="zh-CN"/>
        </w:rPr>
        <w:t>对本项目的理解情况</w:t>
      </w:r>
      <w:r>
        <w:rPr>
          <w:rFonts w:hint="eastAsia" w:ascii="宋体" w:hAnsi="宋体" w:cs="宋体"/>
          <w:color w:val="auto"/>
          <w:sz w:val="24"/>
          <w:highlight w:val="none"/>
        </w:rPr>
        <w:t>；</w:t>
      </w:r>
    </w:p>
    <w:p w14:paraId="0485E830">
      <w:pPr>
        <w:spacing w:line="360" w:lineRule="auto"/>
        <w:rPr>
          <w:rFonts w:hint="eastAsia" w:ascii="宋体" w:hAnsi="宋体" w:cs="宋体"/>
          <w:color w:val="auto"/>
          <w:sz w:val="24"/>
          <w:highlight w:val="none"/>
          <w:lang w:val="zh-CN" w:eastAsia="zh-CN"/>
        </w:rPr>
      </w:pPr>
      <w:r>
        <w:rPr>
          <w:rFonts w:hint="eastAsia" w:ascii="宋体" w:hAnsi="宋体" w:cs="宋体"/>
          <w:color w:val="auto"/>
          <w:sz w:val="24"/>
          <w:highlight w:val="none"/>
        </w:rPr>
        <w:t>（5</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服务</w:t>
      </w:r>
      <w:r>
        <w:rPr>
          <w:rFonts w:hint="eastAsia" w:ascii="宋体" w:hAnsi="宋体" w:cs="宋体"/>
          <w:color w:val="auto"/>
          <w:sz w:val="24"/>
          <w:highlight w:val="none"/>
          <w:lang w:val="zh-CN" w:eastAsia="zh-CN"/>
        </w:rPr>
        <w:t>方案；</w:t>
      </w:r>
    </w:p>
    <w:p w14:paraId="2F328C46">
      <w:pPr>
        <w:spacing w:line="360" w:lineRule="auto"/>
        <w:rPr>
          <w:rFonts w:hint="eastAsia" w:ascii="宋体" w:hAnsi="宋体" w:cs="宋体"/>
          <w:color w:val="auto"/>
          <w:sz w:val="24"/>
          <w:highlight w:val="none"/>
          <w:lang w:val="zh-CN" w:eastAsia="zh-CN"/>
        </w:rPr>
      </w:pPr>
      <w:r>
        <w:rPr>
          <w:rFonts w:hint="eastAsia" w:ascii="宋体" w:hAnsi="宋体" w:cs="宋体"/>
          <w:color w:val="auto"/>
          <w:sz w:val="24"/>
          <w:highlight w:val="none"/>
          <w:lang w:val="en-US" w:eastAsia="zh-CN"/>
        </w:rPr>
        <w:t>（6）管理措施及验收</w:t>
      </w:r>
      <w:r>
        <w:rPr>
          <w:rFonts w:hint="eastAsia" w:ascii="宋体" w:hAnsi="宋体" w:cs="宋体"/>
          <w:color w:val="auto"/>
          <w:sz w:val="24"/>
          <w:highlight w:val="none"/>
          <w:lang w:val="zh-CN" w:eastAsia="zh-CN"/>
        </w:rPr>
        <w:t>；</w:t>
      </w:r>
    </w:p>
    <w:p w14:paraId="65D6AE96">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技术方案</w:t>
      </w:r>
      <w:r>
        <w:rPr>
          <w:rFonts w:hint="eastAsia" w:ascii="宋体" w:hAnsi="宋体" w:cs="宋体"/>
          <w:color w:val="auto"/>
          <w:sz w:val="24"/>
          <w:highlight w:val="none"/>
        </w:rPr>
        <w:t>；</w:t>
      </w:r>
    </w:p>
    <w:p w14:paraId="2194B39A">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拟投入项目组成员；</w:t>
      </w:r>
    </w:p>
    <w:p w14:paraId="6FB87E86">
      <w:pP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（9）质量保障措施；</w:t>
      </w:r>
    </w:p>
    <w:p w14:paraId="758BE940">
      <w:pPr>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应急方案</w:t>
      </w:r>
      <w:r>
        <w:rPr>
          <w:rFonts w:hint="eastAsia" w:ascii="宋体" w:hAnsi="宋体" w:cs="宋体"/>
          <w:color w:val="auto"/>
          <w:sz w:val="24"/>
          <w:highlight w:val="none"/>
        </w:rPr>
        <w:t>；</w:t>
      </w:r>
    </w:p>
    <w:p w14:paraId="3FEE03FC">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进度计划</w:t>
      </w:r>
      <w:r>
        <w:rPr>
          <w:rFonts w:hint="eastAsia" w:ascii="宋体" w:hAnsi="宋体" w:cs="宋体"/>
          <w:color w:val="auto"/>
          <w:sz w:val="24"/>
          <w:highlight w:val="none"/>
        </w:rPr>
        <w:t xml:space="preserve">； </w:t>
      </w:r>
    </w:p>
    <w:p w14:paraId="653B743A">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后续咨询服务；</w:t>
      </w:r>
    </w:p>
    <w:p w14:paraId="41B18E07">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重点、难点技术分析及解决措施</w:t>
      </w:r>
      <w:r>
        <w:rPr>
          <w:rFonts w:hint="eastAsia" w:ascii="宋体" w:hAnsi="宋体" w:cs="宋体"/>
          <w:color w:val="auto"/>
          <w:sz w:val="24"/>
          <w:highlight w:val="none"/>
        </w:rPr>
        <w:t>；</w:t>
      </w:r>
    </w:p>
    <w:p w14:paraId="067AAE0F">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认证证书</w:t>
      </w:r>
      <w:r>
        <w:rPr>
          <w:rFonts w:hint="eastAsia" w:ascii="宋体" w:hAnsi="宋体" w:cs="宋体"/>
          <w:color w:val="auto"/>
          <w:sz w:val="24"/>
          <w:highlight w:val="none"/>
        </w:rPr>
        <w:t>；</w:t>
      </w:r>
    </w:p>
    <w:p w14:paraId="1E5D7503">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hAnsi="宋体" w:eastAsia="宋体" w:cs="宋体"/>
          <w:color w:val="auto"/>
          <w:sz w:val="24"/>
          <w:szCs w:val="24"/>
          <w:highlight w:val="none"/>
          <w:lang w:val="en-US" w:eastAsia="zh-CN"/>
        </w:rPr>
        <w:t>企业</w:t>
      </w:r>
      <w:r>
        <w:rPr>
          <w:rFonts w:hint="eastAsia" w:hAnsi="宋体" w:cs="宋体"/>
          <w:color w:val="auto"/>
          <w:sz w:val="24"/>
          <w:szCs w:val="24"/>
          <w:highlight w:val="none"/>
          <w:lang w:val="en-US" w:eastAsia="zh-CN"/>
        </w:rPr>
        <w:t>资质</w:t>
      </w:r>
      <w:r>
        <w:rPr>
          <w:rFonts w:hint="eastAsia" w:ascii="宋体" w:hAnsi="宋体" w:cs="宋体"/>
          <w:color w:val="auto"/>
          <w:sz w:val="24"/>
          <w:highlight w:val="none"/>
        </w:rPr>
        <w:t>；</w:t>
      </w:r>
    </w:p>
    <w:p w14:paraId="5E2889E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同类</w:t>
      </w:r>
      <w:r>
        <w:rPr>
          <w:rFonts w:hint="eastAsia" w:ascii="宋体" w:hAnsi="宋体" w:cs="宋体"/>
          <w:color w:val="auto"/>
          <w:sz w:val="24"/>
          <w:highlight w:val="none"/>
        </w:rPr>
        <w:t>业绩；</w:t>
      </w:r>
    </w:p>
    <w:p w14:paraId="47D17811">
      <w:pPr>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（17）合理化建议；</w:t>
      </w:r>
    </w:p>
    <w:p w14:paraId="335D8995">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18</w:t>
      </w:r>
      <w:r>
        <w:rPr>
          <w:rFonts w:hint="eastAsia" w:ascii="宋体" w:hAnsi="宋体" w:cs="宋体"/>
          <w:color w:val="auto"/>
          <w:sz w:val="24"/>
          <w:highlight w:val="none"/>
        </w:rPr>
        <w:t>）服务费承诺书（格式见附件）；</w:t>
      </w:r>
    </w:p>
    <w:p w14:paraId="5C4CB86B">
      <w:pPr>
        <w:numPr>
          <w:ilvl w:val="0"/>
          <w:numId w:val="0"/>
        </w:numPr>
        <w:spacing w:line="360" w:lineRule="auto"/>
        <w:rPr>
          <w:rFonts w:ascii="宋体" w:hAnsi="宋体" w:cs="宋体"/>
          <w:b/>
          <w:bCs/>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19</w:t>
      </w:r>
      <w:r>
        <w:rPr>
          <w:rFonts w:hint="eastAsia" w:ascii="宋体" w:hAnsi="宋体" w:cs="宋体"/>
          <w:color w:val="auto"/>
          <w:sz w:val="24"/>
          <w:highlight w:val="none"/>
        </w:rPr>
        <w:t>）投标人需要说明的其他文件和说明。</w:t>
      </w:r>
    </w:p>
    <w:p w14:paraId="2CA8EEA4">
      <w:pPr>
        <w:numPr>
          <w:ilvl w:val="0"/>
          <w:numId w:val="4"/>
        </w:numPr>
        <w:spacing w:line="360" w:lineRule="auto"/>
        <w:rPr>
          <w:rFonts w:ascii="宋体" w:hAnsi="宋体" w:cs="宋体"/>
          <w:b/>
          <w:bCs/>
          <w:color w:val="auto"/>
          <w:sz w:val="24"/>
          <w:highlight w:val="none"/>
        </w:rPr>
      </w:pPr>
      <w:r>
        <w:rPr>
          <w:rFonts w:hint="eastAsia" w:ascii="宋体" w:hAnsi="宋体" w:cs="宋体"/>
          <w:b/>
          <w:bCs/>
          <w:color w:val="auto"/>
          <w:sz w:val="24"/>
          <w:highlight w:val="none"/>
        </w:rPr>
        <w:t>报价文件</w:t>
      </w:r>
    </w:p>
    <w:p w14:paraId="4EF6FA4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（1）投标函（格式见附件）； </w:t>
      </w:r>
    </w:p>
    <w:p w14:paraId="6D5ED26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（2）开标一览表（格式见附件）； </w:t>
      </w:r>
    </w:p>
    <w:p w14:paraId="175CAC5E">
      <w:pPr>
        <w:spacing w:line="360" w:lineRule="auto"/>
        <w:rPr>
          <w:rFonts w:ascii="宋体" w:hAnsi="宋体" w:cs="宋体"/>
          <w:b/>
          <w:bCs/>
          <w:color w:val="auto"/>
          <w:sz w:val="24"/>
          <w:highlight w:val="none"/>
        </w:rPr>
      </w:pPr>
      <w:r>
        <w:rPr>
          <w:rFonts w:hint="eastAsia" w:ascii="宋体" w:hAnsi="宋体" w:cs="宋体"/>
          <w:color w:val="auto"/>
          <w:sz w:val="24"/>
          <w:highlight w:val="none"/>
        </w:rPr>
        <w:t>（3）投标人针对报价需要说明的其他文件和说明（格式自拟）。</w:t>
      </w:r>
    </w:p>
    <w:p w14:paraId="4F3DEDF3">
      <w:pPr>
        <w:spacing w:line="360" w:lineRule="auto"/>
        <w:rPr>
          <w:rFonts w:ascii="宋体" w:hAnsi="宋体" w:cs="宋体"/>
          <w:b/>
          <w:color w:val="auto"/>
          <w:sz w:val="24"/>
          <w:highlight w:val="none"/>
        </w:rPr>
      </w:pPr>
      <w:r>
        <w:rPr>
          <w:rFonts w:hint="eastAsia" w:ascii="宋体" w:hAnsi="宋体" w:cs="宋体"/>
          <w:b/>
          <w:color w:val="auto"/>
          <w:sz w:val="24"/>
          <w:highlight w:val="none"/>
        </w:rPr>
        <w:t>▲（二）投标文件的语言及计量</w:t>
      </w:r>
    </w:p>
    <w:p w14:paraId="267D99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1．投标文件以及投标方与招标方就有关投标事宜的所有来往函电，均应以中文汉语书写。除签名、盖章、专用名称等特殊情形外，以中文汉语以外的文字表述的投标文件视同未提供。</w:t>
      </w:r>
    </w:p>
    <w:p w14:paraId="2EE2C25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2.投标计量单位，应采用中华人民共和国法定计量单位（货币单位：人民币元），否则视同未响应。</w:t>
      </w:r>
    </w:p>
    <w:p w14:paraId="43A6200F">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▲（三）投标报价</w:t>
      </w:r>
    </w:p>
    <w:p w14:paraId="37875DB7">
      <w:pPr>
        <w:spacing w:line="360" w:lineRule="auto"/>
        <w:rPr>
          <w:rFonts w:ascii="宋体" w:hAnsi="宋体" w:cs="宋体"/>
          <w:color w:val="auto"/>
          <w:sz w:val="24"/>
          <w:highlight w:val="none"/>
        </w:rPr>
      </w:pPr>
      <w:r>
        <w:rPr>
          <w:rFonts w:hint="eastAsia" w:ascii="宋体" w:hAnsi="宋体" w:cs="宋体"/>
          <w:color w:val="auto"/>
          <w:sz w:val="24"/>
          <w:highlight w:val="none"/>
        </w:rPr>
        <w:t>1.投标报价应按招标文件中相关附表格式填写。</w:t>
      </w:r>
    </w:p>
    <w:p w14:paraId="5D35BF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投标单价报价是履行合同的最终价格，应包括资料收集费、市场调研费、人工费、资料费、成果验收费、交通费、专家咨询费、印制费、差旅费、管理费、后期服务费、利润等相关的一切费用和税金。投标人投标单价报价为投标人所能承受的整个项目的一次性最终最低报价，如有漏项，视同已包含在本项目投标</w:t>
      </w:r>
      <w:r>
        <w:rPr>
          <w:rFonts w:hint="eastAsia" w:ascii="宋体" w:hAnsi="宋体" w:cs="宋体"/>
          <w:color w:val="auto"/>
          <w:sz w:val="24"/>
          <w:highlight w:val="none"/>
          <w:lang w:val="en-US" w:eastAsia="zh-CN"/>
        </w:rPr>
        <w:t>单价</w:t>
      </w:r>
      <w:r>
        <w:rPr>
          <w:rFonts w:hint="eastAsia" w:ascii="宋体" w:hAnsi="宋体" w:cs="宋体"/>
          <w:color w:val="auto"/>
          <w:sz w:val="24"/>
          <w:highlight w:val="none"/>
        </w:rPr>
        <w:t>报价中，单价不做调整。</w:t>
      </w:r>
    </w:p>
    <w:p w14:paraId="45677FFA">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（四）投标文件的有效期</w:t>
      </w:r>
    </w:p>
    <w:p w14:paraId="5E1CDFD9">
      <w:pPr>
        <w:spacing w:line="360" w:lineRule="auto"/>
        <w:rPr>
          <w:rFonts w:ascii="宋体" w:hAnsi="宋体" w:cs="宋体"/>
          <w:color w:val="auto"/>
          <w:sz w:val="24"/>
          <w:highlight w:val="none"/>
        </w:rPr>
      </w:pPr>
      <w:bookmarkStart w:id="24" w:name="_Toc450548873"/>
      <w:bookmarkStart w:id="25" w:name="_Toc405368930"/>
      <w:r>
        <w:rPr>
          <w:rFonts w:hint="eastAsia" w:ascii="宋体" w:hAnsi="宋体" w:cs="宋体"/>
          <w:color w:val="auto"/>
          <w:sz w:val="24"/>
          <w:highlight w:val="none"/>
        </w:rPr>
        <w:t>▲1.自投标截止日起</w:t>
      </w:r>
      <w:r>
        <w:rPr>
          <w:rFonts w:hint="eastAsia" w:ascii="宋体" w:hAnsi="宋体" w:cs="宋体"/>
          <w:color w:val="auto"/>
          <w:sz w:val="24"/>
          <w:highlight w:val="none"/>
          <w:u w:val="single"/>
        </w:rPr>
        <w:t>60</w:t>
      </w:r>
      <w:r>
        <w:rPr>
          <w:rFonts w:hint="eastAsia" w:ascii="宋体" w:hAnsi="宋体" w:cs="宋体"/>
          <w:color w:val="auto"/>
          <w:sz w:val="24"/>
          <w:highlight w:val="none"/>
        </w:rPr>
        <w:t>天投标文件应保持有效。有效期不足的投标文件将被拒绝。</w:t>
      </w:r>
    </w:p>
    <w:p w14:paraId="5BD98B8B">
      <w:pPr>
        <w:spacing w:line="360" w:lineRule="auto"/>
        <w:rPr>
          <w:rFonts w:ascii="宋体" w:hAnsi="宋体" w:cs="宋体"/>
          <w:color w:val="auto"/>
          <w:sz w:val="24"/>
          <w:highlight w:val="none"/>
        </w:rPr>
      </w:pPr>
      <w:r>
        <w:rPr>
          <w:rFonts w:hint="eastAsia" w:ascii="宋体" w:hAnsi="宋体" w:cs="宋体"/>
          <w:color w:val="auto"/>
          <w:sz w:val="24"/>
          <w:highlight w:val="none"/>
        </w:rPr>
        <w:t>2.在特殊情况下，招标人可与投标人协商延长投标书的有效期，这种要求和答复均以书面形式进行。</w:t>
      </w:r>
    </w:p>
    <w:p w14:paraId="51C745DD">
      <w:pPr>
        <w:spacing w:line="360" w:lineRule="auto"/>
        <w:rPr>
          <w:rFonts w:ascii="宋体" w:hAnsi="宋体" w:cs="宋体"/>
          <w:color w:val="auto"/>
          <w:sz w:val="24"/>
          <w:highlight w:val="none"/>
        </w:rPr>
      </w:pPr>
      <w:bookmarkStart w:id="26" w:name="_Toc407182105"/>
      <w:r>
        <w:rPr>
          <w:rFonts w:hint="eastAsia" w:ascii="宋体" w:hAnsi="宋体" w:cs="宋体"/>
          <w:color w:val="auto"/>
          <w:sz w:val="24"/>
          <w:highlight w:val="none"/>
        </w:rPr>
        <w:t>3.投标人可拒绝接受延期要求，若同意延长有效期的投标人，则不能修改投标文件。</w:t>
      </w:r>
      <w:bookmarkEnd w:id="26"/>
      <w:r>
        <w:rPr>
          <w:rFonts w:hint="eastAsia" w:ascii="宋体" w:hAnsi="宋体" w:cs="宋体"/>
          <w:color w:val="auto"/>
          <w:sz w:val="24"/>
          <w:highlight w:val="none"/>
        </w:rPr>
        <w:t xml:space="preserve"> </w:t>
      </w:r>
    </w:p>
    <w:p w14:paraId="290EBE42">
      <w:pPr>
        <w:spacing w:line="360" w:lineRule="auto"/>
        <w:rPr>
          <w:rFonts w:ascii="宋体" w:hAnsi="宋体" w:cs="宋体"/>
          <w:color w:val="auto"/>
          <w:sz w:val="24"/>
          <w:highlight w:val="none"/>
        </w:rPr>
      </w:pPr>
      <w:r>
        <w:rPr>
          <w:rFonts w:hint="eastAsia" w:ascii="宋体" w:hAnsi="宋体" w:cs="宋体"/>
          <w:color w:val="auto"/>
          <w:sz w:val="24"/>
          <w:highlight w:val="none"/>
        </w:rPr>
        <w:t>4.中标人的投标文件自开标之日起至合同履行完毕止均应保持有效。</w:t>
      </w:r>
    </w:p>
    <w:bookmarkEnd w:id="24"/>
    <w:bookmarkEnd w:id="25"/>
    <w:p w14:paraId="4E3E131B">
      <w:pPr>
        <w:spacing w:line="360" w:lineRule="auto"/>
        <w:rPr>
          <w:rFonts w:hint="eastAsia" w:ascii="宋体" w:hAnsi="宋体" w:cs="宋体"/>
          <w:b/>
          <w:color w:val="auto"/>
          <w:sz w:val="24"/>
          <w:highlight w:val="none"/>
          <w:lang w:val="en-US" w:eastAsia="zh-CN"/>
        </w:rPr>
      </w:pPr>
      <w:r>
        <w:rPr>
          <w:rFonts w:hint="eastAsia" w:ascii="宋体" w:hAnsi="宋体" w:cs="宋体"/>
          <w:b/>
          <w:color w:val="auto"/>
          <w:sz w:val="24"/>
          <w:highlight w:val="none"/>
        </w:rPr>
        <w:t>（五）履约保证金：</w:t>
      </w:r>
      <w:r>
        <w:rPr>
          <w:rFonts w:hint="eastAsia" w:ascii="宋体" w:hAnsi="宋体" w:cs="宋体"/>
          <w:b/>
          <w:color w:val="auto"/>
          <w:sz w:val="24"/>
          <w:highlight w:val="none"/>
          <w:lang w:val="en-US" w:eastAsia="zh-CN"/>
        </w:rPr>
        <w:t>本项目不收取履约保证金</w:t>
      </w:r>
    </w:p>
    <w:p w14:paraId="4E6DC0C9">
      <w:pPr>
        <w:spacing w:line="360" w:lineRule="auto"/>
        <w:rPr>
          <w:rFonts w:ascii="宋体" w:hAnsi="宋体" w:cs="宋体"/>
          <w:b/>
          <w:color w:val="auto"/>
          <w:sz w:val="24"/>
          <w:highlight w:val="none"/>
        </w:rPr>
      </w:pPr>
      <w:r>
        <w:rPr>
          <w:rFonts w:hint="eastAsia" w:ascii="宋体" w:hAnsi="宋体" w:cs="宋体"/>
          <w:b/>
          <w:color w:val="auto"/>
          <w:sz w:val="24"/>
          <w:highlight w:val="none"/>
        </w:rPr>
        <w:t>▲（六）投标文件的签署</w:t>
      </w:r>
    </w:p>
    <w:p w14:paraId="16F43B25">
      <w:pPr>
        <w:numPr>
          <w:ilvl w:val="0"/>
          <w:numId w:val="5"/>
        </w:numPr>
        <w:spacing w:line="360" w:lineRule="auto"/>
        <w:rPr>
          <w:rFonts w:ascii="宋体" w:hAnsi="宋体" w:cs="宋体"/>
          <w:color w:val="auto"/>
          <w:sz w:val="24"/>
          <w:highlight w:val="none"/>
        </w:rPr>
      </w:pPr>
      <w:r>
        <w:rPr>
          <w:rFonts w:hint="eastAsia" w:ascii="宋体" w:hAnsi="宋体" w:cs="宋体"/>
          <w:color w:val="auto"/>
          <w:sz w:val="24"/>
          <w:highlight w:val="none"/>
        </w:rPr>
        <w:t>投标人应按本招标文件规定的格式和顺序编制投标文件并标注页码，因投标文件内容不完整、编排混乱、放弃关联点或关联点错误等原因导致投标文件被误读、漏读或者查找不到相关内容等风险由投标人自行承担。</w:t>
      </w:r>
    </w:p>
    <w:p w14:paraId="7061198F">
      <w:pPr>
        <w:spacing w:line="360" w:lineRule="auto"/>
        <w:rPr>
          <w:rFonts w:ascii="宋体" w:hAnsi="宋体" w:cs="宋体"/>
          <w:b/>
          <w:color w:val="auto"/>
          <w:sz w:val="24"/>
          <w:highlight w:val="none"/>
        </w:rPr>
      </w:pPr>
      <w:r>
        <w:rPr>
          <w:rFonts w:hint="eastAsia" w:ascii="宋体" w:hAnsi="宋体" w:cs="宋体"/>
          <w:b/>
          <w:color w:val="auto"/>
          <w:sz w:val="24"/>
          <w:highlight w:val="none"/>
        </w:rPr>
        <w:t>2. 投标文件需盖章签字的地方必须由投标人法定代表人或法定代表人的授权委托人签署并加盖单位公章，投标人应写全称。</w:t>
      </w:r>
    </w:p>
    <w:p w14:paraId="4733DD1C">
      <w:pPr>
        <w:spacing w:line="360" w:lineRule="auto"/>
        <w:rPr>
          <w:rFonts w:ascii="宋体" w:hAnsi="宋体" w:cs="宋体"/>
          <w:color w:val="auto"/>
          <w:sz w:val="24"/>
          <w:highlight w:val="none"/>
        </w:rPr>
      </w:pPr>
      <w:r>
        <w:rPr>
          <w:rFonts w:hint="eastAsia" w:ascii="宋体" w:hAnsi="宋体" w:cs="宋体"/>
          <w:color w:val="auto"/>
          <w:sz w:val="24"/>
          <w:highlight w:val="none"/>
        </w:rPr>
        <w:t>3.投标文件不得涂改，若有修改错漏处，须加盖单位公章和由法定代表人或授权委托人签字或盖章。投标文件因字迹潦草或表达不清所引起的后果由投标人负责。</w:t>
      </w:r>
    </w:p>
    <w:p w14:paraId="4F9A0DEF">
      <w:pPr>
        <w:spacing w:line="360" w:lineRule="auto"/>
        <w:rPr>
          <w:rFonts w:ascii="宋体" w:hAnsi="宋体" w:cs="宋体"/>
          <w:b/>
          <w:color w:val="auto"/>
          <w:sz w:val="24"/>
          <w:highlight w:val="none"/>
        </w:rPr>
      </w:pPr>
      <w:r>
        <w:rPr>
          <w:rFonts w:hint="eastAsia" w:ascii="宋体" w:hAnsi="宋体" w:cs="宋体"/>
          <w:b/>
          <w:color w:val="auto"/>
          <w:sz w:val="24"/>
          <w:highlight w:val="none"/>
        </w:rPr>
        <w:t>▲（七）投标文件的上传、递交、修改和撤回</w:t>
      </w:r>
    </w:p>
    <w:p w14:paraId="4F722BB9">
      <w:pPr>
        <w:spacing w:line="360" w:lineRule="auto"/>
        <w:ind w:firstLine="495"/>
        <w:rPr>
          <w:rFonts w:ascii="宋体" w:hAnsi="宋体" w:cs="宋体"/>
          <w:color w:val="auto"/>
          <w:sz w:val="24"/>
          <w:highlight w:val="none"/>
        </w:rPr>
      </w:pPr>
      <w:r>
        <w:rPr>
          <w:rFonts w:hint="eastAsia" w:ascii="宋体" w:hAnsi="宋体" w:cs="宋体"/>
          <w:color w:val="auto"/>
          <w:sz w:val="24"/>
          <w:highlight w:val="none"/>
        </w:rPr>
        <w:t>1. 投标人应当在投标截止时间前在“政采云”（电子交易平台）上自行上传加密的电子投标文件。</w:t>
      </w:r>
    </w:p>
    <w:p w14:paraId="7760DE8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2.未按规定上传的投标文件将被拒绝，由此造成投标文件解密失败或被误投的风险由投标人承担。</w:t>
      </w:r>
    </w:p>
    <w:p w14:paraId="1B21D9F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 投标人未在“政采云”（电子交易平台）上自行上传加密的电子投标文件，仅提交电子备份投标文件的，投标无效。</w:t>
      </w:r>
    </w:p>
    <w:p w14:paraId="398D08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 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上传的投标响应文件，将被政采云平台拒收。</w:t>
      </w:r>
    </w:p>
    <w:p w14:paraId="0DE055E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在投标截止时间之前，可以对已提交的电子备份投标文件进行修改或撤回，并书面通知招标采购单位；修改后重新递交的电子备份投标文件应当按本招标文件的要求签署、盖章。投标截止时间后，投标人不得撤回、修改电子备份投标文件。</w:t>
      </w:r>
    </w:p>
    <w:p w14:paraId="6583494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 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p w14:paraId="0C39610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 电子投标文件无法解密或解密失败时，投标人提供了电子备份投标文件的，以电子备份投标文件作为评审依据，否则视为投标文件撤回。投标文件已按时解密的，电子备份投标文件自动失效。</w:t>
      </w:r>
    </w:p>
    <w:p w14:paraId="2463FBFD">
      <w:pPr>
        <w:spacing w:line="360" w:lineRule="auto"/>
        <w:rPr>
          <w:rFonts w:ascii="宋体" w:hAnsi="宋体" w:cs="宋体"/>
          <w:b/>
          <w:color w:val="auto"/>
          <w:sz w:val="24"/>
          <w:highlight w:val="none"/>
        </w:rPr>
      </w:pPr>
      <w:r>
        <w:rPr>
          <w:rFonts w:hint="eastAsia" w:ascii="宋体" w:hAnsi="宋体" w:cs="宋体"/>
          <w:b/>
          <w:color w:val="auto"/>
          <w:sz w:val="24"/>
          <w:highlight w:val="none"/>
        </w:rPr>
        <w:t>（八）投标无效的情形</w:t>
      </w:r>
    </w:p>
    <w:p w14:paraId="1556C65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限期内不补正或经补正后仍不符合招标文件要求的，应认定其投标无效。投标人修改、补正投标文件后，不影响评标委员会对其投标文件所作的评价和评分结果。</w:t>
      </w:r>
    </w:p>
    <w:p w14:paraId="7DE89E95">
      <w:pPr>
        <w:spacing w:line="360" w:lineRule="auto"/>
        <w:rPr>
          <w:rFonts w:ascii="宋体" w:hAnsi="宋体" w:cs="宋体"/>
          <w:b/>
          <w:color w:val="auto"/>
          <w:sz w:val="24"/>
          <w:highlight w:val="none"/>
        </w:rPr>
      </w:pPr>
      <w:r>
        <w:rPr>
          <w:rFonts w:hint="eastAsia" w:ascii="宋体" w:hAnsi="宋体" w:cs="宋体"/>
          <w:b/>
          <w:color w:val="auto"/>
          <w:sz w:val="24"/>
          <w:highlight w:val="none"/>
        </w:rPr>
        <w:t>1.在符合性审查和商务评审时，如发现下列情形之一的，投标文件将被视为无效：</w:t>
      </w:r>
    </w:p>
    <w:p w14:paraId="572F764B">
      <w:pPr>
        <w:spacing w:line="360" w:lineRule="auto"/>
        <w:rPr>
          <w:rFonts w:ascii="宋体" w:hAnsi="宋体" w:cs="宋体"/>
          <w:color w:val="auto"/>
          <w:sz w:val="24"/>
          <w:highlight w:val="none"/>
        </w:rPr>
      </w:pPr>
      <w:r>
        <w:rPr>
          <w:rFonts w:hint="eastAsia" w:ascii="宋体" w:hAnsi="宋体" w:cs="宋体"/>
          <w:color w:val="auto"/>
          <w:sz w:val="24"/>
          <w:highlight w:val="none"/>
        </w:rPr>
        <w:t>（1）投标人仅提交电子备份投标文件的；</w:t>
      </w:r>
    </w:p>
    <w:p w14:paraId="1A3BCD2E">
      <w:pPr>
        <w:spacing w:line="360" w:lineRule="auto"/>
        <w:rPr>
          <w:rFonts w:ascii="宋体" w:hAnsi="宋体" w:cs="宋体"/>
          <w:color w:val="auto"/>
          <w:sz w:val="24"/>
          <w:highlight w:val="none"/>
        </w:rPr>
      </w:pPr>
      <w:r>
        <w:rPr>
          <w:rFonts w:hint="eastAsia" w:ascii="宋体" w:hAnsi="宋体" w:cs="宋体"/>
          <w:color w:val="auto"/>
          <w:sz w:val="24"/>
          <w:highlight w:val="none"/>
        </w:rPr>
        <w:t>（2）在开评标时出现电子投标文件无法解密或解密失败等情况，投标人未提供电子备份投标文件，无法对投标人继续进行评审的；</w:t>
      </w:r>
    </w:p>
    <w:p w14:paraId="6E389A32">
      <w:pPr>
        <w:spacing w:line="360" w:lineRule="auto"/>
        <w:rPr>
          <w:rFonts w:ascii="宋体" w:hAnsi="宋体" w:cs="宋体"/>
          <w:color w:val="auto"/>
          <w:sz w:val="24"/>
          <w:highlight w:val="none"/>
        </w:rPr>
      </w:pPr>
      <w:r>
        <w:rPr>
          <w:rFonts w:hint="eastAsia" w:ascii="宋体" w:hAnsi="宋体" w:cs="宋体"/>
          <w:color w:val="auto"/>
          <w:sz w:val="24"/>
          <w:highlight w:val="none"/>
        </w:rPr>
        <w:t>（3）投标人未在规定的时间内对电子询标函进行澄清回复、拒绝澄清回复或澄清回复的内容改变了投标文件的实质性内容的；</w:t>
      </w:r>
    </w:p>
    <w:p w14:paraId="554DB41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（4）网上下载的证明文件，不能通过真实性验证的（发现提供虚假资料的，按照提供虚假资料处理）； </w:t>
      </w:r>
    </w:p>
    <w:p w14:paraId="793DD1CA">
      <w:pPr>
        <w:spacing w:line="360" w:lineRule="auto"/>
        <w:rPr>
          <w:rFonts w:ascii="宋体" w:hAnsi="宋体" w:cs="宋体"/>
          <w:color w:val="auto"/>
          <w:sz w:val="24"/>
          <w:highlight w:val="none"/>
        </w:rPr>
      </w:pPr>
      <w:r>
        <w:rPr>
          <w:rFonts w:hint="eastAsia" w:ascii="宋体" w:hAnsi="宋体" w:cs="宋体"/>
          <w:color w:val="auto"/>
          <w:sz w:val="24"/>
          <w:highlight w:val="none"/>
        </w:rPr>
        <w:t>（5）资格证明文件不全的，或者不符合招标文件标明的资格要求的，及未提供招标文件中标有“ ▲”等特殊符号的证明文件的；</w:t>
      </w:r>
    </w:p>
    <w:p w14:paraId="722BB6B4">
      <w:pPr>
        <w:spacing w:line="450" w:lineRule="exact"/>
        <w:rPr>
          <w:rFonts w:ascii="宋体" w:hAnsi="宋体" w:cs="宋体"/>
          <w:color w:val="auto"/>
          <w:sz w:val="24"/>
          <w:highlight w:val="none"/>
        </w:rPr>
      </w:pPr>
      <w:r>
        <w:rPr>
          <w:rFonts w:hint="eastAsia" w:ascii="宋体" w:hAnsi="宋体" w:cs="宋体"/>
          <w:color w:val="auto"/>
          <w:sz w:val="24"/>
          <w:highlight w:val="none"/>
        </w:rPr>
        <w:t>（6）本项目投标截止之日前三年内，相关主体在“信用中国”网站、中国政府采购网有失信行为或被列入受惩黑名单。</w:t>
      </w:r>
    </w:p>
    <w:p w14:paraId="0EC7FC23">
      <w:pPr>
        <w:pStyle w:val="8"/>
        <w:rPr>
          <w:color w:val="auto"/>
          <w:highlight w:val="none"/>
        </w:rPr>
      </w:pPr>
    </w:p>
    <w:p w14:paraId="02F0A44B">
      <w:pPr>
        <w:spacing w:line="360" w:lineRule="auto"/>
        <w:rPr>
          <w:rFonts w:ascii="宋体" w:hAnsi="宋体" w:cs="宋体"/>
          <w:color w:val="auto"/>
          <w:sz w:val="24"/>
          <w:highlight w:val="none"/>
        </w:rPr>
      </w:pPr>
      <w:r>
        <w:rPr>
          <w:rFonts w:hint="eastAsia" w:ascii="宋体" w:hAnsi="宋体" w:cs="宋体"/>
          <w:color w:val="auto"/>
          <w:sz w:val="24"/>
          <w:highlight w:val="none"/>
        </w:rPr>
        <w:t>（7）投标文件无法定代表人签字,或未提供法定代表人授权委托书、投标声明书或者填写项目不齐全的；</w:t>
      </w:r>
    </w:p>
    <w:p w14:paraId="4931286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（8）投标代表人未能出具身份证明或与法定代表人授权委托人身份不符的； </w:t>
      </w:r>
    </w:p>
    <w:p w14:paraId="0D7034BD">
      <w:pPr>
        <w:spacing w:line="360" w:lineRule="auto"/>
        <w:rPr>
          <w:rFonts w:ascii="宋体" w:hAnsi="宋体" w:cs="宋体"/>
          <w:color w:val="auto"/>
          <w:sz w:val="24"/>
          <w:highlight w:val="none"/>
        </w:rPr>
      </w:pPr>
      <w:r>
        <w:rPr>
          <w:rFonts w:hint="eastAsia" w:ascii="宋体" w:hAnsi="宋体" w:cs="宋体"/>
          <w:color w:val="auto"/>
          <w:sz w:val="24"/>
          <w:highlight w:val="none"/>
        </w:rPr>
        <w:t>（9）投标文件格式未按招标文件附件规定的格式、未按招标文件规定的内容编制投标文件的或者内容虚假的、未按规定签字或盖章的；</w:t>
      </w:r>
    </w:p>
    <w:p w14:paraId="149E684A">
      <w:pPr>
        <w:spacing w:line="360" w:lineRule="auto"/>
        <w:rPr>
          <w:rFonts w:ascii="宋体" w:hAnsi="宋体" w:cs="宋体"/>
          <w:color w:val="auto"/>
          <w:sz w:val="24"/>
          <w:highlight w:val="none"/>
        </w:rPr>
      </w:pPr>
      <w:r>
        <w:rPr>
          <w:rFonts w:hint="eastAsia" w:ascii="宋体" w:hAnsi="宋体" w:cs="宋体"/>
          <w:color w:val="auto"/>
          <w:sz w:val="24"/>
          <w:highlight w:val="none"/>
        </w:rPr>
        <w:t>（10）投标文件的实质性内容未使用中文表述的或意思表述不明确、前后矛盾的或者使用计量单位不符合招标文件要求的（经评标委员会认定并允许其当场更正的笔误除外）；</w:t>
      </w:r>
    </w:p>
    <w:p w14:paraId="78FB2F89">
      <w:pPr>
        <w:spacing w:line="360" w:lineRule="auto"/>
        <w:rPr>
          <w:rFonts w:ascii="宋体" w:hAnsi="宋体" w:cs="宋体"/>
          <w:color w:val="auto"/>
          <w:sz w:val="24"/>
          <w:highlight w:val="none"/>
        </w:rPr>
      </w:pPr>
      <w:r>
        <w:rPr>
          <w:rFonts w:hint="eastAsia" w:ascii="宋体" w:hAnsi="宋体" w:cs="宋体"/>
          <w:color w:val="auto"/>
          <w:sz w:val="24"/>
          <w:highlight w:val="none"/>
        </w:rPr>
        <w:t>（11）投标有效期、服务期（交货期）、质保期、付款方式等商务条款不能满足招标文件要求的；</w:t>
      </w:r>
    </w:p>
    <w:p w14:paraId="7AFBD2F4">
      <w:pPr>
        <w:spacing w:line="360" w:lineRule="auto"/>
        <w:rPr>
          <w:rFonts w:ascii="宋体" w:hAnsi="宋体" w:cs="宋体"/>
          <w:color w:val="auto"/>
          <w:sz w:val="24"/>
          <w:highlight w:val="none"/>
        </w:rPr>
      </w:pPr>
      <w:r>
        <w:rPr>
          <w:rFonts w:hint="eastAsia" w:ascii="宋体" w:hAnsi="宋体" w:cs="宋体"/>
          <w:color w:val="auto"/>
          <w:sz w:val="24"/>
          <w:highlight w:val="none"/>
        </w:rPr>
        <w:t>（12）未实质性响应招标文件要求或者投标文件有招标方不能接受的附加条件的；</w:t>
      </w:r>
    </w:p>
    <w:p w14:paraId="3B8D01C6">
      <w:pPr>
        <w:spacing w:line="360" w:lineRule="auto"/>
        <w:rPr>
          <w:rFonts w:ascii="宋体" w:hAnsi="宋体" w:cs="宋体"/>
          <w:color w:val="auto"/>
          <w:sz w:val="24"/>
          <w:highlight w:val="none"/>
        </w:rPr>
      </w:pPr>
      <w:r>
        <w:rPr>
          <w:rFonts w:hint="eastAsia" w:ascii="宋体" w:hAnsi="宋体" w:cs="宋体"/>
          <w:color w:val="auto"/>
          <w:sz w:val="24"/>
          <w:highlight w:val="none"/>
        </w:rPr>
        <w:t>（13）招标文件规定的其它投标无效的情况；</w:t>
      </w:r>
    </w:p>
    <w:p w14:paraId="146347C3">
      <w:pPr>
        <w:tabs>
          <w:tab w:val="left" w:pos="401"/>
        </w:tabs>
        <w:spacing w:line="360" w:lineRule="auto"/>
        <w:rPr>
          <w:rFonts w:ascii="宋体" w:hAnsi="宋体" w:cs="宋体"/>
          <w:color w:val="auto"/>
          <w:sz w:val="24"/>
          <w:highlight w:val="none"/>
        </w:rPr>
      </w:pPr>
      <w:r>
        <w:rPr>
          <w:rFonts w:hint="eastAsia" w:ascii="宋体" w:hAnsi="宋体" w:cs="宋体"/>
          <w:color w:val="auto"/>
          <w:sz w:val="24"/>
          <w:highlight w:val="none"/>
        </w:rPr>
        <w:t>（14）法律、法规规定的其它投标无效情况。</w:t>
      </w:r>
    </w:p>
    <w:p w14:paraId="71768FDE">
      <w:pPr>
        <w:spacing w:line="360" w:lineRule="auto"/>
        <w:rPr>
          <w:rFonts w:ascii="宋体" w:hAnsi="宋体" w:cs="宋体"/>
          <w:b/>
          <w:color w:val="auto"/>
          <w:sz w:val="24"/>
          <w:highlight w:val="none"/>
        </w:rPr>
      </w:pPr>
      <w:r>
        <w:rPr>
          <w:rFonts w:hint="eastAsia" w:ascii="宋体" w:hAnsi="宋体" w:cs="宋体"/>
          <w:b/>
          <w:color w:val="auto"/>
          <w:sz w:val="24"/>
          <w:highlight w:val="none"/>
        </w:rPr>
        <w:t>2.在技术资信评审时，如发现下列情形之一的，投标文件将被视为无效：</w:t>
      </w:r>
    </w:p>
    <w:p w14:paraId="3C23412C">
      <w:pPr>
        <w:spacing w:line="360" w:lineRule="auto"/>
        <w:rPr>
          <w:rFonts w:ascii="宋体" w:hAnsi="宋体" w:cs="宋体"/>
          <w:b/>
          <w:color w:val="auto"/>
          <w:sz w:val="24"/>
          <w:highlight w:val="none"/>
        </w:rPr>
      </w:pPr>
      <w:r>
        <w:rPr>
          <w:rFonts w:hint="eastAsia" w:ascii="宋体" w:hAnsi="宋体" w:cs="宋体"/>
          <w:color w:val="auto"/>
          <w:sz w:val="24"/>
          <w:highlight w:val="none"/>
        </w:rPr>
        <w:t>（1）投标人未在规定的时间内对电子询标函进行澄清回复、拒绝澄清回复或澄清回复的内容改变了投标文件的实质性内容的；</w:t>
      </w:r>
    </w:p>
    <w:p w14:paraId="1E9B1DA3">
      <w:pPr>
        <w:spacing w:line="360" w:lineRule="auto"/>
        <w:rPr>
          <w:rFonts w:ascii="宋体" w:hAnsi="宋体" w:cs="宋体"/>
          <w:color w:val="auto"/>
          <w:sz w:val="24"/>
          <w:highlight w:val="none"/>
        </w:rPr>
      </w:pPr>
      <w:r>
        <w:rPr>
          <w:rFonts w:hint="eastAsia" w:ascii="宋体" w:hAnsi="宋体" w:cs="宋体"/>
          <w:color w:val="auto"/>
          <w:sz w:val="24"/>
          <w:highlight w:val="none"/>
        </w:rPr>
        <w:t>（2）投标文件标明的响应或偏离与事实不符的或虚假投标的；</w:t>
      </w:r>
    </w:p>
    <w:p w14:paraId="4A45E105">
      <w:pPr>
        <w:spacing w:line="360" w:lineRule="auto"/>
        <w:rPr>
          <w:rFonts w:ascii="宋体" w:hAnsi="宋体" w:cs="宋体"/>
          <w:color w:val="auto"/>
          <w:sz w:val="24"/>
          <w:highlight w:val="none"/>
        </w:rPr>
      </w:pPr>
      <w:r>
        <w:rPr>
          <w:rFonts w:hint="eastAsia" w:ascii="宋体" w:hAnsi="宋体" w:cs="宋体"/>
          <w:color w:val="auto"/>
          <w:sz w:val="24"/>
          <w:highlight w:val="none"/>
        </w:rPr>
        <w:t>（3）明显不符合招标文件质量标准的，或者与招标文件中标有“ ▲”等特殊符号的技术指标、主要功能项目发生实质性偏离的；</w:t>
      </w:r>
    </w:p>
    <w:p w14:paraId="041A48DD">
      <w:pPr>
        <w:spacing w:line="360" w:lineRule="auto"/>
        <w:rPr>
          <w:rFonts w:ascii="宋体" w:hAnsi="宋体" w:cs="宋体"/>
          <w:color w:val="auto"/>
          <w:sz w:val="24"/>
          <w:highlight w:val="none"/>
        </w:rPr>
      </w:pPr>
      <w:r>
        <w:rPr>
          <w:rFonts w:hint="eastAsia" w:ascii="宋体" w:hAnsi="宋体" w:cs="宋体"/>
          <w:color w:val="auto"/>
          <w:sz w:val="24"/>
          <w:highlight w:val="none"/>
        </w:rPr>
        <w:t>（4）招标文件中允许偏离的技术、性能指标或者辅助功能发生较大负偏离的，经评标委员会认定对项目实际使用造成影响的；</w:t>
      </w:r>
    </w:p>
    <w:p w14:paraId="622F9A23">
      <w:pPr>
        <w:spacing w:line="360" w:lineRule="auto"/>
        <w:rPr>
          <w:rFonts w:ascii="宋体" w:hAnsi="宋体" w:cs="宋体"/>
          <w:color w:val="auto"/>
          <w:sz w:val="24"/>
          <w:highlight w:val="none"/>
        </w:rPr>
      </w:pPr>
      <w:r>
        <w:rPr>
          <w:rFonts w:hint="eastAsia" w:ascii="宋体" w:hAnsi="宋体" w:cs="宋体"/>
          <w:color w:val="auto"/>
          <w:sz w:val="24"/>
          <w:highlight w:val="none"/>
        </w:rPr>
        <w:t>（5）投标技术方案不明确，存在一个或一个以上备选（替代）投标方案的；</w:t>
      </w:r>
    </w:p>
    <w:p w14:paraId="5F882CB8">
      <w:pPr>
        <w:spacing w:line="360" w:lineRule="auto"/>
        <w:rPr>
          <w:rFonts w:ascii="宋体" w:hAnsi="宋体" w:cs="宋体"/>
          <w:color w:val="auto"/>
          <w:sz w:val="24"/>
          <w:highlight w:val="none"/>
        </w:rPr>
      </w:pPr>
      <w:r>
        <w:rPr>
          <w:rFonts w:hint="eastAsia" w:ascii="宋体" w:hAnsi="宋体" w:cs="宋体"/>
          <w:color w:val="auto"/>
          <w:sz w:val="24"/>
          <w:highlight w:val="none"/>
        </w:rPr>
        <w:t>（6）与其他参加本次投标供应商的投标文件的文字表述内容相同连续20行以上或者差错相同2处以上的；</w:t>
      </w:r>
    </w:p>
    <w:p w14:paraId="6CA0FA4C">
      <w:pPr>
        <w:spacing w:line="360" w:lineRule="auto"/>
        <w:rPr>
          <w:rFonts w:ascii="宋体" w:hAnsi="宋体" w:cs="宋体"/>
          <w:color w:val="auto"/>
          <w:sz w:val="24"/>
          <w:highlight w:val="none"/>
        </w:rPr>
      </w:pPr>
      <w:r>
        <w:rPr>
          <w:rFonts w:hint="eastAsia" w:ascii="宋体" w:hAnsi="宋体" w:cs="宋体"/>
          <w:color w:val="auto"/>
          <w:sz w:val="24"/>
          <w:highlight w:val="none"/>
        </w:rPr>
        <w:t>（7）在资信及商务标、技术标内出现商务报价；</w:t>
      </w:r>
    </w:p>
    <w:p w14:paraId="4B3420DE">
      <w:pPr>
        <w:spacing w:line="360" w:lineRule="auto"/>
        <w:rPr>
          <w:rFonts w:ascii="宋体" w:hAnsi="宋体" w:cs="宋体"/>
          <w:color w:val="auto"/>
          <w:sz w:val="24"/>
          <w:highlight w:val="none"/>
        </w:rPr>
      </w:pPr>
      <w:r>
        <w:rPr>
          <w:rFonts w:hint="eastAsia" w:ascii="宋体" w:hAnsi="宋体" w:cs="宋体"/>
          <w:color w:val="auto"/>
          <w:sz w:val="24"/>
          <w:highlight w:val="none"/>
        </w:rPr>
        <w:t>（8）招标文件规定的其它投标无效的情况；</w:t>
      </w:r>
    </w:p>
    <w:p w14:paraId="6C522932">
      <w:pPr>
        <w:spacing w:line="360" w:lineRule="auto"/>
        <w:rPr>
          <w:rFonts w:ascii="宋体" w:hAnsi="宋体" w:cs="宋体"/>
          <w:color w:val="auto"/>
          <w:sz w:val="24"/>
          <w:highlight w:val="none"/>
        </w:rPr>
      </w:pPr>
      <w:r>
        <w:rPr>
          <w:rFonts w:hint="eastAsia" w:ascii="宋体" w:hAnsi="宋体" w:cs="宋体"/>
          <w:color w:val="auto"/>
          <w:sz w:val="24"/>
          <w:highlight w:val="none"/>
        </w:rPr>
        <w:t>（9）法律、法规规定的其它投标无效情况。</w:t>
      </w:r>
    </w:p>
    <w:p w14:paraId="65909403">
      <w:pPr>
        <w:spacing w:line="360" w:lineRule="auto"/>
        <w:rPr>
          <w:rFonts w:ascii="宋体" w:hAnsi="宋体" w:cs="宋体"/>
          <w:b/>
          <w:color w:val="auto"/>
          <w:sz w:val="24"/>
          <w:highlight w:val="none"/>
        </w:rPr>
      </w:pPr>
      <w:r>
        <w:rPr>
          <w:rFonts w:hint="eastAsia" w:ascii="宋体" w:hAnsi="宋体" w:cs="宋体"/>
          <w:b/>
          <w:color w:val="auto"/>
          <w:sz w:val="24"/>
          <w:highlight w:val="none"/>
        </w:rPr>
        <w:t>3.在报价评审时，如发现下列情形之一的，投标文件将被视为无效：</w:t>
      </w:r>
    </w:p>
    <w:p w14:paraId="36464CAB">
      <w:pPr>
        <w:spacing w:line="360" w:lineRule="auto"/>
        <w:rPr>
          <w:rFonts w:ascii="宋体" w:hAnsi="宋体" w:cs="宋体"/>
          <w:color w:val="auto"/>
          <w:sz w:val="24"/>
          <w:highlight w:val="none"/>
        </w:rPr>
      </w:pPr>
      <w:r>
        <w:rPr>
          <w:rFonts w:hint="eastAsia" w:ascii="宋体" w:hAnsi="宋体" w:cs="宋体"/>
          <w:color w:val="auto"/>
          <w:sz w:val="24"/>
          <w:highlight w:val="none"/>
        </w:rPr>
        <w:t>（1）投标人未在规定的时间内对电子询标函进行澄清回复、拒绝澄清回复或者澄清回复的内容改变了投标文件的实质性内容的；</w:t>
      </w:r>
    </w:p>
    <w:p w14:paraId="690DED09">
      <w:pPr>
        <w:spacing w:line="360" w:lineRule="auto"/>
        <w:rPr>
          <w:rFonts w:ascii="宋体" w:hAnsi="宋体" w:cs="宋体"/>
          <w:color w:val="auto"/>
          <w:sz w:val="24"/>
          <w:highlight w:val="none"/>
        </w:rPr>
      </w:pPr>
      <w:r>
        <w:rPr>
          <w:rFonts w:hint="eastAsia" w:ascii="宋体" w:hAnsi="宋体" w:cs="宋体"/>
          <w:color w:val="auto"/>
          <w:sz w:val="24"/>
          <w:highlight w:val="none"/>
        </w:rPr>
        <w:t>（2）未填写投标报价或未采用人民币报价或者未按照招标文件标明的币种报价的；</w:t>
      </w:r>
    </w:p>
    <w:p w14:paraId="7B875B1F">
      <w:pPr>
        <w:spacing w:line="360" w:lineRule="auto"/>
        <w:rPr>
          <w:rFonts w:ascii="宋体" w:hAnsi="宋体" w:cs="宋体"/>
          <w:color w:val="auto"/>
          <w:sz w:val="24"/>
          <w:highlight w:val="none"/>
        </w:rPr>
      </w:pPr>
      <w:r>
        <w:rPr>
          <w:rFonts w:hint="eastAsia" w:ascii="宋体" w:hAnsi="宋体" w:cs="宋体"/>
          <w:color w:val="auto"/>
          <w:sz w:val="24"/>
          <w:highlight w:val="none"/>
        </w:rPr>
        <w:t>（3）投标报价具有选择性的，或者开标价格与投标文件承诺的优惠（折扣）价格不一致的；</w:t>
      </w:r>
    </w:p>
    <w:p w14:paraId="055C2201">
      <w:pPr>
        <w:spacing w:line="360" w:lineRule="auto"/>
        <w:rPr>
          <w:rFonts w:ascii="宋体" w:hAnsi="宋体" w:cs="宋体"/>
          <w:color w:val="auto"/>
          <w:sz w:val="24"/>
          <w:highlight w:val="none"/>
        </w:rPr>
      </w:pPr>
      <w:r>
        <w:rPr>
          <w:rFonts w:hint="eastAsia" w:ascii="宋体" w:hAnsi="宋体" w:cs="宋体"/>
          <w:color w:val="auto"/>
          <w:sz w:val="24"/>
          <w:highlight w:val="none"/>
        </w:rPr>
        <w:t>（4）报价高于用户设定的最高限价或预算金额的；</w:t>
      </w:r>
    </w:p>
    <w:p w14:paraId="098602BA">
      <w:pPr>
        <w:spacing w:line="360" w:lineRule="auto"/>
        <w:rPr>
          <w:rFonts w:ascii="宋体" w:hAnsi="宋体" w:cs="宋体"/>
          <w:color w:val="auto"/>
          <w:sz w:val="24"/>
          <w:highlight w:val="none"/>
        </w:rPr>
      </w:pPr>
      <w:r>
        <w:rPr>
          <w:rFonts w:hint="eastAsia" w:ascii="宋体" w:hAnsi="宋体" w:cs="宋体"/>
          <w:color w:val="auto"/>
          <w:sz w:val="24"/>
          <w:highlight w:val="none"/>
        </w:rPr>
        <w:t>（5）招标文件规定的其它投标无效的情况；</w:t>
      </w:r>
    </w:p>
    <w:p w14:paraId="2166A400">
      <w:pPr>
        <w:spacing w:line="360" w:lineRule="auto"/>
        <w:rPr>
          <w:rFonts w:ascii="宋体" w:hAnsi="宋体" w:cs="宋体"/>
          <w:color w:val="auto"/>
          <w:sz w:val="24"/>
          <w:highlight w:val="none"/>
        </w:rPr>
      </w:pPr>
      <w:r>
        <w:rPr>
          <w:rFonts w:hint="eastAsia" w:ascii="宋体" w:hAnsi="宋体" w:cs="宋体"/>
          <w:color w:val="auto"/>
          <w:sz w:val="24"/>
          <w:highlight w:val="none"/>
        </w:rPr>
        <w:t>（6）法律、法规规定的其它投标无效情况。</w:t>
      </w:r>
    </w:p>
    <w:p w14:paraId="14C84DAF">
      <w:pPr>
        <w:spacing w:line="360" w:lineRule="auto"/>
        <w:rPr>
          <w:rFonts w:ascii="宋体" w:hAnsi="宋体" w:cs="宋体"/>
          <w:b/>
          <w:color w:val="auto"/>
          <w:sz w:val="24"/>
          <w:highlight w:val="none"/>
        </w:rPr>
      </w:pPr>
      <w:r>
        <w:rPr>
          <w:rFonts w:hint="eastAsia" w:ascii="宋体" w:hAnsi="宋体" w:cs="宋体"/>
          <w:b/>
          <w:color w:val="auto"/>
          <w:sz w:val="24"/>
          <w:highlight w:val="none"/>
        </w:rPr>
        <w:t>4.被拒绝的投标文件为无效。</w:t>
      </w:r>
    </w:p>
    <w:p w14:paraId="460A508C">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5.根据有关法律、法规规定为无效、废标的，按法律、法规规定执行。</w:t>
      </w:r>
    </w:p>
    <w:p w14:paraId="5991DB02">
      <w:pP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6.</w:t>
      </w:r>
      <w:r>
        <w:rPr>
          <w:rFonts w:hint="eastAsia" w:ascii="宋体" w:hAnsi="宋体" w:cs="宋体"/>
          <w:b/>
          <w:bCs/>
          <w:color w:val="auto"/>
          <w:sz w:val="24"/>
          <w:highlight w:val="none"/>
        </w:rPr>
        <w:t>除政府采购法律法规规定的恶意串通、视同串通投标情形外，在不影响公平竞争的前提下，采购人、采购代理机构应在采购文件中明确规定参与同一个标段(包)的供应商存在下列情形之一的，其投标(响应)文件无效：</w:t>
      </w:r>
    </w:p>
    <w:p w14:paraId="4D59FA65">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)不同供应商制作电子投标(响应)文件的计算机网卡MAC地址相同的；</w:t>
      </w:r>
    </w:p>
    <w:p w14:paraId="24E8AE5F">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)不同供应商制作电子投标(响应)文件的计算机硬盘序列号相同的；</w:t>
      </w:r>
    </w:p>
    <w:p w14:paraId="33EA1F6E">
      <w:pPr>
        <w:pStyle w:val="29"/>
        <w:ind w:left="0" w:leftChars="0" w:firstLine="0" w:firstLineChars="0"/>
        <w:rPr>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)不同供应商的投标(响应)文件的内容存在两处以上细节错误一致，且无法合理解释的。</w:t>
      </w:r>
    </w:p>
    <w:p w14:paraId="3FD07BDC">
      <w:pPr>
        <w:pStyle w:val="6"/>
        <w:keepNext w:val="0"/>
        <w:keepLines w:val="0"/>
        <w:pageBreakBefore/>
        <w:spacing w:line="360" w:lineRule="auto"/>
        <w:jc w:val="center"/>
        <w:rPr>
          <w:rFonts w:ascii="宋体" w:hAnsi="宋体" w:eastAsia="宋体" w:cs="宋体"/>
          <w:color w:val="auto"/>
          <w:sz w:val="24"/>
          <w:szCs w:val="24"/>
          <w:highlight w:val="none"/>
        </w:rPr>
      </w:pPr>
      <w:bookmarkStart w:id="27" w:name="_Toc458697270"/>
      <w:bookmarkStart w:id="28" w:name="_Toc23926"/>
      <w:r>
        <w:rPr>
          <w:rFonts w:hint="eastAsia" w:ascii="宋体" w:hAnsi="宋体" w:eastAsia="宋体" w:cs="宋体"/>
          <w:color w:val="auto"/>
          <w:sz w:val="24"/>
          <w:szCs w:val="24"/>
          <w:highlight w:val="none"/>
        </w:rPr>
        <w:t>四、开标</w:t>
      </w:r>
      <w:bookmarkEnd w:id="27"/>
      <w:bookmarkEnd w:id="28"/>
    </w:p>
    <w:p w14:paraId="27D5C62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（一）开标准备   </w:t>
      </w:r>
    </w:p>
    <w:p w14:paraId="621BECB8">
      <w:pPr>
        <w:spacing w:line="360" w:lineRule="auto"/>
        <w:ind w:firstLine="720" w:firstLineChars="300"/>
        <w:rPr>
          <w:rFonts w:ascii="宋体" w:hAnsi="宋体" w:cs="宋体"/>
          <w:bCs/>
          <w:color w:val="auto"/>
          <w:sz w:val="24"/>
          <w:highlight w:val="none"/>
        </w:rPr>
      </w:pPr>
      <w:r>
        <w:rPr>
          <w:rFonts w:hint="eastAsia" w:ascii="宋体" w:hAnsi="宋体" w:cs="宋体"/>
          <w:bCs/>
          <w:color w:val="auto"/>
          <w:sz w:val="24"/>
          <w:highlight w:val="none"/>
        </w:rPr>
        <w:t>采购代理机构将在规定的时间和地点进行电子开标，投标人的法定代表人或其委托代理人【委托代理人应当是投标人的在职正式职工（以投标人本单位缴纳社保花名册为准）】应做好投标准备，准时在线参加电子开标会议，随时关注开标进度。</w:t>
      </w:r>
    </w:p>
    <w:p w14:paraId="64C8707F">
      <w:pPr>
        <w:spacing w:line="360" w:lineRule="auto"/>
        <w:rPr>
          <w:rFonts w:ascii="宋体" w:hAnsi="宋体" w:cs="宋体"/>
          <w:b/>
          <w:color w:val="auto"/>
          <w:sz w:val="24"/>
          <w:highlight w:val="none"/>
        </w:rPr>
      </w:pPr>
      <w:r>
        <w:rPr>
          <w:rFonts w:hint="eastAsia" w:ascii="宋体" w:hAnsi="宋体" w:cs="宋体"/>
          <w:b/>
          <w:color w:val="auto"/>
          <w:sz w:val="24"/>
          <w:highlight w:val="none"/>
        </w:rPr>
        <w:t>（二）电子招投标开标程序</w:t>
      </w:r>
    </w:p>
    <w:p w14:paraId="17E2A1CD">
      <w:pPr>
        <w:spacing w:line="360" w:lineRule="auto"/>
        <w:rPr>
          <w:rFonts w:ascii="宋体" w:hAnsi="宋体" w:cs="宋体"/>
          <w:bCs/>
          <w:color w:val="auto"/>
          <w:sz w:val="24"/>
          <w:highlight w:val="none"/>
        </w:rPr>
      </w:pPr>
      <w:r>
        <w:rPr>
          <w:rFonts w:hint="eastAsia" w:ascii="宋体" w:hAnsi="宋体" w:cs="宋体"/>
          <w:bCs/>
          <w:color w:val="auto"/>
          <w:sz w:val="24"/>
          <w:highlight w:val="none"/>
        </w:rPr>
        <w:t>1.开标会由招标代理机构主持，主持人宣布开标会议开始；</w:t>
      </w:r>
    </w:p>
    <w:p w14:paraId="04692A1F">
      <w:pPr>
        <w:spacing w:line="360" w:lineRule="auto"/>
        <w:rPr>
          <w:rFonts w:ascii="宋体" w:hAnsi="宋体" w:cs="宋体"/>
          <w:bCs/>
          <w:color w:val="auto"/>
          <w:sz w:val="24"/>
          <w:highlight w:val="none"/>
        </w:rPr>
      </w:pPr>
      <w:r>
        <w:rPr>
          <w:rFonts w:hint="eastAsia" w:ascii="宋体" w:hAnsi="宋体" w:cs="宋体"/>
          <w:bCs/>
          <w:color w:val="auto"/>
          <w:sz w:val="24"/>
          <w:highlight w:val="none"/>
        </w:rPr>
        <w:t>2.主持人宣布评标室会议纪律及评标期间的有关事项；告知应当回避的情形,提请有关人员回避；</w:t>
      </w:r>
    </w:p>
    <w:p w14:paraId="640B2F2C">
      <w:pPr>
        <w:spacing w:line="360" w:lineRule="auto"/>
        <w:rPr>
          <w:rFonts w:ascii="宋体" w:hAnsi="宋体" w:cs="宋体"/>
          <w:color w:val="auto"/>
          <w:sz w:val="24"/>
          <w:highlight w:val="none"/>
        </w:rPr>
      </w:pPr>
      <w:r>
        <w:rPr>
          <w:rFonts w:hint="eastAsia" w:ascii="宋体" w:hAnsi="宋体" w:cs="宋体"/>
          <w:color w:val="auto"/>
          <w:sz w:val="24"/>
          <w:highlight w:val="none"/>
        </w:rPr>
        <w:t>3.开标及评审程序</w:t>
      </w:r>
    </w:p>
    <w:p w14:paraId="40B798B3">
      <w:pPr>
        <w:spacing w:line="360" w:lineRule="auto"/>
        <w:rPr>
          <w:rFonts w:ascii="宋体" w:hAnsi="宋体" w:cs="宋体"/>
          <w:color w:val="auto"/>
          <w:sz w:val="24"/>
          <w:highlight w:val="none"/>
        </w:rPr>
      </w:pPr>
      <w:r>
        <w:rPr>
          <w:rFonts w:hint="eastAsia" w:ascii="宋体" w:hAnsi="宋体" w:cs="宋体"/>
          <w:color w:val="auto"/>
          <w:sz w:val="24"/>
          <w:highlight w:val="none"/>
        </w:rPr>
        <w:t>3.1在开标时间截止后30分钟内由各投标人自行对投标文件进行解密；</w:t>
      </w:r>
    </w:p>
    <w:p w14:paraId="14BCF5E9">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3.2由采购人进行资格审查，通过资格审查的投标人进入商务技术响应文件进行评审；</w:t>
      </w:r>
    </w:p>
    <w:p w14:paraId="58B7161B">
      <w:pPr>
        <w:spacing w:line="360" w:lineRule="auto"/>
        <w:rPr>
          <w:rFonts w:ascii="宋体" w:hAnsi="宋体" w:cs="宋体"/>
          <w:color w:val="auto"/>
          <w:sz w:val="24"/>
          <w:highlight w:val="none"/>
        </w:rPr>
      </w:pPr>
      <w:r>
        <w:rPr>
          <w:rFonts w:hint="eastAsia" w:ascii="宋体" w:hAnsi="宋体" w:cs="宋体"/>
          <w:color w:val="auto"/>
          <w:sz w:val="24"/>
          <w:highlight w:val="none"/>
        </w:rPr>
        <w:t>3.3系统对各投标人的商务技术进行汇总并公布商务技术得分；</w:t>
      </w:r>
    </w:p>
    <w:p w14:paraId="28AF4ACC">
      <w:pPr>
        <w:spacing w:line="360" w:lineRule="auto"/>
        <w:rPr>
          <w:rFonts w:ascii="宋体" w:hAnsi="宋体" w:cs="宋体"/>
          <w:color w:val="auto"/>
          <w:sz w:val="24"/>
          <w:highlight w:val="none"/>
        </w:rPr>
      </w:pPr>
      <w:r>
        <w:rPr>
          <w:rFonts w:hint="eastAsia" w:ascii="宋体" w:hAnsi="宋体" w:cs="宋体"/>
          <w:color w:val="auto"/>
          <w:sz w:val="24"/>
          <w:highlight w:val="none"/>
        </w:rPr>
        <w:t>3.4在系统上公开报价开标情况；</w:t>
      </w:r>
    </w:p>
    <w:p w14:paraId="5DA6B28A">
      <w:pPr>
        <w:spacing w:line="360" w:lineRule="auto"/>
        <w:rPr>
          <w:rFonts w:ascii="宋体" w:hAnsi="宋体" w:cs="宋体"/>
          <w:color w:val="auto"/>
          <w:sz w:val="24"/>
          <w:highlight w:val="none"/>
        </w:rPr>
      </w:pPr>
      <w:r>
        <w:rPr>
          <w:rFonts w:hint="eastAsia" w:ascii="宋体" w:hAnsi="宋体" w:cs="宋体"/>
          <w:color w:val="auto"/>
          <w:sz w:val="24"/>
          <w:highlight w:val="none"/>
        </w:rPr>
        <w:t>3.5评标委员会对报价情况进行评审；</w:t>
      </w:r>
    </w:p>
    <w:p w14:paraId="1C02926A">
      <w:pPr>
        <w:spacing w:line="360" w:lineRule="auto"/>
        <w:rPr>
          <w:rFonts w:ascii="宋体" w:hAnsi="宋体" w:cs="宋体"/>
          <w:color w:val="auto"/>
          <w:sz w:val="24"/>
          <w:highlight w:val="none"/>
        </w:rPr>
      </w:pPr>
      <w:r>
        <w:rPr>
          <w:rFonts w:hint="eastAsia" w:ascii="宋体" w:hAnsi="宋体" w:cs="宋体"/>
          <w:color w:val="auto"/>
          <w:sz w:val="24"/>
          <w:highlight w:val="none"/>
        </w:rPr>
        <w:t>3.6在系统上公布评审结果。</w:t>
      </w:r>
    </w:p>
    <w:p w14:paraId="7D2A5C80">
      <w:pPr>
        <w:spacing w:line="360" w:lineRule="auto"/>
        <w:rPr>
          <w:rFonts w:ascii="宋体" w:hAnsi="宋体" w:cs="宋体"/>
          <w:b/>
          <w:color w:val="auto"/>
          <w:sz w:val="24"/>
          <w:highlight w:val="none"/>
        </w:rPr>
      </w:pPr>
      <w:r>
        <w:rPr>
          <w:rFonts w:hint="eastAsia" w:ascii="宋体" w:hAnsi="宋体" w:cs="宋体"/>
          <w:b/>
          <w:color w:val="auto"/>
          <w:sz w:val="24"/>
          <w:highlight w:val="none"/>
        </w:rPr>
        <w:t>特别说明：政采云公司如对电子化开标及评审程序有调整的，按调整后的程序操作。</w:t>
      </w:r>
    </w:p>
    <w:p w14:paraId="5C4BB531">
      <w:pPr>
        <w:spacing w:line="360" w:lineRule="auto"/>
        <w:rPr>
          <w:rFonts w:ascii="宋体" w:hAnsi="宋体" w:cs="宋体"/>
          <w:color w:val="auto"/>
          <w:sz w:val="24"/>
          <w:highlight w:val="none"/>
        </w:rPr>
      </w:pPr>
      <w:r>
        <w:rPr>
          <w:rFonts w:hint="eastAsia" w:ascii="宋体" w:hAnsi="宋体" w:cs="宋体"/>
          <w:color w:val="auto"/>
          <w:sz w:val="24"/>
          <w:highlight w:val="none"/>
        </w:rPr>
        <w:t>4、本项目采用政采云电子招投标开标及评审程序，开评标时出现电子投标文件无法解密或解密失败等情况时，采购代理机构可上传投标人的电子备份投标文件继续评审。</w:t>
      </w:r>
    </w:p>
    <w:p w14:paraId="36AE8C43">
      <w:pPr>
        <w:pStyle w:val="6"/>
        <w:keepNext w:val="0"/>
        <w:keepLines w:val="0"/>
        <w:pageBreakBefore/>
        <w:spacing w:line="360" w:lineRule="auto"/>
        <w:jc w:val="center"/>
        <w:rPr>
          <w:rFonts w:ascii="宋体" w:hAnsi="宋体" w:eastAsia="宋体" w:cs="宋体"/>
          <w:color w:val="auto"/>
          <w:sz w:val="24"/>
          <w:szCs w:val="24"/>
          <w:highlight w:val="none"/>
        </w:rPr>
      </w:pPr>
      <w:bookmarkStart w:id="29" w:name="_Toc8732"/>
      <w:bookmarkStart w:id="30" w:name="_Toc458697271"/>
      <w:bookmarkStart w:id="31" w:name="_Toc7166"/>
      <w:r>
        <w:rPr>
          <w:rFonts w:hint="eastAsia" w:ascii="宋体" w:hAnsi="宋体" w:eastAsia="宋体" w:cs="宋体"/>
          <w:color w:val="auto"/>
          <w:sz w:val="24"/>
          <w:szCs w:val="24"/>
          <w:highlight w:val="none"/>
        </w:rPr>
        <w:t>五、评标</w:t>
      </w:r>
      <w:bookmarkEnd w:id="29"/>
      <w:bookmarkEnd w:id="30"/>
      <w:bookmarkEnd w:id="31"/>
    </w:p>
    <w:p w14:paraId="06D4DE15">
      <w:pPr>
        <w:spacing w:line="360" w:lineRule="auto"/>
        <w:rPr>
          <w:rFonts w:ascii="宋体" w:hAnsi="宋体" w:cs="宋体"/>
          <w:b/>
          <w:color w:val="auto"/>
          <w:sz w:val="24"/>
          <w:highlight w:val="none"/>
        </w:rPr>
      </w:pPr>
      <w:r>
        <w:rPr>
          <w:rFonts w:hint="eastAsia" w:ascii="宋体" w:hAnsi="宋体" w:cs="宋体"/>
          <w:b/>
          <w:color w:val="auto"/>
          <w:sz w:val="24"/>
          <w:highlight w:val="none"/>
        </w:rPr>
        <w:t>（一）组建评标委员会</w:t>
      </w:r>
    </w:p>
    <w:p w14:paraId="6BD47D0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cs="宋体"/>
          <w:color w:val="auto"/>
          <w:sz w:val="24"/>
          <w:highlight w:val="none"/>
        </w:rPr>
      </w:pPr>
      <w:r>
        <w:rPr>
          <w:rFonts w:hint="eastAsia" w:ascii="宋体" w:hAnsi="宋体" w:cs="宋体"/>
          <w:color w:val="auto"/>
          <w:sz w:val="24"/>
          <w:highlight w:val="none"/>
        </w:rPr>
        <w:t>本项目评标委员会由政府采购评审专家</w:t>
      </w:r>
      <w:r>
        <w:rPr>
          <w:rFonts w:hint="eastAsia" w:ascii="宋体" w:hAnsi="宋体" w:cs="宋体"/>
          <w:color w:val="auto"/>
          <w:sz w:val="24"/>
          <w:highlight w:val="none"/>
          <w:u w:val="single"/>
        </w:rPr>
        <w:t>4</w:t>
      </w:r>
      <w:r>
        <w:rPr>
          <w:rFonts w:hint="eastAsia" w:ascii="宋体" w:hAnsi="宋体" w:cs="宋体"/>
          <w:color w:val="auto"/>
          <w:sz w:val="24"/>
          <w:highlight w:val="none"/>
        </w:rPr>
        <w:t>人和采购人代表</w:t>
      </w:r>
      <w:r>
        <w:rPr>
          <w:rFonts w:hint="eastAsia" w:ascii="宋体" w:hAnsi="宋体" w:cs="宋体"/>
          <w:color w:val="auto"/>
          <w:sz w:val="24"/>
          <w:highlight w:val="none"/>
          <w:u w:val="single"/>
        </w:rPr>
        <w:t>1</w:t>
      </w:r>
      <w:r>
        <w:rPr>
          <w:rFonts w:hint="eastAsia" w:ascii="宋体" w:hAnsi="宋体" w:cs="宋体"/>
          <w:color w:val="auto"/>
          <w:sz w:val="24"/>
          <w:highlight w:val="none"/>
        </w:rPr>
        <w:t>人,共</w:t>
      </w:r>
      <w:r>
        <w:rPr>
          <w:rFonts w:hint="eastAsia" w:ascii="宋体" w:hAnsi="宋体" w:cs="宋体"/>
          <w:color w:val="auto"/>
          <w:sz w:val="24"/>
          <w:highlight w:val="none"/>
          <w:u w:val="single"/>
        </w:rPr>
        <w:t>5</w:t>
      </w:r>
      <w:r>
        <w:rPr>
          <w:rFonts w:hint="eastAsia" w:ascii="宋体" w:hAnsi="宋体" w:cs="宋体"/>
          <w:color w:val="auto"/>
          <w:sz w:val="24"/>
          <w:highlight w:val="none"/>
        </w:rPr>
        <w:t>人组成</w:t>
      </w:r>
      <w:r>
        <w:rPr>
          <w:rFonts w:hint="eastAsia" w:ascii="宋体" w:hAnsi="宋体" w:cs="宋体"/>
          <w:color w:val="auto"/>
          <w:sz w:val="24"/>
          <w:highlight w:val="none"/>
          <w:lang w:eastAsia="zh-CN"/>
        </w:rPr>
        <w:t>，</w:t>
      </w:r>
      <w:r>
        <w:rPr>
          <w:rFonts w:hint="default" w:ascii="宋体" w:hAnsi="宋体" w:cs="宋体"/>
          <w:color w:val="auto"/>
          <w:sz w:val="24"/>
          <w:highlight w:val="none"/>
        </w:rPr>
        <w:t>评审专家</w:t>
      </w:r>
      <w:r>
        <w:rPr>
          <w:rFonts w:hint="eastAsia" w:ascii="宋体" w:hAnsi="宋体" w:cs="宋体"/>
          <w:color w:val="auto"/>
          <w:sz w:val="24"/>
          <w:highlight w:val="none"/>
        </w:rPr>
        <w:t>从评标专家库中抽取。</w:t>
      </w:r>
    </w:p>
    <w:p w14:paraId="57EF7709">
      <w:pPr>
        <w:spacing w:line="360" w:lineRule="auto"/>
        <w:rPr>
          <w:rFonts w:ascii="宋体" w:hAnsi="宋体" w:cs="宋体"/>
          <w:b/>
          <w:color w:val="auto"/>
          <w:sz w:val="24"/>
          <w:highlight w:val="none"/>
        </w:rPr>
      </w:pPr>
      <w:r>
        <w:rPr>
          <w:rFonts w:hint="eastAsia" w:ascii="宋体" w:hAnsi="宋体" w:cs="宋体"/>
          <w:b/>
          <w:color w:val="auto"/>
          <w:sz w:val="24"/>
          <w:highlight w:val="none"/>
        </w:rPr>
        <w:t>（二）评标的方式</w:t>
      </w:r>
    </w:p>
    <w:p w14:paraId="72CEB2E8">
      <w:pPr>
        <w:spacing w:line="360" w:lineRule="auto"/>
        <w:rPr>
          <w:rFonts w:ascii="宋体" w:hAnsi="宋体" w:cs="宋体"/>
          <w:color w:val="auto"/>
          <w:sz w:val="24"/>
          <w:highlight w:val="none"/>
        </w:rPr>
      </w:pPr>
      <w:r>
        <w:rPr>
          <w:rFonts w:hint="eastAsia" w:ascii="宋体" w:hAnsi="宋体" w:cs="宋体"/>
          <w:color w:val="auto"/>
          <w:sz w:val="24"/>
          <w:highlight w:val="none"/>
        </w:rPr>
        <w:t>本项目采用不公开方式评标，评标的依据为招标文件和投标文件。</w:t>
      </w:r>
      <w:bookmarkStart w:id="120" w:name="_GoBack"/>
      <w:bookmarkEnd w:id="120"/>
    </w:p>
    <w:p w14:paraId="6F1E9A95">
      <w:pPr>
        <w:spacing w:line="360" w:lineRule="auto"/>
        <w:rPr>
          <w:rFonts w:ascii="宋体" w:hAnsi="宋体" w:cs="宋体"/>
          <w:b/>
          <w:color w:val="auto"/>
          <w:sz w:val="24"/>
          <w:highlight w:val="none"/>
        </w:rPr>
      </w:pPr>
      <w:r>
        <w:rPr>
          <w:rFonts w:hint="eastAsia" w:ascii="宋体" w:hAnsi="宋体" w:cs="宋体"/>
          <w:b/>
          <w:color w:val="auto"/>
          <w:sz w:val="24"/>
          <w:highlight w:val="none"/>
        </w:rPr>
        <w:t>（三）评标程序</w:t>
      </w:r>
    </w:p>
    <w:p w14:paraId="52A381F0">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1.形式审查</w:t>
      </w:r>
    </w:p>
    <w:p w14:paraId="2F32F8A5">
      <w:pPr>
        <w:spacing w:line="360" w:lineRule="auto"/>
        <w:rPr>
          <w:rFonts w:ascii="宋体" w:hAnsi="宋体" w:cs="宋体"/>
          <w:b/>
          <w:color w:val="auto"/>
          <w:sz w:val="24"/>
          <w:highlight w:val="none"/>
        </w:rPr>
      </w:pPr>
      <w:r>
        <w:rPr>
          <w:rFonts w:hint="eastAsia" w:ascii="宋体" w:hAnsi="宋体" w:cs="宋体"/>
          <w:color w:val="auto"/>
          <w:sz w:val="24"/>
          <w:highlight w:val="none"/>
        </w:rPr>
        <w:t>招标方工作人员协助评标委员会对投标人的商务技术文件、报价投标文件的完整性、合法性等进行审查。</w:t>
      </w:r>
    </w:p>
    <w:p w14:paraId="11F14117">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2.实质审查与比较</w:t>
      </w:r>
    </w:p>
    <w:p w14:paraId="57242373">
      <w:pPr>
        <w:spacing w:line="360" w:lineRule="auto"/>
        <w:rPr>
          <w:rFonts w:ascii="宋体" w:hAnsi="宋体" w:cs="宋体"/>
          <w:color w:val="auto"/>
          <w:sz w:val="24"/>
          <w:highlight w:val="none"/>
        </w:rPr>
      </w:pPr>
      <w:r>
        <w:rPr>
          <w:rFonts w:hint="eastAsia" w:ascii="宋体" w:hAnsi="宋体" w:cs="宋体"/>
          <w:color w:val="auto"/>
          <w:sz w:val="24"/>
          <w:highlight w:val="none"/>
        </w:rPr>
        <w:t>（1）评标委员会审查投标文件的实质性内容是否符合招标文件的实质性要求。</w:t>
      </w:r>
    </w:p>
    <w:p w14:paraId="14A7CDEC">
      <w:pPr>
        <w:spacing w:line="360" w:lineRule="auto"/>
        <w:rPr>
          <w:rFonts w:ascii="宋体" w:hAnsi="宋体" w:cs="宋体"/>
          <w:color w:val="auto"/>
          <w:sz w:val="24"/>
          <w:highlight w:val="none"/>
        </w:rPr>
      </w:pPr>
      <w:r>
        <w:rPr>
          <w:rFonts w:hint="eastAsia" w:ascii="宋体" w:hAnsi="宋体" w:cs="宋体"/>
          <w:color w:val="auto"/>
          <w:sz w:val="24"/>
          <w:highlight w:val="none"/>
        </w:rPr>
        <w:t>（2）评标委员会将对投标人的投标文件进行审查、核对,如有疑问,将对投标人进行电子询标,投标人须在规定的时间内向评标委员会澄清有关问题,并在政采云上进行询标答复。</w:t>
      </w:r>
    </w:p>
    <w:p w14:paraId="2510B71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投标人代表未在规定的时间内进行澄清、拒绝澄清或者澄清的内容改变了投标文件的实质性内容的，评标委员会有权对该投标文件作出不利于投标人的评判。</w:t>
      </w:r>
    </w:p>
    <w:p w14:paraId="54B54FC1">
      <w:pPr>
        <w:spacing w:line="360" w:lineRule="auto"/>
        <w:rPr>
          <w:rFonts w:ascii="宋体" w:hAnsi="宋体" w:cs="宋体"/>
          <w:color w:val="auto"/>
          <w:sz w:val="24"/>
          <w:highlight w:val="none"/>
        </w:rPr>
      </w:pPr>
      <w:r>
        <w:rPr>
          <w:rFonts w:hint="eastAsia" w:ascii="宋体" w:hAnsi="宋体" w:cs="宋体"/>
          <w:color w:val="auto"/>
          <w:sz w:val="24"/>
          <w:highlight w:val="none"/>
        </w:rPr>
        <w:t>（3）各投标人的技术得分为所有评委的有效评分的算术平均数，由指定专人进行计算复核。</w:t>
      </w:r>
    </w:p>
    <w:p w14:paraId="68174205">
      <w:pPr>
        <w:spacing w:line="360" w:lineRule="auto"/>
        <w:rPr>
          <w:rFonts w:ascii="宋体" w:hAnsi="宋体" w:cs="宋体"/>
          <w:color w:val="auto"/>
          <w:sz w:val="24"/>
          <w:highlight w:val="none"/>
        </w:rPr>
      </w:pPr>
      <w:r>
        <w:rPr>
          <w:rFonts w:hint="eastAsia" w:ascii="宋体" w:hAnsi="宋体" w:cs="宋体"/>
          <w:color w:val="auto"/>
          <w:sz w:val="24"/>
          <w:highlight w:val="none"/>
        </w:rPr>
        <w:t>（4）招标方工作人员协助评标委员会审核商务报价有无计算错误，并根据本项目的评分标准计算各投标人的商务报价得分。</w:t>
      </w:r>
    </w:p>
    <w:p w14:paraId="1485AEA6">
      <w:pPr>
        <w:spacing w:line="360" w:lineRule="auto"/>
        <w:rPr>
          <w:rFonts w:ascii="宋体" w:hAnsi="宋体" w:cs="宋体"/>
          <w:color w:val="auto"/>
          <w:sz w:val="24"/>
          <w:highlight w:val="none"/>
        </w:rPr>
      </w:pPr>
      <w:r>
        <w:rPr>
          <w:rFonts w:hint="eastAsia" w:ascii="宋体" w:hAnsi="宋体" w:cs="宋体"/>
          <w:color w:val="auto"/>
          <w:sz w:val="24"/>
          <w:highlight w:val="none"/>
        </w:rPr>
        <w:t>（5）评标委员会完成评标后, 招标方工作人员对系统中的得分汇总进行复核,计算出本项目最终得分，评标委员会按评标原则推荐中标候选人并起草评标报告。</w:t>
      </w:r>
    </w:p>
    <w:p w14:paraId="64950B17">
      <w:pPr>
        <w:spacing w:line="360" w:lineRule="auto"/>
        <w:rPr>
          <w:rFonts w:ascii="宋体" w:hAnsi="宋体" w:cs="宋体"/>
          <w:b/>
          <w:color w:val="auto"/>
          <w:sz w:val="24"/>
          <w:highlight w:val="none"/>
        </w:rPr>
      </w:pPr>
      <w:r>
        <w:rPr>
          <w:rFonts w:hint="eastAsia" w:ascii="宋体" w:hAnsi="宋体" w:cs="宋体"/>
          <w:b/>
          <w:color w:val="auto"/>
          <w:sz w:val="24"/>
          <w:highlight w:val="none"/>
        </w:rPr>
        <w:t>（四）澄清问题的形式</w:t>
      </w:r>
    </w:p>
    <w:p w14:paraId="3C7AD84B">
      <w:pPr>
        <w:spacing w:line="360" w:lineRule="auto"/>
        <w:rPr>
          <w:rFonts w:ascii="宋体" w:hAnsi="宋体" w:cs="宋体"/>
          <w:color w:val="auto"/>
          <w:sz w:val="24"/>
          <w:highlight w:val="none"/>
        </w:rPr>
      </w:pPr>
      <w:r>
        <w:rPr>
          <w:rFonts w:hint="eastAsia" w:ascii="宋体" w:hAnsi="宋体" w:cs="宋体"/>
          <w:color w:val="auto"/>
          <w:sz w:val="24"/>
          <w:highlight w:val="none"/>
        </w:rPr>
        <w:t>对投标文件中含义不明确、同类问题表述不一致或者有明显文字和计算错误的内容，评标委员会可要求投标人作出必要的澄清、说明或者纠正，投标人应在询标规定时间内进行澄清或说明（需盖CA电子签章或实体公章），并不得超出投标文件的范围或者改变投标文件的实质性内容。</w:t>
      </w:r>
    </w:p>
    <w:p w14:paraId="3163B795">
      <w:pPr>
        <w:spacing w:line="360" w:lineRule="auto"/>
        <w:rPr>
          <w:rFonts w:hint="eastAsia" w:ascii="宋体" w:hAnsi="宋体" w:cs="宋体"/>
          <w:b/>
          <w:color w:val="auto"/>
          <w:sz w:val="24"/>
          <w:highlight w:val="none"/>
        </w:rPr>
      </w:pPr>
    </w:p>
    <w:p w14:paraId="7F78596D">
      <w:pPr>
        <w:spacing w:line="360" w:lineRule="auto"/>
        <w:rPr>
          <w:rFonts w:ascii="宋体" w:hAnsi="宋体" w:cs="宋体"/>
          <w:b/>
          <w:color w:val="auto"/>
          <w:sz w:val="24"/>
          <w:highlight w:val="none"/>
        </w:rPr>
      </w:pPr>
      <w:r>
        <w:rPr>
          <w:rFonts w:hint="eastAsia" w:ascii="宋体" w:hAnsi="宋体" w:cs="宋体"/>
          <w:b/>
          <w:color w:val="auto"/>
          <w:sz w:val="24"/>
          <w:highlight w:val="none"/>
        </w:rPr>
        <w:t>（五）错误修正</w:t>
      </w:r>
    </w:p>
    <w:p w14:paraId="1A0FEE3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投标文件如果出现计算或表达上的错误，修正错误的原则如下：</w:t>
      </w:r>
    </w:p>
    <w:p w14:paraId="7601E451">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1.投标文件中开标一览表（报价表）内容与与投标文件中相应内容不一致的，以开标一览表（报价表）为准；</w:t>
      </w:r>
    </w:p>
    <w:p w14:paraId="2BD1284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2.大写金额和小写金额不一致的，以大写金额为准；</w:t>
      </w:r>
    </w:p>
    <w:p w14:paraId="398652A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3.单价金额小数点或者百分比有明显错位的，以开标一览表的总价为准，并修改单价；</w:t>
      </w:r>
    </w:p>
    <w:p w14:paraId="49BEE60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4.总价金额与按单价汇总金额不一致的，以单价金额计算结果为准；</w:t>
      </w:r>
    </w:p>
    <w:p w14:paraId="71BD24D8">
      <w:pPr>
        <w:pStyle w:val="10"/>
        <w:spacing w:line="360" w:lineRule="auto"/>
        <w:ind w:left="0" w:leftChars="0" w:firstLine="240" w:firstLineChars="100"/>
        <w:rPr>
          <w:rFonts w:ascii="宋体" w:hAnsi="宋体" w:cs="宋体"/>
          <w:color w:val="auto"/>
          <w:sz w:val="24"/>
          <w:highlight w:val="none"/>
        </w:rPr>
      </w:pPr>
      <w:r>
        <w:rPr>
          <w:rFonts w:hint="eastAsia" w:ascii="宋体" w:hAnsi="宋体" w:cs="宋体"/>
          <w:color w:val="auto"/>
          <w:sz w:val="24"/>
          <w:highlight w:val="none"/>
        </w:rPr>
        <w:t>5.政采云系统投标报价与投标文件中开标一览表（报价表）相应内容不一致的，以开标一览表（报价表）为准。</w:t>
      </w:r>
    </w:p>
    <w:p w14:paraId="403814EE">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6.对不同文字文本投标文件的解释发生异议的，以中文文本为准。</w:t>
      </w:r>
    </w:p>
    <w:p w14:paraId="6AA0A0A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后的报价按照《政府采购货物和服务招标投标管理办法》（第87号令）第五十一条第二款规定：投标人的澄清、说明或者补正应当采用书面形式，并加盖公章，或者由法定代表人或其授权的代表签字。投标人的澄清、说明或者补正不得超出投标文件的范围或者改变投标文件的实质性内容的规定经投标人确认后产生约束力，投标人不确认的，其投标无效。</w:t>
      </w:r>
    </w:p>
    <w:p w14:paraId="22C39C05">
      <w:pPr>
        <w:spacing w:line="360" w:lineRule="auto"/>
        <w:rPr>
          <w:rFonts w:ascii="宋体" w:hAnsi="宋体" w:cs="宋体"/>
          <w:b/>
          <w:bCs/>
          <w:color w:val="auto"/>
          <w:sz w:val="24"/>
          <w:highlight w:val="none"/>
        </w:rPr>
      </w:pPr>
      <w:r>
        <w:rPr>
          <w:rFonts w:hint="eastAsia" w:ascii="宋体" w:hAnsi="宋体" w:cs="宋体"/>
          <w:b/>
          <w:color w:val="auto"/>
          <w:sz w:val="24"/>
          <w:highlight w:val="none"/>
        </w:rPr>
        <w:t>（六）评标原则和评标办法</w:t>
      </w:r>
    </w:p>
    <w:p w14:paraId="6DDF1BE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1.评审专家必须公平、公正评审，遵纪守法，客观、廉洁地履行职责。</w:t>
      </w:r>
    </w:p>
    <w:p w14:paraId="6EBBD7A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2.评审专家在评审开始前，应关闭并上交随身携带的各种通信工具。</w:t>
      </w:r>
    </w:p>
    <w:p w14:paraId="2B6B4C5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3.评审专家在评审过程中，未经许可不得中途离开评审现场，不得迟到早退。</w:t>
      </w:r>
    </w:p>
    <w:p w14:paraId="01ABA81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4.评审专家和工作人员不得透露评审过程中的讨论情况和评审结果。</w:t>
      </w:r>
    </w:p>
    <w:p w14:paraId="4B0A413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59DD707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6.采购人、采购代理机构不得向评审委员会的评审专家作倾向性、误导性的解释或者说明。</w:t>
      </w:r>
    </w:p>
    <w:p w14:paraId="5B37255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6A05029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8.评审专家在评审过程中不得将自己的观点强加给其他评审专家，评审专家应自主发表见解，对评审意见承担个人责任。</w:t>
      </w:r>
    </w:p>
    <w:p w14:paraId="5A78FDD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7900CFC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10.评审专家应当独立、客观、公正地提出评审意见，不得带有倾向性，不得影响其他评审专家评审，并在评审报告上签字；如对评审报告有异议的，可在报告上签署不同意见，并说明理由，否则将视为同意。</w:t>
      </w:r>
    </w:p>
    <w:p w14:paraId="6CA3D14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11.评审专家应当遵守评审工作纪律，不得泄露评审文件、评审情况和评审中获悉的商业秘密。</w:t>
      </w:r>
    </w:p>
    <w:p w14:paraId="4579BE7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评审委员会在评审过程中发现投标人有行贿、提供虚假材料或者串通等违法行为的，应当及时向财政部门报告。</w:t>
      </w:r>
    </w:p>
    <w:p w14:paraId="70ED805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12.招标文件内容违反国家有关强制性规定的，评审委员会应当停止评审并向采购代理机构说明情况。</w:t>
      </w:r>
    </w:p>
    <w:p w14:paraId="4F89BDA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13.评审专家应当配合采购代理机构答复投标人提出的质疑。</w:t>
      </w:r>
    </w:p>
    <w:p w14:paraId="1F195D1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14.评审专家应当配合财政部门的投诉处理工作。</w:t>
      </w:r>
    </w:p>
    <w:p w14:paraId="0F7CC3D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15.评审专家有如下行为之一的，责令改正，给予警告，可以并处一千元以下的罚款：</w:t>
      </w:r>
    </w:p>
    <w:p w14:paraId="2BCCF1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①明知应当回避而未主动回避的；</w:t>
      </w:r>
    </w:p>
    <w:p w14:paraId="6E033E9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②在得知自己为评审专家身份后至评审结束前时段内私下接触投标人的；</w:t>
      </w:r>
    </w:p>
    <w:p w14:paraId="0F388A7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③在评审过程中擅离职守，影响评审程序正常进行的；</w:t>
      </w:r>
    </w:p>
    <w:p w14:paraId="6E7248C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④在评审过程有明显不合理或者不正当倾向性的；</w:t>
      </w:r>
    </w:p>
    <w:p w14:paraId="63AD2CB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⑤未按招标文件规定的评审方法和标准进行评审的。</w:t>
      </w:r>
    </w:p>
    <w:p w14:paraId="75DE6F5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⑥上述①至⑤行为影响中标结果的，中标结果无效。</w:t>
      </w:r>
    </w:p>
    <w:p w14:paraId="39A2023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12C36AA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政府采购评审专家与投标人存在利害关系未回避的，处2万元以上5万元以下的罚款，禁止其参加政府采购评审活动。</w:t>
      </w:r>
    </w:p>
    <w:p w14:paraId="6C7F519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政府采购评审专家收受采购人、采购代理机构、投标人贿赂或者获取其他不正当利益，构成犯罪的，依法追究刑事责任；尚不构成犯罪的，处2万元以上5万元以下的罚款，禁止其参加政府采购评审活动。</w:t>
      </w:r>
    </w:p>
    <w:p w14:paraId="0B9086F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政府采购评审专家有上述违法行为的，其评审意见无效，不得获取评审费；有违法所得的，没收违法所得；给他人造成损失的，依法承担民事责任。</w:t>
      </w:r>
    </w:p>
    <w:p w14:paraId="7A0465D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17.评标办法。</w:t>
      </w:r>
    </w:p>
    <w:p w14:paraId="4FAFBA3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本项目评标办法是：综合评分法，具体评标内容及评分标准等详见《第四章：评标办法及评分标准》。</w:t>
      </w:r>
    </w:p>
    <w:p w14:paraId="6CFEFC16">
      <w:pPr>
        <w:spacing w:line="360" w:lineRule="auto"/>
        <w:rPr>
          <w:rFonts w:ascii="宋体" w:hAnsi="宋体" w:cs="宋体"/>
          <w:b/>
          <w:color w:val="auto"/>
          <w:sz w:val="24"/>
          <w:highlight w:val="none"/>
        </w:rPr>
      </w:pPr>
      <w:r>
        <w:rPr>
          <w:rFonts w:hint="eastAsia" w:ascii="宋体" w:hAnsi="宋体" w:cs="宋体"/>
          <w:b/>
          <w:color w:val="auto"/>
          <w:sz w:val="24"/>
          <w:highlight w:val="none"/>
        </w:rPr>
        <w:t>（七）评标过程的监控</w:t>
      </w:r>
    </w:p>
    <w:p w14:paraId="2CA6FA5A">
      <w:pPr>
        <w:spacing w:line="360" w:lineRule="auto"/>
        <w:ind w:firstLine="120" w:firstLineChars="50"/>
        <w:rPr>
          <w:rFonts w:ascii="宋体" w:hAnsi="宋体" w:cs="宋体"/>
          <w:color w:val="auto"/>
          <w:sz w:val="24"/>
          <w:highlight w:val="none"/>
        </w:rPr>
      </w:pPr>
      <w:r>
        <w:rPr>
          <w:rFonts w:hint="eastAsia" w:ascii="宋体" w:hAnsi="宋体" w:cs="宋体"/>
          <w:color w:val="auto"/>
          <w:sz w:val="24"/>
          <w:highlight w:val="none"/>
        </w:rPr>
        <w:t>本项目评标过程实行全程录音、录像监控，投标人在评标过程中所进行的试图影响评标结果的不公正活动，可能导致其投标被拒绝。</w:t>
      </w:r>
    </w:p>
    <w:p w14:paraId="6B8D93EF">
      <w:pPr>
        <w:spacing w:line="360" w:lineRule="auto"/>
        <w:rPr>
          <w:rFonts w:ascii="宋体" w:hAnsi="宋体" w:cs="宋体"/>
          <w:b/>
          <w:color w:val="auto"/>
          <w:sz w:val="24"/>
          <w:highlight w:val="none"/>
        </w:rPr>
      </w:pPr>
      <w:r>
        <w:rPr>
          <w:rFonts w:hint="eastAsia" w:ascii="宋体" w:hAnsi="宋体" w:cs="宋体"/>
          <w:b/>
          <w:color w:val="auto"/>
          <w:sz w:val="24"/>
          <w:highlight w:val="none"/>
        </w:rPr>
        <w:t>（八）其他</w:t>
      </w:r>
    </w:p>
    <w:p w14:paraId="6F4B2DDF">
      <w:pPr>
        <w:spacing w:line="360" w:lineRule="auto"/>
        <w:ind w:firstLine="470" w:firstLineChars="196"/>
        <w:rPr>
          <w:rFonts w:ascii="宋体" w:hAnsi="宋体" w:cs="宋体"/>
          <w:color w:val="auto"/>
          <w:sz w:val="24"/>
          <w:highlight w:val="none"/>
        </w:rPr>
      </w:pPr>
      <w:r>
        <w:rPr>
          <w:rFonts w:hint="eastAsia" w:ascii="宋体" w:hAnsi="宋体" w:cs="宋体"/>
          <w:color w:val="auto"/>
          <w:sz w:val="24"/>
          <w:highlight w:val="none"/>
        </w:rPr>
        <w:t>采购过程中出现以下情形，导致电子交易平台无法正常运行，或者无法保证电子交易的公平、公正和安全时，采购组织机构可中止电子交易活动：</w:t>
      </w:r>
    </w:p>
    <w:p w14:paraId="35786D7E">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1、电子交易平台发生故障而无法登录访问的；</w:t>
      </w:r>
    </w:p>
    <w:p w14:paraId="6FE8EE48">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2、电子交易平台应用或数据库出现错误，不能进行正常操作的；</w:t>
      </w:r>
    </w:p>
    <w:p w14:paraId="39C3BC2F">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3、电子交易平台发现严重安全漏洞，有潜在泄密危险的；</w:t>
      </w:r>
    </w:p>
    <w:p w14:paraId="4CB2444D">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4、病毒发作导致不能进行正常操作的；</w:t>
      </w:r>
    </w:p>
    <w:p w14:paraId="72176158">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5、其他无法保证电子交易的公平、公正和安全的情况。</w:t>
      </w:r>
    </w:p>
    <w:p w14:paraId="6A365CB2">
      <w:pPr>
        <w:spacing w:line="360" w:lineRule="auto"/>
        <w:ind w:firstLine="470" w:firstLineChars="196"/>
        <w:rPr>
          <w:rFonts w:ascii="宋体" w:hAnsi="宋体" w:cs="宋体"/>
          <w:color w:val="auto"/>
          <w:sz w:val="24"/>
          <w:highlight w:val="none"/>
        </w:rPr>
      </w:pPr>
      <w:r>
        <w:rPr>
          <w:rFonts w:hint="eastAsia" w:ascii="宋体" w:hAnsi="宋体" w:cs="宋体"/>
          <w:color w:val="auto"/>
          <w:sz w:val="24"/>
          <w:highlight w:val="none"/>
        </w:rPr>
        <w:t>出现前款规定情形，不影响采购公平、公正性的，采购组织机构可以待上述情形消除后继续组织电子交易活动；影响或可能影响采购公平、公正性的，应当重新采购。</w:t>
      </w:r>
    </w:p>
    <w:p w14:paraId="410FC800">
      <w:pPr>
        <w:pStyle w:val="6"/>
        <w:keepNext w:val="0"/>
        <w:keepLines w:val="0"/>
        <w:pageBreakBefore/>
        <w:spacing w:line="360" w:lineRule="auto"/>
        <w:jc w:val="center"/>
        <w:rPr>
          <w:rFonts w:ascii="宋体" w:hAnsi="宋体" w:eastAsia="宋体" w:cs="宋体"/>
          <w:color w:val="auto"/>
          <w:sz w:val="24"/>
          <w:szCs w:val="24"/>
          <w:highlight w:val="none"/>
        </w:rPr>
      </w:pPr>
      <w:bookmarkStart w:id="32" w:name="_Toc7589"/>
      <w:bookmarkStart w:id="33" w:name="_Toc458697272"/>
      <w:bookmarkStart w:id="34" w:name="_Toc3516"/>
      <w:r>
        <w:rPr>
          <w:rFonts w:hint="eastAsia" w:ascii="宋体" w:hAnsi="宋体" w:eastAsia="宋体" w:cs="宋体"/>
          <w:color w:val="auto"/>
          <w:sz w:val="24"/>
          <w:szCs w:val="24"/>
          <w:highlight w:val="none"/>
        </w:rPr>
        <w:t>六、定标</w:t>
      </w:r>
      <w:bookmarkEnd w:id="32"/>
      <w:bookmarkEnd w:id="33"/>
      <w:bookmarkEnd w:id="34"/>
    </w:p>
    <w:p w14:paraId="32A25A7D">
      <w:pPr>
        <w:spacing w:line="360" w:lineRule="auto"/>
        <w:rPr>
          <w:rFonts w:ascii="宋体" w:hAnsi="宋体" w:cs="宋体"/>
          <w:color w:val="auto"/>
          <w:sz w:val="24"/>
          <w:highlight w:val="none"/>
        </w:rPr>
      </w:pPr>
      <w:r>
        <w:rPr>
          <w:rFonts w:hint="eastAsia" w:ascii="宋体" w:hAnsi="宋体" w:cs="宋体"/>
          <w:color w:val="auto"/>
          <w:sz w:val="24"/>
          <w:highlight w:val="none"/>
        </w:rPr>
        <w:t>（一）确定中标人 。</w:t>
      </w:r>
      <w:r>
        <w:rPr>
          <w:rFonts w:hint="eastAsia" w:ascii="宋体" w:hAnsi="宋体" w:cs="宋体"/>
          <w:b/>
          <w:bCs/>
          <w:color w:val="auto"/>
          <w:sz w:val="24"/>
          <w:highlight w:val="none"/>
        </w:rPr>
        <w:t>本项目由采购人授权评标委员会确定中标人。</w:t>
      </w:r>
    </w:p>
    <w:p w14:paraId="1468AE61">
      <w:pPr>
        <w:spacing w:line="360" w:lineRule="auto"/>
        <w:rPr>
          <w:rFonts w:ascii="宋体" w:hAnsi="宋体" w:cs="宋体"/>
          <w:color w:val="auto"/>
          <w:sz w:val="24"/>
          <w:highlight w:val="none"/>
        </w:rPr>
      </w:pPr>
      <w:bookmarkStart w:id="35" w:name="_Toc458697273"/>
      <w:r>
        <w:rPr>
          <w:rFonts w:hint="eastAsia" w:ascii="宋体" w:hAnsi="宋体" w:cs="宋体"/>
          <w:color w:val="auto"/>
          <w:sz w:val="24"/>
          <w:highlight w:val="none"/>
        </w:rPr>
        <w:t>1.招标方在评标结束后2个工作日内将评标报告交采购人确认。</w:t>
      </w:r>
    </w:p>
    <w:p w14:paraId="4B3E710B">
      <w:pPr>
        <w:spacing w:line="360" w:lineRule="auto"/>
        <w:rPr>
          <w:rFonts w:ascii="宋体" w:hAnsi="宋体" w:cs="宋体"/>
          <w:color w:val="auto"/>
          <w:sz w:val="24"/>
          <w:highlight w:val="none"/>
        </w:rPr>
      </w:pPr>
      <w:r>
        <w:rPr>
          <w:rFonts w:hint="eastAsia" w:ascii="宋体" w:hAnsi="宋体" w:cs="宋体"/>
          <w:color w:val="auto"/>
          <w:sz w:val="24"/>
          <w:highlight w:val="none"/>
        </w:rPr>
        <w:t>2.采购人应在收到评标报告后5个工作日内对评标结果进行确认。如有投标人对评标结果提出质疑的，采购人可在质疑处理完毕后确定中标人。</w:t>
      </w:r>
    </w:p>
    <w:p w14:paraId="69D26030">
      <w:pPr>
        <w:spacing w:line="360" w:lineRule="auto"/>
        <w:rPr>
          <w:rFonts w:ascii="宋体" w:hAnsi="宋体" w:cs="宋体"/>
          <w:color w:val="auto"/>
          <w:sz w:val="24"/>
          <w:highlight w:val="none"/>
        </w:rPr>
      </w:pPr>
      <w:r>
        <w:rPr>
          <w:rFonts w:hint="eastAsia" w:ascii="宋体" w:hAnsi="宋体" w:cs="宋体"/>
          <w:color w:val="auto"/>
          <w:sz w:val="24"/>
          <w:highlight w:val="none"/>
        </w:rPr>
        <w:t>3.采购人依法确定中标人后2个工作日内，招标方以书面形式发出《中标通知书》,并同时在相关网站上发布中标公告。</w:t>
      </w:r>
    </w:p>
    <w:p w14:paraId="1C898A3E">
      <w:pPr>
        <w:spacing w:line="360" w:lineRule="auto"/>
        <w:rPr>
          <w:rFonts w:ascii="宋体" w:hAnsi="宋体" w:cs="宋体"/>
          <w:color w:val="auto"/>
          <w:sz w:val="24"/>
          <w:highlight w:val="none"/>
        </w:rPr>
      </w:pPr>
      <w:r>
        <w:rPr>
          <w:rFonts w:hint="eastAsia" w:ascii="宋体" w:hAnsi="宋体" w:cs="宋体"/>
          <w:color w:val="auto"/>
          <w:sz w:val="24"/>
          <w:highlight w:val="none"/>
        </w:rPr>
        <w:t>4. 确定中标人后，中标人应在三个工作日内，向招标方领取《中标通知书》，否则按放弃中标资格处理，并因违反诚信原则，提交财政部门列入政府采购黑名单。</w:t>
      </w:r>
    </w:p>
    <w:p w14:paraId="4BC12922">
      <w:pPr>
        <w:pStyle w:val="6"/>
        <w:keepNext w:val="0"/>
        <w:keepLines w:val="0"/>
        <w:pageBreakBefore/>
        <w:spacing w:line="360" w:lineRule="auto"/>
        <w:jc w:val="center"/>
        <w:rPr>
          <w:rFonts w:ascii="宋体" w:hAnsi="宋体" w:eastAsia="宋体" w:cs="宋体"/>
          <w:color w:val="auto"/>
          <w:sz w:val="24"/>
          <w:szCs w:val="24"/>
          <w:highlight w:val="none"/>
        </w:rPr>
      </w:pPr>
      <w:bookmarkStart w:id="36" w:name="_Toc27700"/>
      <w:bookmarkStart w:id="37" w:name="_Toc9992"/>
      <w:r>
        <w:rPr>
          <w:rFonts w:hint="eastAsia" w:ascii="宋体" w:hAnsi="宋体" w:eastAsia="宋体" w:cs="宋体"/>
          <w:color w:val="auto"/>
          <w:sz w:val="24"/>
          <w:szCs w:val="24"/>
          <w:highlight w:val="none"/>
        </w:rPr>
        <w:t>七、合同授予</w:t>
      </w:r>
      <w:bookmarkEnd w:id="35"/>
      <w:bookmarkEnd w:id="36"/>
      <w:bookmarkEnd w:id="37"/>
    </w:p>
    <w:p w14:paraId="4E66D8A5">
      <w:pPr>
        <w:spacing w:line="360" w:lineRule="auto"/>
        <w:rPr>
          <w:rFonts w:ascii="宋体" w:hAnsi="宋体" w:cs="宋体"/>
          <w:b/>
          <w:color w:val="auto"/>
          <w:sz w:val="24"/>
          <w:highlight w:val="none"/>
        </w:rPr>
      </w:pPr>
      <w:r>
        <w:rPr>
          <w:rFonts w:hint="eastAsia" w:ascii="宋体" w:hAnsi="宋体" w:cs="宋体"/>
          <w:b/>
          <w:color w:val="auto"/>
          <w:sz w:val="24"/>
          <w:highlight w:val="none"/>
        </w:rPr>
        <w:t>（一）签订合同</w:t>
      </w:r>
    </w:p>
    <w:p w14:paraId="11E25EF5">
      <w:pPr>
        <w:spacing w:line="360" w:lineRule="auto"/>
        <w:rPr>
          <w:rFonts w:ascii="宋体" w:hAnsi="宋体" w:cs="宋体"/>
          <w:color w:val="auto"/>
          <w:sz w:val="24"/>
          <w:highlight w:val="none"/>
        </w:rPr>
      </w:pPr>
      <w:r>
        <w:rPr>
          <w:rFonts w:hint="eastAsia" w:ascii="宋体" w:hAnsi="宋体" w:cs="宋体"/>
          <w:color w:val="auto"/>
          <w:sz w:val="24"/>
          <w:highlight w:val="none"/>
        </w:rPr>
        <w:t>1.除不可抗力等特殊情况外，采购人原则上应当在中标通知书发出之日起20日内，与成交人按照采购文件确定的事项签订政府采购合同，并在签订之日起2个工作日内将政府采购合同在浙江政府采购网上公告。</w:t>
      </w:r>
    </w:p>
    <w:p w14:paraId="367BEE11">
      <w:pPr>
        <w:spacing w:line="360" w:lineRule="auto"/>
        <w:rPr>
          <w:rFonts w:ascii="宋体" w:hAnsi="宋体" w:cs="宋体"/>
          <w:color w:val="auto"/>
          <w:sz w:val="24"/>
          <w:highlight w:val="none"/>
        </w:rPr>
      </w:pPr>
      <w:r>
        <w:rPr>
          <w:rFonts w:hint="eastAsia" w:ascii="宋体" w:hAnsi="宋体" w:cs="宋体"/>
          <w:color w:val="auto"/>
          <w:sz w:val="24"/>
          <w:highlight w:val="none"/>
        </w:rPr>
        <w:t>2.成交人按规定的日期、时间、地点，由法定代表人或其授权代表与采购人代表签订合同。如成交人为联合体的，由联合体成员各方法定代表人或其授权代表与采购人代表签订合同。</w:t>
      </w:r>
    </w:p>
    <w:p w14:paraId="69CD5DBA">
      <w:pPr>
        <w:spacing w:line="360" w:lineRule="auto"/>
        <w:rPr>
          <w:rFonts w:ascii="宋体" w:hAnsi="宋体" w:cs="宋体"/>
          <w:color w:val="auto"/>
          <w:sz w:val="24"/>
          <w:highlight w:val="none"/>
        </w:rPr>
      </w:pPr>
      <w:r>
        <w:rPr>
          <w:rFonts w:hint="eastAsia" w:ascii="宋体" w:hAnsi="宋体" w:cs="宋体"/>
          <w:color w:val="auto"/>
          <w:sz w:val="24"/>
          <w:highlight w:val="none"/>
        </w:rPr>
        <w:t>3.如签订合同并生效后，供应商无故拒绝或延期，除按照合同条款处理外，列入不良行为记录一次，并给予通报。</w:t>
      </w:r>
    </w:p>
    <w:p w14:paraId="6AF9DEE2">
      <w:pPr>
        <w:spacing w:line="360" w:lineRule="auto"/>
        <w:rPr>
          <w:rFonts w:ascii="宋体" w:hAnsi="宋体" w:cs="宋体"/>
          <w:color w:val="auto"/>
          <w:sz w:val="24"/>
          <w:highlight w:val="none"/>
        </w:rPr>
      </w:pPr>
      <w:r>
        <w:rPr>
          <w:rFonts w:hint="eastAsia" w:ascii="宋体" w:hAnsi="宋体" w:cs="宋体"/>
          <w:color w:val="auto"/>
          <w:sz w:val="24"/>
          <w:highlight w:val="none"/>
        </w:rPr>
        <w:t>4.成交人拒绝与采购人签订合同的，采购人可以按照评审报告推荐的中标或者成交候选人名单排序，确定下一候选人为成交人，也可以重新开展政府采购活动。</w:t>
      </w:r>
    </w:p>
    <w:p w14:paraId="29031C9B">
      <w:pPr>
        <w:spacing w:line="360" w:lineRule="auto"/>
        <w:rPr>
          <w:rFonts w:ascii="宋体" w:hAnsi="宋体" w:cs="宋体"/>
          <w:color w:val="auto"/>
          <w:sz w:val="24"/>
          <w:highlight w:val="none"/>
        </w:rPr>
      </w:pPr>
      <w:r>
        <w:rPr>
          <w:rFonts w:hint="eastAsia" w:ascii="宋体" w:hAnsi="宋体" w:cs="宋体"/>
          <w:color w:val="auto"/>
          <w:sz w:val="24"/>
          <w:highlight w:val="none"/>
        </w:rPr>
        <w:t>5.采购合同由采购人与成交人根据采购文件、磋商响应文件等内容通过政府采购电子交易平台在线签订，自动备案。</w:t>
      </w:r>
    </w:p>
    <w:p w14:paraId="21958A0E">
      <w:pPr>
        <w:spacing w:line="360" w:lineRule="auto"/>
        <w:rPr>
          <w:rFonts w:ascii="宋体" w:hAnsi="宋体" w:cs="宋体"/>
          <w:bCs/>
          <w:color w:val="auto"/>
          <w:sz w:val="24"/>
          <w:highlight w:val="none"/>
        </w:rPr>
      </w:pPr>
      <w:r>
        <w:rPr>
          <w:rFonts w:hint="eastAsia" w:ascii="宋体" w:hAnsi="宋体" w:cs="宋体"/>
          <w:bCs/>
          <w:color w:val="auto"/>
          <w:sz w:val="24"/>
          <w:highlight w:val="none"/>
        </w:rPr>
        <w:t>6.政府采购货物和服务项目不得收取质量保证金。政府采购工程以及与工程建设有关的货物、服务，采用招标方式采购的，按国家和省有关规定执行。</w:t>
      </w:r>
    </w:p>
    <w:p w14:paraId="0FABA996">
      <w:pPr>
        <w:spacing w:line="360" w:lineRule="auto"/>
        <w:rPr>
          <w:rFonts w:hint="eastAsia" w:ascii="宋体" w:hAnsi="宋体" w:eastAsia="宋体" w:cs="宋体"/>
          <w:b/>
          <w:bCs w:val="0"/>
          <w:color w:val="auto"/>
          <w:sz w:val="24"/>
          <w:highlight w:val="none"/>
        </w:rPr>
      </w:pPr>
      <w:r>
        <w:rPr>
          <w:rFonts w:hint="eastAsia" w:ascii="宋体" w:hAnsi="宋体" w:eastAsia="宋体" w:cs="宋体"/>
          <w:b/>
          <w:bCs w:val="0"/>
          <w:color w:val="auto"/>
          <w:sz w:val="24"/>
          <w:highlight w:val="none"/>
        </w:rPr>
        <w:t>（二）履约保证金</w:t>
      </w:r>
    </w:p>
    <w:p w14:paraId="6AE53E2C">
      <w:pPr>
        <w:spacing w:line="360" w:lineRule="auto"/>
        <w:ind w:firstLine="480" w:firstLineChars="200"/>
        <w:rPr>
          <w:rFonts w:hint="default"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本项目不收取履约保证金</w:t>
      </w:r>
    </w:p>
    <w:p w14:paraId="28B4E699">
      <w:pPr>
        <w:pStyle w:val="18"/>
        <w:pageBreakBefore/>
        <w:snapToGrid w:val="0"/>
        <w:spacing w:before="120" w:after="120" w:line="360" w:lineRule="auto"/>
        <w:jc w:val="center"/>
        <w:outlineLvl w:val="0"/>
        <w:rPr>
          <w:rFonts w:ascii="宋体" w:hAnsi="宋体" w:cs="宋体"/>
          <w:b/>
          <w:color w:val="auto"/>
          <w:szCs w:val="24"/>
          <w:highlight w:val="none"/>
        </w:rPr>
      </w:pPr>
      <w:bookmarkStart w:id="38" w:name="_Toc19863"/>
      <w:r>
        <w:rPr>
          <w:rFonts w:hint="eastAsia" w:ascii="宋体" w:hAnsi="宋体" w:cs="宋体"/>
          <w:b/>
          <w:color w:val="auto"/>
          <w:szCs w:val="24"/>
          <w:highlight w:val="none"/>
        </w:rPr>
        <w:t>第四章  评标办法及评分标准</w:t>
      </w:r>
      <w:bookmarkEnd w:id="38"/>
    </w:p>
    <w:p w14:paraId="4698A37A">
      <w:pPr>
        <w:spacing w:line="5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为公正、公平、科学地选择中标人，根据《中华人民共和国政府采购法》等有关法律法规的规定，并结合本项目的实际，制定本办法。</w:t>
      </w:r>
    </w:p>
    <w:p w14:paraId="66113EF2">
      <w:pPr>
        <w:spacing w:line="5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本办法适用于浙江东阳经济开发区城市分批次建设项目土地报批技术服务项目的评标。</w:t>
      </w:r>
    </w:p>
    <w:p w14:paraId="6E658C93">
      <w:pPr>
        <w:spacing w:line="580" w:lineRule="exact"/>
        <w:rPr>
          <w:rFonts w:ascii="宋体" w:hAnsi="宋体" w:cs="宋体"/>
          <w:b/>
          <w:color w:val="auto"/>
          <w:sz w:val="24"/>
          <w:highlight w:val="none"/>
        </w:rPr>
      </w:pPr>
      <w:bookmarkStart w:id="39" w:name="_Toc12525"/>
      <w:bookmarkStart w:id="40" w:name="_Toc31315"/>
      <w:bookmarkStart w:id="41" w:name="_Toc26574"/>
      <w:bookmarkStart w:id="42" w:name="_Toc452728219"/>
      <w:r>
        <w:rPr>
          <w:rFonts w:hint="eastAsia" w:ascii="宋体" w:hAnsi="宋体" w:cs="宋体"/>
          <w:b/>
          <w:color w:val="auto"/>
          <w:sz w:val="24"/>
          <w:highlight w:val="none"/>
        </w:rPr>
        <w:t>一、总则</w:t>
      </w:r>
      <w:bookmarkEnd w:id="39"/>
      <w:bookmarkEnd w:id="40"/>
      <w:bookmarkEnd w:id="41"/>
      <w:bookmarkEnd w:id="42"/>
    </w:p>
    <w:p w14:paraId="5C2756A8">
      <w:pPr>
        <w:spacing w:line="5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本次评标采用综合评分法，总分为100分，其中价格分</w:t>
      </w:r>
      <w:r>
        <w:rPr>
          <w:rFonts w:hint="eastAsia" w:ascii="宋体" w:hAnsi="宋体" w:cs="宋体"/>
          <w:color w:val="auto"/>
          <w:sz w:val="24"/>
          <w:highlight w:val="none"/>
          <w:lang w:val="en-US" w:eastAsia="zh-CN"/>
        </w:rPr>
        <w:t>20</w:t>
      </w:r>
      <w:r>
        <w:rPr>
          <w:rFonts w:hint="eastAsia" w:ascii="宋体" w:hAnsi="宋体" w:cs="宋体"/>
          <w:color w:val="auto"/>
          <w:sz w:val="24"/>
          <w:highlight w:val="none"/>
        </w:rPr>
        <w:t>分，技术、商务、资信及其他分</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0分；合格投标人的评标得分为各项目汇总得分，中标候选资格按评标综合得分由高到低顺序排列，得分相同的，按投标报价由低到高顺序排列；得分且投标报价相同的，按技术得分由高到低顺序排列。排名第一的投标人为中标候选人,排名第二的投标人为候补中标候选人(有效投标人为 3家时推荐2名中标候选人，有效标大于 3 家时，推荐 3名中标候选人)……其他投标人中标候选资格依此类推。评分过程中采用四舍五入法，并保留小数2位。</w:t>
      </w:r>
    </w:p>
    <w:p w14:paraId="324C5AE7">
      <w:pPr>
        <w:spacing w:line="5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投标人评标综合得分=价格分+(技术分+商务分+资信及其他分)</w:t>
      </w:r>
    </w:p>
    <w:p w14:paraId="5FC42DDD">
      <w:pPr>
        <w:numPr>
          <w:ilvl w:val="0"/>
          <w:numId w:val="3"/>
        </w:numPr>
        <w:spacing w:line="580" w:lineRule="exact"/>
        <w:rPr>
          <w:rFonts w:ascii="宋体" w:hAnsi="宋体" w:cs="宋体"/>
          <w:b/>
          <w:color w:val="auto"/>
          <w:sz w:val="24"/>
          <w:highlight w:val="none"/>
        </w:rPr>
      </w:pPr>
      <w:bookmarkStart w:id="43" w:name="_Toc12387"/>
      <w:bookmarkStart w:id="44" w:name="_Toc16785"/>
      <w:bookmarkStart w:id="45" w:name="_Toc452728220"/>
      <w:bookmarkStart w:id="46" w:name="_Toc6122"/>
      <w:r>
        <w:rPr>
          <w:rFonts w:hint="eastAsia" w:ascii="宋体" w:hAnsi="宋体" w:cs="宋体"/>
          <w:b/>
          <w:color w:val="auto"/>
          <w:sz w:val="24"/>
          <w:highlight w:val="none"/>
        </w:rPr>
        <w:t>评标内容及标准</w:t>
      </w:r>
      <w:bookmarkEnd w:id="43"/>
      <w:bookmarkEnd w:id="44"/>
      <w:bookmarkEnd w:id="45"/>
      <w:bookmarkEnd w:id="46"/>
      <w:bookmarkStart w:id="47" w:name="_Toc502652282"/>
      <w:bookmarkStart w:id="48" w:name="_Hlt452359757"/>
      <w:bookmarkStart w:id="49" w:name="_Hlt452359758"/>
    </w:p>
    <w:p w14:paraId="7EA7375A">
      <w:pPr>
        <w:pStyle w:val="18"/>
        <w:spacing w:before="120" w:after="120" w:line="580" w:lineRule="exact"/>
        <w:rPr>
          <w:rFonts w:ascii="宋体" w:hAnsi="宋体" w:cs="宋体"/>
          <w:b/>
          <w:bCs/>
          <w:color w:val="auto"/>
          <w:szCs w:val="24"/>
          <w:highlight w:val="none"/>
        </w:rPr>
      </w:pPr>
      <w:r>
        <w:rPr>
          <w:rFonts w:hint="eastAsia" w:ascii="宋体" w:hAnsi="宋体" w:cs="宋体"/>
          <w:b/>
          <w:bCs/>
          <w:color w:val="auto"/>
          <w:szCs w:val="24"/>
          <w:highlight w:val="none"/>
        </w:rPr>
        <w:t>（一）技术、商务、资信及其他分（</w:t>
      </w:r>
      <w:r>
        <w:rPr>
          <w:rFonts w:hint="eastAsia" w:ascii="宋体" w:hAnsi="宋体" w:cs="宋体"/>
          <w:b/>
          <w:bCs/>
          <w:color w:val="auto"/>
          <w:szCs w:val="24"/>
          <w:highlight w:val="none"/>
          <w:lang w:val="en-US" w:eastAsia="zh-CN"/>
        </w:rPr>
        <w:t>8</w:t>
      </w:r>
      <w:r>
        <w:rPr>
          <w:rFonts w:hint="eastAsia" w:ascii="宋体" w:hAnsi="宋体" w:cs="宋体"/>
          <w:b/>
          <w:bCs/>
          <w:color w:val="auto"/>
          <w:szCs w:val="24"/>
          <w:highlight w:val="none"/>
        </w:rPr>
        <w:t>0分）</w:t>
      </w:r>
    </w:p>
    <w:p w14:paraId="78249CD5">
      <w:pPr>
        <w:spacing w:line="5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技术、商务资信及其他分响应标书要求的投标单位全部进入商务报价评审。</w:t>
      </w:r>
    </w:p>
    <w:p w14:paraId="6A4709EC">
      <w:pPr>
        <w:pStyle w:val="9"/>
        <w:spacing w:line="580" w:lineRule="exact"/>
        <w:ind w:left="0" w:leftChars="0"/>
        <w:rPr>
          <w:rFonts w:ascii="宋体" w:hAnsi="宋体" w:cs="宋体"/>
          <w:b/>
          <w:bCs/>
          <w:color w:val="auto"/>
          <w:sz w:val="24"/>
          <w:highlight w:val="none"/>
        </w:rPr>
      </w:pPr>
      <w:r>
        <w:rPr>
          <w:rFonts w:hint="eastAsia" w:ascii="宋体" w:hAnsi="宋体" w:cs="宋体"/>
          <w:b/>
          <w:color w:val="auto"/>
          <w:sz w:val="24"/>
          <w:highlight w:val="none"/>
        </w:rPr>
        <w:t>（二）</w:t>
      </w:r>
      <w:r>
        <w:rPr>
          <w:rFonts w:hint="eastAsia" w:ascii="宋体" w:hAnsi="宋体" w:cs="宋体"/>
          <w:b/>
          <w:bCs/>
          <w:color w:val="auto"/>
          <w:sz w:val="24"/>
          <w:highlight w:val="none"/>
        </w:rPr>
        <w:t>价格分（</w:t>
      </w: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 xml:space="preserve">0分） </w:t>
      </w:r>
    </w:p>
    <w:p w14:paraId="66628B30">
      <w:pPr>
        <w:spacing w:beforeLines="50" w:afterLines="50" w:line="580" w:lineRule="exact"/>
        <w:ind w:firstLine="464" w:firstLineChars="200"/>
        <w:rPr>
          <w:rFonts w:ascii="宋体" w:hAnsi="宋体" w:cs="宋体"/>
          <w:bCs/>
          <w:color w:val="auto"/>
          <w:sz w:val="24"/>
          <w:highlight w:val="none"/>
        </w:rPr>
      </w:pPr>
      <w:r>
        <w:rPr>
          <w:rFonts w:hint="eastAsia" w:ascii="宋体" w:hAnsi="宋体" w:cs="宋体"/>
          <w:bCs/>
          <w:color w:val="auto"/>
          <w:spacing w:val="-4"/>
          <w:sz w:val="24"/>
          <w:szCs w:val="20"/>
          <w:highlight w:val="none"/>
        </w:rPr>
        <w:t>（1）</w:t>
      </w:r>
      <w:r>
        <w:rPr>
          <w:rFonts w:hint="eastAsia" w:ascii="宋体" w:hAnsi="宋体" w:cs="宋体"/>
          <w:bCs/>
          <w:color w:val="auto"/>
          <w:sz w:val="24"/>
          <w:highlight w:val="none"/>
        </w:rPr>
        <w:t>价格分采用低价优先法计算，取所有技术、资信商务得分入围投标人中，投标价格最低的投标报价为评标基准价，其他投标人的价格分按照下列公式计算：</w:t>
      </w:r>
    </w:p>
    <w:p w14:paraId="30744095">
      <w:pPr>
        <w:spacing w:beforeLines="50" w:afterLines="50" w:line="5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价格分=评标基准价/投标报价×</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0</w:t>
      </w:r>
    </w:p>
    <w:p w14:paraId="2C89E71E">
      <w:pPr>
        <w:spacing w:line="580" w:lineRule="exact"/>
        <w:rPr>
          <w:rFonts w:ascii="宋体" w:hAnsi="宋体" w:cs="宋体"/>
          <w:b/>
          <w:bCs/>
          <w:color w:val="auto"/>
          <w:sz w:val="24"/>
          <w:highlight w:val="none"/>
        </w:rPr>
      </w:pPr>
      <w:r>
        <w:rPr>
          <w:rFonts w:hint="eastAsia" w:ascii="宋体" w:hAnsi="宋体" w:cs="宋体"/>
          <w:b/>
          <w:bCs/>
          <w:color w:val="auto"/>
          <w:sz w:val="24"/>
          <w:highlight w:val="none"/>
        </w:rPr>
        <w:t>（三）技术、商务、资信及其他分的计算</w:t>
      </w:r>
    </w:p>
    <w:p w14:paraId="68C8671F">
      <w:pPr>
        <w:spacing w:beforeLines="50" w:afterLines="50" w:line="58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技术、商务、资信及其他分按照评标委员会成员的独立评分结果的算术平均分计算，计算公式为：</w:t>
      </w:r>
    </w:p>
    <w:p w14:paraId="38ABB4E6">
      <w:pPr>
        <w:spacing w:beforeLines="50" w:afterLines="50" w:line="580" w:lineRule="exact"/>
        <w:ind w:firstLine="480" w:firstLineChars="200"/>
        <w:rPr>
          <w:rFonts w:hint="eastAsia" w:ascii="宋体" w:hAnsi="宋体" w:eastAsia="宋体" w:cs="宋体"/>
          <w:b/>
          <w:color w:val="auto"/>
          <w:sz w:val="24"/>
          <w:highlight w:val="none"/>
          <w:lang w:eastAsia="zh-CN"/>
        </w:rPr>
      </w:pPr>
      <w:r>
        <w:rPr>
          <w:rFonts w:hint="eastAsia" w:ascii="宋体" w:hAnsi="宋体" w:cs="宋体"/>
          <w:color w:val="auto"/>
          <w:sz w:val="24"/>
          <w:highlight w:val="none"/>
        </w:rPr>
        <w:t>技术商务资信及其他分=评标委员会所有成员有效评分合计数/</w:t>
      </w:r>
      <w:r>
        <w:rPr>
          <w:rFonts w:hint="eastAsia" w:ascii="宋体" w:hAnsi="宋体" w:cs="宋体"/>
          <w:color w:val="auto"/>
          <w:sz w:val="24"/>
          <w:highlight w:val="none"/>
          <w:lang w:val="en-US" w:eastAsia="zh-CN"/>
        </w:rPr>
        <w:t>5</w:t>
      </w:r>
    </w:p>
    <w:p w14:paraId="7B7CEDC5">
      <w:pPr>
        <w:pStyle w:val="18"/>
        <w:numPr>
          <w:ilvl w:val="0"/>
          <w:numId w:val="6"/>
        </w:numPr>
        <w:spacing w:before="120" w:after="120" w:line="580" w:lineRule="exact"/>
        <w:rPr>
          <w:rFonts w:ascii="宋体" w:hAnsi="宋体" w:cs="宋体"/>
          <w:b/>
          <w:bCs/>
          <w:color w:val="auto"/>
          <w:szCs w:val="24"/>
          <w:highlight w:val="none"/>
        </w:rPr>
      </w:pPr>
      <w:r>
        <w:rPr>
          <w:rFonts w:hint="eastAsia" w:ascii="宋体" w:hAnsi="宋体" w:cs="宋体"/>
          <w:b/>
          <w:bCs/>
          <w:color w:val="auto"/>
          <w:highlight w:val="none"/>
        </w:rPr>
        <w:t>技术分、商务分、资信及其他分评分标准，共</w:t>
      </w:r>
      <w:r>
        <w:rPr>
          <w:rFonts w:hint="eastAsia" w:ascii="宋体" w:hAnsi="宋体" w:cs="宋体"/>
          <w:b/>
          <w:bCs/>
          <w:color w:val="auto"/>
          <w:highlight w:val="none"/>
          <w:lang w:val="en-US" w:eastAsia="zh-CN"/>
        </w:rPr>
        <w:t>8</w:t>
      </w:r>
      <w:r>
        <w:rPr>
          <w:rFonts w:hint="eastAsia" w:ascii="宋体" w:hAnsi="宋体" w:cs="宋体"/>
          <w:b/>
          <w:bCs/>
          <w:color w:val="auto"/>
          <w:highlight w:val="none"/>
        </w:rPr>
        <w:t>0分</w:t>
      </w:r>
    </w:p>
    <w:tbl>
      <w:tblPr>
        <w:tblStyle w:val="24"/>
        <w:tblW w:w="9899" w:type="dxa"/>
        <w:jc w:val="center"/>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713"/>
        <w:gridCol w:w="393"/>
        <w:gridCol w:w="1437"/>
        <w:gridCol w:w="6585"/>
        <w:gridCol w:w="771"/>
      </w:tblGrid>
      <w:tr w14:paraId="36EFAA61">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314"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0287A6F1">
            <w:pPr>
              <w:keepNext w:val="0"/>
              <w:keepLines w:val="0"/>
              <w:pageBreakBefore w:val="0"/>
              <w:kinsoku/>
              <w:wordWrap/>
              <w:overflowPunct/>
              <w:topLinePunct w:val="0"/>
              <w:autoSpaceDE/>
              <w:autoSpaceDN/>
              <w:bidi w:val="0"/>
              <w:adjustRightInd/>
              <w:spacing w:line="240" w:lineRule="auto"/>
              <w:textAlignment w:val="auto"/>
              <w:rPr>
                <w:rFonts w:hint="eastAsia" w:asciiTheme="minorEastAsia" w:hAnsiTheme="minorEastAsia" w:eastAsiaTheme="minorEastAsia" w:cstheme="minorEastAsia"/>
                <w:color w:val="auto"/>
                <w:kern w:val="0"/>
                <w:sz w:val="24"/>
                <w:szCs w:val="24"/>
                <w:highlight w:val="none"/>
                <w:u w:val="none" w:color="000000"/>
              </w:rPr>
            </w:pPr>
            <w:r>
              <w:rPr>
                <w:rFonts w:hint="eastAsia" w:asciiTheme="minorEastAsia" w:hAnsiTheme="minorEastAsia" w:eastAsiaTheme="minorEastAsia" w:cstheme="minorEastAsia"/>
                <w:b/>
                <w:bCs/>
                <w:color w:val="auto"/>
                <w:kern w:val="0"/>
                <w:sz w:val="24"/>
                <w:szCs w:val="24"/>
                <w:highlight w:val="none"/>
                <w:u w:val="none" w:color="000000"/>
                <w:lang w:val="zh-TW"/>
              </w:rPr>
              <w:t>序</w:t>
            </w:r>
            <w:r>
              <w:rPr>
                <w:rFonts w:hint="eastAsia" w:asciiTheme="minorEastAsia" w:hAnsiTheme="minorEastAsia" w:eastAsiaTheme="minorEastAsia" w:cstheme="minorEastAsia"/>
                <w:b/>
                <w:bCs/>
                <w:color w:val="auto"/>
                <w:kern w:val="0"/>
                <w:sz w:val="24"/>
                <w:szCs w:val="24"/>
                <w:highlight w:val="none"/>
                <w:u w:val="none" w:color="000000"/>
                <w:lang w:val="zh-TW" w:eastAsia="zh-TW"/>
              </w:rPr>
              <w:t>号</w:t>
            </w:r>
          </w:p>
        </w:tc>
        <w:tc>
          <w:tcPr>
            <w:tcW w:w="1830" w:type="dxa"/>
            <w:gridSpan w:val="2"/>
            <w:tcBorders>
              <w:tl2br w:val="nil"/>
              <w:tr2bl w:val="nil"/>
            </w:tcBorders>
            <w:shd w:val="clear" w:color="auto" w:fill="FFFFFF"/>
            <w:noWrap w:val="0"/>
            <w:tcMar>
              <w:top w:w="80" w:type="dxa"/>
              <w:left w:w="80" w:type="dxa"/>
              <w:bottom w:w="80" w:type="dxa"/>
              <w:right w:w="80" w:type="dxa"/>
            </w:tcMar>
            <w:vAlign w:val="center"/>
          </w:tcPr>
          <w:p w14:paraId="169BCECF">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rPr>
            </w:pPr>
            <w:r>
              <w:rPr>
                <w:rFonts w:hint="eastAsia" w:asciiTheme="minorEastAsia" w:hAnsiTheme="minorEastAsia" w:eastAsiaTheme="minorEastAsia" w:cstheme="minorEastAsia"/>
                <w:b/>
                <w:bCs/>
                <w:color w:val="auto"/>
                <w:kern w:val="0"/>
                <w:sz w:val="24"/>
                <w:szCs w:val="24"/>
                <w:highlight w:val="none"/>
                <w:u w:val="none" w:color="000000"/>
                <w:lang w:val="zh-TW" w:eastAsia="zh-TW"/>
              </w:rPr>
              <w:t>评审内容</w:t>
            </w:r>
          </w:p>
        </w:tc>
        <w:tc>
          <w:tcPr>
            <w:tcW w:w="6585" w:type="dxa"/>
            <w:tcBorders>
              <w:tl2br w:val="nil"/>
              <w:tr2bl w:val="nil"/>
            </w:tcBorders>
            <w:shd w:val="clear" w:color="auto" w:fill="FFFFFF"/>
            <w:noWrap w:val="0"/>
            <w:tcMar>
              <w:top w:w="80" w:type="dxa"/>
              <w:left w:w="80" w:type="dxa"/>
              <w:bottom w:w="80" w:type="dxa"/>
              <w:right w:w="80" w:type="dxa"/>
            </w:tcMar>
            <w:vAlign w:val="center"/>
          </w:tcPr>
          <w:p w14:paraId="7DA2777A">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rPr>
            </w:pPr>
            <w:r>
              <w:rPr>
                <w:rFonts w:hint="eastAsia" w:asciiTheme="minorEastAsia" w:hAnsiTheme="minorEastAsia" w:eastAsiaTheme="minorEastAsia" w:cstheme="minorEastAsia"/>
                <w:b/>
                <w:bCs/>
                <w:color w:val="auto"/>
                <w:kern w:val="0"/>
                <w:sz w:val="24"/>
                <w:szCs w:val="24"/>
                <w:highlight w:val="none"/>
                <w:u w:val="none" w:color="000000"/>
                <w:lang w:val="zh-TW" w:eastAsia="zh-TW"/>
              </w:rPr>
              <w:t>评分标准</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47D05333">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rPr>
            </w:pPr>
            <w:r>
              <w:rPr>
                <w:rFonts w:hint="eastAsia" w:asciiTheme="minorEastAsia" w:hAnsiTheme="minorEastAsia" w:eastAsiaTheme="minorEastAsia" w:cstheme="minorEastAsia"/>
                <w:b/>
                <w:bCs/>
                <w:color w:val="auto"/>
                <w:kern w:val="0"/>
                <w:sz w:val="24"/>
                <w:szCs w:val="24"/>
                <w:highlight w:val="none"/>
                <w:u w:val="none" w:color="000000"/>
                <w:lang w:val="zh-TW" w:eastAsia="zh-TW"/>
              </w:rPr>
              <w:t>分值</w:t>
            </w:r>
          </w:p>
        </w:tc>
      </w:tr>
      <w:tr w14:paraId="6C2E7301">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329"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1D9F5EA9">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rPr>
            </w:pPr>
            <w:r>
              <w:rPr>
                <w:rFonts w:hint="eastAsia" w:asciiTheme="minorEastAsia" w:hAnsiTheme="minorEastAsia" w:eastAsiaTheme="minorEastAsia" w:cstheme="minorEastAsia"/>
                <w:color w:val="auto"/>
                <w:kern w:val="0"/>
                <w:sz w:val="24"/>
                <w:szCs w:val="24"/>
                <w:highlight w:val="none"/>
                <w:u w:val="none" w:color="000000"/>
                <w:lang w:val="zh-TW" w:eastAsia="zh-TW"/>
              </w:rPr>
              <w:t>一</w:t>
            </w:r>
          </w:p>
        </w:tc>
        <w:tc>
          <w:tcPr>
            <w:tcW w:w="8415" w:type="dxa"/>
            <w:gridSpan w:val="3"/>
            <w:tcBorders>
              <w:tl2br w:val="nil"/>
              <w:tr2bl w:val="nil"/>
            </w:tcBorders>
            <w:shd w:val="clear" w:color="auto" w:fill="FFFFFF"/>
            <w:noWrap w:val="0"/>
            <w:tcMar>
              <w:top w:w="80" w:type="dxa"/>
              <w:left w:w="80" w:type="dxa"/>
              <w:bottom w:w="80" w:type="dxa"/>
              <w:right w:w="80" w:type="dxa"/>
            </w:tcMar>
            <w:vAlign w:val="center"/>
          </w:tcPr>
          <w:p w14:paraId="28EEFE03">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rPr>
            </w:pPr>
            <w:r>
              <w:rPr>
                <w:rFonts w:hint="eastAsia" w:asciiTheme="minorEastAsia" w:hAnsiTheme="minorEastAsia" w:eastAsiaTheme="minorEastAsia" w:cstheme="minorEastAsia"/>
                <w:b/>
                <w:bCs/>
                <w:color w:val="auto"/>
                <w:kern w:val="0"/>
                <w:sz w:val="24"/>
                <w:szCs w:val="24"/>
                <w:highlight w:val="none"/>
                <w:u w:val="none" w:color="000000"/>
                <w:lang w:val="zh-TW" w:eastAsia="zh-TW"/>
              </w:rPr>
              <w:t>技术分</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4726CD62">
            <w:pPr>
              <w:keepNext w:val="0"/>
              <w:keepLines w:val="0"/>
              <w:pageBreakBefore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sz w:val="24"/>
                <w:szCs w:val="24"/>
                <w:highlight w:val="none"/>
                <w:lang w:bidi="ar"/>
              </w:rPr>
            </w:pPr>
            <w:r>
              <w:rPr>
                <w:rFonts w:hint="eastAsia" w:asciiTheme="minorEastAsia" w:hAnsiTheme="minorEastAsia" w:eastAsiaTheme="minorEastAsia" w:cstheme="minorEastAsia"/>
                <w:color w:val="auto"/>
                <w:sz w:val="24"/>
                <w:szCs w:val="24"/>
                <w:highlight w:val="none"/>
                <w:lang w:val="en-US" w:eastAsia="zh-CN" w:bidi="ar"/>
              </w:rPr>
              <w:t>65</w:t>
            </w:r>
            <w:r>
              <w:rPr>
                <w:rFonts w:hint="eastAsia" w:asciiTheme="minorEastAsia" w:hAnsiTheme="minorEastAsia" w:eastAsiaTheme="minorEastAsia" w:cstheme="minorEastAsia"/>
                <w:color w:val="auto"/>
                <w:sz w:val="24"/>
                <w:szCs w:val="24"/>
                <w:highlight w:val="none"/>
                <w:lang w:val="zh-TW" w:eastAsia="zh-TW" w:bidi="ar"/>
              </w:rPr>
              <w:t>分</w:t>
            </w:r>
          </w:p>
        </w:tc>
      </w:tr>
      <w:tr w14:paraId="1A03CEA6">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133"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588282B7">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w:t>
            </w:r>
          </w:p>
        </w:tc>
        <w:tc>
          <w:tcPr>
            <w:tcW w:w="393" w:type="dxa"/>
            <w:vMerge w:val="restart"/>
            <w:tcBorders>
              <w:tl2br w:val="nil"/>
              <w:tr2bl w:val="nil"/>
            </w:tcBorders>
            <w:shd w:val="clear" w:color="auto" w:fill="FFFFFF"/>
            <w:noWrap w:val="0"/>
            <w:tcMar>
              <w:top w:w="80" w:type="dxa"/>
              <w:left w:w="80" w:type="dxa"/>
              <w:bottom w:w="80" w:type="dxa"/>
              <w:right w:w="80" w:type="dxa"/>
            </w:tcMar>
            <w:vAlign w:val="center"/>
          </w:tcPr>
          <w:p w14:paraId="6DD02701">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Theme="minorEastAsia" w:hAnsiTheme="minorEastAsia" w:eastAsiaTheme="minorEastAsia" w:cstheme="minorEastAsia"/>
                <w:color w:val="auto"/>
                <w:sz w:val="24"/>
                <w:szCs w:val="24"/>
                <w:highlight w:val="none"/>
                <w:lang w:val="zh-TW" w:eastAsia="zh-TW"/>
              </w:rPr>
            </w:pPr>
            <w:r>
              <w:rPr>
                <w:rFonts w:hint="eastAsia" w:asciiTheme="minorEastAsia" w:hAnsiTheme="minorEastAsia" w:eastAsiaTheme="minorEastAsia" w:cstheme="minorEastAsia"/>
                <w:color w:val="auto"/>
                <w:kern w:val="0"/>
                <w:sz w:val="24"/>
                <w:szCs w:val="24"/>
                <w:highlight w:val="none"/>
                <w:lang w:val="zh-TW"/>
              </w:rPr>
              <w:t>技术水平</w:t>
            </w:r>
          </w:p>
        </w:tc>
        <w:tc>
          <w:tcPr>
            <w:tcW w:w="1437" w:type="dxa"/>
            <w:tcBorders>
              <w:bottom w:val="single" w:color="auto" w:sz="4" w:space="0"/>
              <w:tl2br w:val="nil"/>
              <w:tr2bl w:val="nil"/>
            </w:tcBorders>
            <w:shd w:val="clear" w:color="auto" w:fill="FFFFFF"/>
            <w:noWrap w:val="0"/>
            <w:tcMar>
              <w:top w:w="80" w:type="dxa"/>
              <w:left w:w="80" w:type="dxa"/>
              <w:bottom w:w="80" w:type="dxa"/>
              <w:right w:w="80" w:type="dxa"/>
            </w:tcMar>
            <w:vAlign w:val="center"/>
          </w:tcPr>
          <w:p w14:paraId="62D4CC09">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bookmarkStart w:id="50" w:name="OLE_LINK7"/>
            <w:r>
              <w:rPr>
                <w:rFonts w:hint="eastAsia" w:asciiTheme="minorEastAsia" w:hAnsiTheme="minorEastAsia" w:eastAsiaTheme="minorEastAsia" w:cstheme="minorEastAsia"/>
                <w:color w:val="auto"/>
                <w:kern w:val="2"/>
                <w:sz w:val="24"/>
                <w:szCs w:val="24"/>
                <w:highlight w:val="none"/>
                <w:lang w:val="en-US" w:eastAsia="zh-CN" w:bidi="ar-SA"/>
              </w:rPr>
              <w:t>对本项目的理解情况</w:t>
            </w:r>
            <w:bookmarkEnd w:id="50"/>
          </w:p>
        </w:tc>
        <w:tc>
          <w:tcPr>
            <w:tcW w:w="6585" w:type="dxa"/>
            <w:tcBorders>
              <w:bottom w:val="single" w:color="auto" w:sz="4" w:space="0"/>
              <w:tl2br w:val="nil"/>
              <w:tr2bl w:val="nil"/>
            </w:tcBorders>
            <w:shd w:val="clear" w:color="auto" w:fill="FFFFFF"/>
            <w:noWrap w:val="0"/>
            <w:tcMar>
              <w:top w:w="80" w:type="dxa"/>
              <w:left w:w="80" w:type="dxa"/>
              <w:bottom w:w="80" w:type="dxa"/>
              <w:right w:w="80" w:type="dxa"/>
            </w:tcMar>
            <w:vAlign w:val="center"/>
          </w:tcPr>
          <w:p w14:paraId="26051B15">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投标人对本项目的工作目的（0-2）、工作内容（0-2）、工作任务的理解和认识（0-2），理解到位且有利于本项目实施进行打分。</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0E5F665E">
            <w:pPr>
              <w:keepNext w:val="0"/>
              <w:keepLines w:val="0"/>
              <w:pageBreakBefore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6</w:t>
            </w:r>
          </w:p>
        </w:tc>
      </w:tr>
      <w:tr w14:paraId="7C2664D0">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18"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30A7BFF8">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w:t>
            </w:r>
          </w:p>
        </w:tc>
        <w:tc>
          <w:tcPr>
            <w:tcW w:w="393" w:type="dxa"/>
            <w:vMerge w:val="continue"/>
            <w:tcBorders>
              <w:tl2br w:val="nil"/>
              <w:tr2bl w:val="nil"/>
            </w:tcBorders>
            <w:shd w:val="clear" w:color="auto" w:fill="FFFFFF"/>
            <w:noWrap w:val="0"/>
            <w:tcMar>
              <w:top w:w="80" w:type="dxa"/>
              <w:left w:w="80" w:type="dxa"/>
              <w:bottom w:w="80" w:type="dxa"/>
              <w:right w:w="80" w:type="dxa"/>
            </w:tcMar>
            <w:vAlign w:val="center"/>
          </w:tcPr>
          <w:p w14:paraId="772DCB10">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Theme="minorEastAsia" w:hAnsiTheme="minorEastAsia" w:eastAsiaTheme="minorEastAsia" w:cstheme="minorEastAsia"/>
                <w:color w:val="auto"/>
                <w:kern w:val="0"/>
                <w:sz w:val="24"/>
                <w:szCs w:val="24"/>
                <w:highlight w:val="none"/>
                <w:lang w:val="zh-TW"/>
              </w:rPr>
            </w:pPr>
          </w:p>
        </w:tc>
        <w:tc>
          <w:tcPr>
            <w:tcW w:w="1437" w:type="dxa"/>
            <w:vMerge w:val="restart"/>
            <w:tcBorders>
              <w:tl2br w:val="nil"/>
              <w:tr2bl w:val="nil"/>
            </w:tcBorders>
            <w:shd w:val="clear" w:color="auto" w:fill="FFFFFF"/>
            <w:noWrap w:val="0"/>
            <w:tcMar>
              <w:top w:w="80" w:type="dxa"/>
              <w:left w:w="80" w:type="dxa"/>
              <w:bottom w:w="80" w:type="dxa"/>
              <w:right w:w="80" w:type="dxa"/>
            </w:tcMar>
            <w:vAlign w:val="center"/>
          </w:tcPr>
          <w:p w14:paraId="71230682">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bookmarkStart w:id="51" w:name="OLE_LINK11"/>
            <w:r>
              <w:rPr>
                <w:rFonts w:hint="eastAsia" w:asciiTheme="minorEastAsia" w:hAnsiTheme="minorEastAsia" w:eastAsiaTheme="minorEastAsia" w:cstheme="minorEastAsia"/>
                <w:color w:val="auto"/>
                <w:kern w:val="2"/>
                <w:sz w:val="24"/>
                <w:szCs w:val="24"/>
                <w:highlight w:val="none"/>
                <w:lang w:val="en-US" w:eastAsia="zh-CN" w:bidi="ar-SA"/>
              </w:rPr>
              <w:t>服务方案</w:t>
            </w:r>
            <w:bookmarkEnd w:id="51"/>
          </w:p>
        </w:tc>
        <w:tc>
          <w:tcPr>
            <w:tcW w:w="6585" w:type="dxa"/>
            <w:tcBorders>
              <w:bottom w:val="single" w:color="auto" w:sz="4" w:space="0"/>
              <w:tl2br w:val="nil"/>
              <w:tr2bl w:val="nil"/>
            </w:tcBorders>
            <w:shd w:val="clear" w:color="auto" w:fill="FFFFFF"/>
            <w:noWrap w:val="0"/>
            <w:tcMar>
              <w:top w:w="80" w:type="dxa"/>
              <w:left w:w="80" w:type="dxa"/>
              <w:bottom w:w="80" w:type="dxa"/>
              <w:right w:w="80" w:type="dxa"/>
            </w:tcMar>
            <w:vAlign w:val="center"/>
          </w:tcPr>
          <w:p w14:paraId="6C3B07EB">
            <w:pPr>
              <w:keepNext w:val="0"/>
              <w:keepLines w:val="0"/>
              <w:pageBreakBefore w:val="0"/>
              <w:kinsoku/>
              <w:wordWrap/>
              <w:overflowPunct/>
              <w:topLinePunct w:val="0"/>
              <w:autoSpaceDE/>
              <w:autoSpaceDN/>
              <w:bidi w:val="0"/>
              <w:adjustRightInd/>
              <w:snapToGrid w:val="0"/>
              <w:spacing w:line="240" w:lineRule="auto"/>
              <w:ind w:left="16" w:hanging="16"/>
              <w:jc w:val="left"/>
              <w:textAlignment w:val="auto"/>
              <w:rPr>
                <w:rFonts w:hint="eastAsia" w:asciiTheme="minorEastAsia" w:hAnsiTheme="minorEastAsia" w:eastAsiaTheme="minorEastAsia" w:cstheme="minorEastAsia"/>
                <w:color w:val="auto"/>
                <w:kern w:val="2"/>
                <w:sz w:val="24"/>
                <w:szCs w:val="24"/>
                <w:highlight w:val="none"/>
                <w:lang w:val="zh-CN" w:eastAsia="zh-CN" w:bidi="ar-SA"/>
              </w:rPr>
            </w:pPr>
            <w:bookmarkStart w:id="52" w:name="OLE_LINK30"/>
            <w:r>
              <w:rPr>
                <w:rFonts w:hint="eastAsia" w:asciiTheme="minorEastAsia" w:hAnsiTheme="minorEastAsia" w:eastAsiaTheme="minorEastAsia" w:cstheme="minorEastAsia"/>
                <w:color w:val="auto"/>
                <w:kern w:val="2"/>
                <w:sz w:val="24"/>
                <w:szCs w:val="24"/>
                <w:highlight w:val="none"/>
                <w:lang w:val="en-US" w:eastAsia="zh-CN" w:bidi="ar-SA"/>
              </w:rPr>
              <w:t>根据投标人提供的服务内容（0-2）、工作流程（0-2）、详细的服务标准（0-2）是否合理、全面，且具有针对性进行打分。</w:t>
            </w:r>
            <w:bookmarkEnd w:id="52"/>
          </w:p>
        </w:tc>
        <w:tc>
          <w:tcPr>
            <w:tcW w:w="771" w:type="dxa"/>
            <w:tcBorders>
              <w:tl2br w:val="nil"/>
              <w:tr2bl w:val="nil"/>
            </w:tcBorders>
            <w:shd w:val="clear" w:color="auto" w:fill="FFFFFF"/>
            <w:noWrap w:val="0"/>
            <w:tcMar>
              <w:top w:w="80" w:type="dxa"/>
              <w:left w:w="80" w:type="dxa"/>
              <w:bottom w:w="80" w:type="dxa"/>
              <w:right w:w="80" w:type="dxa"/>
            </w:tcMar>
            <w:vAlign w:val="center"/>
          </w:tcPr>
          <w:p w14:paraId="2926E508">
            <w:pPr>
              <w:keepNext w:val="0"/>
              <w:keepLines w:val="0"/>
              <w:pageBreakBefore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6</w:t>
            </w:r>
          </w:p>
        </w:tc>
      </w:tr>
      <w:tr w14:paraId="25D5414B">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5411C242">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w:t>
            </w:r>
          </w:p>
        </w:tc>
        <w:tc>
          <w:tcPr>
            <w:tcW w:w="393" w:type="dxa"/>
            <w:vMerge w:val="continue"/>
            <w:tcBorders>
              <w:tl2br w:val="nil"/>
              <w:tr2bl w:val="nil"/>
            </w:tcBorders>
            <w:shd w:val="clear" w:color="auto" w:fill="FFFFFF"/>
            <w:noWrap w:val="0"/>
            <w:tcMar>
              <w:top w:w="80" w:type="dxa"/>
              <w:left w:w="80" w:type="dxa"/>
              <w:bottom w:w="80" w:type="dxa"/>
              <w:right w:w="80" w:type="dxa"/>
            </w:tcMar>
            <w:vAlign w:val="center"/>
          </w:tcPr>
          <w:p w14:paraId="35FDE595">
            <w:pPr>
              <w:keepNext w:val="0"/>
              <w:keepLines w:val="0"/>
              <w:pageBreakBefore w:val="0"/>
              <w:kinsoku/>
              <w:wordWrap/>
              <w:overflowPunct/>
              <w:topLinePunct w:val="0"/>
              <w:autoSpaceDE/>
              <w:autoSpaceDN/>
              <w:bidi w:val="0"/>
              <w:adjustRightInd/>
              <w:snapToGrid w:val="0"/>
              <w:spacing w:line="240" w:lineRule="auto"/>
              <w:ind w:left="16" w:hanging="16"/>
              <w:jc w:val="left"/>
              <w:textAlignment w:val="auto"/>
              <w:rPr>
                <w:rFonts w:hint="eastAsia" w:asciiTheme="minorEastAsia" w:hAnsiTheme="minorEastAsia" w:eastAsiaTheme="minorEastAsia" w:cstheme="minorEastAsia"/>
                <w:color w:val="auto"/>
                <w:highlight w:val="none"/>
              </w:rPr>
            </w:pPr>
          </w:p>
        </w:tc>
        <w:tc>
          <w:tcPr>
            <w:tcW w:w="1437" w:type="dxa"/>
            <w:vMerge w:val="continue"/>
            <w:tcBorders>
              <w:tl2br w:val="nil"/>
              <w:tr2bl w:val="nil"/>
            </w:tcBorders>
            <w:shd w:val="clear" w:color="auto" w:fill="FFFFFF"/>
            <w:noWrap w:val="0"/>
            <w:tcMar>
              <w:top w:w="80" w:type="dxa"/>
              <w:left w:w="80" w:type="dxa"/>
              <w:bottom w:w="80" w:type="dxa"/>
              <w:right w:w="80" w:type="dxa"/>
            </w:tcMar>
            <w:vAlign w:val="center"/>
          </w:tcPr>
          <w:p w14:paraId="4E04ED08">
            <w:pPr>
              <w:keepNext w:val="0"/>
              <w:keepLines w:val="0"/>
              <w:pageBreakBefore w:val="0"/>
              <w:kinsoku/>
              <w:wordWrap/>
              <w:overflowPunct/>
              <w:topLinePunct w:val="0"/>
              <w:autoSpaceDE/>
              <w:autoSpaceDN/>
              <w:bidi w:val="0"/>
              <w:adjustRightInd/>
              <w:snapToGrid w:val="0"/>
              <w:spacing w:line="240" w:lineRule="auto"/>
              <w:ind w:left="16" w:hanging="16"/>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p>
        </w:tc>
        <w:tc>
          <w:tcPr>
            <w:tcW w:w="6585" w:type="dxa"/>
            <w:tcBorders>
              <w:bottom w:val="single" w:color="auto" w:sz="4" w:space="0"/>
              <w:tl2br w:val="nil"/>
              <w:tr2bl w:val="nil"/>
            </w:tcBorders>
            <w:shd w:val="clear" w:color="auto" w:fill="FFFFFF"/>
            <w:noWrap w:val="0"/>
            <w:tcMar>
              <w:top w:w="80" w:type="dxa"/>
              <w:left w:w="80" w:type="dxa"/>
              <w:bottom w:w="80" w:type="dxa"/>
              <w:right w:w="80" w:type="dxa"/>
            </w:tcMar>
            <w:vAlign w:val="center"/>
          </w:tcPr>
          <w:p w14:paraId="08F87749">
            <w:pPr>
              <w:keepNext w:val="0"/>
              <w:keepLines w:val="0"/>
              <w:pageBreakBefore w:val="0"/>
              <w:kinsoku/>
              <w:wordWrap/>
              <w:overflowPunct/>
              <w:topLinePunct w:val="0"/>
              <w:autoSpaceDE/>
              <w:autoSpaceDN/>
              <w:bidi w:val="0"/>
              <w:adjustRightInd/>
              <w:snapToGrid w:val="0"/>
              <w:spacing w:line="240" w:lineRule="auto"/>
              <w:ind w:left="16" w:leftChars="0" w:hanging="16" w:firstLineChars="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根据投标人对系统录入的工作内容（0-2）、工作的任务理解、认识定位（0-2）是否详细、充分等内容进行打分。</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102D2E60">
            <w:pPr>
              <w:keepNext w:val="0"/>
              <w:keepLines w:val="0"/>
              <w:pageBreakBefore w:val="0"/>
              <w:kinsoku/>
              <w:wordWrap/>
              <w:overflowPunct/>
              <w:topLinePunct w:val="0"/>
              <w:autoSpaceDE/>
              <w:autoSpaceDN/>
              <w:bidi w:val="0"/>
              <w:adjustRightInd/>
              <w:snapToGrid w:val="0"/>
              <w:spacing w:line="240" w:lineRule="auto"/>
              <w:ind w:left="16" w:leftChars="0" w:hanging="16" w:firstLineChars="0"/>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4</w:t>
            </w:r>
          </w:p>
        </w:tc>
      </w:tr>
      <w:tr w14:paraId="30DC5A94">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4513E8BC">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4</w:t>
            </w:r>
          </w:p>
        </w:tc>
        <w:tc>
          <w:tcPr>
            <w:tcW w:w="393" w:type="dxa"/>
            <w:vMerge w:val="continue"/>
            <w:tcBorders>
              <w:tl2br w:val="nil"/>
              <w:tr2bl w:val="nil"/>
            </w:tcBorders>
            <w:shd w:val="clear" w:color="auto" w:fill="FFFFFF"/>
            <w:noWrap w:val="0"/>
            <w:tcMar>
              <w:top w:w="80" w:type="dxa"/>
              <w:left w:w="80" w:type="dxa"/>
              <w:bottom w:w="80" w:type="dxa"/>
              <w:right w:w="80" w:type="dxa"/>
            </w:tcMar>
            <w:vAlign w:val="center"/>
          </w:tcPr>
          <w:p w14:paraId="0CDAA776">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Theme="minorEastAsia" w:hAnsiTheme="minorEastAsia" w:eastAsiaTheme="minorEastAsia" w:cstheme="minorEastAsia"/>
                <w:color w:val="auto"/>
                <w:kern w:val="0"/>
                <w:sz w:val="24"/>
                <w:szCs w:val="24"/>
                <w:highlight w:val="none"/>
                <w:lang w:val="zh-TW"/>
              </w:rPr>
            </w:pPr>
          </w:p>
        </w:tc>
        <w:tc>
          <w:tcPr>
            <w:tcW w:w="1437" w:type="dxa"/>
            <w:tcBorders>
              <w:tl2br w:val="nil"/>
              <w:tr2bl w:val="nil"/>
            </w:tcBorders>
            <w:shd w:val="clear" w:color="auto" w:fill="FFFFFF"/>
            <w:noWrap w:val="0"/>
            <w:tcMar>
              <w:top w:w="80" w:type="dxa"/>
              <w:left w:w="80" w:type="dxa"/>
              <w:bottom w:w="80" w:type="dxa"/>
              <w:right w:w="80" w:type="dxa"/>
            </w:tcMar>
            <w:vAlign w:val="center"/>
          </w:tcPr>
          <w:p w14:paraId="46074E13">
            <w:pPr>
              <w:pStyle w:val="64"/>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管理措施及验收</w:t>
            </w:r>
          </w:p>
        </w:tc>
        <w:tc>
          <w:tcPr>
            <w:tcW w:w="6585" w:type="dxa"/>
            <w:tcBorders>
              <w:bottom w:val="single" w:color="auto" w:sz="4" w:space="0"/>
              <w:tl2br w:val="nil"/>
              <w:tr2bl w:val="nil"/>
            </w:tcBorders>
            <w:shd w:val="clear" w:color="auto" w:fill="FFFFFF"/>
            <w:noWrap w:val="0"/>
            <w:tcMar>
              <w:top w:w="80" w:type="dxa"/>
              <w:left w:w="80" w:type="dxa"/>
              <w:bottom w:w="80" w:type="dxa"/>
              <w:right w:w="80" w:type="dxa"/>
            </w:tcMar>
            <w:vAlign w:val="center"/>
          </w:tcPr>
          <w:p w14:paraId="6A05342E">
            <w:pPr>
              <w:pStyle w:val="64"/>
              <w:keepNext w:val="0"/>
              <w:keepLines w:val="0"/>
              <w:pageBreakBefore w:val="0"/>
              <w:kinsoku/>
              <w:wordWrap/>
              <w:overflowPunct/>
              <w:topLinePunct w:val="0"/>
              <w:autoSpaceDE/>
              <w:autoSpaceDN/>
              <w:bidi w:val="0"/>
              <w:adjustRightInd/>
              <w:spacing w:line="240" w:lineRule="auto"/>
              <w:jc w:val="left"/>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项目管理措施是否到位（0-3），项目成果验收方案（0-3）是否完善等内容进行评审。</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6722590D">
            <w:pPr>
              <w:pStyle w:val="64"/>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6</w:t>
            </w:r>
          </w:p>
        </w:tc>
      </w:tr>
      <w:tr w14:paraId="329E897E">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7E72EA09">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5</w:t>
            </w:r>
          </w:p>
        </w:tc>
        <w:tc>
          <w:tcPr>
            <w:tcW w:w="393" w:type="dxa"/>
            <w:vMerge w:val="continue"/>
            <w:tcBorders>
              <w:tl2br w:val="nil"/>
              <w:tr2bl w:val="nil"/>
            </w:tcBorders>
            <w:shd w:val="clear" w:color="auto" w:fill="FFFFFF"/>
            <w:noWrap w:val="0"/>
            <w:tcMar>
              <w:top w:w="80" w:type="dxa"/>
              <w:left w:w="80" w:type="dxa"/>
              <w:bottom w:w="80" w:type="dxa"/>
              <w:right w:w="80" w:type="dxa"/>
            </w:tcMar>
            <w:vAlign w:val="center"/>
          </w:tcPr>
          <w:p w14:paraId="0F3A9306">
            <w:pPr>
              <w:keepNext w:val="0"/>
              <w:keepLines w:val="0"/>
              <w:pageBreakBefore w:val="0"/>
              <w:kinsoku/>
              <w:wordWrap/>
              <w:overflowPunct/>
              <w:topLinePunct w:val="0"/>
              <w:autoSpaceDE/>
              <w:autoSpaceDN/>
              <w:bidi w:val="0"/>
              <w:adjustRightInd/>
              <w:snapToGrid w:val="0"/>
              <w:spacing w:line="240" w:lineRule="auto"/>
              <w:jc w:val="center"/>
              <w:textAlignment w:val="auto"/>
              <w:rPr>
                <w:rFonts w:hint="eastAsia" w:asciiTheme="minorEastAsia" w:hAnsiTheme="minorEastAsia" w:eastAsiaTheme="minorEastAsia" w:cstheme="minorEastAsia"/>
                <w:color w:val="auto"/>
                <w:kern w:val="0"/>
                <w:sz w:val="24"/>
                <w:szCs w:val="24"/>
                <w:highlight w:val="none"/>
                <w:lang w:val="zh-TW"/>
              </w:rPr>
            </w:pPr>
          </w:p>
        </w:tc>
        <w:tc>
          <w:tcPr>
            <w:tcW w:w="1437" w:type="dxa"/>
            <w:tcBorders>
              <w:tl2br w:val="nil"/>
              <w:tr2bl w:val="nil"/>
            </w:tcBorders>
            <w:shd w:val="clear" w:color="auto" w:fill="FFFFFF"/>
            <w:noWrap w:val="0"/>
            <w:tcMar>
              <w:top w:w="80" w:type="dxa"/>
              <w:left w:w="80" w:type="dxa"/>
              <w:bottom w:w="80" w:type="dxa"/>
              <w:right w:w="80" w:type="dxa"/>
            </w:tcMar>
            <w:vAlign w:val="center"/>
          </w:tcPr>
          <w:p w14:paraId="0FC3D27D">
            <w:pPr>
              <w:pStyle w:val="64"/>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kern w:val="2"/>
                <w:sz w:val="24"/>
                <w:szCs w:val="24"/>
                <w:highlight w:val="none"/>
                <w:lang w:val="zh-CN" w:eastAsia="zh-CN" w:bidi="ar-SA"/>
              </w:rPr>
            </w:pPr>
            <w:r>
              <w:rPr>
                <w:rFonts w:hint="eastAsia" w:asciiTheme="minorEastAsia" w:hAnsiTheme="minorEastAsia" w:eastAsiaTheme="minorEastAsia" w:cstheme="minorEastAsia"/>
                <w:i w:val="0"/>
                <w:iCs w:val="0"/>
                <w:color w:val="auto"/>
                <w:sz w:val="24"/>
                <w:szCs w:val="24"/>
                <w:highlight w:val="none"/>
              </w:rPr>
              <w:t>技术方案</w:t>
            </w:r>
          </w:p>
        </w:tc>
        <w:tc>
          <w:tcPr>
            <w:tcW w:w="6585" w:type="dxa"/>
            <w:tcBorders>
              <w:bottom w:val="single" w:color="auto" w:sz="4" w:space="0"/>
              <w:tl2br w:val="nil"/>
              <w:tr2bl w:val="nil"/>
            </w:tcBorders>
            <w:shd w:val="clear" w:color="auto" w:fill="FFFFFF"/>
            <w:noWrap w:val="0"/>
            <w:tcMar>
              <w:top w:w="80" w:type="dxa"/>
              <w:left w:w="80" w:type="dxa"/>
              <w:bottom w:w="80" w:type="dxa"/>
              <w:right w:w="80" w:type="dxa"/>
            </w:tcMar>
            <w:vAlign w:val="center"/>
          </w:tcPr>
          <w:p w14:paraId="685CA7FA">
            <w:pPr>
              <w:pStyle w:val="64"/>
              <w:keepNext w:val="0"/>
              <w:keepLines w:val="0"/>
              <w:pageBreakBefore w:val="0"/>
              <w:kinsoku/>
              <w:wordWrap/>
              <w:overflowPunct/>
              <w:topLinePunct w:val="0"/>
              <w:autoSpaceDE/>
              <w:autoSpaceDN/>
              <w:bidi w:val="0"/>
              <w:adjustRightInd/>
              <w:spacing w:line="240" w:lineRule="auto"/>
              <w:jc w:val="left"/>
              <w:rPr>
                <w:rFonts w:hint="eastAsia" w:asciiTheme="minorEastAsia" w:hAnsiTheme="minorEastAsia" w:eastAsiaTheme="minorEastAsia" w:cstheme="minorEastAsia"/>
                <w:color w:val="auto"/>
                <w:kern w:val="2"/>
                <w:sz w:val="24"/>
                <w:szCs w:val="24"/>
                <w:highlight w:val="none"/>
                <w:lang w:val="zh-CN" w:eastAsia="zh-CN" w:bidi="ar-SA"/>
              </w:rPr>
            </w:pPr>
            <w:r>
              <w:rPr>
                <w:rFonts w:hint="eastAsia" w:asciiTheme="minorEastAsia" w:hAnsiTheme="minorEastAsia" w:eastAsiaTheme="minorEastAsia" w:cstheme="minorEastAsia"/>
                <w:color w:val="auto"/>
                <w:kern w:val="2"/>
                <w:sz w:val="24"/>
                <w:szCs w:val="24"/>
                <w:highlight w:val="none"/>
                <w:lang w:val="zh-CN" w:eastAsia="zh-CN" w:bidi="ar-SA"/>
              </w:rPr>
              <w:t>根据</w:t>
            </w:r>
            <w:r>
              <w:rPr>
                <w:rFonts w:hint="eastAsia" w:asciiTheme="minorEastAsia" w:hAnsiTheme="minorEastAsia" w:eastAsiaTheme="minorEastAsia" w:cstheme="minorEastAsia"/>
                <w:color w:val="auto"/>
                <w:kern w:val="2"/>
                <w:sz w:val="24"/>
                <w:szCs w:val="24"/>
                <w:highlight w:val="none"/>
                <w:lang w:val="en-US" w:eastAsia="zh-CN" w:bidi="ar-SA"/>
              </w:rPr>
              <w:t>投标人</w:t>
            </w:r>
            <w:r>
              <w:rPr>
                <w:rFonts w:hint="eastAsia" w:asciiTheme="minorEastAsia" w:hAnsiTheme="minorEastAsia" w:eastAsiaTheme="minorEastAsia" w:cstheme="minorEastAsia"/>
                <w:color w:val="auto"/>
                <w:kern w:val="2"/>
                <w:sz w:val="24"/>
                <w:szCs w:val="24"/>
                <w:highlight w:val="none"/>
                <w:lang w:val="zh-CN" w:eastAsia="zh-CN" w:bidi="ar-SA"/>
              </w:rPr>
              <w:t>提供的项目技术方案的编制完整性（0-2）、格式规范（0-2）、内容齐全表述准确、条理清晰（0-2）等内容进行评审。</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520A6D5B">
            <w:pPr>
              <w:pStyle w:val="64"/>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6</w:t>
            </w:r>
          </w:p>
        </w:tc>
      </w:tr>
      <w:tr w14:paraId="6DC6D528">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262"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1611AF81">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6</w:t>
            </w:r>
          </w:p>
        </w:tc>
        <w:tc>
          <w:tcPr>
            <w:tcW w:w="393" w:type="dxa"/>
            <w:vMerge w:val="continue"/>
            <w:tcBorders>
              <w:tl2br w:val="nil"/>
              <w:tr2bl w:val="nil"/>
            </w:tcBorders>
            <w:shd w:val="clear" w:color="auto" w:fill="auto"/>
            <w:noWrap w:val="0"/>
            <w:vAlign w:val="center"/>
          </w:tcPr>
          <w:p w14:paraId="33E89324">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highlight w:val="none"/>
              </w:rPr>
            </w:pPr>
          </w:p>
        </w:tc>
        <w:tc>
          <w:tcPr>
            <w:tcW w:w="1437" w:type="dxa"/>
            <w:tcBorders>
              <w:tl2br w:val="nil"/>
              <w:tr2bl w:val="nil"/>
            </w:tcBorders>
            <w:shd w:val="clear" w:color="auto" w:fill="FFFFFF"/>
            <w:noWrap w:val="0"/>
            <w:tcMar>
              <w:top w:w="80" w:type="dxa"/>
              <w:left w:w="80" w:type="dxa"/>
              <w:bottom w:w="80" w:type="dxa"/>
              <w:right w:w="80" w:type="dxa"/>
            </w:tcMar>
            <w:vAlign w:val="center"/>
          </w:tcPr>
          <w:p w14:paraId="252201D9">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bookmarkStart w:id="53" w:name="OLE_LINK21"/>
            <w:r>
              <w:rPr>
                <w:rFonts w:hint="eastAsia" w:asciiTheme="minorEastAsia" w:hAnsiTheme="minorEastAsia" w:eastAsiaTheme="minorEastAsia" w:cstheme="minorEastAsia"/>
                <w:color w:val="auto"/>
                <w:kern w:val="2"/>
                <w:sz w:val="24"/>
                <w:szCs w:val="24"/>
                <w:highlight w:val="none"/>
                <w:lang w:val="en-US" w:eastAsia="zh-CN" w:bidi="ar-SA"/>
              </w:rPr>
              <w:t>拟投入项目组成员</w:t>
            </w:r>
            <w:bookmarkEnd w:id="53"/>
          </w:p>
        </w:tc>
        <w:tc>
          <w:tcPr>
            <w:tcW w:w="6585" w:type="dxa"/>
            <w:tcBorders>
              <w:tl2br w:val="nil"/>
              <w:tr2bl w:val="nil"/>
            </w:tcBorders>
            <w:shd w:val="clear" w:color="auto" w:fill="FFFFFF"/>
            <w:noWrap w:val="0"/>
            <w:tcMar>
              <w:top w:w="80" w:type="dxa"/>
              <w:left w:w="80" w:type="dxa"/>
              <w:bottom w:w="80" w:type="dxa"/>
              <w:right w:w="80" w:type="dxa"/>
            </w:tcMar>
            <w:vAlign w:val="center"/>
          </w:tcPr>
          <w:p w14:paraId="792044B3">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bookmarkStart w:id="54" w:name="OLE_LINK33"/>
            <w:r>
              <w:rPr>
                <w:rFonts w:hint="eastAsia" w:asciiTheme="minorEastAsia" w:hAnsiTheme="minorEastAsia" w:eastAsiaTheme="minorEastAsia" w:cstheme="minorEastAsia"/>
                <w:color w:val="auto"/>
                <w:kern w:val="2"/>
                <w:sz w:val="24"/>
                <w:szCs w:val="24"/>
                <w:highlight w:val="none"/>
                <w:lang w:val="en-US" w:eastAsia="zh-CN" w:bidi="ar-SA"/>
              </w:rPr>
              <w:t>1.根据拟投入本项目的项目负责人具备相关专业</w:t>
            </w:r>
            <w:r>
              <w:rPr>
                <w:rFonts w:hint="eastAsia" w:asciiTheme="minorEastAsia" w:hAnsiTheme="minorEastAsia" w:eastAsiaTheme="minorEastAsia" w:cstheme="minorEastAsia"/>
                <w:color w:val="auto"/>
                <w:sz w:val="24"/>
                <w:szCs w:val="24"/>
                <w:highlight w:val="none"/>
                <w:lang w:val="en-US" w:eastAsia="zh-CN"/>
              </w:rPr>
              <w:t>（土地规划、测绘、土地资源管理）</w:t>
            </w:r>
            <w:r>
              <w:rPr>
                <w:rFonts w:hint="eastAsia" w:asciiTheme="minorEastAsia" w:hAnsiTheme="minorEastAsia" w:eastAsiaTheme="minorEastAsia" w:cstheme="minorEastAsia"/>
                <w:color w:val="auto"/>
                <w:kern w:val="2"/>
                <w:sz w:val="24"/>
                <w:szCs w:val="24"/>
                <w:highlight w:val="none"/>
                <w:lang w:val="en-US" w:eastAsia="zh-CN" w:bidi="ar-SA"/>
              </w:rPr>
              <w:t>高级工程师得3分，中级工程师得1分。</w:t>
            </w:r>
          </w:p>
          <w:p w14:paraId="19CD5807">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2.根据拟投入本项目的技术负责人具备相关专业</w:t>
            </w:r>
            <w:r>
              <w:rPr>
                <w:rFonts w:hint="eastAsia" w:asciiTheme="minorEastAsia" w:hAnsiTheme="minorEastAsia" w:eastAsiaTheme="minorEastAsia" w:cstheme="minorEastAsia"/>
                <w:color w:val="auto"/>
                <w:sz w:val="24"/>
                <w:szCs w:val="24"/>
                <w:highlight w:val="none"/>
                <w:lang w:val="en-US" w:eastAsia="zh-CN"/>
              </w:rPr>
              <w:t>（土地规划、测绘、土地资源管理）</w:t>
            </w:r>
            <w:r>
              <w:rPr>
                <w:rFonts w:hint="eastAsia" w:asciiTheme="minorEastAsia" w:hAnsiTheme="minorEastAsia" w:eastAsiaTheme="minorEastAsia" w:cstheme="minorEastAsia"/>
                <w:color w:val="auto"/>
                <w:kern w:val="2"/>
                <w:sz w:val="24"/>
                <w:szCs w:val="24"/>
                <w:highlight w:val="none"/>
                <w:lang w:val="en-US" w:eastAsia="zh-CN" w:bidi="ar-SA"/>
              </w:rPr>
              <w:t>高级工程师得3分，中级工程师得1分。</w:t>
            </w:r>
          </w:p>
          <w:p w14:paraId="1FDC127E">
            <w:pPr>
              <w:spacing w:line="240" w:lineRule="auto"/>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3.根据</w:t>
            </w:r>
            <w:r>
              <w:rPr>
                <w:rFonts w:hint="eastAsia" w:asciiTheme="minorEastAsia" w:hAnsiTheme="minorEastAsia" w:eastAsiaTheme="minorEastAsia" w:cstheme="minorEastAsia"/>
                <w:color w:val="auto"/>
                <w:sz w:val="24"/>
                <w:szCs w:val="24"/>
                <w:highlight w:val="none"/>
              </w:rPr>
              <w:t>拟投入本项目的项目团队（除项目负责人</w:t>
            </w:r>
            <w:r>
              <w:rPr>
                <w:rFonts w:hint="eastAsia" w:asciiTheme="minorEastAsia" w:hAnsiTheme="minorEastAsia" w:eastAsiaTheme="minorEastAsia" w:cstheme="minorEastAsia"/>
                <w:color w:val="auto"/>
                <w:sz w:val="24"/>
                <w:szCs w:val="24"/>
                <w:highlight w:val="none"/>
                <w:lang w:val="en-US" w:eastAsia="zh-CN"/>
              </w:rPr>
              <w:t>和技术负责人</w:t>
            </w:r>
            <w:r>
              <w:rPr>
                <w:rFonts w:hint="eastAsia" w:asciiTheme="minorEastAsia" w:hAnsiTheme="minorEastAsia" w:eastAsiaTheme="minorEastAsia" w:cstheme="minorEastAsia"/>
                <w:color w:val="auto"/>
                <w:sz w:val="24"/>
                <w:szCs w:val="24"/>
                <w:highlight w:val="none"/>
              </w:rPr>
              <w:t>）整体能力情况及人员配置合理性</w:t>
            </w:r>
            <w:r>
              <w:rPr>
                <w:rFonts w:hint="eastAsia" w:asciiTheme="minorEastAsia" w:hAnsiTheme="minorEastAsia" w:eastAsiaTheme="minorEastAsia" w:cstheme="minorEastAsia"/>
                <w:color w:val="auto"/>
                <w:sz w:val="24"/>
                <w:szCs w:val="24"/>
                <w:highlight w:val="none"/>
                <w:lang w:eastAsia="zh-CN"/>
              </w:rPr>
              <w:t>。</w:t>
            </w:r>
          </w:p>
          <w:p w14:paraId="4153EBBF">
            <w:pPr>
              <w:keepNext w:val="0"/>
              <w:keepLines w:val="0"/>
              <w:pageBreakBefore w:val="0"/>
              <w:kinsoku/>
              <w:wordWrap/>
              <w:overflowPunct/>
              <w:topLinePunct w:val="0"/>
              <w:autoSpaceDE/>
              <w:autoSpaceDN/>
              <w:bidi w:val="0"/>
              <w:adjustRightInd/>
              <w:snapToGrid/>
              <w:spacing w:line="320" w:lineRule="exact"/>
              <w:jc w:val="both"/>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其中：</w:t>
            </w:r>
          </w:p>
          <w:p w14:paraId="2B276164">
            <w:pPr>
              <w:spacing w:line="240" w:lineRule="auto"/>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团队人员</w:t>
            </w:r>
            <w:r>
              <w:rPr>
                <w:rFonts w:hint="eastAsia" w:asciiTheme="minorEastAsia" w:hAnsiTheme="minorEastAsia" w:eastAsiaTheme="minorEastAsia" w:cstheme="minorEastAsia"/>
                <w:color w:val="auto"/>
                <w:sz w:val="24"/>
                <w:szCs w:val="24"/>
                <w:highlight w:val="none"/>
                <w:lang w:val="en-US" w:eastAsia="zh-CN"/>
              </w:rPr>
              <w:t>中具有相关专业（土地规划、测绘、土地资源管理）高级及以上技术职称，每人得1分，最高得5分。</w:t>
            </w:r>
          </w:p>
          <w:p w14:paraId="55C71C52">
            <w:pPr>
              <w:spacing w:line="240" w:lineRule="auto"/>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团队人员中具有相关专业（土地规划、测绘、土地资源管理）中级工程师职称的每人得0.5分，最高得3分；</w:t>
            </w:r>
          </w:p>
          <w:p w14:paraId="00243F30">
            <w:pPr>
              <w:spacing w:line="240" w:lineRule="auto"/>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注：同一人员不重复计分</w:t>
            </w:r>
          </w:p>
          <w:p w14:paraId="46CA505C">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（必须是投标人本单位在职员工，须提供已在本单位缴纳社保的承诺书或社保缴纳清单并加盖投标人公章，否则不得分。）</w:t>
            </w:r>
            <w:bookmarkEnd w:id="54"/>
          </w:p>
        </w:tc>
        <w:tc>
          <w:tcPr>
            <w:tcW w:w="771" w:type="dxa"/>
            <w:tcBorders>
              <w:tl2br w:val="nil"/>
              <w:tr2bl w:val="nil"/>
            </w:tcBorders>
            <w:shd w:val="clear" w:color="auto" w:fill="FFFFFF"/>
            <w:noWrap w:val="0"/>
            <w:tcMar>
              <w:top w:w="80" w:type="dxa"/>
              <w:left w:w="80" w:type="dxa"/>
              <w:bottom w:w="80" w:type="dxa"/>
              <w:right w:w="80" w:type="dxa"/>
            </w:tcMar>
            <w:vAlign w:val="center"/>
          </w:tcPr>
          <w:p w14:paraId="56C2FEE9">
            <w:pPr>
              <w:keepNext w:val="0"/>
              <w:keepLines w:val="0"/>
              <w:pageBreakBefore w:val="0"/>
              <w:kinsoku/>
              <w:wordWrap/>
              <w:overflowPunct/>
              <w:topLinePunct w:val="0"/>
              <w:autoSpaceDE/>
              <w:autoSpaceDN/>
              <w:bidi w:val="0"/>
              <w:adjustRightInd/>
              <w:spacing w:line="240" w:lineRule="auto"/>
              <w:jc w:val="center"/>
              <w:textAlignment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14</w:t>
            </w:r>
          </w:p>
        </w:tc>
      </w:tr>
      <w:tr w14:paraId="21387C38">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386"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48EB6C07">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7</w:t>
            </w:r>
          </w:p>
        </w:tc>
        <w:tc>
          <w:tcPr>
            <w:tcW w:w="393" w:type="dxa"/>
            <w:vMerge w:val="continue"/>
            <w:tcBorders>
              <w:tl2br w:val="nil"/>
              <w:tr2bl w:val="nil"/>
            </w:tcBorders>
            <w:shd w:val="clear" w:color="auto" w:fill="auto"/>
            <w:noWrap w:val="0"/>
            <w:vAlign w:val="center"/>
          </w:tcPr>
          <w:p w14:paraId="670D721E">
            <w:pPr>
              <w:keepNext w:val="0"/>
              <w:keepLines w:val="0"/>
              <w:pageBreakBefore w:val="0"/>
              <w:widowControl/>
              <w:kinsoku/>
              <w:wordWrap/>
              <w:overflowPunct/>
              <w:topLinePunct w:val="0"/>
              <w:autoSpaceDE/>
              <w:autoSpaceDN/>
              <w:bidi w:val="0"/>
              <w:adjustRightInd/>
              <w:spacing w:line="240" w:lineRule="auto"/>
              <w:jc w:val="left"/>
              <w:textAlignment w:val="auto"/>
              <w:rPr>
                <w:rFonts w:hint="eastAsia" w:asciiTheme="minorEastAsia" w:hAnsiTheme="minorEastAsia" w:eastAsiaTheme="minorEastAsia" w:cstheme="minorEastAsia"/>
                <w:color w:val="auto"/>
                <w:sz w:val="24"/>
                <w:szCs w:val="24"/>
                <w:highlight w:val="none"/>
                <w:lang w:val="zh-TW" w:eastAsia="zh-TW"/>
              </w:rPr>
            </w:pPr>
          </w:p>
        </w:tc>
        <w:tc>
          <w:tcPr>
            <w:tcW w:w="1437" w:type="dxa"/>
            <w:tcBorders>
              <w:tl2br w:val="nil"/>
              <w:tr2bl w:val="nil"/>
            </w:tcBorders>
            <w:shd w:val="clear" w:color="auto" w:fill="auto"/>
            <w:noWrap w:val="0"/>
            <w:vAlign w:val="center"/>
          </w:tcPr>
          <w:p w14:paraId="4871DDA7">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bookmarkStart w:id="55" w:name="OLE_LINK12"/>
            <w:r>
              <w:rPr>
                <w:rFonts w:hint="eastAsia" w:asciiTheme="minorEastAsia" w:hAnsiTheme="minorEastAsia" w:eastAsiaTheme="minorEastAsia" w:cstheme="minorEastAsia"/>
                <w:color w:val="auto"/>
                <w:kern w:val="2"/>
                <w:sz w:val="24"/>
                <w:szCs w:val="24"/>
                <w:highlight w:val="none"/>
                <w:lang w:val="en-US" w:eastAsia="zh-CN" w:bidi="ar-SA"/>
              </w:rPr>
              <w:t>质量保障措施</w:t>
            </w:r>
            <w:bookmarkEnd w:id="55"/>
          </w:p>
        </w:tc>
        <w:tc>
          <w:tcPr>
            <w:tcW w:w="6585" w:type="dxa"/>
            <w:tcBorders>
              <w:tl2br w:val="nil"/>
              <w:tr2bl w:val="nil"/>
            </w:tcBorders>
            <w:shd w:val="clear" w:color="auto" w:fill="FFFFFF"/>
            <w:noWrap w:val="0"/>
            <w:tcMar>
              <w:top w:w="80" w:type="dxa"/>
              <w:left w:w="80" w:type="dxa"/>
              <w:bottom w:w="80" w:type="dxa"/>
              <w:right w:w="80" w:type="dxa"/>
            </w:tcMar>
            <w:vAlign w:val="center"/>
          </w:tcPr>
          <w:p w14:paraId="409E9EE7">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保障制度是否齐全（0-2），保证措施是否严密可行（0-2）等内容进行评审。</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4793FFD7">
            <w:pPr>
              <w:keepNext w:val="0"/>
              <w:keepLines w:val="0"/>
              <w:pageBreakBefore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4</w:t>
            </w:r>
          </w:p>
        </w:tc>
      </w:tr>
      <w:tr w14:paraId="24445926">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17"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4AD0CF1A">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8</w:t>
            </w:r>
          </w:p>
        </w:tc>
        <w:tc>
          <w:tcPr>
            <w:tcW w:w="393" w:type="dxa"/>
            <w:vMerge w:val="continue"/>
            <w:tcBorders>
              <w:tl2br w:val="nil"/>
              <w:tr2bl w:val="nil"/>
            </w:tcBorders>
            <w:shd w:val="clear" w:color="auto" w:fill="auto"/>
            <w:noWrap w:val="0"/>
            <w:vAlign w:val="center"/>
          </w:tcPr>
          <w:p w14:paraId="46A8A71E">
            <w:pPr>
              <w:keepNext w:val="0"/>
              <w:keepLines w:val="0"/>
              <w:pageBreakBefore w:val="0"/>
              <w:widowControl/>
              <w:kinsoku/>
              <w:wordWrap/>
              <w:overflowPunct/>
              <w:topLinePunct w:val="0"/>
              <w:autoSpaceDE/>
              <w:autoSpaceDN/>
              <w:bidi w:val="0"/>
              <w:adjustRightInd/>
              <w:spacing w:line="240" w:lineRule="auto"/>
              <w:jc w:val="left"/>
              <w:textAlignment w:val="auto"/>
              <w:rPr>
                <w:rFonts w:hint="eastAsia" w:asciiTheme="minorEastAsia" w:hAnsiTheme="minorEastAsia" w:eastAsiaTheme="minorEastAsia" w:cstheme="minorEastAsia"/>
                <w:color w:val="auto"/>
                <w:sz w:val="24"/>
                <w:szCs w:val="24"/>
                <w:highlight w:val="none"/>
                <w:lang w:val="zh-TW" w:eastAsia="zh-TW"/>
              </w:rPr>
            </w:pPr>
          </w:p>
        </w:tc>
        <w:tc>
          <w:tcPr>
            <w:tcW w:w="1437" w:type="dxa"/>
            <w:tcBorders>
              <w:tl2br w:val="nil"/>
              <w:tr2bl w:val="nil"/>
            </w:tcBorders>
            <w:shd w:val="clear" w:color="auto" w:fill="auto"/>
            <w:noWrap w:val="0"/>
            <w:vAlign w:val="center"/>
          </w:tcPr>
          <w:p w14:paraId="39A1D209">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bookmarkStart w:id="56" w:name="OLE_LINK14"/>
            <w:r>
              <w:rPr>
                <w:rFonts w:hint="eastAsia" w:asciiTheme="minorEastAsia" w:hAnsiTheme="minorEastAsia" w:eastAsiaTheme="minorEastAsia" w:cstheme="minorEastAsia"/>
                <w:color w:val="auto"/>
                <w:kern w:val="2"/>
                <w:sz w:val="24"/>
                <w:szCs w:val="24"/>
                <w:highlight w:val="none"/>
                <w:lang w:val="en-US" w:eastAsia="zh-CN" w:bidi="ar-SA"/>
              </w:rPr>
              <w:t>应急方案</w:t>
            </w:r>
            <w:bookmarkEnd w:id="56"/>
          </w:p>
        </w:tc>
        <w:tc>
          <w:tcPr>
            <w:tcW w:w="6585" w:type="dxa"/>
            <w:tcBorders>
              <w:tl2br w:val="nil"/>
              <w:tr2bl w:val="nil"/>
            </w:tcBorders>
            <w:shd w:val="clear" w:color="auto" w:fill="FFFFFF"/>
            <w:noWrap w:val="0"/>
            <w:tcMar>
              <w:top w:w="80" w:type="dxa"/>
              <w:left w:w="80" w:type="dxa"/>
              <w:bottom w:w="80" w:type="dxa"/>
              <w:right w:w="80" w:type="dxa"/>
            </w:tcMar>
            <w:vAlign w:val="center"/>
          </w:tcPr>
          <w:p w14:paraId="5EA1A9B9">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bookmarkStart w:id="57" w:name="OLE_LINK34"/>
            <w:r>
              <w:rPr>
                <w:rFonts w:hint="eastAsia" w:asciiTheme="minorEastAsia" w:hAnsiTheme="minorEastAsia" w:eastAsiaTheme="minorEastAsia" w:cstheme="minorEastAsia"/>
                <w:color w:val="auto"/>
                <w:kern w:val="2"/>
                <w:sz w:val="24"/>
                <w:szCs w:val="24"/>
                <w:highlight w:val="none"/>
                <w:lang w:val="en-US" w:eastAsia="zh-CN" w:bidi="ar-SA"/>
              </w:rPr>
              <w:t>根据投标人提供的应急响应方案及重大事件保障的启动、处理、应急后处置等方案的科学、合理性、可操作性，进行打分。</w:t>
            </w:r>
            <w:bookmarkEnd w:id="57"/>
          </w:p>
        </w:tc>
        <w:tc>
          <w:tcPr>
            <w:tcW w:w="771" w:type="dxa"/>
            <w:tcBorders>
              <w:tl2br w:val="nil"/>
              <w:tr2bl w:val="nil"/>
            </w:tcBorders>
            <w:shd w:val="clear" w:color="auto" w:fill="FFFFFF"/>
            <w:noWrap w:val="0"/>
            <w:tcMar>
              <w:top w:w="80" w:type="dxa"/>
              <w:left w:w="80" w:type="dxa"/>
              <w:bottom w:w="80" w:type="dxa"/>
              <w:right w:w="80" w:type="dxa"/>
            </w:tcMar>
            <w:vAlign w:val="center"/>
          </w:tcPr>
          <w:p w14:paraId="6450A646">
            <w:pPr>
              <w:keepNext w:val="0"/>
              <w:keepLines w:val="0"/>
              <w:pageBreakBefore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w:t>
            </w:r>
          </w:p>
        </w:tc>
      </w:tr>
      <w:tr w14:paraId="62E58BD6">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100"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213C2BEF">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9</w:t>
            </w:r>
          </w:p>
        </w:tc>
        <w:tc>
          <w:tcPr>
            <w:tcW w:w="393" w:type="dxa"/>
            <w:vMerge w:val="continue"/>
            <w:tcBorders>
              <w:tl2br w:val="nil"/>
              <w:tr2bl w:val="nil"/>
            </w:tcBorders>
            <w:shd w:val="clear" w:color="auto" w:fill="auto"/>
            <w:noWrap w:val="0"/>
            <w:vAlign w:val="center"/>
          </w:tcPr>
          <w:p w14:paraId="67160DC7">
            <w:pPr>
              <w:keepNext w:val="0"/>
              <w:keepLines w:val="0"/>
              <w:pageBreakBefore w:val="0"/>
              <w:widowControl/>
              <w:kinsoku/>
              <w:wordWrap/>
              <w:overflowPunct/>
              <w:topLinePunct w:val="0"/>
              <w:autoSpaceDE/>
              <w:autoSpaceDN/>
              <w:bidi w:val="0"/>
              <w:adjustRightInd/>
              <w:spacing w:line="240" w:lineRule="auto"/>
              <w:jc w:val="left"/>
              <w:textAlignment w:val="auto"/>
              <w:rPr>
                <w:rFonts w:hint="eastAsia" w:asciiTheme="minorEastAsia" w:hAnsiTheme="minorEastAsia" w:eastAsiaTheme="minorEastAsia" w:cstheme="minorEastAsia"/>
                <w:color w:val="auto"/>
                <w:sz w:val="24"/>
                <w:szCs w:val="24"/>
                <w:highlight w:val="none"/>
                <w:lang w:val="en-US" w:eastAsia="zh-TW"/>
              </w:rPr>
            </w:pPr>
          </w:p>
        </w:tc>
        <w:tc>
          <w:tcPr>
            <w:tcW w:w="1437" w:type="dxa"/>
            <w:tcBorders>
              <w:tl2br w:val="nil"/>
              <w:tr2bl w:val="nil"/>
            </w:tcBorders>
            <w:shd w:val="clear" w:color="auto" w:fill="auto"/>
            <w:noWrap w:val="0"/>
            <w:vAlign w:val="center"/>
          </w:tcPr>
          <w:p w14:paraId="6B04059A">
            <w:pPr>
              <w:pStyle w:val="66"/>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sz w:val="24"/>
                <w:szCs w:val="22"/>
                <w:highlight w:val="none"/>
                <w:lang w:val="en-US" w:eastAsia="zh-CN" w:bidi="ar-SA"/>
              </w:rPr>
            </w:pPr>
            <w:r>
              <w:rPr>
                <w:rFonts w:hint="eastAsia" w:asciiTheme="minorEastAsia" w:hAnsiTheme="minorEastAsia" w:eastAsiaTheme="minorEastAsia" w:cstheme="minorEastAsia"/>
                <w:i w:val="0"/>
                <w:iCs w:val="0"/>
                <w:color w:val="auto"/>
                <w:sz w:val="24"/>
                <w:szCs w:val="24"/>
                <w:highlight w:val="none"/>
              </w:rPr>
              <w:t>进度计划</w:t>
            </w:r>
          </w:p>
        </w:tc>
        <w:tc>
          <w:tcPr>
            <w:tcW w:w="6585" w:type="dxa"/>
            <w:tcBorders>
              <w:tl2br w:val="nil"/>
              <w:tr2bl w:val="nil"/>
            </w:tcBorders>
            <w:shd w:val="clear" w:color="auto" w:fill="auto"/>
            <w:noWrap w:val="0"/>
            <w:tcMar>
              <w:top w:w="80" w:type="dxa"/>
              <w:left w:w="80" w:type="dxa"/>
              <w:bottom w:w="80" w:type="dxa"/>
              <w:right w:w="80" w:type="dxa"/>
            </w:tcMar>
            <w:vAlign w:val="center"/>
          </w:tcPr>
          <w:p w14:paraId="6FCD5709">
            <w:pPr>
              <w:pStyle w:val="66"/>
              <w:keepNext w:val="0"/>
              <w:keepLines w:val="0"/>
              <w:pageBreakBefore w:val="0"/>
              <w:kinsoku/>
              <w:wordWrap/>
              <w:overflowPunct/>
              <w:topLinePunct w:val="0"/>
              <w:autoSpaceDE/>
              <w:autoSpaceDN/>
              <w:bidi w:val="0"/>
              <w:adjustRightInd/>
              <w:spacing w:line="240" w:lineRule="auto"/>
              <w:jc w:val="left"/>
              <w:rPr>
                <w:rFonts w:hint="eastAsia" w:asciiTheme="minorEastAsia" w:hAnsiTheme="minorEastAsia" w:eastAsiaTheme="minorEastAsia" w:cstheme="minorEastAsia"/>
                <w:color w:val="auto"/>
                <w:sz w:val="24"/>
                <w:szCs w:val="22"/>
                <w:highlight w:val="none"/>
                <w:lang w:val="en-US" w:eastAsia="zh-CN" w:bidi="ar-SA"/>
              </w:rPr>
            </w:pPr>
            <w:r>
              <w:rPr>
                <w:rFonts w:hint="eastAsia" w:asciiTheme="minorEastAsia" w:hAnsiTheme="minorEastAsia" w:eastAsiaTheme="minorEastAsia" w:cstheme="minorEastAsia"/>
                <w:i w:val="0"/>
                <w:iCs w:val="0"/>
                <w:color w:val="auto"/>
                <w:sz w:val="24"/>
                <w:szCs w:val="24"/>
                <w:highlight w:val="none"/>
              </w:rPr>
              <w:t>根据</w:t>
            </w:r>
            <w:r>
              <w:rPr>
                <w:rFonts w:hint="eastAsia" w:asciiTheme="minorEastAsia" w:hAnsiTheme="minorEastAsia" w:eastAsiaTheme="minorEastAsia" w:cstheme="minorEastAsia"/>
                <w:color w:val="auto"/>
                <w:kern w:val="2"/>
                <w:sz w:val="24"/>
                <w:szCs w:val="24"/>
                <w:highlight w:val="none"/>
                <w:lang w:val="en-US" w:eastAsia="zh-CN" w:bidi="ar-SA"/>
              </w:rPr>
              <w:t>投标人</w:t>
            </w:r>
            <w:r>
              <w:rPr>
                <w:rFonts w:hint="eastAsia" w:asciiTheme="minorEastAsia" w:hAnsiTheme="minorEastAsia" w:eastAsiaTheme="minorEastAsia" w:cstheme="minorEastAsia"/>
                <w:i w:val="0"/>
                <w:iCs w:val="0"/>
                <w:color w:val="auto"/>
                <w:sz w:val="24"/>
                <w:szCs w:val="24"/>
                <w:highlight w:val="none"/>
              </w:rPr>
              <w:t>的工作进度安排</w:t>
            </w:r>
            <w:r>
              <w:rPr>
                <w:rFonts w:hint="eastAsia" w:asciiTheme="minorEastAsia" w:hAnsiTheme="minorEastAsia" w:eastAsiaTheme="minorEastAsia" w:cstheme="minorEastAsia"/>
                <w:color w:val="auto"/>
                <w:sz w:val="24"/>
                <w:highlight w:val="none"/>
              </w:rPr>
              <w:t>（0-2）</w:t>
            </w:r>
            <w:r>
              <w:rPr>
                <w:rFonts w:hint="eastAsia" w:asciiTheme="minorEastAsia" w:hAnsiTheme="minorEastAsia" w:eastAsiaTheme="minorEastAsia" w:cstheme="minorEastAsia"/>
                <w:i w:val="0"/>
                <w:iCs w:val="0"/>
                <w:color w:val="auto"/>
                <w:sz w:val="24"/>
                <w:szCs w:val="24"/>
                <w:highlight w:val="none"/>
                <w:lang w:eastAsia="zh-CN"/>
              </w:rPr>
              <w:t>、时间节点</w:t>
            </w:r>
            <w:r>
              <w:rPr>
                <w:rFonts w:hint="eastAsia" w:asciiTheme="minorEastAsia" w:hAnsiTheme="minorEastAsia" w:eastAsiaTheme="minorEastAsia" w:cstheme="minorEastAsia"/>
                <w:color w:val="auto"/>
                <w:sz w:val="24"/>
                <w:highlight w:val="none"/>
              </w:rPr>
              <w:t>（0-2）</w:t>
            </w:r>
            <w:r>
              <w:rPr>
                <w:rFonts w:hint="eastAsia" w:asciiTheme="minorEastAsia" w:hAnsiTheme="minorEastAsia" w:eastAsiaTheme="minorEastAsia" w:cstheme="minorEastAsia"/>
                <w:i w:val="0"/>
                <w:iCs w:val="0"/>
                <w:color w:val="auto"/>
                <w:sz w:val="24"/>
                <w:szCs w:val="24"/>
                <w:highlight w:val="none"/>
              </w:rPr>
              <w:t>是否具有科学、合理</w:t>
            </w:r>
            <w:r>
              <w:rPr>
                <w:rFonts w:hint="eastAsia" w:asciiTheme="minorEastAsia" w:hAnsiTheme="minorEastAsia" w:eastAsiaTheme="minorEastAsia" w:cstheme="minorEastAsia"/>
                <w:color w:val="auto"/>
                <w:sz w:val="24"/>
                <w:highlight w:val="none"/>
              </w:rPr>
              <w:t>等内容进行评审。</w:t>
            </w:r>
          </w:p>
        </w:tc>
        <w:tc>
          <w:tcPr>
            <w:tcW w:w="771" w:type="dxa"/>
            <w:tcBorders>
              <w:tl2br w:val="nil"/>
              <w:tr2bl w:val="nil"/>
            </w:tcBorders>
            <w:shd w:val="clear" w:color="auto" w:fill="auto"/>
            <w:noWrap w:val="0"/>
            <w:tcMar>
              <w:top w:w="80" w:type="dxa"/>
              <w:left w:w="80" w:type="dxa"/>
              <w:bottom w:w="80" w:type="dxa"/>
              <w:right w:w="80" w:type="dxa"/>
            </w:tcMar>
            <w:vAlign w:val="center"/>
          </w:tcPr>
          <w:p w14:paraId="0409D0C3">
            <w:pPr>
              <w:keepNext w:val="0"/>
              <w:keepLines w:val="0"/>
              <w:pageBreakBefore w:val="0"/>
              <w:widowControl/>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4</w:t>
            </w:r>
          </w:p>
        </w:tc>
      </w:tr>
      <w:tr w14:paraId="10518C5E">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386"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75A37712">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10</w:t>
            </w:r>
          </w:p>
        </w:tc>
        <w:tc>
          <w:tcPr>
            <w:tcW w:w="393" w:type="dxa"/>
            <w:vMerge w:val="continue"/>
            <w:tcBorders>
              <w:tl2br w:val="nil"/>
              <w:tr2bl w:val="nil"/>
            </w:tcBorders>
            <w:shd w:val="clear" w:color="auto" w:fill="auto"/>
            <w:noWrap w:val="0"/>
            <w:vAlign w:val="center"/>
          </w:tcPr>
          <w:p w14:paraId="3741FB23">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highlight w:val="none"/>
              </w:rPr>
            </w:pPr>
          </w:p>
        </w:tc>
        <w:tc>
          <w:tcPr>
            <w:tcW w:w="1437" w:type="dxa"/>
            <w:tcBorders>
              <w:tl2br w:val="nil"/>
              <w:tr2bl w:val="nil"/>
            </w:tcBorders>
            <w:shd w:val="clear" w:color="auto" w:fill="auto"/>
            <w:noWrap w:val="0"/>
            <w:vAlign w:val="center"/>
          </w:tcPr>
          <w:p w14:paraId="6D4350B7">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i w:val="0"/>
                <w:iCs w:val="0"/>
                <w:color w:val="auto"/>
                <w:sz w:val="24"/>
                <w:szCs w:val="24"/>
                <w:highlight w:val="none"/>
              </w:rPr>
              <w:t>后续咨询服务</w:t>
            </w:r>
          </w:p>
        </w:tc>
        <w:tc>
          <w:tcPr>
            <w:tcW w:w="6585" w:type="dxa"/>
            <w:tcBorders>
              <w:tl2br w:val="nil"/>
              <w:tr2bl w:val="nil"/>
            </w:tcBorders>
            <w:shd w:val="clear" w:color="auto" w:fill="FFFFFF"/>
            <w:noWrap w:val="0"/>
            <w:tcMar>
              <w:top w:w="80" w:type="dxa"/>
              <w:left w:w="80" w:type="dxa"/>
              <w:bottom w:w="80" w:type="dxa"/>
              <w:right w:w="80" w:type="dxa"/>
            </w:tcMar>
            <w:vAlign w:val="center"/>
          </w:tcPr>
          <w:p w14:paraId="71836065">
            <w:pPr>
              <w:pStyle w:val="64"/>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i w:val="0"/>
                <w:iCs w:val="0"/>
                <w:color w:val="auto"/>
                <w:sz w:val="24"/>
                <w:szCs w:val="24"/>
                <w:highlight w:val="none"/>
              </w:rPr>
              <w:t>根据</w:t>
            </w:r>
            <w:r>
              <w:rPr>
                <w:rFonts w:hint="eastAsia" w:asciiTheme="minorEastAsia" w:hAnsiTheme="minorEastAsia" w:eastAsiaTheme="minorEastAsia" w:cstheme="minorEastAsia"/>
                <w:color w:val="auto"/>
                <w:kern w:val="2"/>
                <w:sz w:val="24"/>
                <w:szCs w:val="24"/>
                <w:highlight w:val="none"/>
                <w:lang w:val="en-US" w:eastAsia="zh-CN" w:bidi="ar-SA"/>
              </w:rPr>
              <w:t>投标人</w:t>
            </w:r>
            <w:r>
              <w:rPr>
                <w:rFonts w:hint="eastAsia" w:asciiTheme="minorEastAsia" w:hAnsiTheme="minorEastAsia" w:eastAsiaTheme="minorEastAsia" w:cstheme="minorEastAsia"/>
                <w:i w:val="0"/>
                <w:iCs w:val="0"/>
                <w:color w:val="auto"/>
                <w:sz w:val="24"/>
                <w:szCs w:val="24"/>
                <w:highlight w:val="none"/>
              </w:rPr>
              <w:t>提供后续咨询服务方案</w:t>
            </w:r>
            <w:r>
              <w:rPr>
                <w:rFonts w:hint="eastAsia" w:asciiTheme="minorEastAsia" w:hAnsiTheme="minorEastAsia" w:eastAsiaTheme="minorEastAsia" w:cstheme="minorEastAsia"/>
                <w:i w:val="0"/>
                <w:iCs w:val="0"/>
                <w:color w:val="auto"/>
                <w:sz w:val="24"/>
                <w:szCs w:val="24"/>
                <w:highlight w:val="none"/>
                <w:lang w:eastAsia="zh-CN"/>
              </w:rPr>
              <w:t>（</w:t>
            </w:r>
            <w:r>
              <w:rPr>
                <w:rFonts w:hint="eastAsia" w:asciiTheme="minorEastAsia" w:hAnsiTheme="minorEastAsia" w:eastAsiaTheme="minorEastAsia" w:cstheme="minorEastAsia"/>
                <w:i w:val="0"/>
                <w:iCs w:val="0"/>
                <w:color w:val="auto"/>
                <w:sz w:val="24"/>
                <w:szCs w:val="24"/>
                <w:highlight w:val="none"/>
                <w:lang w:val="en-US" w:eastAsia="zh-CN"/>
              </w:rPr>
              <w:t>0-3</w:t>
            </w:r>
            <w:r>
              <w:rPr>
                <w:rFonts w:hint="eastAsia" w:asciiTheme="minorEastAsia" w:hAnsiTheme="minorEastAsia" w:eastAsiaTheme="minorEastAsia" w:cstheme="minorEastAsia"/>
                <w:i w:val="0"/>
                <w:iCs w:val="0"/>
                <w:color w:val="auto"/>
                <w:sz w:val="24"/>
                <w:szCs w:val="24"/>
                <w:highlight w:val="none"/>
                <w:lang w:eastAsia="zh-CN"/>
              </w:rPr>
              <w:t>）</w:t>
            </w:r>
            <w:r>
              <w:rPr>
                <w:rFonts w:hint="eastAsia" w:asciiTheme="minorEastAsia" w:hAnsiTheme="minorEastAsia" w:eastAsiaTheme="minorEastAsia" w:cstheme="minorEastAsia"/>
                <w:i w:val="0"/>
                <w:iCs w:val="0"/>
                <w:color w:val="auto"/>
                <w:sz w:val="24"/>
                <w:szCs w:val="24"/>
                <w:highlight w:val="none"/>
              </w:rPr>
              <w:t>和咨询服务承诺内容</w:t>
            </w:r>
            <w:r>
              <w:rPr>
                <w:rFonts w:hint="eastAsia" w:asciiTheme="minorEastAsia" w:hAnsiTheme="minorEastAsia" w:eastAsiaTheme="minorEastAsia" w:cstheme="minorEastAsia"/>
                <w:i w:val="0"/>
                <w:iCs w:val="0"/>
                <w:color w:val="auto"/>
                <w:sz w:val="24"/>
                <w:szCs w:val="24"/>
                <w:highlight w:val="none"/>
                <w:lang w:eastAsia="zh-CN"/>
              </w:rPr>
              <w:t>（</w:t>
            </w:r>
            <w:r>
              <w:rPr>
                <w:rFonts w:hint="eastAsia" w:asciiTheme="minorEastAsia" w:hAnsiTheme="minorEastAsia" w:eastAsiaTheme="minorEastAsia" w:cstheme="minorEastAsia"/>
                <w:i w:val="0"/>
                <w:iCs w:val="0"/>
                <w:color w:val="auto"/>
                <w:sz w:val="24"/>
                <w:szCs w:val="24"/>
                <w:highlight w:val="none"/>
                <w:lang w:val="en-US" w:eastAsia="zh-CN"/>
              </w:rPr>
              <w:t>0-3</w:t>
            </w:r>
            <w:r>
              <w:rPr>
                <w:rFonts w:hint="eastAsia" w:asciiTheme="minorEastAsia" w:hAnsiTheme="minorEastAsia" w:eastAsiaTheme="minorEastAsia" w:cstheme="minorEastAsia"/>
                <w:i w:val="0"/>
                <w:iCs w:val="0"/>
                <w:color w:val="auto"/>
                <w:sz w:val="24"/>
                <w:szCs w:val="24"/>
                <w:highlight w:val="none"/>
                <w:lang w:eastAsia="zh-CN"/>
              </w:rPr>
              <w:t>）</w:t>
            </w:r>
            <w:r>
              <w:rPr>
                <w:rFonts w:hint="eastAsia" w:asciiTheme="minorEastAsia" w:hAnsiTheme="minorEastAsia" w:eastAsiaTheme="minorEastAsia" w:cstheme="minorEastAsia"/>
                <w:i w:val="0"/>
                <w:iCs w:val="0"/>
                <w:color w:val="auto"/>
                <w:sz w:val="24"/>
                <w:szCs w:val="24"/>
                <w:highlight w:val="none"/>
              </w:rPr>
              <w:t>的合理性、实用性</w:t>
            </w:r>
            <w:r>
              <w:rPr>
                <w:rFonts w:hint="eastAsia" w:asciiTheme="minorEastAsia" w:hAnsiTheme="minorEastAsia" w:eastAsiaTheme="minorEastAsia" w:cstheme="minorEastAsia"/>
                <w:i w:val="0"/>
                <w:iCs w:val="0"/>
                <w:color w:val="auto"/>
                <w:sz w:val="24"/>
                <w:szCs w:val="24"/>
                <w:highlight w:val="none"/>
                <w:lang w:eastAsia="zh-CN"/>
              </w:rPr>
              <w:t>，</w:t>
            </w:r>
            <w:r>
              <w:rPr>
                <w:rFonts w:hint="eastAsia" w:asciiTheme="minorEastAsia" w:hAnsiTheme="minorEastAsia" w:eastAsiaTheme="minorEastAsia" w:cstheme="minorEastAsia"/>
                <w:color w:val="auto"/>
                <w:sz w:val="24"/>
                <w:highlight w:val="none"/>
                <w:lang w:eastAsia="zh-CN"/>
              </w:rPr>
              <w:t>方案</w:t>
            </w:r>
            <w:r>
              <w:rPr>
                <w:rFonts w:hint="eastAsia" w:asciiTheme="minorEastAsia" w:hAnsiTheme="minorEastAsia" w:eastAsiaTheme="minorEastAsia" w:cstheme="minorEastAsia"/>
                <w:color w:val="auto"/>
                <w:sz w:val="24"/>
                <w:highlight w:val="none"/>
                <w:lang w:val="en-US" w:eastAsia="zh-CN"/>
              </w:rPr>
              <w:t>是否</w:t>
            </w:r>
            <w:r>
              <w:rPr>
                <w:rFonts w:hint="eastAsia" w:asciiTheme="minorEastAsia" w:hAnsiTheme="minorEastAsia" w:eastAsiaTheme="minorEastAsia" w:cstheme="minorEastAsia"/>
                <w:color w:val="auto"/>
                <w:kern w:val="2"/>
                <w:sz w:val="24"/>
                <w:szCs w:val="24"/>
                <w:highlight w:val="none"/>
                <w:lang w:val="en-US" w:eastAsia="zh-CN" w:bidi="ar-SA"/>
              </w:rPr>
              <w:t>科学合理，可操作性强，进行打分。</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038E5A0E">
            <w:pPr>
              <w:keepNext w:val="0"/>
              <w:keepLines w:val="0"/>
              <w:pageBreakBefore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6</w:t>
            </w:r>
          </w:p>
        </w:tc>
      </w:tr>
      <w:tr w14:paraId="1CE4210E">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733"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2ABBEA10">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11</w:t>
            </w:r>
          </w:p>
        </w:tc>
        <w:tc>
          <w:tcPr>
            <w:tcW w:w="393" w:type="dxa"/>
            <w:vMerge w:val="continue"/>
            <w:tcBorders>
              <w:tl2br w:val="nil"/>
              <w:tr2bl w:val="nil"/>
            </w:tcBorders>
            <w:shd w:val="clear" w:color="auto" w:fill="auto"/>
            <w:noWrap w:val="0"/>
            <w:vAlign w:val="center"/>
          </w:tcPr>
          <w:p w14:paraId="3DCEE3AF">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highlight w:val="none"/>
              </w:rPr>
            </w:pPr>
          </w:p>
        </w:tc>
        <w:tc>
          <w:tcPr>
            <w:tcW w:w="1437" w:type="dxa"/>
            <w:vMerge w:val="restart"/>
            <w:tcBorders>
              <w:tl2br w:val="nil"/>
              <w:tr2bl w:val="nil"/>
            </w:tcBorders>
            <w:shd w:val="clear" w:color="auto" w:fill="auto"/>
            <w:noWrap w:val="0"/>
            <w:vAlign w:val="center"/>
          </w:tcPr>
          <w:p w14:paraId="18B4BAE2">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bookmarkStart w:id="58" w:name="OLE_LINK20"/>
            <w:r>
              <w:rPr>
                <w:rFonts w:hint="eastAsia" w:asciiTheme="minorEastAsia" w:hAnsiTheme="minorEastAsia" w:eastAsiaTheme="minorEastAsia" w:cstheme="minorEastAsia"/>
                <w:color w:val="auto"/>
                <w:kern w:val="2"/>
                <w:sz w:val="24"/>
                <w:szCs w:val="24"/>
                <w:highlight w:val="none"/>
                <w:lang w:val="en-US" w:eastAsia="zh-CN" w:bidi="ar-SA"/>
              </w:rPr>
              <w:t>重点、难点技术分析及解决措施</w:t>
            </w:r>
            <w:bookmarkEnd w:id="58"/>
          </w:p>
        </w:tc>
        <w:tc>
          <w:tcPr>
            <w:tcW w:w="6585" w:type="dxa"/>
            <w:tcBorders>
              <w:tl2br w:val="nil"/>
              <w:tr2bl w:val="nil"/>
            </w:tcBorders>
            <w:shd w:val="clear" w:color="auto" w:fill="FFFFFF"/>
            <w:noWrap w:val="0"/>
            <w:tcMar>
              <w:top w:w="80" w:type="dxa"/>
              <w:left w:w="80" w:type="dxa"/>
              <w:bottom w:w="80" w:type="dxa"/>
              <w:right w:w="80" w:type="dxa"/>
            </w:tcMar>
            <w:vAlign w:val="center"/>
          </w:tcPr>
          <w:p w14:paraId="3142EDBB">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bookmarkStart w:id="59" w:name="OLE_LINK37"/>
            <w:r>
              <w:rPr>
                <w:rFonts w:hint="eastAsia" w:asciiTheme="minorEastAsia" w:hAnsiTheme="minorEastAsia" w:eastAsiaTheme="minorEastAsia" w:cstheme="minorEastAsia"/>
                <w:color w:val="auto"/>
                <w:kern w:val="2"/>
                <w:sz w:val="24"/>
                <w:szCs w:val="24"/>
                <w:highlight w:val="none"/>
                <w:lang w:val="en-US" w:eastAsia="zh-CN" w:bidi="ar-SA"/>
              </w:rPr>
              <w:t>根据投标人对项目现状、存在的问题和服务的难点、要点等问题的技术分析是否透彻，进行打分。</w:t>
            </w:r>
            <w:bookmarkEnd w:id="59"/>
          </w:p>
        </w:tc>
        <w:tc>
          <w:tcPr>
            <w:tcW w:w="771" w:type="dxa"/>
            <w:tcBorders>
              <w:tl2br w:val="nil"/>
              <w:tr2bl w:val="nil"/>
            </w:tcBorders>
            <w:shd w:val="clear" w:color="auto" w:fill="FFFFFF"/>
            <w:noWrap w:val="0"/>
            <w:tcMar>
              <w:top w:w="80" w:type="dxa"/>
              <w:left w:w="80" w:type="dxa"/>
              <w:bottom w:w="80" w:type="dxa"/>
              <w:right w:w="80" w:type="dxa"/>
            </w:tcMar>
            <w:vAlign w:val="center"/>
          </w:tcPr>
          <w:p w14:paraId="12D8470A">
            <w:pPr>
              <w:keepNext w:val="0"/>
              <w:keepLines w:val="0"/>
              <w:pageBreakBefore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w:t>
            </w:r>
          </w:p>
        </w:tc>
      </w:tr>
      <w:tr w14:paraId="29266627">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386"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1E5FD553">
            <w:pPr>
              <w:keepNext w:val="0"/>
              <w:keepLines w:val="0"/>
              <w:pageBreakBefore w:val="0"/>
              <w:kinsoku/>
              <w:wordWrap/>
              <w:overflowPunct/>
              <w:topLinePunct w:val="0"/>
              <w:autoSpaceDE/>
              <w:autoSpaceDN/>
              <w:bidi w:val="0"/>
              <w:adjustRightInd/>
              <w:snapToGrid w:val="0"/>
              <w:spacing w:line="240" w:lineRule="auto"/>
              <w:ind w:left="16" w:hanging="16"/>
              <w:jc w:val="center"/>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12</w:t>
            </w:r>
          </w:p>
        </w:tc>
        <w:tc>
          <w:tcPr>
            <w:tcW w:w="393" w:type="dxa"/>
            <w:vMerge w:val="continue"/>
            <w:tcBorders>
              <w:tl2br w:val="nil"/>
              <w:tr2bl w:val="nil"/>
            </w:tcBorders>
            <w:shd w:val="clear" w:color="auto" w:fill="auto"/>
            <w:noWrap w:val="0"/>
            <w:vAlign w:val="center"/>
          </w:tcPr>
          <w:p w14:paraId="041FD737">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highlight w:val="none"/>
              </w:rPr>
            </w:pPr>
          </w:p>
        </w:tc>
        <w:tc>
          <w:tcPr>
            <w:tcW w:w="1437" w:type="dxa"/>
            <w:vMerge w:val="continue"/>
            <w:tcBorders>
              <w:tl2br w:val="nil"/>
              <w:tr2bl w:val="nil"/>
            </w:tcBorders>
            <w:shd w:val="clear" w:color="auto" w:fill="auto"/>
            <w:noWrap w:val="0"/>
            <w:vAlign w:val="center"/>
          </w:tcPr>
          <w:p w14:paraId="2FA7E492">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p>
        </w:tc>
        <w:tc>
          <w:tcPr>
            <w:tcW w:w="6585" w:type="dxa"/>
            <w:tcBorders>
              <w:tl2br w:val="nil"/>
              <w:tr2bl w:val="nil"/>
            </w:tcBorders>
            <w:shd w:val="clear" w:color="auto" w:fill="FFFFFF"/>
            <w:noWrap w:val="0"/>
            <w:tcMar>
              <w:top w:w="80" w:type="dxa"/>
              <w:left w:w="80" w:type="dxa"/>
              <w:bottom w:w="80" w:type="dxa"/>
              <w:right w:w="80" w:type="dxa"/>
            </w:tcMar>
            <w:vAlign w:val="center"/>
          </w:tcPr>
          <w:p w14:paraId="74CE83DB">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bookmarkStart w:id="60" w:name="OLE_LINK38"/>
            <w:r>
              <w:rPr>
                <w:rFonts w:hint="eastAsia" w:asciiTheme="minorEastAsia" w:hAnsiTheme="minorEastAsia" w:eastAsiaTheme="minorEastAsia" w:cstheme="minorEastAsia"/>
                <w:color w:val="auto"/>
                <w:kern w:val="2"/>
                <w:sz w:val="24"/>
                <w:szCs w:val="24"/>
                <w:highlight w:val="none"/>
                <w:lang w:val="en-US" w:eastAsia="zh-CN" w:bidi="ar-SA"/>
              </w:rPr>
              <w:t>针对难点、重点问题的解决措施是否合理，进行打分。</w:t>
            </w:r>
            <w:bookmarkEnd w:id="60"/>
          </w:p>
        </w:tc>
        <w:tc>
          <w:tcPr>
            <w:tcW w:w="771" w:type="dxa"/>
            <w:tcBorders>
              <w:tl2br w:val="nil"/>
              <w:tr2bl w:val="nil"/>
            </w:tcBorders>
            <w:shd w:val="clear" w:color="auto" w:fill="FFFFFF"/>
            <w:noWrap w:val="0"/>
            <w:tcMar>
              <w:top w:w="80" w:type="dxa"/>
              <w:left w:w="80" w:type="dxa"/>
              <w:bottom w:w="80" w:type="dxa"/>
              <w:right w:w="80" w:type="dxa"/>
            </w:tcMar>
            <w:vAlign w:val="center"/>
          </w:tcPr>
          <w:p w14:paraId="2944A319">
            <w:pPr>
              <w:keepNext w:val="0"/>
              <w:keepLines w:val="0"/>
              <w:pageBreakBefore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w:t>
            </w:r>
          </w:p>
        </w:tc>
      </w:tr>
      <w:tr w14:paraId="5510BBB6">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13827D55">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rPr>
            </w:pPr>
            <w:r>
              <w:rPr>
                <w:rFonts w:hint="eastAsia" w:asciiTheme="minorEastAsia" w:hAnsiTheme="minorEastAsia" w:eastAsiaTheme="minorEastAsia" w:cstheme="minorEastAsia"/>
                <w:b/>
                <w:bCs/>
                <w:color w:val="auto"/>
                <w:kern w:val="0"/>
                <w:sz w:val="24"/>
                <w:szCs w:val="24"/>
                <w:highlight w:val="none"/>
                <w:u w:val="none" w:color="000000"/>
                <w:lang w:val="zh-TW"/>
              </w:rPr>
              <w:t>二</w:t>
            </w:r>
          </w:p>
        </w:tc>
        <w:tc>
          <w:tcPr>
            <w:tcW w:w="8415" w:type="dxa"/>
            <w:gridSpan w:val="3"/>
            <w:tcBorders>
              <w:tl2br w:val="nil"/>
              <w:tr2bl w:val="nil"/>
            </w:tcBorders>
            <w:shd w:val="clear" w:color="auto" w:fill="FFFFFF"/>
            <w:noWrap w:val="0"/>
            <w:tcMar>
              <w:top w:w="80" w:type="dxa"/>
              <w:left w:w="80" w:type="dxa"/>
              <w:bottom w:w="80" w:type="dxa"/>
              <w:right w:w="80" w:type="dxa"/>
            </w:tcMar>
            <w:vAlign w:val="center"/>
          </w:tcPr>
          <w:p w14:paraId="09B42B7B">
            <w:pPr>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b/>
                <w:bCs/>
                <w:color w:val="auto"/>
                <w:sz w:val="24"/>
                <w:szCs w:val="24"/>
                <w:highlight w:val="none"/>
                <w:lang w:val="zh-TW" w:eastAsia="zh-TW"/>
              </w:rPr>
            </w:pPr>
            <w:r>
              <w:rPr>
                <w:rFonts w:hint="eastAsia" w:asciiTheme="minorEastAsia" w:hAnsiTheme="minorEastAsia" w:eastAsiaTheme="minorEastAsia" w:cstheme="minorEastAsia"/>
                <w:b/>
                <w:bCs/>
                <w:color w:val="auto"/>
                <w:sz w:val="24"/>
                <w:szCs w:val="24"/>
                <w:highlight w:val="none"/>
                <w:lang w:val="zh-TW" w:eastAsia="zh-TW"/>
              </w:rPr>
              <w:t>商务资信及其他分</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501F2DE6">
            <w:pPr>
              <w:keepNext w:val="0"/>
              <w:keepLines w:val="0"/>
              <w:pageBreakBefore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sz w:val="24"/>
                <w:szCs w:val="24"/>
                <w:highlight w:val="none"/>
                <w:lang w:bidi="ar"/>
              </w:rPr>
            </w:pPr>
            <w:r>
              <w:rPr>
                <w:rFonts w:hint="eastAsia" w:asciiTheme="minorEastAsia" w:hAnsiTheme="minorEastAsia" w:eastAsiaTheme="minorEastAsia" w:cstheme="minorEastAsia"/>
                <w:color w:val="auto"/>
                <w:sz w:val="24"/>
                <w:szCs w:val="24"/>
                <w:highlight w:val="none"/>
                <w:lang w:val="en-US" w:eastAsia="zh-CN" w:bidi="ar"/>
              </w:rPr>
              <w:t>15</w:t>
            </w:r>
            <w:r>
              <w:rPr>
                <w:rFonts w:hint="eastAsia" w:asciiTheme="minorEastAsia" w:hAnsiTheme="minorEastAsia" w:eastAsiaTheme="minorEastAsia" w:cstheme="minorEastAsia"/>
                <w:color w:val="auto"/>
                <w:sz w:val="24"/>
                <w:szCs w:val="24"/>
                <w:highlight w:val="none"/>
                <w:lang w:val="zh-TW" w:eastAsia="zh-TW" w:bidi="ar"/>
              </w:rPr>
              <w:t>分</w:t>
            </w:r>
          </w:p>
        </w:tc>
      </w:tr>
      <w:tr w14:paraId="54E931E8">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164" w:hRule="atLeast"/>
          <w:jc w:val="center"/>
        </w:trPr>
        <w:tc>
          <w:tcPr>
            <w:tcW w:w="713" w:type="dxa"/>
            <w:vMerge w:val="restart"/>
            <w:tcBorders>
              <w:tl2br w:val="nil"/>
              <w:tr2bl w:val="nil"/>
            </w:tcBorders>
            <w:shd w:val="clear" w:color="auto" w:fill="FFFFFF"/>
            <w:noWrap w:val="0"/>
            <w:tcMar>
              <w:top w:w="80" w:type="dxa"/>
              <w:left w:w="80" w:type="dxa"/>
              <w:bottom w:w="80" w:type="dxa"/>
              <w:right w:w="80" w:type="dxa"/>
            </w:tcMar>
            <w:vAlign w:val="center"/>
          </w:tcPr>
          <w:p w14:paraId="6246D226">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lang w:val="en-US" w:eastAsia="zh-CN"/>
              </w:rPr>
            </w:pPr>
            <w:r>
              <w:rPr>
                <w:rFonts w:hint="eastAsia" w:asciiTheme="minorEastAsia" w:hAnsiTheme="minorEastAsia" w:eastAsiaTheme="minorEastAsia" w:cstheme="minorEastAsia"/>
                <w:color w:val="auto"/>
                <w:kern w:val="0"/>
                <w:sz w:val="24"/>
                <w:szCs w:val="24"/>
                <w:highlight w:val="none"/>
                <w:u w:val="none" w:color="000000"/>
                <w:lang w:val="en-US" w:eastAsia="zh-CN"/>
              </w:rPr>
              <w:t>13</w:t>
            </w:r>
          </w:p>
        </w:tc>
        <w:tc>
          <w:tcPr>
            <w:tcW w:w="393" w:type="dxa"/>
            <w:vMerge w:val="restart"/>
            <w:tcBorders>
              <w:tl2br w:val="nil"/>
              <w:tr2bl w:val="nil"/>
            </w:tcBorders>
            <w:shd w:val="clear" w:color="auto" w:fill="auto"/>
            <w:noWrap w:val="0"/>
            <w:vAlign w:val="center"/>
          </w:tcPr>
          <w:p w14:paraId="11BA8789">
            <w:pPr>
              <w:keepNext w:val="0"/>
              <w:keepLines w:val="0"/>
              <w:pageBreakBefore w:val="0"/>
              <w:widowControl/>
              <w:kinsoku/>
              <w:wordWrap/>
              <w:overflowPunct/>
              <w:topLinePunct w:val="0"/>
              <w:autoSpaceDE/>
              <w:autoSpaceDN/>
              <w:bidi w:val="0"/>
              <w:adjustRightInd/>
              <w:spacing w:line="240"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履约能力</w:t>
            </w:r>
          </w:p>
        </w:tc>
        <w:tc>
          <w:tcPr>
            <w:tcW w:w="1437" w:type="dxa"/>
            <w:vMerge w:val="restart"/>
            <w:tcBorders>
              <w:tl2br w:val="nil"/>
              <w:tr2bl w:val="nil"/>
            </w:tcBorders>
            <w:shd w:val="clear" w:color="auto" w:fill="FFFFFF"/>
            <w:noWrap w:val="0"/>
            <w:tcMar>
              <w:top w:w="80" w:type="dxa"/>
              <w:left w:w="80" w:type="dxa"/>
              <w:bottom w:w="80" w:type="dxa"/>
              <w:right w:w="80" w:type="dxa"/>
            </w:tcMar>
            <w:vAlign w:val="center"/>
          </w:tcPr>
          <w:p w14:paraId="5C689A72">
            <w:pPr>
              <w:keepNext w:val="0"/>
              <w:keepLines w:val="0"/>
              <w:pageBreakBefore w:val="0"/>
              <w:widowControl/>
              <w:suppressLineNumbers w:val="0"/>
              <w:kinsoku/>
              <w:wordWrap/>
              <w:overflowPunct/>
              <w:topLinePunct w:val="0"/>
              <w:autoSpaceDE/>
              <w:autoSpaceDN/>
              <w:bidi w:val="0"/>
              <w:adjustRightInd/>
              <w:spacing w:line="240" w:lineRule="auto"/>
              <w:jc w:val="center"/>
              <w:textAlignment w:val="center"/>
              <w:rPr>
                <w:rFonts w:hint="eastAsia" w:asciiTheme="minorEastAsia" w:hAnsiTheme="minorEastAsia" w:eastAsiaTheme="minorEastAsia" w:cstheme="minorEastAsia"/>
                <w:color w:val="auto"/>
                <w:sz w:val="24"/>
                <w:szCs w:val="24"/>
                <w:highlight w:val="none"/>
                <w:lang w:val="en-US" w:eastAsia="zh-CN"/>
              </w:rPr>
            </w:pPr>
            <w:bookmarkStart w:id="61" w:name="OLE_LINK13"/>
            <w:r>
              <w:rPr>
                <w:rFonts w:hint="eastAsia" w:asciiTheme="minorEastAsia" w:hAnsiTheme="minorEastAsia" w:eastAsiaTheme="minorEastAsia" w:cstheme="minorEastAsia"/>
                <w:color w:val="auto"/>
                <w:sz w:val="24"/>
                <w:szCs w:val="24"/>
                <w:highlight w:val="none"/>
                <w:lang w:val="en-US" w:eastAsia="zh-CN"/>
              </w:rPr>
              <w:t>认证证书</w:t>
            </w:r>
            <w:bookmarkEnd w:id="61"/>
          </w:p>
        </w:tc>
        <w:tc>
          <w:tcPr>
            <w:tcW w:w="6585" w:type="dxa"/>
            <w:tcBorders>
              <w:tl2br w:val="nil"/>
              <w:tr2bl w:val="nil"/>
            </w:tcBorders>
            <w:shd w:val="clear" w:color="auto" w:fill="FFFFFF"/>
            <w:noWrap w:val="0"/>
            <w:tcMar>
              <w:top w:w="80" w:type="dxa"/>
              <w:left w:w="80" w:type="dxa"/>
              <w:bottom w:w="80" w:type="dxa"/>
              <w:right w:w="80" w:type="dxa"/>
            </w:tcMar>
            <w:vAlign w:val="center"/>
          </w:tcPr>
          <w:p w14:paraId="492CA3BA">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sz w:val="24"/>
                <w:szCs w:val="24"/>
                <w:highlight w:val="none"/>
                <w:lang w:val="en-US" w:eastAsia="zh-CN"/>
              </w:rPr>
            </w:pPr>
            <w:bookmarkStart w:id="62" w:name="OLE_LINK39"/>
            <w:r>
              <w:rPr>
                <w:rFonts w:hint="eastAsia" w:asciiTheme="minorEastAsia" w:hAnsiTheme="minorEastAsia" w:eastAsiaTheme="minorEastAsia" w:cstheme="minorEastAsia"/>
                <w:color w:val="auto"/>
                <w:sz w:val="24"/>
                <w:szCs w:val="24"/>
                <w:highlight w:val="none"/>
                <w:lang w:val="en-US" w:eastAsia="zh-CN"/>
              </w:rPr>
              <w:t>投标人具备质量体系认证、环境管理认证、职业健康安全管理认证证书、信息安全管理体系认证证书，每提供一个得1分，最高得4分。注：以有效期内的证书为准。</w:t>
            </w:r>
          </w:p>
          <w:p w14:paraId="7176D84B">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bidi="ar-SA"/>
              </w:rPr>
              <w:t>（须</w:t>
            </w:r>
            <w:r>
              <w:rPr>
                <w:rFonts w:hint="eastAsia" w:asciiTheme="minorEastAsia" w:hAnsiTheme="minorEastAsia" w:eastAsiaTheme="minorEastAsia" w:cstheme="minorEastAsia"/>
                <w:color w:val="auto"/>
                <w:sz w:val="24"/>
                <w:highlight w:val="none"/>
              </w:rPr>
              <w:t>提供相关证书</w:t>
            </w:r>
            <w:r>
              <w:rPr>
                <w:rFonts w:hint="eastAsia" w:asciiTheme="minorEastAsia" w:hAnsiTheme="minorEastAsia" w:eastAsiaTheme="minorEastAsia" w:cstheme="minorEastAsia"/>
                <w:color w:val="auto"/>
                <w:sz w:val="24"/>
                <w:highlight w:val="none"/>
                <w:lang w:val="en-US" w:eastAsia="zh-CN"/>
              </w:rPr>
              <w:t>复印件及</w:t>
            </w:r>
            <w:r>
              <w:rPr>
                <w:rFonts w:hint="eastAsia" w:asciiTheme="minorEastAsia" w:hAnsiTheme="minorEastAsia" w:eastAsiaTheme="minorEastAsia" w:cstheme="minorEastAsia"/>
                <w:color w:val="auto"/>
                <w:sz w:val="24"/>
                <w:highlight w:val="none"/>
                <w:lang w:eastAsia="zh-CN"/>
              </w:rPr>
              <w:t>www.cnca.gov.cn认监委官方网站</w:t>
            </w:r>
            <w:r>
              <w:rPr>
                <w:rFonts w:hint="eastAsia" w:asciiTheme="minorEastAsia" w:hAnsiTheme="minorEastAsia" w:eastAsiaTheme="minorEastAsia" w:cstheme="minorEastAsia"/>
                <w:color w:val="auto"/>
                <w:sz w:val="24"/>
                <w:highlight w:val="none"/>
                <w:lang w:val="en-US" w:eastAsia="zh-CN"/>
              </w:rPr>
              <w:t>截图，未提供不得分</w:t>
            </w:r>
            <w:r>
              <w:rPr>
                <w:rFonts w:hint="eastAsia" w:asciiTheme="minorEastAsia" w:hAnsiTheme="minorEastAsia" w:eastAsiaTheme="minorEastAsia" w:cstheme="minorEastAsia"/>
                <w:color w:val="auto"/>
                <w:sz w:val="24"/>
                <w:highlight w:val="none"/>
                <w:lang w:eastAsia="zh-CN"/>
              </w:rPr>
              <w:t>）</w:t>
            </w:r>
            <w:bookmarkEnd w:id="62"/>
          </w:p>
        </w:tc>
        <w:tc>
          <w:tcPr>
            <w:tcW w:w="771" w:type="dxa"/>
            <w:tcBorders>
              <w:tl2br w:val="nil"/>
              <w:tr2bl w:val="nil"/>
            </w:tcBorders>
            <w:shd w:val="clear" w:color="auto" w:fill="FFFFFF"/>
            <w:noWrap w:val="0"/>
            <w:tcMar>
              <w:top w:w="80" w:type="dxa"/>
              <w:left w:w="80" w:type="dxa"/>
              <w:bottom w:w="80" w:type="dxa"/>
              <w:right w:w="80" w:type="dxa"/>
            </w:tcMar>
            <w:vAlign w:val="center"/>
          </w:tcPr>
          <w:p w14:paraId="0079644D">
            <w:pPr>
              <w:keepNext w:val="0"/>
              <w:keepLines w:val="0"/>
              <w:pageBreakBefore w:val="0"/>
              <w:kinsoku/>
              <w:wordWrap/>
              <w:overflowPunct/>
              <w:topLinePunct w:val="0"/>
              <w:autoSpaceDE/>
              <w:autoSpaceDN/>
              <w:bidi w:val="0"/>
              <w:adjustRightInd/>
              <w:spacing w:line="240" w:lineRule="auto"/>
              <w:jc w:val="center"/>
              <w:textAlignment w:val="center"/>
              <w:rPr>
                <w:rFonts w:hint="default" w:asciiTheme="minorEastAsia" w:hAnsiTheme="minorEastAsia" w:eastAsiaTheme="minorEastAsia" w:cstheme="minorEastAsia"/>
                <w:color w:val="auto"/>
                <w:sz w:val="24"/>
                <w:szCs w:val="24"/>
                <w:highlight w:val="none"/>
                <w:lang w:val="en-US" w:eastAsia="zh-CN" w:bidi="ar"/>
              </w:rPr>
            </w:pPr>
            <w:r>
              <w:rPr>
                <w:rFonts w:hint="eastAsia" w:asciiTheme="minorEastAsia" w:hAnsiTheme="minorEastAsia" w:eastAsiaTheme="minorEastAsia" w:cstheme="minorEastAsia"/>
                <w:color w:val="auto"/>
                <w:sz w:val="24"/>
                <w:szCs w:val="24"/>
                <w:highlight w:val="none"/>
                <w:lang w:val="en-US" w:eastAsia="zh-CN" w:bidi="ar"/>
              </w:rPr>
              <w:t>4</w:t>
            </w:r>
          </w:p>
        </w:tc>
      </w:tr>
      <w:tr w14:paraId="721F22A4">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164" w:hRule="atLeast"/>
          <w:jc w:val="center"/>
        </w:trPr>
        <w:tc>
          <w:tcPr>
            <w:tcW w:w="713" w:type="dxa"/>
            <w:vMerge w:val="continue"/>
            <w:tcBorders>
              <w:tl2br w:val="nil"/>
              <w:tr2bl w:val="nil"/>
            </w:tcBorders>
            <w:shd w:val="clear" w:color="auto" w:fill="FFFFFF"/>
            <w:noWrap w:val="0"/>
            <w:tcMar>
              <w:top w:w="80" w:type="dxa"/>
              <w:left w:w="80" w:type="dxa"/>
              <w:bottom w:w="80" w:type="dxa"/>
              <w:right w:w="80" w:type="dxa"/>
            </w:tcMar>
            <w:vAlign w:val="center"/>
          </w:tcPr>
          <w:p w14:paraId="6E85A950">
            <w:pPr>
              <w:keepNext w:val="0"/>
              <w:keepLines w:val="0"/>
              <w:pageBreakBefore w:val="0"/>
              <w:kinsoku/>
              <w:wordWrap/>
              <w:overflowPunct/>
              <w:topLinePunct w:val="0"/>
              <w:autoSpaceDE/>
              <w:autoSpaceDN/>
              <w:bidi w:val="0"/>
              <w:adjustRightInd/>
              <w:spacing w:line="240" w:lineRule="auto"/>
              <w:rPr>
                <w:color w:val="auto"/>
                <w:highlight w:val="none"/>
              </w:rPr>
            </w:pPr>
          </w:p>
        </w:tc>
        <w:tc>
          <w:tcPr>
            <w:tcW w:w="393" w:type="dxa"/>
            <w:vMerge w:val="continue"/>
            <w:tcBorders>
              <w:tl2br w:val="nil"/>
              <w:tr2bl w:val="nil"/>
            </w:tcBorders>
            <w:shd w:val="clear" w:color="auto" w:fill="auto"/>
            <w:noWrap w:val="0"/>
            <w:vAlign w:val="center"/>
          </w:tcPr>
          <w:p w14:paraId="0063E25C">
            <w:pPr>
              <w:keepNext w:val="0"/>
              <w:keepLines w:val="0"/>
              <w:pageBreakBefore w:val="0"/>
              <w:kinsoku/>
              <w:wordWrap/>
              <w:overflowPunct/>
              <w:topLinePunct w:val="0"/>
              <w:autoSpaceDE/>
              <w:autoSpaceDN/>
              <w:bidi w:val="0"/>
              <w:adjustRightInd/>
              <w:spacing w:line="240" w:lineRule="auto"/>
              <w:rPr>
                <w:color w:val="auto"/>
                <w:highlight w:val="none"/>
              </w:rPr>
            </w:pPr>
          </w:p>
        </w:tc>
        <w:tc>
          <w:tcPr>
            <w:tcW w:w="1437" w:type="dxa"/>
            <w:vMerge w:val="continue"/>
            <w:tcBorders>
              <w:tl2br w:val="nil"/>
              <w:tr2bl w:val="nil"/>
            </w:tcBorders>
            <w:shd w:val="clear" w:color="auto" w:fill="FFFFFF"/>
            <w:noWrap w:val="0"/>
            <w:tcMar>
              <w:top w:w="80" w:type="dxa"/>
              <w:left w:w="80" w:type="dxa"/>
              <w:bottom w:w="80" w:type="dxa"/>
              <w:right w:w="80" w:type="dxa"/>
            </w:tcMar>
            <w:vAlign w:val="center"/>
          </w:tcPr>
          <w:p w14:paraId="0F3DB1BE">
            <w:pPr>
              <w:keepNext w:val="0"/>
              <w:keepLines w:val="0"/>
              <w:pageBreakBefore w:val="0"/>
              <w:kinsoku/>
              <w:wordWrap/>
              <w:overflowPunct/>
              <w:topLinePunct w:val="0"/>
              <w:autoSpaceDE/>
              <w:autoSpaceDN/>
              <w:bidi w:val="0"/>
              <w:adjustRightInd/>
              <w:spacing w:line="240" w:lineRule="auto"/>
              <w:rPr>
                <w:color w:val="auto"/>
                <w:highlight w:val="none"/>
              </w:rPr>
            </w:pPr>
          </w:p>
        </w:tc>
        <w:tc>
          <w:tcPr>
            <w:tcW w:w="6585" w:type="dxa"/>
            <w:tcBorders>
              <w:tl2br w:val="nil"/>
              <w:tr2bl w:val="nil"/>
            </w:tcBorders>
            <w:shd w:val="clear" w:color="auto" w:fill="FFFFFF"/>
            <w:noWrap w:val="0"/>
            <w:tcMar>
              <w:top w:w="80" w:type="dxa"/>
              <w:left w:w="80" w:type="dxa"/>
              <w:bottom w:w="80" w:type="dxa"/>
              <w:right w:w="80" w:type="dxa"/>
            </w:tcMar>
            <w:vAlign w:val="center"/>
          </w:tcPr>
          <w:p w14:paraId="356EC8BC">
            <w:pP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bCs/>
                <w:color w:val="auto"/>
                <w:kern w:val="0"/>
                <w:sz w:val="24"/>
                <w:szCs w:val="24"/>
                <w:highlight w:val="none"/>
                <w:lang w:val="en-US" w:eastAsia="zh-CN"/>
              </w:rPr>
              <w:t>投标人具备自主研发系统且有国家版权局发布的相关软件著作权证书的，每提供一个得1分，最高得5分。</w:t>
            </w:r>
            <w:r>
              <w:rPr>
                <w:rFonts w:hint="eastAsia" w:asciiTheme="minorEastAsia" w:hAnsiTheme="minorEastAsia" w:eastAsiaTheme="minorEastAsia" w:cstheme="minorEastAsia"/>
                <w:bCs/>
                <w:color w:val="auto"/>
                <w:kern w:val="0"/>
                <w:sz w:val="24"/>
                <w:szCs w:val="24"/>
                <w:highlight w:val="none"/>
                <w:lang w:val="en-US" w:eastAsia="zh-CN"/>
              </w:rPr>
              <w:br w:type="textWrapping"/>
            </w:r>
            <w:r>
              <w:rPr>
                <w:rFonts w:hint="eastAsia" w:asciiTheme="minorEastAsia" w:hAnsiTheme="minorEastAsia" w:eastAsiaTheme="minorEastAsia" w:cstheme="minorEastAsia"/>
                <w:color w:val="auto"/>
                <w:sz w:val="24"/>
                <w:szCs w:val="24"/>
                <w:highlight w:val="none"/>
                <w:lang w:val="en-US" w:eastAsia="zh-CN"/>
              </w:rPr>
              <w:t>（提供证书复印件并加盖投标人公章，不提供不得分）</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20D21D0B">
            <w:pPr>
              <w:keepNext w:val="0"/>
              <w:keepLines w:val="0"/>
              <w:pageBreakBefore w:val="0"/>
              <w:kinsoku/>
              <w:wordWrap/>
              <w:overflowPunct/>
              <w:topLinePunct w:val="0"/>
              <w:autoSpaceDE/>
              <w:autoSpaceDN/>
              <w:bidi w:val="0"/>
              <w:adjustRightInd/>
              <w:spacing w:line="240" w:lineRule="auto"/>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5</w:t>
            </w:r>
          </w:p>
        </w:tc>
      </w:tr>
      <w:tr w14:paraId="679BA752">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633"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4CCAA709">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lang w:val="en-US" w:eastAsia="zh-CN"/>
              </w:rPr>
            </w:pPr>
            <w:r>
              <w:rPr>
                <w:rFonts w:hint="eastAsia" w:asciiTheme="minorEastAsia" w:hAnsiTheme="minorEastAsia" w:eastAsiaTheme="minorEastAsia" w:cstheme="minorEastAsia"/>
                <w:color w:val="auto"/>
                <w:kern w:val="0"/>
                <w:sz w:val="24"/>
                <w:szCs w:val="24"/>
                <w:highlight w:val="none"/>
                <w:u w:val="none" w:color="000000"/>
                <w:lang w:val="en-US" w:eastAsia="zh-CN"/>
              </w:rPr>
              <w:t>14</w:t>
            </w:r>
          </w:p>
        </w:tc>
        <w:tc>
          <w:tcPr>
            <w:tcW w:w="393" w:type="dxa"/>
            <w:vMerge w:val="continue"/>
            <w:tcBorders>
              <w:tl2br w:val="nil"/>
              <w:tr2bl w:val="nil"/>
            </w:tcBorders>
            <w:shd w:val="clear" w:color="auto" w:fill="auto"/>
            <w:noWrap w:val="0"/>
            <w:vAlign w:val="center"/>
          </w:tcPr>
          <w:p w14:paraId="70B85628">
            <w:pPr>
              <w:keepNext w:val="0"/>
              <w:keepLines w:val="0"/>
              <w:pageBreakBefore w:val="0"/>
              <w:widowControl/>
              <w:kinsoku/>
              <w:wordWrap/>
              <w:overflowPunct/>
              <w:topLinePunct w:val="0"/>
              <w:autoSpaceDE/>
              <w:autoSpaceDN/>
              <w:bidi w:val="0"/>
              <w:adjustRightInd/>
              <w:spacing w:line="240" w:lineRule="auto"/>
              <w:jc w:val="left"/>
              <w:textAlignment w:val="auto"/>
              <w:rPr>
                <w:rFonts w:hint="eastAsia" w:asciiTheme="minorEastAsia" w:hAnsiTheme="minorEastAsia" w:eastAsiaTheme="minorEastAsia" w:cstheme="minorEastAsia"/>
                <w:color w:val="auto"/>
                <w:sz w:val="24"/>
                <w:szCs w:val="24"/>
                <w:highlight w:val="none"/>
                <w:lang w:val="en-US" w:eastAsia="zh-CN"/>
              </w:rPr>
            </w:pPr>
          </w:p>
        </w:tc>
        <w:tc>
          <w:tcPr>
            <w:tcW w:w="1437" w:type="dxa"/>
            <w:tcBorders>
              <w:tl2br w:val="nil"/>
              <w:tr2bl w:val="nil"/>
            </w:tcBorders>
            <w:shd w:val="clear" w:color="auto" w:fill="FFFFFF"/>
            <w:noWrap w:val="0"/>
            <w:tcMar>
              <w:top w:w="80" w:type="dxa"/>
              <w:left w:w="80" w:type="dxa"/>
              <w:bottom w:w="80" w:type="dxa"/>
              <w:right w:w="80" w:type="dxa"/>
            </w:tcMar>
            <w:vAlign w:val="center"/>
          </w:tcPr>
          <w:p w14:paraId="4DEAAE2B">
            <w:pPr>
              <w:keepNext w:val="0"/>
              <w:keepLines w:val="0"/>
              <w:pageBreakBefore w:val="0"/>
              <w:widowControl/>
              <w:suppressLineNumbers w:val="0"/>
              <w:kinsoku/>
              <w:wordWrap/>
              <w:overflowPunct/>
              <w:topLinePunct w:val="0"/>
              <w:autoSpaceDE/>
              <w:autoSpaceDN/>
              <w:bidi w:val="0"/>
              <w:adjustRightInd/>
              <w:spacing w:line="240" w:lineRule="auto"/>
              <w:jc w:val="center"/>
              <w:textAlignment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企业资质</w:t>
            </w:r>
          </w:p>
        </w:tc>
        <w:tc>
          <w:tcPr>
            <w:tcW w:w="6585" w:type="dxa"/>
            <w:tcBorders>
              <w:tl2br w:val="nil"/>
              <w:tr2bl w:val="nil"/>
            </w:tcBorders>
            <w:shd w:val="clear" w:color="auto" w:fill="FFFFFF"/>
            <w:noWrap w:val="0"/>
            <w:tcMar>
              <w:top w:w="80" w:type="dxa"/>
              <w:left w:w="80" w:type="dxa"/>
              <w:bottom w:w="80" w:type="dxa"/>
              <w:right w:w="80" w:type="dxa"/>
            </w:tcMar>
            <w:vAlign w:val="center"/>
          </w:tcPr>
          <w:p w14:paraId="7BBE289E">
            <w:pPr>
              <w:keepNext w:val="0"/>
              <w:keepLines w:val="0"/>
              <w:pageBreakBefore w:val="0"/>
              <w:widowControl/>
              <w:suppressLineNumbers w:val="0"/>
              <w:kinsoku/>
              <w:wordWrap/>
              <w:overflowPunct/>
              <w:topLinePunct w:val="0"/>
              <w:autoSpaceDE/>
              <w:autoSpaceDN/>
              <w:bidi w:val="0"/>
              <w:adjustRightInd/>
              <w:spacing w:line="240" w:lineRule="auto"/>
              <w:jc w:val="left"/>
              <w:textAlignment w:val="center"/>
              <w:rPr>
                <w:rFonts w:hint="eastAsia" w:asciiTheme="minorEastAsia" w:hAnsiTheme="minorEastAsia" w:eastAsiaTheme="minorEastAsia" w:cstheme="minorEastAsia"/>
                <w:color w:val="auto"/>
                <w:sz w:val="24"/>
                <w:szCs w:val="24"/>
                <w:highlight w:val="none"/>
                <w:lang w:val="en-US" w:eastAsia="zh-CN"/>
              </w:rPr>
            </w:pPr>
            <w:bookmarkStart w:id="63" w:name="OLE_LINK40"/>
            <w:bookmarkStart w:id="64" w:name="OLE_LINK41"/>
            <w:r>
              <w:rPr>
                <w:rFonts w:hint="eastAsia" w:asciiTheme="minorEastAsia" w:hAnsiTheme="minorEastAsia" w:eastAsiaTheme="minorEastAsia" w:cstheme="minorEastAsia"/>
                <w:color w:val="auto"/>
                <w:sz w:val="24"/>
                <w:szCs w:val="24"/>
                <w:highlight w:val="none"/>
                <w:lang w:val="en-US" w:eastAsia="zh-CN"/>
              </w:rPr>
              <w:t>投标人</w:t>
            </w:r>
            <w:bookmarkEnd w:id="63"/>
            <w:bookmarkEnd w:id="64"/>
            <w:r>
              <w:rPr>
                <w:rFonts w:hint="eastAsia" w:asciiTheme="minorEastAsia" w:hAnsiTheme="minorEastAsia" w:eastAsiaTheme="minorEastAsia" w:cstheme="minorEastAsia"/>
                <w:color w:val="auto"/>
                <w:sz w:val="24"/>
                <w:szCs w:val="24"/>
                <w:highlight w:val="none"/>
                <w:lang w:val="en-US" w:eastAsia="zh-CN"/>
              </w:rPr>
              <w:t>具有土地规划乙级及以上资质的得2分。</w:t>
            </w:r>
          </w:p>
          <w:p w14:paraId="0F450B55">
            <w:pPr>
              <w:keepNext w:val="0"/>
              <w:keepLines w:val="0"/>
              <w:pageBreakBefore w:val="0"/>
              <w:widowControl/>
              <w:suppressLineNumbers w:val="0"/>
              <w:kinsoku/>
              <w:wordWrap/>
              <w:overflowPunct/>
              <w:topLinePunct w:val="0"/>
              <w:autoSpaceDE/>
              <w:autoSpaceDN/>
              <w:bidi w:val="0"/>
              <w:adjustRightInd/>
              <w:spacing w:line="240" w:lineRule="auto"/>
              <w:jc w:val="left"/>
              <w:textAlignment w:val="center"/>
              <w:rPr>
                <w:rFonts w:hint="eastAsia" w:asciiTheme="minorEastAsia" w:hAnsiTheme="minorEastAsia" w:eastAsiaTheme="minorEastAsia" w:cstheme="minorEastAsia"/>
                <w:color w:val="auto"/>
                <w:sz w:val="24"/>
                <w:szCs w:val="24"/>
                <w:highlight w:val="none"/>
                <w:lang w:val="zh-TW" w:eastAsia="zh-TW"/>
              </w:rPr>
            </w:pPr>
            <w:r>
              <w:rPr>
                <w:rFonts w:hint="eastAsia" w:asciiTheme="minorEastAsia" w:hAnsiTheme="minorEastAsia" w:eastAsiaTheme="minorEastAsia" w:cstheme="minorEastAsia"/>
                <w:color w:val="auto"/>
                <w:sz w:val="24"/>
                <w:szCs w:val="24"/>
                <w:highlight w:val="none"/>
                <w:lang w:val="en-US" w:eastAsia="zh-CN"/>
              </w:rPr>
              <w:t>（提供相关证书复印件并加盖投标人公章，不提供不得分）</w:t>
            </w:r>
          </w:p>
        </w:tc>
        <w:tc>
          <w:tcPr>
            <w:tcW w:w="771" w:type="dxa"/>
            <w:tcBorders>
              <w:tl2br w:val="nil"/>
              <w:tr2bl w:val="nil"/>
            </w:tcBorders>
            <w:shd w:val="clear" w:color="auto" w:fill="FFFFFF"/>
            <w:noWrap w:val="0"/>
            <w:tcMar>
              <w:top w:w="80" w:type="dxa"/>
              <w:left w:w="80" w:type="dxa"/>
              <w:bottom w:w="80" w:type="dxa"/>
              <w:right w:w="80" w:type="dxa"/>
            </w:tcMar>
            <w:vAlign w:val="center"/>
          </w:tcPr>
          <w:p w14:paraId="67933D7A">
            <w:pPr>
              <w:keepNext w:val="0"/>
              <w:keepLines w:val="0"/>
              <w:pageBreakBefore w:val="0"/>
              <w:kinsoku/>
              <w:wordWrap/>
              <w:overflowPunct/>
              <w:topLinePunct w:val="0"/>
              <w:autoSpaceDE/>
              <w:autoSpaceDN/>
              <w:bidi w:val="0"/>
              <w:adjustRightInd/>
              <w:spacing w:line="240" w:lineRule="auto"/>
              <w:jc w:val="center"/>
              <w:rPr>
                <w:rFonts w:hint="default" w:asciiTheme="minorEastAsia" w:hAnsiTheme="minorEastAsia" w:eastAsiaTheme="minorEastAsia" w:cstheme="minorEastAsia"/>
                <w:color w:val="auto"/>
                <w:sz w:val="24"/>
                <w:szCs w:val="24"/>
                <w:highlight w:val="none"/>
                <w:lang w:val="en-US" w:eastAsia="zh-CN" w:bidi="ar"/>
              </w:rPr>
            </w:pPr>
            <w:r>
              <w:rPr>
                <w:rFonts w:hint="eastAsia" w:asciiTheme="minorEastAsia" w:hAnsiTheme="minorEastAsia" w:eastAsiaTheme="minorEastAsia" w:cstheme="minorEastAsia"/>
                <w:color w:val="auto"/>
                <w:sz w:val="24"/>
                <w:szCs w:val="24"/>
                <w:highlight w:val="none"/>
                <w:lang w:val="en-US" w:eastAsia="zh-CN" w:bidi="ar"/>
              </w:rPr>
              <w:t>2</w:t>
            </w:r>
          </w:p>
        </w:tc>
      </w:tr>
      <w:tr w14:paraId="11D64042">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07"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16FDC5F5">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lang w:val="en-US" w:eastAsia="zh-CN" w:bidi="ar-SA"/>
              </w:rPr>
            </w:pPr>
            <w:r>
              <w:rPr>
                <w:rFonts w:hint="eastAsia" w:asciiTheme="minorEastAsia" w:hAnsiTheme="minorEastAsia" w:eastAsiaTheme="minorEastAsia" w:cstheme="minorEastAsia"/>
                <w:color w:val="auto"/>
                <w:kern w:val="0"/>
                <w:sz w:val="24"/>
                <w:szCs w:val="24"/>
                <w:highlight w:val="none"/>
                <w:u w:val="none" w:color="000000"/>
                <w:lang w:val="en-US" w:eastAsia="zh-CN" w:bidi="ar-SA"/>
              </w:rPr>
              <w:t>15</w:t>
            </w:r>
          </w:p>
        </w:tc>
        <w:tc>
          <w:tcPr>
            <w:tcW w:w="393" w:type="dxa"/>
            <w:vMerge w:val="continue"/>
            <w:tcBorders>
              <w:tl2br w:val="nil"/>
              <w:tr2bl w:val="nil"/>
            </w:tcBorders>
            <w:shd w:val="clear" w:color="auto" w:fill="auto"/>
            <w:noWrap w:val="0"/>
            <w:vAlign w:val="center"/>
          </w:tcPr>
          <w:p w14:paraId="7C1E99E1">
            <w:pPr>
              <w:keepNext w:val="0"/>
              <w:keepLines w:val="0"/>
              <w:pageBreakBefore w:val="0"/>
              <w:widowControl/>
              <w:kinsoku/>
              <w:wordWrap/>
              <w:overflowPunct/>
              <w:topLinePunct w:val="0"/>
              <w:autoSpaceDE/>
              <w:autoSpaceDN/>
              <w:bidi w:val="0"/>
              <w:adjustRightInd/>
              <w:spacing w:line="240" w:lineRule="auto"/>
              <w:jc w:val="left"/>
              <w:textAlignment w:val="auto"/>
              <w:rPr>
                <w:rFonts w:hint="eastAsia" w:asciiTheme="minorEastAsia" w:hAnsiTheme="minorEastAsia" w:eastAsiaTheme="minorEastAsia" w:cstheme="minorEastAsia"/>
                <w:color w:val="auto"/>
                <w:sz w:val="24"/>
                <w:szCs w:val="24"/>
                <w:highlight w:val="none"/>
              </w:rPr>
            </w:pPr>
          </w:p>
        </w:tc>
        <w:tc>
          <w:tcPr>
            <w:tcW w:w="1437" w:type="dxa"/>
            <w:tcBorders>
              <w:tl2br w:val="nil"/>
              <w:tr2bl w:val="nil"/>
            </w:tcBorders>
            <w:shd w:val="clear" w:color="auto" w:fill="FFFFFF"/>
            <w:noWrap w:val="0"/>
            <w:tcMar>
              <w:top w:w="80" w:type="dxa"/>
              <w:left w:w="80" w:type="dxa"/>
              <w:bottom w:w="80" w:type="dxa"/>
              <w:right w:w="80" w:type="dxa"/>
            </w:tcMar>
            <w:vAlign w:val="center"/>
          </w:tcPr>
          <w:p w14:paraId="7D71476A">
            <w:pPr>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bookmarkStart w:id="65" w:name="OLE_LINK17"/>
            <w:r>
              <w:rPr>
                <w:rFonts w:hint="eastAsia" w:asciiTheme="minorEastAsia" w:hAnsiTheme="minorEastAsia" w:eastAsiaTheme="minorEastAsia" w:cstheme="minorEastAsia"/>
                <w:color w:val="auto"/>
                <w:kern w:val="2"/>
                <w:sz w:val="24"/>
                <w:szCs w:val="24"/>
                <w:highlight w:val="none"/>
                <w:lang w:val="en-US" w:eastAsia="zh-CN" w:bidi="ar-SA"/>
              </w:rPr>
              <w:t>同类业绩</w:t>
            </w:r>
            <w:bookmarkEnd w:id="65"/>
          </w:p>
        </w:tc>
        <w:tc>
          <w:tcPr>
            <w:tcW w:w="6585" w:type="dxa"/>
            <w:tcBorders>
              <w:tl2br w:val="nil"/>
              <w:tr2bl w:val="nil"/>
            </w:tcBorders>
            <w:shd w:val="clear" w:color="auto" w:fill="FFFFFF"/>
            <w:noWrap w:val="0"/>
            <w:tcMar>
              <w:top w:w="80" w:type="dxa"/>
              <w:left w:w="80" w:type="dxa"/>
              <w:bottom w:w="80" w:type="dxa"/>
              <w:right w:w="80" w:type="dxa"/>
            </w:tcMar>
            <w:vAlign w:val="center"/>
          </w:tcPr>
          <w:p w14:paraId="0615D144">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bookmarkStart w:id="66" w:name="OLE_LINK42"/>
            <w:r>
              <w:rPr>
                <w:rFonts w:hint="eastAsia" w:asciiTheme="minorEastAsia" w:hAnsiTheme="minorEastAsia" w:eastAsiaTheme="minorEastAsia" w:cstheme="minorEastAsia"/>
                <w:color w:val="auto"/>
                <w:kern w:val="2"/>
                <w:sz w:val="24"/>
                <w:szCs w:val="24"/>
                <w:highlight w:val="none"/>
                <w:lang w:val="en-US" w:eastAsia="zh-CN" w:bidi="ar-SA"/>
              </w:rPr>
              <w:t>投标人自2022年1月以来（以签订日期为准），承担过同类项目业绩的，每个得1分，最多得2分。（以提供中标通知书或合同复印件为准）</w:t>
            </w:r>
            <w:bookmarkEnd w:id="66"/>
          </w:p>
        </w:tc>
        <w:tc>
          <w:tcPr>
            <w:tcW w:w="771" w:type="dxa"/>
            <w:tcBorders>
              <w:tl2br w:val="nil"/>
              <w:tr2bl w:val="nil"/>
            </w:tcBorders>
            <w:shd w:val="clear" w:color="auto" w:fill="FFFFFF"/>
            <w:noWrap w:val="0"/>
            <w:tcMar>
              <w:top w:w="80" w:type="dxa"/>
              <w:left w:w="80" w:type="dxa"/>
              <w:bottom w:w="80" w:type="dxa"/>
              <w:right w:w="80" w:type="dxa"/>
            </w:tcMar>
            <w:vAlign w:val="center"/>
          </w:tcPr>
          <w:p w14:paraId="384BE4B2">
            <w:pPr>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w:t>
            </w:r>
          </w:p>
        </w:tc>
      </w:tr>
      <w:tr w14:paraId="48600413">
        <w:tblPrEx>
          <w:tblBorders>
            <w:top w:val="single" w:color="000000" w:sz="4"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955" w:hRule="atLeast"/>
          <w:jc w:val="center"/>
        </w:trPr>
        <w:tc>
          <w:tcPr>
            <w:tcW w:w="713" w:type="dxa"/>
            <w:tcBorders>
              <w:tl2br w:val="nil"/>
              <w:tr2bl w:val="nil"/>
            </w:tcBorders>
            <w:shd w:val="clear" w:color="auto" w:fill="FFFFFF"/>
            <w:noWrap w:val="0"/>
            <w:tcMar>
              <w:top w:w="80" w:type="dxa"/>
              <w:left w:w="80" w:type="dxa"/>
              <w:bottom w:w="80" w:type="dxa"/>
              <w:right w:w="80" w:type="dxa"/>
            </w:tcMar>
            <w:vAlign w:val="center"/>
          </w:tcPr>
          <w:p w14:paraId="52F0FF91">
            <w:pPr>
              <w:keepNext w:val="0"/>
              <w:keepLines w:val="0"/>
              <w:pageBreakBefore w:val="0"/>
              <w:kinsoku/>
              <w:wordWrap/>
              <w:overflowPunct/>
              <w:topLinePunct w:val="0"/>
              <w:autoSpaceDE/>
              <w:autoSpaceDN/>
              <w:bidi w:val="0"/>
              <w:adjustRightInd/>
              <w:spacing w:line="240" w:lineRule="auto"/>
              <w:jc w:val="center"/>
              <w:textAlignment w:val="auto"/>
              <w:rPr>
                <w:rFonts w:hint="eastAsia" w:asciiTheme="minorEastAsia" w:hAnsiTheme="minorEastAsia" w:eastAsiaTheme="minorEastAsia" w:cstheme="minorEastAsia"/>
                <w:color w:val="auto"/>
                <w:kern w:val="0"/>
                <w:sz w:val="24"/>
                <w:szCs w:val="24"/>
                <w:highlight w:val="none"/>
                <w:u w:val="none" w:color="000000"/>
                <w:lang w:val="en-US" w:eastAsia="zh-CN" w:bidi="ar-SA"/>
              </w:rPr>
            </w:pPr>
            <w:r>
              <w:rPr>
                <w:rFonts w:hint="eastAsia" w:asciiTheme="minorEastAsia" w:hAnsiTheme="minorEastAsia" w:eastAsiaTheme="minorEastAsia" w:cstheme="minorEastAsia"/>
                <w:color w:val="auto"/>
                <w:kern w:val="0"/>
                <w:sz w:val="24"/>
                <w:szCs w:val="24"/>
                <w:highlight w:val="none"/>
                <w:u w:val="none" w:color="000000"/>
                <w:lang w:val="en-US" w:eastAsia="zh-CN" w:bidi="ar-SA"/>
              </w:rPr>
              <w:t>16</w:t>
            </w:r>
          </w:p>
        </w:tc>
        <w:tc>
          <w:tcPr>
            <w:tcW w:w="393" w:type="dxa"/>
            <w:vMerge w:val="continue"/>
            <w:tcBorders>
              <w:tl2br w:val="nil"/>
              <w:tr2bl w:val="nil"/>
            </w:tcBorders>
            <w:shd w:val="clear" w:color="auto" w:fill="auto"/>
            <w:noWrap w:val="0"/>
            <w:vAlign w:val="center"/>
          </w:tcPr>
          <w:p w14:paraId="267FAD16">
            <w:pPr>
              <w:keepNext w:val="0"/>
              <w:keepLines w:val="0"/>
              <w:pageBreakBefore w:val="0"/>
              <w:widowControl/>
              <w:kinsoku/>
              <w:wordWrap/>
              <w:overflowPunct/>
              <w:topLinePunct w:val="0"/>
              <w:autoSpaceDE/>
              <w:autoSpaceDN/>
              <w:bidi w:val="0"/>
              <w:adjustRightInd/>
              <w:spacing w:line="240" w:lineRule="auto"/>
              <w:jc w:val="left"/>
              <w:textAlignment w:val="auto"/>
              <w:rPr>
                <w:rFonts w:hint="eastAsia" w:asciiTheme="minorEastAsia" w:hAnsiTheme="minorEastAsia" w:eastAsiaTheme="minorEastAsia" w:cstheme="minorEastAsia"/>
                <w:color w:val="auto"/>
                <w:sz w:val="24"/>
                <w:szCs w:val="24"/>
                <w:highlight w:val="none"/>
              </w:rPr>
            </w:pPr>
          </w:p>
        </w:tc>
        <w:tc>
          <w:tcPr>
            <w:tcW w:w="1437" w:type="dxa"/>
            <w:tcBorders>
              <w:tl2br w:val="nil"/>
              <w:tr2bl w:val="nil"/>
            </w:tcBorders>
            <w:shd w:val="clear" w:color="auto" w:fill="FFFFFF"/>
            <w:noWrap w:val="0"/>
            <w:tcMar>
              <w:top w:w="80" w:type="dxa"/>
              <w:left w:w="80" w:type="dxa"/>
              <w:bottom w:w="80" w:type="dxa"/>
              <w:right w:w="80" w:type="dxa"/>
            </w:tcMar>
            <w:vAlign w:val="center"/>
          </w:tcPr>
          <w:p w14:paraId="59C1E220">
            <w:pPr>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合理化建议</w:t>
            </w:r>
          </w:p>
        </w:tc>
        <w:tc>
          <w:tcPr>
            <w:tcW w:w="6585" w:type="dxa"/>
            <w:tcBorders>
              <w:tl2br w:val="nil"/>
              <w:tr2bl w:val="nil"/>
            </w:tcBorders>
            <w:shd w:val="clear" w:color="auto" w:fill="FFFFFF"/>
            <w:noWrap w:val="0"/>
            <w:tcMar>
              <w:top w:w="80" w:type="dxa"/>
              <w:left w:w="80" w:type="dxa"/>
              <w:bottom w:w="80" w:type="dxa"/>
              <w:right w:w="80" w:type="dxa"/>
            </w:tcMar>
            <w:vAlign w:val="center"/>
          </w:tcPr>
          <w:p w14:paraId="6FD41884">
            <w:pPr>
              <w:keepNext w:val="0"/>
              <w:keepLines w:val="0"/>
              <w:pageBreakBefore w:val="0"/>
              <w:kinsoku/>
              <w:wordWrap/>
              <w:overflowPunct/>
              <w:topLinePunct w:val="0"/>
              <w:autoSpaceDE/>
              <w:autoSpaceDN/>
              <w:bidi w:val="0"/>
              <w:adjustRightInd/>
              <w:spacing w:line="240" w:lineRule="auto"/>
              <w:rPr>
                <w:rFonts w:hint="eastAsia" w:asciiTheme="minorEastAsia" w:hAnsiTheme="minorEastAsia" w:eastAsiaTheme="minorEastAsia" w:cstheme="minorEastAsia"/>
                <w:color w:val="auto"/>
                <w:kern w:val="2"/>
                <w:sz w:val="24"/>
                <w:szCs w:val="24"/>
                <w:highlight w:val="none"/>
                <w:lang w:val="en-US" w:eastAsia="zh-CN" w:bidi="ar-SA"/>
              </w:rPr>
            </w:pPr>
            <w:bookmarkStart w:id="67" w:name="OLE_LINK44"/>
            <w:r>
              <w:rPr>
                <w:rFonts w:hint="eastAsia" w:asciiTheme="minorEastAsia" w:hAnsiTheme="minorEastAsia" w:eastAsiaTheme="minorEastAsia" w:cstheme="minorEastAsia"/>
                <w:color w:val="auto"/>
                <w:kern w:val="2"/>
                <w:sz w:val="24"/>
                <w:szCs w:val="24"/>
                <w:highlight w:val="none"/>
                <w:lang w:val="en-US" w:eastAsia="zh-CN" w:bidi="ar-SA"/>
              </w:rPr>
              <w:t>根据投标人对本项目的需求和理解提出的合理化建议进行打分。</w:t>
            </w:r>
            <w:bookmarkEnd w:id="67"/>
          </w:p>
        </w:tc>
        <w:tc>
          <w:tcPr>
            <w:tcW w:w="771" w:type="dxa"/>
            <w:tcBorders>
              <w:tl2br w:val="nil"/>
              <w:tr2bl w:val="nil"/>
            </w:tcBorders>
            <w:shd w:val="clear" w:color="auto" w:fill="FFFFFF"/>
            <w:noWrap w:val="0"/>
            <w:tcMar>
              <w:top w:w="80" w:type="dxa"/>
              <w:left w:w="80" w:type="dxa"/>
              <w:bottom w:w="80" w:type="dxa"/>
              <w:right w:w="80" w:type="dxa"/>
            </w:tcMar>
            <w:vAlign w:val="center"/>
          </w:tcPr>
          <w:p w14:paraId="1AF158E7">
            <w:pPr>
              <w:keepNext w:val="0"/>
              <w:keepLines w:val="0"/>
              <w:pageBreakBefore w:val="0"/>
              <w:kinsoku/>
              <w:wordWrap/>
              <w:overflowPunct/>
              <w:topLinePunct w:val="0"/>
              <w:autoSpaceDE/>
              <w:autoSpaceDN/>
              <w:bidi w:val="0"/>
              <w:adjustRightInd/>
              <w:spacing w:line="24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w:t>
            </w:r>
          </w:p>
        </w:tc>
      </w:tr>
    </w:tbl>
    <w:p w14:paraId="6BBCFDAC">
      <w:pPr>
        <w:pStyle w:val="5"/>
        <w:keepNext w:val="0"/>
        <w:keepLines w:val="0"/>
        <w:pageBreakBefore/>
        <w:numPr>
          <w:ilvl w:val="0"/>
          <w:numId w:val="7"/>
        </w:numPr>
        <w:spacing w:line="240" w:lineRule="auto"/>
        <w:jc w:val="center"/>
        <w:rPr>
          <w:rFonts w:ascii="宋体" w:hAnsi="宋体" w:cs="宋体"/>
          <w:bCs w:val="0"/>
          <w:color w:val="auto"/>
          <w:sz w:val="32"/>
          <w:szCs w:val="32"/>
          <w:highlight w:val="none"/>
        </w:rPr>
      </w:pPr>
      <w:bookmarkStart w:id="68" w:name="_Toc11703"/>
      <w:r>
        <w:rPr>
          <w:rFonts w:hint="eastAsia" w:ascii="宋体" w:hAnsi="宋体" w:cs="宋体"/>
          <w:bCs w:val="0"/>
          <w:color w:val="auto"/>
          <w:sz w:val="32"/>
          <w:szCs w:val="32"/>
          <w:highlight w:val="none"/>
        </w:rPr>
        <w:t>合同主要条款</w:t>
      </w:r>
      <w:bookmarkEnd w:id="47"/>
      <w:bookmarkEnd w:id="68"/>
    </w:p>
    <w:p w14:paraId="1C0AA602">
      <w:pPr>
        <w:spacing w:line="480" w:lineRule="auto"/>
        <w:jc w:val="center"/>
        <w:outlineLvl w:val="1"/>
        <w:rPr>
          <w:rFonts w:ascii="宋体" w:hAnsi="宋体"/>
          <w:b/>
          <w:color w:val="auto"/>
          <w:sz w:val="36"/>
          <w:szCs w:val="32"/>
          <w:highlight w:val="none"/>
        </w:rPr>
      </w:pPr>
      <w:bookmarkStart w:id="69" w:name="_Toc32287"/>
      <w:bookmarkStart w:id="70" w:name="_Toc9779"/>
      <w:bookmarkStart w:id="71" w:name="_Toc6142"/>
      <w:r>
        <w:rPr>
          <w:rFonts w:hint="eastAsia" w:ascii="宋体" w:hAnsi="宋体"/>
          <w:b/>
          <w:color w:val="auto"/>
          <w:sz w:val="36"/>
          <w:szCs w:val="32"/>
          <w:highlight w:val="none"/>
        </w:rPr>
        <w:t>东阳市政府采购合同（样本）</w:t>
      </w:r>
      <w:bookmarkEnd w:id="69"/>
      <w:bookmarkEnd w:id="70"/>
      <w:bookmarkEnd w:id="71"/>
    </w:p>
    <w:p w14:paraId="28092E9C">
      <w:pPr>
        <w:snapToGrid w:val="0"/>
        <w:spacing w:before="120" w:after="120" w:line="400" w:lineRule="exact"/>
        <w:rPr>
          <w:rFonts w:ascii="宋体" w:hAnsi="宋体"/>
          <w:color w:val="auto"/>
          <w:sz w:val="24"/>
          <w:highlight w:val="none"/>
        </w:rPr>
      </w:pPr>
      <w:r>
        <w:rPr>
          <w:rFonts w:ascii="宋体" w:hAnsi="宋体"/>
          <w:color w:val="auto"/>
          <w:sz w:val="24"/>
          <w:highlight w:val="none"/>
        </w:rPr>
        <w:t>项目名称：                   项目编号：</w:t>
      </w:r>
      <w:r>
        <w:rPr>
          <w:rFonts w:hint="eastAsia" w:ascii="宋体" w:hAnsi="宋体"/>
          <w:color w:val="auto"/>
          <w:sz w:val="24"/>
          <w:highlight w:val="none"/>
        </w:rPr>
        <w:t xml:space="preserve">               合同号：</w:t>
      </w:r>
    </w:p>
    <w:p w14:paraId="30EA738F">
      <w:pPr>
        <w:snapToGrid w:val="0"/>
        <w:spacing w:before="120" w:after="120" w:line="400" w:lineRule="exact"/>
        <w:rPr>
          <w:rFonts w:ascii="宋体" w:hAnsi="宋体"/>
          <w:color w:val="auto"/>
          <w:sz w:val="24"/>
          <w:highlight w:val="none"/>
        </w:rPr>
      </w:pPr>
      <w:r>
        <w:rPr>
          <w:rFonts w:ascii="宋体" w:hAnsi="宋体"/>
          <w:color w:val="auto"/>
          <w:sz w:val="24"/>
          <w:highlight w:val="none"/>
        </w:rPr>
        <w:t>甲方（买方）</w:t>
      </w:r>
      <w:r>
        <w:rPr>
          <w:rFonts w:hint="eastAsia" w:ascii="宋体" w:hAnsi="宋体"/>
          <w:color w:val="auto"/>
          <w:sz w:val="24"/>
          <w:highlight w:val="none"/>
        </w:rPr>
        <w:t>：</w:t>
      </w:r>
    </w:p>
    <w:p w14:paraId="16A4DDF6">
      <w:pPr>
        <w:snapToGrid w:val="0"/>
        <w:spacing w:before="120" w:after="120" w:line="400" w:lineRule="exact"/>
        <w:rPr>
          <w:rFonts w:ascii="宋体" w:hAnsi="宋体"/>
          <w:color w:val="auto"/>
          <w:sz w:val="24"/>
          <w:highlight w:val="none"/>
        </w:rPr>
      </w:pPr>
      <w:r>
        <w:rPr>
          <w:rFonts w:ascii="宋体" w:hAnsi="宋体"/>
          <w:color w:val="auto"/>
          <w:sz w:val="24"/>
          <w:highlight w:val="none"/>
        </w:rPr>
        <w:t>乙方（卖方）</w:t>
      </w:r>
      <w:r>
        <w:rPr>
          <w:rFonts w:hint="eastAsia" w:ascii="宋体" w:hAnsi="宋体"/>
          <w:color w:val="auto"/>
          <w:sz w:val="24"/>
          <w:highlight w:val="none"/>
        </w:rPr>
        <w:t>：</w:t>
      </w:r>
    </w:p>
    <w:p w14:paraId="16097B97">
      <w:pPr>
        <w:snapToGrid w:val="0"/>
        <w:spacing w:before="120" w:after="120" w:line="400" w:lineRule="exact"/>
        <w:rPr>
          <w:rFonts w:ascii="宋体" w:hAnsi="宋体"/>
          <w:color w:val="auto"/>
          <w:sz w:val="24"/>
          <w:highlight w:val="none"/>
        </w:rPr>
      </w:pPr>
      <w:r>
        <w:rPr>
          <w:rFonts w:hint="eastAsia" w:ascii="宋体" w:hAnsi="宋体"/>
          <w:color w:val="auto"/>
          <w:sz w:val="24"/>
          <w:highlight w:val="none"/>
        </w:rPr>
        <w:t>鉴证方（招标方）：</w:t>
      </w:r>
    </w:p>
    <w:p w14:paraId="1C87DE54">
      <w:pPr>
        <w:snapToGrid w:val="0"/>
        <w:spacing w:before="120" w:after="120" w:line="400" w:lineRule="exact"/>
        <w:ind w:firstLine="495"/>
        <w:rPr>
          <w:rFonts w:ascii="宋体" w:hAnsi="宋体"/>
          <w:color w:val="auto"/>
          <w:sz w:val="24"/>
          <w:highlight w:val="none"/>
          <w:u w:val="single"/>
        </w:rPr>
      </w:pPr>
      <w:r>
        <w:rPr>
          <w:rFonts w:hint="eastAsia" w:ascii="宋体" w:hAnsi="宋体"/>
          <w:color w:val="auto"/>
          <w:sz w:val="24"/>
          <w:highlight w:val="none"/>
        </w:rPr>
        <w:t>甲、乙双方根据</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日东阳市鑫盛工程咨询有限公司关于</w:t>
      </w:r>
      <w:r>
        <w:rPr>
          <w:rFonts w:hint="eastAsia" w:ascii="宋体" w:hAnsi="宋体"/>
          <w:color w:val="auto"/>
          <w:sz w:val="24"/>
          <w:highlight w:val="none"/>
          <w:u w:val="single"/>
        </w:rPr>
        <w:t xml:space="preserve">              </w:t>
      </w:r>
      <w:r>
        <w:rPr>
          <w:rFonts w:hint="eastAsia" w:ascii="宋体" w:hAnsi="宋体"/>
          <w:color w:val="auto"/>
          <w:sz w:val="24"/>
          <w:highlight w:val="none"/>
        </w:rPr>
        <w:t>项目公开招标的结果，签署本合同。</w:t>
      </w:r>
    </w:p>
    <w:p w14:paraId="4C1A0B71">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ascii="宋体" w:hAnsi="宋体"/>
          <w:b/>
          <w:color w:val="auto"/>
          <w:sz w:val="24"/>
          <w:highlight w:val="none"/>
        </w:rPr>
        <w:t>一、服务内容</w:t>
      </w:r>
      <w:r>
        <w:rPr>
          <w:rFonts w:hint="eastAsia" w:ascii="宋体" w:hAnsi="宋体"/>
          <w:b/>
          <w:color w:val="auto"/>
          <w:sz w:val="24"/>
          <w:highlight w:val="none"/>
        </w:rPr>
        <w:t>：</w:t>
      </w:r>
    </w:p>
    <w:p w14:paraId="3002B50B">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ascii="宋体" w:hAnsi="宋体"/>
          <w:b/>
          <w:color w:val="auto"/>
          <w:sz w:val="24"/>
          <w:highlight w:val="none"/>
        </w:rPr>
        <w:t>二、</w:t>
      </w:r>
      <w:r>
        <w:rPr>
          <w:rFonts w:hint="eastAsia" w:ascii="宋体" w:hAnsi="宋体"/>
          <w:b/>
          <w:color w:val="auto"/>
          <w:sz w:val="24"/>
          <w:highlight w:val="none"/>
        </w:rPr>
        <w:t>合同金额：</w:t>
      </w:r>
    </w:p>
    <w:p w14:paraId="51D9A9AF">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ascii="宋体" w:hAnsi="宋体"/>
          <w:b/>
          <w:color w:val="auto"/>
          <w:sz w:val="24"/>
          <w:highlight w:val="none"/>
        </w:rPr>
        <w:t>三、技术资料</w:t>
      </w:r>
    </w:p>
    <w:p w14:paraId="5ABCD33B">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 xml:space="preserve">. </w:t>
      </w:r>
      <w:r>
        <w:rPr>
          <w:rFonts w:ascii="宋体" w:hAnsi="宋体"/>
          <w:color w:val="auto"/>
          <w:sz w:val="24"/>
          <w:highlight w:val="none"/>
        </w:rPr>
        <w:t>乙方应按招标文件规定的时间向甲方提供有关技术资料。</w:t>
      </w:r>
    </w:p>
    <w:p w14:paraId="43268667">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 xml:space="preserve">. </w:t>
      </w:r>
      <w:r>
        <w:rPr>
          <w:rFonts w:ascii="宋体" w:hAnsi="宋体"/>
          <w:color w:val="auto"/>
          <w:sz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7C2043A">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b/>
          <w:color w:val="auto"/>
          <w:sz w:val="24"/>
          <w:highlight w:val="none"/>
        </w:rPr>
      </w:pPr>
      <w:r>
        <w:rPr>
          <w:rFonts w:ascii="宋体" w:hAnsi="宋体"/>
          <w:b/>
          <w:color w:val="auto"/>
          <w:sz w:val="24"/>
          <w:highlight w:val="none"/>
        </w:rPr>
        <w:t>四、知识产权</w:t>
      </w:r>
    </w:p>
    <w:p w14:paraId="35285B54">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ascii="宋体" w:hAnsi="宋体"/>
          <w:color w:val="auto"/>
          <w:sz w:val="24"/>
          <w:highlight w:val="none"/>
        </w:rPr>
        <w:t>乙方应保证提供服务过程中不会侵犯任何第三方的知识产权。</w:t>
      </w:r>
    </w:p>
    <w:p w14:paraId="6AF36989">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hint="eastAsia" w:ascii="宋体" w:hAnsi="宋体"/>
          <w:color w:val="auto"/>
          <w:sz w:val="24"/>
          <w:highlight w:val="none"/>
        </w:rPr>
        <w:t>若乙方提供的服务或资料侵犯他人知识产权的，则乙方承担相应赔偿责任。</w:t>
      </w:r>
    </w:p>
    <w:p w14:paraId="461F9322">
      <w:pPr>
        <w:keepNext w:val="0"/>
        <w:keepLines w:val="0"/>
        <w:pageBreakBefore w:val="0"/>
        <w:widowControl w:val="0"/>
        <w:kinsoku/>
        <w:wordWrap/>
        <w:overflowPunct/>
        <w:topLinePunct w:val="0"/>
        <w:autoSpaceDE/>
        <w:autoSpaceDN/>
        <w:bidi w:val="0"/>
        <w:adjustRightInd/>
        <w:snapToGrid w:val="0"/>
        <w:spacing w:before="120" w:after="120" w:line="360" w:lineRule="auto"/>
        <w:ind w:left="408" w:hanging="408"/>
        <w:textAlignment w:val="auto"/>
        <w:rPr>
          <w:rFonts w:hint="default" w:ascii="宋体" w:hAnsi="宋体" w:eastAsia="宋体"/>
          <w:b/>
          <w:color w:val="auto"/>
          <w:sz w:val="24"/>
          <w:highlight w:val="none"/>
          <w:lang w:val="en-US" w:eastAsia="zh-CN"/>
        </w:rPr>
      </w:pPr>
      <w:r>
        <w:rPr>
          <w:rFonts w:hint="eastAsia" w:ascii="宋体" w:hAnsi="宋体"/>
          <w:b/>
          <w:color w:val="auto"/>
          <w:sz w:val="24"/>
          <w:highlight w:val="none"/>
        </w:rPr>
        <w:t>五</w:t>
      </w:r>
      <w:r>
        <w:rPr>
          <w:rFonts w:ascii="宋体" w:hAnsi="宋体"/>
          <w:b/>
          <w:color w:val="auto"/>
          <w:sz w:val="24"/>
          <w:highlight w:val="none"/>
        </w:rPr>
        <w:t>、履约保证金</w:t>
      </w:r>
      <w:r>
        <w:rPr>
          <w:rFonts w:hint="eastAsia" w:ascii="宋体" w:hAnsi="宋体"/>
          <w:b/>
          <w:color w:val="auto"/>
          <w:sz w:val="24"/>
          <w:highlight w:val="none"/>
        </w:rPr>
        <w:t>：</w:t>
      </w:r>
      <w:r>
        <w:rPr>
          <w:rFonts w:hint="eastAsia" w:ascii="宋体" w:hAnsi="宋体"/>
          <w:b/>
          <w:color w:val="auto"/>
          <w:sz w:val="24"/>
          <w:highlight w:val="none"/>
          <w:lang w:val="en-US" w:eastAsia="zh-CN"/>
        </w:rPr>
        <w:t>本项目不收取履约保证金</w:t>
      </w:r>
    </w:p>
    <w:p w14:paraId="7169FEE4">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hint="eastAsia" w:ascii="宋体" w:hAnsi="宋体"/>
          <w:b/>
          <w:color w:val="auto"/>
          <w:sz w:val="24"/>
          <w:highlight w:val="none"/>
        </w:rPr>
        <w:t>六、转包</w:t>
      </w:r>
    </w:p>
    <w:p w14:paraId="5F95BF48">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hint="eastAsia" w:ascii="宋体" w:hAnsi="宋体"/>
          <w:color w:val="auto"/>
          <w:sz w:val="24"/>
          <w:highlight w:val="none"/>
        </w:rPr>
        <w:t>1.本合同范围的服务，应由乙方直接供应，不得转让他人供应；</w:t>
      </w:r>
    </w:p>
    <w:p w14:paraId="7DE624C6">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hint="eastAsia" w:ascii="宋体" w:hAnsi="宋体"/>
          <w:color w:val="auto"/>
          <w:sz w:val="24"/>
          <w:highlight w:val="none"/>
        </w:rPr>
        <w:t>2. 如发现转包行为，甲方有权解除合同，没收履约保证金并追究乙方的违约责任。</w:t>
      </w:r>
    </w:p>
    <w:p w14:paraId="54D2E2E2">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hint="eastAsia" w:ascii="宋体" w:hAnsi="宋体"/>
          <w:b/>
          <w:color w:val="auto"/>
          <w:sz w:val="24"/>
          <w:highlight w:val="none"/>
        </w:rPr>
        <w:t>七</w:t>
      </w:r>
      <w:r>
        <w:rPr>
          <w:rFonts w:ascii="宋体" w:hAnsi="宋体"/>
          <w:b/>
          <w:color w:val="auto"/>
          <w:sz w:val="24"/>
          <w:highlight w:val="none"/>
        </w:rPr>
        <w:t>、合同履行时间、履行方式及履行地点</w:t>
      </w:r>
    </w:p>
    <w:p w14:paraId="44A49691">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Cs/>
          <w:color w:val="auto"/>
          <w:sz w:val="24"/>
          <w:highlight w:val="none"/>
        </w:rPr>
      </w:pPr>
      <w:r>
        <w:rPr>
          <w:rFonts w:ascii="宋体" w:hAnsi="宋体"/>
          <w:bCs/>
          <w:color w:val="auto"/>
          <w:sz w:val="24"/>
          <w:highlight w:val="none"/>
        </w:rPr>
        <w:t>1</w:t>
      </w:r>
      <w:r>
        <w:rPr>
          <w:rFonts w:hint="eastAsia" w:ascii="宋体" w:hAnsi="宋体"/>
          <w:bCs/>
          <w:color w:val="auto"/>
          <w:sz w:val="24"/>
          <w:highlight w:val="none"/>
        </w:rPr>
        <w:t>.</w:t>
      </w:r>
      <w:r>
        <w:rPr>
          <w:rFonts w:ascii="宋体" w:hAnsi="宋体"/>
          <w:bCs/>
          <w:color w:val="auto"/>
          <w:sz w:val="24"/>
          <w:highlight w:val="none"/>
        </w:rPr>
        <w:t xml:space="preserve"> </w:t>
      </w:r>
      <w:r>
        <w:rPr>
          <w:rFonts w:ascii="宋体" w:hAnsi="宋体"/>
          <w:color w:val="auto"/>
          <w:sz w:val="24"/>
          <w:highlight w:val="none"/>
        </w:rPr>
        <w:t>履行时间</w:t>
      </w:r>
      <w:r>
        <w:rPr>
          <w:rFonts w:ascii="宋体" w:hAnsi="宋体"/>
          <w:bCs/>
          <w:color w:val="auto"/>
          <w:sz w:val="24"/>
          <w:highlight w:val="none"/>
        </w:rPr>
        <w:t>：</w:t>
      </w:r>
    </w:p>
    <w:p w14:paraId="131C5D5B">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Cs/>
          <w:color w:val="auto"/>
          <w:sz w:val="24"/>
          <w:highlight w:val="none"/>
        </w:rPr>
      </w:pPr>
      <w:r>
        <w:rPr>
          <w:rFonts w:ascii="宋体" w:hAnsi="宋体"/>
          <w:bCs/>
          <w:color w:val="auto"/>
          <w:sz w:val="24"/>
          <w:highlight w:val="none"/>
        </w:rPr>
        <w:t>2</w:t>
      </w:r>
      <w:r>
        <w:rPr>
          <w:rFonts w:hint="eastAsia" w:ascii="宋体" w:hAnsi="宋体"/>
          <w:bCs/>
          <w:color w:val="auto"/>
          <w:sz w:val="24"/>
          <w:highlight w:val="none"/>
        </w:rPr>
        <w:t>.</w:t>
      </w:r>
      <w:r>
        <w:rPr>
          <w:rFonts w:ascii="宋体" w:hAnsi="宋体"/>
          <w:bCs/>
          <w:color w:val="auto"/>
          <w:sz w:val="24"/>
          <w:highlight w:val="none"/>
        </w:rPr>
        <w:t xml:space="preserve"> </w:t>
      </w:r>
      <w:r>
        <w:rPr>
          <w:rFonts w:ascii="宋体" w:hAnsi="宋体"/>
          <w:color w:val="auto"/>
          <w:sz w:val="24"/>
          <w:highlight w:val="none"/>
        </w:rPr>
        <w:t>履行方式</w:t>
      </w:r>
      <w:r>
        <w:rPr>
          <w:rFonts w:ascii="宋体" w:hAnsi="宋体"/>
          <w:bCs/>
          <w:color w:val="auto"/>
          <w:sz w:val="24"/>
          <w:highlight w:val="none"/>
        </w:rPr>
        <w:t>：</w:t>
      </w:r>
    </w:p>
    <w:p w14:paraId="61D31ADF">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ascii="宋体" w:hAnsi="宋体"/>
          <w:bCs/>
          <w:color w:val="auto"/>
          <w:sz w:val="24"/>
          <w:highlight w:val="none"/>
        </w:rPr>
        <w:t>3</w:t>
      </w:r>
      <w:r>
        <w:rPr>
          <w:rFonts w:hint="eastAsia" w:ascii="宋体" w:hAnsi="宋体"/>
          <w:bCs/>
          <w:color w:val="auto"/>
          <w:sz w:val="24"/>
          <w:highlight w:val="none"/>
        </w:rPr>
        <w:t>.</w:t>
      </w:r>
      <w:r>
        <w:rPr>
          <w:rFonts w:ascii="宋体" w:hAnsi="宋体"/>
          <w:bCs/>
          <w:color w:val="auto"/>
          <w:sz w:val="24"/>
          <w:highlight w:val="none"/>
        </w:rPr>
        <w:t xml:space="preserve"> </w:t>
      </w:r>
      <w:r>
        <w:rPr>
          <w:rFonts w:ascii="宋体" w:hAnsi="宋体"/>
          <w:color w:val="auto"/>
          <w:sz w:val="24"/>
          <w:highlight w:val="none"/>
        </w:rPr>
        <w:t>履行地点</w:t>
      </w:r>
      <w:r>
        <w:rPr>
          <w:rFonts w:ascii="宋体" w:hAnsi="宋体"/>
          <w:bCs/>
          <w:color w:val="auto"/>
          <w:sz w:val="24"/>
          <w:highlight w:val="none"/>
        </w:rPr>
        <w:t>：</w:t>
      </w:r>
    </w:p>
    <w:p w14:paraId="28FCF538">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hint="eastAsia" w:ascii="宋体" w:hAnsi="宋体"/>
          <w:b/>
          <w:color w:val="auto"/>
          <w:sz w:val="24"/>
          <w:highlight w:val="none"/>
        </w:rPr>
        <w:t>八</w:t>
      </w:r>
      <w:r>
        <w:rPr>
          <w:rFonts w:ascii="宋体" w:hAnsi="宋体"/>
          <w:b/>
          <w:color w:val="auto"/>
          <w:sz w:val="24"/>
          <w:highlight w:val="none"/>
        </w:rPr>
        <w:t>、付款方式</w:t>
      </w:r>
      <w:r>
        <w:rPr>
          <w:rFonts w:hint="eastAsia" w:ascii="宋体" w:hAnsi="宋体"/>
          <w:b/>
          <w:color w:val="auto"/>
          <w:sz w:val="24"/>
          <w:highlight w:val="none"/>
        </w:rPr>
        <w:t>：</w:t>
      </w:r>
    </w:p>
    <w:p w14:paraId="59C326CB">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hint="eastAsia" w:ascii="宋体" w:hAnsi="宋体"/>
          <w:b/>
          <w:color w:val="auto"/>
          <w:sz w:val="24"/>
          <w:highlight w:val="none"/>
        </w:rPr>
        <w:t>九、税费</w:t>
      </w:r>
    </w:p>
    <w:p w14:paraId="29E87BDD">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hint="eastAsia" w:ascii="宋体" w:hAnsi="宋体"/>
          <w:color w:val="auto"/>
          <w:sz w:val="24"/>
          <w:highlight w:val="none"/>
        </w:rPr>
        <w:t>本合同执行中相关的一切税费均由</w:t>
      </w:r>
      <w:r>
        <w:rPr>
          <w:rFonts w:hAnsi="宋体"/>
          <w:color w:val="auto"/>
          <w:sz w:val="24"/>
          <w:highlight w:val="none"/>
        </w:rPr>
        <w:t>乙</w:t>
      </w:r>
      <w:r>
        <w:rPr>
          <w:rFonts w:hint="eastAsia" w:ascii="宋体" w:hAnsi="宋体"/>
          <w:color w:val="auto"/>
          <w:sz w:val="24"/>
          <w:highlight w:val="none"/>
        </w:rPr>
        <w:t>方负担。</w:t>
      </w:r>
    </w:p>
    <w:p w14:paraId="68BB5648">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ascii="宋体" w:hAnsi="宋体"/>
          <w:b/>
          <w:color w:val="auto"/>
          <w:sz w:val="24"/>
          <w:highlight w:val="none"/>
        </w:rPr>
        <w:t>十、质量保证及后续服务</w:t>
      </w:r>
    </w:p>
    <w:p w14:paraId="435B0966">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 xml:space="preserve"> 乙方应按招标文件规定向甲方提供服务。</w:t>
      </w:r>
    </w:p>
    <w:p w14:paraId="5B0A7895">
      <w:pPr>
        <w:keepNext w:val="0"/>
        <w:keepLines w:val="0"/>
        <w:pageBreakBefore w:val="0"/>
        <w:widowControl w:val="0"/>
        <w:kinsoku/>
        <w:wordWrap/>
        <w:overflowPunct/>
        <w:topLinePunct w:val="0"/>
        <w:autoSpaceDE/>
        <w:autoSpaceDN/>
        <w:bidi w:val="0"/>
        <w:adjustRightInd/>
        <w:snapToGrid w:val="0"/>
        <w:spacing w:before="120" w:after="120" w:line="360" w:lineRule="auto"/>
        <w:ind w:left="480" w:hanging="480"/>
        <w:textAlignment w:val="auto"/>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 xml:space="preserve"> 乙方提供的服务成果在服务质量保证期内发生故障，乙方应负责免费提供后续服务。对达不到要求者，根据实际情况，经双方协商，可按以下办法处理：</w:t>
      </w:r>
    </w:p>
    <w:p w14:paraId="03209690">
      <w:pPr>
        <w:keepNext w:val="0"/>
        <w:keepLines w:val="0"/>
        <w:pageBreakBefore w:val="0"/>
        <w:widowControl w:val="0"/>
        <w:kinsoku/>
        <w:wordWrap/>
        <w:overflowPunct/>
        <w:topLinePunct w:val="0"/>
        <w:autoSpaceDE/>
        <w:autoSpaceDN/>
        <w:bidi w:val="0"/>
        <w:adjustRightInd/>
        <w:snapToGrid w:val="0"/>
        <w:spacing w:before="120" w:after="120" w:line="360" w:lineRule="auto"/>
        <w:ind w:firstLine="420"/>
        <w:textAlignment w:val="auto"/>
        <w:rPr>
          <w:rFonts w:ascii="宋体" w:hAnsi="宋体"/>
          <w:color w:val="auto"/>
          <w:sz w:val="24"/>
          <w:highlight w:val="none"/>
        </w:rPr>
      </w:pPr>
      <w:r>
        <w:rPr>
          <w:rFonts w:ascii="宋体" w:hAnsi="宋体"/>
          <w:color w:val="auto"/>
          <w:sz w:val="24"/>
          <w:highlight w:val="none"/>
        </w:rPr>
        <w:t>⑴重做：由乙方承担所发生的全部费用。</w:t>
      </w:r>
    </w:p>
    <w:p w14:paraId="1C77AA75">
      <w:pPr>
        <w:keepNext w:val="0"/>
        <w:keepLines w:val="0"/>
        <w:pageBreakBefore w:val="0"/>
        <w:widowControl w:val="0"/>
        <w:kinsoku/>
        <w:wordWrap/>
        <w:overflowPunct/>
        <w:topLinePunct w:val="0"/>
        <w:autoSpaceDE/>
        <w:autoSpaceDN/>
        <w:bidi w:val="0"/>
        <w:adjustRightInd/>
        <w:snapToGrid w:val="0"/>
        <w:spacing w:before="120" w:after="120" w:line="360" w:lineRule="auto"/>
        <w:ind w:firstLine="420"/>
        <w:textAlignment w:val="auto"/>
        <w:rPr>
          <w:rFonts w:ascii="宋体" w:hAnsi="宋体"/>
          <w:color w:val="auto"/>
          <w:sz w:val="24"/>
          <w:highlight w:val="none"/>
        </w:rPr>
      </w:pPr>
      <w:r>
        <w:rPr>
          <w:rFonts w:ascii="宋体" w:hAnsi="宋体"/>
          <w:color w:val="auto"/>
          <w:sz w:val="24"/>
          <w:highlight w:val="none"/>
        </w:rPr>
        <w:t>⑵贬值处理：由甲乙双方合议定价。</w:t>
      </w:r>
    </w:p>
    <w:p w14:paraId="6453EF44">
      <w:pPr>
        <w:keepNext w:val="0"/>
        <w:keepLines w:val="0"/>
        <w:pageBreakBefore w:val="0"/>
        <w:widowControl w:val="0"/>
        <w:kinsoku/>
        <w:wordWrap/>
        <w:overflowPunct/>
        <w:topLinePunct w:val="0"/>
        <w:autoSpaceDE/>
        <w:autoSpaceDN/>
        <w:bidi w:val="0"/>
        <w:adjustRightInd/>
        <w:snapToGrid w:val="0"/>
        <w:spacing w:before="120" w:after="120" w:line="360" w:lineRule="auto"/>
        <w:ind w:left="420" w:leftChars="200"/>
        <w:textAlignment w:val="auto"/>
        <w:rPr>
          <w:rFonts w:ascii="宋体" w:hAnsi="宋体"/>
          <w:color w:val="auto"/>
          <w:sz w:val="24"/>
          <w:highlight w:val="none"/>
        </w:rPr>
      </w:pPr>
      <w:r>
        <w:rPr>
          <w:rFonts w:ascii="宋体" w:hAnsi="宋体"/>
          <w:color w:val="auto"/>
          <w:sz w:val="24"/>
          <w:highlight w:val="none"/>
        </w:rPr>
        <w:t>⑶解除合同。</w:t>
      </w:r>
    </w:p>
    <w:p w14:paraId="4E1CA603">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如在使用过程中发生问题，乙方在接到甲方通知后</w:t>
      </w:r>
      <w:r>
        <w:rPr>
          <w:rFonts w:hint="eastAsia" w:ascii="宋体" w:hAnsi="宋体"/>
          <w:color w:val="auto"/>
          <w:sz w:val="24"/>
          <w:highlight w:val="none"/>
          <w:u w:val="single"/>
        </w:rPr>
        <w:t>48</w:t>
      </w:r>
      <w:r>
        <w:rPr>
          <w:rFonts w:ascii="宋体" w:hAnsi="宋体"/>
          <w:color w:val="auto"/>
          <w:sz w:val="24"/>
          <w:highlight w:val="none"/>
        </w:rPr>
        <w:t>小时内到达甲方现场。</w:t>
      </w:r>
    </w:p>
    <w:p w14:paraId="28096454">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ascii="宋体" w:hAnsi="宋体"/>
          <w:color w:val="auto"/>
          <w:sz w:val="24"/>
          <w:highlight w:val="none"/>
        </w:rPr>
        <w:t>4</w:t>
      </w:r>
      <w:r>
        <w:rPr>
          <w:rFonts w:hint="eastAsia" w:ascii="宋体" w:hAnsi="宋体"/>
          <w:color w:val="auto"/>
          <w:sz w:val="24"/>
          <w:highlight w:val="none"/>
        </w:rPr>
        <w:t>．</w:t>
      </w:r>
      <w:r>
        <w:rPr>
          <w:rFonts w:ascii="宋体" w:hAnsi="宋体"/>
          <w:color w:val="auto"/>
          <w:sz w:val="24"/>
          <w:highlight w:val="none"/>
        </w:rPr>
        <w:t>在服务质量保证期内，乙方应对出现的质量及安全问题负责处理解决并承担一切费用。</w:t>
      </w:r>
    </w:p>
    <w:p w14:paraId="5B43F6FA">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ascii="宋体" w:hAnsi="宋体"/>
          <w:b/>
          <w:color w:val="auto"/>
          <w:sz w:val="24"/>
          <w:highlight w:val="none"/>
        </w:rPr>
        <w:t>十</w:t>
      </w:r>
      <w:r>
        <w:rPr>
          <w:rFonts w:hint="eastAsia" w:ascii="宋体" w:hAnsi="宋体"/>
          <w:b/>
          <w:color w:val="auto"/>
          <w:sz w:val="24"/>
          <w:highlight w:val="none"/>
        </w:rPr>
        <w:t>一</w:t>
      </w:r>
      <w:r>
        <w:rPr>
          <w:rFonts w:ascii="宋体" w:hAnsi="宋体"/>
          <w:b/>
          <w:color w:val="auto"/>
          <w:sz w:val="24"/>
          <w:highlight w:val="none"/>
        </w:rPr>
        <w:t>、违约责任</w:t>
      </w:r>
    </w:p>
    <w:p w14:paraId="08969224">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甲方无正当理由拒收接受服务的，甲方向乙方偿付合同款项百分之五作为违约金。</w:t>
      </w:r>
    </w:p>
    <w:p w14:paraId="45F09976">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甲方无故逾期验收和办理款项支付手续的,甲方应按逾期付款总额每日万分之五向乙方支付违约金。</w:t>
      </w:r>
    </w:p>
    <w:p w14:paraId="6A78A78E">
      <w:pPr>
        <w:keepNext w:val="0"/>
        <w:keepLines w:val="0"/>
        <w:pageBreakBefore w:val="0"/>
        <w:widowControl w:val="0"/>
        <w:kinsoku/>
        <w:wordWrap/>
        <w:overflowPunct/>
        <w:topLinePunct w:val="0"/>
        <w:autoSpaceDE/>
        <w:autoSpaceDN/>
        <w:bidi w:val="0"/>
        <w:adjustRightInd/>
        <w:snapToGrid w:val="0"/>
        <w:spacing w:before="120" w:after="120" w:line="360" w:lineRule="auto"/>
        <w:ind w:left="410" w:hanging="410"/>
        <w:textAlignment w:val="auto"/>
        <w:rPr>
          <w:rFonts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 xml:space="preserve"> 乙方</w:t>
      </w:r>
      <w:r>
        <w:rPr>
          <w:rFonts w:hint="eastAsia" w:ascii="宋体" w:hAnsi="宋体"/>
          <w:color w:val="auto"/>
          <w:sz w:val="24"/>
          <w:highlight w:val="none"/>
        </w:rPr>
        <w:t>未能如</w:t>
      </w:r>
      <w:r>
        <w:rPr>
          <w:rFonts w:ascii="宋体" w:hAnsi="宋体"/>
          <w:color w:val="auto"/>
          <w:sz w:val="24"/>
          <w:highlight w:val="none"/>
        </w:rPr>
        <w:t>期提供服务的，每日向甲方支付</w:t>
      </w:r>
      <w:r>
        <w:rPr>
          <w:rFonts w:hint="eastAsia" w:ascii="宋体" w:hAnsi="宋体"/>
          <w:color w:val="auto"/>
          <w:sz w:val="24"/>
          <w:highlight w:val="none"/>
        </w:rPr>
        <w:t>合同款项的</w:t>
      </w:r>
      <w:r>
        <w:rPr>
          <w:rFonts w:ascii="宋体" w:hAnsi="宋体"/>
          <w:color w:val="auto"/>
          <w:sz w:val="24"/>
          <w:highlight w:val="none"/>
        </w:rPr>
        <w:t>千分之六</w:t>
      </w:r>
      <w:r>
        <w:rPr>
          <w:rFonts w:hint="eastAsia" w:ascii="宋体" w:hAnsi="宋体"/>
          <w:color w:val="auto"/>
          <w:sz w:val="24"/>
          <w:highlight w:val="none"/>
        </w:rPr>
        <w:t>作为</w:t>
      </w:r>
      <w:r>
        <w:rPr>
          <w:rFonts w:ascii="宋体" w:hAnsi="宋体"/>
          <w:color w:val="auto"/>
          <w:sz w:val="24"/>
          <w:highlight w:val="none"/>
        </w:rPr>
        <w:t>违约金。乙方超过约定日期10个工作日</w:t>
      </w:r>
      <w:r>
        <w:rPr>
          <w:rFonts w:hint="eastAsia" w:ascii="宋体" w:hAnsi="宋体"/>
          <w:color w:val="auto"/>
          <w:sz w:val="24"/>
          <w:highlight w:val="none"/>
        </w:rPr>
        <w:t>仍</w:t>
      </w:r>
      <w:r>
        <w:rPr>
          <w:rFonts w:ascii="宋体" w:hAnsi="宋体"/>
          <w:color w:val="auto"/>
          <w:sz w:val="24"/>
          <w:highlight w:val="none"/>
        </w:rPr>
        <w:t>不能</w:t>
      </w:r>
      <w:r>
        <w:rPr>
          <w:rFonts w:hint="eastAsia" w:ascii="宋体" w:hAnsi="宋体"/>
          <w:color w:val="auto"/>
          <w:sz w:val="24"/>
          <w:highlight w:val="none"/>
        </w:rPr>
        <w:t>提供服务</w:t>
      </w:r>
      <w:r>
        <w:rPr>
          <w:rFonts w:ascii="宋体" w:hAnsi="宋体"/>
          <w:color w:val="auto"/>
          <w:sz w:val="24"/>
          <w:highlight w:val="none"/>
        </w:rPr>
        <w:t>的，甲方可解除本合同。乙方因</w:t>
      </w:r>
      <w:r>
        <w:rPr>
          <w:rFonts w:hint="eastAsia" w:ascii="宋体" w:hAnsi="宋体"/>
          <w:color w:val="auto"/>
          <w:sz w:val="24"/>
          <w:highlight w:val="none"/>
        </w:rPr>
        <w:t>未能如</w:t>
      </w:r>
      <w:r>
        <w:rPr>
          <w:rFonts w:ascii="宋体" w:hAnsi="宋体"/>
          <w:color w:val="auto"/>
          <w:sz w:val="24"/>
          <w:highlight w:val="none"/>
        </w:rPr>
        <w:t xml:space="preserve">期提供服务或因其他违约行为导致甲方解除合同的，乙方应向甲方支付合同总值5%的违约金，如造成甲方损失超过违约金的，超出部分由乙方继续承担赔偿责任。 </w:t>
      </w:r>
    </w:p>
    <w:p w14:paraId="37AAD864">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ascii="宋体" w:hAnsi="宋体"/>
          <w:b/>
          <w:color w:val="auto"/>
          <w:sz w:val="24"/>
          <w:highlight w:val="none"/>
        </w:rPr>
        <w:t>十</w:t>
      </w:r>
      <w:r>
        <w:rPr>
          <w:rFonts w:hint="eastAsia" w:ascii="宋体" w:hAnsi="宋体"/>
          <w:b/>
          <w:color w:val="auto"/>
          <w:sz w:val="24"/>
          <w:highlight w:val="none"/>
        </w:rPr>
        <w:t>二</w:t>
      </w:r>
      <w:r>
        <w:rPr>
          <w:rFonts w:ascii="宋体" w:hAnsi="宋体"/>
          <w:b/>
          <w:color w:val="auto"/>
          <w:sz w:val="24"/>
          <w:highlight w:val="none"/>
        </w:rPr>
        <w:t>、不可抗力事件处理</w:t>
      </w:r>
    </w:p>
    <w:p w14:paraId="7F8275DE">
      <w:pPr>
        <w:keepNext w:val="0"/>
        <w:keepLines w:val="0"/>
        <w:pageBreakBefore w:val="0"/>
        <w:widowControl w:val="0"/>
        <w:kinsoku/>
        <w:wordWrap/>
        <w:overflowPunct/>
        <w:topLinePunct w:val="0"/>
        <w:autoSpaceDE/>
        <w:autoSpaceDN/>
        <w:bidi w:val="0"/>
        <w:adjustRightInd/>
        <w:snapToGrid w:val="0"/>
        <w:spacing w:before="120" w:after="120" w:line="360" w:lineRule="auto"/>
        <w:ind w:left="480" w:hanging="480"/>
        <w:textAlignment w:val="auto"/>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在合同有效期内，任何一方因不可抗力事件导致不能履行合同，则合同履行期可延长，其延长期与不可抗力影响期相同。</w:t>
      </w:r>
    </w:p>
    <w:p w14:paraId="16508BA5">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不可抗力事件发生后，应立即通知对方，并寄送有关权威机构出具的证明。</w:t>
      </w:r>
    </w:p>
    <w:p w14:paraId="2C15F21F">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不可抗力事件延续120天以上，双方应通过友好协商，确定是否继续履行合同。</w:t>
      </w:r>
    </w:p>
    <w:p w14:paraId="697F4D55">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ascii="宋体" w:hAnsi="宋体"/>
          <w:b/>
          <w:color w:val="auto"/>
          <w:sz w:val="24"/>
          <w:highlight w:val="none"/>
        </w:rPr>
        <w:t>十</w:t>
      </w:r>
      <w:r>
        <w:rPr>
          <w:rFonts w:hint="eastAsia" w:ascii="宋体" w:hAnsi="宋体"/>
          <w:b/>
          <w:color w:val="auto"/>
          <w:sz w:val="24"/>
          <w:highlight w:val="none"/>
        </w:rPr>
        <w:t>三</w:t>
      </w:r>
      <w:r>
        <w:rPr>
          <w:rFonts w:ascii="宋体" w:hAnsi="宋体"/>
          <w:b/>
          <w:color w:val="auto"/>
          <w:sz w:val="24"/>
          <w:highlight w:val="none"/>
        </w:rPr>
        <w:t>、诉讼</w:t>
      </w:r>
    </w:p>
    <w:p w14:paraId="779D3DFA">
      <w:pPr>
        <w:keepNext w:val="0"/>
        <w:keepLines w:val="0"/>
        <w:pageBreakBefore w:val="0"/>
        <w:widowControl w:val="0"/>
        <w:kinsoku/>
        <w:wordWrap/>
        <w:overflowPunct/>
        <w:topLinePunct w:val="0"/>
        <w:autoSpaceDE/>
        <w:autoSpaceDN/>
        <w:bidi w:val="0"/>
        <w:adjustRightInd/>
        <w:snapToGrid w:val="0"/>
        <w:spacing w:before="120" w:after="120" w:line="360" w:lineRule="auto"/>
        <w:ind w:firstLine="120"/>
        <w:jc w:val="left"/>
        <w:textAlignment w:val="auto"/>
        <w:rPr>
          <w:rFonts w:ascii="宋体" w:hAnsi="宋体"/>
          <w:color w:val="auto"/>
          <w:sz w:val="24"/>
          <w:highlight w:val="none"/>
        </w:rPr>
      </w:pPr>
      <w:r>
        <w:rPr>
          <w:rFonts w:ascii="宋体" w:hAnsi="宋体"/>
          <w:color w:val="auto"/>
          <w:sz w:val="24"/>
          <w:highlight w:val="none"/>
        </w:rPr>
        <w:t>双方在执行合同中所发生的一切争议，应通过协商解决。如协商不成，可向</w:t>
      </w:r>
      <w:r>
        <w:rPr>
          <w:rFonts w:hint="eastAsia" w:ascii="宋体" w:hAnsi="宋体"/>
          <w:color w:val="auto"/>
          <w:sz w:val="24"/>
          <w:highlight w:val="none"/>
        </w:rPr>
        <w:t>甲方所在</w:t>
      </w:r>
      <w:r>
        <w:rPr>
          <w:rFonts w:ascii="宋体" w:hAnsi="宋体"/>
          <w:color w:val="auto"/>
          <w:sz w:val="24"/>
          <w:highlight w:val="none"/>
        </w:rPr>
        <w:t>地法院起诉。</w:t>
      </w:r>
    </w:p>
    <w:p w14:paraId="78D3DACC">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b/>
          <w:color w:val="auto"/>
          <w:sz w:val="24"/>
          <w:highlight w:val="none"/>
        </w:rPr>
      </w:pPr>
      <w:r>
        <w:rPr>
          <w:rFonts w:ascii="宋体" w:hAnsi="宋体"/>
          <w:b/>
          <w:color w:val="auto"/>
          <w:sz w:val="24"/>
          <w:highlight w:val="none"/>
        </w:rPr>
        <w:t>十</w:t>
      </w:r>
      <w:r>
        <w:rPr>
          <w:rFonts w:hint="eastAsia" w:ascii="宋体" w:hAnsi="宋体"/>
          <w:b/>
          <w:color w:val="auto"/>
          <w:sz w:val="24"/>
          <w:highlight w:val="none"/>
        </w:rPr>
        <w:t>四</w:t>
      </w:r>
      <w:r>
        <w:rPr>
          <w:rFonts w:ascii="宋体" w:hAnsi="宋体"/>
          <w:b/>
          <w:color w:val="auto"/>
          <w:sz w:val="24"/>
          <w:highlight w:val="none"/>
        </w:rPr>
        <w:t>、合同生效及其它</w:t>
      </w:r>
    </w:p>
    <w:p w14:paraId="02E141E4">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w:t>
      </w:r>
      <w:r>
        <w:rPr>
          <w:rFonts w:ascii="宋体" w:hAnsi="宋体"/>
          <w:color w:val="auto"/>
          <w:sz w:val="24"/>
          <w:highlight w:val="none"/>
        </w:rPr>
        <w:t xml:space="preserve"> 合同经</w:t>
      </w:r>
      <w:r>
        <w:rPr>
          <w:rFonts w:hint="eastAsia" w:ascii="宋体" w:hAnsi="宋体"/>
          <w:color w:val="auto"/>
          <w:sz w:val="24"/>
          <w:highlight w:val="none"/>
        </w:rPr>
        <w:t>三</w:t>
      </w:r>
      <w:r>
        <w:rPr>
          <w:rFonts w:ascii="宋体" w:hAnsi="宋体"/>
          <w:color w:val="auto"/>
          <w:sz w:val="24"/>
          <w:highlight w:val="none"/>
        </w:rPr>
        <w:t>方法定代表人或授权代表签字并加盖单位公章后</w:t>
      </w:r>
      <w:r>
        <w:rPr>
          <w:rFonts w:hint="eastAsia" w:ascii="宋体" w:hAnsi="宋体"/>
          <w:color w:val="auto"/>
          <w:sz w:val="24"/>
          <w:highlight w:val="none"/>
        </w:rPr>
        <w:t>，报东阳市财政局采监科备案后</w:t>
      </w:r>
      <w:r>
        <w:rPr>
          <w:rFonts w:ascii="宋体" w:hAnsi="宋体"/>
          <w:color w:val="auto"/>
          <w:sz w:val="24"/>
          <w:highlight w:val="none"/>
        </w:rPr>
        <w:t>生效。</w:t>
      </w:r>
    </w:p>
    <w:p w14:paraId="02C757AC">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w:t>
      </w:r>
      <w:r>
        <w:rPr>
          <w:rFonts w:ascii="宋体" w:hAnsi="宋体"/>
          <w:color w:val="auto"/>
          <w:sz w:val="24"/>
          <w:highlight w:val="none"/>
        </w:rPr>
        <w:t>合同执行中涉及采购资金和采购内容修改或补充的，须经财政部门审批，并签书面补充协议报政府采购监督管理部门备案，方可作为主合同不可分割的一部分。</w:t>
      </w:r>
    </w:p>
    <w:p w14:paraId="5BFB302D">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w:t>
      </w:r>
      <w:r>
        <w:rPr>
          <w:rFonts w:ascii="宋体" w:hAnsi="宋体"/>
          <w:color w:val="auto"/>
          <w:sz w:val="24"/>
          <w:highlight w:val="none"/>
        </w:rPr>
        <w:t>本合同未尽事宜，遵照</w:t>
      </w:r>
      <w:r>
        <w:rPr>
          <w:rFonts w:hint="eastAsia" w:ascii="宋体" w:hAnsi="宋体"/>
          <w:color w:val="auto"/>
          <w:sz w:val="24"/>
          <w:highlight w:val="none"/>
        </w:rPr>
        <w:t>《中华人民共和国民法典》</w:t>
      </w:r>
      <w:r>
        <w:rPr>
          <w:rFonts w:ascii="宋体" w:hAnsi="宋体"/>
          <w:color w:val="auto"/>
          <w:sz w:val="24"/>
          <w:highlight w:val="none"/>
        </w:rPr>
        <w:t>有关条文执行。</w:t>
      </w:r>
    </w:p>
    <w:p w14:paraId="071491B9">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color w:val="auto"/>
          <w:sz w:val="24"/>
          <w:highlight w:val="none"/>
        </w:rPr>
      </w:pPr>
      <w:r>
        <w:rPr>
          <w:rFonts w:hint="eastAsia" w:ascii="宋体" w:hAnsi="宋体"/>
          <w:color w:val="auto"/>
          <w:sz w:val="24"/>
          <w:highlight w:val="none"/>
        </w:rPr>
        <w:t>4.本合同一式六份，东阳市财政局采监科、招标代理机构各执一份，甲、乙双方各执二份，其都具有同等法律效力。</w:t>
      </w:r>
    </w:p>
    <w:p w14:paraId="650B7792">
      <w:pPr>
        <w:keepNext w:val="0"/>
        <w:keepLines w:val="0"/>
        <w:pageBreakBefore w:val="0"/>
        <w:widowControl w:val="0"/>
        <w:kinsoku/>
        <w:wordWrap/>
        <w:overflowPunct/>
        <w:topLinePunct w:val="0"/>
        <w:autoSpaceDE/>
        <w:autoSpaceDN/>
        <w:bidi w:val="0"/>
        <w:adjustRightInd/>
        <w:snapToGrid w:val="0"/>
        <w:spacing w:before="120" w:after="120" w:line="360" w:lineRule="auto"/>
        <w:textAlignment w:val="auto"/>
        <w:rPr>
          <w:rFonts w:ascii="宋体" w:hAnsi="宋体"/>
          <w:color w:val="auto"/>
          <w:sz w:val="24"/>
          <w:highlight w:val="none"/>
        </w:rPr>
      </w:pPr>
      <w:r>
        <w:rPr>
          <w:rFonts w:hint="eastAsia" w:ascii="宋体" w:hAnsi="宋体"/>
          <w:color w:val="auto"/>
          <w:sz w:val="24"/>
          <w:highlight w:val="none"/>
          <w:lang w:val="en-US" w:eastAsia="zh-CN"/>
        </w:rPr>
        <w:t>5.</w:t>
      </w:r>
      <w:r>
        <w:rPr>
          <w:rFonts w:hint="eastAsia" w:ascii="宋体" w:hAnsi="宋体"/>
          <w:color w:val="auto"/>
          <w:sz w:val="24"/>
          <w:highlight w:val="none"/>
        </w:rPr>
        <w:t>声明：本合同样本仅供参考，甲乙双方可就招标文件的非实质性条款进行修改，但不能修改项目的服务期限、中标</w:t>
      </w:r>
      <w:r>
        <w:rPr>
          <w:rFonts w:hint="eastAsia" w:ascii="宋体" w:hAnsi="宋体"/>
          <w:color w:val="auto"/>
          <w:sz w:val="24"/>
          <w:highlight w:val="none"/>
          <w:lang w:val="en-US" w:eastAsia="zh-CN"/>
        </w:rPr>
        <w:t>金额</w:t>
      </w:r>
      <w:r>
        <w:rPr>
          <w:rFonts w:hint="eastAsia" w:ascii="宋体" w:hAnsi="宋体"/>
          <w:color w:val="auto"/>
          <w:sz w:val="24"/>
          <w:highlight w:val="none"/>
        </w:rPr>
        <w:t>、付款方式、质保期等实质性条款，甲乙双方对合同的真实性负责，鉴证方只负责见证项目招标的真实性。</w:t>
      </w:r>
    </w:p>
    <w:p w14:paraId="563B55A4">
      <w:pPr>
        <w:keepNext w:val="0"/>
        <w:keepLines w:val="0"/>
        <w:pageBreakBefore w:val="0"/>
        <w:widowControl w:val="0"/>
        <w:kinsoku/>
        <w:wordWrap/>
        <w:overflowPunct/>
        <w:topLinePunct w:val="0"/>
        <w:autoSpaceDE/>
        <w:autoSpaceDN/>
        <w:bidi w:val="0"/>
        <w:adjustRightInd/>
        <w:spacing w:line="360" w:lineRule="auto"/>
        <w:textAlignment w:val="auto"/>
        <w:rPr>
          <w:rFonts w:ascii="宋体" w:hAnsi="宋体"/>
          <w:b/>
          <w:bCs/>
          <w:color w:val="auto"/>
          <w:sz w:val="24"/>
          <w:highlight w:val="none"/>
        </w:rPr>
      </w:pPr>
      <w:r>
        <w:rPr>
          <w:rFonts w:hint="eastAsia" w:ascii="宋体" w:hAnsi="宋体"/>
          <w:b/>
          <w:color w:val="auto"/>
          <w:sz w:val="24"/>
          <w:highlight w:val="none"/>
          <w:lang w:val="en-US" w:eastAsia="zh-CN"/>
        </w:rPr>
        <w:t>6</w:t>
      </w:r>
      <w:r>
        <w:rPr>
          <w:rFonts w:hint="eastAsia" w:ascii="宋体" w:hAnsi="宋体"/>
          <w:b/>
          <w:color w:val="auto"/>
          <w:sz w:val="24"/>
          <w:highlight w:val="none"/>
        </w:rPr>
        <w:t>.后附政府采购廉洁承诺书。</w:t>
      </w:r>
    </w:p>
    <w:p w14:paraId="5A7D87E0">
      <w:pPr>
        <w:spacing w:before="120" w:after="120" w:line="400" w:lineRule="exact"/>
        <w:rPr>
          <w:rFonts w:hint="eastAsia" w:ascii="宋体" w:hAnsi="宋体"/>
          <w:b/>
          <w:bCs/>
          <w:color w:val="auto"/>
          <w:sz w:val="24"/>
          <w:highlight w:val="none"/>
        </w:rPr>
      </w:pPr>
    </w:p>
    <w:p w14:paraId="76D510EC">
      <w:pPr>
        <w:spacing w:before="120" w:after="120" w:line="400" w:lineRule="exact"/>
        <w:rPr>
          <w:rFonts w:hint="eastAsia" w:ascii="宋体" w:hAnsi="宋体"/>
          <w:b/>
          <w:bCs/>
          <w:color w:val="auto"/>
          <w:sz w:val="24"/>
          <w:highlight w:val="none"/>
        </w:rPr>
      </w:pPr>
    </w:p>
    <w:p w14:paraId="6D5988C6">
      <w:pPr>
        <w:spacing w:before="120" w:after="120" w:line="400" w:lineRule="exact"/>
        <w:rPr>
          <w:rFonts w:ascii="宋体" w:hAnsi="宋体"/>
          <w:color w:val="auto"/>
          <w:sz w:val="24"/>
          <w:highlight w:val="none"/>
        </w:rPr>
      </w:pPr>
      <w:r>
        <w:rPr>
          <w:rFonts w:hint="eastAsia" w:ascii="宋体" w:hAnsi="宋体"/>
          <w:b/>
          <w:bCs/>
          <w:color w:val="auto"/>
          <w:sz w:val="24"/>
          <w:highlight w:val="none"/>
        </w:rPr>
        <w:t>甲方（盖公章）：                       乙方（盖公章）：</w:t>
      </w:r>
    </w:p>
    <w:p w14:paraId="7ADF2ECE">
      <w:pPr>
        <w:snapToGrid w:val="0"/>
        <w:spacing w:before="120" w:after="120" w:line="400" w:lineRule="exact"/>
        <w:ind w:leftChars="-1" w:hanging="2"/>
        <w:rPr>
          <w:rFonts w:ascii="宋体" w:hAnsi="宋体"/>
          <w:color w:val="auto"/>
          <w:sz w:val="24"/>
          <w:highlight w:val="none"/>
        </w:rPr>
      </w:pPr>
      <w:r>
        <w:rPr>
          <w:rFonts w:hint="eastAsia" w:ascii="宋体" w:hAnsi="宋体"/>
          <w:color w:val="auto"/>
          <w:sz w:val="24"/>
          <w:highlight w:val="none"/>
        </w:rPr>
        <w:t>法定代表人或受委托人                 法定代表人或受委托人</w:t>
      </w:r>
    </w:p>
    <w:p w14:paraId="25198D91">
      <w:pPr>
        <w:snapToGrid w:val="0"/>
        <w:spacing w:before="120" w:after="120" w:line="400" w:lineRule="exact"/>
        <w:ind w:left="1" w:leftChars="-28" w:hanging="60"/>
        <w:rPr>
          <w:rFonts w:ascii="宋体" w:hAnsi="宋体"/>
          <w:color w:val="auto"/>
          <w:sz w:val="24"/>
          <w:highlight w:val="none"/>
        </w:rPr>
      </w:pPr>
      <w:r>
        <w:rPr>
          <w:rFonts w:hint="eastAsia" w:ascii="宋体" w:hAnsi="宋体"/>
          <w:color w:val="auto"/>
          <w:sz w:val="24"/>
          <w:highlight w:val="none"/>
        </w:rPr>
        <w:t>（签字）                             （签字）</w:t>
      </w:r>
    </w:p>
    <w:p w14:paraId="5FD0F36A">
      <w:pPr>
        <w:snapToGrid w:val="0"/>
        <w:spacing w:before="120" w:after="120" w:line="400" w:lineRule="exact"/>
        <w:ind w:leftChars="-1" w:hanging="2"/>
        <w:rPr>
          <w:rFonts w:ascii="宋体" w:hAnsi="宋体"/>
          <w:color w:val="auto"/>
          <w:sz w:val="24"/>
          <w:highlight w:val="none"/>
        </w:rPr>
      </w:pPr>
      <w:r>
        <w:rPr>
          <w:rFonts w:hint="eastAsia" w:ascii="宋体" w:hAnsi="宋体"/>
          <w:color w:val="auto"/>
          <w:sz w:val="24"/>
          <w:highlight w:val="none"/>
        </w:rPr>
        <w:t xml:space="preserve">地址：                               地址： </w:t>
      </w:r>
    </w:p>
    <w:p w14:paraId="6E3BD175">
      <w:pPr>
        <w:snapToGrid w:val="0"/>
        <w:spacing w:before="120" w:after="120" w:line="400" w:lineRule="exact"/>
        <w:ind w:leftChars="-1" w:hanging="2"/>
        <w:rPr>
          <w:rFonts w:ascii="宋体" w:hAnsi="宋体"/>
          <w:color w:val="auto"/>
          <w:sz w:val="24"/>
          <w:highlight w:val="none"/>
        </w:rPr>
      </w:pPr>
      <w:r>
        <w:rPr>
          <w:rFonts w:hint="eastAsia" w:ascii="宋体" w:hAnsi="宋体"/>
          <w:color w:val="auto"/>
          <w:sz w:val="24"/>
          <w:highlight w:val="none"/>
        </w:rPr>
        <w:t>邮编：                               邮编：</w:t>
      </w:r>
    </w:p>
    <w:p w14:paraId="3EBD1A6A">
      <w:pPr>
        <w:snapToGrid w:val="0"/>
        <w:spacing w:before="120" w:after="120" w:line="400" w:lineRule="exact"/>
        <w:ind w:leftChars="-1" w:hanging="2"/>
        <w:rPr>
          <w:rFonts w:ascii="宋体" w:hAnsi="宋体"/>
          <w:color w:val="auto"/>
          <w:sz w:val="24"/>
          <w:highlight w:val="none"/>
        </w:rPr>
      </w:pPr>
      <w:r>
        <w:rPr>
          <w:rFonts w:hint="eastAsia" w:ascii="宋体" w:hAnsi="宋体"/>
          <w:color w:val="auto"/>
          <w:sz w:val="24"/>
          <w:highlight w:val="none"/>
        </w:rPr>
        <w:t>电话：                               电话：</w:t>
      </w:r>
    </w:p>
    <w:p w14:paraId="51430490">
      <w:pPr>
        <w:snapToGrid w:val="0"/>
        <w:spacing w:before="120" w:after="120" w:line="400" w:lineRule="exact"/>
        <w:ind w:leftChars="-1" w:hanging="2"/>
        <w:rPr>
          <w:rFonts w:ascii="宋体" w:hAnsi="宋体"/>
          <w:color w:val="auto"/>
          <w:sz w:val="24"/>
          <w:highlight w:val="none"/>
        </w:rPr>
      </w:pPr>
      <w:r>
        <w:rPr>
          <w:rFonts w:hint="eastAsia" w:ascii="宋体" w:hAnsi="宋体"/>
          <w:color w:val="auto"/>
          <w:sz w:val="24"/>
          <w:highlight w:val="none"/>
        </w:rPr>
        <w:t>传真：                               传真：</w:t>
      </w:r>
    </w:p>
    <w:p w14:paraId="29D06DC4">
      <w:pPr>
        <w:snapToGrid w:val="0"/>
        <w:spacing w:before="120" w:after="120" w:line="400" w:lineRule="exact"/>
        <w:ind w:leftChars="-1" w:hanging="2"/>
        <w:rPr>
          <w:rFonts w:ascii="宋体" w:hAnsi="宋体"/>
          <w:color w:val="auto"/>
          <w:sz w:val="24"/>
          <w:highlight w:val="none"/>
        </w:rPr>
      </w:pPr>
      <w:r>
        <w:rPr>
          <w:rFonts w:hint="eastAsia" w:ascii="宋体" w:hAnsi="宋体"/>
          <w:color w:val="auto"/>
          <w:sz w:val="24"/>
          <w:highlight w:val="none"/>
        </w:rPr>
        <w:t>开户银行：                           开户银行：</w:t>
      </w:r>
    </w:p>
    <w:p w14:paraId="57AC962D">
      <w:pPr>
        <w:snapToGrid w:val="0"/>
        <w:spacing w:before="120" w:after="120" w:line="400" w:lineRule="exact"/>
        <w:ind w:leftChars="-1" w:hanging="2"/>
        <w:rPr>
          <w:rFonts w:ascii="宋体" w:hAnsi="宋体"/>
          <w:color w:val="auto"/>
          <w:sz w:val="24"/>
          <w:highlight w:val="none"/>
        </w:rPr>
      </w:pPr>
      <w:r>
        <w:rPr>
          <w:rFonts w:hint="eastAsia" w:ascii="宋体" w:hAnsi="宋体"/>
          <w:color w:val="auto"/>
          <w:sz w:val="24"/>
          <w:highlight w:val="none"/>
        </w:rPr>
        <w:t>帐号：                               帐号：</w:t>
      </w:r>
    </w:p>
    <w:p w14:paraId="24DB4F2F">
      <w:pPr>
        <w:snapToGrid w:val="0"/>
        <w:spacing w:before="156" w:after="156" w:line="400" w:lineRule="exact"/>
        <w:rPr>
          <w:rFonts w:hint="eastAsia" w:ascii="宋体" w:hAnsi="宋体"/>
          <w:color w:val="auto"/>
          <w:sz w:val="24"/>
          <w:highlight w:val="none"/>
        </w:rPr>
      </w:pPr>
    </w:p>
    <w:p w14:paraId="210B4479">
      <w:pPr>
        <w:snapToGrid w:val="0"/>
        <w:spacing w:before="156" w:after="156" w:line="400" w:lineRule="exact"/>
        <w:rPr>
          <w:rFonts w:ascii="宋体" w:hAnsi="宋体"/>
          <w:color w:val="auto"/>
          <w:sz w:val="24"/>
          <w:highlight w:val="none"/>
        </w:rPr>
      </w:pPr>
      <w:r>
        <w:rPr>
          <w:rFonts w:hint="eastAsia" w:ascii="宋体" w:hAnsi="宋体"/>
          <w:color w:val="auto"/>
          <w:sz w:val="24"/>
          <w:highlight w:val="none"/>
        </w:rPr>
        <w:t>鉴证方:</w:t>
      </w:r>
    </w:p>
    <w:p w14:paraId="0D43E730">
      <w:pPr>
        <w:snapToGrid w:val="0"/>
        <w:spacing w:before="120" w:after="120" w:line="400" w:lineRule="exact"/>
        <w:ind w:leftChars="-1" w:hanging="2"/>
        <w:rPr>
          <w:rFonts w:hint="eastAsia" w:ascii="宋体" w:hAnsi="宋体" w:eastAsia="宋体"/>
          <w:color w:val="auto"/>
          <w:sz w:val="24"/>
          <w:highlight w:val="none"/>
          <w:lang w:eastAsia="zh-CN"/>
        </w:rPr>
      </w:pPr>
      <w:r>
        <w:rPr>
          <w:rFonts w:hint="eastAsia" w:ascii="宋体" w:hAnsi="宋体"/>
          <w:color w:val="auto"/>
          <w:sz w:val="24"/>
          <w:highlight w:val="none"/>
        </w:rPr>
        <w:t>法定代表人或受委托人（签字）</w:t>
      </w:r>
      <w:r>
        <w:rPr>
          <w:rFonts w:hint="eastAsia" w:ascii="宋体" w:hAnsi="宋体"/>
          <w:color w:val="auto"/>
          <w:sz w:val="24"/>
          <w:highlight w:val="none"/>
          <w:lang w:eastAsia="zh-CN"/>
        </w:rPr>
        <w:t>：</w:t>
      </w:r>
    </w:p>
    <w:p w14:paraId="67865577">
      <w:pPr>
        <w:snapToGrid w:val="0"/>
        <w:spacing w:before="120" w:after="120" w:line="400" w:lineRule="exact"/>
        <w:ind w:leftChars="-1" w:hanging="2"/>
        <w:rPr>
          <w:rFonts w:ascii="宋体" w:hAnsi="宋体"/>
          <w:color w:val="auto"/>
          <w:sz w:val="24"/>
          <w:highlight w:val="none"/>
        </w:rPr>
      </w:pPr>
      <w:r>
        <w:rPr>
          <w:rFonts w:hint="eastAsia" w:ascii="宋体" w:hAnsi="宋体"/>
          <w:color w:val="auto"/>
          <w:sz w:val="24"/>
          <w:highlight w:val="none"/>
        </w:rPr>
        <w:t xml:space="preserve">签约地点：                           </w:t>
      </w:r>
    </w:p>
    <w:p w14:paraId="6310DD69">
      <w:pPr>
        <w:snapToGrid w:val="0"/>
        <w:spacing w:before="120" w:after="120" w:line="400" w:lineRule="exact"/>
        <w:ind w:leftChars="-1" w:hanging="2"/>
        <w:rPr>
          <w:rFonts w:ascii="宋体" w:hAnsi="宋体"/>
          <w:b/>
          <w:color w:val="auto"/>
          <w:sz w:val="24"/>
          <w:highlight w:val="none"/>
        </w:rPr>
      </w:pPr>
      <w:r>
        <w:rPr>
          <w:rFonts w:hint="eastAsia" w:ascii="宋体" w:hAnsi="宋体"/>
          <w:color w:val="auto"/>
          <w:sz w:val="24"/>
          <w:highlight w:val="none"/>
        </w:rPr>
        <w:t>签约时间：</w:t>
      </w:r>
    </w:p>
    <w:p w14:paraId="22CDE1B4">
      <w:pPr>
        <w:spacing w:line="420" w:lineRule="exact"/>
        <w:jc w:val="center"/>
        <w:rPr>
          <w:rFonts w:ascii="宋体" w:hAnsi="宋体"/>
          <w:color w:val="auto"/>
          <w:sz w:val="24"/>
          <w:highlight w:val="none"/>
        </w:rPr>
      </w:pPr>
      <w:r>
        <w:rPr>
          <w:rFonts w:hint="eastAsia" w:ascii="宋体" w:hAnsi="宋体" w:cs="宋体"/>
          <w:b/>
          <w:color w:val="auto"/>
          <w:sz w:val="24"/>
          <w:highlight w:val="none"/>
        </w:rPr>
        <w:t>注：签订合同时，可以使用项目相关国家标准合同文本。</w:t>
      </w:r>
    </w:p>
    <w:p w14:paraId="3E46406C">
      <w:pPr>
        <w:pageBreakBefore/>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政府采购廉洁承诺书</w:t>
      </w:r>
    </w:p>
    <w:p w14:paraId="3AA55A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（中标人须将此表附在合同后）</w:t>
      </w:r>
    </w:p>
    <w:p w14:paraId="7B9EBBE7">
      <w:pPr>
        <w:spacing w:line="360" w:lineRule="auto"/>
        <w:jc w:val="center"/>
        <w:rPr>
          <w:rFonts w:ascii="宋体" w:hAnsi="宋体" w:cs="宋体"/>
          <w:b/>
          <w:color w:val="auto"/>
          <w:sz w:val="24"/>
          <w:highlight w:val="none"/>
        </w:rPr>
      </w:pPr>
    </w:p>
    <w:p w14:paraId="15164FD3">
      <w:pPr>
        <w:spacing w:line="360" w:lineRule="auto"/>
        <w:rPr>
          <w:rFonts w:ascii="宋体" w:hAnsi="宋体" w:cs="宋体"/>
          <w:color w:val="auto"/>
          <w:sz w:val="24"/>
          <w:highlight w:val="none"/>
        </w:rPr>
      </w:pPr>
      <w:r>
        <w:rPr>
          <w:rFonts w:hint="eastAsia" w:ascii="宋体" w:hAnsi="宋体" w:cs="宋体"/>
          <w:color w:val="auto"/>
          <w:sz w:val="24"/>
          <w:highlight w:val="none"/>
        </w:rPr>
        <w:t>项目名称：                                     项目编号：</w:t>
      </w:r>
    </w:p>
    <w:p w14:paraId="620C5CD2">
      <w:pPr>
        <w:spacing w:line="360" w:lineRule="auto"/>
        <w:rPr>
          <w:rFonts w:ascii="宋体" w:hAnsi="宋体" w:cs="宋体"/>
          <w:color w:val="auto"/>
          <w:sz w:val="24"/>
          <w:highlight w:val="none"/>
        </w:rPr>
      </w:pPr>
      <w:r>
        <w:rPr>
          <w:rFonts w:hint="eastAsia" w:ascii="宋体" w:hAnsi="宋体" w:cs="宋体"/>
          <w:color w:val="auto"/>
          <w:sz w:val="24"/>
          <w:highlight w:val="none"/>
        </w:rPr>
        <w:t>中标人：</w:t>
      </w:r>
    </w:p>
    <w:p w14:paraId="6127B98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为加强政府采购活动中的廉政建设，防止发生商业贿赂等违法违纪行为，保护国家、集体和当事人的合法权益，根据《中华人民共和国政府采购法》和党风廉政建设及反腐败工作有关规定，我方自愿签订本承诺书，并严格执行。</w:t>
      </w:r>
    </w:p>
    <w:p w14:paraId="6FB6B422">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第一条参与政府采购活动时，除具备采购文件规定的资格、资质要求外，我方还将严格遵守有关法律、法规、政策以及国家、地方关于廉政建设的各项规定。</w:t>
      </w:r>
    </w:p>
    <w:p w14:paraId="1E075483">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第二条遵循公开、公平、公正、诚实信用原则，不发生损害上述原则及各方当事人合法权益得不正当竞争行为。</w:t>
      </w:r>
    </w:p>
    <w:p w14:paraId="010DD0BE">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第三条与政府采购各方当事人保持正常的业务交往，不向采购人、采购代理机构、监督机构、评审专家、工作人员及其他参与采购活动的人员提供不正当利益。主要有：</w:t>
      </w:r>
    </w:p>
    <w:p w14:paraId="6E58D94A">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（一）向上述人员赠送礼金、有价证券、贵重物品及回扣、好处费、感谢费等。</w:t>
      </w:r>
    </w:p>
    <w:p w14:paraId="6D1D0221">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（二）为上述人员或单位报销应由对方支付的费用。</w:t>
      </w:r>
    </w:p>
    <w:p w14:paraId="2CA819FC">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（三）暗示为上述人员装修住房、婚丧嫁娶、配偶子女的工作安排以及出国（境）、旅游等提供方便。</w:t>
      </w:r>
    </w:p>
    <w:p w14:paraId="5B16D41B">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（四）为上述人员或单位提供可能影响采购活动开展的宴请、健身、娱乐等活动。</w:t>
      </w:r>
    </w:p>
    <w:p w14:paraId="1D0A3BB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第四条严格执行采购合同，自觉按合同办事；在合同执行过程中，不发生本承诺书第三条中所列不良行为。    </w:t>
      </w:r>
    </w:p>
    <w:p w14:paraId="1BAE571E">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第五条 发现采购活动各方当事人有违规、违纪、违法行为的，及时提醒对方，情节严重的，主动向其主管部门或纪检监察、司法等机关举报。</w:t>
      </w:r>
    </w:p>
    <w:p w14:paraId="2D587FF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第六条 自觉接受政府采购管理部门的监管。在采购活动中出现违反本承诺书规定行为的，自觉接受政府采购管理部门的处罚，因违法违规行为给其他当事人造成经济损失的，按规定予以赔偿。</w:t>
      </w:r>
    </w:p>
    <w:p w14:paraId="681C50F6">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第七条 本承诺书自签署之日起生效。</w:t>
      </w:r>
    </w:p>
    <w:p w14:paraId="07839918">
      <w:pPr>
        <w:spacing w:line="360" w:lineRule="auto"/>
        <w:ind w:left="840" w:hanging="840" w:hangingChars="350"/>
        <w:jc w:val="center"/>
        <w:rPr>
          <w:rFonts w:ascii="宋体" w:hAnsi="宋体" w:cs="宋体"/>
          <w:color w:val="auto"/>
          <w:sz w:val="24"/>
          <w:highlight w:val="none"/>
        </w:rPr>
      </w:pPr>
    </w:p>
    <w:p w14:paraId="5BEA64AF">
      <w:pPr>
        <w:spacing w:line="360" w:lineRule="auto"/>
        <w:ind w:left="840" w:hanging="840" w:hangingChars="350"/>
        <w:jc w:val="center"/>
        <w:rPr>
          <w:rFonts w:ascii="宋体" w:hAnsi="宋体" w:cs="宋体"/>
          <w:color w:val="auto"/>
          <w:sz w:val="24"/>
          <w:highlight w:val="none"/>
        </w:rPr>
      </w:pPr>
      <w:r>
        <w:rPr>
          <w:rFonts w:hint="eastAsia" w:ascii="宋体" w:hAnsi="宋体" w:cs="宋体"/>
          <w:color w:val="auto"/>
          <w:sz w:val="24"/>
          <w:highlight w:val="none"/>
        </w:rPr>
        <w:t xml:space="preserve"> 投标人（盖章）：</w:t>
      </w:r>
    </w:p>
    <w:p w14:paraId="76080B59">
      <w:pPr>
        <w:spacing w:line="360" w:lineRule="auto"/>
        <w:ind w:left="840" w:hanging="840" w:hangingChars="350"/>
        <w:rPr>
          <w:rFonts w:ascii="宋体" w:hAnsi="宋体" w:cs="宋体"/>
          <w:color w:val="auto"/>
          <w:sz w:val="24"/>
          <w:highlight w:val="none"/>
        </w:rPr>
      </w:pPr>
      <w:r>
        <w:rPr>
          <w:rFonts w:hint="eastAsia" w:ascii="宋体" w:hAnsi="宋体" w:cs="宋体"/>
          <w:color w:val="auto"/>
          <w:sz w:val="24"/>
          <w:highlight w:val="none"/>
        </w:rPr>
        <w:t xml:space="preserve">                                法定代表人：</w:t>
      </w:r>
    </w:p>
    <w:p w14:paraId="33ACEBA5">
      <w:pPr>
        <w:spacing w:line="360" w:lineRule="auto"/>
        <w:ind w:left="840" w:hanging="840" w:hangingChars="350"/>
        <w:rPr>
          <w:rFonts w:ascii="宋体" w:hAnsi="宋体" w:cs="宋体"/>
          <w:color w:val="auto"/>
          <w:sz w:val="24"/>
          <w:highlight w:val="none"/>
        </w:rPr>
      </w:pPr>
      <w:r>
        <w:rPr>
          <w:rFonts w:hint="eastAsia" w:ascii="宋体" w:hAnsi="宋体" w:cs="宋体"/>
          <w:color w:val="auto"/>
          <w:sz w:val="24"/>
          <w:highlight w:val="none"/>
        </w:rPr>
        <w:t xml:space="preserve">                                                    年    月   日</w:t>
      </w:r>
    </w:p>
    <w:p w14:paraId="5F7049E4">
      <w:pPr>
        <w:spacing w:line="360" w:lineRule="auto"/>
        <w:ind w:left="840" w:hanging="840" w:hangingChars="350"/>
        <w:rPr>
          <w:rFonts w:ascii="宋体" w:hAnsi="宋体" w:cs="宋体"/>
          <w:color w:val="auto"/>
          <w:sz w:val="24"/>
          <w:highlight w:val="none"/>
        </w:rPr>
      </w:pPr>
    </w:p>
    <w:p w14:paraId="46CFB5B4">
      <w:pPr>
        <w:pStyle w:val="5"/>
        <w:jc w:val="center"/>
        <w:rPr>
          <w:rFonts w:ascii="宋体" w:hAnsi="宋体" w:cs="宋体"/>
          <w:color w:val="auto"/>
          <w:sz w:val="24"/>
          <w:szCs w:val="24"/>
          <w:highlight w:val="none"/>
        </w:rPr>
      </w:pPr>
      <w:bookmarkStart w:id="72" w:name="_Toc13822"/>
      <w:r>
        <w:rPr>
          <w:rFonts w:hint="eastAsia" w:ascii="宋体" w:hAnsi="宋体" w:cs="宋体"/>
          <w:color w:val="auto"/>
          <w:sz w:val="24"/>
          <w:szCs w:val="24"/>
          <w:highlight w:val="none"/>
        </w:rPr>
        <w:t>第六章　投标文件组成内容及格式</w:t>
      </w:r>
      <w:bookmarkEnd w:id="72"/>
    </w:p>
    <w:bookmarkEnd w:id="48"/>
    <w:bookmarkEnd w:id="49"/>
    <w:p w14:paraId="38942499">
      <w:pPr>
        <w:pStyle w:val="18"/>
        <w:spacing w:before="120" w:after="120" w:line="360" w:lineRule="auto"/>
        <w:rPr>
          <w:rFonts w:ascii="宋体" w:hAnsi="宋体" w:cs="宋体"/>
          <w:color w:val="auto"/>
          <w:szCs w:val="24"/>
          <w:highlight w:val="none"/>
          <w:u w:val="single"/>
        </w:rPr>
      </w:pPr>
    </w:p>
    <w:p w14:paraId="308E5C15">
      <w:pPr>
        <w:jc w:val="center"/>
        <w:rPr>
          <w:color w:val="auto"/>
          <w:sz w:val="24"/>
          <w:highlight w:val="none"/>
        </w:rPr>
      </w:pPr>
      <w:bookmarkStart w:id="73" w:name="_Toc405368940"/>
      <w:r>
        <w:rPr>
          <w:rFonts w:hint="eastAsia"/>
          <w:color w:val="auto"/>
          <w:sz w:val="24"/>
          <w:highlight w:val="none"/>
        </w:rPr>
        <w:t>一、投标文件封面格式</w:t>
      </w:r>
      <w:bookmarkEnd w:id="73"/>
    </w:p>
    <w:p w14:paraId="41F82623">
      <w:pPr>
        <w:rPr>
          <w:rFonts w:ascii="宋体" w:hAnsi="宋体" w:cs="宋体"/>
          <w:color w:val="auto"/>
          <w:sz w:val="24"/>
          <w:highlight w:val="none"/>
        </w:rPr>
      </w:pPr>
    </w:p>
    <w:p w14:paraId="6EC40084">
      <w:pPr>
        <w:rPr>
          <w:rFonts w:ascii="宋体" w:hAnsi="宋体" w:cs="宋体"/>
          <w:color w:val="auto"/>
          <w:sz w:val="24"/>
          <w:highlight w:val="none"/>
        </w:rPr>
      </w:pPr>
    </w:p>
    <w:p w14:paraId="25A787E9">
      <w:pPr>
        <w:rPr>
          <w:rFonts w:ascii="宋体" w:hAnsi="宋体" w:cs="宋体"/>
          <w:color w:val="auto"/>
          <w:sz w:val="24"/>
          <w:highlight w:val="none"/>
        </w:rPr>
      </w:pPr>
    </w:p>
    <w:p w14:paraId="1A1F6AD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1.投标文件封面格式： </w:t>
      </w:r>
    </w:p>
    <w:p w14:paraId="184C266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正本/或副本</w:t>
      </w:r>
    </w:p>
    <w:p w14:paraId="0B007682">
      <w:pPr>
        <w:spacing w:line="360" w:lineRule="auto"/>
        <w:rPr>
          <w:rFonts w:ascii="宋体" w:hAnsi="宋体" w:cs="宋体"/>
          <w:color w:val="auto"/>
          <w:sz w:val="24"/>
          <w:highlight w:val="none"/>
        </w:rPr>
      </w:pPr>
    </w:p>
    <w:p w14:paraId="7703FCE5">
      <w:pPr>
        <w:spacing w:line="360" w:lineRule="auto"/>
        <w:rPr>
          <w:rFonts w:ascii="宋体" w:hAnsi="宋体" w:cs="宋体"/>
          <w:color w:val="auto"/>
          <w:sz w:val="24"/>
          <w:highlight w:val="none"/>
        </w:rPr>
      </w:pPr>
    </w:p>
    <w:p w14:paraId="14DF0DD0">
      <w:pPr>
        <w:spacing w:line="360" w:lineRule="auto"/>
        <w:rPr>
          <w:rFonts w:ascii="宋体" w:hAnsi="宋体" w:cs="宋体"/>
          <w:color w:val="auto"/>
          <w:sz w:val="24"/>
          <w:highlight w:val="none"/>
        </w:rPr>
      </w:pPr>
    </w:p>
    <w:p w14:paraId="657C09FB">
      <w:pPr>
        <w:spacing w:line="360" w:lineRule="auto"/>
        <w:rPr>
          <w:rFonts w:ascii="宋体" w:hAnsi="宋体" w:cs="宋体"/>
          <w:color w:val="auto"/>
          <w:sz w:val="24"/>
          <w:highlight w:val="none"/>
        </w:rPr>
      </w:pPr>
    </w:p>
    <w:p w14:paraId="18BF25BD">
      <w:pPr>
        <w:spacing w:line="360" w:lineRule="auto"/>
        <w:rPr>
          <w:rFonts w:ascii="宋体" w:hAnsi="宋体" w:cs="宋体"/>
          <w:color w:val="auto"/>
          <w:sz w:val="24"/>
          <w:highlight w:val="none"/>
        </w:rPr>
      </w:pPr>
    </w:p>
    <w:p w14:paraId="6186C34C">
      <w:pPr>
        <w:spacing w:line="480" w:lineRule="auto"/>
        <w:rPr>
          <w:rFonts w:ascii="宋体" w:hAnsi="宋体" w:cs="宋体"/>
          <w:color w:val="auto"/>
          <w:sz w:val="24"/>
          <w:highlight w:val="none"/>
        </w:rPr>
      </w:pPr>
      <w:r>
        <w:rPr>
          <w:rFonts w:hint="eastAsia" w:ascii="宋体" w:hAnsi="宋体" w:cs="宋体"/>
          <w:color w:val="auto"/>
          <w:sz w:val="24"/>
          <w:highlight w:val="none"/>
        </w:rPr>
        <w:t>资格审查文件、商务技术文件、报价文件（相应选择一个投标文件封面外包装名称）</w:t>
      </w:r>
    </w:p>
    <w:p w14:paraId="7226D56C">
      <w:pPr>
        <w:spacing w:line="480" w:lineRule="auto"/>
        <w:rPr>
          <w:rFonts w:hint="eastAsia" w:ascii="宋体" w:hAnsi="宋体" w:cs="宋体"/>
          <w:color w:val="auto"/>
          <w:sz w:val="24"/>
          <w:highlight w:val="none"/>
        </w:rPr>
      </w:pPr>
      <w:r>
        <w:rPr>
          <w:rFonts w:hint="eastAsia" w:ascii="宋体" w:hAnsi="宋体" w:cs="宋体"/>
          <w:color w:val="auto"/>
          <w:sz w:val="24"/>
          <w:highlight w:val="none"/>
        </w:rPr>
        <w:t>项目名称：浙江东阳经济开发区城市分批次建设项目土地报批技术服务项目</w:t>
      </w:r>
    </w:p>
    <w:p w14:paraId="5AE6FA1F">
      <w:pPr>
        <w:spacing w:line="480" w:lineRule="auto"/>
        <w:rPr>
          <w:rFonts w:hint="eastAsia" w:ascii="宋体" w:hAnsi="宋体" w:cs="宋体"/>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XSZFCGDZ202</w:t>
      </w:r>
      <w:r>
        <w:rPr>
          <w:rFonts w:hint="eastAsia" w:ascii="宋体" w:hAnsi="宋体" w:cs="宋体"/>
          <w:color w:val="auto"/>
          <w:sz w:val="24"/>
          <w:highlight w:val="none"/>
          <w:lang w:val="en-US" w:eastAsia="zh-CN"/>
        </w:rPr>
        <w:t>5</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101</w:t>
      </w:r>
    </w:p>
    <w:p w14:paraId="145C78FE">
      <w:pPr>
        <w:spacing w:line="480" w:lineRule="auto"/>
        <w:rPr>
          <w:rFonts w:ascii="宋体" w:hAnsi="宋体" w:cs="宋体"/>
          <w:color w:val="auto"/>
          <w:sz w:val="24"/>
          <w:highlight w:val="none"/>
        </w:rPr>
      </w:pPr>
      <w:r>
        <w:rPr>
          <w:rFonts w:hint="eastAsia" w:ascii="宋体" w:hAnsi="宋体" w:cs="宋体"/>
          <w:color w:val="auto"/>
          <w:sz w:val="24"/>
          <w:highlight w:val="none"/>
        </w:rPr>
        <w:t>标项：</w:t>
      </w:r>
    </w:p>
    <w:p w14:paraId="4824BDA0">
      <w:pPr>
        <w:spacing w:line="480" w:lineRule="auto"/>
        <w:rPr>
          <w:rFonts w:ascii="宋体" w:hAnsi="宋体" w:cs="宋体"/>
          <w:color w:val="auto"/>
          <w:sz w:val="24"/>
          <w:highlight w:val="none"/>
        </w:rPr>
      </w:pPr>
      <w:r>
        <w:rPr>
          <w:rFonts w:hint="eastAsia" w:ascii="宋体" w:hAnsi="宋体" w:cs="宋体"/>
          <w:color w:val="auto"/>
          <w:sz w:val="24"/>
          <w:highlight w:val="none"/>
        </w:rPr>
        <w:t>投标人名称：</w:t>
      </w:r>
    </w:p>
    <w:p w14:paraId="0B51F57C">
      <w:pPr>
        <w:spacing w:line="480" w:lineRule="auto"/>
        <w:rPr>
          <w:rFonts w:ascii="宋体" w:hAnsi="宋体" w:cs="宋体"/>
          <w:color w:val="auto"/>
          <w:sz w:val="24"/>
          <w:highlight w:val="none"/>
        </w:rPr>
      </w:pPr>
      <w:r>
        <w:rPr>
          <w:rFonts w:hint="eastAsia" w:ascii="宋体" w:hAnsi="宋体" w:cs="宋体"/>
          <w:color w:val="auto"/>
          <w:sz w:val="24"/>
          <w:highlight w:val="none"/>
        </w:rPr>
        <w:t>投标人地址：</w:t>
      </w:r>
    </w:p>
    <w:p w14:paraId="5D75C043">
      <w:pPr>
        <w:spacing w:line="48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E031780">
      <w:pPr>
        <w:spacing w:line="480" w:lineRule="auto"/>
        <w:rPr>
          <w:rFonts w:ascii="宋体" w:hAnsi="宋体" w:cs="宋体"/>
          <w:color w:val="auto"/>
          <w:sz w:val="24"/>
          <w:highlight w:val="none"/>
        </w:rPr>
      </w:pPr>
      <w:r>
        <w:rPr>
          <w:rFonts w:hint="eastAsia" w:ascii="宋体" w:hAnsi="宋体" w:cs="宋体"/>
          <w:color w:val="auto"/>
          <w:sz w:val="24"/>
          <w:highlight w:val="none"/>
        </w:rPr>
        <w:t xml:space="preserve">                                                   年   月   日</w:t>
      </w:r>
    </w:p>
    <w:p w14:paraId="2BDEFC93">
      <w:pPr>
        <w:spacing w:line="360" w:lineRule="auto"/>
        <w:rPr>
          <w:rFonts w:ascii="宋体" w:hAnsi="宋体" w:cs="宋体"/>
          <w:color w:val="auto"/>
          <w:sz w:val="24"/>
          <w:highlight w:val="none"/>
        </w:rPr>
      </w:pPr>
    </w:p>
    <w:p w14:paraId="2D066848">
      <w:pPr>
        <w:rPr>
          <w:rFonts w:ascii="宋体" w:hAnsi="宋体" w:cs="宋体"/>
          <w:color w:val="auto"/>
          <w:sz w:val="24"/>
          <w:highlight w:val="none"/>
        </w:rPr>
      </w:pPr>
    </w:p>
    <w:p w14:paraId="76FFC6B6">
      <w:pPr>
        <w:rPr>
          <w:color w:val="auto"/>
          <w:highlight w:val="none"/>
        </w:rPr>
      </w:pPr>
    </w:p>
    <w:p w14:paraId="196ED900">
      <w:pPr>
        <w:spacing w:line="360" w:lineRule="auto"/>
        <w:rPr>
          <w:rFonts w:ascii="宋体" w:hAnsi="宋体" w:cs="宋体"/>
          <w:b/>
          <w:color w:val="auto"/>
          <w:sz w:val="24"/>
          <w:highlight w:val="none"/>
        </w:rPr>
      </w:pPr>
    </w:p>
    <w:p w14:paraId="34761A2B">
      <w:pPr>
        <w:spacing w:line="360" w:lineRule="auto"/>
        <w:rPr>
          <w:rFonts w:ascii="宋体" w:hAnsi="宋体" w:cs="宋体"/>
          <w:b/>
          <w:color w:val="auto"/>
          <w:sz w:val="24"/>
          <w:highlight w:val="none"/>
        </w:rPr>
      </w:pPr>
    </w:p>
    <w:p w14:paraId="50C708F3">
      <w:pPr>
        <w:spacing w:line="360" w:lineRule="auto"/>
        <w:rPr>
          <w:rFonts w:ascii="宋体" w:hAnsi="宋体" w:cs="宋体"/>
          <w:b/>
          <w:color w:val="auto"/>
          <w:sz w:val="24"/>
          <w:highlight w:val="none"/>
        </w:rPr>
      </w:pPr>
    </w:p>
    <w:p w14:paraId="5F89259F">
      <w:pPr>
        <w:spacing w:line="360" w:lineRule="auto"/>
        <w:rPr>
          <w:rFonts w:ascii="宋体" w:hAnsi="宋体" w:cs="宋体"/>
          <w:b/>
          <w:color w:val="auto"/>
          <w:sz w:val="24"/>
          <w:highlight w:val="none"/>
        </w:rPr>
      </w:pPr>
    </w:p>
    <w:p w14:paraId="73B79945">
      <w:pPr>
        <w:spacing w:line="360" w:lineRule="auto"/>
        <w:rPr>
          <w:rFonts w:ascii="宋体" w:hAnsi="宋体" w:cs="宋体"/>
          <w:b/>
          <w:color w:val="auto"/>
          <w:sz w:val="24"/>
          <w:highlight w:val="none"/>
        </w:rPr>
      </w:pPr>
      <w:r>
        <w:rPr>
          <w:rFonts w:hint="eastAsia" w:ascii="宋体" w:hAnsi="宋体" w:cs="宋体"/>
          <w:b/>
          <w:color w:val="auto"/>
          <w:sz w:val="24"/>
          <w:highlight w:val="none"/>
        </w:rPr>
        <w:t>2.资格审查文件：</w:t>
      </w:r>
    </w:p>
    <w:p w14:paraId="401A7A4B">
      <w:pPr>
        <w:spacing w:line="360" w:lineRule="auto"/>
        <w:rPr>
          <w:rFonts w:ascii="宋体" w:hAnsi="宋体" w:cs="宋体"/>
          <w:color w:val="auto"/>
          <w:sz w:val="24"/>
          <w:highlight w:val="none"/>
        </w:rPr>
      </w:pPr>
      <w:r>
        <w:rPr>
          <w:rFonts w:hint="eastAsia" w:ascii="宋体" w:hAnsi="宋体" w:cs="宋体"/>
          <w:color w:val="auto"/>
          <w:sz w:val="24"/>
          <w:highlight w:val="none"/>
        </w:rPr>
        <w:t>（1）具有独立承担民事责任的能力：投标人须在投标文件中出具符合以下情况的证明材料复印件（五选一）：</w:t>
      </w:r>
    </w:p>
    <w:p w14:paraId="18D6D263">
      <w:pPr>
        <w:spacing w:line="360" w:lineRule="auto"/>
        <w:rPr>
          <w:rFonts w:ascii="宋体" w:hAnsi="宋体" w:cs="宋体"/>
          <w:color w:val="auto"/>
          <w:sz w:val="24"/>
          <w:highlight w:val="none"/>
        </w:rPr>
      </w:pPr>
      <w:r>
        <w:rPr>
          <w:rFonts w:hint="eastAsia" w:ascii="宋体" w:hAnsi="宋体" w:cs="宋体"/>
          <w:color w:val="auto"/>
          <w:sz w:val="24"/>
          <w:highlight w:val="none"/>
        </w:rPr>
        <w:t>①如投标人是企业（包括合伙企业），提供在工商部门注册的有效“企业法人营业执照”或“营业执照”；</w:t>
      </w:r>
    </w:p>
    <w:p w14:paraId="40269AA0">
      <w:pPr>
        <w:spacing w:line="360" w:lineRule="auto"/>
        <w:rPr>
          <w:rFonts w:ascii="宋体" w:hAnsi="宋体" w:cs="宋体"/>
          <w:color w:val="auto"/>
          <w:sz w:val="24"/>
          <w:highlight w:val="none"/>
        </w:rPr>
      </w:pPr>
      <w:r>
        <w:rPr>
          <w:rFonts w:hint="eastAsia" w:ascii="宋体" w:hAnsi="宋体" w:cs="宋体"/>
          <w:color w:val="auto"/>
          <w:sz w:val="24"/>
          <w:highlight w:val="none"/>
        </w:rPr>
        <w:t>②如投标人是事业单位，提供有效的“事业单位法人证书”；</w:t>
      </w:r>
    </w:p>
    <w:p w14:paraId="479EB211">
      <w:pPr>
        <w:spacing w:line="360" w:lineRule="auto"/>
        <w:rPr>
          <w:rFonts w:ascii="宋体" w:hAnsi="宋体" w:cs="宋体"/>
          <w:color w:val="auto"/>
          <w:sz w:val="24"/>
          <w:highlight w:val="none"/>
        </w:rPr>
      </w:pPr>
      <w:r>
        <w:rPr>
          <w:rFonts w:hint="eastAsia" w:ascii="宋体" w:hAnsi="宋体" w:cs="宋体"/>
          <w:color w:val="auto"/>
          <w:sz w:val="24"/>
          <w:highlight w:val="none"/>
        </w:rPr>
        <w:t>③如投标人是非企业专业服务机构的，提供执业许可证等证明文件；</w:t>
      </w:r>
    </w:p>
    <w:p w14:paraId="67A0FBC3">
      <w:pPr>
        <w:spacing w:line="360" w:lineRule="auto"/>
        <w:rPr>
          <w:rFonts w:ascii="宋体" w:hAnsi="宋体" w:cs="宋体"/>
          <w:color w:val="auto"/>
          <w:sz w:val="24"/>
          <w:highlight w:val="none"/>
        </w:rPr>
      </w:pPr>
      <w:r>
        <w:rPr>
          <w:rFonts w:hint="eastAsia" w:ascii="宋体" w:hAnsi="宋体" w:cs="宋体"/>
          <w:color w:val="auto"/>
          <w:sz w:val="24"/>
          <w:highlight w:val="none"/>
        </w:rPr>
        <w:t>④如投标人是个体工商户，提供有效的“个体工商户营业执照”；</w:t>
      </w:r>
    </w:p>
    <w:p w14:paraId="3BB43B72">
      <w:pPr>
        <w:spacing w:line="360" w:lineRule="auto"/>
        <w:rPr>
          <w:rFonts w:ascii="宋体" w:hAnsi="宋体" w:cs="宋体"/>
          <w:color w:val="auto"/>
          <w:sz w:val="24"/>
          <w:highlight w:val="none"/>
        </w:rPr>
      </w:pPr>
      <w:r>
        <w:rPr>
          <w:rFonts w:hint="eastAsia" w:ascii="宋体" w:hAnsi="宋体" w:cs="宋体"/>
          <w:color w:val="auto"/>
          <w:sz w:val="24"/>
          <w:highlight w:val="none"/>
        </w:rPr>
        <w:t>⑤如投标人是自然人，提供有效的自然人身份证明（居民身份证正反面或公安机关出具的临时居民身份证正反面或港澳台胞证或护照）。</w:t>
      </w:r>
    </w:p>
    <w:p w14:paraId="4B78CB4E">
      <w:pPr>
        <w:spacing w:line="360" w:lineRule="auto"/>
        <w:rPr>
          <w:rFonts w:ascii="宋体" w:hAnsi="宋体" w:cs="宋体"/>
          <w:color w:val="auto"/>
          <w:sz w:val="24"/>
          <w:highlight w:val="none"/>
        </w:rPr>
      </w:pPr>
      <w:r>
        <w:rPr>
          <w:rFonts w:hint="eastAsia" w:ascii="宋体" w:hAnsi="宋体" w:cs="宋体"/>
          <w:color w:val="auto"/>
          <w:sz w:val="24"/>
          <w:highlight w:val="none"/>
        </w:rPr>
        <w:t>（2）法定代表人身份证复印件或法定代表人授权委托书(格式见附件)；</w:t>
      </w:r>
    </w:p>
    <w:p w14:paraId="02496DA9">
      <w:pPr>
        <w:spacing w:line="360" w:lineRule="auto"/>
        <w:rPr>
          <w:rFonts w:ascii="宋体" w:hAnsi="宋体" w:cs="宋体"/>
          <w:color w:val="auto"/>
          <w:sz w:val="24"/>
          <w:highlight w:val="none"/>
        </w:rPr>
      </w:pPr>
      <w:r>
        <w:rPr>
          <w:rFonts w:hint="eastAsia" w:ascii="宋体" w:hAnsi="宋体" w:cs="宋体"/>
          <w:color w:val="auto"/>
          <w:sz w:val="24"/>
          <w:highlight w:val="none"/>
        </w:rPr>
        <w:t>（3）符合参加政府采购活动应当具备的一般条件的承诺函（格式见附件）；</w:t>
      </w:r>
    </w:p>
    <w:p w14:paraId="6E65A0CA">
      <w:pPr>
        <w:spacing w:line="360" w:lineRule="auto"/>
        <w:rPr>
          <w:rFonts w:ascii="宋体" w:hAnsi="宋体" w:cs="宋体"/>
          <w:color w:val="auto"/>
          <w:sz w:val="24"/>
          <w:highlight w:val="none"/>
        </w:rPr>
      </w:pPr>
      <w:r>
        <w:rPr>
          <w:rFonts w:hint="eastAsia" w:ascii="宋体" w:hAnsi="宋体" w:cs="宋体"/>
          <w:color w:val="auto"/>
          <w:sz w:val="24"/>
          <w:highlight w:val="none"/>
        </w:rPr>
        <w:t>（4）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752519C8">
      <w:pPr>
        <w:spacing w:line="360" w:lineRule="auto"/>
        <w:rPr>
          <w:rFonts w:ascii="宋体" w:hAnsi="宋体" w:cs="宋体"/>
          <w:color w:val="auto"/>
          <w:sz w:val="24"/>
          <w:highlight w:val="none"/>
        </w:rPr>
      </w:pPr>
      <w:r>
        <w:rPr>
          <w:rFonts w:hint="eastAsia" w:ascii="宋体" w:hAnsi="宋体" w:cs="宋体"/>
          <w:color w:val="auto"/>
          <w:sz w:val="24"/>
          <w:highlight w:val="none"/>
        </w:rPr>
        <w:t>（5）浙江政府采购网注册正式供应商的网络截图或承诺中标后30天内注册为浙江政府采购网正式供应商（须提供承诺书）；</w:t>
      </w:r>
    </w:p>
    <w:p w14:paraId="6D0F0DF2">
      <w:pPr>
        <w:spacing w:line="360" w:lineRule="auto"/>
        <w:rPr>
          <w:rFonts w:ascii="宋体" w:hAnsi="宋体" w:cs="宋体"/>
          <w:color w:val="auto"/>
          <w:sz w:val="24"/>
          <w:highlight w:val="none"/>
        </w:rPr>
      </w:pPr>
      <w:r>
        <w:rPr>
          <w:rFonts w:hint="eastAsia" w:ascii="宋体" w:hAnsi="宋体" w:cs="宋体"/>
          <w:color w:val="auto"/>
          <w:sz w:val="24"/>
          <w:highlight w:val="none"/>
        </w:rPr>
        <w:t>（6）东阳市政府采购代理机构社会评价表（格式见附件）；</w:t>
      </w:r>
    </w:p>
    <w:p w14:paraId="193C6F0B">
      <w:pPr>
        <w:spacing w:line="360" w:lineRule="auto"/>
        <w:rPr>
          <w:rFonts w:ascii="宋体" w:hAnsi="宋体" w:cs="宋体"/>
          <w:color w:val="auto"/>
          <w:sz w:val="24"/>
          <w:highlight w:val="none"/>
        </w:rPr>
      </w:pPr>
      <w:r>
        <w:rPr>
          <w:rFonts w:hint="eastAsia" w:ascii="宋体" w:hAnsi="宋体" w:cs="宋体"/>
          <w:color w:val="auto"/>
          <w:sz w:val="24"/>
          <w:highlight w:val="none"/>
        </w:rPr>
        <w:t>（7）投标声明书 (格式见附件) ；</w:t>
      </w:r>
    </w:p>
    <w:p w14:paraId="3F87B4D4">
      <w:pPr>
        <w:spacing w:line="360" w:lineRule="auto"/>
        <w:rPr>
          <w:rFonts w:ascii="宋体" w:hAnsi="宋体" w:cs="宋体"/>
          <w:color w:val="auto"/>
          <w:sz w:val="24"/>
          <w:highlight w:val="none"/>
        </w:rPr>
      </w:pPr>
      <w:r>
        <w:rPr>
          <w:rFonts w:hint="eastAsia" w:ascii="宋体" w:hAnsi="宋体" w:cs="宋体"/>
          <w:color w:val="auto"/>
          <w:sz w:val="24"/>
          <w:highlight w:val="none"/>
        </w:rPr>
        <w:t>（8）政府采购活动现场确认声明书 (格式见附件) ；</w:t>
      </w:r>
    </w:p>
    <w:p w14:paraId="611127B1">
      <w:pPr>
        <w:spacing w:line="360" w:lineRule="auto"/>
        <w:rPr>
          <w:rFonts w:ascii="宋体" w:hAnsi="宋体" w:cs="宋体"/>
          <w:color w:val="auto"/>
          <w:sz w:val="24"/>
          <w:highlight w:val="none"/>
        </w:rPr>
      </w:pPr>
      <w:r>
        <w:rPr>
          <w:rFonts w:hint="eastAsia" w:ascii="宋体" w:hAnsi="宋体" w:cs="宋体"/>
          <w:color w:val="auto"/>
          <w:sz w:val="24"/>
          <w:highlight w:val="none"/>
        </w:rPr>
        <w:t>（9）联合体协议书（联合体投标时提供）（格式见附件）；</w:t>
      </w:r>
    </w:p>
    <w:p w14:paraId="70DA45AD">
      <w:pPr>
        <w:spacing w:line="360" w:lineRule="auto"/>
        <w:rPr>
          <w:rFonts w:ascii="宋体" w:hAnsi="宋体" w:cs="宋体"/>
          <w:b/>
          <w:bCs/>
          <w:color w:val="auto"/>
          <w:sz w:val="24"/>
          <w:highlight w:val="none"/>
        </w:rPr>
      </w:pPr>
      <w:r>
        <w:rPr>
          <w:rFonts w:hint="eastAsia" w:ascii="宋体" w:hAnsi="宋体" w:cs="宋体"/>
          <w:color w:val="auto"/>
          <w:sz w:val="24"/>
          <w:highlight w:val="none"/>
        </w:rPr>
        <w:t>（10）</w:t>
      </w:r>
      <w:r>
        <w:rPr>
          <w:rFonts w:hint="eastAsia" w:ascii="宋体" w:hAnsi="宋体" w:cs="宋体"/>
          <w:b/>
          <w:bCs/>
          <w:color w:val="auto"/>
          <w:sz w:val="24"/>
          <w:highlight w:val="none"/>
        </w:rPr>
        <w:t>落实政府采购政策需满足的资格：供应商为中小企业/小微企业，提供《中小企业声明函》（格式见附件）；</w:t>
      </w:r>
    </w:p>
    <w:p w14:paraId="171FBB63">
      <w:pPr>
        <w:spacing w:line="360" w:lineRule="auto"/>
        <w:rPr>
          <w:rFonts w:ascii="宋体" w:hAnsi="宋体" w:cs="宋体"/>
          <w:color w:val="auto"/>
          <w:sz w:val="24"/>
          <w:highlight w:val="none"/>
        </w:rPr>
      </w:pPr>
      <w:r>
        <w:rPr>
          <w:rFonts w:hint="eastAsia" w:ascii="宋体" w:hAnsi="宋体" w:cs="宋体"/>
          <w:color w:val="auto"/>
          <w:sz w:val="24"/>
          <w:highlight w:val="none"/>
        </w:rPr>
        <w:t>（11）投标人情况介绍；</w:t>
      </w:r>
    </w:p>
    <w:p w14:paraId="6A43C9ED">
      <w:pPr>
        <w:spacing w:line="360" w:lineRule="auto"/>
        <w:rPr>
          <w:rFonts w:ascii="宋体" w:hAnsi="宋体" w:cs="宋体"/>
          <w:color w:val="auto"/>
          <w:sz w:val="24"/>
          <w:highlight w:val="none"/>
        </w:rPr>
      </w:pPr>
      <w:r>
        <w:rPr>
          <w:rFonts w:hint="eastAsia" w:ascii="宋体" w:hAnsi="宋体" w:cs="宋体"/>
          <w:color w:val="auto"/>
          <w:sz w:val="24"/>
          <w:highlight w:val="none"/>
        </w:rPr>
        <w:t>（12）投标人认为有必要提供的其它文件。</w:t>
      </w:r>
    </w:p>
    <w:p w14:paraId="73A449A9">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3.商务技术文件</w:t>
      </w:r>
    </w:p>
    <w:p w14:paraId="14E1A3D5">
      <w:pPr>
        <w:spacing w:line="360" w:lineRule="auto"/>
        <w:rPr>
          <w:rFonts w:hint="eastAsia" w:ascii="宋体" w:hAnsi="宋体" w:cs="宋体"/>
          <w:color w:val="auto"/>
          <w:sz w:val="24"/>
          <w:highlight w:val="none"/>
        </w:rPr>
      </w:pPr>
      <w:r>
        <w:rPr>
          <w:rFonts w:hint="eastAsia" w:ascii="宋体" w:hAnsi="宋体" w:cs="宋体"/>
          <w:color w:val="auto"/>
          <w:sz w:val="24"/>
          <w:highlight w:val="none"/>
        </w:rPr>
        <w:t>（1）投标人资信商务、技术自评得分表（格式见附件）；</w:t>
      </w:r>
    </w:p>
    <w:p w14:paraId="6B45348F">
      <w:pPr>
        <w:spacing w:line="360" w:lineRule="auto"/>
        <w:rPr>
          <w:rFonts w:hint="eastAsia" w:ascii="宋体" w:hAnsi="宋体" w:cs="宋体"/>
          <w:color w:val="auto"/>
          <w:sz w:val="24"/>
          <w:highlight w:val="none"/>
        </w:rPr>
      </w:pPr>
      <w:r>
        <w:rPr>
          <w:rFonts w:hint="eastAsia" w:ascii="宋体" w:hAnsi="宋体" w:cs="宋体"/>
          <w:color w:val="auto"/>
          <w:sz w:val="24"/>
          <w:highlight w:val="none"/>
        </w:rPr>
        <w:t>（2）商务响应表（格式见附件）；</w:t>
      </w:r>
    </w:p>
    <w:p w14:paraId="29DE4119">
      <w:pPr>
        <w:spacing w:line="360" w:lineRule="auto"/>
        <w:rPr>
          <w:rFonts w:hint="eastAsia" w:ascii="宋体" w:hAnsi="宋体" w:cs="宋体"/>
          <w:color w:val="auto"/>
          <w:sz w:val="24"/>
          <w:highlight w:val="none"/>
        </w:rPr>
      </w:pPr>
      <w:r>
        <w:rPr>
          <w:rFonts w:hint="eastAsia" w:ascii="宋体" w:hAnsi="宋体" w:cs="宋体"/>
          <w:color w:val="auto"/>
          <w:sz w:val="24"/>
          <w:highlight w:val="none"/>
        </w:rPr>
        <w:t>（3）技术响应表（格式见附件）；</w:t>
      </w:r>
    </w:p>
    <w:p w14:paraId="3C72E4E9">
      <w:pPr>
        <w:spacing w:line="360" w:lineRule="auto"/>
        <w:rPr>
          <w:rFonts w:hint="eastAsia" w:ascii="宋体" w:hAnsi="宋体" w:cs="宋体"/>
          <w:color w:val="auto"/>
          <w:sz w:val="24"/>
          <w:highlight w:val="none"/>
        </w:rPr>
      </w:pPr>
      <w:r>
        <w:rPr>
          <w:rFonts w:hint="eastAsia" w:ascii="宋体" w:hAnsi="宋体" w:cs="宋体"/>
          <w:color w:val="auto"/>
          <w:sz w:val="24"/>
          <w:highlight w:val="none"/>
        </w:rPr>
        <w:t>（4）</w:t>
      </w:r>
      <w:r>
        <w:rPr>
          <w:rFonts w:hint="eastAsia" w:ascii="宋体" w:hAnsi="宋体" w:cs="宋体"/>
          <w:color w:val="auto"/>
          <w:sz w:val="24"/>
          <w:highlight w:val="none"/>
          <w:lang w:val="en-US" w:eastAsia="zh-CN"/>
        </w:rPr>
        <w:t>对本项目的理解情况</w:t>
      </w:r>
      <w:r>
        <w:rPr>
          <w:rFonts w:hint="eastAsia" w:ascii="宋体" w:hAnsi="宋体" w:cs="宋体"/>
          <w:color w:val="auto"/>
          <w:sz w:val="24"/>
          <w:highlight w:val="none"/>
        </w:rPr>
        <w:t>；</w:t>
      </w:r>
    </w:p>
    <w:p w14:paraId="1E0F22F2">
      <w:pPr>
        <w:spacing w:line="360" w:lineRule="auto"/>
        <w:rPr>
          <w:rFonts w:hint="eastAsia" w:ascii="宋体" w:hAnsi="宋体" w:cs="宋体"/>
          <w:color w:val="auto"/>
          <w:sz w:val="24"/>
          <w:highlight w:val="none"/>
          <w:lang w:val="zh-CN" w:eastAsia="zh-CN"/>
        </w:rPr>
      </w:pPr>
      <w:r>
        <w:rPr>
          <w:rFonts w:hint="eastAsia" w:ascii="宋体" w:hAnsi="宋体" w:cs="宋体"/>
          <w:color w:val="auto"/>
          <w:sz w:val="24"/>
          <w:highlight w:val="none"/>
        </w:rPr>
        <w:t>（5</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服务</w:t>
      </w:r>
      <w:r>
        <w:rPr>
          <w:rFonts w:hint="eastAsia" w:ascii="宋体" w:hAnsi="宋体" w:cs="宋体"/>
          <w:color w:val="auto"/>
          <w:sz w:val="24"/>
          <w:highlight w:val="none"/>
          <w:lang w:val="zh-CN" w:eastAsia="zh-CN"/>
        </w:rPr>
        <w:t>方案；</w:t>
      </w:r>
    </w:p>
    <w:p w14:paraId="1FC6EA00">
      <w:pPr>
        <w:spacing w:line="360" w:lineRule="auto"/>
        <w:rPr>
          <w:rFonts w:hint="eastAsia" w:ascii="宋体" w:hAnsi="宋体" w:cs="宋体"/>
          <w:color w:val="auto"/>
          <w:sz w:val="24"/>
          <w:highlight w:val="none"/>
          <w:lang w:val="zh-CN" w:eastAsia="zh-CN"/>
        </w:rPr>
      </w:pPr>
      <w:r>
        <w:rPr>
          <w:rFonts w:hint="eastAsia" w:ascii="宋体" w:hAnsi="宋体" w:cs="宋体"/>
          <w:color w:val="auto"/>
          <w:sz w:val="24"/>
          <w:highlight w:val="none"/>
          <w:lang w:val="en-US" w:eastAsia="zh-CN"/>
        </w:rPr>
        <w:t>（6）管理措施及验收</w:t>
      </w:r>
      <w:r>
        <w:rPr>
          <w:rFonts w:hint="eastAsia" w:ascii="宋体" w:hAnsi="宋体" w:cs="宋体"/>
          <w:color w:val="auto"/>
          <w:sz w:val="24"/>
          <w:highlight w:val="none"/>
          <w:lang w:val="zh-CN" w:eastAsia="zh-CN"/>
        </w:rPr>
        <w:t>；</w:t>
      </w:r>
    </w:p>
    <w:p w14:paraId="66DCD061">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技术方案</w:t>
      </w:r>
      <w:r>
        <w:rPr>
          <w:rFonts w:hint="eastAsia" w:ascii="宋体" w:hAnsi="宋体" w:cs="宋体"/>
          <w:color w:val="auto"/>
          <w:sz w:val="24"/>
          <w:highlight w:val="none"/>
        </w:rPr>
        <w:t>；</w:t>
      </w:r>
    </w:p>
    <w:p w14:paraId="625B5905">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拟投入项目组成员；</w:t>
      </w:r>
    </w:p>
    <w:p w14:paraId="5B480D51">
      <w:pP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（9）质量保障措施；</w:t>
      </w:r>
    </w:p>
    <w:p w14:paraId="3F8153E3">
      <w:pPr>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应急方案</w:t>
      </w:r>
      <w:r>
        <w:rPr>
          <w:rFonts w:hint="eastAsia" w:ascii="宋体" w:hAnsi="宋体" w:cs="宋体"/>
          <w:color w:val="auto"/>
          <w:sz w:val="24"/>
          <w:highlight w:val="none"/>
        </w:rPr>
        <w:t>；</w:t>
      </w:r>
    </w:p>
    <w:p w14:paraId="3E25DFF9">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进度计划</w:t>
      </w:r>
      <w:r>
        <w:rPr>
          <w:rFonts w:hint="eastAsia" w:ascii="宋体" w:hAnsi="宋体" w:cs="宋体"/>
          <w:color w:val="auto"/>
          <w:sz w:val="24"/>
          <w:highlight w:val="none"/>
        </w:rPr>
        <w:t xml:space="preserve">； </w:t>
      </w:r>
    </w:p>
    <w:p w14:paraId="2AC5DBFA">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后续咨询服务；</w:t>
      </w:r>
    </w:p>
    <w:p w14:paraId="4347CE44">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重点、难点技术分析及解决措施</w:t>
      </w:r>
      <w:r>
        <w:rPr>
          <w:rFonts w:hint="eastAsia" w:ascii="宋体" w:hAnsi="宋体" w:cs="宋体"/>
          <w:color w:val="auto"/>
          <w:sz w:val="24"/>
          <w:highlight w:val="none"/>
        </w:rPr>
        <w:t>；</w:t>
      </w:r>
    </w:p>
    <w:p w14:paraId="41EA454C">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认证证书</w:t>
      </w:r>
      <w:r>
        <w:rPr>
          <w:rFonts w:hint="eastAsia" w:ascii="宋体" w:hAnsi="宋体" w:cs="宋体"/>
          <w:color w:val="auto"/>
          <w:sz w:val="24"/>
          <w:highlight w:val="none"/>
        </w:rPr>
        <w:t>；</w:t>
      </w:r>
    </w:p>
    <w:p w14:paraId="5286039D">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hAnsi="宋体" w:eastAsia="宋体" w:cs="宋体"/>
          <w:color w:val="auto"/>
          <w:sz w:val="24"/>
          <w:szCs w:val="24"/>
          <w:highlight w:val="none"/>
          <w:lang w:val="en-US" w:eastAsia="zh-CN"/>
        </w:rPr>
        <w:t>企业</w:t>
      </w:r>
      <w:r>
        <w:rPr>
          <w:rFonts w:hint="eastAsia" w:hAnsi="宋体" w:cs="宋体"/>
          <w:color w:val="auto"/>
          <w:sz w:val="24"/>
          <w:szCs w:val="24"/>
          <w:highlight w:val="none"/>
          <w:lang w:val="en-US" w:eastAsia="zh-CN"/>
        </w:rPr>
        <w:t>资质</w:t>
      </w:r>
      <w:r>
        <w:rPr>
          <w:rFonts w:hint="eastAsia" w:ascii="宋体" w:hAnsi="宋体" w:cs="宋体"/>
          <w:color w:val="auto"/>
          <w:sz w:val="24"/>
          <w:highlight w:val="none"/>
        </w:rPr>
        <w:t>；</w:t>
      </w:r>
    </w:p>
    <w:p w14:paraId="40088E1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同类</w:t>
      </w:r>
      <w:r>
        <w:rPr>
          <w:rFonts w:hint="eastAsia" w:ascii="宋体" w:hAnsi="宋体" w:cs="宋体"/>
          <w:color w:val="auto"/>
          <w:sz w:val="24"/>
          <w:highlight w:val="none"/>
        </w:rPr>
        <w:t>业绩；</w:t>
      </w:r>
    </w:p>
    <w:p w14:paraId="2907BD01">
      <w:pPr>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（17）合理化建议；</w:t>
      </w:r>
    </w:p>
    <w:p w14:paraId="7249DAE1">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18</w:t>
      </w:r>
      <w:r>
        <w:rPr>
          <w:rFonts w:hint="eastAsia" w:ascii="宋体" w:hAnsi="宋体" w:cs="宋体"/>
          <w:color w:val="auto"/>
          <w:sz w:val="24"/>
          <w:highlight w:val="none"/>
        </w:rPr>
        <w:t>）服务费承诺书（格式见附件）；</w:t>
      </w:r>
    </w:p>
    <w:p w14:paraId="752738CA">
      <w:pPr>
        <w:numPr>
          <w:ilvl w:val="0"/>
          <w:numId w:val="0"/>
        </w:numPr>
        <w:spacing w:line="360" w:lineRule="auto"/>
        <w:rPr>
          <w:rFonts w:ascii="宋体" w:hAnsi="宋体" w:cs="宋体"/>
          <w:b/>
          <w:bCs/>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19</w:t>
      </w:r>
      <w:r>
        <w:rPr>
          <w:rFonts w:hint="eastAsia" w:ascii="宋体" w:hAnsi="宋体" w:cs="宋体"/>
          <w:color w:val="auto"/>
          <w:sz w:val="24"/>
          <w:highlight w:val="none"/>
        </w:rPr>
        <w:t>）投标人需要说明的其他文件和说明。</w:t>
      </w:r>
    </w:p>
    <w:p w14:paraId="2B505ED2">
      <w:pPr>
        <w:numPr>
          <w:ilvl w:val="0"/>
          <w:numId w:val="4"/>
        </w:numPr>
        <w:spacing w:line="360" w:lineRule="auto"/>
        <w:rPr>
          <w:rFonts w:ascii="宋体" w:hAnsi="宋体" w:cs="宋体"/>
          <w:b/>
          <w:bCs/>
          <w:color w:val="auto"/>
          <w:sz w:val="24"/>
          <w:highlight w:val="none"/>
        </w:rPr>
      </w:pPr>
      <w:r>
        <w:rPr>
          <w:rFonts w:hint="eastAsia" w:ascii="宋体" w:hAnsi="宋体" w:cs="宋体"/>
          <w:b/>
          <w:bCs/>
          <w:color w:val="auto"/>
          <w:sz w:val="24"/>
          <w:highlight w:val="none"/>
        </w:rPr>
        <w:t>报价文件</w:t>
      </w:r>
    </w:p>
    <w:p w14:paraId="0DD32A5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（1）投标函（格式见附件）； </w:t>
      </w:r>
    </w:p>
    <w:p w14:paraId="6189C10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（2）开标一览表（格式见附件）； </w:t>
      </w:r>
    </w:p>
    <w:p w14:paraId="6DDE066B">
      <w:pPr>
        <w:spacing w:line="360" w:lineRule="auto"/>
        <w:rPr>
          <w:rFonts w:ascii="宋体" w:hAnsi="宋体" w:cs="宋体"/>
          <w:b/>
          <w:bCs/>
          <w:color w:val="auto"/>
          <w:sz w:val="24"/>
          <w:highlight w:val="none"/>
        </w:rPr>
      </w:pPr>
      <w:r>
        <w:rPr>
          <w:rFonts w:hint="eastAsia" w:ascii="宋体" w:hAnsi="宋体" w:cs="宋体"/>
          <w:color w:val="auto"/>
          <w:sz w:val="24"/>
          <w:highlight w:val="none"/>
        </w:rPr>
        <w:t>（3）投标人针对报价需要说明的其他文件和说明（格式自拟）。</w:t>
      </w:r>
    </w:p>
    <w:p w14:paraId="4091E332">
      <w:pPr>
        <w:pStyle w:val="6"/>
        <w:keepNext w:val="0"/>
        <w:keepLines w:val="0"/>
        <w:pageBreakBefore/>
        <w:spacing w:line="360" w:lineRule="auto"/>
        <w:rPr>
          <w:rFonts w:ascii="宋体" w:hAnsi="宋体" w:eastAsia="宋体" w:cs="宋体"/>
          <w:b w:val="0"/>
          <w:color w:val="auto"/>
          <w:sz w:val="24"/>
          <w:szCs w:val="24"/>
          <w:highlight w:val="none"/>
        </w:rPr>
      </w:pPr>
      <w:bookmarkStart w:id="74" w:name="_Toc24778"/>
      <w:r>
        <w:rPr>
          <w:rFonts w:hint="eastAsia" w:ascii="宋体" w:hAnsi="宋体" w:eastAsia="宋体" w:cs="宋体"/>
          <w:b w:val="0"/>
          <w:color w:val="auto"/>
          <w:sz w:val="24"/>
          <w:szCs w:val="24"/>
          <w:highlight w:val="none"/>
        </w:rPr>
        <w:t>附件一：投标声明书</w:t>
      </w:r>
      <w:bookmarkEnd w:id="74"/>
    </w:p>
    <w:p w14:paraId="5FB68881">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投标声明书</w:t>
      </w:r>
    </w:p>
    <w:p w14:paraId="1F146316">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1BA3F479">
      <w:pPr>
        <w:snapToGrid w:val="0"/>
        <w:spacing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（投标人名称）系中华人民共和国合法企业，经营地址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7A820EB">
      <w:pPr>
        <w:snapToGrid w:val="0"/>
        <w:spacing w:beforeLines="50" w:after="50" w:line="276" w:lineRule="auto"/>
        <w:ind w:firstLine="645"/>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（投标人名称）的法定代表人，我方愿意参加贵方组织的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项目的投标，为便于贵方公正、择优地确定中标人及其投标服务，我方就本次投标有关事项郑重声明如下：</w:t>
      </w:r>
    </w:p>
    <w:p w14:paraId="6861733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1.我方向贵方提交的所有投标文件、资料都是准确的和真实的。若有违背，我公司愿为由此而产生的一切后果负责。</w:t>
      </w:r>
    </w:p>
    <w:p w14:paraId="365D22CB">
      <w:pPr>
        <w:snapToGrid w:val="0"/>
        <w:spacing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2.我方不是采购人的附属机构；在获知本项目采购信息后，与采购人聘请的为此项目提供咨询服务的公司及其附属机构没有任何联系。</w:t>
      </w:r>
    </w:p>
    <w:p w14:paraId="2AAFBB70">
      <w:pPr>
        <w:snapToGrid w:val="0"/>
        <w:spacing w:beforeLines="50" w:line="276"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 我方诚意提请贵方关注：近期有</w:t>
      </w:r>
      <w:r>
        <w:rPr>
          <w:rFonts w:hint="eastAsia" w:ascii="宋体" w:hAnsi="宋体" w:cs="宋体"/>
          <w:color w:val="auto"/>
          <w:sz w:val="24"/>
          <w:highlight w:val="none"/>
          <w:u w:val="single"/>
        </w:rPr>
        <w:t xml:space="preserve">                   （采购内容）</w:t>
      </w:r>
      <w:r>
        <w:rPr>
          <w:rFonts w:hint="eastAsia" w:ascii="宋体" w:hAnsi="宋体" w:cs="宋体"/>
          <w:color w:val="auto"/>
          <w:sz w:val="24"/>
          <w:highlight w:val="none"/>
        </w:rPr>
        <w:t>等方面的重大决策和事项有：</w:t>
      </w:r>
    </w:p>
    <w:p w14:paraId="5C57443B">
      <w:pPr>
        <w:snapToGrid w:val="0"/>
        <w:spacing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　　　　　　　　　　　　　　　　　　　　　　　　　　　</w:t>
      </w:r>
    </w:p>
    <w:p w14:paraId="44CB03CA">
      <w:pPr>
        <w:snapToGrid w:val="0"/>
        <w:spacing w:beforeLines="50" w:line="276"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rPr>
        <w:t>　　　　　　　　　　　　　　　　　　　　　　　　　　　</w:t>
      </w:r>
    </w:p>
    <w:p w14:paraId="462E1EA3">
      <w:pPr>
        <w:pStyle w:val="9"/>
        <w:snapToGrid w:val="0"/>
        <w:spacing w:line="276" w:lineRule="auto"/>
        <w:rPr>
          <w:rFonts w:ascii="宋体" w:hAnsi="宋体" w:cs="宋体"/>
          <w:color w:val="auto"/>
          <w:sz w:val="24"/>
          <w:highlight w:val="none"/>
        </w:rPr>
      </w:pPr>
      <w:r>
        <w:rPr>
          <w:rFonts w:hint="eastAsia" w:ascii="宋体" w:hAnsi="宋体" w:cs="宋体"/>
          <w:color w:val="auto"/>
          <w:sz w:val="24"/>
          <w:highlight w:val="none"/>
        </w:rPr>
        <w:t>4.我方及由本人担任法定代表人的其他机构最近三年内被通报或者被处罚的违法行为有：</w:t>
      </w:r>
    </w:p>
    <w:p w14:paraId="1C1C261F">
      <w:pPr>
        <w:snapToGrid w:val="0"/>
        <w:spacing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　　　　　　　　　　　　　　　　　　　　　　　　　　　</w:t>
      </w:r>
    </w:p>
    <w:p w14:paraId="2A7B0B11">
      <w:pPr>
        <w:snapToGrid w:val="0"/>
        <w:spacing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　　　　　　　　　　　　　　　　　　　　　　　　　　　</w:t>
      </w:r>
    </w:p>
    <w:p w14:paraId="6BA8759C">
      <w:pPr>
        <w:snapToGrid w:val="0"/>
        <w:spacing w:line="276"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5.以上事项如有虚假或隐瞒，我方愿意承担一切后果，并不再寻求任何旨在减轻或免除法律责任的辩解。</w:t>
      </w:r>
    </w:p>
    <w:p w14:paraId="5E54292C">
      <w:pPr>
        <w:pStyle w:val="17"/>
        <w:tabs>
          <w:tab w:val="left" w:pos="939"/>
        </w:tabs>
        <w:snapToGrid w:val="0"/>
        <w:spacing w:line="276" w:lineRule="auto"/>
        <w:ind w:left="773" w:leftChars="150" w:hanging="458" w:hangingChars="191"/>
        <w:rPr>
          <w:rFonts w:ascii="宋体" w:hAnsi="宋体" w:cs="宋体"/>
          <w:color w:val="auto"/>
          <w:sz w:val="24"/>
          <w:highlight w:val="none"/>
        </w:rPr>
      </w:pPr>
    </w:p>
    <w:p w14:paraId="2567D371">
      <w:pPr>
        <w:pStyle w:val="39"/>
        <w:snapToGrid w:val="0"/>
        <w:spacing w:beforeLines="50" w:line="276" w:lineRule="auto"/>
        <w:ind w:firstLine="200"/>
        <w:rPr>
          <w:rFonts w:ascii="宋体" w:hAnsi="宋体" w:cs="宋体"/>
          <w:color w:val="auto"/>
          <w:szCs w:val="24"/>
          <w:highlight w:val="none"/>
        </w:rPr>
      </w:pPr>
    </w:p>
    <w:p w14:paraId="0D1C9810">
      <w:pPr>
        <w:snapToGrid w:val="0"/>
        <w:spacing w:beforeLines="50" w:line="276" w:lineRule="auto"/>
        <w:ind w:firstLine="319" w:firstLineChars="133"/>
        <w:rPr>
          <w:rFonts w:ascii="宋体" w:hAnsi="宋体" w:cs="宋体"/>
          <w:color w:val="auto"/>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z w:val="24"/>
          <w:highlight w:val="none"/>
          <w:u w:val="single"/>
        </w:rPr>
        <w:t xml:space="preserve">             </w:t>
      </w:r>
    </w:p>
    <w:p w14:paraId="08799058">
      <w:pPr>
        <w:snapToGrid w:val="0"/>
        <w:spacing w:beforeLines="50" w:after="50" w:line="276" w:lineRule="auto"/>
        <w:ind w:firstLine="360" w:firstLineChars="150"/>
        <w:rPr>
          <w:rFonts w:ascii="宋体" w:hAnsi="宋体" w:cs="宋体"/>
          <w:color w:val="auto"/>
          <w:sz w:val="24"/>
          <w:highlight w:val="none"/>
        </w:rPr>
      </w:pPr>
      <w:r>
        <w:rPr>
          <w:rFonts w:hint="eastAsia" w:ascii="宋体" w:hAnsi="宋体" w:cs="宋体"/>
          <w:color w:val="auto"/>
          <w:sz w:val="24"/>
          <w:highlight w:val="none"/>
        </w:rPr>
        <w:t>投标人公章：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2D322D84">
      <w:pPr>
        <w:snapToGrid w:val="0"/>
        <w:spacing w:beforeLines="50" w:after="50" w:line="276" w:lineRule="auto"/>
        <w:ind w:firstLine="6240" w:firstLineChars="2600"/>
        <w:rPr>
          <w:rFonts w:ascii="宋体" w:hAnsi="宋体" w:cs="宋体"/>
          <w:color w:val="auto"/>
          <w:sz w:val="24"/>
          <w:highlight w:val="none"/>
        </w:rPr>
      </w:pPr>
      <w:r>
        <w:rPr>
          <w:rFonts w:hint="eastAsia" w:ascii="宋体" w:hAnsi="宋体" w:cs="宋体"/>
          <w:color w:val="auto"/>
          <w:sz w:val="24"/>
          <w:highlight w:val="none"/>
        </w:rPr>
        <w:t>年    月    日</w:t>
      </w:r>
    </w:p>
    <w:p w14:paraId="77AB8937">
      <w:pPr>
        <w:snapToGrid w:val="0"/>
        <w:spacing w:beforeLines="50" w:after="50" w:line="276" w:lineRule="auto"/>
        <w:ind w:firstLine="6240" w:firstLineChars="2600"/>
        <w:rPr>
          <w:rFonts w:ascii="宋体" w:hAnsi="宋体" w:cs="宋体"/>
          <w:color w:val="auto"/>
          <w:sz w:val="24"/>
          <w:highlight w:val="none"/>
        </w:rPr>
      </w:pPr>
    </w:p>
    <w:p w14:paraId="176ED743">
      <w:pPr>
        <w:snapToGrid w:val="0"/>
        <w:spacing w:beforeLines="50" w:after="50" w:line="276" w:lineRule="auto"/>
        <w:ind w:firstLine="6240" w:firstLineChars="2600"/>
        <w:rPr>
          <w:rFonts w:ascii="宋体" w:hAnsi="宋体" w:cs="宋体"/>
          <w:color w:val="auto"/>
          <w:sz w:val="24"/>
          <w:highlight w:val="none"/>
        </w:rPr>
      </w:pPr>
    </w:p>
    <w:p w14:paraId="3CA0543C">
      <w:pPr>
        <w:snapToGrid w:val="0"/>
        <w:spacing w:beforeLines="50" w:after="50" w:line="276" w:lineRule="auto"/>
        <w:rPr>
          <w:rFonts w:ascii="宋体" w:hAnsi="宋体" w:cs="宋体"/>
          <w:color w:val="auto"/>
          <w:sz w:val="24"/>
          <w:highlight w:val="none"/>
        </w:rPr>
      </w:pPr>
    </w:p>
    <w:p w14:paraId="45FED71D">
      <w:pPr>
        <w:pStyle w:val="6"/>
        <w:keepNext w:val="0"/>
        <w:keepLines w:val="0"/>
        <w:pageBreakBefore/>
        <w:spacing w:line="360" w:lineRule="auto"/>
        <w:rPr>
          <w:rFonts w:ascii="宋体" w:hAnsi="宋体" w:eastAsia="宋体" w:cs="宋体"/>
          <w:b w:val="0"/>
          <w:bCs w:val="0"/>
          <w:color w:val="auto"/>
          <w:sz w:val="24"/>
          <w:szCs w:val="24"/>
          <w:highlight w:val="none"/>
        </w:rPr>
      </w:pPr>
      <w:bookmarkStart w:id="75" w:name="_Toc30843"/>
      <w:bookmarkStart w:id="76" w:name="_Toc24340"/>
      <w:bookmarkStart w:id="77" w:name="_Toc23315"/>
      <w:bookmarkStart w:id="78" w:name="_Toc16412"/>
      <w:bookmarkStart w:id="79" w:name="_Toc10320"/>
      <w:r>
        <w:rPr>
          <w:rFonts w:hint="eastAsia" w:ascii="宋体" w:hAnsi="宋体" w:eastAsia="宋体" w:cs="宋体"/>
          <w:b w:val="0"/>
          <w:bCs w:val="0"/>
          <w:color w:val="auto"/>
          <w:sz w:val="24"/>
          <w:szCs w:val="24"/>
          <w:highlight w:val="none"/>
        </w:rPr>
        <w:t>附件二：</w:t>
      </w:r>
      <w:bookmarkEnd w:id="75"/>
      <w:bookmarkEnd w:id="76"/>
      <w:r>
        <w:rPr>
          <w:rFonts w:hint="eastAsia" w:ascii="宋体" w:hAnsi="宋体" w:eastAsia="宋体" w:cs="宋体"/>
          <w:b w:val="0"/>
          <w:bCs w:val="0"/>
          <w:color w:val="auto"/>
          <w:sz w:val="24"/>
          <w:szCs w:val="24"/>
          <w:highlight w:val="none"/>
        </w:rPr>
        <w:t>符合参加政府采购活动应当具备的一般条件的承诺函</w:t>
      </w:r>
      <w:bookmarkEnd w:id="77"/>
      <w:bookmarkEnd w:id="78"/>
    </w:p>
    <w:p w14:paraId="08A77B25">
      <w:pPr>
        <w:pStyle w:val="23"/>
        <w:spacing w:before="100" w:after="100" w:line="360" w:lineRule="auto"/>
        <w:jc w:val="center"/>
        <w:rPr>
          <w:color w:val="auto"/>
          <w:highlight w:val="none"/>
        </w:rPr>
      </w:pPr>
      <w:r>
        <w:rPr>
          <w:rFonts w:hint="eastAsia"/>
          <w:b/>
          <w:bCs/>
          <w:color w:val="auto"/>
          <w:sz w:val="27"/>
          <w:szCs w:val="27"/>
          <w:highlight w:val="none"/>
        </w:rPr>
        <w:t>符合参加政府采购活动应当具备的一般条件的承诺函</w:t>
      </w:r>
    </w:p>
    <w:p w14:paraId="23D309B2">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0ED82073">
      <w:pPr>
        <w:pStyle w:val="23"/>
        <w:spacing w:before="0" w:after="0" w:line="360" w:lineRule="auto"/>
        <w:ind w:left="480"/>
        <w:jc w:val="both"/>
        <w:rPr>
          <w:color w:val="auto"/>
          <w:kern w:val="2"/>
          <w:highlight w:val="none"/>
        </w:rPr>
      </w:pPr>
      <w:r>
        <w:rPr>
          <w:rFonts w:hint="eastAsia"/>
          <w:color w:val="auto"/>
          <w:kern w:val="2"/>
          <w:highlight w:val="none"/>
        </w:rPr>
        <w:t>我方参与</w:t>
      </w:r>
      <w:r>
        <w:rPr>
          <w:rFonts w:hint="eastAsia"/>
          <w:color w:val="auto"/>
          <w:highlight w:val="none"/>
          <w:u w:val="single"/>
        </w:rPr>
        <w:t xml:space="preserve">              </w:t>
      </w:r>
      <w:r>
        <w:rPr>
          <w:rFonts w:hint="eastAsia"/>
          <w:color w:val="auto"/>
          <w:kern w:val="2"/>
          <w:highlight w:val="none"/>
        </w:rPr>
        <w:t>项目【项目编号：</w:t>
      </w:r>
      <w:r>
        <w:rPr>
          <w:rFonts w:hint="eastAsia"/>
          <w:color w:val="auto"/>
          <w:highlight w:val="none"/>
          <w:u w:val="single"/>
        </w:rPr>
        <w:t xml:space="preserve">             </w:t>
      </w:r>
      <w:r>
        <w:rPr>
          <w:rFonts w:hint="eastAsia"/>
          <w:color w:val="auto"/>
          <w:kern w:val="2"/>
          <w:highlight w:val="none"/>
        </w:rPr>
        <w:t>】政府采购活动，郑重承诺：</w:t>
      </w:r>
    </w:p>
    <w:p w14:paraId="0148260C">
      <w:pPr>
        <w:pStyle w:val="23"/>
        <w:spacing w:before="0" w:after="0" w:line="360" w:lineRule="auto"/>
        <w:ind w:left="480"/>
        <w:jc w:val="both"/>
        <w:rPr>
          <w:color w:val="auto"/>
          <w:kern w:val="2"/>
          <w:highlight w:val="none"/>
        </w:rPr>
      </w:pPr>
      <w:r>
        <w:rPr>
          <w:rFonts w:hint="eastAsia"/>
          <w:color w:val="auto"/>
          <w:kern w:val="2"/>
          <w:highlight w:val="none"/>
        </w:rPr>
        <w:t>（一）具备《中华人民共和国政府采购法》第二十二条第一款规定的条件：</w:t>
      </w:r>
    </w:p>
    <w:p w14:paraId="26D6BD98">
      <w:pPr>
        <w:pStyle w:val="23"/>
        <w:spacing w:before="0" w:after="0" w:line="360" w:lineRule="auto"/>
        <w:ind w:left="480"/>
        <w:jc w:val="both"/>
        <w:rPr>
          <w:color w:val="auto"/>
          <w:kern w:val="2"/>
          <w:highlight w:val="none"/>
        </w:rPr>
      </w:pPr>
      <w:r>
        <w:rPr>
          <w:rFonts w:hint="eastAsia"/>
          <w:color w:val="auto"/>
          <w:kern w:val="2"/>
          <w:highlight w:val="none"/>
        </w:rPr>
        <w:t>1、具有独立承担民事责任的能力；</w:t>
      </w:r>
    </w:p>
    <w:p w14:paraId="6D462114">
      <w:pPr>
        <w:pStyle w:val="23"/>
        <w:spacing w:before="0" w:after="0" w:line="360" w:lineRule="auto"/>
        <w:ind w:left="480"/>
        <w:jc w:val="both"/>
        <w:rPr>
          <w:color w:val="auto"/>
          <w:kern w:val="2"/>
          <w:highlight w:val="none"/>
        </w:rPr>
      </w:pPr>
      <w:r>
        <w:rPr>
          <w:rFonts w:hint="eastAsia"/>
          <w:color w:val="auto"/>
          <w:kern w:val="2"/>
          <w:highlight w:val="none"/>
        </w:rPr>
        <w:t xml:space="preserve">2、具有良好的商业信誉和健全的财务会计制度； </w:t>
      </w:r>
    </w:p>
    <w:p w14:paraId="05E0961C">
      <w:pPr>
        <w:pStyle w:val="23"/>
        <w:spacing w:before="0" w:after="0" w:line="360" w:lineRule="auto"/>
        <w:ind w:left="480"/>
        <w:jc w:val="both"/>
        <w:rPr>
          <w:color w:val="auto"/>
          <w:kern w:val="2"/>
          <w:highlight w:val="none"/>
        </w:rPr>
      </w:pPr>
      <w:r>
        <w:rPr>
          <w:rFonts w:hint="eastAsia"/>
          <w:color w:val="auto"/>
          <w:kern w:val="2"/>
          <w:highlight w:val="none"/>
        </w:rPr>
        <w:t>3、具有履行合同所必需的设备和专业技术能力；</w:t>
      </w:r>
    </w:p>
    <w:p w14:paraId="5BD3EFE5">
      <w:pPr>
        <w:pStyle w:val="23"/>
        <w:spacing w:before="0" w:after="0" w:line="360" w:lineRule="auto"/>
        <w:ind w:left="480"/>
        <w:jc w:val="both"/>
        <w:rPr>
          <w:color w:val="auto"/>
          <w:kern w:val="2"/>
          <w:highlight w:val="none"/>
        </w:rPr>
      </w:pPr>
      <w:r>
        <w:rPr>
          <w:rFonts w:hint="eastAsia"/>
          <w:color w:val="auto"/>
          <w:kern w:val="2"/>
          <w:highlight w:val="none"/>
        </w:rPr>
        <w:t>4、有依法缴纳税收和社会保障资金的良好记录；</w:t>
      </w:r>
    </w:p>
    <w:p w14:paraId="7CB35666">
      <w:pPr>
        <w:pStyle w:val="23"/>
        <w:spacing w:before="0" w:after="0" w:line="360" w:lineRule="auto"/>
        <w:ind w:left="480"/>
        <w:jc w:val="both"/>
        <w:rPr>
          <w:color w:val="auto"/>
          <w:kern w:val="2"/>
          <w:highlight w:val="none"/>
        </w:rPr>
      </w:pPr>
      <w:r>
        <w:rPr>
          <w:rFonts w:hint="eastAsia"/>
          <w:color w:val="auto"/>
          <w:kern w:val="2"/>
          <w:highlight w:val="none"/>
        </w:rPr>
        <w:t>5、参加政府采购活动前三年内，在经营活动中没有重大违法记录；</w:t>
      </w:r>
    </w:p>
    <w:p w14:paraId="6710F360">
      <w:pPr>
        <w:pStyle w:val="23"/>
        <w:spacing w:before="0" w:after="0" w:line="360" w:lineRule="auto"/>
        <w:ind w:left="480"/>
        <w:jc w:val="both"/>
        <w:rPr>
          <w:color w:val="auto"/>
          <w:kern w:val="2"/>
          <w:highlight w:val="none"/>
        </w:rPr>
      </w:pPr>
      <w:r>
        <w:rPr>
          <w:rFonts w:hint="eastAsia"/>
          <w:color w:val="auto"/>
          <w:kern w:val="2"/>
          <w:highlight w:val="none"/>
        </w:rPr>
        <w:t>6、具有法律、行政法规规定的其他条件。</w:t>
      </w:r>
    </w:p>
    <w:p w14:paraId="65D5BA1C">
      <w:pPr>
        <w:pStyle w:val="23"/>
        <w:spacing w:before="0" w:after="0" w:line="360" w:lineRule="auto"/>
        <w:ind w:left="480"/>
        <w:jc w:val="both"/>
        <w:rPr>
          <w:color w:val="auto"/>
          <w:kern w:val="2"/>
          <w:highlight w:val="none"/>
        </w:rPr>
      </w:pPr>
      <w:r>
        <w:rPr>
          <w:rFonts w:hint="eastAsia"/>
          <w:color w:val="auto"/>
          <w:kern w:val="2"/>
          <w:highlight w:val="none"/>
        </w:rPr>
        <w:t>（二）未被信用中国（www.creditchina.gov.cn)、中国政府采购网（www.ccgp.gov.cn）列入失信被执行人、重大税收违法案件当事人名单、政府采购严重违法失信行为记录名单。</w:t>
      </w:r>
    </w:p>
    <w:p w14:paraId="34E9AA86">
      <w:pPr>
        <w:pStyle w:val="23"/>
        <w:spacing w:before="0" w:after="0" w:line="360" w:lineRule="auto"/>
        <w:ind w:left="480"/>
        <w:jc w:val="both"/>
        <w:rPr>
          <w:color w:val="auto"/>
          <w:kern w:val="2"/>
          <w:highlight w:val="none"/>
        </w:rPr>
      </w:pPr>
      <w:r>
        <w:rPr>
          <w:rFonts w:hint="eastAsia"/>
          <w:color w:val="auto"/>
          <w:kern w:val="2"/>
          <w:highlight w:val="none"/>
        </w:rPr>
        <w:t>（三）不存在以下情况：</w:t>
      </w:r>
    </w:p>
    <w:p w14:paraId="3E4F3281">
      <w:pPr>
        <w:pStyle w:val="23"/>
        <w:spacing w:before="0" w:after="0" w:line="360" w:lineRule="auto"/>
        <w:ind w:left="480"/>
        <w:jc w:val="both"/>
        <w:rPr>
          <w:color w:val="auto"/>
          <w:kern w:val="2"/>
          <w:highlight w:val="none"/>
        </w:rPr>
      </w:pPr>
      <w:r>
        <w:rPr>
          <w:rFonts w:hint="eastAsia"/>
          <w:color w:val="auto"/>
          <w:kern w:val="2"/>
          <w:highlight w:val="none"/>
        </w:rPr>
        <w:t>1、单位负责人为同一人或者存在直接控股、管理关系的不同供应商参加同一合同项下的政府采购活动的；</w:t>
      </w:r>
    </w:p>
    <w:p w14:paraId="4C2D4458">
      <w:pPr>
        <w:pStyle w:val="23"/>
        <w:spacing w:before="0" w:after="0" w:line="360" w:lineRule="auto"/>
        <w:ind w:left="480"/>
        <w:jc w:val="both"/>
        <w:rPr>
          <w:color w:val="auto"/>
          <w:kern w:val="2"/>
          <w:highlight w:val="none"/>
        </w:rPr>
      </w:pPr>
      <w:r>
        <w:rPr>
          <w:rFonts w:hint="eastAsia"/>
          <w:color w:val="auto"/>
          <w:kern w:val="2"/>
          <w:highlight w:val="none"/>
        </w:rPr>
        <w:t>2、为采购项目提供整体设计、规范编制或者项目管理、监理、检测等服务后再参加该采购项目的其他采购活动的。</w:t>
      </w:r>
    </w:p>
    <w:p w14:paraId="448E0509">
      <w:pPr>
        <w:pStyle w:val="23"/>
        <w:spacing w:before="0" w:after="0" w:line="360" w:lineRule="auto"/>
        <w:ind w:left="480"/>
        <w:jc w:val="both"/>
        <w:rPr>
          <w:color w:val="auto"/>
          <w:kern w:val="2"/>
          <w:highlight w:val="none"/>
        </w:rPr>
      </w:pPr>
    </w:p>
    <w:p w14:paraId="462A9AAB">
      <w:pPr>
        <w:pStyle w:val="23"/>
        <w:spacing w:before="0" w:after="0" w:line="360" w:lineRule="auto"/>
        <w:ind w:left="480"/>
        <w:jc w:val="both"/>
        <w:rPr>
          <w:color w:val="auto"/>
          <w:kern w:val="2"/>
          <w:highlight w:val="none"/>
        </w:rPr>
      </w:pPr>
    </w:p>
    <w:p w14:paraId="21FA4EE0">
      <w:pPr>
        <w:pStyle w:val="23"/>
        <w:spacing w:before="0" w:after="0" w:line="360" w:lineRule="auto"/>
        <w:ind w:left="480"/>
        <w:jc w:val="both"/>
        <w:rPr>
          <w:color w:val="auto"/>
          <w:kern w:val="2"/>
          <w:highlight w:val="none"/>
        </w:rPr>
      </w:pPr>
    </w:p>
    <w:p w14:paraId="113D0305">
      <w:pPr>
        <w:snapToGrid w:val="0"/>
        <w:spacing w:before="50" w:after="50"/>
        <w:rPr>
          <w:rFonts w:ascii="宋体" w:hAnsi="宋体" w:cs="宋体"/>
          <w:color w:val="auto"/>
          <w:spacing w:val="20"/>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499C2729">
      <w:pPr>
        <w:snapToGrid w:val="0"/>
        <w:spacing w:beforeLines="50"/>
        <w:rPr>
          <w:rFonts w:ascii="宋体" w:hAnsi="宋体" w:cs="宋体"/>
          <w:color w:val="auto"/>
          <w:sz w:val="24"/>
          <w:highlight w:val="none"/>
        </w:rPr>
      </w:pPr>
      <w:r>
        <w:rPr>
          <w:rFonts w:hint="eastAsia" w:ascii="宋体" w:hAnsi="宋体" w:cs="宋体"/>
          <w:color w:val="auto"/>
          <w:spacing w:val="20"/>
          <w:sz w:val="24"/>
          <w:highlight w:val="none"/>
        </w:rPr>
        <w:t>投标人盖章：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38491950">
      <w:pPr>
        <w:rPr>
          <w:rFonts w:ascii="宋体" w:hAnsi="宋体" w:cs="宋体"/>
          <w:color w:val="auto"/>
          <w:sz w:val="24"/>
          <w:highlight w:val="none"/>
        </w:rPr>
      </w:pPr>
    </w:p>
    <w:p w14:paraId="18E2FCB8">
      <w:pPr>
        <w:pStyle w:val="6"/>
        <w:keepNext w:val="0"/>
        <w:keepLines w:val="0"/>
        <w:pageBreakBefore/>
        <w:spacing w:line="360" w:lineRule="auto"/>
        <w:rPr>
          <w:rFonts w:ascii="宋体" w:hAnsi="宋体" w:eastAsia="宋体" w:cs="宋体"/>
          <w:b w:val="0"/>
          <w:bCs w:val="0"/>
          <w:color w:val="auto"/>
          <w:sz w:val="24"/>
          <w:szCs w:val="24"/>
          <w:highlight w:val="none"/>
        </w:rPr>
      </w:pPr>
      <w:bookmarkStart w:id="80" w:name="_Toc15925"/>
      <w:r>
        <w:rPr>
          <w:rFonts w:hint="eastAsia" w:ascii="宋体" w:hAnsi="宋体" w:eastAsia="宋体" w:cs="宋体"/>
          <w:b w:val="0"/>
          <w:bCs w:val="0"/>
          <w:color w:val="auto"/>
          <w:sz w:val="24"/>
          <w:szCs w:val="24"/>
          <w:highlight w:val="none"/>
        </w:rPr>
        <w:t>附件三：政府采购活动现场确认声明书</w:t>
      </w:r>
      <w:bookmarkEnd w:id="79"/>
      <w:bookmarkEnd w:id="80"/>
    </w:p>
    <w:p w14:paraId="2621502D">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政府采购活动现场确认声明书</w:t>
      </w:r>
    </w:p>
    <w:p w14:paraId="103D297E">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东阳市鑫盛工程咨询有限公司 :</w:t>
      </w:r>
    </w:p>
    <w:p w14:paraId="5DE988D4">
      <w:pPr>
        <w:snapToGrid w:val="0"/>
        <w:spacing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本人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（授权代表姓名），经由</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（单位）</w:t>
      </w:r>
    </w:p>
    <w:p w14:paraId="78C3E350">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（法定代表人姓名）合法授权参加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）政府采购活动．经与本单位法人代表（负责人）联系确认，现就有关公平竞争事项郑重声明如下:</w:t>
      </w:r>
    </w:p>
    <w:p w14:paraId="33ABC430">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一、本单位与采购人之间口不存在利害关系口存在下列利害关系:</w:t>
      </w:r>
    </w:p>
    <w:p w14:paraId="68040202">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A．投资关系</w:t>
      </w:r>
      <w:r>
        <w:rPr>
          <w:rFonts w:hint="eastAsia" w:ascii="宋体" w:hAnsi="宋体" w:cs="宋体"/>
          <w:color w:val="auto"/>
          <w:sz w:val="24"/>
          <w:highlight w:val="none"/>
        </w:rPr>
        <w:tab/>
      </w:r>
      <w:r>
        <w:rPr>
          <w:rFonts w:hint="eastAsia" w:ascii="宋体" w:hAnsi="宋体" w:cs="宋体"/>
          <w:color w:val="auto"/>
          <w:sz w:val="24"/>
          <w:highlight w:val="none"/>
        </w:rPr>
        <w:t>B．行政隶属关系</w:t>
      </w:r>
      <w:r>
        <w:rPr>
          <w:rFonts w:hint="eastAsia" w:ascii="宋体" w:hAnsi="宋体" w:cs="宋体"/>
          <w:color w:val="auto"/>
          <w:sz w:val="24"/>
          <w:highlight w:val="none"/>
        </w:rPr>
        <w:tab/>
      </w:r>
      <w:r>
        <w:rPr>
          <w:rFonts w:hint="eastAsia" w:ascii="宋体" w:hAnsi="宋体" w:cs="宋体"/>
          <w:color w:val="auto"/>
          <w:sz w:val="24"/>
          <w:highlight w:val="none"/>
        </w:rPr>
        <w:t>C．业务指导关系  D．其他可能影响采购公正的利害关系（如有，请如实说明）。</w:t>
      </w:r>
    </w:p>
    <w:p w14:paraId="3D3EC6E8">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二、现己清楚知道参加本项目采购活动的其他所有供应商名称，本单位 口与其他所有供应商之间均不存在利害关系 口与 </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（供应商名称）之间存在下列利害关系:</w:t>
      </w:r>
    </w:p>
    <w:p w14:paraId="69803440">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A．法定代表人或负责人或实际控制人是同一人B．法定代表人或负责人或实际控制人是夫妻关系</w:t>
      </w:r>
    </w:p>
    <w:p w14:paraId="09FF774E">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C.法定代表人或负责人或实际控制人是直系血亲关系</w:t>
      </w:r>
    </w:p>
    <w:p w14:paraId="4232AA50">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D.法定代表人或负责人或实际控制人存在三代以内旁系血亲关系</w:t>
      </w:r>
    </w:p>
    <w:p w14:paraId="7BEE544B">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E．法定代表人或负责人或实际控制人存在近姻亲关系</w:t>
      </w:r>
    </w:p>
    <w:p w14:paraId="54275D27">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F．法定代表人或负责人或实际控制人存在股份控制或实际控制关系</w:t>
      </w:r>
    </w:p>
    <w:p w14:paraId="5A76FEFA">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G．存在共同直接或间接投资设立子公司、联营企业和合营企业情况</w:t>
      </w:r>
    </w:p>
    <w:p w14:paraId="2A4B8641">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H.存在分级代理或代销关系、同一生产制造商关系、管理关系、重要业务（占主昔业务收入 50 ％以上）或重要财务往来关系（如融资）等其他实质性控制关系</w:t>
      </w:r>
    </w:p>
    <w:p w14:paraId="14973AC5">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I.其他利害关系情况</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w:t>
      </w:r>
    </w:p>
    <w:p w14:paraId="0C6BEA74">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三、现己清楚知道并严格遵守政府采购法律法规和现场纪律。</w:t>
      </w:r>
    </w:p>
    <w:p w14:paraId="2E84F412">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四、我发现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供应商之间存在或可能存在上述第二条第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项利害关系。</w:t>
      </w:r>
    </w:p>
    <w:p w14:paraId="01FFF22A">
      <w:pPr>
        <w:snapToGrid w:val="0"/>
        <w:spacing w:beforeLines="50" w:after="50" w:line="276" w:lineRule="auto"/>
        <w:rPr>
          <w:rFonts w:ascii="宋体" w:hAnsi="宋体" w:cs="宋体"/>
          <w:color w:val="auto"/>
          <w:sz w:val="24"/>
          <w:highlight w:val="none"/>
        </w:rPr>
      </w:pPr>
    </w:p>
    <w:p w14:paraId="240D340A">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 xml:space="preserve">（供应商代表签名）: </w:t>
      </w:r>
    </w:p>
    <w:p w14:paraId="3631D402">
      <w:pPr>
        <w:snapToGrid w:val="0"/>
        <w:spacing w:beforeLines="50" w:after="50" w:line="276" w:lineRule="auto"/>
        <w:jc w:val="center"/>
        <w:rPr>
          <w:rFonts w:ascii="宋体" w:hAnsi="宋体" w:cs="宋体"/>
          <w:b/>
          <w:color w:val="auto"/>
          <w:sz w:val="24"/>
          <w:highlight w:val="none"/>
        </w:rPr>
      </w:pPr>
      <w:r>
        <w:rPr>
          <w:rFonts w:hint="eastAsia" w:ascii="宋体" w:hAnsi="宋体" w:cs="宋体"/>
          <w:color w:val="auto"/>
          <w:sz w:val="24"/>
          <w:highlight w:val="none"/>
        </w:rPr>
        <w:t xml:space="preserve">                                                     年   月   日</w:t>
      </w:r>
    </w:p>
    <w:p w14:paraId="5D887B18">
      <w:pPr>
        <w:pStyle w:val="6"/>
        <w:keepNext w:val="0"/>
        <w:keepLines w:val="0"/>
        <w:pageBreakBefore/>
        <w:spacing w:line="276" w:lineRule="auto"/>
        <w:rPr>
          <w:rFonts w:ascii="宋体" w:hAnsi="宋体" w:eastAsia="宋体" w:cs="宋体"/>
          <w:b w:val="0"/>
          <w:color w:val="auto"/>
          <w:sz w:val="24"/>
          <w:szCs w:val="24"/>
          <w:highlight w:val="none"/>
        </w:rPr>
      </w:pPr>
      <w:bookmarkStart w:id="81" w:name="_Toc32296"/>
      <w:r>
        <w:rPr>
          <w:rFonts w:hint="eastAsia" w:ascii="宋体" w:hAnsi="宋体" w:eastAsia="宋体" w:cs="宋体"/>
          <w:b w:val="0"/>
          <w:color w:val="auto"/>
          <w:sz w:val="24"/>
          <w:szCs w:val="24"/>
          <w:highlight w:val="none"/>
        </w:rPr>
        <w:t>附件四：法定代表人授权委托书</w:t>
      </w:r>
      <w:bookmarkEnd w:id="81"/>
    </w:p>
    <w:p w14:paraId="7F70507D">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法定代表人授权委托书</w:t>
      </w:r>
    </w:p>
    <w:p w14:paraId="51359044">
      <w:pPr>
        <w:snapToGrid w:val="0"/>
        <w:spacing w:beforeLines="50" w:after="50" w:line="276" w:lineRule="auto"/>
        <w:rPr>
          <w:rFonts w:ascii="宋体" w:hAnsi="宋体" w:cs="宋体"/>
          <w:b/>
          <w:bCs/>
          <w:color w:val="auto"/>
          <w:sz w:val="24"/>
          <w:highlight w:val="none"/>
        </w:rPr>
      </w:pPr>
      <w:r>
        <w:rPr>
          <w:rFonts w:hint="eastAsia" w:ascii="宋体" w:hAnsi="宋体" w:cs="宋体"/>
          <w:bCs/>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71FFE988">
      <w:pPr>
        <w:snapToGrid w:val="0"/>
        <w:spacing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（投标人名称）的法定代表人，现授权委托本单位在职职工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（姓名）以我方的名义参加</w:t>
      </w:r>
      <w:r>
        <w:rPr>
          <w:rFonts w:hint="eastAsia" w:ascii="宋体" w:hAnsi="宋体" w:cs="宋体"/>
          <w:color w:val="auto"/>
          <w:sz w:val="24"/>
          <w:highlight w:val="none"/>
          <w:u w:val="single"/>
          <w:lang w:eastAsia="zh-CN"/>
        </w:rPr>
        <w:t>浙江东阳经济开发区城市分批次建设项目土地报批技术服务项目</w:t>
      </w:r>
      <w:r>
        <w:rPr>
          <w:rFonts w:hint="eastAsia" w:ascii="宋体" w:hAnsi="宋体" w:cs="宋体"/>
          <w:color w:val="auto"/>
          <w:sz w:val="24"/>
          <w:highlight w:val="none"/>
        </w:rPr>
        <w:t>的投标活动，并代表我方全权办理针对上述项目的投标、开标、评标、签约等具体事务和签署相关文件。</w:t>
      </w:r>
    </w:p>
    <w:p w14:paraId="56E438E1">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    我方对委托代理人的签名事项负全部责任。</w:t>
      </w:r>
    </w:p>
    <w:p w14:paraId="4AA702E4">
      <w:pPr>
        <w:snapToGrid w:val="0"/>
        <w:spacing w:beforeLines="50" w:after="50" w:line="276" w:lineRule="auto"/>
        <w:ind w:firstLine="480"/>
        <w:rPr>
          <w:rFonts w:ascii="宋体" w:hAnsi="宋体" w:cs="宋体"/>
          <w:color w:val="auto"/>
          <w:sz w:val="24"/>
          <w:highlight w:val="none"/>
        </w:rPr>
      </w:pPr>
      <w:r>
        <w:rPr>
          <w:rFonts w:hint="eastAsia" w:ascii="宋体" w:hAnsi="宋体" w:cs="宋体"/>
          <w:color w:val="auto"/>
          <w:sz w:val="24"/>
          <w:highlight w:val="none"/>
          <w:u w:val="single"/>
        </w:rPr>
        <w:t>在撤销授权的书面通知以前，本授权书一直有效。</w:t>
      </w:r>
      <w:r>
        <w:rPr>
          <w:rFonts w:hint="eastAsia" w:ascii="宋体" w:hAnsi="宋体" w:cs="宋体"/>
          <w:color w:val="auto"/>
          <w:sz w:val="24"/>
          <w:highlight w:val="none"/>
        </w:rPr>
        <w:t>委托代理人在授权书有效期内签署的所有文件不因授权的撤销而失效。</w:t>
      </w:r>
    </w:p>
    <w:p w14:paraId="0D44926D">
      <w:pPr>
        <w:snapToGrid w:val="0"/>
        <w:spacing w:beforeLines="50" w:after="50" w:line="276" w:lineRule="auto"/>
        <w:ind w:firstLine="480"/>
        <w:rPr>
          <w:rFonts w:ascii="宋体" w:hAnsi="宋体" w:cs="宋体"/>
          <w:color w:val="auto"/>
          <w:sz w:val="24"/>
          <w:highlight w:val="none"/>
        </w:rPr>
      </w:pPr>
      <w:r>
        <w:rPr>
          <w:rFonts w:hint="eastAsia" w:ascii="宋体" w:hAnsi="宋体" w:cs="宋体"/>
          <w:color w:val="auto"/>
          <w:sz w:val="24"/>
          <w:highlight w:val="none"/>
        </w:rPr>
        <w:t>委托代理人无转委托权，特此委托。</w:t>
      </w:r>
    </w:p>
    <w:p w14:paraId="108CAD84">
      <w:pPr>
        <w:snapToGrid w:val="0"/>
        <w:spacing w:beforeLines="50" w:after="50" w:line="276" w:lineRule="auto"/>
        <w:rPr>
          <w:rFonts w:ascii="宋体" w:hAnsi="宋体" w:cs="宋体"/>
          <w:color w:val="auto"/>
          <w:sz w:val="24"/>
          <w:highlight w:val="none"/>
          <w:u w:val="single"/>
        </w:rPr>
      </w:pPr>
      <w:r>
        <w:rPr>
          <w:rFonts w:hint="eastAsia" w:ascii="宋体" w:hAnsi="宋体" w:cs="宋体"/>
          <w:color w:val="auto"/>
          <w:sz w:val="24"/>
          <w:highlight w:val="none"/>
        </w:rPr>
        <w:t>委托代理人</w:t>
      </w:r>
      <w:r>
        <w:rPr>
          <w:rFonts w:hint="eastAsia" w:ascii="宋体" w:hAnsi="宋体" w:cs="宋体"/>
          <w:color w:val="auto"/>
          <w:sz w:val="24"/>
          <w:highlight w:val="none"/>
          <w:lang w:val="en-US" w:eastAsia="zh-CN"/>
        </w:rPr>
        <w:t>手写</w:t>
      </w:r>
      <w:r>
        <w:rPr>
          <w:rFonts w:hint="eastAsia" w:ascii="宋体" w:hAnsi="宋体" w:cs="宋体"/>
          <w:color w:val="auto"/>
          <w:sz w:val="24"/>
          <w:highlight w:val="none"/>
        </w:rPr>
        <w:t>签名：</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法定代表人</w:t>
      </w:r>
      <w:r>
        <w:rPr>
          <w:rFonts w:hint="eastAsia" w:ascii="宋体" w:hAnsi="宋体" w:cs="宋体"/>
          <w:color w:val="auto"/>
          <w:sz w:val="24"/>
          <w:highlight w:val="none"/>
          <w:lang w:val="en-US" w:eastAsia="zh-CN"/>
        </w:rPr>
        <w:t>手写</w:t>
      </w:r>
      <w:r>
        <w:rPr>
          <w:rFonts w:hint="eastAsia" w:ascii="宋体" w:hAnsi="宋体" w:cs="宋体"/>
          <w:color w:val="auto"/>
          <w:sz w:val="24"/>
          <w:highlight w:val="none"/>
        </w:rPr>
        <w:t>签名：</w:t>
      </w:r>
      <w:r>
        <w:rPr>
          <w:rFonts w:hint="eastAsia" w:ascii="宋体" w:hAnsi="宋体" w:cs="宋体"/>
          <w:color w:val="auto"/>
          <w:sz w:val="24"/>
          <w:highlight w:val="none"/>
          <w:u w:val="single"/>
        </w:rPr>
        <w:t xml:space="preserve">          </w:t>
      </w:r>
    </w:p>
    <w:p w14:paraId="4FA023DF">
      <w:pPr>
        <w:snapToGrid w:val="0"/>
        <w:spacing w:beforeLines="50" w:after="50" w:line="276" w:lineRule="auto"/>
        <w:ind w:firstLine="1680" w:firstLineChars="700"/>
        <w:rPr>
          <w:rFonts w:ascii="宋体" w:hAnsi="宋体" w:cs="宋体"/>
          <w:color w:val="auto"/>
          <w:sz w:val="24"/>
          <w:highlight w:val="none"/>
        </w:rPr>
      </w:pPr>
      <w:r>
        <w:rPr>
          <w:rFonts w:hint="eastAsia" w:ascii="宋体" w:hAnsi="宋体" w:cs="宋体"/>
          <w:color w:val="auto"/>
          <w:sz w:val="24"/>
          <w:highlight w:val="none"/>
        </w:rPr>
        <w:t>职务：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职务：</w:t>
      </w:r>
      <w:r>
        <w:rPr>
          <w:rFonts w:hint="eastAsia" w:ascii="宋体" w:hAnsi="宋体" w:cs="宋体"/>
          <w:color w:val="auto"/>
          <w:sz w:val="24"/>
          <w:highlight w:val="none"/>
          <w:u w:val="single"/>
        </w:rPr>
        <w:t xml:space="preserve">          </w:t>
      </w:r>
    </w:p>
    <w:p w14:paraId="3BBFCF9F">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委托代理人身份证复印件（正反双面）：</w:t>
      </w:r>
    </w:p>
    <w:tbl>
      <w:tblPr>
        <w:tblStyle w:val="24"/>
        <w:tblpPr w:leftFromText="180" w:rightFromText="180" w:vertAnchor="text" w:tblpX="109" w:tblpY="151"/>
        <w:tblW w:w="5328" w:type="dxa"/>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328"/>
      </w:tblGrid>
      <w:tr w14:paraId="08B5449F">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232" w:hRule="atLeast"/>
        </w:trPr>
        <w:tc>
          <w:tcPr>
            <w:tcW w:w="5328" w:type="dxa"/>
          </w:tcPr>
          <w:p w14:paraId="7E160BA0">
            <w:pPr>
              <w:snapToGrid w:val="0"/>
              <w:spacing w:beforeLines="50" w:after="50" w:line="276" w:lineRule="auto"/>
              <w:rPr>
                <w:rFonts w:ascii="宋体" w:hAnsi="宋体" w:cs="宋体"/>
                <w:color w:val="auto"/>
                <w:sz w:val="24"/>
                <w:highlight w:val="none"/>
              </w:rPr>
            </w:pPr>
          </w:p>
          <w:p w14:paraId="4223D4C8">
            <w:pPr>
              <w:snapToGrid w:val="0"/>
              <w:spacing w:beforeLines="50" w:after="50" w:line="276" w:lineRule="auto"/>
              <w:rPr>
                <w:rFonts w:ascii="宋体" w:hAnsi="宋体" w:cs="宋体"/>
                <w:color w:val="auto"/>
                <w:sz w:val="24"/>
                <w:highlight w:val="none"/>
              </w:rPr>
            </w:pPr>
          </w:p>
          <w:p w14:paraId="6EF15E12">
            <w:pPr>
              <w:snapToGrid w:val="0"/>
              <w:spacing w:beforeLines="50" w:after="50" w:line="276" w:lineRule="auto"/>
              <w:rPr>
                <w:rFonts w:ascii="宋体" w:hAnsi="宋体" w:cs="宋体"/>
                <w:color w:val="auto"/>
                <w:sz w:val="24"/>
                <w:highlight w:val="none"/>
              </w:rPr>
            </w:pPr>
          </w:p>
          <w:p w14:paraId="72D100D1">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粘</w:t>
            </w:r>
          </w:p>
          <w:p w14:paraId="1375F991">
            <w:pPr>
              <w:snapToGrid w:val="0"/>
              <w:spacing w:beforeLines="50" w:after="50" w:line="276" w:lineRule="auto"/>
              <w:jc w:val="center"/>
              <w:rPr>
                <w:rFonts w:ascii="宋体" w:hAnsi="宋体" w:cs="宋体"/>
                <w:color w:val="auto"/>
                <w:sz w:val="24"/>
                <w:highlight w:val="none"/>
              </w:rPr>
            </w:pPr>
          </w:p>
          <w:p w14:paraId="77EB6776">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贴</w:t>
            </w:r>
          </w:p>
          <w:p w14:paraId="6A2D3EA9">
            <w:pPr>
              <w:snapToGrid w:val="0"/>
              <w:spacing w:beforeLines="50" w:after="50" w:line="276" w:lineRule="auto"/>
              <w:jc w:val="center"/>
              <w:rPr>
                <w:rFonts w:ascii="宋体" w:hAnsi="宋体" w:cs="宋体"/>
                <w:color w:val="auto"/>
                <w:sz w:val="24"/>
                <w:highlight w:val="none"/>
              </w:rPr>
            </w:pPr>
          </w:p>
          <w:p w14:paraId="214C1A97">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处</w:t>
            </w:r>
          </w:p>
        </w:tc>
      </w:tr>
    </w:tbl>
    <w:p w14:paraId="72FC5E27">
      <w:pPr>
        <w:snapToGrid w:val="0"/>
        <w:spacing w:beforeLines="50" w:after="50" w:line="276" w:lineRule="auto"/>
        <w:rPr>
          <w:rFonts w:ascii="宋体" w:hAnsi="宋体" w:cs="宋体"/>
          <w:color w:val="auto"/>
          <w:sz w:val="24"/>
          <w:highlight w:val="none"/>
        </w:rPr>
      </w:pPr>
    </w:p>
    <w:p w14:paraId="0F29C7BB">
      <w:pPr>
        <w:snapToGrid w:val="0"/>
        <w:spacing w:beforeLines="50" w:after="50" w:line="276" w:lineRule="auto"/>
        <w:rPr>
          <w:rFonts w:ascii="宋体" w:hAnsi="宋体" w:cs="宋体"/>
          <w:color w:val="auto"/>
          <w:sz w:val="24"/>
          <w:highlight w:val="none"/>
        </w:rPr>
      </w:pPr>
    </w:p>
    <w:p w14:paraId="32E0DB3F">
      <w:pPr>
        <w:snapToGrid w:val="0"/>
        <w:spacing w:beforeLines="50" w:after="50" w:line="276" w:lineRule="auto"/>
        <w:rPr>
          <w:rFonts w:ascii="宋体" w:hAnsi="宋体" w:cs="宋体"/>
          <w:color w:val="auto"/>
          <w:sz w:val="24"/>
          <w:highlight w:val="none"/>
        </w:rPr>
      </w:pPr>
    </w:p>
    <w:p w14:paraId="7A282737">
      <w:pPr>
        <w:snapToGrid w:val="0"/>
        <w:spacing w:beforeLines="50" w:after="50" w:line="276" w:lineRule="auto"/>
        <w:rPr>
          <w:rFonts w:ascii="宋体" w:hAnsi="宋体" w:cs="宋体"/>
          <w:color w:val="auto"/>
          <w:sz w:val="24"/>
          <w:highlight w:val="none"/>
        </w:rPr>
      </w:pPr>
    </w:p>
    <w:p w14:paraId="64A2C144">
      <w:pPr>
        <w:snapToGrid w:val="0"/>
        <w:spacing w:beforeLines="50" w:after="50" w:line="276" w:lineRule="auto"/>
        <w:rPr>
          <w:rFonts w:ascii="宋体" w:hAnsi="宋体" w:cs="宋体"/>
          <w:color w:val="auto"/>
          <w:sz w:val="24"/>
          <w:highlight w:val="none"/>
        </w:rPr>
      </w:pPr>
    </w:p>
    <w:p w14:paraId="13B59FA1">
      <w:pPr>
        <w:snapToGrid w:val="0"/>
        <w:spacing w:beforeLines="50" w:after="50" w:line="276" w:lineRule="auto"/>
        <w:rPr>
          <w:rFonts w:ascii="宋体" w:hAnsi="宋体" w:cs="宋体"/>
          <w:color w:val="auto"/>
          <w:sz w:val="24"/>
          <w:highlight w:val="none"/>
        </w:rPr>
      </w:pPr>
    </w:p>
    <w:p w14:paraId="18E556C2">
      <w:pPr>
        <w:snapToGrid w:val="0"/>
        <w:spacing w:beforeLines="50" w:after="50" w:line="276" w:lineRule="auto"/>
        <w:rPr>
          <w:rFonts w:ascii="宋体" w:hAnsi="宋体" w:cs="宋体"/>
          <w:color w:val="auto"/>
          <w:sz w:val="24"/>
          <w:highlight w:val="none"/>
        </w:rPr>
      </w:pPr>
    </w:p>
    <w:p w14:paraId="4595B8B9">
      <w:pPr>
        <w:snapToGrid w:val="0"/>
        <w:spacing w:beforeLines="50" w:after="50" w:line="276" w:lineRule="auto"/>
        <w:rPr>
          <w:rFonts w:ascii="宋体" w:hAnsi="宋体" w:cs="宋体"/>
          <w:color w:val="auto"/>
          <w:sz w:val="24"/>
          <w:highlight w:val="none"/>
        </w:rPr>
      </w:pPr>
    </w:p>
    <w:p w14:paraId="7819EE67">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2119B02B">
      <w:pPr>
        <w:snapToGrid w:val="0"/>
        <w:spacing w:beforeLines="50" w:after="50" w:line="276" w:lineRule="auto"/>
        <w:rPr>
          <w:rFonts w:ascii="宋体" w:hAnsi="宋体" w:cs="宋体"/>
          <w:color w:val="auto"/>
          <w:sz w:val="24"/>
          <w:highlight w:val="none"/>
        </w:rPr>
      </w:pPr>
    </w:p>
    <w:p w14:paraId="33857E40">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                                             投标人公章：</w:t>
      </w:r>
    </w:p>
    <w:p w14:paraId="0BFFB766">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 xml:space="preserve">                                          年    月    日</w:t>
      </w:r>
    </w:p>
    <w:p w14:paraId="46DA139B">
      <w:pPr>
        <w:snapToGrid w:val="0"/>
        <w:spacing w:beforeLines="50" w:after="50" w:line="276" w:lineRule="auto"/>
        <w:jc w:val="left"/>
        <w:rPr>
          <w:rFonts w:ascii="宋体" w:hAnsi="宋体" w:cs="宋体"/>
          <w:color w:val="auto"/>
          <w:sz w:val="24"/>
          <w:highlight w:val="none"/>
        </w:rPr>
      </w:pPr>
      <w:r>
        <w:rPr>
          <w:rFonts w:hint="eastAsia" w:ascii="宋体" w:hAnsi="宋体" w:cs="宋体"/>
          <w:color w:val="auto"/>
          <w:sz w:val="24"/>
          <w:highlight w:val="none"/>
        </w:rPr>
        <w:t>▲注；此表格格式不得修改。</w:t>
      </w:r>
    </w:p>
    <w:p w14:paraId="4D308F66">
      <w:pPr>
        <w:snapToGrid w:val="0"/>
        <w:spacing w:beforeLines="50" w:after="50" w:line="276" w:lineRule="auto"/>
        <w:jc w:val="left"/>
        <w:rPr>
          <w:rFonts w:ascii="宋体" w:hAnsi="宋体" w:cs="宋体"/>
          <w:color w:val="auto"/>
          <w:sz w:val="24"/>
          <w:highlight w:val="none"/>
        </w:rPr>
      </w:pPr>
      <w:r>
        <w:rPr>
          <w:rFonts w:hint="eastAsia" w:ascii="宋体" w:hAnsi="宋体" w:cs="宋体"/>
          <w:color w:val="auto"/>
          <w:sz w:val="24"/>
          <w:highlight w:val="none"/>
        </w:rPr>
        <w:br w:type="page"/>
      </w:r>
    </w:p>
    <w:p w14:paraId="4C9760AC">
      <w:pPr>
        <w:pStyle w:val="6"/>
        <w:keepNext w:val="0"/>
        <w:keepLines w:val="0"/>
        <w:pageBreakBefore/>
        <w:spacing w:line="276" w:lineRule="auto"/>
        <w:rPr>
          <w:rFonts w:ascii="宋体" w:hAnsi="宋体" w:eastAsia="宋体" w:cs="宋体"/>
          <w:b w:val="0"/>
          <w:color w:val="auto"/>
          <w:sz w:val="24"/>
          <w:szCs w:val="24"/>
          <w:highlight w:val="none"/>
        </w:rPr>
      </w:pPr>
      <w:bookmarkStart w:id="82" w:name="_Toc9286"/>
      <w:bookmarkStart w:id="83" w:name="_Toc25167"/>
      <w:r>
        <w:rPr>
          <w:rFonts w:hint="eastAsia" w:ascii="宋体" w:hAnsi="宋体" w:eastAsia="宋体" w:cs="宋体"/>
          <w:b w:val="0"/>
          <w:color w:val="auto"/>
          <w:sz w:val="24"/>
          <w:szCs w:val="24"/>
          <w:highlight w:val="none"/>
        </w:rPr>
        <w:t>附件五：联合体协议</w:t>
      </w:r>
      <w:bookmarkEnd w:id="82"/>
      <w:bookmarkEnd w:id="83"/>
    </w:p>
    <w:p w14:paraId="07D68494">
      <w:pPr>
        <w:jc w:val="center"/>
        <w:rPr>
          <w:b/>
          <w:bCs/>
          <w:color w:val="auto"/>
          <w:sz w:val="32"/>
          <w:szCs w:val="32"/>
          <w:highlight w:val="none"/>
        </w:rPr>
      </w:pPr>
      <w:r>
        <w:rPr>
          <w:rFonts w:hint="eastAsia" w:ascii="宋体" w:hAnsi="宋体" w:cs="宋体"/>
          <w:b/>
          <w:bCs/>
          <w:color w:val="auto"/>
          <w:sz w:val="32"/>
          <w:szCs w:val="32"/>
          <w:highlight w:val="none"/>
        </w:rPr>
        <w:t>联合体协议</w:t>
      </w:r>
    </w:p>
    <w:p w14:paraId="5E84C9BA">
      <w:pPr>
        <w:snapToGrid w:val="0"/>
        <w:spacing w:line="360" w:lineRule="auto"/>
        <w:ind w:firstLine="576"/>
        <w:rPr>
          <w:rFonts w:ascii="仿宋_GB2312" w:hAnsi="仿宋" w:eastAsia="仿宋_GB2312" w:cs="仿宋_GB2312"/>
          <w:b/>
          <w:bCs/>
          <w:color w:val="auto"/>
          <w:kern w:val="0"/>
          <w:sz w:val="24"/>
          <w:highlight w:val="none"/>
          <w:u w:val="single"/>
        </w:rPr>
      </w:pPr>
      <w:r>
        <w:rPr>
          <w:rFonts w:hint="eastAsia" w:ascii="仿宋_GB2312" w:hAnsi="仿宋" w:eastAsia="仿宋_GB2312" w:cs="仿宋_GB2312"/>
          <w:b/>
          <w:bCs/>
          <w:color w:val="auto"/>
          <w:kern w:val="0"/>
          <w:sz w:val="24"/>
          <w:highlight w:val="none"/>
          <w:u w:val="single"/>
        </w:rPr>
        <w:t>（以联合体形式投标的，提供联合协议；本项目不接受联合体投标或者投标人不以联合体形式投标的，则不需要提供）</w:t>
      </w:r>
    </w:p>
    <w:p w14:paraId="1E55FEFE">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（联合体所有成员名称）</w:t>
      </w:r>
      <w:r>
        <w:rPr>
          <w:rFonts w:hint="eastAsia" w:asciiTheme="minorEastAsia" w:hAnsiTheme="minorEastAsia" w:eastAsiaTheme="minorEastAsia" w:cstheme="minorEastAsia"/>
          <w:color w:val="auto"/>
          <w:kern w:val="0"/>
          <w:sz w:val="24"/>
          <w:highlight w:val="none"/>
        </w:rPr>
        <w:t>自愿</w:t>
      </w:r>
      <w:r>
        <w:rPr>
          <w:rFonts w:hint="eastAsia" w:asciiTheme="minorEastAsia" w:hAnsiTheme="minorEastAsia" w:eastAsiaTheme="minorEastAsia" w:cstheme="minorEastAsia"/>
          <w:color w:val="auto"/>
          <w:kern w:val="0"/>
          <w:sz w:val="24"/>
          <w:highlight w:val="none"/>
          <w:lang w:val="zh-CN"/>
        </w:rPr>
        <w:t>组成一个联合体，以一个投标人的身份</w:t>
      </w:r>
      <w:r>
        <w:rPr>
          <w:rFonts w:hint="eastAsia" w:asciiTheme="minorEastAsia" w:hAnsiTheme="minorEastAsia" w:eastAsiaTheme="minorEastAsia" w:cstheme="minorEastAsia"/>
          <w:color w:val="auto"/>
          <w:kern w:val="0"/>
          <w:sz w:val="24"/>
          <w:highlight w:val="none"/>
        </w:rPr>
        <w:t>参加</w:t>
      </w:r>
      <w:r>
        <w:rPr>
          <w:rFonts w:hint="eastAsia" w:asciiTheme="minorEastAsia" w:hAnsiTheme="minorEastAsia" w:eastAsiaTheme="minorEastAsia" w:cstheme="minorEastAsia"/>
          <w:color w:val="auto"/>
          <w:sz w:val="24"/>
          <w:highlight w:val="none"/>
        </w:rPr>
        <w:t>（项目名称）【招标编号：（采购编号）】</w:t>
      </w:r>
      <w:r>
        <w:rPr>
          <w:rFonts w:hint="eastAsia" w:asciiTheme="minorEastAsia" w:hAnsiTheme="minorEastAsia" w:eastAsiaTheme="minorEastAsia" w:cstheme="minorEastAsia"/>
          <w:color w:val="auto"/>
          <w:kern w:val="0"/>
          <w:sz w:val="24"/>
          <w:highlight w:val="none"/>
          <w:lang w:val="zh-CN"/>
        </w:rPr>
        <w:t xml:space="preserve">投标。 </w:t>
      </w:r>
    </w:p>
    <w:p w14:paraId="5C781FF0">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一、各方一致决定，</w:t>
      </w:r>
      <w:r>
        <w:rPr>
          <w:rFonts w:hint="eastAsia" w:asciiTheme="minorEastAsia" w:hAnsiTheme="minorEastAsia" w:eastAsiaTheme="minorEastAsia" w:cstheme="minorEastAsia"/>
          <w:color w:val="auto"/>
          <w:kern w:val="0"/>
          <w:sz w:val="24"/>
          <w:highlight w:val="none"/>
          <w:u w:val="single"/>
        </w:rPr>
        <w:t>（某联合体成员名称）</w:t>
      </w:r>
      <w:r>
        <w:rPr>
          <w:rFonts w:hint="eastAsia" w:asciiTheme="minorEastAsia" w:hAnsiTheme="minorEastAsia" w:eastAsiaTheme="minorEastAsia" w:cstheme="minorEastAsia"/>
          <w:color w:val="auto"/>
          <w:kern w:val="0"/>
          <w:sz w:val="24"/>
          <w:highlight w:val="none"/>
        </w:rPr>
        <w:t>为联合体</w:t>
      </w:r>
      <w:r>
        <w:rPr>
          <w:rFonts w:hint="eastAsia" w:asciiTheme="minorEastAsia" w:hAnsiTheme="minorEastAsia" w:eastAsiaTheme="minorEastAsia" w:cstheme="minorEastAsia"/>
          <w:color w:val="auto"/>
          <w:kern w:val="0"/>
          <w:sz w:val="24"/>
          <w:highlight w:val="none"/>
          <w:lang w:val="zh-CN"/>
        </w:rPr>
        <w:t>牵头人</w:t>
      </w:r>
      <w:r>
        <w:rPr>
          <w:rFonts w:hint="eastAsia" w:asciiTheme="minorEastAsia" w:hAnsiTheme="minorEastAsia" w:eastAsiaTheme="minorEastAsia" w:cstheme="minorEastAsia"/>
          <w:color w:val="auto"/>
          <w:sz w:val="24"/>
          <w:highlight w:val="none"/>
        </w:rPr>
        <w:t>，代表所有联合体成员负责投标和合同实施阶段的主办、协调工作</w:t>
      </w:r>
      <w:r>
        <w:rPr>
          <w:rFonts w:hint="eastAsia" w:asciiTheme="minorEastAsia" w:hAnsiTheme="minorEastAsia" w:eastAsiaTheme="minorEastAsia" w:cstheme="minorEastAsia"/>
          <w:color w:val="auto"/>
          <w:kern w:val="0"/>
          <w:sz w:val="24"/>
          <w:highlight w:val="none"/>
          <w:lang w:val="zh-CN"/>
        </w:rPr>
        <w:t>。</w:t>
      </w:r>
    </w:p>
    <w:p w14:paraId="294525E8">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二、</w:t>
      </w:r>
      <w:r>
        <w:rPr>
          <w:rFonts w:hint="eastAsia" w:asciiTheme="minorEastAsia" w:hAnsiTheme="minorEastAsia" w:eastAsiaTheme="minorEastAsia" w:cstheme="minorEastAsia"/>
          <w:color w:val="auto"/>
          <w:sz w:val="24"/>
          <w:highlight w:val="none"/>
        </w:rPr>
        <w:t>所有联合体成员各方签署授权书，授权书载明的</w:t>
      </w:r>
      <w:r>
        <w:rPr>
          <w:rFonts w:hint="eastAsia" w:asciiTheme="minorEastAsia" w:hAnsiTheme="minorEastAsia" w:eastAsiaTheme="minorEastAsia" w:cstheme="minorEastAsia"/>
          <w:color w:val="auto"/>
          <w:kern w:val="0"/>
          <w:sz w:val="24"/>
          <w:highlight w:val="none"/>
          <w:lang w:val="zh-CN"/>
        </w:rPr>
        <w:t>授权代表根据招标文件规定及投标内容而对采购人、采购机构所作的任何合法承诺，包括书面澄清及相应等均对联合投标各方产生约束力。</w:t>
      </w:r>
    </w:p>
    <w:p w14:paraId="614FC437">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三、本次联合投标中，分工如下：</w:t>
      </w:r>
      <w:r>
        <w:rPr>
          <w:rFonts w:hint="eastAsia" w:asciiTheme="minorEastAsia" w:hAnsiTheme="minorEastAsia" w:eastAsiaTheme="minorEastAsia" w:cstheme="minorEastAsia"/>
          <w:color w:val="auto"/>
          <w:kern w:val="0"/>
          <w:sz w:val="24"/>
          <w:highlight w:val="none"/>
          <w:u w:val="single"/>
        </w:rPr>
        <w:t>（联合体其中一方成员名称）</w:t>
      </w:r>
      <w:r>
        <w:rPr>
          <w:rFonts w:hint="eastAsia" w:asciiTheme="minorEastAsia" w:hAnsiTheme="minorEastAsia" w:eastAsiaTheme="minorEastAsia" w:cstheme="minorEastAsia"/>
          <w:color w:val="auto"/>
          <w:kern w:val="0"/>
          <w:sz w:val="24"/>
          <w:highlight w:val="none"/>
          <w:lang w:val="zh-CN"/>
        </w:rPr>
        <w:t>承担的工作和义务为：</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kern w:val="0"/>
          <w:sz w:val="24"/>
          <w:highlight w:val="none"/>
          <w:lang w:val="zh-CN"/>
        </w:rPr>
        <w:t>；……。</w:t>
      </w:r>
    </w:p>
    <w:p w14:paraId="749E7FD2">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w:t>
      </w:r>
      <w:r>
        <w:rPr>
          <w:rFonts w:hint="eastAsia" w:asciiTheme="minorEastAsia" w:hAnsiTheme="minorEastAsia" w:eastAsiaTheme="minorEastAsia" w:cstheme="minorEastAsia"/>
          <w:color w:val="auto"/>
          <w:kern w:val="0"/>
          <w:sz w:val="24"/>
          <w:highlight w:val="none"/>
          <w:u w:val="single"/>
        </w:rPr>
        <w:t>（联合体其中一方成员名称）</w:t>
      </w:r>
      <w:r>
        <w:rPr>
          <w:rFonts w:hint="eastAsia" w:asciiTheme="minorEastAsia" w:hAnsiTheme="minorEastAsia" w:eastAsiaTheme="minorEastAsia" w:cstheme="minorEastAsia"/>
          <w:color w:val="auto"/>
          <w:kern w:val="0"/>
          <w:sz w:val="24"/>
          <w:highlight w:val="none"/>
        </w:rPr>
        <w:t>提供的全部货物/服务由小微企业制造/服务，其合同份额占到合同总金额</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%以上；</w:t>
      </w:r>
      <w:r>
        <w:rPr>
          <w:rFonts w:hint="eastAsia" w:asciiTheme="minorEastAsia" w:hAnsiTheme="minorEastAsia" w:eastAsiaTheme="minorEastAsia" w:cstheme="minorEastAsia"/>
          <w:color w:val="auto"/>
          <w:kern w:val="0"/>
          <w:sz w:val="24"/>
          <w:highlight w:val="none"/>
          <w:lang w:val="zh-CN"/>
        </w:rPr>
        <w:t>……。</w:t>
      </w:r>
    </w:p>
    <w:p w14:paraId="7A932728">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五、如果中标，</w:t>
      </w:r>
      <w:r>
        <w:rPr>
          <w:rFonts w:hint="eastAsia" w:asciiTheme="minorEastAsia" w:hAnsiTheme="minorEastAsia" w:eastAsiaTheme="minorEastAsia" w:cstheme="minorEastAsia"/>
          <w:color w:val="auto"/>
          <w:sz w:val="24"/>
          <w:highlight w:val="none"/>
        </w:rPr>
        <w:t>联合体各成员方共同与采购人签订合同，并就采购合同约定的事项对采购人承担连带责任。</w:t>
      </w:r>
    </w:p>
    <w:p w14:paraId="41902EAE">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六、有关本次联合投标的其他事宜：</w:t>
      </w:r>
    </w:p>
    <w:p w14:paraId="5A63469F">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1、联合体各方不再单独参加或者与其他供应商另外组成联合体参加同一合同项下的政府采购活动。</w:t>
      </w:r>
    </w:p>
    <w:p w14:paraId="32BF5988">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2、联合体中有同类资质的各方按照联合体分工承担相同工作的，按照资质等级较低的供应商确定资质等级。</w:t>
      </w:r>
    </w:p>
    <w:p w14:paraId="346BF41D">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3、本协议提交采购人、采购机构后，联合体各方不得以任何形式对上述内容进行修改或撤销。</w:t>
      </w:r>
    </w:p>
    <w:p w14:paraId="03C8DDB8">
      <w:pPr>
        <w:snapToGrid w:val="0"/>
        <w:spacing w:line="360" w:lineRule="auto"/>
        <w:ind w:firstLine="5040" w:firstLineChars="21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 w:val="24"/>
          <w:highlight w:val="none"/>
          <w:lang w:val="zh-CN"/>
        </w:rPr>
        <w:t>联合体成员名称(公章)：</w:t>
      </w:r>
    </w:p>
    <w:p w14:paraId="59794288">
      <w:pPr>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日期：  年  月   日</w:t>
      </w:r>
    </w:p>
    <w:p w14:paraId="2DF836C5">
      <w:pPr>
        <w:snapToGrid w:val="0"/>
        <w:spacing w:line="360" w:lineRule="auto"/>
        <w:ind w:right="480"/>
        <w:rPr>
          <w:rFonts w:asciiTheme="minorEastAsia" w:hAnsiTheme="minorEastAsia" w:eastAsiaTheme="minorEastAsia" w:cstheme="minorEastAsia"/>
          <w:b/>
          <w:color w:val="auto"/>
          <w:kern w:val="0"/>
          <w:sz w:val="32"/>
          <w:szCs w:val="32"/>
          <w:highlight w:val="none"/>
          <w:lang w:val="zh-CN"/>
        </w:rPr>
        <w:sectPr>
          <w:headerReference r:id="rId6" w:type="first"/>
          <w:footerReference r:id="rId8" w:type="first"/>
          <w:headerReference r:id="rId5" w:type="default"/>
          <w:footerReference r:id="rId7" w:type="default"/>
          <w:pgSz w:w="11906" w:h="16838"/>
          <w:pgMar w:top="1276" w:right="1418" w:bottom="1247" w:left="1418" w:header="851" w:footer="992" w:gutter="0"/>
          <w:pgNumType w:fmt="decimal"/>
          <w:cols w:space="720" w:num="1"/>
          <w:docGrid w:linePitch="312" w:charSpace="0"/>
        </w:sectPr>
      </w:pPr>
    </w:p>
    <w:p w14:paraId="60D43BA1">
      <w:pPr>
        <w:pStyle w:val="6"/>
        <w:keepNext w:val="0"/>
        <w:keepLines w:val="0"/>
        <w:pageBreakBefore/>
        <w:spacing w:line="276" w:lineRule="auto"/>
        <w:rPr>
          <w:rFonts w:ascii="宋体" w:hAnsi="宋体" w:eastAsia="宋体" w:cs="宋体"/>
          <w:b w:val="0"/>
          <w:color w:val="auto"/>
          <w:sz w:val="24"/>
          <w:szCs w:val="24"/>
          <w:highlight w:val="none"/>
        </w:rPr>
      </w:pPr>
      <w:bookmarkStart w:id="84" w:name="_Toc501"/>
      <w:bookmarkStart w:id="85" w:name="_Toc2319"/>
      <w:r>
        <w:rPr>
          <w:rFonts w:hint="eastAsia" w:ascii="宋体" w:hAnsi="宋体" w:eastAsia="宋体" w:cs="宋体"/>
          <w:b w:val="0"/>
          <w:color w:val="auto"/>
          <w:sz w:val="24"/>
          <w:szCs w:val="24"/>
          <w:highlight w:val="none"/>
        </w:rPr>
        <w:t>附件六：分包意向协议</w:t>
      </w:r>
      <w:bookmarkEnd w:id="84"/>
      <w:bookmarkEnd w:id="85"/>
    </w:p>
    <w:p w14:paraId="25D9BA74">
      <w:pPr>
        <w:snapToGrid w:val="0"/>
        <w:spacing w:line="360" w:lineRule="auto"/>
        <w:ind w:firstLine="3534" w:firstLineChars="1100"/>
        <w:rPr>
          <w:rFonts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分包意向协议</w:t>
      </w:r>
    </w:p>
    <w:p w14:paraId="3D1A2892">
      <w:pPr>
        <w:widowControl/>
        <w:spacing w:line="360" w:lineRule="auto"/>
        <w:ind w:firstLine="120" w:firstLineChars="5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b/>
          <w:color w:val="auto"/>
          <w:sz w:val="24"/>
          <w:highlight w:val="none"/>
        </w:rPr>
        <w:t>中标后以分包方式履行合同的，提供分包意向协议；采购人不同意分包或者投标人中标后不以分包方式履行合同的，则不需要提供。</w:t>
      </w:r>
      <w:r>
        <w:rPr>
          <w:rFonts w:hint="eastAsia" w:asciiTheme="minorEastAsia" w:hAnsiTheme="minorEastAsia" w:eastAsiaTheme="minorEastAsia" w:cstheme="minorEastAsia"/>
          <w:color w:val="auto"/>
          <w:sz w:val="24"/>
          <w:highlight w:val="none"/>
        </w:rPr>
        <w:t>）</w:t>
      </w:r>
    </w:p>
    <w:p w14:paraId="11E4B098">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（投标人名称）</w:t>
      </w:r>
      <w:r>
        <w:rPr>
          <w:rFonts w:hint="eastAsia" w:asciiTheme="minorEastAsia" w:hAnsiTheme="minorEastAsia" w:eastAsiaTheme="minorEastAsia" w:cstheme="minorEastAsia"/>
          <w:color w:val="auto"/>
          <w:kern w:val="0"/>
          <w:sz w:val="24"/>
          <w:highlight w:val="none"/>
          <w:lang w:val="zh-CN"/>
        </w:rPr>
        <w:t>若成为</w:t>
      </w:r>
      <w:r>
        <w:rPr>
          <w:rFonts w:hint="eastAsia" w:asciiTheme="minorEastAsia" w:hAnsiTheme="minorEastAsia" w:eastAsiaTheme="minorEastAsia" w:cstheme="minorEastAsia"/>
          <w:color w:val="auto"/>
          <w:sz w:val="24"/>
          <w:highlight w:val="none"/>
        </w:rPr>
        <w:t>（项目名称）【招标编号：（采购编号）】</w:t>
      </w:r>
      <w:r>
        <w:rPr>
          <w:rFonts w:hint="eastAsia" w:asciiTheme="minorEastAsia" w:hAnsiTheme="minorEastAsia" w:eastAsiaTheme="minorEastAsia" w:cstheme="minorEastAsia"/>
          <w:color w:val="auto"/>
          <w:kern w:val="0"/>
          <w:sz w:val="24"/>
          <w:highlight w:val="none"/>
          <w:lang w:val="zh-CN"/>
        </w:rPr>
        <w:t>的中标供应商，将依法采取分包方式履行合同。</w:t>
      </w:r>
      <w:r>
        <w:rPr>
          <w:rFonts w:hint="eastAsia" w:asciiTheme="minorEastAsia" w:hAnsiTheme="minorEastAsia" w:eastAsiaTheme="minorEastAsia" w:cstheme="minorEastAsia"/>
          <w:color w:val="auto"/>
          <w:kern w:val="0"/>
          <w:sz w:val="24"/>
          <w:highlight w:val="none"/>
          <w:u w:val="single"/>
        </w:rPr>
        <w:t>（投标人名称）</w:t>
      </w:r>
      <w:r>
        <w:rPr>
          <w:rFonts w:hint="eastAsia" w:asciiTheme="minorEastAsia" w:hAnsiTheme="minorEastAsia" w:eastAsiaTheme="minorEastAsia" w:cstheme="minorEastAsia"/>
          <w:color w:val="auto"/>
          <w:kern w:val="0"/>
          <w:sz w:val="24"/>
          <w:highlight w:val="none"/>
        </w:rPr>
        <w:t>与</w:t>
      </w:r>
      <w:r>
        <w:rPr>
          <w:rFonts w:hint="eastAsia" w:asciiTheme="minorEastAsia" w:hAnsiTheme="minorEastAsia" w:eastAsiaTheme="minorEastAsia" w:cstheme="minorEastAsia"/>
          <w:color w:val="auto"/>
          <w:kern w:val="0"/>
          <w:sz w:val="24"/>
          <w:highlight w:val="none"/>
          <w:u w:val="single"/>
        </w:rPr>
        <w:t>（所有分包供应商名称）</w:t>
      </w:r>
      <w:r>
        <w:rPr>
          <w:rFonts w:hint="eastAsia" w:asciiTheme="minorEastAsia" w:hAnsiTheme="minorEastAsia" w:eastAsiaTheme="minorEastAsia" w:cstheme="minorEastAsia"/>
          <w:color w:val="auto"/>
          <w:kern w:val="0"/>
          <w:sz w:val="24"/>
          <w:highlight w:val="none"/>
        </w:rPr>
        <w:t>达成分包意向协议</w:t>
      </w:r>
      <w:r>
        <w:rPr>
          <w:rFonts w:hint="eastAsia" w:asciiTheme="minorEastAsia" w:hAnsiTheme="minorEastAsia" w:eastAsiaTheme="minorEastAsia" w:cstheme="minorEastAsia"/>
          <w:color w:val="auto"/>
          <w:kern w:val="0"/>
          <w:sz w:val="24"/>
          <w:highlight w:val="none"/>
          <w:lang w:val="zh-CN"/>
        </w:rPr>
        <w:t xml:space="preserve">。 </w:t>
      </w:r>
    </w:p>
    <w:p w14:paraId="5F95C06D">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一、分包标的及数量</w:t>
      </w:r>
    </w:p>
    <w:p w14:paraId="49C2737B">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（投标人名称）</w:t>
      </w:r>
      <w:r>
        <w:rPr>
          <w:rFonts w:hint="eastAsia" w:asciiTheme="minorEastAsia" w:hAnsiTheme="minorEastAsia" w:eastAsiaTheme="minorEastAsia" w:cstheme="minorEastAsia"/>
          <w:color w:val="auto"/>
          <w:kern w:val="0"/>
          <w:sz w:val="24"/>
          <w:highlight w:val="none"/>
          <w:lang w:val="zh-CN"/>
        </w:rPr>
        <w:t>将</w:t>
      </w:r>
      <w:r>
        <w:rPr>
          <w:rFonts w:hint="eastAsia" w:asciiTheme="minorEastAsia" w:hAnsiTheme="minorEastAsia" w:eastAsiaTheme="minorEastAsia" w:cstheme="minorEastAsia"/>
          <w:color w:val="auto"/>
          <w:sz w:val="24"/>
          <w:highlight w:val="none"/>
          <w:u w:val="single"/>
        </w:rPr>
        <w:t xml:space="preserve">   XX工作内容   </w:t>
      </w:r>
      <w:r>
        <w:rPr>
          <w:rFonts w:hint="eastAsia" w:asciiTheme="minorEastAsia" w:hAnsiTheme="minorEastAsia" w:eastAsiaTheme="minorEastAsia" w:cstheme="minorEastAsia"/>
          <w:color w:val="auto"/>
          <w:sz w:val="24"/>
          <w:highlight w:val="none"/>
        </w:rPr>
        <w:t>分包给</w:t>
      </w:r>
      <w:r>
        <w:rPr>
          <w:rFonts w:hint="eastAsia" w:asciiTheme="minorEastAsia" w:hAnsiTheme="minorEastAsia" w:eastAsiaTheme="minorEastAsia" w:cstheme="minorEastAsia"/>
          <w:color w:val="auto"/>
          <w:kern w:val="0"/>
          <w:sz w:val="24"/>
          <w:highlight w:val="none"/>
          <w:u w:val="single"/>
        </w:rPr>
        <w:t>（某分包供应商名称）</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color w:val="auto"/>
          <w:kern w:val="0"/>
          <w:sz w:val="24"/>
          <w:highlight w:val="none"/>
          <w:u w:val="single"/>
        </w:rPr>
        <w:t>（某分包供应商名称），</w:t>
      </w:r>
      <w:r>
        <w:rPr>
          <w:rFonts w:hint="eastAsia" w:asciiTheme="minorEastAsia" w:hAnsiTheme="minorEastAsia" w:eastAsiaTheme="minorEastAsia" w:cstheme="minorEastAsia"/>
          <w:color w:val="auto"/>
          <w:kern w:val="0"/>
          <w:sz w:val="24"/>
          <w:highlight w:val="none"/>
          <w:lang w:val="zh-CN"/>
        </w:rPr>
        <w:t>具备承</w:t>
      </w:r>
      <w:r>
        <w:rPr>
          <w:rFonts w:hint="eastAsia" w:asciiTheme="minorEastAsia" w:hAnsiTheme="minorEastAsia" w:eastAsiaTheme="minorEastAsia" w:cstheme="minorEastAsia"/>
          <w:color w:val="auto"/>
          <w:kern w:val="0"/>
          <w:sz w:val="24"/>
          <w:highlight w:val="none"/>
        </w:rPr>
        <w:t>担</w:t>
      </w:r>
      <w:r>
        <w:rPr>
          <w:rFonts w:hint="eastAsia" w:asciiTheme="minorEastAsia" w:hAnsiTheme="minorEastAsia" w:eastAsiaTheme="minorEastAsia" w:cstheme="minorEastAsia"/>
          <w:color w:val="auto"/>
          <w:kern w:val="0"/>
          <w:sz w:val="24"/>
          <w:highlight w:val="none"/>
          <w:u w:val="single"/>
          <w:lang w:val="zh-CN"/>
        </w:rPr>
        <w:t>XX工作内容</w:t>
      </w:r>
      <w:r>
        <w:rPr>
          <w:rFonts w:hint="eastAsia" w:asciiTheme="minorEastAsia" w:hAnsiTheme="minorEastAsia" w:eastAsiaTheme="minorEastAsia" w:cstheme="minorEastAsia"/>
          <w:color w:val="auto"/>
          <w:kern w:val="0"/>
          <w:sz w:val="24"/>
          <w:highlight w:val="none"/>
          <w:lang w:val="zh-CN"/>
        </w:rPr>
        <w:t>相应资质条件且不得再次分包；</w:t>
      </w:r>
    </w:p>
    <w:p w14:paraId="4E076EAC">
      <w:pPr>
        <w:snapToGrid w:val="0"/>
        <w:spacing w:line="360" w:lineRule="auto"/>
        <w:ind w:firstLine="576"/>
        <w:rPr>
          <w:rFonts w:asciiTheme="minorEastAsia" w:hAnsiTheme="minorEastAsia" w:eastAsiaTheme="minorEastAsia" w:cstheme="minorEastAsia"/>
          <w:color w:val="auto"/>
          <w:kern w:val="0"/>
          <w:sz w:val="24"/>
          <w:highlight w:val="none"/>
          <w:u w:val="single"/>
        </w:rPr>
      </w:pPr>
      <w:r>
        <w:rPr>
          <w:rFonts w:hint="eastAsia" w:asciiTheme="minorEastAsia" w:hAnsiTheme="minorEastAsia" w:eastAsiaTheme="minorEastAsia" w:cstheme="minorEastAsia"/>
          <w:color w:val="auto"/>
          <w:kern w:val="0"/>
          <w:sz w:val="24"/>
          <w:highlight w:val="none"/>
          <w:u w:val="single"/>
        </w:rPr>
        <w:t>……</w:t>
      </w:r>
    </w:p>
    <w:p w14:paraId="25D8255D">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二、分包工作履行期限、地点、方式</w:t>
      </w:r>
    </w:p>
    <w:p w14:paraId="30C923F4">
      <w:pPr>
        <w:snapToGrid w:val="0"/>
        <w:spacing w:line="360" w:lineRule="auto"/>
        <w:ind w:firstLine="576"/>
        <w:rPr>
          <w:rFonts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 xml:space="preserve">                                                                                  </w:t>
      </w:r>
    </w:p>
    <w:p w14:paraId="213012EF">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三、质量</w:t>
      </w:r>
    </w:p>
    <w:p w14:paraId="0167479F">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u w:val="single"/>
        </w:rPr>
        <w:t xml:space="preserve">                                                                                       </w:t>
      </w:r>
    </w:p>
    <w:p w14:paraId="5A13C9F3">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四、价款或者报酬</w:t>
      </w:r>
    </w:p>
    <w:p w14:paraId="4A2FB411">
      <w:pPr>
        <w:snapToGrid w:val="0"/>
        <w:spacing w:line="360" w:lineRule="auto"/>
        <w:ind w:left="573" w:leftChars="273"/>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u w:val="single"/>
        </w:rPr>
        <w:t xml:space="preserve">                                                                                     </w:t>
      </w:r>
    </w:p>
    <w:p w14:paraId="0DCA808A">
      <w:pPr>
        <w:snapToGrid w:val="0"/>
        <w:spacing w:line="360" w:lineRule="auto"/>
        <w:ind w:left="573" w:leftChars="273"/>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五、违约责任</w:t>
      </w:r>
    </w:p>
    <w:p w14:paraId="0B324132">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u w:val="single"/>
        </w:rPr>
        <w:t xml:space="preserve">                                                                                     </w:t>
      </w:r>
    </w:p>
    <w:p w14:paraId="19BB8DB1">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六、争议解决的办法</w:t>
      </w:r>
    </w:p>
    <w:p w14:paraId="728E73FF">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u w:val="single"/>
        </w:rPr>
        <w:t xml:space="preserve">                                                                                  </w:t>
      </w:r>
    </w:p>
    <w:p w14:paraId="4281A7C3">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七、其他</w:t>
      </w:r>
    </w:p>
    <w:p w14:paraId="3F89F5AC">
      <w:pPr>
        <w:snapToGrid w:val="0"/>
        <w:spacing w:line="360" w:lineRule="auto"/>
        <w:ind w:firstLine="576"/>
        <w:rPr>
          <w:rFonts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（分包供应商名称）提供的货物/服务全部由小微企业制造/服务，</w:t>
      </w:r>
      <w:r>
        <w:rPr>
          <w:rFonts w:hint="eastAsia" w:asciiTheme="minorEastAsia" w:hAnsiTheme="minorEastAsia" w:eastAsiaTheme="minorEastAsia" w:cstheme="minorEastAsia"/>
          <w:color w:val="auto"/>
          <w:kern w:val="0"/>
          <w:sz w:val="24"/>
          <w:highlight w:val="none"/>
        </w:rPr>
        <w:t>其合同份额占到合同总金额</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%以上</w:t>
      </w:r>
      <w:r>
        <w:rPr>
          <w:rFonts w:hint="eastAsia" w:asciiTheme="minorEastAsia" w:hAnsiTheme="minorEastAsia" w:eastAsiaTheme="minorEastAsia" w:cstheme="minorEastAsia"/>
          <w:color w:val="auto"/>
          <w:sz w:val="24"/>
          <w:highlight w:val="none"/>
        </w:rPr>
        <w:t>。</w:t>
      </w:r>
    </w:p>
    <w:p w14:paraId="5B3BA164">
      <w:pPr>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投标人名称(盖章)：</w:t>
      </w:r>
    </w:p>
    <w:p w14:paraId="7B81DA22">
      <w:pPr>
        <w:snapToGrid w:val="0"/>
        <w:spacing w:line="360" w:lineRule="auto"/>
        <w:ind w:firstLine="5640" w:firstLineChars="2350"/>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分包供应商名称：</w:t>
      </w:r>
    </w:p>
    <w:p w14:paraId="44AD02B9">
      <w:pPr>
        <w:snapToGrid w:val="0"/>
        <w:spacing w:line="360" w:lineRule="auto"/>
        <w:ind w:firstLine="5760" w:firstLineChars="2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w:t>
      </w:r>
    </w:p>
    <w:p w14:paraId="273AB503">
      <w:pPr>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日期：  年  月   日</w:t>
      </w:r>
    </w:p>
    <w:p w14:paraId="5B1E79FB">
      <w:pPr>
        <w:snapToGrid w:val="0"/>
        <w:spacing w:beforeLines="50" w:after="50" w:line="276" w:lineRule="auto"/>
        <w:jc w:val="left"/>
        <w:rPr>
          <w:rFonts w:ascii="宋体" w:hAnsi="宋体" w:cs="宋体"/>
          <w:color w:val="auto"/>
          <w:sz w:val="24"/>
          <w:highlight w:val="none"/>
        </w:rPr>
      </w:pPr>
      <w:r>
        <w:rPr>
          <w:rFonts w:hint="eastAsia" w:ascii="宋体" w:hAnsi="宋体" w:cs="宋体"/>
          <w:color w:val="auto"/>
          <w:sz w:val="24"/>
          <w:highlight w:val="none"/>
        </w:rPr>
        <w:br w:type="page"/>
      </w:r>
    </w:p>
    <w:p w14:paraId="3FBF713C">
      <w:pPr>
        <w:pStyle w:val="6"/>
        <w:pageBreakBefore/>
        <w:rPr>
          <w:rFonts w:ascii="宋体" w:hAnsi="宋体" w:eastAsia="宋体" w:cs="宋体"/>
          <w:b w:val="0"/>
          <w:color w:val="auto"/>
          <w:sz w:val="24"/>
          <w:szCs w:val="24"/>
          <w:highlight w:val="none"/>
        </w:rPr>
      </w:pPr>
      <w:bookmarkStart w:id="86" w:name="_Toc13054"/>
      <w:r>
        <w:rPr>
          <w:rFonts w:hint="eastAsia" w:ascii="宋体" w:hAnsi="宋体" w:eastAsia="宋体" w:cs="宋体"/>
          <w:b w:val="0"/>
          <w:color w:val="auto"/>
          <w:sz w:val="24"/>
          <w:szCs w:val="24"/>
          <w:highlight w:val="none"/>
        </w:rPr>
        <w:t>附件七：投标人资信商务、技术自评得分表</w:t>
      </w:r>
      <w:bookmarkEnd w:id="86"/>
    </w:p>
    <w:p w14:paraId="25753355">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投标人资信商务、技术自评得分表</w:t>
      </w:r>
    </w:p>
    <w:tbl>
      <w:tblPr>
        <w:tblStyle w:val="24"/>
        <w:tblW w:w="9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3550"/>
        <w:gridCol w:w="3200"/>
        <w:gridCol w:w="916"/>
        <w:gridCol w:w="1219"/>
      </w:tblGrid>
      <w:tr w14:paraId="5A20D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trPr>
        <w:tc>
          <w:tcPr>
            <w:tcW w:w="834" w:type="dxa"/>
            <w:vAlign w:val="center"/>
          </w:tcPr>
          <w:p w14:paraId="766712C7">
            <w:pPr>
              <w:jc w:val="center"/>
              <w:rPr>
                <w:rFonts w:ascii="宋体" w:hAnsi="宋体" w:cs="宋体"/>
                <w:color w:val="auto"/>
                <w:sz w:val="24"/>
                <w:highlight w:val="none"/>
              </w:rPr>
            </w:pPr>
            <w:r>
              <w:rPr>
                <w:rFonts w:hint="eastAsia" w:ascii="宋体" w:hAnsi="宋体" w:cs="宋体"/>
                <w:color w:val="auto"/>
                <w:sz w:val="24"/>
                <w:highlight w:val="none"/>
              </w:rPr>
              <w:t>序号</w:t>
            </w:r>
          </w:p>
        </w:tc>
        <w:tc>
          <w:tcPr>
            <w:tcW w:w="3550" w:type="dxa"/>
            <w:vAlign w:val="center"/>
          </w:tcPr>
          <w:p w14:paraId="6540E7CD">
            <w:pPr>
              <w:jc w:val="center"/>
              <w:rPr>
                <w:rFonts w:ascii="宋体" w:hAnsi="宋体" w:cs="宋体"/>
                <w:color w:val="auto"/>
                <w:sz w:val="24"/>
                <w:highlight w:val="none"/>
              </w:rPr>
            </w:pPr>
            <w:r>
              <w:rPr>
                <w:rFonts w:hint="eastAsia" w:ascii="宋体" w:hAnsi="宋体" w:cs="宋体"/>
                <w:color w:val="auto"/>
                <w:sz w:val="24"/>
                <w:highlight w:val="none"/>
              </w:rPr>
              <w:t>评分标准</w:t>
            </w:r>
          </w:p>
        </w:tc>
        <w:tc>
          <w:tcPr>
            <w:tcW w:w="3200" w:type="dxa"/>
            <w:vAlign w:val="center"/>
          </w:tcPr>
          <w:p w14:paraId="5DB18AFA">
            <w:pPr>
              <w:jc w:val="center"/>
              <w:rPr>
                <w:rFonts w:ascii="宋体" w:hAnsi="宋体" w:cs="宋体"/>
                <w:color w:val="auto"/>
                <w:sz w:val="24"/>
                <w:highlight w:val="none"/>
              </w:rPr>
            </w:pPr>
            <w:r>
              <w:rPr>
                <w:rFonts w:hint="eastAsia" w:ascii="宋体" w:hAnsi="宋体" w:cs="宋体"/>
                <w:color w:val="auto"/>
                <w:sz w:val="24"/>
                <w:highlight w:val="none"/>
              </w:rPr>
              <w:t>得分内容</w:t>
            </w:r>
          </w:p>
        </w:tc>
        <w:tc>
          <w:tcPr>
            <w:tcW w:w="916" w:type="dxa"/>
            <w:vAlign w:val="center"/>
          </w:tcPr>
          <w:p w14:paraId="5385E305">
            <w:pPr>
              <w:jc w:val="center"/>
              <w:rPr>
                <w:rFonts w:ascii="宋体" w:hAnsi="宋体" w:cs="宋体"/>
                <w:color w:val="auto"/>
                <w:sz w:val="24"/>
                <w:highlight w:val="none"/>
              </w:rPr>
            </w:pPr>
            <w:r>
              <w:rPr>
                <w:rFonts w:hint="eastAsia" w:ascii="宋体" w:hAnsi="宋体" w:cs="宋体"/>
                <w:color w:val="auto"/>
                <w:sz w:val="24"/>
                <w:highlight w:val="none"/>
              </w:rPr>
              <w:t>自评</w:t>
            </w:r>
          </w:p>
          <w:p w14:paraId="4D8BDAFA">
            <w:pPr>
              <w:jc w:val="center"/>
              <w:rPr>
                <w:rFonts w:ascii="宋体" w:hAnsi="宋体" w:cs="宋体"/>
                <w:color w:val="auto"/>
                <w:sz w:val="24"/>
                <w:highlight w:val="none"/>
              </w:rPr>
            </w:pPr>
            <w:r>
              <w:rPr>
                <w:rFonts w:hint="eastAsia" w:ascii="宋体" w:hAnsi="宋体" w:cs="宋体"/>
                <w:color w:val="auto"/>
                <w:sz w:val="24"/>
                <w:highlight w:val="none"/>
              </w:rPr>
              <w:t>得分</w:t>
            </w:r>
          </w:p>
        </w:tc>
        <w:tc>
          <w:tcPr>
            <w:tcW w:w="1219" w:type="dxa"/>
            <w:vAlign w:val="center"/>
          </w:tcPr>
          <w:p w14:paraId="1EB5CCDC">
            <w:pPr>
              <w:jc w:val="center"/>
              <w:rPr>
                <w:rFonts w:ascii="宋体" w:hAnsi="宋体" w:cs="宋体"/>
                <w:color w:val="auto"/>
                <w:sz w:val="24"/>
                <w:highlight w:val="none"/>
              </w:rPr>
            </w:pPr>
            <w:r>
              <w:rPr>
                <w:rFonts w:hint="eastAsia" w:ascii="宋体" w:hAnsi="宋体" w:cs="宋体"/>
                <w:color w:val="auto"/>
                <w:sz w:val="24"/>
                <w:highlight w:val="none"/>
              </w:rPr>
              <w:t>页码</w:t>
            </w:r>
          </w:p>
        </w:tc>
      </w:tr>
      <w:tr w14:paraId="50BC9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700452EA">
            <w:pPr>
              <w:jc w:val="center"/>
              <w:rPr>
                <w:rFonts w:ascii="宋体" w:hAnsi="宋体" w:cs="宋体"/>
                <w:color w:val="auto"/>
                <w:sz w:val="24"/>
                <w:highlight w:val="none"/>
              </w:rPr>
            </w:pPr>
            <w:r>
              <w:rPr>
                <w:rFonts w:hint="eastAsia" w:ascii="宋体" w:hAnsi="宋体" w:cs="宋体"/>
                <w:color w:val="auto"/>
                <w:sz w:val="24"/>
                <w:highlight w:val="none"/>
              </w:rPr>
              <w:t>1</w:t>
            </w:r>
          </w:p>
        </w:tc>
        <w:tc>
          <w:tcPr>
            <w:tcW w:w="3550" w:type="dxa"/>
            <w:vAlign w:val="center"/>
          </w:tcPr>
          <w:p w14:paraId="304B3225">
            <w:pPr>
              <w:jc w:val="center"/>
              <w:rPr>
                <w:rFonts w:ascii="宋体" w:hAnsi="宋体" w:cs="宋体"/>
                <w:color w:val="auto"/>
                <w:sz w:val="24"/>
                <w:highlight w:val="none"/>
              </w:rPr>
            </w:pPr>
          </w:p>
        </w:tc>
        <w:tc>
          <w:tcPr>
            <w:tcW w:w="3200" w:type="dxa"/>
            <w:vAlign w:val="center"/>
          </w:tcPr>
          <w:p w14:paraId="1842D65E">
            <w:pPr>
              <w:jc w:val="center"/>
              <w:rPr>
                <w:rFonts w:ascii="宋体" w:hAnsi="宋体" w:cs="宋体"/>
                <w:color w:val="auto"/>
                <w:sz w:val="24"/>
                <w:highlight w:val="none"/>
              </w:rPr>
            </w:pPr>
          </w:p>
        </w:tc>
        <w:tc>
          <w:tcPr>
            <w:tcW w:w="916" w:type="dxa"/>
            <w:vAlign w:val="center"/>
          </w:tcPr>
          <w:p w14:paraId="1968AD77">
            <w:pPr>
              <w:jc w:val="center"/>
              <w:rPr>
                <w:rFonts w:ascii="宋体" w:hAnsi="宋体" w:cs="宋体"/>
                <w:color w:val="auto"/>
                <w:sz w:val="24"/>
                <w:highlight w:val="none"/>
              </w:rPr>
            </w:pPr>
          </w:p>
        </w:tc>
        <w:tc>
          <w:tcPr>
            <w:tcW w:w="1219" w:type="dxa"/>
            <w:vAlign w:val="center"/>
          </w:tcPr>
          <w:p w14:paraId="4D27C8EE">
            <w:pPr>
              <w:jc w:val="center"/>
              <w:rPr>
                <w:rFonts w:ascii="宋体" w:hAnsi="宋体" w:cs="宋体"/>
                <w:color w:val="auto"/>
                <w:sz w:val="24"/>
                <w:highlight w:val="none"/>
              </w:rPr>
            </w:pPr>
          </w:p>
        </w:tc>
      </w:tr>
      <w:tr w14:paraId="5C44F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5BB13783">
            <w:pPr>
              <w:jc w:val="center"/>
              <w:rPr>
                <w:rFonts w:ascii="宋体" w:hAnsi="宋体" w:cs="宋体"/>
                <w:color w:val="auto"/>
                <w:sz w:val="24"/>
                <w:highlight w:val="none"/>
              </w:rPr>
            </w:pPr>
            <w:r>
              <w:rPr>
                <w:rFonts w:hint="eastAsia" w:ascii="宋体" w:hAnsi="宋体" w:cs="宋体"/>
                <w:color w:val="auto"/>
                <w:sz w:val="24"/>
                <w:highlight w:val="none"/>
              </w:rPr>
              <w:t>2</w:t>
            </w:r>
          </w:p>
        </w:tc>
        <w:tc>
          <w:tcPr>
            <w:tcW w:w="3550" w:type="dxa"/>
            <w:vAlign w:val="center"/>
          </w:tcPr>
          <w:p w14:paraId="0E4C0126">
            <w:pPr>
              <w:jc w:val="center"/>
              <w:rPr>
                <w:rFonts w:ascii="宋体" w:hAnsi="宋体" w:cs="宋体"/>
                <w:color w:val="auto"/>
                <w:sz w:val="24"/>
                <w:highlight w:val="none"/>
              </w:rPr>
            </w:pPr>
          </w:p>
        </w:tc>
        <w:tc>
          <w:tcPr>
            <w:tcW w:w="3200" w:type="dxa"/>
            <w:vAlign w:val="center"/>
          </w:tcPr>
          <w:p w14:paraId="7FF6BC9C">
            <w:pPr>
              <w:jc w:val="center"/>
              <w:rPr>
                <w:rFonts w:ascii="宋体" w:hAnsi="宋体" w:cs="宋体"/>
                <w:color w:val="auto"/>
                <w:sz w:val="24"/>
                <w:highlight w:val="none"/>
              </w:rPr>
            </w:pPr>
          </w:p>
        </w:tc>
        <w:tc>
          <w:tcPr>
            <w:tcW w:w="916" w:type="dxa"/>
            <w:vAlign w:val="center"/>
          </w:tcPr>
          <w:p w14:paraId="6C3126FE">
            <w:pPr>
              <w:jc w:val="center"/>
              <w:rPr>
                <w:rFonts w:ascii="宋体" w:hAnsi="宋体" w:cs="宋体"/>
                <w:color w:val="auto"/>
                <w:sz w:val="24"/>
                <w:highlight w:val="none"/>
              </w:rPr>
            </w:pPr>
          </w:p>
        </w:tc>
        <w:tc>
          <w:tcPr>
            <w:tcW w:w="1219" w:type="dxa"/>
            <w:vAlign w:val="center"/>
          </w:tcPr>
          <w:p w14:paraId="14FAF8F2">
            <w:pPr>
              <w:jc w:val="center"/>
              <w:rPr>
                <w:rFonts w:ascii="宋体" w:hAnsi="宋体" w:cs="宋体"/>
                <w:color w:val="auto"/>
                <w:sz w:val="24"/>
                <w:highlight w:val="none"/>
              </w:rPr>
            </w:pPr>
          </w:p>
        </w:tc>
      </w:tr>
      <w:tr w14:paraId="55357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41D51696">
            <w:pPr>
              <w:jc w:val="center"/>
              <w:rPr>
                <w:rFonts w:ascii="宋体" w:hAnsi="宋体" w:cs="宋体"/>
                <w:color w:val="auto"/>
                <w:sz w:val="24"/>
                <w:highlight w:val="none"/>
              </w:rPr>
            </w:pPr>
            <w:r>
              <w:rPr>
                <w:rFonts w:hint="eastAsia" w:ascii="宋体" w:hAnsi="宋体" w:cs="宋体"/>
                <w:color w:val="auto"/>
                <w:sz w:val="24"/>
                <w:highlight w:val="none"/>
              </w:rPr>
              <w:t>3</w:t>
            </w:r>
          </w:p>
        </w:tc>
        <w:tc>
          <w:tcPr>
            <w:tcW w:w="3550" w:type="dxa"/>
            <w:vAlign w:val="center"/>
          </w:tcPr>
          <w:p w14:paraId="5A9F1649">
            <w:pPr>
              <w:jc w:val="center"/>
              <w:rPr>
                <w:rFonts w:ascii="宋体" w:hAnsi="宋体" w:cs="宋体"/>
                <w:color w:val="auto"/>
                <w:sz w:val="24"/>
                <w:highlight w:val="none"/>
              </w:rPr>
            </w:pPr>
          </w:p>
        </w:tc>
        <w:tc>
          <w:tcPr>
            <w:tcW w:w="3200" w:type="dxa"/>
            <w:vAlign w:val="center"/>
          </w:tcPr>
          <w:p w14:paraId="5ED8D592">
            <w:pPr>
              <w:jc w:val="center"/>
              <w:rPr>
                <w:rFonts w:ascii="宋体" w:hAnsi="宋体" w:cs="宋体"/>
                <w:color w:val="auto"/>
                <w:sz w:val="24"/>
                <w:highlight w:val="none"/>
              </w:rPr>
            </w:pPr>
          </w:p>
        </w:tc>
        <w:tc>
          <w:tcPr>
            <w:tcW w:w="916" w:type="dxa"/>
            <w:vAlign w:val="center"/>
          </w:tcPr>
          <w:p w14:paraId="2054215E">
            <w:pPr>
              <w:jc w:val="center"/>
              <w:rPr>
                <w:rFonts w:ascii="宋体" w:hAnsi="宋体" w:cs="宋体"/>
                <w:color w:val="auto"/>
                <w:sz w:val="24"/>
                <w:highlight w:val="none"/>
              </w:rPr>
            </w:pPr>
          </w:p>
        </w:tc>
        <w:tc>
          <w:tcPr>
            <w:tcW w:w="1219" w:type="dxa"/>
            <w:vAlign w:val="center"/>
          </w:tcPr>
          <w:p w14:paraId="16016E00">
            <w:pPr>
              <w:jc w:val="center"/>
              <w:rPr>
                <w:rFonts w:ascii="宋体" w:hAnsi="宋体" w:cs="宋体"/>
                <w:color w:val="auto"/>
                <w:sz w:val="24"/>
                <w:highlight w:val="none"/>
              </w:rPr>
            </w:pPr>
          </w:p>
        </w:tc>
      </w:tr>
      <w:tr w14:paraId="5421F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0C9E186F">
            <w:pPr>
              <w:jc w:val="center"/>
              <w:rPr>
                <w:rFonts w:ascii="宋体" w:hAnsi="宋体" w:cs="宋体"/>
                <w:color w:val="auto"/>
                <w:sz w:val="24"/>
                <w:highlight w:val="none"/>
              </w:rPr>
            </w:pPr>
            <w:r>
              <w:rPr>
                <w:rFonts w:hint="eastAsia" w:ascii="宋体" w:hAnsi="宋体" w:cs="宋体"/>
                <w:color w:val="auto"/>
                <w:sz w:val="24"/>
                <w:highlight w:val="none"/>
              </w:rPr>
              <w:t>4</w:t>
            </w:r>
          </w:p>
        </w:tc>
        <w:tc>
          <w:tcPr>
            <w:tcW w:w="3550" w:type="dxa"/>
            <w:vAlign w:val="center"/>
          </w:tcPr>
          <w:p w14:paraId="42EEFC5A">
            <w:pPr>
              <w:jc w:val="center"/>
              <w:rPr>
                <w:rFonts w:ascii="宋体" w:hAnsi="宋体" w:cs="宋体"/>
                <w:color w:val="auto"/>
                <w:sz w:val="24"/>
                <w:highlight w:val="none"/>
              </w:rPr>
            </w:pPr>
          </w:p>
        </w:tc>
        <w:tc>
          <w:tcPr>
            <w:tcW w:w="3200" w:type="dxa"/>
            <w:vAlign w:val="center"/>
          </w:tcPr>
          <w:p w14:paraId="0070CE9D">
            <w:pPr>
              <w:jc w:val="center"/>
              <w:rPr>
                <w:rFonts w:ascii="宋体" w:hAnsi="宋体" w:cs="宋体"/>
                <w:color w:val="auto"/>
                <w:sz w:val="24"/>
                <w:highlight w:val="none"/>
              </w:rPr>
            </w:pPr>
          </w:p>
        </w:tc>
        <w:tc>
          <w:tcPr>
            <w:tcW w:w="916" w:type="dxa"/>
            <w:vAlign w:val="center"/>
          </w:tcPr>
          <w:p w14:paraId="7458D2AA">
            <w:pPr>
              <w:jc w:val="center"/>
              <w:rPr>
                <w:rFonts w:ascii="宋体" w:hAnsi="宋体" w:cs="宋体"/>
                <w:color w:val="auto"/>
                <w:sz w:val="24"/>
                <w:highlight w:val="none"/>
              </w:rPr>
            </w:pPr>
          </w:p>
        </w:tc>
        <w:tc>
          <w:tcPr>
            <w:tcW w:w="1219" w:type="dxa"/>
            <w:vAlign w:val="center"/>
          </w:tcPr>
          <w:p w14:paraId="060AF6FF">
            <w:pPr>
              <w:jc w:val="center"/>
              <w:rPr>
                <w:rFonts w:ascii="宋体" w:hAnsi="宋体" w:cs="宋体"/>
                <w:color w:val="auto"/>
                <w:sz w:val="24"/>
                <w:highlight w:val="none"/>
              </w:rPr>
            </w:pPr>
          </w:p>
        </w:tc>
      </w:tr>
      <w:tr w14:paraId="04B87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7B1EBDCA">
            <w:pPr>
              <w:jc w:val="center"/>
              <w:rPr>
                <w:rFonts w:ascii="宋体" w:hAnsi="宋体" w:cs="宋体"/>
                <w:color w:val="auto"/>
                <w:sz w:val="24"/>
                <w:highlight w:val="none"/>
              </w:rPr>
            </w:pPr>
            <w:r>
              <w:rPr>
                <w:rFonts w:hint="eastAsia" w:ascii="宋体" w:hAnsi="宋体" w:cs="宋体"/>
                <w:color w:val="auto"/>
                <w:sz w:val="24"/>
                <w:highlight w:val="none"/>
              </w:rPr>
              <w:t>5</w:t>
            </w:r>
          </w:p>
        </w:tc>
        <w:tc>
          <w:tcPr>
            <w:tcW w:w="3550" w:type="dxa"/>
            <w:vAlign w:val="center"/>
          </w:tcPr>
          <w:p w14:paraId="164F1C42">
            <w:pPr>
              <w:jc w:val="center"/>
              <w:rPr>
                <w:rFonts w:ascii="宋体" w:hAnsi="宋体" w:cs="宋体"/>
                <w:color w:val="auto"/>
                <w:sz w:val="24"/>
                <w:highlight w:val="none"/>
              </w:rPr>
            </w:pPr>
          </w:p>
        </w:tc>
        <w:tc>
          <w:tcPr>
            <w:tcW w:w="3200" w:type="dxa"/>
            <w:vAlign w:val="center"/>
          </w:tcPr>
          <w:p w14:paraId="3A95AB43">
            <w:pPr>
              <w:jc w:val="center"/>
              <w:rPr>
                <w:rFonts w:ascii="宋体" w:hAnsi="宋体" w:cs="宋体"/>
                <w:color w:val="auto"/>
                <w:sz w:val="24"/>
                <w:highlight w:val="none"/>
              </w:rPr>
            </w:pPr>
          </w:p>
        </w:tc>
        <w:tc>
          <w:tcPr>
            <w:tcW w:w="916" w:type="dxa"/>
            <w:vAlign w:val="center"/>
          </w:tcPr>
          <w:p w14:paraId="030F26D4">
            <w:pPr>
              <w:jc w:val="center"/>
              <w:rPr>
                <w:rFonts w:ascii="宋体" w:hAnsi="宋体" w:cs="宋体"/>
                <w:color w:val="auto"/>
                <w:sz w:val="24"/>
                <w:highlight w:val="none"/>
              </w:rPr>
            </w:pPr>
          </w:p>
        </w:tc>
        <w:tc>
          <w:tcPr>
            <w:tcW w:w="1219" w:type="dxa"/>
            <w:vAlign w:val="center"/>
          </w:tcPr>
          <w:p w14:paraId="4B71E4A2">
            <w:pPr>
              <w:jc w:val="center"/>
              <w:rPr>
                <w:rFonts w:ascii="宋体" w:hAnsi="宋体" w:cs="宋体"/>
                <w:color w:val="auto"/>
                <w:sz w:val="24"/>
                <w:highlight w:val="none"/>
              </w:rPr>
            </w:pPr>
          </w:p>
        </w:tc>
      </w:tr>
      <w:tr w14:paraId="177A8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09D9D95A">
            <w:pPr>
              <w:jc w:val="center"/>
              <w:rPr>
                <w:rFonts w:ascii="宋体" w:hAnsi="宋体" w:cs="宋体"/>
                <w:color w:val="auto"/>
                <w:sz w:val="24"/>
                <w:highlight w:val="none"/>
              </w:rPr>
            </w:pPr>
            <w:r>
              <w:rPr>
                <w:rFonts w:hint="eastAsia" w:ascii="宋体" w:hAnsi="宋体" w:cs="宋体"/>
                <w:color w:val="auto"/>
                <w:sz w:val="24"/>
                <w:highlight w:val="none"/>
              </w:rPr>
              <w:t>6</w:t>
            </w:r>
          </w:p>
        </w:tc>
        <w:tc>
          <w:tcPr>
            <w:tcW w:w="3550" w:type="dxa"/>
            <w:vAlign w:val="center"/>
          </w:tcPr>
          <w:p w14:paraId="77322EA0">
            <w:pPr>
              <w:jc w:val="center"/>
              <w:rPr>
                <w:rFonts w:ascii="宋体" w:hAnsi="宋体" w:cs="宋体"/>
                <w:color w:val="auto"/>
                <w:sz w:val="24"/>
                <w:highlight w:val="none"/>
              </w:rPr>
            </w:pPr>
          </w:p>
        </w:tc>
        <w:tc>
          <w:tcPr>
            <w:tcW w:w="3200" w:type="dxa"/>
            <w:vAlign w:val="center"/>
          </w:tcPr>
          <w:p w14:paraId="4582FA12">
            <w:pPr>
              <w:jc w:val="center"/>
              <w:rPr>
                <w:rFonts w:ascii="宋体" w:hAnsi="宋体" w:cs="宋体"/>
                <w:color w:val="auto"/>
                <w:sz w:val="24"/>
                <w:highlight w:val="none"/>
              </w:rPr>
            </w:pPr>
          </w:p>
        </w:tc>
        <w:tc>
          <w:tcPr>
            <w:tcW w:w="916" w:type="dxa"/>
            <w:vAlign w:val="center"/>
          </w:tcPr>
          <w:p w14:paraId="10CA223F">
            <w:pPr>
              <w:jc w:val="center"/>
              <w:rPr>
                <w:rFonts w:ascii="宋体" w:hAnsi="宋体" w:cs="宋体"/>
                <w:color w:val="auto"/>
                <w:sz w:val="24"/>
                <w:highlight w:val="none"/>
              </w:rPr>
            </w:pPr>
          </w:p>
        </w:tc>
        <w:tc>
          <w:tcPr>
            <w:tcW w:w="1219" w:type="dxa"/>
            <w:vAlign w:val="center"/>
          </w:tcPr>
          <w:p w14:paraId="5712AC81">
            <w:pPr>
              <w:jc w:val="center"/>
              <w:rPr>
                <w:rFonts w:ascii="宋体" w:hAnsi="宋体" w:cs="宋体"/>
                <w:color w:val="auto"/>
                <w:sz w:val="24"/>
                <w:highlight w:val="none"/>
              </w:rPr>
            </w:pPr>
          </w:p>
        </w:tc>
      </w:tr>
      <w:tr w14:paraId="3774C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50683B1F">
            <w:pPr>
              <w:jc w:val="center"/>
              <w:rPr>
                <w:rFonts w:ascii="宋体" w:hAnsi="宋体" w:cs="宋体"/>
                <w:color w:val="auto"/>
                <w:sz w:val="24"/>
                <w:highlight w:val="none"/>
              </w:rPr>
            </w:pPr>
            <w:r>
              <w:rPr>
                <w:rFonts w:hint="eastAsia" w:ascii="宋体" w:hAnsi="宋体" w:cs="宋体"/>
                <w:color w:val="auto"/>
                <w:sz w:val="24"/>
                <w:highlight w:val="none"/>
              </w:rPr>
              <w:t>7</w:t>
            </w:r>
          </w:p>
        </w:tc>
        <w:tc>
          <w:tcPr>
            <w:tcW w:w="3550" w:type="dxa"/>
            <w:vAlign w:val="center"/>
          </w:tcPr>
          <w:p w14:paraId="5BCD84F1">
            <w:pPr>
              <w:jc w:val="center"/>
              <w:rPr>
                <w:rFonts w:ascii="宋体" w:hAnsi="宋体" w:cs="宋体"/>
                <w:color w:val="auto"/>
                <w:sz w:val="24"/>
                <w:highlight w:val="none"/>
              </w:rPr>
            </w:pPr>
          </w:p>
        </w:tc>
        <w:tc>
          <w:tcPr>
            <w:tcW w:w="3200" w:type="dxa"/>
            <w:vAlign w:val="center"/>
          </w:tcPr>
          <w:p w14:paraId="3A6FFCD4">
            <w:pPr>
              <w:jc w:val="center"/>
              <w:rPr>
                <w:rFonts w:ascii="宋体" w:hAnsi="宋体" w:cs="宋体"/>
                <w:color w:val="auto"/>
                <w:sz w:val="24"/>
                <w:highlight w:val="none"/>
              </w:rPr>
            </w:pPr>
          </w:p>
        </w:tc>
        <w:tc>
          <w:tcPr>
            <w:tcW w:w="916" w:type="dxa"/>
            <w:vAlign w:val="center"/>
          </w:tcPr>
          <w:p w14:paraId="651654F0">
            <w:pPr>
              <w:jc w:val="center"/>
              <w:rPr>
                <w:rFonts w:ascii="宋体" w:hAnsi="宋体" w:cs="宋体"/>
                <w:color w:val="auto"/>
                <w:sz w:val="24"/>
                <w:highlight w:val="none"/>
              </w:rPr>
            </w:pPr>
          </w:p>
        </w:tc>
        <w:tc>
          <w:tcPr>
            <w:tcW w:w="1219" w:type="dxa"/>
            <w:vAlign w:val="center"/>
          </w:tcPr>
          <w:p w14:paraId="39175A4D">
            <w:pPr>
              <w:jc w:val="center"/>
              <w:rPr>
                <w:rFonts w:ascii="宋体" w:hAnsi="宋体" w:cs="宋体"/>
                <w:color w:val="auto"/>
                <w:sz w:val="24"/>
                <w:highlight w:val="none"/>
              </w:rPr>
            </w:pPr>
          </w:p>
        </w:tc>
      </w:tr>
      <w:tr w14:paraId="2F9AC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4F661539">
            <w:pPr>
              <w:jc w:val="center"/>
              <w:rPr>
                <w:rFonts w:ascii="宋体" w:hAnsi="宋体" w:cs="宋体"/>
                <w:color w:val="auto"/>
                <w:sz w:val="24"/>
                <w:highlight w:val="none"/>
              </w:rPr>
            </w:pPr>
            <w:r>
              <w:rPr>
                <w:rFonts w:hint="eastAsia" w:ascii="宋体" w:hAnsi="宋体" w:cs="宋体"/>
                <w:color w:val="auto"/>
                <w:sz w:val="24"/>
                <w:highlight w:val="none"/>
              </w:rPr>
              <w:t>8</w:t>
            </w:r>
          </w:p>
        </w:tc>
        <w:tc>
          <w:tcPr>
            <w:tcW w:w="3550" w:type="dxa"/>
            <w:vAlign w:val="center"/>
          </w:tcPr>
          <w:p w14:paraId="6FD57A87">
            <w:pPr>
              <w:jc w:val="center"/>
              <w:rPr>
                <w:rFonts w:ascii="宋体" w:hAnsi="宋体" w:cs="宋体"/>
                <w:color w:val="auto"/>
                <w:sz w:val="24"/>
                <w:highlight w:val="none"/>
              </w:rPr>
            </w:pPr>
          </w:p>
        </w:tc>
        <w:tc>
          <w:tcPr>
            <w:tcW w:w="3200" w:type="dxa"/>
            <w:vAlign w:val="center"/>
          </w:tcPr>
          <w:p w14:paraId="1C99FAD4">
            <w:pPr>
              <w:jc w:val="center"/>
              <w:rPr>
                <w:rFonts w:ascii="宋体" w:hAnsi="宋体" w:cs="宋体"/>
                <w:color w:val="auto"/>
                <w:sz w:val="24"/>
                <w:highlight w:val="none"/>
              </w:rPr>
            </w:pPr>
          </w:p>
        </w:tc>
        <w:tc>
          <w:tcPr>
            <w:tcW w:w="916" w:type="dxa"/>
            <w:vAlign w:val="center"/>
          </w:tcPr>
          <w:p w14:paraId="7A6647D7">
            <w:pPr>
              <w:jc w:val="center"/>
              <w:rPr>
                <w:rFonts w:ascii="宋体" w:hAnsi="宋体" w:cs="宋体"/>
                <w:color w:val="auto"/>
                <w:sz w:val="24"/>
                <w:highlight w:val="none"/>
              </w:rPr>
            </w:pPr>
          </w:p>
        </w:tc>
        <w:tc>
          <w:tcPr>
            <w:tcW w:w="1219" w:type="dxa"/>
            <w:vAlign w:val="center"/>
          </w:tcPr>
          <w:p w14:paraId="749BEFB2">
            <w:pPr>
              <w:jc w:val="center"/>
              <w:rPr>
                <w:rFonts w:ascii="宋体" w:hAnsi="宋体" w:cs="宋体"/>
                <w:color w:val="auto"/>
                <w:sz w:val="24"/>
                <w:highlight w:val="none"/>
              </w:rPr>
            </w:pPr>
          </w:p>
        </w:tc>
      </w:tr>
      <w:tr w14:paraId="6BD94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00B9C686">
            <w:pPr>
              <w:jc w:val="center"/>
              <w:rPr>
                <w:rFonts w:ascii="宋体" w:hAnsi="宋体" w:cs="宋体"/>
                <w:color w:val="auto"/>
                <w:sz w:val="24"/>
                <w:highlight w:val="none"/>
              </w:rPr>
            </w:pPr>
            <w:r>
              <w:rPr>
                <w:rFonts w:hint="eastAsia" w:ascii="宋体" w:hAnsi="宋体" w:cs="宋体"/>
                <w:color w:val="auto"/>
                <w:sz w:val="24"/>
                <w:highlight w:val="none"/>
              </w:rPr>
              <w:t>9</w:t>
            </w:r>
          </w:p>
        </w:tc>
        <w:tc>
          <w:tcPr>
            <w:tcW w:w="3550" w:type="dxa"/>
            <w:vAlign w:val="center"/>
          </w:tcPr>
          <w:p w14:paraId="2F16A68D">
            <w:pPr>
              <w:jc w:val="center"/>
              <w:rPr>
                <w:rFonts w:ascii="宋体" w:hAnsi="宋体" w:cs="宋体"/>
                <w:color w:val="auto"/>
                <w:sz w:val="24"/>
                <w:highlight w:val="none"/>
              </w:rPr>
            </w:pPr>
          </w:p>
        </w:tc>
        <w:tc>
          <w:tcPr>
            <w:tcW w:w="3200" w:type="dxa"/>
            <w:vAlign w:val="center"/>
          </w:tcPr>
          <w:p w14:paraId="7B6748B9">
            <w:pPr>
              <w:jc w:val="center"/>
              <w:rPr>
                <w:rFonts w:ascii="宋体" w:hAnsi="宋体" w:cs="宋体"/>
                <w:color w:val="auto"/>
                <w:sz w:val="24"/>
                <w:highlight w:val="none"/>
              </w:rPr>
            </w:pPr>
          </w:p>
        </w:tc>
        <w:tc>
          <w:tcPr>
            <w:tcW w:w="916" w:type="dxa"/>
            <w:vAlign w:val="center"/>
          </w:tcPr>
          <w:p w14:paraId="0B8614DB">
            <w:pPr>
              <w:jc w:val="center"/>
              <w:rPr>
                <w:rFonts w:ascii="宋体" w:hAnsi="宋体" w:cs="宋体"/>
                <w:color w:val="auto"/>
                <w:sz w:val="24"/>
                <w:highlight w:val="none"/>
              </w:rPr>
            </w:pPr>
          </w:p>
        </w:tc>
        <w:tc>
          <w:tcPr>
            <w:tcW w:w="1219" w:type="dxa"/>
            <w:vAlign w:val="center"/>
          </w:tcPr>
          <w:p w14:paraId="31CE8D9F">
            <w:pPr>
              <w:jc w:val="center"/>
              <w:rPr>
                <w:rFonts w:ascii="宋体" w:hAnsi="宋体" w:cs="宋体"/>
                <w:color w:val="auto"/>
                <w:sz w:val="24"/>
                <w:highlight w:val="none"/>
              </w:rPr>
            </w:pPr>
          </w:p>
        </w:tc>
      </w:tr>
      <w:tr w14:paraId="26465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834" w:type="dxa"/>
            <w:vAlign w:val="center"/>
          </w:tcPr>
          <w:p w14:paraId="16C9567D">
            <w:pPr>
              <w:jc w:val="center"/>
              <w:rPr>
                <w:rFonts w:ascii="宋体" w:hAnsi="宋体" w:cs="宋体"/>
                <w:color w:val="auto"/>
                <w:sz w:val="24"/>
                <w:highlight w:val="none"/>
              </w:rPr>
            </w:pPr>
            <w:r>
              <w:rPr>
                <w:rFonts w:hint="eastAsia" w:ascii="宋体" w:hAnsi="宋体" w:cs="宋体"/>
                <w:color w:val="auto"/>
                <w:sz w:val="24"/>
                <w:highlight w:val="none"/>
              </w:rPr>
              <w:t>10</w:t>
            </w:r>
          </w:p>
        </w:tc>
        <w:tc>
          <w:tcPr>
            <w:tcW w:w="3550" w:type="dxa"/>
            <w:vAlign w:val="center"/>
          </w:tcPr>
          <w:p w14:paraId="064CF45D">
            <w:pPr>
              <w:jc w:val="center"/>
              <w:rPr>
                <w:rFonts w:ascii="宋体" w:hAnsi="宋体" w:cs="宋体"/>
                <w:color w:val="auto"/>
                <w:sz w:val="24"/>
                <w:highlight w:val="none"/>
              </w:rPr>
            </w:pPr>
          </w:p>
        </w:tc>
        <w:tc>
          <w:tcPr>
            <w:tcW w:w="3200" w:type="dxa"/>
            <w:vAlign w:val="center"/>
          </w:tcPr>
          <w:p w14:paraId="50A9FC98">
            <w:pPr>
              <w:jc w:val="center"/>
              <w:rPr>
                <w:rFonts w:ascii="宋体" w:hAnsi="宋体" w:cs="宋体"/>
                <w:color w:val="auto"/>
                <w:sz w:val="24"/>
                <w:highlight w:val="none"/>
              </w:rPr>
            </w:pPr>
          </w:p>
        </w:tc>
        <w:tc>
          <w:tcPr>
            <w:tcW w:w="916" w:type="dxa"/>
            <w:vAlign w:val="center"/>
          </w:tcPr>
          <w:p w14:paraId="29A136DC">
            <w:pPr>
              <w:jc w:val="center"/>
              <w:rPr>
                <w:rFonts w:ascii="宋体" w:hAnsi="宋体" w:cs="宋体"/>
                <w:color w:val="auto"/>
                <w:sz w:val="24"/>
                <w:highlight w:val="none"/>
              </w:rPr>
            </w:pPr>
          </w:p>
        </w:tc>
        <w:tc>
          <w:tcPr>
            <w:tcW w:w="1219" w:type="dxa"/>
            <w:vAlign w:val="center"/>
          </w:tcPr>
          <w:p w14:paraId="227BAE78">
            <w:pPr>
              <w:jc w:val="center"/>
              <w:rPr>
                <w:rFonts w:ascii="宋体" w:hAnsi="宋体" w:cs="宋体"/>
                <w:color w:val="auto"/>
                <w:sz w:val="24"/>
                <w:highlight w:val="none"/>
              </w:rPr>
            </w:pPr>
          </w:p>
        </w:tc>
      </w:tr>
      <w:tr w14:paraId="4C7C8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6C36C67E">
            <w:pPr>
              <w:jc w:val="center"/>
              <w:rPr>
                <w:rFonts w:ascii="宋体" w:hAnsi="宋体" w:cs="宋体"/>
                <w:color w:val="auto"/>
                <w:sz w:val="24"/>
                <w:highlight w:val="none"/>
              </w:rPr>
            </w:pPr>
            <w:r>
              <w:rPr>
                <w:rFonts w:hint="eastAsia" w:ascii="宋体" w:hAnsi="宋体" w:cs="宋体"/>
                <w:color w:val="auto"/>
                <w:sz w:val="24"/>
                <w:highlight w:val="none"/>
              </w:rPr>
              <w:t>11</w:t>
            </w:r>
          </w:p>
        </w:tc>
        <w:tc>
          <w:tcPr>
            <w:tcW w:w="3550" w:type="dxa"/>
            <w:vAlign w:val="center"/>
          </w:tcPr>
          <w:p w14:paraId="37F2B117">
            <w:pPr>
              <w:jc w:val="center"/>
              <w:rPr>
                <w:rFonts w:ascii="宋体" w:hAnsi="宋体" w:cs="宋体"/>
                <w:color w:val="auto"/>
                <w:sz w:val="24"/>
                <w:highlight w:val="none"/>
              </w:rPr>
            </w:pPr>
          </w:p>
        </w:tc>
        <w:tc>
          <w:tcPr>
            <w:tcW w:w="3200" w:type="dxa"/>
            <w:vAlign w:val="center"/>
          </w:tcPr>
          <w:p w14:paraId="4AC9C0C8">
            <w:pPr>
              <w:jc w:val="center"/>
              <w:rPr>
                <w:rFonts w:ascii="宋体" w:hAnsi="宋体" w:cs="宋体"/>
                <w:color w:val="auto"/>
                <w:sz w:val="24"/>
                <w:highlight w:val="none"/>
              </w:rPr>
            </w:pPr>
          </w:p>
        </w:tc>
        <w:tc>
          <w:tcPr>
            <w:tcW w:w="916" w:type="dxa"/>
            <w:vAlign w:val="center"/>
          </w:tcPr>
          <w:p w14:paraId="7528428B">
            <w:pPr>
              <w:jc w:val="center"/>
              <w:rPr>
                <w:rFonts w:ascii="宋体" w:hAnsi="宋体" w:cs="宋体"/>
                <w:color w:val="auto"/>
                <w:sz w:val="24"/>
                <w:highlight w:val="none"/>
              </w:rPr>
            </w:pPr>
          </w:p>
        </w:tc>
        <w:tc>
          <w:tcPr>
            <w:tcW w:w="1219" w:type="dxa"/>
            <w:vAlign w:val="center"/>
          </w:tcPr>
          <w:p w14:paraId="4D067BE3">
            <w:pPr>
              <w:jc w:val="center"/>
              <w:rPr>
                <w:rFonts w:ascii="宋体" w:hAnsi="宋体" w:cs="宋体"/>
                <w:color w:val="auto"/>
                <w:sz w:val="24"/>
                <w:highlight w:val="none"/>
              </w:rPr>
            </w:pPr>
          </w:p>
        </w:tc>
      </w:tr>
      <w:tr w14:paraId="6D3AA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2F93D7C1">
            <w:pPr>
              <w:jc w:val="center"/>
              <w:rPr>
                <w:rFonts w:ascii="宋体" w:hAnsi="宋体" w:cs="宋体"/>
                <w:color w:val="auto"/>
                <w:sz w:val="24"/>
                <w:highlight w:val="none"/>
              </w:rPr>
            </w:pPr>
            <w:r>
              <w:rPr>
                <w:rFonts w:hint="eastAsia" w:ascii="宋体" w:hAnsi="宋体" w:cs="宋体"/>
                <w:color w:val="auto"/>
                <w:sz w:val="24"/>
                <w:highlight w:val="none"/>
              </w:rPr>
              <w:t>12</w:t>
            </w:r>
          </w:p>
        </w:tc>
        <w:tc>
          <w:tcPr>
            <w:tcW w:w="3550" w:type="dxa"/>
            <w:vAlign w:val="center"/>
          </w:tcPr>
          <w:p w14:paraId="068916D8">
            <w:pPr>
              <w:jc w:val="center"/>
              <w:rPr>
                <w:rFonts w:ascii="宋体" w:hAnsi="宋体" w:cs="宋体"/>
                <w:color w:val="auto"/>
                <w:sz w:val="24"/>
                <w:highlight w:val="none"/>
              </w:rPr>
            </w:pPr>
          </w:p>
        </w:tc>
        <w:tc>
          <w:tcPr>
            <w:tcW w:w="3200" w:type="dxa"/>
            <w:vAlign w:val="center"/>
          </w:tcPr>
          <w:p w14:paraId="66DC09C2">
            <w:pPr>
              <w:jc w:val="center"/>
              <w:rPr>
                <w:rFonts w:ascii="宋体" w:hAnsi="宋体" w:cs="宋体"/>
                <w:color w:val="auto"/>
                <w:sz w:val="24"/>
                <w:highlight w:val="none"/>
              </w:rPr>
            </w:pPr>
          </w:p>
        </w:tc>
        <w:tc>
          <w:tcPr>
            <w:tcW w:w="916" w:type="dxa"/>
            <w:vAlign w:val="center"/>
          </w:tcPr>
          <w:p w14:paraId="2A224FD8">
            <w:pPr>
              <w:jc w:val="center"/>
              <w:rPr>
                <w:rFonts w:ascii="宋体" w:hAnsi="宋体" w:cs="宋体"/>
                <w:color w:val="auto"/>
                <w:sz w:val="24"/>
                <w:highlight w:val="none"/>
              </w:rPr>
            </w:pPr>
          </w:p>
        </w:tc>
        <w:tc>
          <w:tcPr>
            <w:tcW w:w="1219" w:type="dxa"/>
            <w:vAlign w:val="center"/>
          </w:tcPr>
          <w:p w14:paraId="62947948">
            <w:pPr>
              <w:jc w:val="center"/>
              <w:rPr>
                <w:rFonts w:ascii="宋体" w:hAnsi="宋体" w:cs="宋体"/>
                <w:color w:val="auto"/>
                <w:sz w:val="24"/>
                <w:highlight w:val="none"/>
              </w:rPr>
            </w:pPr>
          </w:p>
        </w:tc>
      </w:tr>
      <w:tr w14:paraId="7B785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07CE024F">
            <w:pPr>
              <w:jc w:val="center"/>
              <w:rPr>
                <w:rFonts w:ascii="宋体" w:hAnsi="宋体" w:cs="宋体"/>
                <w:color w:val="auto"/>
                <w:sz w:val="24"/>
                <w:highlight w:val="none"/>
              </w:rPr>
            </w:pPr>
            <w:r>
              <w:rPr>
                <w:rFonts w:hint="eastAsia" w:ascii="宋体" w:hAnsi="宋体" w:cs="宋体"/>
                <w:color w:val="auto"/>
                <w:sz w:val="24"/>
                <w:highlight w:val="none"/>
              </w:rPr>
              <w:t>13</w:t>
            </w:r>
          </w:p>
        </w:tc>
        <w:tc>
          <w:tcPr>
            <w:tcW w:w="3550" w:type="dxa"/>
            <w:vAlign w:val="center"/>
          </w:tcPr>
          <w:p w14:paraId="2760A642">
            <w:pPr>
              <w:jc w:val="center"/>
              <w:rPr>
                <w:rFonts w:ascii="宋体" w:hAnsi="宋体" w:cs="宋体"/>
                <w:color w:val="auto"/>
                <w:sz w:val="24"/>
                <w:highlight w:val="none"/>
              </w:rPr>
            </w:pPr>
          </w:p>
        </w:tc>
        <w:tc>
          <w:tcPr>
            <w:tcW w:w="3200" w:type="dxa"/>
            <w:vAlign w:val="center"/>
          </w:tcPr>
          <w:p w14:paraId="7B10F901">
            <w:pPr>
              <w:jc w:val="center"/>
              <w:rPr>
                <w:rFonts w:ascii="宋体" w:hAnsi="宋体" w:cs="宋体"/>
                <w:color w:val="auto"/>
                <w:sz w:val="24"/>
                <w:highlight w:val="none"/>
              </w:rPr>
            </w:pPr>
          </w:p>
        </w:tc>
        <w:tc>
          <w:tcPr>
            <w:tcW w:w="916" w:type="dxa"/>
            <w:vAlign w:val="center"/>
          </w:tcPr>
          <w:p w14:paraId="329B9326">
            <w:pPr>
              <w:jc w:val="center"/>
              <w:rPr>
                <w:rFonts w:ascii="宋体" w:hAnsi="宋体" w:cs="宋体"/>
                <w:color w:val="auto"/>
                <w:sz w:val="24"/>
                <w:highlight w:val="none"/>
              </w:rPr>
            </w:pPr>
          </w:p>
        </w:tc>
        <w:tc>
          <w:tcPr>
            <w:tcW w:w="1219" w:type="dxa"/>
            <w:vAlign w:val="center"/>
          </w:tcPr>
          <w:p w14:paraId="3093B0C2">
            <w:pPr>
              <w:jc w:val="center"/>
              <w:rPr>
                <w:rFonts w:ascii="宋体" w:hAnsi="宋体" w:cs="宋体"/>
                <w:color w:val="auto"/>
                <w:sz w:val="24"/>
                <w:highlight w:val="none"/>
              </w:rPr>
            </w:pPr>
          </w:p>
        </w:tc>
      </w:tr>
      <w:tr w14:paraId="7A84E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34" w:type="dxa"/>
            <w:vAlign w:val="center"/>
          </w:tcPr>
          <w:p w14:paraId="13291B77">
            <w:pPr>
              <w:jc w:val="center"/>
              <w:rPr>
                <w:rFonts w:ascii="宋体" w:hAnsi="宋体" w:cs="宋体"/>
                <w:color w:val="auto"/>
                <w:sz w:val="24"/>
                <w:highlight w:val="none"/>
              </w:rPr>
            </w:pPr>
            <w:r>
              <w:rPr>
                <w:rFonts w:hint="eastAsia" w:ascii="宋体" w:hAnsi="宋体" w:cs="宋体"/>
                <w:color w:val="auto"/>
                <w:sz w:val="24"/>
                <w:highlight w:val="none"/>
              </w:rPr>
              <w:t>……</w:t>
            </w:r>
          </w:p>
        </w:tc>
        <w:tc>
          <w:tcPr>
            <w:tcW w:w="3550" w:type="dxa"/>
            <w:vAlign w:val="center"/>
          </w:tcPr>
          <w:p w14:paraId="47AF6F53">
            <w:pPr>
              <w:jc w:val="center"/>
              <w:rPr>
                <w:rFonts w:ascii="宋体" w:hAnsi="宋体" w:cs="宋体"/>
                <w:color w:val="auto"/>
                <w:sz w:val="24"/>
                <w:highlight w:val="none"/>
              </w:rPr>
            </w:pPr>
          </w:p>
        </w:tc>
        <w:tc>
          <w:tcPr>
            <w:tcW w:w="3200" w:type="dxa"/>
            <w:vAlign w:val="center"/>
          </w:tcPr>
          <w:p w14:paraId="5AB55BA7">
            <w:pPr>
              <w:jc w:val="center"/>
              <w:rPr>
                <w:rFonts w:ascii="宋体" w:hAnsi="宋体" w:cs="宋体"/>
                <w:color w:val="auto"/>
                <w:sz w:val="24"/>
                <w:highlight w:val="none"/>
              </w:rPr>
            </w:pPr>
          </w:p>
        </w:tc>
        <w:tc>
          <w:tcPr>
            <w:tcW w:w="916" w:type="dxa"/>
            <w:vAlign w:val="center"/>
          </w:tcPr>
          <w:p w14:paraId="68C252B2">
            <w:pPr>
              <w:jc w:val="center"/>
              <w:rPr>
                <w:rFonts w:ascii="宋体" w:hAnsi="宋体" w:cs="宋体"/>
                <w:color w:val="auto"/>
                <w:sz w:val="24"/>
                <w:highlight w:val="none"/>
              </w:rPr>
            </w:pPr>
          </w:p>
        </w:tc>
        <w:tc>
          <w:tcPr>
            <w:tcW w:w="1219" w:type="dxa"/>
            <w:vAlign w:val="center"/>
          </w:tcPr>
          <w:p w14:paraId="71583092">
            <w:pPr>
              <w:jc w:val="center"/>
              <w:rPr>
                <w:rFonts w:ascii="宋体" w:hAnsi="宋体" w:cs="宋体"/>
                <w:color w:val="auto"/>
                <w:sz w:val="24"/>
                <w:highlight w:val="none"/>
              </w:rPr>
            </w:pPr>
          </w:p>
        </w:tc>
      </w:tr>
    </w:tbl>
    <w:p w14:paraId="668E9B65">
      <w:pPr>
        <w:rPr>
          <w:rFonts w:ascii="宋体" w:hAnsi="宋体" w:cs="宋体"/>
          <w:color w:val="auto"/>
          <w:sz w:val="24"/>
          <w:highlight w:val="none"/>
        </w:rPr>
      </w:pPr>
    </w:p>
    <w:p w14:paraId="648F7896">
      <w:pPr>
        <w:rPr>
          <w:rFonts w:ascii="宋体" w:hAnsi="宋体" w:cs="宋体"/>
          <w:color w:val="auto"/>
          <w:sz w:val="24"/>
          <w:highlight w:val="none"/>
        </w:rPr>
      </w:pPr>
    </w:p>
    <w:p w14:paraId="1A1BB3A7">
      <w:pPr>
        <w:rPr>
          <w:rFonts w:ascii="宋体" w:hAnsi="宋体" w:cs="宋体"/>
          <w:color w:val="auto"/>
          <w:sz w:val="24"/>
          <w:highlight w:val="none"/>
        </w:rPr>
      </w:pPr>
    </w:p>
    <w:p w14:paraId="23EF61A3">
      <w:pPr>
        <w:rPr>
          <w:rFonts w:ascii="宋体" w:hAnsi="宋体" w:cs="宋体"/>
          <w:color w:val="auto"/>
          <w:sz w:val="24"/>
          <w:highlight w:val="none"/>
        </w:rPr>
      </w:pPr>
      <w:r>
        <w:rPr>
          <w:rFonts w:hint="eastAsia" w:ascii="宋体" w:hAnsi="宋体" w:cs="宋体"/>
          <w:color w:val="auto"/>
          <w:sz w:val="24"/>
          <w:highlight w:val="none"/>
        </w:rPr>
        <w:t>投标人名称（盖章）：                         年   月    日</w:t>
      </w:r>
    </w:p>
    <w:p w14:paraId="402DC815">
      <w:pPr>
        <w:pStyle w:val="6"/>
        <w:keepNext w:val="0"/>
        <w:keepLines w:val="0"/>
        <w:pageBreakBefore/>
        <w:rPr>
          <w:rFonts w:ascii="宋体" w:hAnsi="宋体" w:eastAsia="宋体" w:cs="宋体"/>
          <w:b w:val="0"/>
          <w:color w:val="auto"/>
          <w:sz w:val="24"/>
          <w:szCs w:val="24"/>
          <w:highlight w:val="none"/>
        </w:rPr>
      </w:pPr>
      <w:bookmarkStart w:id="87" w:name="_Toc21267"/>
      <w:r>
        <w:rPr>
          <w:rFonts w:hint="eastAsia" w:ascii="宋体" w:hAnsi="宋体" w:eastAsia="宋体" w:cs="宋体"/>
          <w:b w:val="0"/>
          <w:color w:val="auto"/>
          <w:sz w:val="24"/>
          <w:szCs w:val="24"/>
          <w:highlight w:val="none"/>
        </w:rPr>
        <w:t>附件八：商务响应表</w:t>
      </w:r>
      <w:bookmarkEnd w:id="87"/>
    </w:p>
    <w:p w14:paraId="4A252434">
      <w:pPr>
        <w:snapToGrid w:val="0"/>
        <w:spacing w:line="360" w:lineRule="auto"/>
        <w:jc w:val="center"/>
        <w:rPr>
          <w:rFonts w:ascii="宋体" w:hAnsi="宋体" w:cs="宋体"/>
          <w:b/>
          <w:color w:val="auto"/>
          <w:kern w:val="0"/>
          <w:sz w:val="32"/>
          <w:szCs w:val="32"/>
          <w:highlight w:val="none"/>
        </w:rPr>
      </w:pPr>
      <w:bookmarkStart w:id="88" w:name="_Toc496598991"/>
      <w:r>
        <w:rPr>
          <w:rFonts w:hint="eastAsia" w:ascii="宋体" w:hAnsi="宋体" w:cs="宋体"/>
          <w:b/>
          <w:color w:val="auto"/>
          <w:kern w:val="0"/>
          <w:sz w:val="32"/>
          <w:szCs w:val="32"/>
          <w:highlight w:val="none"/>
        </w:rPr>
        <w:t>商务响应表</w:t>
      </w:r>
    </w:p>
    <w:p w14:paraId="137C8190">
      <w:pPr>
        <w:snapToGrid w:val="0"/>
        <w:spacing w:before="50" w:afterLines="50"/>
        <w:jc w:val="left"/>
        <w:rPr>
          <w:rFonts w:ascii="宋体" w:hAnsi="宋体" w:cs="宋体"/>
          <w:color w:val="auto"/>
          <w:sz w:val="24"/>
          <w:highlight w:val="none"/>
          <w:u w:val="single"/>
        </w:rPr>
      </w:pPr>
    </w:p>
    <w:tbl>
      <w:tblPr>
        <w:tblStyle w:val="24"/>
        <w:tblW w:w="937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3"/>
        <w:gridCol w:w="2969"/>
        <w:gridCol w:w="1386"/>
        <w:gridCol w:w="3321"/>
      </w:tblGrid>
      <w:tr w14:paraId="52CDEA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063333C4">
            <w:pPr>
              <w:jc w:val="center"/>
              <w:rPr>
                <w:rFonts w:ascii="宋体" w:hAnsi="宋体" w:cs="宋体"/>
                <w:color w:val="auto"/>
                <w:sz w:val="24"/>
                <w:highlight w:val="none"/>
              </w:rPr>
            </w:pPr>
            <w:r>
              <w:rPr>
                <w:rFonts w:hint="eastAsia" w:ascii="宋体" w:hAnsi="宋体" w:cs="宋体"/>
                <w:color w:val="auto"/>
                <w:sz w:val="24"/>
                <w:highlight w:val="none"/>
              </w:rPr>
              <w:t>项目</w:t>
            </w:r>
          </w:p>
        </w:tc>
        <w:tc>
          <w:tcPr>
            <w:tcW w:w="2969" w:type="dxa"/>
            <w:tcBorders>
              <w:top w:val="single" w:color="auto" w:sz="4" w:space="0"/>
              <w:left w:val="single" w:color="auto" w:sz="4" w:space="0"/>
              <w:bottom w:val="single" w:color="auto" w:sz="4" w:space="0"/>
              <w:right w:val="single" w:color="auto" w:sz="4" w:space="0"/>
            </w:tcBorders>
            <w:vAlign w:val="center"/>
          </w:tcPr>
          <w:p w14:paraId="4E482411">
            <w:pPr>
              <w:jc w:val="center"/>
              <w:rPr>
                <w:rFonts w:ascii="宋体" w:hAnsi="宋体" w:cs="宋体"/>
                <w:color w:val="auto"/>
                <w:sz w:val="24"/>
                <w:highlight w:val="none"/>
              </w:rPr>
            </w:pPr>
            <w:r>
              <w:rPr>
                <w:rFonts w:hint="eastAsia" w:ascii="宋体" w:hAnsi="宋体" w:cs="宋体"/>
                <w:color w:val="auto"/>
                <w:sz w:val="24"/>
                <w:highlight w:val="none"/>
              </w:rPr>
              <w:t>招标文件要求</w:t>
            </w:r>
          </w:p>
        </w:tc>
        <w:tc>
          <w:tcPr>
            <w:tcW w:w="1386" w:type="dxa"/>
            <w:tcBorders>
              <w:top w:val="single" w:color="auto" w:sz="4" w:space="0"/>
              <w:left w:val="single" w:color="auto" w:sz="4" w:space="0"/>
              <w:bottom w:val="single" w:color="auto" w:sz="4" w:space="0"/>
              <w:right w:val="single" w:color="auto" w:sz="4" w:space="0"/>
            </w:tcBorders>
            <w:vAlign w:val="center"/>
          </w:tcPr>
          <w:p w14:paraId="37C33104">
            <w:pPr>
              <w:jc w:val="center"/>
              <w:rPr>
                <w:rFonts w:ascii="宋体" w:hAnsi="宋体" w:cs="宋体"/>
                <w:color w:val="auto"/>
                <w:sz w:val="24"/>
                <w:highlight w:val="none"/>
              </w:rPr>
            </w:pPr>
            <w:r>
              <w:rPr>
                <w:rFonts w:hint="eastAsia" w:ascii="宋体" w:hAnsi="宋体" w:cs="宋体"/>
                <w:color w:val="auto"/>
                <w:sz w:val="24"/>
                <w:highlight w:val="none"/>
              </w:rPr>
              <w:t>响应及偏离情况</w:t>
            </w:r>
          </w:p>
        </w:tc>
        <w:tc>
          <w:tcPr>
            <w:tcW w:w="3321" w:type="dxa"/>
            <w:tcBorders>
              <w:top w:val="single" w:color="auto" w:sz="4" w:space="0"/>
              <w:left w:val="single" w:color="auto" w:sz="4" w:space="0"/>
              <w:bottom w:val="single" w:color="auto" w:sz="4" w:space="0"/>
              <w:right w:val="single" w:color="auto" w:sz="4" w:space="0"/>
            </w:tcBorders>
            <w:vAlign w:val="center"/>
          </w:tcPr>
          <w:p w14:paraId="320BD202">
            <w:pPr>
              <w:jc w:val="center"/>
              <w:rPr>
                <w:rFonts w:ascii="宋体" w:hAnsi="宋体" w:cs="宋体"/>
                <w:color w:val="auto"/>
                <w:sz w:val="24"/>
                <w:highlight w:val="none"/>
              </w:rPr>
            </w:pPr>
            <w:r>
              <w:rPr>
                <w:rFonts w:hint="eastAsia" w:ascii="宋体" w:hAnsi="宋体" w:cs="宋体"/>
                <w:color w:val="auto"/>
                <w:sz w:val="24"/>
                <w:highlight w:val="none"/>
              </w:rPr>
              <w:t>投标人的承诺或说明</w:t>
            </w:r>
          </w:p>
        </w:tc>
      </w:tr>
      <w:tr w14:paraId="35FD07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5015B893">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5638E18B">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59734388">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4F39AF02">
            <w:pPr>
              <w:rPr>
                <w:rFonts w:ascii="宋体" w:hAnsi="宋体" w:cs="宋体"/>
                <w:color w:val="auto"/>
                <w:sz w:val="24"/>
                <w:highlight w:val="none"/>
              </w:rPr>
            </w:pPr>
          </w:p>
        </w:tc>
      </w:tr>
      <w:tr w14:paraId="094CBF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32DB51AA">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540747AD">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7496F564">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3BA97E40">
            <w:pPr>
              <w:rPr>
                <w:rFonts w:ascii="宋体" w:hAnsi="宋体" w:cs="宋体"/>
                <w:color w:val="auto"/>
                <w:sz w:val="24"/>
                <w:highlight w:val="none"/>
              </w:rPr>
            </w:pPr>
          </w:p>
        </w:tc>
      </w:tr>
      <w:tr w14:paraId="207F0B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025F521D">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2CA21444">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4567A45D">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7D52287B">
            <w:pPr>
              <w:rPr>
                <w:rFonts w:ascii="宋体" w:hAnsi="宋体" w:cs="宋体"/>
                <w:color w:val="auto"/>
                <w:sz w:val="24"/>
                <w:highlight w:val="none"/>
              </w:rPr>
            </w:pPr>
          </w:p>
        </w:tc>
      </w:tr>
      <w:tr w14:paraId="3155E0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07FBDD4C">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5D0EC77D">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1EBE2369">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74C7B23B">
            <w:pPr>
              <w:rPr>
                <w:rFonts w:ascii="宋体" w:hAnsi="宋体" w:cs="宋体"/>
                <w:color w:val="auto"/>
                <w:sz w:val="24"/>
                <w:highlight w:val="none"/>
              </w:rPr>
            </w:pPr>
          </w:p>
        </w:tc>
      </w:tr>
      <w:tr w14:paraId="77302B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trPr>
        <w:tc>
          <w:tcPr>
            <w:tcW w:w="1703" w:type="dxa"/>
            <w:tcBorders>
              <w:top w:val="single" w:color="auto" w:sz="4" w:space="0"/>
              <w:left w:val="single" w:color="auto" w:sz="4" w:space="0"/>
              <w:bottom w:val="single" w:color="auto" w:sz="4" w:space="0"/>
              <w:right w:val="single" w:color="auto" w:sz="4" w:space="0"/>
            </w:tcBorders>
            <w:vAlign w:val="center"/>
          </w:tcPr>
          <w:p w14:paraId="65DA069E">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4F8DD8D7">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053379DB">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468BB587">
            <w:pPr>
              <w:rPr>
                <w:rFonts w:ascii="宋体" w:hAnsi="宋体" w:cs="宋体"/>
                <w:color w:val="auto"/>
                <w:sz w:val="24"/>
                <w:highlight w:val="none"/>
              </w:rPr>
            </w:pPr>
          </w:p>
        </w:tc>
      </w:tr>
      <w:tr w14:paraId="04814F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1BF058D5">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50002745">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4D642EE5">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6D31A4AA">
            <w:pPr>
              <w:rPr>
                <w:rFonts w:ascii="宋体" w:hAnsi="宋体" w:cs="宋体"/>
                <w:color w:val="auto"/>
                <w:sz w:val="24"/>
                <w:highlight w:val="none"/>
              </w:rPr>
            </w:pPr>
          </w:p>
        </w:tc>
      </w:tr>
      <w:tr w14:paraId="4DCA4F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61A0AB98">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6A1F4D37">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72F88826">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210282BA">
            <w:pPr>
              <w:rPr>
                <w:rFonts w:ascii="宋体" w:hAnsi="宋体" w:cs="宋体"/>
                <w:color w:val="auto"/>
                <w:sz w:val="24"/>
                <w:highlight w:val="none"/>
              </w:rPr>
            </w:pPr>
          </w:p>
        </w:tc>
      </w:tr>
      <w:tr w14:paraId="21AF98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529E75A1">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7D879C0E">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13EFADAA">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5357568D">
            <w:pPr>
              <w:rPr>
                <w:rFonts w:ascii="宋体" w:hAnsi="宋体" w:cs="宋体"/>
                <w:color w:val="auto"/>
                <w:sz w:val="24"/>
                <w:highlight w:val="none"/>
              </w:rPr>
            </w:pPr>
          </w:p>
        </w:tc>
      </w:tr>
      <w:tr w14:paraId="57A6C4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31EF843B">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729CBB6C">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61000D13">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3C2A959B">
            <w:pPr>
              <w:rPr>
                <w:rFonts w:ascii="宋体" w:hAnsi="宋体" w:cs="宋体"/>
                <w:color w:val="auto"/>
                <w:sz w:val="24"/>
                <w:highlight w:val="none"/>
              </w:rPr>
            </w:pPr>
          </w:p>
        </w:tc>
      </w:tr>
      <w:tr w14:paraId="07AF29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6BA5B4A1">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3B59B18A">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5B52A56A">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7559A7CA">
            <w:pPr>
              <w:rPr>
                <w:rFonts w:ascii="宋体" w:hAnsi="宋体" w:cs="宋体"/>
                <w:color w:val="auto"/>
                <w:sz w:val="24"/>
                <w:highlight w:val="none"/>
              </w:rPr>
            </w:pPr>
          </w:p>
        </w:tc>
      </w:tr>
    </w:tbl>
    <w:p w14:paraId="2B6586E1">
      <w:pPr>
        <w:snapToGrid w:val="0"/>
        <w:spacing w:beforeLines="50"/>
        <w:rPr>
          <w:rFonts w:ascii="宋体" w:hAnsi="宋体" w:cs="宋体"/>
          <w:color w:val="auto"/>
          <w:sz w:val="24"/>
          <w:highlight w:val="none"/>
        </w:rPr>
      </w:pPr>
    </w:p>
    <w:p w14:paraId="3E379023">
      <w:pPr>
        <w:snapToGrid w:val="0"/>
        <w:spacing w:before="50" w:after="50"/>
        <w:rPr>
          <w:rFonts w:ascii="宋体" w:hAnsi="宋体" w:cs="宋体"/>
          <w:color w:val="auto"/>
          <w:spacing w:val="20"/>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13B11588">
      <w:pPr>
        <w:snapToGrid w:val="0"/>
        <w:spacing w:beforeLines="50"/>
        <w:rPr>
          <w:rFonts w:ascii="宋体" w:hAnsi="宋体" w:cs="宋体"/>
          <w:color w:val="auto"/>
          <w:sz w:val="24"/>
          <w:highlight w:val="none"/>
        </w:rPr>
      </w:pPr>
      <w:r>
        <w:rPr>
          <w:rFonts w:hint="eastAsia" w:ascii="宋体" w:hAnsi="宋体" w:cs="宋体"/>
          <w:color w:val="auto"/>
          <w:spacing w:val="20"/>
          <w:sz w:val="24"/>
          <w:highlight w:val="none"/>
        </w:rPr>
        <w:t>投标人盖章：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6FACF76D">
      <w:pPr>
        <w:rPr>
          <w:rFonts w:ascii="宋体" w:hAnsi="宋体" w:cs="宋体"/>
          <w:color w:val="auto"/>
          <w:sz w:val="24"/>
          <w:highlight w:val="none"/>
        </w:rPr>
      </w:pPr>
    </w:p>
    <w:p w14:paraId="732D680A">
      <w:pPr>
        <w:pStyle w:val="6"/>
        <w:keepNext w:val="0"/>
        <w:keepLines w:val="0"/>
        <w:pageBreakBefore/>
        <w:spacing w:line="415" w:lineRule="auto"/>
        <w:rPr>
          <w:rFonts w:ascii="宋体" w:hAnsi="宋体" w:eastAsia="宋体" w:cs="宋体"/>
          <w:b w:val="0"/>
          <w:bCs w:val="0"/>
          <w:color w:val="auto"/>
          <w:sz w:val="24"/>
          <w:szCs w:val="24"/>
          <w:highlight w:val="none"/>
        </w:rPr>
      </w:pPr>
      <w:bookmarkStart w:id="89" w:name="_Toc30163"/>
      <w:r>
        <w:rPr>
          <w:rFonts w:hint="eastAsia" w:ascii="宋体" w:hAnsi="宋体" w:eastAsia="宋体" w:cs="宋体"/>
          <w:b w:val="0"/>
          <w:bCs w:val="0"/>
          <w:color w:val="auto"/>
          <w:sz w:val="24"/>
          <w:szCs w:val="24"/>
          <w:highlight w:val="none"/>
        </w:rPr>
        <w:t>附件九：</w:t>
      </w:r>
      <w:bookmarkEnd w:id="88"/>
      <w:r>
        <w:rPr>
          <w:rFonts w:hint="eastAsia" w:ascii="宋体" w:hAnsi="宋体" w:eastAsia="宋体" w:cs="宋体"/>
          <w:b w:val="0"/>
          <w:bCs w:val="0"/>
          <w:color w:val="auto"/>
          <w:sz w:val="24"/>
          <w:szCs w:val="24"/>
          <w:highlight w:val="none"/>
        </w:rPr>
        <w:t>技术响应表</w:t>
      </w:r>
      <w:bookmarkEnd w:id="89"/>
    </w:p>
    <w:p w14:paraId="6329135B">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技术响应表</w:t>
      </w:r>
    </w:p>
    <w:p w14:paraId="0FDB0524">
      <w:pPr>
        <w:snapToGrid w:val="0"/>
        <w:spacing w:before="50" w:afterLines="50"/>
        <w:jc w:val="left"/>
        <w:rPr>
          <w:rFonts w:ascii="宋体" w:hAnsi="宋体" w:cs="宋体"/>
          <w:color w:val="auto"/>
          <w:sz w:val="24"/>
          <w:highlight w:val="none"/>
        </w:rPr>
      </w:pPr>
      <w:r>
        <w:rPr>
          <w:rFonts w:hint="eastAsia" w:ascii="宋体" w:hAnsi="宋体" w:cs="宋体"/>
          <w:color w:val="auto"/>
          <w:sz w:val="24"/>
          <w:highlight w:val="none"/>
        </w:rPr>
        <w:t>招标编号：</w:t>
      </w:r>
    </w:p>
    <w:tbl>
      <w:tblPr>
        <w:tblStyle w:val="24"/>
        <w:tblW w:w="93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
        <w:gridCol w:w="2004"/>
        <w:gridCol w:w="2113"/>
        <w:gridCol w:w="1750"/>
        <w:gridCol w:w="2514"/>
      </w:tblGrid>
      <w:tr w14:paraId="73CFC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9" w:hRule="atLeast"/>
          <w:jc w:val="center"/>
        </w:trPr>
        <w:tc>
          <w:tcPr>
            <w:tcW w:w="949" w:type="dxa"/>
            <w:tcBorders>
              <w:top w:val="single" w:color="auto" w:sz="4" w:space="0"/>
              <w:left w:val="single" w:color="auto" w:sz="4" w:space="0"/>
              <w:bottom w:val="single" w:color="auto" w:sz="4" w:space="0"/>
              <w:right w:val="single" w:color="auto" w:sz="4" w:space="0"/>
            </w:tcBorders>
            <w:vAlign w:val="center"/>
          </w:tcPr>
          <w:p w14:paraId="0A381F52">
            <w:pPr>
              <w:jc w:val="center"/>
              <w:rPr>
                <w:rFonts w:ascii="宋体" w:hAnsi="宋体" w:cs="宋体"/>
                <w:color w:val="auto"/>
                <w:sz w:val="24"/>
                <w:highlight w:val="none"/>
              </w:rPr>
            </w:pPr>
            <w:r>
              <w:rPr>
                <w:rFonts w:hint="eastAsia" w:ascii="宋体" w:hAnsi="宋体" w:cs="宋体"/>
                <w:color w:val="auto"/>
                <w:sz w:val="24"/>
                <w:highlight w:val="none"/>
              </w:rPr>
              <w:t>序号</w:t>
            </w:r>
          </w:p>
        </w:tc>
        <w:tc>
          <w:tcPr>
            <w:tcW w:w="2004" w:type="dxa"/>
            <w:tcBorders>
              <w:top w:val="single" w:color="auto" w:sz="4" w:space="0"/>
              <w:left w:val="single" w:color="auto" w:sz="4" w:space="0"/>
              <w:bottom w:val="single" w:color="auto" w:sz="4" w:space="0"/>
              <w:right w:val="single" w:color="auto" w:sz="4" w:space="0"/>
            </w:tcBorders>
            <w:vAlign w:val="center"/>
          </w:tcPr>
          <w:p w14:paraId="08FDF6E7">
            <w:pPr>
              <w:jc w:val="center"/>
              <w:rPr>
                <w:rFonts w:ascii="宋体" w:hAnsi="宋体" w:cs="宋体"/>
                <w:color w:val="auto"/>
                <w:sz w:val="24"/>
                <w:highlight w:val="none"/>
              </w:rPr>
            </w:pPr>
            <w:r>
              <w:rPr>
                <w:rFonts w:hint="eastAsia" w:ascii="宋体" w:hAnsi="宋体" w:cs="宋体"/>
                <w:color w:val="auto"/>
                <w:sz w:val="24"/>
                <w:highlight w:val="none"/>
              </w:rPr>
              <w:t>内  容</w:t>
            </w:r>
          </w:p>
        </w:tc>
        <w:tc>
          <w:tcPr>
            <w:tcW w:w="2113" w:type="dxa"/>
            <w:tcBorders>
              <w:top w:val="single" w:color="auto" w:sz="4" w:space="0"/>
              <w:left w:val="single" w:color="auto" w:sz="4" w:space="0"/>
              <w:bottom w:val="single" w:color="auto" w:sz="4" w:space="0"/>
              <w:right w:val="single" w:color="auto" w:sz="4" w:space="0"/>
            </w:tcBorders>
            <w:vAlign w:val="center"/>
          </w:tcPr>
          <w:p w14:paraId="788669D7">
            <w:pPr>
              <w:jc w:val="center"/>
              <w:rPr>
                <w:rFonts w:ascii="宋体" w:hAnsi="宋体" w:cs="宋体"/>
                <w:color w:val="auto"/>
                <w:sz w:val="24"/>
                <w:highlight w:val="none"/>
              </w:rPr>
            </w:pPr>
            <w:r>
              <w:rPr>
                <w:rFonts w:hint="eastAsia" w:ascii="宋体" w:hAnsi="宋体" w:cs="宋体"/>
                <w:color w:val="auto"/>
                <w:sz w:val="24"/>
                <w:highlight w:val="none"/>
              </w:rPr>
              <w:t>招标文件</w:t>
            </w:r>
          </w:p>
          <w:p w14:paraId="2EE8C3F4">
            <w:pPr>
              <w:jc w:val="center"/>
              <w:rPr>
                <w:rFonts w:ascii="宋体" w:hAnsi="宋体" w:cs="宋体"/>
                <w:color w:val="auto"/>
                <w:sz w:val="24"/>
                <w:highlight w:val="none"/>
              </w:rPr>
            </w:pPr>
            <w:r>
              <w:rPr>
                <w:rFonts w:hint="eastAsia" w:ascii="宋体" w:hAnsi="宋体" w:cs="宋体"/>
                <w:color w:val="auto"/>
                <w:sz w:val="24"/>
                <w:highlight w:val="none"/>
              </w:rPr>
              <w:t>规范要求</w:t>
            </w:r>
          </w:p>
        </w:tc>
        <w:tc>
          <w:tcPr>
            <w:tcW w:w="1750" w:type="dxa"/>
            <w:tcBorders>
              <w:top w:val="single" w:color="auto" w:sz="4" w:space="0"/>
              <w:left w:val="single" w:color="auto" w:sz="4" w:space="0"/>
              <w:bottom w:val="single" w:color="auto" w:sz="4" w:space="0"/>
              <w:right w:val="single" w:color="auto" w:sz="4" w:space="0"/>
            </w:tcBorders>
            <w:vAlign w:val="center"/>
          </w:tcPr>
          <w:p w14:paraId="671FAEFF">
            <w:pPr>
              <w:jc w:val="center"/>
              <w:rPr>
                <w:rFonts w:ascii="宋体" w:hAnsi="宋体" w:cs="宋体"/>
                <w:color w:val="auto"/>
                <w:sz w:val="24"/>
                <w:highlight w:val="none"/>
              </w:rPr>
            </w:pPr>
            <w:r>
              <w:rPr>
                <w:rFonts w:hint="eastAsia" w:ascii="宋体" w:hAnsi="宋体" w:cs="宋体"/>
                <w:color w:val="auto"/>
                <w:sz w:val="24"/>
                <w:highlight w:val="none"/>
              </w:rPr>
              <w:t>投标文件</w:t>
            </w:r>
          </w:p>
          <w:p w14:paraId="7F78E8B5">
            <w:pPr>
              <w:jc w:val="center"/>
              <w:rPr>
                <w:rFonts w:ascii="宋体" w:hAnsi="宋体" w:cs="宋体"/>
                <w:color w:val="auto"/>
                <w:sz w:val="24"/>
                <w:highlight w:val="none"/>
              </w:rPr>
            </w:pPr>
            <w:r>
              <w:rPr>
                <w:rFonts w:hint="eastAsia" w:ascii="宋体" w:hAnsi="宋体" w:cs="宋体"/>
                <w:color w:val="auto"/>
                <w:sz w:val="24"/>
                <w:highlight w:val="none"/>
              </w:rPr>
              <w:t>对应规范</w:t>
            </w:r>
          </w:p>
        </w:tc>
        <w:tc>
          <w:tcPr>
            <w:tcW w:w="2514" w:type="dxa"/>
            <w:tcBorders>
              <w:top w:val="single" w:color="auto" w:sz="4" w:space="0"/>
              <w:left w:val="single" w:color="auto" w:sz="4" w:space="0"/>
              <w:bottom w:val="single" w:color="auto" w:sz="4" w:space="0"/>
              <w:right w:val="single" w:color="auto" w:sz="4" w:space="0"/>
            </w:tcBorders>
            <w:vAlign w:val="center"/>
          </w:tcPr>
          <w:p w14:paraId="3DE8DA50">
            <w:pPr>
              <w:jc w:val="center"/>
              <w:rPr>
                <w:rFonts w:ascii="宋体" w:hAnsi="宋体" w:cs="宋体"/>
                <w:color w:val="auto"/>
                <w:sz w:val="24"/>
                <w:highlight w:val="none"/>
              </w:rPr>
            </w:pPr>
            <w:r>
              <w:rPr>
                <w:rFonts w:hint="eastAsia" w:ascii="宋体" w:hAnsi="宋体" w:cs="宋体"/>
                <w:color w:val="auto"/>
                <w:sz w:val="24"/>
                <w:highlight w:val="none"/>
              </w:rPr>
              <w:t>偏离情况</w:t>
            </w:r>
          </w:p>
          <w:p w14:paraId="56D89BA2">
            <w:pPr>
              <w:jc w:val="center"/>
              <w:rPr>
                <w:rFonts w:ascii="宋体" w:hAnsi="宋体" w:cs="宋体"/>
                <w:color w:val="auto"/>
                <w:sz w:val="24"/>
                <w:highlight w:val="none"/>
              </w:rPr>
            </w:pPr>
            <w:r>
              <w:rPr>
                <w:rFonts w:hint="eastAsia" w:ascii="宋体" w:hAnsi="宋体" w:cs="宋体"/>
                <w:color w:val="auto"/>
                <w:sz w:val="24"/>
                <w:highlight w:val="none"/>
              </w:rPr>
              <w:t>（注明正偏离、负偏离或无偏离）</w:t>
            </w:r>
          </w:p>
        </w:tc>
      </w:tr>
      <w:tr w14:paraId="5E2E8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5927577A">
            <w:pPr>
              <w:jc w:val="cente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78A7A8B8">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7C3ABBED">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5C5145FC">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2E23FBF6">
            <w:pPr>
              <w:rPr>
                <w:rFonts w:ascii="宋体" w:hAnsi="宋体" w:cs="宋体"/>
                <w:color w:val="auto"/>
                <w:sz w:val="24"/>
                <w:highlight w:val="none"/>
              </w:rPr>
            </w:pPr>
          </w:p>
        </w:tc>
      </w:tr>
      <w:tr w14:paraId="137EE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48CE3685">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3383D654">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53AB8BE6">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5DD8ED54">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743B9627">
            <w:pPr>
              <w:rPr>
                <w:rFonts w:ascii="宋体" w:hAnsi="宋体" w:cs="宋体"/>
                <w:color w:val="auto"/>
                <w:sz w:val="24"/>
                <w:highlight w:val="none"/>
              </w:rPr>
            </w:pPr>
          </w:p>
        </w:tc>
      </w:tr>
      <w:tr w14:paraId="4B033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6BB421BF">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4284D375">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5F9EE8BE">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02565ED7">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5323D988">
            <w:pPr>
              <w:rPr>
                <w:rFonts w:ascii="宋体" w:hAnsi="宋体" w:cs="宋体"/>
                <w:color w:val="auto"/>
                <w:sz w:val="24"/>
                <w:highlight w:val="none"/>
              </w:rPr>
            </w:pPr>
          </w:p>
        </w:tc>
      </w:tr>
      <w:tr w14:paraId="0FD86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9" w:type="dxa"/>
            <w:tcBorders>
              <w:top w:val="single" w:color="auto" w:sz="4" w:space="0"/>
              <w:left w:val="single" w:color="auto" w:sz="4" w:space="0"/>
              <w:bottom w:val="single" w:color="auto" w:sz="4" w:space="0"/>
              <w:right w:val="single" w:color="auto" w:sz="4" w:space="0"/>
            </w:tcBorders>
          </w:tcPr>
          <w:p w14:paraId="4587711F">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452C9BF5">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76D303AA">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350CD607">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561B8027">
            <w:pPr>
              <w:rPr>
                <w:rFonts w:ascii="宋体" w:hAnsi="宋体" w:cs="宋体"/>
                <w:color w:val="auto"/>
                <w:sz w:val="24"/>
                <w:highlight w:val="none"/>
              </w:rPr>
            </w:pPr>
          </w:p>
        </w:tc>
      </w:tr>
      <w:tr w14:paraId="50FD0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21A9E0E">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61C3470B">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383E2EE1">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05E213A1">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7B080F4D">
            <w:pPr>
              <w:rPr>
                <w:rFonts w:ascii="宋体" w:hAnsi="宋体" w:cs="宋体"/>
                <w:color w:val="auto"/>
                <w:sz w:val="24"/>
                <w:highlight w:val="none"/>
              </w:rPr>
            </w:pPr>
          </w:p>
        </w:tc>
      </w:tr>
      <w:tr w14:paraId="469F8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jc w:val="center"/>
        </w:trPr>
        <w:tc>
          <w:tcPr>
            <w:tcW w:w="949" w:type="dxa"/>
            <w:tcBorders>
              <w:top w:val="single" w:color="auto" w:sz="4" w:space="0"/>
              <w:left w:val="single" w:color="auto" w:sz="4" w:space="0"/>
              <w:bottom w:val="single" w:color="auto" w:sz="4" w:space="0"/>
              <w:right w:val="single" w:color="auto" w:sz="4" w:space="0"/>
            </w:tcBorders>
          </w:tcPr>
          <w:p w14:paraId="5E31C5BF">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4D2696B2">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738D41C0">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38A15E95">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62B606E6">
            <w:pPr>
              <w:rPr>
                <w:rFonts w:ascii="宋体" w:hAnsi="宋体" w:cs="宋体"/>
                <w:color w:val="auto"/>
                <w:sz w:val="24"/>
                <w:highlight w:val="none"/>
              </w:rPr>
            </w:pPr>
          </w:p>
        </w:tc>
      </w:tr>
      <w:tr w14:paraId="3F74A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1C32D1D">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1EE5C4A3">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31726B17">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249002C2">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0FF3CEF9">
            <w:pPr>
              <w:rPr>
                <w:rFonts w:ascii="宋体" w:hAnsi="宋体" w:cs="宋体"/>
                <w:color w:val="auto"/>
                <w:sz w:val="24"/>
                <w:highlight w:val="none"/>
              </w:rPr>
            </w:pPr>
          </w:p>
        </w:tc>
      </w:tr>
      <w:tr w14:paraId="4D079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1EC9E334">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0999D563">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0C63DD24">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29DC0F30">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33AEB01D">
            <w:pPr>
              <w:rPr>
                <w:rFonts w:ascii="宋体" w:hAnsi="宋体" w:cs="宋体"/>
                <w:color w:val="auto"/>
                <w:sz w:val="24"/>
                <w:highlight w:val="none"/>
              </w:rPr>
            </w:pPr>
          </w:p>
        </w:tc>
      </w:tr>
      <w:tr w14:paraId="67138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jc w:val="center"/>
        </w:trPr>
        <w:tc>
          <w:tcPr>
            <w:tcW w:w="949" w:type="dxa"/>
            <w:tcBorders>
              <w:top w:val="single" w:color="auto" w:sz="4" w:space="0"/>
              <w:left w:val="single" w:color="auto" w:sz="4" w:space="0"/>
              <w:bottom w:val="single" w:color="auto" w:sz="4" w:space="0"/>
              <w:right w:val="single" w:color="auto" w:sz="4" w:space="0"/>
            </w:tcBorders>
          </w:tcPr>
          <w:p w14:paraId="0D037004">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4027A20F">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1B83E52D">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00F23D16">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48A05607">
            <w:pPr>
              <w:rPr>
                <w:rFonts w:ascii="宋体" w:hAnsi="宋体" w:cs="宋体"/>
                <w:color w:val="auto"/>
                <w:sz w:val="24"/>
                <w:highlight w:val="none"/>
              </w:rPr>
            </w:pPr>
          </w:p>
        </w:tc>
      </w:tr>
      <w:tr w14:paraId="54201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40CCB8F0">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72D980C8">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53BE611D">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75F17C98">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76531B7A">
            <w:pPr>
              <w:rPr>
                <w:rFonts w:ascii="宋体" w:hAnsi="宋体" w:cs="宋体"/>
                <w:color w:val="auto"/>
                <w:sz w:val="24"/>
                <w:highlight w:val="none"/>
              </w:rPr>
            </w:pPr>
          </w:p>
        </w:tc>
      </w:tr>
      <w:tr w14:paraId="1E88A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1E361054">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4334A61A">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633DFABE">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00849A01">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4D8714FF">
            <w:pPr>
              <w:rPr>
                <w:rFonts w:ascii="宋体" w:hAnsi="宋体" w:cs="宋体"/>
                <w:color w:val="auto"/>
                <w:sz w:val="24"/>
                <w:highlight w:val="none"/>
              </w:rPr>
            </w:pPr>
          </w:p>
        </w:tc>
      </w:tr>
      <w:tr w14:paraId="408A3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17301F43">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6D34CD7C">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4AD210D8">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107E66CE">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1B8FE827">
            <w:pPr>
              <w:rPr>
                <w:rFonts w:ascii="宋体" w:hAnsi="宋体" w:cs="宋体"/>
                <w:color w:val="auto"/>
                <w:sz w:val="24"/>
                <w:highlight w:val="none"/>
              </w:rPr>
            </w:pPr>
          </w:p>
        </w:tc>
      </w:tr>
    </w:tbl>
    <w:p w14:paraId="3CDC54D1">
      <w:pPr>
        <w:snapToGrid w:val="0"/>
        <w:spacing w:before="50" w:after="50"/>
        <w:rPr>
          <w:rFonts w:ascii="宋体" w:hAnsi="宋体" w:cs="宋体"/>
          <w:b/>
          <w:bCs/>
          <w:color w:val="auto"/>
          <w:sz w:val="24"/>
          <w:highlight w:val="none"/>
        </w:rPr>
      </w:pPr>
    </w:p>
    <w:p w14:paraId="64F55785">
      <w:pPr>
        <w:snapToGrid w:val="0"/>
        <w:spacing w:before="50" w:after="50"/>
        <w:rPr>
          <w:rFonts w:ascii="宋体" w:hAnsi="宋体" w:cs="宋体"/>
          <w:b/>
          <w:bCs/>
          <w:color w:val="auto"/>
          <w:spacing w:val="20"/>
          <w:sz w:val="24"/>
          <w:highlight w:val="none"/>
        </w:rPr>
      </w:pPr>
      <w:r>
        <w:rPr>
          <w:rFonts w:hint="eastAsia" w:ascii="宋体" w:hAnsi="宋体" w:cs="宋体"/>
          <w:b/>
          <w:bCs/>
          <w:color w:val="auto"/>
          <w:sz w:val="24"/>
          <w:highlight w:val="none"/>
        </w:rPr>
        <w:t>注：投标人应根据投标货物的性能指标、对照招标文件要求在“偏离情况”栏注明“正偏离”、“负偏离”或“无偏离”。</w:t>
      </w:r>
    </w:p>
    <w:p w14:paraId="7C3DCE3E">
      <w:pPr>
        <w:snapToGrid w:val="0"/>
        <w:spacing w:before="50" w:after="50"/>
        <w:rPr>
          <w:rFonts w:ascii="宋体" w:hAnsi="宋体" w:cs="宋体"/>
          <w:color w:val="auto"/>
          <w:spacing w:val="20"/>
          <w:sz w:val="24"/>
          <w:highlight w:val="none"/>
        </w:rPr>
      </w:pPr>
    </w:p>
    <w:p w14:paraId="51E593C4">
      <w:pPr>
        <w:snapToGrid w:val="0"/>
        <w:spacing w:before="50" w:after="50"/>
        <w:rPr>
          <w:rFonts w:ascii="宋体" w:hAnsi="宋体" w:cs="宋体"/>
          <w:color w:val="auto"/>
          <w:spacing w:val="20"/>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1374D57B">
      <w:pPr>
        <w:snapToGrid w:val="0"/>
        <w:spacing w:before="50" w:after="50"/>
        <w:rPr>
          <w:rFonts w:ascii="宋体" w:hAnsi="宋体" w:cs="宋体"/>
          <w:color w:val="auto"/>
          <w:sz w:val="24"/>
          <w:highlight w:val="none"/>
        </w:rPr>
      </w:pPr>
      <w:r>
        <w:rPr>
          <w:rFonts w:hint="eastAsia" w:ascii="宋体" w:hAnsi="宋体" w:cs="宋体"/>
          <w:color w:val="auto"/>
          <w:spacing w:val="20"/>
          <w:sz w:val="24"/>
          <w:highlight w:val="none"/>
        </w:rPr>
        <w:t>投标人盖章：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22A85ACD">
      <w:pPr>
        <w:snapToGrid w:val="0"/>
        <w:spacing w:before="50" w:afterLines="50"/>
        <w:jc w:val="left"/>
        <w:rPr>
          <w:rFonts w:ascii="宋体" w:hAnsi="宋体" w:cs="宋体"/>
          <w:color w:val="auto"/>
          <w:sz w:val="24"/>
          <w:highlight w:val="none"/>
        </w:rPr>
      </w:pPr>
    </w:p>
    <w:p w14:paraId="6DEAA229">
      <w:pPr>
        <w:spacing w:before="260" w:after="260" w:line="415" w:lineRule="auto"/>
        <w:rPr>
          <w:rFonts w:ascii="宋体" w:hAnsi="宋体" w:cs="宋体"/>
          <w:bCs/>
          <w:color w:val="auto"/>
          <w:sz w:val="24"/>
          <w:highlight w:val="none"/>
        </w:rPr>
      </w:pPr>
    </w:p>
    <w:p w14:paraId="643FB4F6">
      <w:pPr>
        <w:spacing w:before="260" w:after="260" w:line="415" w:lineRule="auto"/>
        <w:rPr>
          <w:rFonts w:ascii="宋体" w:hAnsi="宋体" w:cs="宋体"/>
          <w:bCs/>
          <w:color w:val="auto"/>
          <w:sz w:val="24"/>
          <w:highlight w:val="none"/>
        </w:rPr>
      </w:pPr>
    </w:p>
    <w:p w14:paraId="6AF5B675">
      <w:pPr>
        <w:spacing w:before="260" w:after="260" w:line="415" w:lineRule="auto"/>
        <w:rPr>
          <w:rFonts w:ascii="宋体" w:hAnsi="宋体" w:cs="宋体"/>
          <w:bCs/>
          <w:color w:val="auto"/>
          <w:sz w:val="24"/>
          <w:highlight w:val="none"/>
        </w:rPr>
      </w:pPr>
    </w:p>
    <w:p w14:paraId="70614B66">
      <w:pPr>
        <w:keepNext/>
        <w:keepLines/>
        <w:pageBreakBefore/>
        <w:spacing w:before="260" w:after="260" w:line="416" w:lineRule="auto"/>
        <w:outlineLvl w:val="1"/>
        <w:rPr>
          <w:rFonts w:ascii="宋体" w:hAnsi="宋体" w:cs="宋体"/>
          <w:color w:val="auto"/>
          <w:sz w:val="24"/>
          <w:highlight w:val="none"/>
        </w:rPr>
      </w:pPr>
      <w:bookmarkStart w:id="90" w:name="_Toc3356"/>
      <w:bookmarkStart w:id="91" w:name="_Toc7497"/>
      <w:bookmarkStart w:id="92" w:name="_Toc22741"/>
      <w:bookmarkStart w:id="93" w:name="_Toc29497"/>
      <w:r>
        <w:rPr>
          <w:rFonts w:hint="eastAsia" w:ascii="宋体" w:hAnsi="宋体" w:cs="宋体"/>
          <w:color w:val="auto"/>
          <w:sz w:val="24"/>
          <w:highlight w:val="none"/>
        </w:rPr>
        <w:t>附件十：</w:t>
      </w:r>
      <w:bookmarkEnd w:id="90"/>
      <w:r>
        <w:rPr>
          <w:rFonts w:hint="eastAsia" w:ascii="宋体" w:hAnsi="宋体" w:cs="宋体"/>
          <w:color w:val="auto"/>
          <w:sz w:val="24"/>
          <w:highlight w:val="none"/>
        </w:rPr>
        <w:t>项目组成员一览表</w:t>
      </w:r>
      <w:bookmarkEnd w:id="91"/>
      <w:bookmarkEnd w:id="92"/>
    </w:p>
    <w:p w14:paraId="48541046">
      <w:pPr>
        <w:snapToGrid w:val="0"/>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项目组成员一览表</w:t>
      </w:r>
    </w:p>
    <w:p w14:paraId="35B1DC9B">
      <w:pPr>
        <w:snapToGrid w:val="0"/>
        <w:spacing w:line="360" w:lineRule="auto"/>
        <w:rPr>
          <w:rFonts w:ascii="宋体" w:hAnsi="宋体"/>
          <w:color w:val="auto"/>
          <w:highlight w:val="none"/>
        </w:rPr>
      </w:pPr>
      <w:r>
        <w:rPr>
          <w:rFonts w:hint="eastAsia" w:ascii="宋体" w:hAnsi="宋体"/>
          <w:color w:val="auto"/>
          <w:highlight w:val="none"/>
        </w:rPr>
        <w:t>项目名称：</w:t>
      </w:r>
      <w:r>
        <w:rPr>
          <w:rFonts w:hint="eastAsia" w:ascii="宋体" w:hAnsi="宋体"/>
          <w:color w:val="auto"/>
          <w:highlight w:val="none"/>
          <w:u w:val="single"/>
        </w:rPr>
        <w:t xml:space="preserve">                             </w:t>
      </w:r>
      <w:r>
        <w:rPr>
          <w:rFonts w:hint="eastAsia" w:ascii="宋体" w:hAnsi="宋体"/>
          <w:color w:val="auto"/>
          <w:highlight w:val="none"/>
        </w:rPr>
        <w:t xml:space="preserve">   招标编号：</w:t>
      </w:r>
      <w:r>
        <w:rPr>
          <w:rFonts w:hint="eastAsia" w:ascii="宋体" w:hAnsi="宋体"/>
          <w:color w:val="auto"/>
          <w:highlight w:val="none"/>
          <w:u w:val="single"/>
        </w:rPr>
        <w:t xml:space="preserve">             </w:t>
      </w:r>
      <w:r>
        <w:rPr>
          <w:rFonts w:hint="eastAsia" w:ascii="宋体" w:hAnsi="宋体"/>
          <w:color w:val="auto"/>
          <w:highlight w:val="none"/>
        </w:rPr>
        <w:t xml:space="preserve">   </w:t>
      </w:r>
    </w:p>
    <w:tbl>
      <w:tblPr>
        <w:tblStyle w:val="24"/>
        <w:tblW w:w="93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76"/>
        <w:gridCol w:w="1323"/>
        <w:gridCol w:w="1696"/>
        <w:gridCol w:w="924"/>
        <w:gridCol w:w="1061"/>
        <w:gridCol w:w="934"/>
        <w:gridCol w:w="1395"/>
      </w:tblGrid>
      <w:tr w14:paraId="6F719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2C076140">
            <w:pPr>
              <w:jc w:val="center"/>
              <w:rPr>
                <w:rFonts w:ascii="宋体" w:hAnsi="宋体"/>
                <w:b/>
                <w:bCs/>
                <w:color w:val="auto"/>
                <w:sz w:val="24"/>
                <w:highlight w:val="none"/>
              </w:rPr>
            </w:pPr>
            <w:r>
              <w:rPr>
                <w:rFonts w:hint="eastAsia" w:ascii="宋体" w:hAnsi="宋体"/>
                <w:b/>
                <w:bCs/>
                <w:color w:val="auto"/>
                <w:sz w:val="24"/>
                <w:highlight w:val="none"/>
              </w:rPr>
              <w:t>序号</w:t>
            </w:r>
          </w:p>
        </w:tc>
        <w:tc>
          <w:tcPr>
            <w:tcW w:w="1276" w:type="dxa"/>
            <w:vAlign w:val="center"/>
          </w:tcPr>
          <w:p w14:paraId="0620C698">
            <w:pPr>
              <w:jc w:val="center"/>
              <w:rPr>
                <w:rFonts w:ascii="宋体" w:hAnsi="宋体"/>
                <w:b/>
                <w:bCs/>
                <w:color w:val="auto"/>
                <w:sz w:val="24"/>
                <w:highlight w:val="none"/>
              </w:rPr>
            </w:pPr>
            <w:r>
              <w:rPr>
                <w:rFonts w:hint="eastAsia" w:ascii="宋体" w:hAnsi="宋体"/>
                <w:b/>
                <w:bCs/>
                <w:color w:val="auto"/>
                <w:sz w:val="24"/>
                <w:highlight w:val="none"/>
              </w:rPr>
              <w:t>姓名</w:t>
            </w:r>
          </w:p>
        </w:tc>
        <w:tc>
          <w:tcPr>
            <w:tcW w:w="1323" w:type="dxa"/>
            <w:vAlign w:val="center"/>
          </w:tcPr>
          <w:p w14:paraId="5D768DDE">
            <w:pPr>
              <w:jc w:val="center"/>
              <w:rPr>
                <w:rFonts w:ascii="宋体" w:hAnsi="宋体"/>
                <w:b/>
                <w:bCs/>
                <w:color w:val="auto"/>
                <w:sz w:val="24"/>
                <w:highlight w:val="none"/>
              </w:rPr>
            </w:pPr>
            <w:r>
              <w:rPr>
                <w:rFonts w:hint="eastAsia" w:ascii="宋体" w:hAnsi="宋体"/>
                <w:b/>
                <w:bCs/>
                <w:color w:val="auto"/>
                <w:sz w:val="24"/>
                <w:highlight w:val="none"/>
              </w:rPr>
              <w:t>拟任岗位</w:t>
            </w:r>
          </w:p>
        </w:tc>
        <w:tc>
          <w:tcPr>
            <w:tcW w:w="1696" w:type="dxa"/>
            <w:vAlign w:val="center"/>
          </w:tcPr>
          <w:p w14:paraId="1652822B">
            <w:pPr>
              <w:jc w:val="center"/>
              <w:rPr>
                <w:rFonts w:ascii="宋体" w:hAnsi="宋体"/>
                <w:b/>
                <w:bCs/>
                <w:color w:val="auto"/>
                <w:sz w:val="24"/>
                <w:highlight w:val="none"/>
              </w:rPr>
            </w:pPr>
            <w:r>
              <w:rPr>
                <w:rFonts w:ascii="宋体" w:hAnsi="宋体"/>
                <w:b/>
                <w:bCs/>
                <w:color w:val="auto"/>
                <w:sz w:val="24"/>
                <w:highlight w:val="none"/>
              </w:rPr>
              <w:t>身份证号码</w:t>
            </w:r>
          </w:p>
        </w:tc>
        <w:tc>
          <w:tcPr>
            <w:tcW w:w="924" w:type="dxa"/>
            <w:vAlign w:val="center"/>
          </w:tcPr>
          <w:p w14:paraId="60D89698">
            <w:pPr>
              <w:jc w:val="center"/>
              <w:rPr>
                <w:rFonts w:ascii="宋体" w:hAnsi="宋体"/>
                <w:b/>
                <w:bCs/>
                <w:color w:val="auto"/>
                <w:sz w:val="24"/>
                <w:highlight w:val="none"/>
              </w:rPr>
            </w:pPr>
            <w:r>
              <w:rPr>
                <w:rFonts w:hint="eastAsia" w:ascii="宋体" w:hAnsi="宋体"/>
                <w:b/>
                <w:bCs/>
                <w:color w:val="auto"/>
                <w:sz w:val="24"/>
                <w:highlight w:val="none"/>
              </w:rPr>
              <w:t>年龄</w:t>
            </w:r>
          </w:p>
        </w:tc>
        <w:tc>
          <w:tcPr>
            <w:tcW w:w="1061" w:type="dxa"/>
            <w:vAlign w:val="center"/>
          </w:tcPr>
          <w:p w14:paraId="39407395">
            <w:pPr>
              <w:jc w:val="center"/>
              <w:rPr>
                <w:rFonts w:ascii="宋体" w:hAnsi="宋体"/>
                <w:b/>
                <w:bCs/>
                <w:color w:val="auto"/>
                <w:sz w:val="24"/>
                <w:highlight w:val="none"/>
              </w:rPr>
            </w:pPr>
            <w:r>
              <w:rPr>
                <w:rFonts w:hint="eastAsia" w:ascii="宋体" w:hAnsi="宋体"/>
                <w:b/>
                <w:bCs/>
                <w:color w:val="auto"/>
                <w:sz w:val="24"/>
                <w:highlight w:val="none"/>
              </w:rPr>
              <w:t>性别</w:t>
            </w:r>
          </w:p>
        </w:tc>
        <w:tc>
          <w:tcPr>
            <w:tcW w:w="934" w:type="dxa"/>
            <w:vAlign w:val="center"/>
          </w:tcPr>
          <w:p w14:paraId="5741DF7D">
            <w:pPr>
              <w:jc w:val="center"/>
              <w:rPr>
                <w:rFonts w:ascii="宋体" w:hAnsi="宋体"/>
                <w:b/>
                <w:bCs/>
                <w:color w:val="auto"/>
                <w:sz w:val="24"/>
                <w:highlight w:val="none"/>
              </w:rPr>
            </w:pPr>
            <w:r>
              <w:rPr>
                <w:rFonts w:hint="eastAsia" w:ascii="宋体" w:hAnsi="宋体"/>
                <w:b/>
                <w:bCs/>
                <w:color w:val="auto"/>
                <w:sz w:val="24"/>
                <w:highlight w:val="none"/>
              </w:rPr>
              <w:t>学历</w:t>
            </w:r>
          </w:p>
        </w:tc>
        <w:tc>
          <w:tcPr>
            <w:tcW w:w="1395" w:type="dxa"/>
            <w:vAlign w:val="center"/>
          </w:tcPr>
          <w:p w14:paraId="489A53C3">
            <w:pPr>
              <w:jc w:val="center"/>
              <w:rPr>
                <w:rFonts w:ascii="宋体" w:hAnsi="宋体"/>
                <w:b/>
                <w:bCs/>
                <w:color w:val="auto"/>
                <w:sz w:val="24"/>
                <w:highlight w:val="none"/>
              </w:rPr>
            </w:pPr>
            <w:r>
              <w:rPr>
                <w:rFonts w:hint="eastAsia" w:ascii="宋体" w:hAnsi="宋体"/>
                <w:b/>
                <w:bCs/>
                <w:color w:val="auto"/>
                <w:sz w:val="24"/>
                <w:highlight w:val="none"/>
              </w:rPr>
              <w:t>持证情况</w:t>
            </w:r>
          </w:p>
        </w:tc>
      </w:tr>
      <w:tr w14:paraId="68FFA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6590E676">
            <w:pPr>
              <w:jc w:val="center"/>
              <w:rPr>
                <w:rFonts w:ascii="宋体" w:hAnsi="宋体"/>
                <w:color w:val="auto"/>
                <w:sz w:val="24"/>
                <w:highlight w:val="none"/>
              </w:rPr>
            </w:pPr>
            <w:r>
              <w:rPr>
                <w:rFonts w:hint="eastAsia" w:ascii="宋体" w:hAnsi="宋体"/>
                <w:color w:val="auto"/>
                <w:sz w:val="24"/>
                <w:highlight w:val="none"/>
              </w:rPr>
              <w:t>1</w:t>
            </w:r>
          </w:p>
        </w:tc>
        <w:tc>
          <w:tcPr>
            <w:tcW w:w="1276" w:type="dxa"/>
            <w:vAlign w:val="center"/>
          </w:tcPr>
          <w:p w14:paraId="1E9ED388">
            <w:pPr>
              <w:jc w:val="center"/>
              <w:rPr>
                <w:rFonts w:ascii="宋体" w:hAnsi="宋体"/>
                <w:color w:val="auto"/>
                <w:sz w:val="24"/>
                <w:highlight w:val="none"/>
              </w:rPr>
            </w:pPr>
          </w:p>
        </w:tc>
        <w:tc>
          <w:tcPr>
            <w:tcW w:w="1323" w:type="dxa"/>
            <w:vAlign w:val="center"/>
          </w:tcPr>
          <w:p w14:paraId="2BD219CC">
            <w:pPr>
              <w:jc w:val="center"/>
              <w:rPr>
                <w:rFonts w:ascii="宋体" w:hAnsi="宋体"/>
                <w:color w:val="auto"/>
                <w:sz w:val="24"/>
                <w:highlight w:val="none"/>
              </w:rPr>
            </w:pPr>
          </w:p>
        </w:tc>
        <w:tc>
          <w:tcPr>
            <w:tcW w:w="1696" w:type="dxa"/>
            <w:vAlign w:val="center"/>
          </w:tcPr>
          <w:p w14:paraId="73104863">
            <w:pPr>
              <w:jc w:val="center"/>
              <w:rPr>
                <w:rFonts w:ascii="宋体" w:hAnsi="宋体"/>
                <w:color w:val="auto"/>
                <w:sz w:val="24"/>
                <w:highlight w:val="none"/>
              </w:rPr>
            </w:pPr>
          </w:p>
        </w:tc>
        <w:tc>
          <w:tcPr>
            <w:tcW w:w="924" w:type="dxa"/>
            <w:vAlign w:val="center"/>
          </w:tcPr>
          <w:p w14:paraId="0434448B">
            <w:pPr>
              <w:jc w:val="center"/>
              <w:rPr>
                <w:rFonts w:ascii="宋体" w:hAnsi="宋体"/>
                <w:color w:val="auto"/>
                <w:sz w:val="24"/>
                <w:highlight w:val="none"/>
              </w:rPr>
            </w:pPr>
          </w:p>
        </w:tc>
        <w:tc>
          <w:tcPr>
            <w:tcW w:w="1061" w:type="dxa"/>
            <w:vAlign w:val="center"/>
          </w:tcPr>
          <w:p w14:paraId="391DFD77">
            <w:pPr>
              <w:jc w:val="center"/>
              <w:rPr>
                <w:rFonts w:ascii="宋体" w:hAnsi="宋体"/>
                <w:color w:val="auto"/>
                <w:sz w:val="24"/>
                <w:highlight w:val="none"/>
              </w:rPr>
            </w:pPr>
          </w:p>
        </w:tc>
        <w:tc>
          <w:tcPr>
            <w:tcW w:w="934" w:type="dxa"/>
            <w:vAlign w:val="center"/>
          </w:tcPr>
          <w:p w14:paraId="3FD782FC">
            <w:pPr>
              <w:jc w:val="center"/>
              <w:rPr>
                <w:rFonts w:ascii="宋体" w:hAnsi="宋体"/>
                <w:color w:val="auto"/>
                <w:sz w:val="24"/>
                <w:highlight w:val="none"/>
              </w:rPr>
            </w:pPr>
          </w:p>
        </w:tc>
        <w:tc>
          <w:tcPr>
            <w:tcW w:w="1395" w:type="dxa"/>
          </w:tcPr>
          <w:p w14:paraId="5BEF55C0">
            <w:pPr>
              <w:jc w:val="center"/>
              <w:rPr>
                <w:rFonts w:ascii="宋体" w:hAnsi="宋体"/>
                <w:color w:val="auto"/>
                <w:sz w:val="24"/>
                <w:highlight w:val="none"/>
              </w:rPr>
            </w:pPr>
          </w:p>
        </w:tc>
      </w:tr>
      <w:tr w14:paraId="545AA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3E191F85">
            <w:pPr>
              <w:jc w:val="center"/>
              <w:rPr>
                <w:rFonts w:ascii="宋体" w:hAnsi="宋体"/>
                <w:color w:val="auto"/>
                <w:sz w:val="24"/>
                <w:highlight w:val="none"/>
              </w:rPr>
            </w:pPr>
            <w:r>
              <w:rPr>
                <w:rFonts w:hint="eastAsia" w:ascii="宋体" w:hAnsi="宋体"/>
                <w:color w:val="auto"/>
                <w:sz w:val="24"/>
                <w:highlight w:val="none"/>
              </w:rPr>
              <w:t>2</w:t>
            </w:r>
          </w:p>
        </w:tc>
        <w:tc>
          <w:tcPr>
            <w:tcW w:w="1276" w:type="dxa"/>
            <w:vAlign w:val="center"/>
          </w:tcPr>
          <w:p w14:paraId="2FDD19BB">
            <w:pPr>
              <w:jc w:val="center"/>
              <w:rPr>
                <w:rFonts w:ascii="宋体" w:hAnsi="宋体"/>
                <w:color w:val="auto"/>
                <w:sz w:val="24"/>
                <w:highlight w:val="none"/>
              </w:rPr>
            </w:pPr>
          </w:p>
        </w:tc>
        <w:tc>
          <w:tcPr>
            <w:tcW w:w="1323" w:type="dxa"/>
            <w:vAlign w:val="center"/>
          </w:tcPr>
          <w:p w14:paraId="205054CA">
            <w:pPr>
              <w:jc w:val="center"/>
              <w:rPr>
                <w:rFonts w:ascii="宋体" w:hAnsi="宋体"/>
                <w:color w:val="auto"/>
                <w:sz w:val="24"/>
                <w:highlight w:val="none"/>
              </w:rPr>
            </w:pPr>
          </w:p>
        </w:tc>
        <w:tc>
          <w:tcPr>
            <w:tcW w:w="1696" w:type="dxa"/>
            <w:vAlign w:val="center"/>
          </w:tcPr>
          <w:p w14:paraId="2B7F5EED">
            <w:pPr>
              <w:jc w:val="center"/>
              <w:rPr>
                <w:rFonts w:ascii="宋体" w:hAnsi="宋体"/>
                <w:color w:val="auto"/>
                <w:sz w:val="24"/>
                <w:highlight w:val="none"/>
              </w:rPr>
            </w:pPr>
          </w:p>
        </w:tc>
        <w:tc>
          <w:tcPr>
            <w:tcW w:w="924" w:type="dxa"/>
            <w:vAlign w:val="center"/>
          </w:tcPr>
          <w:p w14:paraId="4DC1389E">
            <w:pPr>
              <w:jc w:val="center"/>
              <w:rPr>
                <w:rFonts w:ascii="宋体" w:hAnsi="宋体"/>
                <w:color w:val="auto"/>
                <w:sz w:val="24"/>
                <w:highlight w:val="none"/>
              </w:rPr>
            </w:pPr>
          </w:p>
        </w:tc>
        <w:tc>
          <w:tcPr>
            <w:tcW w:w="1061" w:type="dxa"/>
            <w:vAlign w:val="center"/>
          </w:tcPr>
          <w:p w14:paraId="1387CC26">
            <w:pPr>
              <w:jc w:val="center"/>
              <w:rPr>
                <w:rFonts w:ascii="宋体" w:hAnsi="宋体"/>
                <w:color w:val="auto"/>
                <w:sz w:val="24"/>
                <w:highlight w:val="none"/>
              </w:rPr>
            </w:pPr>
          </w:p>
        </w:tc>
        <w:tc>
          <w:tcPr>
            <w:tcW w:w="934" w:type="dxa"/>
            <w:vAlign w:val="center"/>
          </w:tcPr>
          <w:p w14:paraId="031094C3">
            <w:pPr>
              <w:jc w:val="center"/>
              <w:rPr>
                <w:rFonts w:ascii="宋体" w:hAnsi="宋体"/>
                <w:color w:val="auto"/>
                <w:sz w:val="24"/>
                <w:highlight w:val="none"/>
              </w:rPr>
            </w:pPr>
          </w:p>
        </w:tc>
        <w:tc>
          <w:tcPr>
            <w:tcW w:w="1395" w:type="dxa"/>
          </w:tcPr>
          <w:p w14:paraId="3D396B35">
            <w:pPr>
              <w:jc w:val="center"/>
              <w:rPr>
                <w:rFonts w:ascii="宋体" w:hAnsi="宋体"/>
                <w:color w:val="auto"/>
                <w:sz w:val="24"/>
                <w:highlight w:val="none"/>
              </w:rPr>
            </w:pPr>
          </w:p>
        </w:tc>
      </w:tr>
      <w:tr w14:paraId="2B658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1D7A6B98">
            <w:pPr>
              <w:jc w:val="center"/>
              <w:rPr>
                <w:rFonts w:ascii="宋体" w:hAnsi="宋体"/>
                <w:color w:val="auto"/>
                <w:sz w:val="24"/>
                <w:highlight w:val="none"/>
              </w:rPr>
            </w:pPr>
            <w:r>
              <w:rPr>
                <w:rFonts w:hint="eastAsia" w:ascii="宋体" w:hAnsi="宋体"/>
                <w:color w:val="auto"/>
                <w:sz w:val="24"/>
                <w:highlight w:val="none"/>
              </w:rPr>
              <w:t>3</w:t>
            </w:r>
          </w:p>
        </w:tc>
        <w:tc>
          <w:tcPr>
            <w:tcW w:w="1276" w:type="dxa"/>
            <w:vAlign w:val="center"/>
          </w:tcPr>
          <w:p w14:paraId="0A4171B8">
            <w:pPr>
              <w:jc w:val="center"/>
              <w:rPr>
                <w:rFonts w:ascii="宋体" w:hAnsi="宋体"/>
                <w:color w:val="auto"/>
                <w:sz w:val="24"/>
                <w:highlight w:val="none"/>
              </w:rPr>
            </w:pPr>
          </w:p>
        </w:tc>
        <w:tc>
          <w:tcPr>
            <w:tcW w:w="1323" w:type="dxa"/>
            <w:vAlign w:val="center"/>
          </w:tcPr>
          <w:p w14:paraId="1915A734">
            <w:pPr>
              <w:jc w:val="center"/>
              <w:rPr>
                <w:rFonts w:ascii="宋体" w:hAnsi="宋体"/>
                <w:color w:val="auto"/>
                <w:sz w:val="24"/>
                <w:highlight w:val="none"/>
              </w:rPr>
            </w:pPr>
          </w:p>
        </w:tc>
        <w:tc>
          <w:tcPr>
            <w:tcW w:w="1696" w:type="dxa"/>
            <w:vAlign w:val="center"/>
          </w:tcPr>
          <w:p w14:paraId="1488C154">
            <w:pPr>
              <w:jc w:val="center"/>
              <w:rPr>
                <w:rFonts w:ascii="宋体" w:hAnsi="宋体"/>
                <w:color w:val="auto"/>
                <w:sz w:val="24"/>
                <w:highlight w:val="none"/>
              </w:rPr>
            </w:pPr>
          </w:p>
        </w:tc>
        <w:tc>
          <w:tcPr>
            <w:tcW w:w="924" w:type="dxa"/>
            <w:vAlign w:val="center"/>
          </w:tcPr>
          <w:p w14:paraId="5618416B">
            <w:pPr>
              <w:jc w:val="center"/>
              <w:rPr>
                <w:rFonts w:ascii="宋体" w:hAnsi="宋体"/>
                <w:color w:val="auto"/>
                <w:sz w:val="24"/>
                <w:highlight w:val="none"/>
              </w:rPr>
            </w:pPr>
          </w:p>
        </w:tc>
        <w:tc>
          <w:tcPr>
            <w:tcW w:w="1061" w:type="dxa"/>
            <w:vAlign w:val="center"/>
          </w:tcPr>
          <w:p w14:paraId="7D575A90">
            <w:pPr>
              <w:jc w:val="center"/>
              <w:rPr>
                <w:rFonts w:ascii="宋体" w:hAnsi="宋体"/>
                <w:color w:val="auto"/>
                <w:sz w:val="24"/>
                <w:highlight w:val="none"/>
              </w:rPr>
            </w:pPr>
          </w:p>
        </w:tc>
        <w:tc>
          <w:tcPr>
            <w:tcW w:w="934" w:type="dxa"/>
            <w:vAlign w:val="center"/>
          </w:tcPr>
          <w:p w14:paraId="0E75C68A">
            <w:pPr>
              <w:jc w:val="center"/>
              <w:rPr>
                <w:rFonts w:ascii="宋体" w:hAnsi="宋体"/>
                <w:color w:val="auto"/>
                <w:sz w:val="24"/>
                <w:highlight w:val="none"/>
              </w:rPr>
            </w:pPr>
          </w:p>
        </w:tc>
        <w:tc>
          <w:tcPr>
            <w:tcW w:w="1395" w:type="dxa"/>
          </w:tcPr>
          <w:p w14:paraId="2EC0C695">
            <w:pPr>
              <w:jc w:val="center"/>
              <w:rPr>
                <w:rFonts w:ascii="宋体" w:hAnsi="宋体"/>
                <w:color w:val="auto"/>
                <w:sz w:val="24"/>
                <w:highlight w:val="none"/>
              </w:rPr>
            </w:pPr>
          </w:p>
        </w:tc>
      </w:tr>
      <w:tr w14:paraId="36411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1B58A261">
            <w:pPr>
              <w:jc w:val="center"/>
              <w:rPr>
                <w:rFonts w:ascii="宋体" w:hAnsi="宋体"/>
                <w:color w:val="auto"/>
                <w:sz w:val="24"/>
                <w:highlight w:val="none"/>
              </w:rPr>
            </w:pPr>
          </w:p>
        </w:tc>
        <w:tc>
          <w:tcPr>
            <w:tcW w:w="1276" w:type="dxa"/>
            <w:vAlign w:val="center"/>
          </w:tcPr>
          <w:p w14:paraId="5D5885FF">
            <w:pPr>
              <w:jc w:val="center"/>
              <w:rPr>
                <w:rFonts w:ascii="宋体" w:hAnsi="宋体"/>
                <w:color w:val="auto"/>
                <w:sz w:val="24"/>
                <w:highlight w:val="none"/>
              </w:rPr>
            </w:pPr>
          </w:p>
        </w:tc>
        <w:tc>
          <w:tcPr>
            <w:tcW w:w="1323" w:type="dxa"/>
            <w:vAlign w:val="center"/>
          </w:tcPr>
          <w:p w14:paraId="4B885024">
            <w:pPr>
              <w:jc w:val="center"/>
              <w:rPr>
                <w:rFonts w:ascii="宋体" w:hAnsi="宋体"/>
                <w:color w:val="auto"/>
                <w:sz w:val="24"/>
                <w:highlight w:val="none"/>
              </w:rPr>
            </w:pPr>
          </w:p>
        </w:tc>
        <w:tc>
          <w:tcPr>
            <w:tcW w:w="1696" w:type="dxa"/>
            <w:vAlign w:val="center"/>
          </w:tcPr>
          <w:p w14:paraId="446DBEBA">
            <w:pPr>
              <w:jc w:val="center"/>
              <w:rPr>
                <w:rFonts w:ascii="宋体" w:hAnsi="宋体"/>
                <w:color w:val="auto"/>
                <w:sz w:val="24"/>
                <w:highlight w:val="none"/>
              </w:rPr>
            </w:pPr>
          </w:p>
        </w:tc>
        <w:tc>
          <w:tcPr>
            <w:tcW w:w="924" w:type="dxa"/>
            <w:vAlign w:val="center"/>
          </w:tcPr>
          <w:p w14:paraId="2E385CBF">
            <w:pPr>
              <w:jc w:val="center"/>
              <w:rPr>
                <w:rFonts w:ascii="宋体" w:hAnsi="宋体"/>
                <w:color w:val="auto"/>
                <w:sz w:val="24"/>
                <w:highlight w:val="none"/>
              </w:rPr>
            </w:pPr>
          </w:p>
        </w:tc>
        <w:tc>
          <w:tcPr>
            <w:tcW w:w="1061" w:type="dxa"/>
            <w:vAlign w:val="center"/>
          </w:tcPr>
          <w:p w14:paraId="18BFAF8A">
            <w:pPr>
              <w:jc w:val="center"/>
              <w:rPr>
                <w:rFonts w:ascii="宋体" w:hAnsi="宋体"/>
                <w:color w:val="auto"/>
                <w:sz w:val="24"/>
                <w:highlight w:val="none"/>
              </w:rPr>
            </w:pPr>
          </w:p>
        </w:tc>
        <w:tc>
          <w:tcPr>
            <w:tcW w:w="934" w:type="dxa"/>
            <w:vAlign w:val="center"/>
          </w:tcPr>
          <w:p w14:paraId="4983DA73">
            <w:pPr>
              <w:jc w:val="center"/>
              <w:rPr>
                <w:rFonts w:ascii="宋体" w:hAnsi="宋体"/>
                <w:color w:val="auto"/>
                <w:sz w:val="24"/>
                <w:highlight w:val="none"/>
              </w:rPr>
            </w:pPr>
          </w:p>
        </w:tc>
        <w:tc>
          <w:tcPr>
            <w:tcW w:w="1395" w:type="dxa"/>
          </w:tcPr>
          <w:p w14:paraId="546A9F2E">
            <w:pPr>
              <w:jc w:val="center"/>
              <w:rPr>
                <w:rFonts w:ascii="宋体" w:hAnsi="宋体"/>
                <w:color w:val="auto"/>
                <w:sz w:val="24"/>
                <w:highlight w:val="none"/>
              </w:rPr>
            </w:pPr>
          </w:p>
        </w:tc>
      </w:tr>
      <w:tr w14:paraId="4C859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770423B8">
            <w:pPr>
              <w:jc w:val="center"/>
              <w:rPr>
                <w:rFonts w:ascii="宋体" w:hAnsi="宋体"/>
                <w:color w:val="auto"/>
                <w:sz w:val="24"/>
                <w:highlight w:val="none"/>
              </w:rPr>
            </w:pPr>
          </w:p>
        </w:tc>
        <w:tc>
          <w:tcPr>
            <w:tcW w:w="1276" w:type="dxa"/>
            <w:vAlign w:val="center"/>
          </w:tcPr>
          <w:p w14:paraId="62DD40B0">
            <w:pPr>
              <w:jc w:val="center"/>
              <w:rPr>
                <w:rFonts w:ascii="宋体" w:hAnsi="宋体"/>
                <w:color w:val="auto"/>
                <w:sz w:val="24"/>
                <w:highlight w:val="none"/>
              </w:rPr>
            </w:pPr>
          </w:p>
        </w:tc>
        <w:tc>
          <w:tcPr>
            <w:tcW w:w="1323" w:type="dxa"/>
            <w:vAlign w:val="center"/>
          </w:tcPr>
          <w:p w14:paraId="09718F86">
            <w:pPr>
              <w:jc w:val="center"/>
              <w:rPr>
                <w:rFonts w:ascii="宋体" w:hAnsi="宋体"/>
                <w:color w:val="auto"/>
                <w:sz w:val="24"/>
                <w:highlight w:val="none"/>
              </w:rPr>
            </w:pPr>
          </w:p>
        </w:tc>
        <w:tc>
          <w:tcPr>
            <w:tcW w:w="1696" w:type="dxa"/>
            <w:vAlign w:val="center"/>
          </w:tcPr>
          <w:p w14:paraId="74F4049A">
            <w:pPr>
              <w:jc w:val="center"/>
              <w:rPr>
                <w:rFonts w:ascii="宋体" w:hAnsi="宋体"/>
                <w:color w:val="auto"/>
                <w:sz w:val="24"/>
                <w:highlight w:val="none"/>
              </w:rPr>
            </w:pPr>
          </w:p>
        </w:tc>
        <w:tc>
          <w:tcPr>
            <w:tcW w:w="924" w:type="dxa"/>
            <w:vAlign w:val="center"/>
          </w:tcPr>
          <w:p w14:paraId="34ABA3EB">
            <w:pPr>
              <w:jc w:val="center"/>
              <w:rPr>
                <w:rFonts w:ascii="宋体" w:hAnsi="宋体"/>
                <w:color w:val="auto"/>
                <w:sz w:val="24"/>
                <w:highlight w:val="none"/>
              </w:rPr>
            </w:pPr>
          </w:p>
        </w:tc>
        <w:tc>
          <w:tcPr>
            <w:tcW w:w="1061" w:type="dxa"/>
            <w:vAlign w:val="center"/>
          </w:tcPr>
          <w:p w14:paraId="6236498B">
            <w:pPr>
              <w:jc w:val="center"/>
              <w:rPr>
                <w:rFonts w:ascii="宋体" w:hAnsi="宋体"/>
                <w:color w:val="auto"/>
                <w:sz w:val="24"/>
                <w:highlight w:val="none"/>
              </w:rPr>
            </w:pPr>
          </w:p>
        </w:tc>
        <w:tc>
          <w:tcPr>
            <w:tcW w:w="934" w:type="dxa"/>
            <w:vAlign w:val="center"/>
          </w:tcPr>
          <w:p w14:paraId="394AC082">
            <w:pPr>
              <w:jc w:val="center"/>
              <w:rPr>
                <w:rFonts w:ascii="宋体" w:hAnsi="宋体"/>
                <w:color w:val="auto"/>
                <w:sz w:val="24"/>
                <w:highlight w:val="none"/>
              </w:rPr>
            </w:pPr>
          </w:p>
        </w:tc>
        <w:tc>
          <w:tcPr>
            <w:tcW w:w="1395" w:type="dxa"/>
          </w:tcPr>
          <w:p w14:paraId="7F0ED3A6">
            <w:pPr>
              <w:jc w:val="center"/>
              <w:rPr>
                <w:rFonts w:ascii="宋体" w:hAnsi="宋体"/>
                <w:color w:val="auto"/>
                <w:sz w:val="24"/>
                <w:highlight w:val="none"/>
              </w:rPr>
            </w:pPr>
          </w:p>
        </w:tc>
      </w:tr>
      <w:tr w14:paraId="49FBC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4B305C36">
            <w:pPr>
              <w:jc w:val="center"/>
              <w:rPr>
                <w:rFonts w:ascii="宋体" w:hAnsi="宋体"/>
                <w:color w:val="auto"/>
                <w:sz w:val="24"/>
                <w:highlight w:val="none"/>
              </w:rPr>
            </w:pPr>
          </w:p>
        </w:tc>
        <w:tc>
          <w:tcPr>
            <w:tcW w:w="1276" w:type="dxa"/>
            <w:vAlign w:val="center"/>
          </w:tcPr>
          <w:p w14:paraId="151E5864">
            <w:pPr>
              <w:jc w:val="center"/>
              <w:rPr>
                <w:rFonts w:ascii="宋体" w:hAnsi="宋体"/>
                <w:color w:val="auto"/>
                <w:sz w:val="24"/>
                <w:highlight w:val="none"/>
              </w:rPr>
            </w:pPr>
          </w:p>
        </w:tc>
        <w:tc>
          <w:tcPr>
            <w:tcW w:w="1323" w:type="dxa"/>
            <w:vAlign w:val="center"/>
          </w:tcPr>
          <w:p w14:paraId="2B8700F1">
            <w:pPr>
              <w:jc w:val="center"/>
              <w:rPr>
                <w:rFonts w:ascii="宋体" w:hAnsi="宋体"/>
                <w:color w:val="auto"/>
                <w:sz w:val="24"/>
                <w:highlight w:val="none"/>
              </w:rPr>
            </w:pPr>
          </w:p>
        </w:tc>
        <w:tc>
          <w:tcPr>
            <w:tcW w:w="1696" w:type="dxa"/>
            <w:vAlign w:val="center"/>
          </w:tcPr>
          <w:p w14:paraId="5E4388B1">
            <w:pPr>
              <w:jc w:val="center"/>
              <w:rPr>
                <w:rFonts w:ascii="宋体" w:hAnsi="宋体"/>
                <w:color w:val="auto"/>
                <w:sz w:val="24"/>
                <w:highlight w:val="none"/>
              </w:rPr>
            </w:pPr>
          </w:p>
        </w:tc>
        <w:tc>
          <w:tcPr>
            <w:tcW w:w="924" w:type="dxa"/>
            <w:vAlign w:val="center"/>
          </w:tcPr>
          <w:p w14:paraId="363537D3">
            <w:pPr>
              <w:jc w:val="center"/>
              <w:rPr>
                <w:rFonts w:ascii="宋体" w:hAnsi="宋体"/>
                <w:color w:val="auto"/>
                <w:sz w:val="24"/>
                <w:highlight w:val="none"/>
              </w:rPr>
            </w:pPr>
          </w:p>
        </w:tc>
        <w:tc>
          <w:tcPr>
            <w:tcW w:w="1061" w:type="dxa"/>
            <w:vAlign w:val="center"/>
          </w:tcPr>
          <w:p w14:paraId="7C2DC55F">
            <w:pPr>
              <w:jc w:val="center"/>
              <w:rPr>
                <w:rFonts w:ascii="宋体" w:hAnsi="宋体"/>
                <w:color w:val="auto"/>
                <w:sz w:val="24"/>
                <w:highlight w:val="none"/>
              </w:rPr>
            </w:pPr>
          </w:p>
        </w:tc>
        <w:tc>
          <w:tcPr>
            <w:tcW w:w="934" w:type="dxa"/>
            <w:vAlign w:val="center"/>
          </w:tcPr>
          <w:p w14:paraId="1C27B50A">
            <w:pPr>
              <w:jc w:val="center"/>
              <w:rPr>
                <w:rFonts w:ascii="宋体" w:hAnsi="宋体"/>
                <w:color w:val="auto"/>
                <w:sz w:val="24"/>
                <w:highlight w:val="none"/>
              </w:rPr>
            </w:pPr>
          </w:p>
        </w:tc>
        <w:tc>
          <w:tcPr>
            <w:tcW w:w="1395" w:type="dxa"/>
          </w:tcPr>
          <w:p w14:paraId="5C45F918">
            <w:pPr>
              <w:jc w:val="center"/>
              <w:rPr>
                <w:rFonts w:ascii="宋体" w:hAnsi="宋体"/>
                <w:color w:val="auto"/>
                <w:sz w:val="24"/>
                <w:highlight w:val="none"/>
              </w:rPr>
            </w:pPr>
          </w:p>
        </w:tc>
      </w:tr>
      <w:tr w14:paraId="172CC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4ED26DA4">
            <w:pPr>
              <w:jc w:val="center"/>
              <w:rPr>
                <w:rFonts w:ascii="宋体" w:hAnsi="宋体"/>
                <w:color w:val="auto"/>
                <w:sz w:val="24"/>
                <w:highlight w:val="none"/>
              </w:rPr>
            </w:pPr>
          </w:p>
        </w:tc>
        <w:tc>
          <w:tcPr>
            <w:tcW w:w="1276" w:type="dxa"/>
            <w:vAlign w:val="center"/>
          </w:tcPr>
          <w:p w14:paraId="004A2487">
            <w:pPr>
              <w:jc w:val="center"/>
              <w:rPr>
                <w:rFonts w:ascii="宋体" w:hAnsi="宋体"/>
                <w:color w:val="auto"/>
                <w:sz w:val="24"/>
                <w:highlight w:val="none"/>
              </w:rPr>
            </w:pPr>
          </w:p>
        </w:tc>
        <w:tc>
          <w:tcPr>
            <w:tcW w:w="1323" w:type="dxa"/>
            <w:vAlign w:val="center"/>
          </w:tcPr>
          <w:p w14:paraId="2A47D4FF">
            <w:pPr>
              <w:jc w:val="center"/>
              <w:rPr>
                <w:rFonts w:ascii="宋体" w:hAnsi="宋体"/>
                <w:color w:val="auto"/>
                <w:sz w:val="24"/>
                <w:highlight w:val="none"/>
              </w:rPr>
            </w:pPr>
          </w:p>
        </w:tc>
        <w:tc>
          <w:tcPr>
            <w:tcW w:w="1696" w:type="dxa"/>
            <w:vAlign w:val="center"/>
          </w:tcPr>
          <w:p w14:paraId="738F146F">
            <w:pPr>
              <w:jc w:val="center"/>
              <w:rPr>
                <w:rFonts w:ascii="宋体" w:hAnsi="宋体"/>
                <w:color w:val="auto"/>
                <w:sz w:val="24"/>
                <w:highlight w:val="none"/>
              </w:rPr>
            </w:pPr>
          </w:p>
        </w:tc>
        <w:tc>
          <w:tcPr>
            <w:tcW w:w="924" w:type="dxa"/>
            <w:vAlign w:val="center"/>
          </w:tcPr>
          <w:p w14:paraId="7F06D3C4">
            <w:pPr>
              <w:jc w:val="center"/>
              <w:rPr>
                <w:rFonts w:ascii="宋体" w:hAnsi="宋体"/>
                <w:color w:val="auto"/>
                <w:sz w:val="24"/>
                <w:highlight w:val="none"/>
              </w:rPr>
            </w:pPr>
          </w:p>
        </w:tc>
        <w:tc>
          <w:tcPr>
            <w:tcW w:w="1061" w:type="dxa"/>
            <w:vAlign w:val="center"/>
          </w:tcPr>
          <w:p w14:paraId="54DAA824">
            <w:pPr>
              <w:jc w:val="center"/>
              <w:rPr>
                <w:rFonts w:ascii="宋体" w:hAnsi="宋体"/>
                <w:color w:val="auto"/>
                <w:sz w:val="24"/>
                <w:highlight w:val="none"/>
              </w:rPr>
            </w:pPr>
          </w:p>
        </w:tc>
        <w:tc>
          <w:tcPr>
            <w:tcW w:w="934" w:type="dxa"/>
            <w:vAlign w:val="center"/>
          </w:tcPr>
          <w:p w14:paraId="4AEF2DC7">
            <w:pPr>
              <w:jc w:val="center"/>
              <w:rPr>
                <w:rFonts w:ascii="宋体" w:hAnsi="宋体"/>
                <w:color w:val="auto"/>
                <w:sz w:val="24"/>
                <w:highlight w:val="none"/>
              </w:rPr>
            </w:pPr>
          </w:p>
        </w:tc>
        <w:tc>
          <w:tcPr>
            <w:tcW w:w="1395" w:type="dxa"/>
          </w:tcPr>
          <w:p w14:paraId="6C7A42F6">
            <w:pPr>
              <w:jc w:val="center"/>
              <w:rPr>
                <w:rFonts w:ascii="宋体" w:hAnsi="宋体"/>
                <w:color w:val="auto"/>
                <w:sz w:val="24"/>
                <w:highlight w:val="none"/>
              </w:rPr>
            </w:pPr>
          </w:p>
        </w:tc>
      </w:tr>
      <w:tr w14:paraId="766F1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62CC68BC">
            <w:pPr>
              <w:jc w:val="center"/>
              <w:rPr>
                <w:rFonts w:ascii="宋体" w:hAnsi="宋体"/>
                <w:color w:val="auto"/>
                <w:sz w:val="24"/>
                <w:highlight w:val="none"/>
              </w:rPr>
            </w:pPr>
          </w:p>
        </w:tc>
        <w:tc>
          <w:tcPr>
            <w:tcW w:w="1276" w:type="dxa"/>
            <w:vAlign w:val="center"/>
          </w:tcPr>
          <w:p w14:paraId="0FC24AFB">
            <w:pPr>
              <w:jc w:val="center"/>
              <w:rPr>
                <w:rFonts w:ascii="宋体" w:hAnsi="宋体"/>
                <w:color w:val="auto"/>
                <w:sz w:val="24"/>
                <w:highlight w:val="none"/>
              </w:rPr>
            </w:pPr>
          </w:p>
        </w:tc>
        <w:tc>
          <w:tcPr>
            <w:tcW w:w="1323" w:type="dxa"/>
            <w:vAlign w:val="center"/>
          </w:tcPr>
          <w:p w14:paraId="6E24420E">
            <w:pPr>
              <w:jc w:val="center"/>
              <w:rPr>
                <w:rFonts w:ascii="宋体" w:hAnsi="宋体"/>
                <w:color w:val="auto"/>
                <w:sz w:val="24"/>
                <w:highlight w:val="none"/>
              </w:rPr>
            </w:pPr>
          </w:p>
        </w:tc>
        <w:tc>
          <w:tcPr>
            <w:tcW w:w="1696" w:type="dxa"/>
            <w:vAlign w:val="center"/>
          </w:tcPr>
          <w:p w14:paraId="371C7EE5">
            <w:pPr>
              <w:jc w:val="center"/>
              <w:rPr>
                <w:rFonts w:ascii="宋体" w:hAnsi="宋体"/>
                <w:color w:val="auto"/>
                <w:sz w:val="24"/>
                <w:highlight w:val="none"/>
              </w:rPr>
            </w:pPr>
          </w:p>
        </w:tc>
        <w:tc>
          <w:tcPr>
            <w:tcW w:w="924" w:type="dxa"/>
            <w:vAlign w:val="center"/>
          </w:tcPr>
          <w:p w14:paraId="38873B11">
            <w:pPr>
              <w:jc w:val="center"/>
              <w:rPr>
                <w:rFonts w:ascii="宋体" w:hAnsi="宋体"/>
                <w:color w:val="auto"/>
                <w:sz w:val="24"/>
                <w:highlight w:val="none"/>
              </w:rPr>
            </w:pPr>
          </w:p>
        </w:tc>
        <w:tc>
          <w:tcPr>
            <w:tcW w:w="1061" w:type="dxa"/>
            <w:vAlign w:val="center"/>
          </w:tcPr>
          <w:p w14:paraId="5A2D2E91">
            <w:pPr>
              <w:jc w:val="center"/>
              <w:rPr>
                <w:rFonts w:ascii="宋体" w:hAnsi="宋体"/>
                <w:color w:val="auto"/>
                <w:sz w:val="24"/>
                <w:highlight w:val="none"/>
              </w:rPr>
            </w:pPr>
          </w:p>
        </w:tc>
        <w:tc>
          <w:tcPr>
            <w:tcW w:w="934" w:type="dxa"/>
            <w:vAlign w:val="center"/>
          </w:tcPr>
          <w:p w14:paraId="6B76D41E">
            <w:pPr>
              <w:jc w:val="center"/>
              <w:rPr>
                <w:rFonts w:ascii="宋体" w:hAnsi="宋体"/>
                <w:color w:val="auto"/>
                <w:sz w:val="24"/>
                <w:highlight w:val="none"/>
              </w:rPr>
            </w:pPr>
          </w:p>
        </w:tc>
        <w:tc>
          <w:tcPr>
            <w:tcW w:w="1395" w:type="dxa"/>
          </w:tcPr>
          <w:p w14:paraId="1EF929EC">
            <w:pPr>
              <w:jc w:val="center"/>
              <w:rPr>
                <w:rFonts w:ascii="宋体" w:hAnsi="宋体"/>
                <w:color w:val="auto"/>
                <w:sz w:val="24"/>
                <w:highlight w:val="none"/>
              </w:rPr>
            </w:pPr>
          </w:p>
        </w:tc>
      </w:tr>
      <w:tr w14:paraId="097B9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2A7E5FE1">
            <w:pPr>
              <w:jc w:val="center"/>
              <w:rPr>
                <w:rFonts w:ascii="宋体" w:hAnsi="宋体"/>
                <w:color w:val="auto"/>
                <w:sz w:val="24"/>
                <w:highlight w:val="none"/>
              </w:rPr>
            </w:pPr>
          </w:p>
        </w:tc>
        <w:tc>
          <w:tcPr>
            <w:tcW w:w="1276" w:type="dxa"/>
            <w:vAlign w:val="center"/>
          </w:tcPr>
          <w:p w14:paraId="272B9DF9">
            <w:pPr>
              <w:jc w:val="center"/>
              <w:rPr>
                <w:rFonts w:ascii="宋体" w:hAnsi="宋体"/>
                <w:color w:val="auto"/>
                <w:sz w:val="24"/>
                <w:highlight w:val="none"/>
              </w:rPr>
            </w:pPr>
          </w:p>
        </w:tc>
        <w:tc>
          <w:tcPr>
            <w:tcW w:w="1323" w:type="dxa"/>
            <w:vAlign w:val="center"/>
          </w:tcPr>
          <w:p w14:paraId="79C0396D">
            <w:pPr>
              <w:jc w:val="center"/>
              <w:rPr>
                <w:rFonts w:ascii="宋体" w:hAnsi="宋体"/>
                <w:color w:val="auto"/>
                <w:sz w:val="24"/>
                <w:highlight w:val="none"/>
              </w:rPr>
            </w:pPr>
          </w:p>
        </w:tc>
        <w:tc>
          <w:tcPr>
            <w:tcW w:w="1696" w:type="dxa"/>
            <w:vAlign w:val="center"/>
          </w:tcPr>
          <w:p w14:paraId="3A4365B1">
            <w:pPr>
              <w:jc w:val="center"/>
              <w:rPr>
                <w:rFonts w:ascii="宋体" w:hAnsi="宋体"/>
                <w:color w:val="auto"/>
                <w:sz w:val="24"/>
                <w:highlight w:val="none"/>
              </w:rPr>
            </w:pPr>
          </w:p>
        </w:tc>
        <w:tc>
          <w:tcPr>
            <w:tcW w:w="924" w:type="dxa"/>
            <w:vAlign w:val="center"/>
          </w:tcPr>
          <w:p w14:paraId="45BDE36D">
            <w:pPr>
              <w:jc w:val="center"/>
              <w:rPr>
                <w:rFonts w:ascii="宋体" w:hAnsi="宋体"/>
                <w:color w:val="auto"/>
                <w:sz w:val="24"/>
                <w:highlight w:val="none"/>
              </w:rPr>
            </w:pPr>
          </w:p>
        </w:tc>
        <w:tc>
          <w:tcPr>
            <w:tcW w:w="1061" w:type="dxa"/>
            <w:vAlign w:val="center"/>
          </w:tcPr>
          <w:p w14:paraId="71247B0B">
            <w:pPr>
              <w:jc w:val="center"/>
              <w:rPr>
                <w:rFonts w:ascii="宋体" w:hAnsi="宋体"/>
                <w:color w:val="auto"/>
                <w:sz w:val="24"/>
                <w:highlight w:val="none"/>
              </w:rPr>
            </w:pPr>
          </w:p>
        </w:tc>
        <w:tc>
          <w:tcPr>
            <w:tcW w:w="934" w:type="dxa"/>
            <w:vAlign w:val="center"/>
          </w:tcPr>
          <w:p w14:paraId="529BBC47">
            <w:pPr>
              <w:jc w:val="center"/>
              <w:rPr>
                <w:rFonts w:ascii="宋体" w:hAnsi="宋体"/>
                <w:color w:val="auto"/>
                <w:sz w:val="24"/>
                <w:highlight w:val="none"/>
              </w:rPr>
            </w:pPr>
          </w:p>
        </w:tc>
        <w:tc>
          <w:tcPr>
            <w:tcW w:w="1395" w:type="dxa"/>
          </w:tcPr>
          <w:p w14:paraId="1CE60664">
            <w:pPr>
              <w:jc w:val="center"/>
              <w:rPr>
                <w:rFonts w:ascii="宋体" w:hAnsi="宋体"/>
                <w:color w:val="auto"/>
                <w:sz w:val="24"/>
                <w:highlight w:val="none"/>
              </w:rPr>
            </w:pPr>
          </w:p>
        </w:tc>
      </w:tr>
      <w:tr w14:paraId="721B3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284F01D2">
            <w:pPr>
              <w:jc w:val="center"/>
              <w:rPr>
                <w:rFonts w:ascii="宋体" w:hAnsi="宋体"/>
                <w:color w:val="auto"/>
                <w:sz w:val="24"/>
                <w:highlight w:val="none"/>
              </w:rPr>
            </w:pPr>
          </w:p>
        </w:tc>
        <w:tc>
          <w:tcPr>
            <w:tcW w:w="1276" w:type="dxa"/>
            <w:vAlign w:val="center"/>
          </w:tcPr>
          <w:p w14:paraId="7908317B">
            <w:pPr>
              <w:jc w:val="center"/>
              <w:rPr>
                <w:rFonts w:ascii="宋体" w:hAnsi="宋体"/>
                <w:color w:val="auto"/>
                <w:sz w:val="24"/>
                <w:highlight w:val="none"/>
              </w:rPr>
            </w:pPr>
          </w:p>
        </w:tc>
        <w:tc>
          <w:tcPr>
            <w:tcW w:w="1323" w:type="dxa"/>
            <w:vAlign w:val="center"/>
          </w:tcPr>
          <w:p w14:paraId="77FB1AF9">
            <w:pPr>
              <w:jc w:val="center"/>
              <w:rPr>
                <w:rFonts w:ascii="宋体" w:hAnsi="宋体"/>
                <w:color w:val="auto"/>
                <w:sz w:val="24"/>
                <w:highlight w:val="none"/>
              </w:rPr>
            </w:pPr>
          </w:p>
        </w:tc>
        <w:tc>
          <w:tcPr>
            <w:tcW w:w="1696" w:type="dxa"/>
            <w:vAlign w:val="center"/>
          </w:tcPr>
          <w:p w14:paraId="257A9F05">
            <w:pPr>
              <w:jc w:val="center"/>
              <w:rPr>
                <w:rFonts w:ascii="宋体" w:hAnsi="宋体"/>
                <w:color w:val="auto"/>
                <w:sz w:val="24"/>
                <w:highlight w:val="none"/>
              </w:rPr>
            </w:pPr>
          </w:p>
        </w:tc>
        <w:tc>
          <w:tcPr>
            <w:tcW w:w="924" w:type="dxa"/>
            <w:vAlign w:val="center"/>
          </w:tcPr>
          <w:p w14:paraId="4A61ADE1">
            <w:pPr>
              <w:jc w:val="center"/>
              <w:rPr>
                <w:rFonts w:ascii="宋体" w:hAnsi="宋体"/>
                <w:color w:val="auto"/>
                <w:sz w:val="24"/>
                <w:highlight w:val="none"/>
              </w:rPr>
            </w:pPr>
          </w:p>
        </w:tc>
        <w:tc>
          <w:tcPr>
            <w:tcW w:w="1061" w:type="dxa"/>
            <w:vAlign w:val="center"/>
          </w:tcPr>
          <w:p w14:paraId="15B82CD9">
            <w:pPr>
              <w:jc w:val="center"/>
              <w:rPr>
                <w:rFonts w:ascii="宋体" w:hAnsi="宋体"/>
                <w:color w:val="auto"/>
                <w:sz w:val="24"/>
                <w:highlight w:val="none"/>
              </w:rPr>
            </w:pPr>
          </w:p>
        </w:tc>
        <w:tc>
          <w:tcPr>
            <w:tcW w:w="934" w:type="dxa"/>
            <w:vAlign w:val="center"/>
          </w:tcPr>
          <w:p w14:paraId="688928E2">
            <w:pPr>
              <w:jc w:val="center"/>
              <w:rPr>
                <w:rFonts w:ascii="宋体" w:hAnsi="宋体"/>
                <w:color w:val="auto"/>
                <w:sz w:val="24"/>
                <w:highlight w:val="none"/>
              </w:rPr>
            </w:pPr>
          </w:p>
        </w:tc>
        <w:tc>
          <w:tcPr>
            <w:tcW w:w="1395" w:type="dxa"/>
          </w:tcPr>
          <w:p w14:paraId="3B144384">
            <w:pPr>
              <w:jc w:val="center"/>
              <w:rPr>
                <w:rFonts w:ascii="宋体" w:hAnsi="宋体"/>
                <w:color w:val="auto"/>
                <w:sz w:val="24"/>
                <w:highlight w:val="none"/>
              </w:rPr>
            </w:pPr>
          </w:p>
        </w:tc>
      </w:tr>
      <w:tr w14:paraId="12627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66465DBF">
            <w:pPr>
              <w:jc w:val="center"/>
              <w:rPr>
                <w:rFonts w:ascii="宋体" w:hAnsi="宋体"/>
                <w:color w:val="auto"/>
                <w:sz w:val="24"/>
                <w:highlight w:val="none"/>
              </w:rPr>
            </w:pPr>
          </w:p>
        </w:tc>
        <w:tc>
          <w:tcPr>
            <w:tcW w:w="1276" w:type="dxa"/>
            <w:vAlign w:val="center"/>
          </w:tcPr>
          <w:p w14:paraId="7DC1A112">
            <w:pPr>
              <w:jc w:val="center"/>
              <w:rPr>
                <w:rFonts w:ascii="宋体" w:hAnsi="宋体"/>
                <w:color w:val="auto"/>
                <w:sz w:val="24"/>
                <w:highlight w:val="none"/>
              </w:rPr>
            </w:pPr>
          </w:p>
        </w:tc>
        <w:tc>
          <w:tcPr>
            <w:tcW w:w="1323" w:type="dxa"/>
            <w:vAlign w:val="center"/>
          </w:tcPr>
          <w:p w14:paraId="258C9E5D">
            <w:pPr>
              <w:jc w:val="center"/>
              <w:rPr>
                <w:rFonts w:ascii="宋体" w:hAnsi="宋体"/>
                <w:color w:val="auto"/>
                <w:sz w:val="24"/>
                <w:highlight w:val="none"/>
              </w:rPr>
            </w:pPr>
          </w:p>
        </w:tc>
        <w:tc>
          <w:tcPr>
            <w:tcW w:w="1696" w:type="dxa"/>
            <w:vAlign w:val="center"/>
          </w:tcPr>
          <w:p w14:paraId="136ECB63">
            <w:pPr>
              <w:jc w:val="center"/>
              <w:rPr>
                <w:rFonts w:ascii="宋体" w:hAnsi="宋体"/>
                <w:color w:val="auto"/>
                <w:sz w:val="24"/>
                <w:highlight w:val="none"/>
              </w:rPr>
            </w:pPr>
          </w:p>
        </w:tc>
        <w:tc>
          <w:tcPr>
            <w:tcW w:w="924" w:type="dxa"/>
            <w:vAlign w:val="center"/>
          </w:tcPr>
          <w:p w14:paraId="33B3C1A7">
            <w:pPr>
              <w:jc w:val="center"/>
              <w:rPr>
                <w:rFonts w:ascii="宋体" w:hAnsi="宋体"/>
                <w:color w:val="auto"/>
                <w:sz w:val="24"/>
                <w:highlight w:val="none"/>
              </w:rPr>
            </w:pPr>
          </w:p>
        </w:tc>
        <w:tc>
          <w:tcPr>
            <w:tcW w:w="1061" w:type="dxa"/>
            <w:vAlign w:val="center"/>
          </w:tcPr>
          <w:p w14:paraId="6B6A1AAA">
            <w:pPr>
              <w:jc w:val="center"/>
              <w:rPr>
                <w:rFonts w:ascii="宋体" w:hAnsi="宋体"/>
                <w:color w:val="auto"/>
                <w:sz w:val="24"/>
                <w:highlight w:val="none"/>
              </w:rPr>
            </w:pPr>
          </w:p>
        </w:tc>
        <w:tc>
          <w:tcPr>
            <w:tcW w:w="934" w:type="dxa"/>
            <w:vAlign w:val="center"/>
          </w:tcPr>
          <w:p w14:paraId="72B64977">
            <w:pPr>
              <w:jc w:val="center"/>
              <w:rPr>
                <w:rFonts w:ascii="宋体" w:hAnsi="宋体"/>
                <w:color w:val="auto"/>
                <w:sz w:val="24"/>
                <w:highlight w:val="none"/>
              </w:rPr>
            </w:pPr>
          </w:p>
        </w:tc>
        <w:tc>
          <w:tcPr>
            <w:tcW w:w="1395" w:type="dxa"/>
          </w:tcPr>
          <w:p w14:paraId="225CB69B">
            <w:pPr>
              <w:jc w:val="center"/>
              <w:rPr>
                <w:rFonts w:ascii="宋体" w:hAnsi="宋体"/>
                <w:color w:val="auto"/>
                <w:sz w:val="24"/>
                <w:highlight w:val="none"/>
              </w:rPr>
            </w:pPr>
          </w:p>
        </w:tc>
      </w:tr>
      <w:tr w14:paraId="3ED0A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7577AE37">
            <w:pPr>
              <w:jc w:val="center"/>
              <w:rPr>
                <w:rFonts w:ascii="宋体" w:hAnsi="宋体"/>
                <w:color w:val="auto"/>
                <w:sz w:val="24"/>
                <w:highlight w:val="none"/>
              </w:rPr>
            </w:pPr>
          </w:p>
        </w:tc>
        <w:tc>
          <w:tcPr>
            <w:tcW w:w="1276" w:type="dxa"/>
            <w:vAlign w:val="center"/>
          </w:tcPr>
          <w:p w14:paraId="3C1F2B9F">
            <w:pPr>
              <w:jc w:val="center"/>
              <w:rPr>
                <w:rFonts w:ascii="宋体" w:hAnsi="宋体"/>
                <w:color w:val="auto"/>
                <w:sz w:val="24"/>
                <w:highlight w:val="none"/>
              </w:rPr>
            </w:pPr>
          </w:p>
        </w:tc>
        <w:tc>
          <w:tcPr>
            <w:tcW w:w="1323" w:type="dxa"/>
            <w:vAlign w:val="center"/>
          </w:tcPr>
          <w:p w14:paraId="23661A8C">
            <w:pPr>
              <w:jc w:val="center"/>
              <w:rPr>
                <w:rFonts w:ascii="宋体" w:hAnsi="宋体"/>
                <w:color w:val="auto"/>
                <w:sz w:val="24"/>
                <w:highlight w:val="none"/>
              </w:rPr>
            </w:pPr>
          </w:p>
        </w:tc>
        <w:tc>
          <w:tcPr>
            <w:tcW w:w="1696" w:type="dxa"/>
            <w:vAlign w:val="center"/>
          </w:tcPr>
          <w:p w14:paraId="13ADDE23">
            <w:pPr>
              <w:jc w:val="center"/>
              <w:rPr>
                <w:rFonts w:ascii="宋体" w:hAnsi="宋体"/>
                <w:color w:val="auto"/>
                <w:sz w:val="24"/>
                <w:highlight w:val="none"/>
              </w:rPr>
            </w:pPr>
          </w:p>
        </w:tc>
        <w:tc>
          <w:tcPr>
            <w:tcW w:w="924" w:type="dxa"/>
            <w:vAlign w:val="center"/>
          </w:tcPr>
          <w:p w14:paraId="6CAE6392">
            <w:pPr>
              <w:jc w:val="center"/>
              <w:rPr>
                <w:rFonts w:ascii="宋体" w:hAnsi="宋体"/>
                <w:color w:val="auto"/>
                <w:sz w:val="24"/>
                <w:highlight w:val="none"/>
              </w:rPr>
            </w:pPr>
          </w:p>
        </w:tc>
        <w:tc>
          <w:tcPr>
            <w:tcW w:w="1061" w:type="dxa"/>
            <w:vAlign w:val="center"/>
          </w:tcPr>
          <w:p w14:paraId="03FC139B">
            <w:pPr>
              <w:jc w:val="center"/>
              <w:rPr>
                <w:rFonts w:ascii="宋体" w:hAnsi="宋体"/>
                <w:color w:val="auto"/>
                <w:sz w:val="24"/>
                <w:highlight w:val="none"/>
              </w:rPr>
            </w:pPr>
          </w:p>
        </w:tc>
        <w:tc>
          <w:tcPr>
            <w:tcW w:w="934" w:type="dxa"/>
            <w:vAlign w:val="center"/>
          </w:tcPr>
          <w:p w14:paraId="4BAEAD84">
            <w:pPr>
              <w:jc w:val="center"/>
              <w:rPr>
                <w:rFonts w:ascii="宋体" w:hAnsi="宋体"/>
                <w:color w:val="auto"/>
                <w:sz w:val="24"/>
                <w:highlight w:val="none"/>
              </w:rPr>
            </w:pPr>
          </w:p>
        </w:tc>
        <w:tc>
          <w:tcPr>
            <w:tcW w:w="1395" w:type="dxa"/>
          </w:tcPr>
          <w:p w14:paraId="66552A18">
            <w:pPr>
              <w:jc w:val="center"/>
              <w:rPr>
                <w:rFonts w:ascii="宋体" w:hAnsi="宋体"/>
                <w:color w:val="auto"/>
                <w:sz w:val="24"/>
                <w:highlight w:val="none"/>
              </w:rPr>
            </w:pPr>
          </w:p>
        </w:tc>
      </w:tr>
      <w:tr w14:paraId="0082D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10" w:type="dxa"/>
            <w:vAlign w:val="center"/>
          </w:tcPr>
          <w:p w14:paraId="69585A07">
            <w:pPr>
              <w:jc w:val="center"/>
              <w:rPr>
                <w:rFonts w:ascii="宋体" w:hAnsi="宋体"/>
                <w:color w:val="auto"/>
                <w:sz w:val="24"/>
                <w:highlight w:val="none"/>
              </w:rPr>
            </w:pPr>
            <w:r>
              <w:rPr>
                <w:rFonts w:ascii="宋体" w:hAnsi="宋体"/>
                <w:color w:val="auto"/>
                <w:sz w:val="24"/>
                <w:highlight w:val="none"/>
              </w:rPr>
              <w:t>…</w:t>
            </w:r>
          </w:p>
        </w:tc>
        <w:tc>
          <w:tcPr>
            <w:tcW w:w="1276" w:type="dxa"/>
            <w:vAlign w:val="center"/>
          </w:tcPr>
          <w:p w14:paraId="4A163810">
            <w:pPr>
              <w:jc w:val="center"/>
              <w:rPr>
                <w:rFonts w:ascii="宋体" w:hAnsi="宋体"/>
                <w:color w:val="auto"/>
                <w:sz w:val="24"/>
                <w:highlight w:val="none"/>
              </w:rPr>
            </w:pPr>
          </w:p>
        </w:tc>
        <w:tc>
          <w:tcPr>
            <w:tcW w:w="1323" w:type="dxa"/>
            <w:vAlign w:val="center"/>
          </w:tcPr>
          <w:p w14:paraId="0E6A4BE4">
            <w:pPr>
              <w:jc w:val="center"/>
              <w:rPr>
                <w:rFonts w:ascii="宋体" w:hAnsi="宋体"/>
                <w:color w:val="auto"/>
                <w:sz w:val="24"/>
                <w:highlight w:val="none"/>
              </w:rPr>
            </w:pPr>
          </w:p>
        </w:tc>
        <w:tc>
          <w:tcPr>
            <w:tcW w:w="1696" w:type="dxa"/>
            <w:vAlign w:val="center"/>
          </w:tcPr>
          <w:p w14:paraId="4C9863D4">
            <w:pPr>
              <w:jc w:val="center"/>
              <w:rPr>
                <w:rFonts w:ascii="宋体" w:hAnsi="宋体"/>
                <w:color w:val="auto"/>
                <w:sz w:val="24"/>
                <w:highlight w:val="none"/>
              </w:rPr>
            </w:pPr>
          </w:p>
        </w:tc>
        <w:tc>
          <w:tcPr>
            <w:tcW w:w="924" w:type="dxa"/>
            <w:vAlign w:val="center"/>
          </w:tcPr>
          <w:p w14:paraId="2FB526A3">
            <w:pPr>
              <w:jc w:val="center"/>
              <w:rPr>
                <w:rFonts w:ascii="宋体" w:hAnsi="宋体"/>
                <w:color w:val="auto"/>
                <w:sz w:val="24"/>
                <w:highlight w:val="none"/>
              </w:rPr>
            </w:pPr>
          </w:p>
        </w:tc>
        <w:tc>
          <w:tcPr>
            <w:tcW w:w="1061" w:type="dxa"/>
            <w:vAlign w:val="center"/>
          </w:tcPr>
          <w:p w14:paraId="7196D2AA">
            <w:pPr>
              <w:jc w:val="center"/>
              <w:rPr>
                <w:rFonts w:ascii="宋体" w:hAnsi="宋体"/>
                <w:color w:val="auto"/>
                <w:sz w:val="24"/>
                <w:highlight w:val="none"/>
              </w:rPr>
            </w:pPr>
          </w:p>
        </w:tc>
        <w:tc>
          <w:tcPr>
            <w:tcW w:w="934" w:type="dxa"/>
            <w:vAlign w:val="center"/>
          </w:tcPr>
          <w:p w14:paraId="5F3D0FCE">
            <w:pPr>
              <w:jc w:val="center"/>
              <w:rPr>
                <w:rFonts w:ascii="宋体" w:hAnsi="宋体"/>
                <w:color w:val="auto"/>
                <w:sz w:val="24"/>
                <w:highlight w:val="none"/>
              </w:rPr>
            </w:pPr>
          </w:p>
        </w:tc>
        <w:tc>
          <w:tcPr>
            <w:tcW w:w="1395" w:type="dxa"/>
          </w:tcPr>
          <w:p w14:paraId="6B656F6D">
            <w:pPr>
              <w:jc w:val="center"/>
              <w:rPr>
                <w:rFonts w:ascii="宋体" w:hAnsi="宋体"/>
                <w:color w:val="auto"/>
                <w:sz w:val="24"/>
                <w:highlight w:val="none"/>
              </w:rPr>
            </w:pPr>
          </w:p>
        </w:tc>
      </w:tr>
    </w:tbl>
    <w:p w14:paraId="58D56AA9">
      <w:pPr>
        <w:pStyle w:val="10"/>
        <w:ind w:left="0" w:leftChars="0" w:firstLine="0" w:firstLineChars="0"/>
        <w:rPr>
          <w:color w:val="auto"/>
          <w:highlight w:val="none"/>
        </w:rPr>
      </w:pPr>
    </w:p>
    <w:p w14:paraId="1D5EB99E">
      <w:pPr>
        <w:snapToGrid w:val="0"/>
        <w:spacing w:line="360" w:lineRule="auto"/>
        <w:jc w:val="left"/>
        <w:rPr>
          <w:rFonts w:ascii="宋体" w:hAnsi="宋体"/>
          <w:color w:val="auto"/>
          <w:highlight w:val="none"/>
        </w:rPr>
      </w:pPr>
      <w:r>
        <w:rPr>
          <w:rFonts w:hint="eastAsia" w:ascii="宋体" w:hAnsi="宋体"/>
          <w:color w:val="auto"/>
          <w:highlight w:val="none"/>
        </w:rPr>
        <w:t xml:space="preserve">注：在填写时，如本表格不适合投标单位的实际情况，可根据本表格式自行划表填写； </w:t>
      </w:r>
    </w:p>
    <w:p w14:paraId="29612BF0">
      <w:pPr>
        <w:snapToGrid w:val="0"/>
        <w:spacing w:line="360" w:lineRule="auto"/>
        <w:rPr>
          <w:rFonts w:ascii="宋体" w:hAnsi="宋体"/>
          <w:color w:val="auto"/>
          <w:highlight w:val="none"/>
        </w:rPr>
      </w:pPr>
    </w:p>
    <w:p w14:paraId="5E6FC6CF">
      <w:pPr>
        <w:snapToGrid w:val="0"/>
        <w:spacing w:before="50" w:after="50"/>
        <w:rPr>
          <w:rFonts w:ascii="宋体" w:hAnsi="宋体" w:cs="宋体"/>
          <w:color w:val="auto"/>
          <w:spacing w:val="20"/>
          <w:sz w:val="24"/>
          <w:highlight w:val="none"/>
          <w:u w:val="single"/>
        </w:rPr>
      </w:pPr>
      <w:bookmarkStart w:id="94" w:name="_Toc3798"/>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672B6B6D">
      <w:pPr>
        <w:snapToGrid w:val="0"/>
        <w:spacing w:before="50" w:after="50"/>
        <w:rPr>
          <w:rFonts w:ascii="宋体" w:hAnsi="宋体" w:cs="宋体"/>
          <w:color w:val="auto"/>
          <w:sz w:val="24"/>
          <w:highlight w:val="none"/>
        </w:rPr>
      </w:pPr>
      <w:r>
        <w:rPr>
          <w:rFonts w:hint="eastAsia" w:ascii="宋体" w:hAnsi="宋体" w:cs="宋体"/>
          <w:color w:val="auto"/>
          <w:spacing w:val="20"/>
          <w:sz w:val="24"/>
          <w:highlight w:val="none"/>
        </w:rPr>
        <w:t>投标人盖章：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20FF67C5">
      <w:pPr>
        <w:snapToGrid w:val="0"/>
        <w:spacing w:before="50" w:afterLines="50"/>
        <w:jc w:val="left"/>
        <w:rPr>
          <w:rFonts w:ascii="宋体" w:hAnsi="宋体" w:cs="宋体"/>
          <w:color w:val="auto"/>
          <w:sz w:val="24"/>
          <w:highlight w:val="none"/>
        </w:rPr>
      </w:pPr>
    </w:p>
    <w:bookmarkEnd w:id="94"/>
    <w:p w14:paraId="3DC456B7">
      <w:pPr>
        <w:pStyle w:val="6"/>
        <w:keepNext w:val="0"/>
        <w:keepLines w:val="0"/>
        <w:pageBreakBefore/>
        <w:rPr>
          <w:rFonts w:ascii="宋体" w:hAnsi="宋体" w:eastAsia="宋体" w:cs="宋体"/>
          <w:b w:val="0"/>
          <w:color w:val="auto"/>
          <w:kern w:val="0"/>
          <w:sz w:val="24"/>
          <w:szCs w:val="24"/>
          <w:highlight w:val="none"/>
        </w:rPr>
      </w:pPr>
      <w:bookmarkStart w:id="95" w:name="_Toc29566"/>
      <w:r>
        <w:rPr>
          <w:rFonts w:hint="eastAsia" w:ascii="宋体" w:hAnsi="宋体" w:eastAsia="宋体" w:cs="宋体"/>
          <w:b w:val="0"/>
          <w:color w:val="auto"/>
          <w:kern w:val="0"/>
          <w:sz w:val="24"/>
          <w:szCs w:val="24"/>
          <w:highlight w:val="none"/>
        </w:rPr>
        <w:t>附件十</w:t>
      </w:r>
      <w:r>
        <w:rPr>
          <w:rFonts w:hint="eastAsia" w:ascii="宋体" w:hAnsi="宋体" w:eastAsia="宋体" w:cs="宋体"/>
          <w:b w:val="0"/>
          <w:color w:val="auto"/>
          <w:kern w:val="0"/>
          <w:sz w:val="24"/>
          <w:szCs w:val="24"/>
          <w:highlight w:val="none"/>
          <w:lang w:val="en-US" w:eastAsia="zh-CN"/>
        </w:rPr>
        <w:t>一</w:t>
      </w:r>
      <w:r>
        <w:rPr>
          <w:rFonts w:hint="eastAsia" w:ascii="宋体" w:hAnsi="宋体" w:eastAsia="宋体" w:cs="宋体"/>
          <w:b w:val="0"/>
          <w:color w:val="auto"/>
          <w:kern w:val="0"/>
          <w:sz w:val="24"/>
          <w:szCs w:val="24"/>
          <w:highlight w:val="none"/>
        </w:rPr>
        <w:t>：同类项目业绩一览表</w:t>
      </w:r>
      <w:bookmarkEnd w:id="93"/>
      <w:bookmarkEnd w:id="95"/>
    </w:p>
    <w:p w14:paraId="1F68813F">
      <w:pPr>
        <w:widowControl/>
        <w:jc w:val="left"/>
        <w:rPr>
          <w:rFonts w:ascii="宋体" w:hAnsi="宋体" w:cs="宋体"/>
          <w:color w:val="auto"/>
          <w:kern w:val="0"/>
          <w:sz w:val="24"/>
          <w:highlight w:val="none"/>
        </w:rPr>
      </w:pPr>
    </w:p>
    <w:p w14:paraId="17D770F4">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同类项目业绩一览表</w:t>
      </w:r>
    </w:p>
    <w:p w14:paraId="0495920E">
      <w:pPr>
        <w:widowControl/>
        <w:jc w:val="left"/>
        <w:rPr>
          <w:rFonts w:ascii="宋体" w:hAnsi="宋体" w:cs="宋体"/>
          <w:color w:val="auto"/>
          <w:kern w:val="0"/>
          <w:sz w:val="24"/>
          <w:highlight w:val="none"/>
        </w:rPr>
      </w:pPr>
    </w:p>
    <w:tbl>
      <w:tblPr>
        <w:tblStyle w:val="24"/>
        <w:tblW w:w="91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1312"/>
        <w:gridCol w:w="1312"/>
        <w:gridCol w:w="1312"/>
        <w:gridCol w:w="1312"/>
        <w:gridCol w:w="1312"/>
        <w:gridCol w:w="1313"/>
      </w:tblGrid>
      <w:tr w14:paraId="152CC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76" w:hRule="atLeast"/>
          <w:jc w:val="center"/>
        </w:trPr>
        <w:tc>
          <w:tcPr>
            <w:tcW w:w="1312" w:type="dxa"/>
            <w:vAlign w:val="center"/>
          </w:tcPr>
          <w:p w14:paraId="134466E9">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项目名称</w:t>
            </w:r>
          </w:p>
        </w:tc>
        <w:tc>
          <w:tcPr>
            <w:tcW w:w="1312" w:type="dxa"/>
            <w:vAlign w:val="center"/>
          </w:tcPr>
          <w:p w14:paraId="0B5469D3">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w:t>
            </w:r>
          </w:p>
          <w:p w14:paraId="7BB5F779">
            <w:pPr>
              <w:jc w:val="center"/>
              <w:rPr>
                <w:rFonts w:ascii="宋体" w:hAnsi="宋体" w:cs="宋体"/>
                <w:color w:val="auto"/>
                <w:sz w:val="24"/>
                <w:highlight w:val="none"/>
                <w:lang w:val="zh-CN"/>
              </w:rPr>
            </w:pPr>
            <w:r>
              <w:rPr>
                <w:rFonts w:hint="eastAsia" w:ascii="宋体" w:hAnsi="宋体" w:cs="宋体"/>
                <w:color w:val="auto"/>
                <w:sz w:val="24"/>
                <w:highlight w:val="none"/>
                <w:lang w:val="zh-CN"/>
              </w:rPr>
              <w:t>类型</w:t>
            </w:r>
          </w:p>
        </w:tc>
        <w:tc>
          <w:tcPr>
            <w:tcW w:w="1312" w:type="dxa"/>
            <w:vAlign w:val="center"/>
          </w:tcPr>
          <w:p w14:paraId="63F8C068">
            <w:pPr>
              <w:jc w:val="center"/>
              <w:rPr>
                <w:rFonts w:ascii="宋体" w:hAnsi="宋体" w:cs="宋体"/>
                <w:color w:val="auto"/>
                <w:sz w:val="24"/>
                <w:highlight w:val="none"/>
                <w:lang w:val="zh-CN"/>
              </w:rPr>
            </w:pPr>
            <w:r>
              <w:rPr>
                <w:rFonts w:hint="eastAsia" w:ascii="宋体" w:hAnsi="宋体" w:cs="宋体"/>
                <w:color w:val="auto"/>
                <w:sz w:val="24"/>
                <w:highlight w:val="none"/>
                <w:lang w:val="zh-CN"/>
              </w:rPr>
              <w:t>简要描述</w:t>
            </w:r>
          </w:p>
        </w:tc>
        <w:tc>
          <w:tcPr>
            <w:tcW w:w="1312" w:type="dxa"/>
            <w:vAlign w:val="center"/>
          </w:tcPr>
          <w:p w14:paraId="57BB848D">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w:t>
            </w:r>
          </w:p>
          <w:p w14:paraId="6AA109EC">
            <w:pPr>
              <w:jc w:val="center"/>
              <w:rPr>
                <w:rFonts w:ascii="宋体" w:hAnsi="宋体" w:cs="宋体"/>
                <w:color w:val="auto"/>
                <w:sz w:val="24"/>
                <w:highlight w:val="none"/>
                <w:lang w:val="zh-CN"/>
              </w:rPr>
            </w:pPr>
            <w:r>
              <w:rPr>
                <w:rFonts w:hint="eastAsia" w:ascii="宋体" w:hAnsi="宋体" w:cs="宋体"/>
                <w:color w:val="auto"/>
                <w:sz w:val="24"/>
                <w:highlight w:val="none"/>
                <w:lang w:val="zh-CN"/>
              </w:rPr>
              <w:t>金额</w:t>
            </w:r>
          </w:p>
          <w:p w14:paraId="0CC19DA4">
            <w:pPr>
              <w:jc w:val="center"/>
              <w:rPr>
                <w:rFonts w:ascii="宋体" w:hAnsi="宋体" w:cs="宋体"/>
                <w:color w:val="auto"/>
                <w:sz w:val="24"/>
                <w:highlight w:val="none"/>
                <w:lang w:val="zh-CN"/>
              </w:rPr>
            </w:pPr>
            <w:r>
              <w:rPr>
                <w:rFonts w:hint="eastAsia" w:ascii="宋体" w:hAnsi="宋体" w:cs="宋体"/>
                <w:color w:val="auto"/>
                <w:sz w:val="24"/>
                <w:highlight w:val="none"/>
                <w:lang w:val="zh-CN"/>
              </w:rPr>
              <w:t>（万元）</w:t>
            </w:r>
          </w:p>
        </w:tc>
        <w:tc>
          <w:tcPr>
            <w:tcW w:w="1312" w:type="dxa"/>
            <w:vAlign w:val="center"/>
          </w:tcPr>
          <w:p w14:paraId="765B0526">
            <w:pPr>
              <w:jc w:val="center"/>
              <w:rPr>
                <w:rFonts w:ascii="宋体" w:hAnsi="宋体" w:cs="宋体"/>
                <w:color w:val="auto"/>
                <w:sz w:val="24"/>
                <w:highlight w:val="none"/>
                <w:lang w:val="zh-CN"/>
              </w:rPr>
            </w:pPr>
            <w:r>
              <w:rPr>
                <w:rFonts w:hint="eastAsia" w:ascii="宋体" w:hAnsi="宋体" w:cs="宋体"/>
                <w:color w:val="auto"/>
                <w:sz w:val="24"/>
                <w:highlight w:val="none"/>
                <w:lang w:val="zh-CN"/>
              </w:rPr>
              <w:t>实施时间</w:t>
            </w:r>
          </w:p>
        </w:tc>
        <w:tc>
          <w:tcPr>
            <w:tcW w:w="1312" w:type="dxa"/>
            <w:vAlign w:val="center"/>
          </w:tcPr>
          <w:p w14:paraId="495968D6">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项目单位、联系人及电话</w:t>
            </w:r>
          </w:p>
        </w:tc>
        <w:tc>
          <w:tcPr>
            <w:tcW w:w="1313" w:type="dxa"/>
            <w:vAlign w:val="center"/>
          </w:tcPr>
          <w:p w14:paraId="538CAB3F">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项目完成情况</w:t>
            </w:r>
          </w:p>
        </w:tc>
      </w:tr>
      <w:tr w14:paraId="4A72D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312" w:type="dxa"/>
            <w:vAlign w:val="center"/>
          </w:tcPr>
          <w:p w14:paraId="0E554B1F">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381CDA37">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4BE97FA6">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23750F20">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89EC619">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6754751">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5535AC1C">
            <w:pPr>
              <w:autoSpaceDE w:val="0"/>
              <w:autoSpaceDN w:val="0"/>
              <w:adjustRightInd w:val="0"/>
              <w:spacing w:line="360" w:lineRule="auto"/>
              <w:jc w:val="center"/>
              <w:rPr>
                <w:rFonts w:ascii="宋体" w:hAnsi="宋体" w:cs="宋体"/>
                <w:color w:val="auto"/>
                <w:sz w:val="24"/>
                <w:highlight w:val="none"/>
                <w:lang w:val="zh-CN"/>
              </w:rPr>
            </w:pPr>
          </w:p>
        </w:tc>
      </w:tr>
      <w:tr w14:paraId="73E4B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312" w:type="dxa"/>
            <w:vAlign w:val="center"/>
          </w:tcPr>
          <w:p w14:paraId="477B791E">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3C58CEB6">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BA032D2">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AA91851">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721BC70D">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602EB198">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59515B7C">
            <w:pPr>
              <w:autoSpaceDE w:val="0"/>
              <w:autoSpaceDN w:val="0"/>
              <w:adjustRightInd w:val="0"/>
              <w:spacing w:line="360" w:lineRule="auto"/>
              <w:jc w:val="center"/>
              <w:rPr>
                <w:rFonts w:ascii="宋体" w:hAnsi="宋体" w:cs="宋体"/>
                <w:color w:val="auto"/>
                <w:sz w:val="24"/>
                <w:highlight w:val="none"/>
                <w:lang w:val="zh-CN"/>
              </w:rPr>
            </w:pPr>
          </w:p>
        </w:tc>
      </w:tr>
      <w:tr w14:paraId="278E9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1312" w:type="dxa"/>
            <w:vAlign w:val="center"/>
          </w:tcPr>
          <w:p w14:paraId="771C52C6">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22C7E314">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3081F05F">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10BC2288">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1786B012">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7354548B">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5C8DF016">
            <w:pPr>
              <w:autoSpaceDE w:val="0"/>
              <w:autoSpaceDN w:val="0"/>
              <w:adjustRightInd w:val="0"/>
              <w:spacing w:line="360" w:lineRule="auto"/>
              <w:jc w:val="center"/>
              <w:rPr>
                <w:rFonts w:ascii="宋体" w:hAnsi="宋体" w:cs="宋体"/>
                <w:color w:val="auto"/>
                <w:sz w:val="24"/>
                <w:highlight w:val="none"/>
                <w:lang w:val="zh-CN"/>
              </w:rPr>
            </w:pPr>
          </w:p>
        </w:tc>
      </w:tr>
      <w:tr w14:paraId="28760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312" w:type="dxa"/>
            <w:vAlign w:val="center"/>
          </w:tcPr>
          <w:p w14:paraId="1387E908">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2615A30">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129DBAFE">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967885B">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418DA756">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512096C">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06AECC5F">
            <w:pPr>
              <w:autoSpaceDE w:val="0"/>
              <w:autoSpaceDN w:val="0"/>
              <w:adjustRightInd w:val="0"/>
              <w:spacing w:line="360" w:lineRule="auto"/>
              <w:jc w:val="center"/>
              <w:rPr>
                <w:rFonts w:ascii="宋体" w:hAnsi="宋体" w:cs="宋体"/>
                <w:color w:val="auto"/>
                <w:sz w:val="24"/>
                <w:highlight w:val="none"/>
                <w:lang w:val="zh-CN"/>
              </w:rPr>
            </w:pPr>
          </w:p>
        </w:tc>
      </w:tr>
      <w:tr w14:paraId="45208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1312" w:type="dxa"/>
            <w:vAlign w:val="center"/>
          </w:tcPr>
          <w:p w14:paraId="17975E15">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FAD6D2A">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55A23ED">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360326CF">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78F9F7E">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104AEF5A">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25B5B71E">
            <w:pPr>
              <w:autoSpaceDE w:val="0"/>
              <w:autoSpaceDN w:val="0"/>
              <w:adjustRightInd w:val="0"/>
              <w:spacing w:line="360" w:lineRule="auto"/>
              <w:jc w:val="center"/>
              <w:rPr>
                <w:rFonts w:ascii="宋体" w:hAnsi="宋体" w:cs="宋体"/>
                <w:color w:val="auto"/>
                <w:sz w:val="24"/>
                <w:highlight w:val="none"/>
                <w:lang w:val="zh-CN"/>
              </w:rPr>
            </w:pPr>
          </w:p>
        </w:tc>
      </w:tr>
      <w:tr w14:paraId="44572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1312" w:type="dxa"/>
            <w:vAlign w:val="center"/>
          </w:tcPr>
          <w:p w14:paraId="5245EB2B">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6737518E">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0FA3605">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6DE3AA56">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61C9EA41">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9207535">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333B2EFF">
            <w:pPr>
              <w:autoSpaceDE w:val="0"/>
              <w:autoSpaceDN w:val="0"/>
              <w:adjustRightInd w:val="0"/>
              <w:spacing w:line="360" w:lineRule="auto"/>
              <w:jc w:val="center"/>
              <w:rPr>
                <w:rFonts w:ascii="宋体" w:hAnsi="宋体" w:cs="宋体"/>
                <w:color w:val="auto"/>
                <w:sz w:val="24"/>
                <w:highlight w:val="none"/>
                <w:lang w:val="zh-CN"/>
              </w:rPr>
            </w:pPr>
          </w:p>
        </w:tc>
      </w:tr>
    </w:tbl>
    <w:p w14:paraId="2A4327F7">
      <w:pPr>
        <w:snapToGrid w:val="0"/>
        <w:spacing w:line="360" w:lineRule="auto"/>
        <w:rPr>
          <w:rFonts w:ascii="宋体" w:hAnsi="宋体" w:cs="宋体"/>
          <w:b/>
          <w:color w:val="auto"/>
          <w:sz w:val="24"/>
          <w:highlight w:val="none"/>
        </w:rPr>
      </w:pPr>
    </w:p>
    <w:p w14:paraId="55299249">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注：1、各投标人可以根据各自业绩量准备充分的表格，此页后须附证明材料。</w:t>
      </w:r>
    </w:p>
    <w:p w14:paraId="22CB982F">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2、投标人须真实仔细地填写本表格。</w:t>
      </w:r>
    </w:p>
    <w:p w14:paraId="20ED4C06">
      <w:pPr>
        <w:widowControl/>
        <w:jc w:val="left"/>
        <w:rPr>
          <w:rFonts w:ascii="宋体" w:hAnsi="宋体" w:cs="宋体"/>
          <w:color w:val="auto"/>
          <w:kern w:val="0"/>
          <w:sz w:val="24"/>
          <w:highlight w:val="none"/>
        </w:rPr>
      </w:pPr>
    </w:p>
    <w:p w14:paraId="12AADE62">
      <w:pPr>
        <w:widowControl/>
        <w:jc w:val="left"/>
        <w:rPr>
          <w:rFonts w:ascii="宋体" w:hAnsi="宋体" w:cs="宋体"/>
          <w:color w:val="auto"/>
          <w:kern w:val="0"/>
          <w:sz w:val="24"/>
          <w:highlight w:val="none"/>
        </w:rPr>
      </w:pPr>
    </w:p>
    <w:p w14:paraId="300605F5">
      <w:pPr>
        <w:widowControl/>
        <w:jc w:val="left"/>
        <w:rPr>
          <w:rFonts w:ascii="宋体" w:hAnsi="宋体" w:cs="宋体"/>
          <w:color w:val="auto"/>
          <w:kern w:val="0"/>
          <w:sz w:val="24"/>
          <w:highlight w:val="none"/>
        </w:rPr>
      </w:pPr>
    </w:p>
    <w:p w14:paraId="6B17D148">
      <w:pPr>
        <w:pStyle w:val="8"/>
        <w:overflowPunct w:val="0"/>
        <w:spacing w:line="360" w:lineRule="auto"/>
        <w:ind w:right="420" w:firstLine="3300" w:firstLineChars="1375"/>
        <w:rPr>
          <w:rFonts w:ascii="宋体" w:hAnsi="宋体" w:cs="宋体"/>
          <w:color w:val="auto"/>
          <w:sz w:val="24"/>
          <w:szCs w:val="24"/>
          <w:highlight w:val="none"/>
        </w:rPr>
      </w:pPr>
      <w:r>
        <w:rPr>
          <w:rFonts w:hint="eastAsia" w:ascii="宋体" w:hAnsi="宋体" w:cs="宋体"/>
          <w:color w:val="auto"/>
          <w:sz w:val="24"/>
          <w:szCs w:val="24"/>
          <w:highlight w:val="none"/>
        </w:rPr>
        <w:t>投标人（单位盖章）：</w:t>
      </w:r>
    </w:p>
    <w:p w14:paraId="5F621B5D">
      <w:pPr>
        <w:pStyle w:val="8"/>
        <w:overflowPunct w:val="0"/>
        <w:spacing w:line="360" w:lineRule="auto"/>
        <w:ind w:right="420" w:firstLine="3360" w:firstLineChars="1400"/>
        <w:rPr>
          <w:rFonts w:ascii="宋体" w:hAnsi="宋体" w:cs="宋体"/>
          <w:color w:val="auto"/>
          <w:sz w:val="24"/>
          <w:szCs w:val="24"/>
          <w:highlight w:val="none"/>
        </w:rPr>
      </w:pPr>
      <w:r>
        <w:rPr>
          <w:rFonts w:hint="eastAsia" w:ascii="宋体" w:hAnsi="宋体" w:cs="宋体"/>
          <w:color w:val="auto"/>
          <w:sz w:val="24"/>
          <w:szCs w:val="24"/>
          <w:highlight w:val="none"/>
        </w:rPr>
        <w:t xml:space="preserve">法定代表人或委托代理人（签字或盖章）：                         </w:t>
      </w:r>
    </w:p>
    <w:p w14:paraId="6DBA1D19">
      <w:pPr>
        <w:spacing w:beforeLines="50" w:line="360" w:lineRule="auto"/>
        <w:ind w:right="-21" w:rightChars="-10" w:firstLine="470" w:firstLineChars="196"/>
        <w:jc w:val="right"/>
        <w:rPr>
          <w:rFonts w:ascii="宋体" w:hAnsi="宋体" w:cs="宋体"/>
          <w:color w:val="auto"/>
          <w:sz w:val="24"/>
          <w:highlight w:val="none"/>
        </w:rPr>
      </w:pPr>
      <w:r>
        <w:rPr>
          <w:rFonts w:hint="eastAsia" w:ascii="宋体" w:hAnsi="宋体" w:cs="宋体"/>
          <w:color w:val="auto"/>
          <w:sz w:val="24"/>
          <w:highlight w:val="none"/>
        </w:rPr>
        <w:t>年  月  日</w:t>
      </w:r>
    </w:p>
    <w:p w14:paraId="42FD5B1B">
      <w:pPr>
        <w:rPr>
          <w:rFonts w:ascii="宋体" w:hAnsi="宋体" w:cs="宋体"/>
          <w:bCs/>
          <w:color w:val="auto"/>
          <w:sz w:val="24"/>
          <w:highlight w:val="none"/>
        </w:rPr>
      </w:pPr>
    </w:p>
    <w:p w14:paraId="4B936D92">
      <w:pPr>
        <w:rPr>
          <w:rFonts w:ascii="宋体" w:hAnsi="宋体" w:cs="宋体"/>
          <w:bCs/>
          <w:color w:val="auto"/>
          <w:sz w:val="24"/>
          <w:highlight w:val="none"/>
        </w:rPr>
      </w:pPr>
    </w:p>
    <w:p w14:paraId="1B199A9D">
      <w:pPr>
        <w:rPr>
          <w:rFonts w:ascii="宋体" w:hAnsi="宋体" w:cs="宋体"/>
          <w:color w:val="auto"/>
          <w:sz w:val="24"/>
          <w:highlight w:val="none"/>
        </w:rPr>
      </w:pPr>
    </w:p>
    <w:p w14:paraId="0877BD69">
      <w:pPr>
        <w:pageBreakBefore/>
        <w:spacing w:before="260" w:after="260" w:line="415" w:lineRule="auto"/>
        <w:outlineLvl w:val="1"/>
        <w:rPr>
          <w:rFonts w:ascii="宋体" w:hAnsi="宋体" w:cs="宋体"/>
          <w:bCs/>
          <w:color w:val="auto"/>
          <w:sz w:val="24"/>
          <w:highlight w:val="none"/>
        </w:rPr>
      </w:pPr>
      <w:bookmarkStart w:id="96" w:name="_Toc2860"/>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二</w:t>
      </w:r>
      <w:r>
        <w:rPr>
          <w:rFonts w:hint="eastAsia" w:ascii="宋体" w:hAnsi="宋体" w:cs="宋体"/>
          <w:bCs/>
          <w:color w:val="auto"/>
          <w:sz w:val="24"/>
          <w:highlight w:val="none"/>
        </w:rPr>
        <w:t>：服务费承诺书</w:t>
      </w:r>
      <w:bookmarkEnd w:id="96"/>
    </w:p>
    <w:p w14:paraId="15C32EF1">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承 诺 书</w:t>
      </w:r>
    </w:p>
    <w:p w14:paraId="15714046">
      <w:pPr>
        <w:snapToGrid w:val="0"/>
        <w:spacing w:before="50" w:afterLines="50"/>
        <w:jc w:val="left"/>
        <w:rPr>
          <w:rFonts w:ascii="宋体" w:hAnsi="宋体" w:cs="宋体"/>
          <w:b/>
          <w:color w:val="auto"/>
          <w:sz w:val="24"/>
          <w:highlight w:val="none"/>
        </w:rPr>
      </w:pPr>
    </w:p>
    <w:p w14:paraId="1F5AB308">
      <w:pPr>
        <w:snapToGrid w:val="0"/>
        <w:spacing w:before="50" w:afterLines="50" w:line="360" w:lineRule="auto"/>
        <w:jc w:val="left"/>
        <w:rPr>
          <w:rFonts w:ascii="宋体" w:hAnsi="宋体" w:cs="宋体"/>
          <w:b/>
          <w:bCs/>
          <w:color w:val="auto"/>
          <w:sz w:val="24"/>
          <w:highlight w:val="none"/>
        </w:rPr>
      </w:pPr>
      <w:r>
        <w:rPr>
          <w:rFonts w:hint="eastAsia" w:ascii="宋体" w:hAnsi="宋体" w:cs="宋体"/>
          <w:b/>
          <w:color w:val="auto"/>
          <w:sz w:val="24"/>
          <w:highlight w:val="none"/>
        </w:rPr>
        <w:t>东阳市鑫盛工程咨询有限公司</w:t>
      </w:r>
      <w:r>
        <w:rPr>
          <w:rFonts w:hint="eastAsia" w:ascii="宋体" w:hAnsi="宋体" w:cs="宋体"/>
          <w:b/>
          <w:bCs/>
          <w:color w:val="auto"/>
          <w:sz w:val="24"/>
          <w:highlight w:val="none"/>
        </w:rPr>
        <w:t>：</w:t>
      </w:r>
    </w:p>
    <w:p w14:paraId="578A1748">
      <w:pPr>
        <w:snapToGrid w:val="0"/>
        <w:spacing w:before="50" w:afterLines="50" w:line="360" w:lineRule="auto"/>
        <w:ind w:firstLine="472" w:firstLineChars="196"/>
        <w:jc w:val="left"/>
        <w:rPr>
          <w:rFonts w:ascii="宋体" w:hAnsi="宋体" w:cs="宋体"/>
          <w:b/>
          <w:color w:val="auto"/>
          <w:sz w:val="24"/>
          <w:highlight w:val="none"/>
        </w:rPr>
      </w:pPr>
      <w:r>
        <w:rPr>
          <w:rFonts w:hint="eastAsia" w:ascii="宋体" w:hAnsi="宋体" w:cs="宋体"/>
          <w:b/>
          <w:color w:val="auto"/>
          <w:sz w:val="24"/>
          <w:highlight w:val="none"/>
        </w:rPr>
        <w:t xml:space="preserve">若我公司中标时，在中标结果公示结束之日起3天内，愿按本招标文件总则第（五）条规定向东阳市鑫盛工程咨询有限公司支付中标服务费。    </w:t>
      </w:r>
    </w:p>
    <w:p w14:paraId="7DC81467">
      <w:pPr>
        <w:snapToGrid w:val="0"/>
        <w:spacing w:before="50" w:afterLines="50" w:line="360" w:lineRule="auto"/>
        <w:jc w:val="left"/>
        <w:rPr>
          <w:rFonts w:ascii="宋体" w:hAnsi="宋体" w:cs="宋体"/>
          <w:b/>
          <w:color w:val="auto"/>
          <w:sz w:val="24"/>
          <w:highlight w:val="none"/>
        </w:rPr>
      </w:pPr>
    </w:p>
    <w:p w14:paraId="162D7655">
      <w:pPr>
        <w:snapToGrid w:val="0"/>
        <w:spacing w:before="50" w:afterLines="50"/>
        <w:jc w:val="left"/>
        <w:rPr>
          <w:rFonts w:ascii="宋体" w:hAnsi="宋体" w:cs="宋体"/>
          <w:b/>
          <w:color w:val="auto"/>
          <w:sz w:val="24"/>
          <w:highlight w:val="none"/>
        </w:rPr>
      </w:pPr>
    </w:p>
    <w:p w14:paraId="1AF02114">
      <w:pPr>
        <w:snapToGrid w:val="0"/>
        <w:spacing w:before="50" w:afterLines="50"/>
        <w:jc w:val="left"/>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特此承诺！</w:t>
      </w:r>
    </w:p>
    <w:p w14:paraId="02D5EB7E">
      <w:pPr>
        <w:snapToGrid w:val="0"/>
        <w:spacing w:before="50" w:afterLines="50"/>
        <w:jc w:val="left"/>
        <w:rPr>
          <w:rFonts w:ascii="宋体" w:hAnsi="宋体" w:cs="宋体"/>
          <w:b/>
          <w:color w:val="auto"/>
          <w:sz w:val="24"/>
          <w:highlight w:val="none"/>
        </w:rPr>
      </w:pPr>
    </w:p>
    <w:p w14:paraId="71FD222E">
      <w:pPr>
        <w:snapToGrid w:val="0"/>
        <w:spacing w:before="50" w:afterLines="50"/>
        <w:jc w:val="left"/>
        <w:rPr>
          <w:rFonts w:ascii="宋体" w:hAnsi="宋体" w:cs="宋体"/>
          <w:b/>
          <w:color w:val="auto"/>
          <w:sz w:val="24"/>
          <w:highlight w:val="none"/>
        </w:rPr>
      </w:pPr>
    </w:p>
    <w:p w14:paraId="1FC32B09">
      <w:pPr>
        <w:snapToGrid w:val="0"/>
        <w:spacing w:before="50" w:afterLines="50"/>
        <w:jc w:val="left"/>
        <w:rPr>
          <w:rFonts w:ascii="宋体" w:hAnsi="宋体" w:cs="宋体"/>
          <w:b/>
          <w:color w:val="auto"/>
          <w:sz w:val="24"/>
          <w:highlight w:val="none"/>
        </w:rPr>
      </w:pPr>
    </w:p>
    <w:p w14:paraId="69D9ABD1">
      <w:pPr>
        <w:snapToGrid w:val="0"/>
        <w:spacing w:before="50" w:afterLines="50"/>
        <w:ind w:firstLine="236" w:firstLineChars="98"/>
        <w:jc w:val="left"/>
        <w:rPr>
          <w:rFonts w:ascii="宋体" w:hAnsi="宋体" w:cs="宋体"/>
          <w:b/>
          <w:color w:val="auto"/>
          <w:sz w:val="24"/>
          <w:highlight w:val="none"/>
        </w:rPr>
      </w:pPr>
      <w:r>
        <w:rPr>
          <w:rFonts w:hint="eastAsia" w:ascii="宋体" w:hAnsi="宋体" w:cs="宋体"/>
          <w:b/>
          <w:color w:val="auto"/>
          <w:sz w:val="24"/>
          <w:highlight w:val="none"/>
        </w:rPr>
        <w:t>承诺单位(盖章)：</w:t>
      </w:r>
    </w:p>
    <w:p w14:paraId="09D493AF">
      <w:pPr>
        <w:snapToGrid w:val="0"/>
        <w:spacing w:before="50" w:afterLines="50"/>
        <w:jc w:val="left"/>
        <w:rPr>
          <w:rFonts w:ascii="宋体" w:hAnsi="宋体" w:cs="宋体"/>
          <w:b/>
          <w:color w:val="auto"/>
          <w:sz w:val="24"/>
          <w:highlight w:val="none"/>
        </w:rPr>
      </w:pPr>
    </w:p>
    <w:p w14:paraId="7FAB1FFA">
      <w:pPr>
        <w:snapToGrid w:val="0"/>
        <w:spacing w:before="50" w:afterLines="50"/>
        <w:jc w:val="left"/>
        <w:rPr>
          <w:rFonts w:ascii="宋体" w:hAnsi="宋体" w:cs="宋体"/>
          <w:b/>
          <w:color w:val="auto"/>
          <w:sz w:val="24"/>
          <w:highlight w:val="none"/>
        </w:rPr>
      </w:pPr>
    </w:p>
    <w:p w14:paraId="227CD0EA">
      <w:pPr>
        <w:snapToGrid w:val="0"/>
        <w:spacing w:before="50" w:afterLines="50"/>
        <w:ind w:firstLine="236" w:firstLineChars="98"/>
        <w:jc w:val="left"/>
        <w:rPr>
          <w:rFonts w:ascii="宋体" w:hAnsi="宋体" w:cs="宋体"/>
          <w:b/>
          <w:color w:val="auto"/>
          <w:sz w:val="24"/>
          <w:highlight w:val="none"/>
        </w:rPr>
      </w:pPr>
      <w:r>
        <w:rPr>
          <w:rFonts w:hint="eastAsia" w:ascii="宋体" w:hAnsi="宋体" w:cs="宋体"/>
          <w:b/>
          <w:color w:val="auto"/>
          <w:sz w:val="24"/>
          <w:highlight w:val="none"/>
        </w:rPr>
        <w:t>法定代表人或委托代理人(签字)：</w:t>
      </w:r>
    </w:p>
    <w:p w14:paraId="5ED98BCC">
      <w:pPr>
        <w:snapToGrid w:val="0"/>
        <w:spacing w:before="50" w:afterLines="50"/>
        <w:jc w:val="left"/>
        <w:rPr>
          <w:rFonts w:ascii="宋体" w:hAnsi="宋体" w:cs="宋体"/>
          <w:b/>
          <w:bCs/>
          <w:color w:val="auto"/>
          <w:sz w:val="24"/>
          <w:highlight w:val="none"/>
        </w:rPr>
      </w:pPr>
    </w:p>
    <w:p w14:paraId="34D7C4D4">
      <w:pPr>
        <w:snapToGrid w:val="0"/>
        <w:spacing w:before="50" w:afterLines="50"/>
        <w:jc w:val="left"/>
        <w:rPr>
          <w:rFonts w:ascii="宋体" w:hAnsi="宋体" w:cs="宋体"/>
          <w:b/>
          <w:bCs/>
          <w:color w:val="auto"/>
          <w:sz w:val="24"/>
          <w:highlight w:val="none"/>
        </w:rPr>
      </w:pPr>
    </w:p>
    <w:p w14:paraId="52451335">
      <w:pPr>
        <w:snapToGrid w:val="0"/>
        <w:spacing w:before="50" w:afterLines="50"/>
        <w:ind w:firstLine="5980" w:firstLineChars="2482"/>
        <w:jc w:val="left"/>
        <w:rPr>
          <w:rFonts w:ascii="宋体" w:hAnsi="宋体" w:cs="宋体"/>
          <w:b/>
          <w:bCs/>
          <w:color w:val="auto"/>
          <w:sz w:val="24"/>
          <w:highlight w:val="none"/>
        </w:rPr>
      </w:pPr>
      <w:r>
        <w:rPr>
          <w:rFonts w:hint="eastAsia" w:ascii="宋体" w:hAnsi="宋体" w:cs="宋体"/>
          <w:b/>
          <w:bCs/>
          <w:color w:val="auto"/>
          <w:sz w:val="24"/>
          <w:highlight w:val="none"/>
        </w:rPr>
        <w:t>年     月    日</w:t>
      </w:r>
    </w:p>
    <w:p w14:paraId="5CB4EFF4">
      <w:pPr>
        <w:snapToGrid w:val="0"/>
        <w:spacing w:before="50" w:afterLines="50"/>
        <w:jc w:val="left"/>
        <w:rPr>
          <w:rFonts w:ascii="宋体" w:hAnsi="宋体" w:cs="宋体"/>
          <w:b/>
          <w:color w:val="auto"/>
          <w:sz w:val="24"/>
          <w:highlight w:val="none"/>
        </w:rPr>
      </w:pPr>
    </w:p>
    <w:p w14:paraId="73FD1C23">
      <w:pPr>
        <w:snapToGrid w:val="0"/>
        <w:spacing w:beforeLines="50" w:after="50" w:line="276" w:lineRule="auto"/>
        <w:jc w:val="left"/>
        <w:rPr>
          <w:rFonts w:ascii="宋体" w:hAnsi="宋体" w:cs="宋体"/>
          <w:color w:val="auto"/>
          <w:sz w:val="24"/>
          <w:highlight w:val="none"/>
        </w:rPr>
      </w:pPr>
    </w:p>
    <w:p w14:paraId="16948608">
      <w:pPr>
        <w:snapToGrid w:val="0"/>
        <w:spacing w:beforeLines="50" w:after="50" w:line="276" w:lineRule="auto"/>
        <w:jc w:val="left"/>
        <w:rPr>
          <w:rFonts w:ascii="宋体" w:hAnsi="宋体" w:cs="宋体"/>
          <w:color w:val="auto"/>
          <w:sz w:val="24"/>
          <w:highlight w:val="none"/>
        </w:rPr>
      </w:pPr>
    </w:p>
    <w:p w14:paraId="3F4FB221">
      <w:pPr>
        <w:snapToGrid w:val="0"/>
        <w:spacing w:beforeLines="50" w:after="50" w:line="276" w:lineRule="auto"/>
        <w:jc w:val="left"/>
        <w:rPr>
          <w:rFonts w:ascii="宋体" w:hAnsi="宋体" w:cs="宋体"/>
          <w:color w:val="auto"/>
          <w:sz w:val="24"/>
          <w:highlight w:val="none"/>
        </w:rPr>
      </w:pPr>
    </w:p>
    <w:p w14:paraId="60E4574F">
      <w:pPr>
        <w:rPr>
          <w:rFonts w:ascii="宋体" w:hAnsi="宋体" w:cs="宋体"/>
          <w:bCs/>
          <w:color w:val="auto"/>
          <w:sz w:val="24"/>
          <w:highlight w:val="none"/>
        </w:rPr>
      </w:pPr>
      <w:bookmarkStart w:id="97" w:name="_Toc7166659"/>
      <w:bookmarkStart w:id="98" w:name="_Toc514425251"/>
    </w:p>
    <w:bookmarkEnd w:id="97"/>
    <w:bookmarkEnd w:id="98"/>
    <w:p w14:paraId="7046F2DD">
      <w:pPr>
        <w:rPr>
          <w:rFonts w:ascii="宋体" w:hAnsi="宋体" w:cs="宋体"/>
          <w:b/>
          <w:color w:val="auto"/>
          <w:sz w:val="24"/>
          <w:highlight w:val="none"/>
        </w:rPr>
      </w:pPr>
    </w:p>
    <w:p w14:paraId="06C5F93C">
      <w:pPr>
        <w:pageBreakBefore/>
        <w:spacing w:before="260" w:after="260" w:line="415" w:lineRule="auto"/>
        <w:outlineLvl w:val="1"/>
        <w:rPr>
          <w:rFonts w:ascii="宋体" w:hAnsi="宋体" w:cs="宋体"/>
          <w:bCs/>
          <w:color w:val="auto"/>
          <w:sz w:val="24"/>
          <w:highlight w:val="none"/>
        </w:rPr>
      </w:pPr>
      <w:bookmarkStart w:id="99" w:name="_Toc496598995"/>
      <w:bookmarkStart w:id="100" w:name="_Toc13589"/>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三</w:t>
      </w:r>
      <w:r>
        <w:rPr>
          <w:rFonts w:hint="eastAsia" w:ascii="宋体" w:hAnsi="宋体" w:cs="宋体"/>
          <w:bCs/>
          <w:color w:val="auto"/>
          <w:sz w:val="24"/>
          <w:highlight w:val="none"/>
        </w:rPr>
        <w:t>:</w:t>
      </w:r>
      <w:bookmarkEnd w:id="99"/>
      <w:r>
        <w:rPr>
          <w:rFonts w:hint="eastAsia" w:ascii="宋体" w:hAnsi="宋体" w:cs="宋体"/>
          <w:bCs/>
          <w:color w:val="auto"/>
          <w:sz w:val="24"/>
          <w:highlight w:val="none"/>
        </w:rPr>
        <w:t xml:space="preserve"> 投标函</w:t>
      </w:r>
      <w:bookmarkEnd w:id="100"/>
    </w:p>
    <w:p w14:paraId="1C5B4D63">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投 标 函</w:t>
      </w:r>
    </w:p>
    <w:p w14:paraId="3D35C7D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2C5C793F">
      <w:pPr>
        <w:snapToGrid w:val="0"/>
        <w:spacing w:line="360" w:lineRule="auto"/>
        <w:ind w:firstLine="480"/>
        <w:rPr>
          <w:rFonts w:ascii="宋体" w:hAnsi="宋体" w:cs="宋体"/>
          <w:color w:val="auto"/>
          <w:sz w:val="24"/>
          <w:highlight w:val="none"/>
        </w:rPr>
      </w:pPr>
      <w:r>
        <w:rPr>
          <w:rFonts w:hint="eastAsia" w:ascii="宋体" w:hAnsi="宋体" w:cs="宋体"/>
          <w:color w:val="auto"/>
          <w:sz w:val="24"/>
          <w:highlight w:val="none"/>
        </w:rPr>
        <w:t>根据贵方为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项目的招标公告/投标邀请书</w:t>
      </w:r>
    </w:p>
    <w:p w14:paraId="01CBC82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），签字代表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（全名）经正式授权并代表投标人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（投标人名称）提交电子投标文件。</w:t>
      </w:r>
    </w:p>
    <w:p w14:paraId="5B962BE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据此函，签字代表宣布同意如下：</w:t>
      </w:r>
    </w:p>
    <w:p w14:paraId="6519A9C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1.投标人已详细审查全部“招标文件”，包括修改文件（如有的话）以及全部参考资料和有关附件，已经了解我方对于招标文件、采购过程、采购结果有依法进行询问、质疑、投诉的权利及相关渠道和要求。</w:t>
      </w:r>
    </w:p>
    <w:p w14:paraId="34EB6E3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2.投标人在投标之前已经与贵方进行了充分的沟通，完全理解并接受招标文件的各项规定和要求，对招标文件的合理性、合法性不再有异议。</w:t>
      </w:r>
    </w:p>
    <w:p w14:paraId="752E8F0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3.本投标有效期自开标日起 ______天。</w:t>
      </w:r>
    </w:p>
    <w:p w14:paraId="5D5864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4.如中标，本投标文件至本项目合同履行完毕止均保持有效，本投标人将按“招标文件”及政府采购法律、法规的规定履行合同责任和义务。</w:t>
      </w:r>
    </w:p>
    <w:p w14:paraId="56342EB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5.投标人同意按照贵方要求提供与投标有关的一切数据或资料。</w:t>
      </w:r>
    </w:p>
    <w:p w14:paraId="7444368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6.与本投标有关的一切正式往来信函请寄：</w:t>
      </w:r>
    </w:p>
    <w:p w14:paraId="51A1F7D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地址：__________</w:t>
      </w:r>
      <w:r>
        <w:rPr>
          <w:rFonts w:hint="eastAsia" w:ascii="宋体" w:hAnsi="宋体" w:cs="宋体"/>
          <w:color w:val="auto"/>
          <w:sz w:val="24"/>
          <w:highlight w:val="none"/>
          <w:u w:val="single"/>
        </w:rPr>
        <w:t xml:space="preserve">        _</w:t>
      </w:r>
      <w:r>
        <w:rPr>
          <w:rFonts w:hint="eastAsia" w:ascii="宋体" w:hAnsi="宋体" w:cs="宋体"/>
          <w:color w:val="auto"/>
          <w:sz w:val="24"/>
          <w:highlight w:val="none"/>
        </w:rPr>
        <w:t>____邮编：__________   电话：______________</w:t>
      </w:r>
    </w:p>
    <w:p w14:paraId="5C5EC4A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传真：______________投标人代表姓名 ___________  职务：______</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_______</w:t>
      </w:r>
    </w:p>
    <w:p w14:paraId="1182B065">
      <w:pPr>
        <w:snapToGrid w:val="0"/>
        <w:spacing w:line="360" w:lineRule="auto"/>
        <w:rPr>
          <w:rFonts w:ascii="宋体" w:hAnsi="宋体" w:cs="宋体"/>
          <w:color w:val="auto"/>
          <w:sz w:val="24"/>
          <w:highlight w:val="none"/>
        </w:rPr>
      </w:pPr>
    </w:p>
    <w:p w14:paraId="66EEF19F">
      <w:pPr>
        <w:snapToGrid w:val="0"/>
        <w:spacing w:line="360" w:lineRule="auto"/>
        <w:rPr>
          <w:rFonts w:ascii="宋体" w:hAnsi="宋体" w:cs="宋体"/>
          <w:color w:val="auto"/>
          <w:sz w:val="24"/>
          <w:highlight w:val="none"/>
        </w:rPr>
      </w:pPr>
    </w:p>
    <w:p w14:paraId="1511D56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投标人名称(公章):___________________</w:t>
      </w:r>
    </w:p>
    <w:p w14:paraId="400E088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委托代理人签字:___________ </w:t>
      </w:r>
    </w:p>
    <w:p w14:paraId="2AC1DBD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日期:_____年___月___日</w:t>
      </w:r>
    </w:p>
    <w:p w14:paraId="6B2E58A3">
      <w:pPr>
        <w:snapToGrid w:val="0"/>
        <w:spacing w:before="156" w:after="156" w:line="360" w:lineRule="auto"/>
        <w:rPr>
          <w:rFonts w:ascii="宋体" w:hAnsi="宋体" w:cs="宋体"/>
          <w:color w:val="auto"/>
          <w:sz w:val="24"/>
          <w:highlight w:val="none"/>
        </w:rPr>
      </w:pPr>
    </w:p>
    <w:p w14:paraId="508D089D">
      <w:pPr>
        <w:snapToGrid w:val="0"/>
        <w:spacing w:before="50" w:afterLines="50"/>
        <w:jc w:val="left"/>
        <w:rPr>
          <w:rFonts w:ascii="宋体" w:hAnsi="宋体" w:cs="宋体"/>
          <w:b/>
          <w:color w:val="auto"/>
          <w:sz w:val="24"/>
          <w:highlight w:val="none"/>
        </w:rPr>
      </w:pPr>
    </w:p>
    <w:p w14:paraId="528C9E37">
      <w:pPr>
        <w:snapToGrid w:val="0"/>
        <w:spacing w:before="50" w:afterLines="50"/>
        <w:jc w:val="left"/>
        <w:rPr>
          <w:rFonts w:ascii="宋体" w:hAnsi="宋体" w:cs="宋体"/>
          <w:b/>
          <w:color w:val="auto"/>
          <w:sz w:val="24"/>
          <w:highlight w:val="none"/>
        </w:rPr>
      </w:pPr>
    </w:p>
    <w:p w14:paraId="684571D1">
      <w:pPr>
        <w:snapToGrid w:val="0"/>
        <w:spacing w:before="50" w:afterLines="50"/>
        <w:jc w:val="left"/>
        <w:rPr>
          <w:rFonts w:ascii="宋体" w:hAnsi="宋体" w:cs="宋体"/>
          <w:b/>
          <w:color w:val="auto"/>
          <w:sz w:val="24"/>
          <w:highlight w:val="none"/>
        </w:rPr>
      </w:pPr>
    </w:p>
    <w:p w14:paraId="6774C97E">
      <w:pPr>
        <w:rPr>
          <w:rFonts w:ascii="宋体" w:hAnsi="宋体" w:cs="宋体"/>
          <w:color w:val="auto"/>
          <w:sz w:val="24"/>
          <w:highlight w:val="none"/>
        </w:rPr>
      </w:pPr>
      <w:bookmarkStart w:id="101" w:name="_Toc496598998"/>
    </w:p>
    <w:p w14:paraId="55D6F61F">
      <w:pPr>
        <w:keepNext/>
        <w:keepLines/>
        <w:spacing w:before="260" w:after="260" w:line="360" w:lineRule="auto"/>
        <w:outlineLvl w:val="1"/>
        <w:rPr>
          <w:rFonts w:ascii="宋体" w:hAnsi="宋体" w:cs="宋体"/>
          <w:bCs/>
          <w:color w:val="auto"/>
          <w:sz w:val="24"/>
          <w:highlight w:val="none"/>
        </w:rPr>
      </w:pPr>
      <w:bookmarkStart w:id="102" w:name="_Toc11436"/>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四</w:t>
      </w:r>
      <w:r>
        <w:rPr>
          <w:rFonts w:hint="eastAsia" w:ascii="宋体" w:hAnsi="宋体" w:cs="宋体"/>
          <w:bCs/>
          <w:color w:val="auto"/>
          <w:sz w:val="24"/>
          <w:highlight w:val="none"/>
        </w:rPr>
        <w:t>：开标一览表</w:t>
      </w:r>
      <w:bookmarkEnd w:id="102"/>
    </w:p>
    <w:p w14:paraId="0EA17790">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开标一览表</w:t>
      </w:r>
    </w:p>
    <w:p w14:paraId="274ED98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招标编号：                             </w:t>
      </w:r>
    </w:p>
    <w:p w14:paraId="714F5AE7">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投标人名称：           </w:t>
      </w:r>
      <w:r>
        <w:rPr>
          <w:rFonts w:hint="eastAsia" w:ascii="宋体" w:hAnsi="宋体"/>
          <w:b/>
          <w:color w:val="auto"/>
          <w:sz w:val="24"/>
          <w:highlight w:val="none"/>
        </w:rPr>
        <w:t xml:space="preserve">                                        单位：元</w:t>
      </w:r>
      <w:r>
        <w:rPr>
          <w:rFonts w:hint="eastAsia" w:ascii="宋体" w:hAnsi="宋体" w:cs="宋体"/>
          <w:b/>
          <w:color w:val="auto"/>
          <w:sz w:val="24"/>
          <w:highlight w:val="none"/>
        </w:rPr>
        <w:t xml:space="preserve">                 </w:t>
      </w:r>
    </w:p>
    <w:tbl>
      <w:tblPr>
        <w:tblStyle w:val="24"/>
        <w:tblW w:w="9723" w:type="dxa"/>
        <w:tblInd w:w="-10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069"/>
        <w:gridCol w:w="3654"/>
      </w:tblGrid>
      <w:tr w14:paraId="625EF2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76" w:hRule="atLeast"/>
        </w:trPr>
        <w:tc>
          <w:tcPr>
            <w:tcW w:w="6069" w:type="dxa"/>
            <w:tcBorders>
              <w:top w:val="single" w:color="auto" w:sz="4" w:space="0"/>
              <w:left w:val="single" w:color="auto" w:sz="4" w:space="0"/>
              <w:bottom w:val="single" w:color="auto" w:sz="4" w:space="0"/>
              <w:right w:val="single" w:color="auto" w:sz="4" w:space="0"/>
            </w:tcBorders>
            <w:vAlign w:val="center"/>
          </w:tcPr>
          <w:p w14:paraId="3F9457F9">
            <w:pPr>
              <w:snapToGrid w:val="0"/>
              <w:spacing w:before="50" w:after="50"/>
              <w:jc w:val="center"/>
              <w:rPr>
                <w:rFonts w:ascii="宋体" w:hAnsi="宋体"/>
                <w:b/>
                <w:color w:val="auto"/>
                <w:sz w:val="24"/>
                <w:highlight w:val="none"/>
              </w:rPr>
            </w:pPr>
            <w:r>
              <w:rPr>
                <w:rFonts w:hint="eastAsia" w:ascii="宋体" w:hAnsi="宋体"/>
                <w:b/>
                <w:color w:val="auto"/>
                <w:sz w:val="24"/>
                <w:highlight w:val="none"/>
              </w:rPr>
              <w:t>采购内容</w:t>
            </w:r>
          </w:p>
        </w:tc>
        <w:tc>
          <w:tcPr>
            <w:tcW w:w="3654" w:type="dxa"/>
            <w:tcBorders>
              <w:top w:val="single" w:color="auto" w:sz="4" w:space="0"/>
              <w:left w:val="single" w:color="auto" w:sz="4" w:space="0"/>
              <w:bottom w:val="single" w:color="auto" w:sz="4" w:space="0"/>
              <w:right w:val="single" w:color="auto" w:sz="4" w:space="0"/>
            </w:tcBorders>
            <w:vAlign w:val="center"/>
          </w:tcPr>
          <w:p w14:paraId="79C3249E">
            <w:pPr>
              <w:snapToGrid w:val="0"/>
              <w:spacing w:line="440" w:lineRule="exact"/>
              <w:jc w:val="center"/>
              <w:rPr>
                <w:rFonts w:ascii="宋体" w:hAnsi="宋体"/>
                <w:b/>
                <w:bCs w:val="0"/>
                <w:color w:val="auto"/>
                <w:sz w:val="24"/>
                <w:highlight w:val="none"/>
              </w:rPr>
            </w:pPr>
            <w:r>
              <w:rPr>
                <w:rFonts w:hint="eastAsia" w:ascii="宋体" w:hAnsi="宋体"/>
                <w:b/>
                <w:bCs w:val="0"/>
                <w:color w:val="auto"/>
                <w:sz w:val="24"/>
                <w:highlight w:val="none"/>
                <w:lang w:val="en-US" w:eastAsia="zh-CN"/>
              </w:rPr>
              <w:t>投标单价报价（</w:t>
            </w:r>
            <w:r>
              <w:rPr>
                <w:rFonts w:hint="eastAsia" w:ascii="宋体" w:hAnsi="宋体" w:cs="宋体"/>
                <w:b/>
                <w:bCs w:val="0"/>
                <w:color w:val="auto"/>
                <w:sz w:val="24"/>
                <w:szCs w:val="24"/>
                <w:highlight w:val="none"/>
                <w:lang w:val="en-US" w:eastAsia="zh-CN"/>
              </w:rPr>
              <w:t>元/个</w:t>
            </w:r>
            <w:r>
              <w:rPr>
                <w:rFonts w:hint="eastAsia" w:ascii="宋体" w:hAnsi="宋体"/>
                <w:b/>
                <w:bCs w:val="0"/>
                <w:color w:val="auto"/>
                <w:sz w:val="24"/>
                <w:highlight w:val="none"/>
                <w:lang w:val="en-US" w:eastAsia="zh-CN"/>
              </w:rPr>
              <w:t>）</w:t>
            </w:r>
          </w:p>
        </w:tc>
      </w:tr>
      <w:tr w14:paraId="0E395B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1" w:hRule="atLeast"/>
        </w:trPr>
        <w:tc>
          <w:tcPr>
            <w:tcW w:w="6069" w:type="dxa"/>
            <w:tcBorders>
              <w:top w:val="single" w:color="auto" w:sz="4" w:space="0"/>
              <w:left w:val="single" w:color="auto" w:sz="4" w:space="0"/>
              <w:bottom w:val="single" w:color="auto" w:sz="4" w:space="0"/>
              <w:right w:val="single" w:color="auto" w:sz="4" w:space="0"/>
            </w:tcBorders>
            <w:vAlign w:val="center"/>
          </w:tcPr>
          <w:p w14:paraId="4321B7E5">
            <w:pPr>
              <w:snapToGrid w:val="0"/>
              <w:spacing w:before="50" w:after="50"/>
              <w:jc w:val="center"/>
              <w:rPr>
                <w:rFonts w:hint="eastAsia" w:ascii="宋体" w:hAnsi="宋体"/>
                <w:color w:val="auto"/>
                <w:sz w:val="24"/>
                <w:highlight w:val="none"/>
                <w:lang w:eastAsia="zh-CN"/>
              </w:rPr>
            </w:pPr>
            <w:r>
              <w:rPr>
                <w:rFonts w:hint="eastAsia" w:ascii="宋体" w:hAnsi="宋体"/>
                <w:color w:val="auto"/>
                <w:sz w:val="24"/>
                <w:highlight w:val="none"/>
                <w:lang w:eastAsia="zh-CN"/>
              </w:rPr>
              <w:t>浙江东阳经济开发区城市分批次建设项目土地报批</w:t>
            </w:r>
          </w:p>
          <w:p w14:paraId="50B2B9F9">
            <w:pPr>
              <w:snapToGrid w:val="0"/>
              <w:spacing w:before="50" w:after="50"/>
              <w:jc w:val="center"/>
              <w:rPr>
                <w:rFonts w:hint="eastAsia" w:ascii="宋体" w:hAnsi="宋体" w:eastAsia="宋体"/>
                <w:color w:val="auto"/>
                <w:sz w:val="24"/>
                <w:highlight w:val="none"/>
                <w:lang w:eastAsia="zh-CN"/>
              </w:rPr>
            </w:pPr>
            <w:r>
              <w:rPr>
                <w:rFonts w:hint="eastAsia" w:ascii="宋体" w:hAnsi="宋体"/>
                <w:color w:val="auto"/>
                <w:sz w:val="24"/>
                <w:highlight w:val="none"/>
                <w:lang w:eastAsia="zh-CN"/>
              </w:rPr>
              <w:t>技术服务项目</w:t>
            </w:r>
          </w:p>
        </w:tc>
        <w:tc>
          <w:tcPr>
            <w:tcW w:w="3654" w:type="dxa"/>
            <w:tcBorders>
              <w:top w:val="single" w:color="auto" w:sz="4" w:space="0"/>
              <w:left w:val="single" w:color="auto" w:sz="4" w:space="0"/>
              <w:bottom w:val="single" w:color="auto" w:sz="4" w:space="0"/>
              <w:right w:val="single" w:color="auto" w:sz="4" w:space="0"/>
            </w:tcBorders>
            <w:vAlign w:val="center"/>
          </w:tcPr>
          <w:p w14:paraId="12214E06">
            <w:pPr>
              <w:snapToGrid w:val="0"/>
              <w:spacing w:line="440" w:lineRule="exact"/>
              <w:jc w:val="center"/>
              <w:rPr>
                <w:rFonts w:ascii="宋体" w:hAnsi="宋体"/>
                <w:color w:val="auto"/>
                <w:sz w:val="24"/>
                <w:highlight w:val="none"/>
              </w:rPr>
            </w:pPr>
          </w:p>
        </w:tc>
      </w:tr>
      <w:tr w14:paraId="680E2B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5" w:hRule="atLeast"/>
        </w:trPr>
        <w:tc>
          <w:tcPr>
            <w:tcW w:w="9723" w:type="dxa"/>
            <w:gridSpan w:val="2"/>
            <w:tcBorders>
              <w:top w:val="single" w:color="auto" w:sz="4" w:space="0"/>
              <w:left w:val="single" w:color="auto" w:sz="4" w:space="0"/>
              <w:bottom w:val="single" w:color="auto" w:sz="4" w:space="0"/>
              <w:right w:val="single" w:color="auto" w:sz="4" w:space="0"/>
            </w:tcBorders>
            <w:vAlign w:val="center"/>
          </w:tcPr>
          <w:p w14:paraId="27FF2FE0">
            <w:pPr>
              <w:snapToGrid w:val="0"/>
              <w:spacing w:before="50" w:after="50"/>
              <w:rPr>
                <w:rFonts w:ascii="宋体" w:hAnsi="宋体"/>
                <w:color w:val="auto"/>
                <w:sz w:val="24"/>
                <w:highlight w:val="none"/>
              </w:rPr>
            </w:pPr>
            <w:r>
              <w:rPr>
                <w:rFonts w:hint="eastAsia" w:ascii="宋体" w:hAnsi="宋体"/>
                <w:color w:val="auto"/>
                <w:sz w:val="24"/>
                <w:highlight w:val="none"/>
              </w:rPr>
              <w:t>投标</w:t>
            </w:r>
            <w:r>
              <w:rPr>
                <w:rFonts w:hint="eastAsia" w:ascii="宋体" w:hAnsi="宋体"/>
                <w:color w:val="auto"/>
                <w:sz w:val="24"/>
                <w:highlight w:val="none"/>
                <w:lang w:val="en-US" w:eastAsia="zh-CN"/>
              </w:rPr>
              <w:t>单价</w:t>
            </w:r>
            <w:r>
              <w:rPr>
                <w:rFonts w:hint="eastAsia" w:ascii="宋体" w:hAnsi="宋体"/>
                <w:color w:val="auto"/>
                <w:sz w:val="24"/>
                <w:highlight w:val="none"/>
              </w:rPr>
              <w:t>报价大写（人民币）：</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小写：</w:t>
            </w:r>
            <w:r>
              <w:rPr>
                <w:rFonts w:hint="eastAsia" w:ascii="宋体" w:hAnsi="宋体"/>
                <w:color w:val="auto"/>
                <w:sz w:val="24"/>
                <w:highlight w:val="none"/>
                <w:u w:val="single"/>
              </w:rPr>
              <w:t xml:space="preserve">                    </w:t>
            </w:r>
          </w:p>
        </w:tc>
      </w:tr>
    </w:tbl>
    <w:p w14:paraId="511B219D">
      <w:pPr>
        <w:spacing w:line="360" w:lineRule="auto"/>
        <w:jc w:val="left"/>
        <w:rPr>
          <w:rFonts w:ascii="宋体" w:hAnsi="宋体" w:cs="宋体"/>
          <w:color w:val="auto"/>
          <w:sz w:val="24"/>
          <w:highlight w:val="none"/>
        </w:rPr>
      </w:pPr>
    </w:p>
    <w:p w14:paraId="3913F98F">
      <w:pPr>
        <w:spacing w:line="360" w:lineRule="auto"/>
        <w:jc w:val="left"/>
        <w:rPr>
          <w:rFonts w:ascii="宋体" w:hAnsi="宋体"/>
          <w:color w:val="auto"/>
          <w:sz w:val="24"/>
          <w:highlight w:val="none"/>
        </w:rPr>
      </w:pPr>
      <w:r>
        <w:rPr>
          <w:rFonts w:hint="eastAsia" w:ascii="宋体" w:hAnsi="宋体" w:cs="宋体"/>
          <w:color w:val="auto"/>
          <w:sz w:val="24"/>
          <w:highlight w:val="none"/>
        </w:rPr>
        <w:t>注：</w:t>
      </w:r>
      <w:r>
        <w:rPr>
          <w:rFonts w:hint="eastAsia" w:ascii="宋体" w:hAnsi="宋体"/>
          <w:color w:val="auto"/>
          <w:sz w:val="24"/>
          <w:highlight w:val="none"/>
        </w:rPr>
        <w:t>1、投标报价一栏必须填写，否则其投标作无效标处理。</w:t>
      </w:r>
    </w:p>
    <w:p w14:paraId="694E15DF">
      <w:pPr>
        <w:numPr>
          <w:ilvl w:val="0"/>
          <w:numId w:val="8"/>
        </w:numPr>
        <w:spacing w:line="360" w:lineRule="auto"/>
        <w:ind w:firstLine="480" w:firstLineChars="200"/>
        <w:jc w:val="left"/>
        <w:rPr>
          <w:rFonts w:ascii="宋体" w:hAnsi="宋体" w:cs="Arial"/>
          <w:bCs/>
          <w:color w:val="auto"/>
          <w:sz w:val="24"/>
          <w:highlight w:val="none"/>
        </w:rPr>
      </w:pPr>
      <w:r>
        <w:rPr>
          <w:rFonts w:hint="eastAsia" w:ascii="宋体" w:hAnsi="宋体"/>
          <w:color w:val="auto"/>
          <w:sz w:val="24"/>
          <w:highlight w:val="none"/>
        </w:rPr>
        <w:t>投标报价一经涂改，应在涂改处加盖单位公章或者由法定代表人或授权委托人签字或盖章，否则其投标作无效标处理</w:t>
      </w:r>
      <w:r>
        <w:rPr>
          <w:rFonts w:hint="eastAsia" w:ascii="宋体" w:hAnsi="宋体" w:cs="Arial"/>
          <w:bCs/>
          <w:color w:val="auto"/>
          <w:sz w:val="24"/>
          <w:highlight w:val="none"/>
        </w:rPr>
        <w:t>；</w:t>
      </w:r>
    </w:p>
    <w:p w14:paraId="107E6D5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w:t>
      </w:r>
      <w:bookmarkStart w:id="103" w:name="OLE_LINK45"/>
      <w:r>
        <w:rPr>
          <w:rFonts w:hint="eastAsia" w:ascii="宋体" w:hAnsi="宋体" w:cs="宋体"/>
          <w:color w:val="auto"/>
          <w:sz w:val="24"/>
          <w:highlight w:val="none"/>
        </w:rPr>
        <w:t>投标单价报价是履行合同的最终价格，应包括资料收集费、市场调研费、人工费、资料费、成果验收费、交通费、专家咨询费、印制费、差旅费、管理费、后期服务费、利润等相关的一切费用和税金。投标人投标单价报价为投标人所能承受的整个项目的一次性最终最低报价，如有漏项，视同已包含在本项目投标</w:t>
      </w:r>
      <w:r>
        <w:rPr>
          <w:rFonts w:hint="eastAsia" w:ascii="宋体" w:hAnsi="宋体" w:cs="宋体"/>
          <w:color w:val="auto"/>
          <w:sz w:val="24"/>
          <w:highlight w:val="none"/>
          <w:lang w:val="en-US" w:eastAsia="zh-CN"/>
        </w:rPr>
        <w:t>单价</w:t>
      </w:r>
      <w:r>
        <w:rPr>
          <w:rFonts w:hint="eastAsia" w:ascii="宋体" w:hAnsi="宋体" w:cs="宋体"/>
          <w:color w:val="auto"/>
          <w:sz w:val="24"/>
          <w:highlight w:val="none"/>
        </w:rPr>
        <w:t>报价中，单价不做调整。</w:t>
      </w:r>
    </w:p>
    <w:bookmarkEnd w:id="103"/>
    <w:p w14:paraId="6F4B6C49">
      <w:pPr>
        <w:spacing w:line="360" w:lineRule="auto"/>
        <w:ind w:firstLine="480" w:firstLineChars="200"/>
        <w:jc w:val="left"/>
        <w:rPr>
          <w:rFonts w:ascii="宋体" w:hAnsi="宋体" w:cs="宋体"/>
          <w:color w:val="auto"/>
          <w:sz w:val="24"/>
          <w:highlight w:val="none"/>
        </w:rPr>
      </w:pPr>
      <w:r>
        <w:rPr>
          <w:rFonts w:hint="eastAsia" w:ascii="宋体" w:hAnsi="宋体"/>
          <w:color w:val="auto"/>
          <w:sz w:val="24"/>
          <w:highlight w:val="none"/>
        </w:rPr>
        <w:t>4、本表格式不允许修改，否则作无效标处理。</w:t>
      </w:r>
    </w:p>
    <w:p w14:paraId="7D2A7E7B">
      <w:pPr>
        <w:spacing w:line="440" w:lineRule="exact"/>
        <w:rPr>
          <w:rFonts w:ascii="宋体" w:hAnsi="宋体" w:cs="宋体"/>
          <w:color w:val="auto"/>
          <w:sz w:val="24"/>
          <w:highlight w:val="none"/>
        </w:rPr>
      </w:pPr>
    </w:p>
    <w:p w14:paraId="0DE14765">
      <w:pPr>
        <w:spacing w:line="440" w:lineRule="exact"/>
        <w:rPr>
          <w:rFonts w:ascii="宋体" w:hAnsi="宋体" w:cs="宋体"/>
          <w:color w:val="auto"/>
          <w:sz w:val="24"/>
          <w:highlight w:val="none"/>
        </w:rPr>
      </w:pPr>
      <w:r>
        <w:rPr>
          <w:rFonts w:hint="eastAsia" w:ascii="宋体" w:hAnsi="宋体" w:cs="宋体"/>
          <w:color w:val="auto"/>
          <w:sz w:val="24"/>
          <w:highlight w:val="none"/>
        </w:rPr>
        <w:t>法定代表人或委托代理人（签字或盖章）：</w:t>
      </w:r>
    </w:p>
    <w:p w14:paraId="0444ED1A">
      <w:pPr>
        <w:spacing w:line="440" w:lineRule="exact"/>
        <w:rPr>
          <w:rFonts w:ascii="宋体" w:hAnsi="宋体" w:cs="宋体"/>
          <w:color w:val="auto"/>
          <w:sz w:val="24"/>
          <w:highlight w:val="none"/>
        </w:rPr>
      </w:pPr>
    </w:p>
    <w:p w14:paraId="66EA948C">
      <w:pPr>
        <w:spacing w:line="440" w:lineRule="exact"/>
        <w:rPr>
          <w:rFonts w:ascii="宋体" w:hAnsi="宋体" w:cs="宋体"/>
          <w:color w:val="auto"/>
          <w:sz w:val="24"/>
          <w:highlight w:val="none"/>
        </w:rPr>
      </w:pPr>
      <w:r>
        <w:rPr>
          <w:rFonts w:hint="eastAsia" w:ascii="宋体" w:hAnsi="宋体" w:cs="宋体"/>
          <w:color w:val="auto"/>
          <w:sz w:val="24"/>
          <w:highlight w:val="none"/>
        </w:rPr>
        <w:t xml:space="preserve">投标人名称（盖章）：     </w:t>
      </w:r>
    </w:p>
    <w:p w14:paraId="6DA4CDE8">
      <w:pPr>
        <w:spacing w:line="440" w:lineRule="exact"/>
        <w:rPr>
          <w:rFonts w:ascii="宋体" w:hAnsi="宋体" w:cs="宋体"/>
          <w:color w:val="auto"/>
          <w:sz w:val="24"/>
          <w:highlight w:val="none"/>
        </w:rPr>
      </w:pPr>
      <w:r>
        <w:rPr>
          <w:rFonts w:hint="eastAsia" w:ascii="宋体" w:hAnsi="宋体" w:cs="宋体"/>
          <w:color w:val="auto"/>
          <w:sz w:val="24"/>
          <w:highlight w:val="none"/>
        </w:rPr>
        <w:t xml:space="preserve">                                                日期：    年   月   日</w:t>
      </w:r>
    </w:p>
    <w:bookmarkEnd w:id="101"/>
    <w:p w14:paraId="24513FED">
      <w:pPr>
        <w:spacing w:line="440" w:lineRule="exact"/>
        <w:outlineLvl w:val="1"/>
        <w:rPr>
          <w:rFonts w:ascii="宋体" w:hAnsi="宋体" w:cs="宋体"/>
          <w:bCs/>
          <w:color w:val="auto"/>
          <w:sz w:val="24"/>
          <w:highlight w:val="none"/>
        </w:rPr>
      </w:pPr>
      <w:bookmarkStart w:id="104" w:name="_Toc9256"/>
      <w:bookmarkStart w:id="105" w:name="_Toc496599000"/>
    </w:p>
    <w:p w14:paraId="347D47D9">
      <w:pPr>
        <w:spacing w:line="440" w:lineRule="exact"/>
        <w:outlineLvl w:val="1"/>
        <w:rPr>
          <w:rFonts w:ascii="宋体" w:hAnsi="宋体" w:cs="宋体"/>
          <w:bCs/>
          <w:color w:val="auto"/>
          <w:sz w:val="24"/>
          <w:highlight w:val="none"/>
        </w:rPr>
      </w:pPr>
    </w:p>
    <w:p w14:paraId="620D20BE">
      <w:pPr>
        <w:pageBreakBefore/>
        <w:spacing w:line="440" w:lineRule="exact"/>
        <w:outlineLvl w:val="1"/>
        <w:rPr>
          <w:rFonts w:ascii="宋体" w:hAnsi="宋体" w:cs="宋体"/>
          <w:bCs/>
          <w:color w:val="auto"/>
          <w:sz w:val="24"/>
          <w:highlight w:val="none"/>
        </w:rPr>
      </w:pPr>
      <w:bookmarkStart w:id="106" w:name="_Toc19808"/>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五</w:t>
      </w:r>
      <w:r>
        <w:rPr>
          <w:rFonts w:hint="eastAsia" w:ascii="宋体" w:hAnsi="宋体" w:cs="宋体"/>
          <w:bCs/>
          <w:color w:val="auto"/>
          <w:sz w:val="24"/>
          <w:highlight w:val="none"/>
        </w:rPr>
        <w:t>：残疾人福利性单位声明函</w:t>
      </w:r>
      <w:bookmarkEnd w:id="104"/>
      <w:bookmarkEnd w:id="106"/>
    </w:p>
    <w:p w14:paraId="27E4BD25">
      <w:pPr>
        <w:spacing w:after="120"/>
        <w:ind w:right="960" w:firstLine="2533" w:firstLineChars="701"/>
        <w:jc w:val="left"/>
        <w:rPr>
          <w:rFonts w:ascii="宋体" w:hAnsi="宋体" w:cs="宋体"/>
          <w:b/>
          <w:color w:val="auto"/>
          <w:sz w:val="36"/>
          <w:highlight w:val="none"/>
        </w:rPr>
      </w:pPr>
      <w:r>
        <w:rPr>
          <w:rFonts w:hint="eastAsia" w:ascii="宋体" w:hAnsi="宋体" w:cs="宋体"/>
          <w:b/>
          <w:color w:val="auto"/>
          <w:sz w:val="36"/>
          <w:highlight w:val="none"/>
        </w:rPr>
        <w:t>残疾人福利性单位声明函</w:t>
      </w:r>
    </w:p>
    <w:p w14:paraId="298E3354">
      <w:pPr>
        <w:spacing w:after="120" w:line="360" w:lineRule="auto"/>
        <w:ind w:right="960" w:firstLine="548" w:firstLineChars="196"/>
        <w:jc w:val="left"/>
        <w:rPr>
          <w:rFonts w:ascii="宋体" w:hAnsi="宋体" w:cs="宋体"/>
          <w:color w:val="auto"/>
          <w:sz w:val="28"/>
          <w:highlight w:val="none"/>
        </w:rPr>
      </w:pPr>
    </w:p>
    <w:p w14:paraId="07514DB0">
      <w:pPr>
        <w:spacing w:after="120" w:line="360" w:lineRule="auto"/>
        <w:ind w:right="960" w:firstLine="548" w:firstLineChars="196"/>
        <w:jc w:val="left"/>
        <w:rPr>
          <w:rFonts w:ascii="宋体" w:hAnsi="宋体" w:cs="宋体"/>
          <w:color w:val="auto"/>
          <w:sz w:val="28"/>
          <w:highlight w:val="none"/>
        </w:rPr>
      </w:pPr>
      <w:r>
        <w:rPr>
          <w:rFonts w:hint="eastAsia" w:ascii="宋体" w:hAnsi="宋体" w:cs="宋体"/>
          <w:color w:val="auto"/>
          <w:sz w:val="28"/>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单位的</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项目采购活动提供本单位制造的货物（由本单位承担工程/服务），或者提供其他残疾人福利性单位制造的货物（不包括使用非残疾人福利性单位注册商标的货物）。</w:t>
      </w:r>
    </w:p>
    <w:p w14:paraId="19D0296D">
      <w:pPr>
        <w:spacing w:after="120" w:line="360" w:lineRule="auto"/>
        <w:ind w:right="960" w:firstLine="548" w:firstLineChars="196"/>
        <w:jc w:val="left"/>
        <w:rPr>
          <w:rFonts w:ascii="宋体" w:hAnsi="宋体" w:cs="宋体"/>
          <w:color w:val="auto"/>
          <w:sz w:val="28"/>
          <w:highlight w:val="none"/>
        </w:rPr>
      </w:pPr>
      <w:r>
        <w:rPr>
          <w:rFonts w:hint="eastAsia" w:ascii="宋体" w:hAnsi="宋体" w:cs="宋体"/>
          <w:color w:val="auto"/>
          <w:sz w:val="28"/>
          <w:highlight w:val="none"/>
        </w:rPr>
        <w:t>本单位对上述声明的真实性负责。如有虚假，将依法承担相应责任。</w:t>
      </w:r>
    </w:p>
    <w:p w14:paraId="1DEAC0D9">
      <w:pPr>
        <w:spacing w:after="120" w:line="360" w:lineRule="auto"/>
        <w:ind w:right="960" w:firstLine="4200" w:firstLineChars="1500"/>
        <w:jc w:val="left"/>
        <w:rPr>
          <w:rFonts w:ascii="宋体" w:hAnsi="宋体" w:cs="宋体"/>
          <w:color w:val="auto"/>
          <w:sz w:val="28"/>
          <w:highlight w:val="none"/>
        </w:rPr>
      </w:pPr>
    </w:p>
    <w:p w14:paraId="197A1E6A">
      <w:pPr>
        <w:spacing w:after="120" w:line="360" w:lineRule="auto"/>
        <w:ind w:right="960" w:firstLine="4200" w:firstLineChars="1500"/>
        <w:jc w:val="left"/>
        <w:rPr>
          <w:rFonts w:ascii="宋体" w:hAnsi="宋体" w:cs="宋体"/>
          <w:color w:val="auto"/>
          <w:sz w:val="28"/>
          <w:highlight w:val="none"/>
        </w:rPr>
      </w:pPr>
    </w:p>
    <w:p w14:paraId="37E5CE7F">
      <w:pPr>
        <w:spacing w:after="120" w:line="360" w:lineRule="auto"/>
        <w:ind w:right="960" w:firstLine="4200" w:firstLineChars="1500"/>
        <w:jc w:val="left"/>
        <w:rPr>
          <w:rFonts w:ascii="宋体" w:hAnsi="宋体" w:cs="宋体"/>
          <w:color w:val="auto"/>
          <w:sz w:val="28"/>
          <w:highlight w:val="none"/>
        </w:rPr>
      </w:pPr>
      <w:r>
        <w:rPr>
          <w:rFonts w:hint="eastAsia" w:ascii="宋体" w:hAnsi="宋体" w:cs="宋体"/>
          <w:color w:val="auto"/>
          <w:sz w:val="28"/>
          <w:highlight w:val="none"/>
        </w:rPr>
        <w:t>单位名称（盖章）:</w:t>
      </w:r>
    </w:p>
    <w:p w14:paraId="1CEC66E6">
      <w:pPr>
        <w:spacing w:after="120" w:line="360" w:lineRule="auto"/>
        <w:ind w:right="960" w:firstLine="4200" w:firstLineChars="1500"/>
        <w:jc w:val="left"/>
        <w:rPr>
          <w:rFonts w:ascii="宋体" w:hAnsi="宋体" w:cs="宋体"/>
          <w:color w:val="auto"/>
          <w:sz w:val="28"/>
          <w:highlight w:val="none"/>
        </w:rPr>
      </w:pPr>
      <w:r>
        <w:rPr>
          <w:rFonts w:hint="eastAsia" w:ascii="宋体" w:hAnsi="宋体" w:cs="宋体"/>
          <w:color w:val="auto"/>
          <w:sz w:val="28"/>
          <w:highlight w:val="none"/>
        </w:rPr>
        <w:t xml:space="preserve">日期：        </w:t>
      </w:r>
    </w:p>
    <w:p w14:paraId="2AC606FC">
      <w:pPr>
        <w:spacing w:after="120"/>
        <w:jc w:val="center"/>
        <w:rPr>
          <w:rFonts w:ascii="宋体" w:hAnsi="宋体" w:cs="宋体"/>
          <w:b/>
          <w:color w:val="auto"/>
          <w:sz w:val="36"/>
          <w:szCs w:val="36"/>
          <w:highlight w:val="none"/>
        </w:rPr>
      </w:pPr>
    </w:p>
    <w:p w14:paraId="24104B02">
      <w:pPr>
        <w:numPr>
          <w:ilvl w:val="0"/>
          <w:numId w:val="9"/>
        </w:numPr>
        <w:tabs>
          <w:tab w:val="left" w:pos="420"/>
          <w:tab w:val="clear" w:pos="1244"/>
        </w:tabs>
        <w:spacing w:before="100" w:beforeAutospacing="1" w:after="100" w:afterAutospacing="1" w:line="432" w:lineRule="auto"/>
        <w:ind w:hanging="1244"/>
        <w:rPr>
          <w:rFonts w:ascii="宋体" w:hAnsi="宋体" w:cs="宋体"/>
          <w:bCs/>
          <w:color w:val="auto"/>
          <w:sz w:val="24"/>
          <w:highlight w:val="none"/>
        </w:rPr>
      </w:pPr>
      <w:r>
        <w:rPr>
          <w:rFonts w:hint="eastAsia" w:ascii="宋体" w:hAnsi="宋体"/>
          <w:b/>
          <w:color w:val="auto"/>
          <w:szCs w:val="21"/>
          <w:highlight w:val="none"/>
        </w:rPr>
        <w:t>残疾人福利性单位视同小型、微型企业；</w:t>
      </w:r>
    </w:p>
    <w:p w14:paraId="7B2C08CB">
      <w:pPr>
        <w:numPr>
          <w:ilvl w:val="0"/>
          <w:numId w:val="9"/>
        </w:numPr>
        <w:tabs>
          <w:tab w:val="left" w:pos="420"/>
          <w:tab w:val="clear" w:pos="1244"/>
        </w:tabs>
        <w:spacing w:before="100" w:beforeAutospacing="1" w:after="100" w:afterAutospacing="1" w:line="432" w:lineRule="auto"/>
        <w:ind w:hanging="1244"/>
        <w:rPr>
          <w:rFonts w:ascii="宋体" w:hAnsi="宋体" w:cs="宋体"/>
          <w:bCs/>
          <w:color w:val="auto"/>
          <w:sz w:val="24"/>
          <w:highlight w:val="none"/>
        </w:rPr>
      </w:pPr>
      <w:r>
        <w:rPr>
          <w:rFonts w:hint="eastAsia" w:ascii="宋体" w:hAnsi="宋体"/>
          <w:b/>
          <w:color w:val="auto"/>
          <w:szCs w:val="21"/>
          <w:highlight w:val="none"/>
        </w:rPr>
        <w:t>如中标人声明为残疾人福利性单位，本声明函将随中标结果同时公告，接受社会监督。</w:t>
      </w:r>
    </w:p>
    <w:p w14:paraId="34E4EAF9">
      <w:pPr>
        <w:pageBreakBefore/>
        <w:spacing w:before="260" w:after="260" w:line="415" w:lineRule="auto"/>
        <w:outlineLvl w:val="1"/>
        <w:rPr>
          <w:rFonts w:ascii="宋体" w:hAnsi="宋体" w:cs="宋体"/>
          <w:bCs/>
          <w:color w:val="auto"/>
          <w:sz w:val="24"/>
          <w:highlight w:val="none"/>
        </w:rPr>
      </w:pPr>
      <w:bookmarkStart w:id="107" w:name="_Toc24208"/>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六</w:t>
      </w:r>
      <w:r>
        <w:rPr>
          <w:rFonts w:hint="eastAsia" w:ascii="宋体" w:hAnsi="宋体" w:cs="宋体"/>
          <w:bCs/>
          <w:color w:val="auto"/>
          <w:sz w:val="24"/>
          <w:highlight w:val="none"/>
        </w:rPr>
        <w:t>：</w:t>
      </w:r>
      <w:bookmarkEnd w:id="105"/>
      <w:bookmarkStart w:id="108" w:name="_Toc496599001"/>
      <w:r>
        <w:rPr>
          <w:rFonts w:hint="eastAsia" w:ascii="宋体" w:hAnsi="宋体" w:cs="宋体"/>
          <w:bCs/>
          <w:color w:val="auto"/>
          <w:sz w:val="24"/>
          <w:highlight w:val="none"/>
        </w:rPr>
        <w:t>中小企业声明函（工程、服务）</w:t>
      </w:r>
      <w:bookmarkEnd w:id="107"/>
    </w:p>
    <w:p w14:paraId="56126EA0">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中小企业声明函（工程、服务）</w:t>
      </w:r>
    </w:p>
    <w:p w14:paraId="29D316A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本公司（联合体）郑重声明，根据《政府采购促进中小企业发展管理办法》（财库﹝2020﹞46 号）的规定，本公司（联合体）参加</w:t>
      </w:r>
      <w:r>
        <w:rPr>
          <w:rFonts w:hint="eastAsia" w:ascii="宋体" w:hAnsi="宋体" w:cs="宋体"/>
          <w:color w:val="auto"/>
          <w:sz w:val="24"/>
          <w:highlight w:val="none"/>
          <w:u w:val="single"/>
        </w:rPr>
        <w:t xml:space="preserve">  （单位名称）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 体中的中小企业、签订分包意向协议的中小企业）的具体情况如下：</w:t>
      </w:r>
    </w:p>
    <w:p w14:paraId="4CDE6071">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highlight w:val="none"/>
        </w:rPr>
        <w:t>1、</w:t>
      </w:r>
      <w:r>
        <w:rPr>
          <w:rFonts w:hint="eastAsia" w:ascii="宋体" w:hAnsi="宋体" w:cs="宋体"/>
          <w:color w:val="auto"/>
          <w:sz w:val="24"/>
          <w:highlight w:val="none"/>
          <w:u w:val="single"/>
        </w:rPr>
        <w:t xml:space="preserve">  （标的名称）  </w:t>
      </w:r>
      <w:r>
        <w:rPr>
          <w:rFonts w:hint="eastAsia" w:ascii="宋体" w:hAnsi="宋体" w:cs="宋体"/>
          <w:color w:val="auto"/>
          <w:sz w:val="24"/>
          <w:highlight w:val="none"/>
        </w:rPr>
        <w:t>，属于</w:t>
      </w:r>
      <w:r>
        <w:rPr>
          <w:rFonts w:hint="eastAsia" w:ascii="宋体" w:hAnsi="宋体" w:cs="宋体"/>
          <w:color w:val="auto"/>
          <w:sz w:val="24"/>
          <w:highlight w:val="none"/>
          <w:u w:val="single"/>
        </w:rPr>
        <w:t>其他未列明行业</w:t>
      </w:r>
      <w:r>
        <w:rPr>
          <w:rFonts w:hint="eastAsia" w:ascii="宋体" w:hAnsi="宋体" w:cs="宋体"/>
          <w:color w:val="auto"/>
          <w:sz w:val="24"/>
          <w:highlight w:val="none"/>
        </w:rPr>
        <w:t>；承建（承接）企业为</w:t>
      </w:r>
      <w:r>
        <w:rPr>
          <w:rFonts w:hint="eastAsia" w:ascii="宋体" w:hAnsi="宋体" w:cs="宋体"/>
          <w:color w:val="auto"/>
          <w:sz w:val="24"/>
          <w:highlight w:val="none"/>
          <w:u w:val="single"/>
        </w:rPr>
        <w:t xml:space="preserve">  （企业名称）  </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万元，</w:t>
      </w:r>
      <w:r>
        <w:rPr>
          <w:rFonts w:hint="eastAsia" w:ascii="宋体" w:hAnsi="宋体" w:cs="宋体"/>
          <w:b/>
          <w:bCs/>
          <w:color w:val="auto"/>
          <w:sz w:val="24"/>
          <w:szCs w:val="32"/>
          <w:highlight w:val="none"/>
        </w:rPr>
        <w:t>属于</w:t>
      </w:r>
      <w:r>
        <w:rPr>
          <w:rFonts w:hint="eastAsia" w:ascii="宋体" w:hAnsi="宋体" w:cs="宋体"/>
          <w:b/>
          <w:bCs/>
          <w:color w:val="auto"/>
          <w:sz w:val="24"/>
          <w:szCs w:val="32"/>
          <w:highlight w:val="none"/>
          <w:u w:val="single"/>
        </w:rPr>
        <w:t xml:space="preserve">         </w:t>
      </w:r>
      <w:r>
        <w:rPr>
          <w:rFonts w:hint="eastAsia" w:ascii="宋体" w:hAnsi="宋体" w:cs="宋体"/>
          <w:b/>
          <w:bCs/>
          <w:color w:val="auto"/>
          <w:sz w:val="24"/>
          <w:szCs w:val="32"/>
          <w:highlight w:val="none"/>
        </w:rPr>
        <w:t>企业</w:t>
      </w:r>
      <w:r>
        <w:rPr>
          <w:rFonts w:hint="eastAsia" w:ascii="宋体" w:hAnsi="宋体" w:cs="宋体"/>
          <w:color w:val="auto"/>
          <w:sz w:val="24"/>
          <w:szCs w:val="32"/>
          <w:highlight w:val="none"/>
        </w:rPr>
        <w:t>（请填写中型企业或小型企业或微型企业）；</w:t>
      </w:r>
    </w:p>
    <w:p w14:paraId="2A9C882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  </w:t>
      </w:r>
      <w:r>
        <w:rPr>
          <w:rFonts w:hint="eastAsia" w:ascii="宋体" w:hAnsi="宋体" w:cs="宋体"/>
          <w:color w:val="auto"/>
          <w:sz w:val="24"/>
          <w:highlight w:val="none"/>
        </w:rPr>
        <w:t>，属于</w:t>
      </w:r>
      <w:r>
        <w:rPr>
          <w:rFonts w:hint="eastAsia" w:ascii="宋体" w:hAnsi="宋体" w:cs="宋体"/>
          <w:color w:val="auto"/>
          <w:sz w:val="24"/>
          <w:highlight w:val="none"/>
          <w:u w:val="single"/>
        </w:rPr>
        <w:t>其他未列明行业</w:t>
      </w:r>
      <w:r>
        <w:rPr>
          <w:rFonts w:hint="eastAsia" w:ascii="宋体" w:hAnsi="宋体" w:cs="宋体"/>
          <w:color w:val="auto"/>
          <w:sz w:val="24"/>
          <w:highlight w:val="none"/>
        </w:rPr>
        <w:t>；承建（承接）企业为</w:t>
      </w:r>
      <w:r>
        <w:rPr>
          <w:rFonts w:hint="eastAsia" w:ascii="宋体" w:hAnsi="宋体" w:cs="宋体"/>
          <w:color w:val="auto"/>
          <w:sz w:val="24"/>
          <w:highlight w:val="none"/>
          <w:u w:val="single"/>
        </w:rPr>
        <w:t xml:space="preserve">  （企业名称）  </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万元，</w:t>
      </w:r>
      <w:r>
        <w:rPr>
          <w:rFonts w:hint="eastAsia" w:ascii="宋体" w:hAnsi="宋体" w:cs="宋体"/>
          <w:b/>
          <w:bCs/>
          <w:color w:val="auto"/>
          <w:sz w:val="24"/>
          <w:szCs w:val="32"/>
          <w:highlight w:val="none"/>
        </w:rPr>
        <w:t>属于</w:t>
      </w:r>
      <w:r>
        <w:rPr>
          <w:rFonts w:hint="eastAsia" w:ascii="宋体" w:hAnsi="宋体" w:cs="宋体"/>
          <w:b/>
          <w:bCs/>
          <w:color w:val="auto"/>
          <w:sz w:val="24"/>
          <w:szCs w:val="32"/>
          <w:highlight w:val="none"/>
          <w:u w:val="single"/>
        </w:rPr>
        <w:t xml:space="preserve">         </w:t>
      </w:r>
      <w:r>
        <w:rPr>
          <w:rFonts w:hint="eastAsia" w:ascii="宋体" w:hAnsi="宋体" w:cs="宋体"/>
          <w:b/>
          <w:bCs/>
          <w:color w:val="auto"/>
          <w:sz w:val="24"/>
          <w:szCs w:val="32"/>
          <w:highlight w:val="none"/>
        </w:rPr>
        <w:t>企业</w:t>
      </w:r>
      <w:r>
        <w:rPr>
          <w:rFonts w:hint="eastAsia" w:ascii="宋体" w:hAnsi="宋体" w:cs="宋体"/>
          <w:color w:val="auto"/>
          <w:sz w:val="24"/>
          <w:szCs w:val="32"/>
          <w:highlight w:val="none"/>
        </w:rPr>
        <w:t>（请填写中型企业或小型企业或微型企业）；</w:t>
      </w:r>
    </w:p>
    <w:p w14:paraId="17B72C59">
      <w:pPr>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895BB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246571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15BBD2B4">
      <w:pPr>
        <w:spacing w:line="360" w:lineRule="auto"/>
        <w:rPr>
          <w:rFonts w:ascii="宋体" w:hAnsi="宋体" w:cs="宋体"/>
          <w:color w:val="auto"/>
          <w:sz w:val="24"/>
          <w:highlight w:val="none"/>
        </w:rPr>
      </w:pPr>
    </w:p>
    <w:p w14:paraId="5C419A57">
      <w:pPr>
        <w:spacing w:line="360" w:lineRule="auto"/>
        <w:ind w:firstLine="5280" w:firstLineChars="2200"/>
        <w:rPr>
          <w:rFonts w:ascii="宋体" w:hAnsi="宋体" w:cs="宋体"/>
          <w:color w:val="auto"/>
          <w:sz w:val="24"/>
          <w:highlight w:val="none"/>
        </w:rPr>
      </w:pPr>
      <w:r>
        <w:rPr>
          <w:rFonts w:hint="eastAsia" w:ascii="宋体" w:hAnsi="宋体" w:cs="宋体"/>
          <w:color w:val="auto"/>
          <w:sz w:val="24"/>
          <w:highlight w:val="none"/>
        </w:rPr>
        <w:t>企业名称（盖章）：</w:t>
      </w:r>
    </w:p>
    <w:p w14:paraId="28A6411C">
      <w:pPr>
        <w:spacing w:line="360" w:lineRule="auto"/>
        <w:ind w:firstLine="5280" w:firstLineChars="2200"/>
        <w:rPr>
          <w:rFonts w:ascii="宋体" w:hAnsi="宋体" w:cs="宋体"/>
          <w:color w:val="auto"/>
          <w:sz w:val="24"/>
          <w:highlight w:val="none"/>
        </w:rPr>
      </w:pPr>
      <w:r>
        <w:rPr>
          <w:rFonts w:hint="eastAsia" w:ascii="宋体" w:hAnsi="宋体" w:cs="宋体"/>
          <w:color w:val="auto"/>
          <w:sz w:val="24"/>
          <w:highlight w:val="none"/>
        </w:rPr>
        <w:t>日期：</w:t>
      </w:r>
    </w:p>
    <w:p w14:paraId="007CD6A6">
      <w:pPr>
        <w:spacing w:line="360" w:lineRule="auto"/>
        <w:rPr>
          <w:rFonts w:ascii="宋体" w:hAnsi="宋体" w:cs="宋体"/>
          <w:color w:val="auto"/>
          <w:sz w:val="24"/>
          <w:highlight w:val="none"/>
        </w:rPr>
      </w:pPr>
    </w:p>
    <w:p w14:paraId="6EBE6BC9">
      <w:pPr>
        <w:spacing w:line="360" w:lineRule="auto"/>
        <w:rPr>
          <w:rFonts w:ascii="宋体" w:hAnsi="宋体" w:cs="宋体"/>
          <w:b/>
          <w:bCs/>
          <w:color w:val="auto"/>
          <w:sz w:val="24"/>
          <w:highlight w:val="none"/>
        </w:rPr>
      </w:pPr>
    </w:p>
    <w:p w14:paraId="78E82DD8">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备注：</w:t>
      </w:r>
    </w:p>
    <w:p w14:paraId="0F83B3E9">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1、从业人员、营业收入、资产总额填报上一年度数据，无上一年度数据的新成立企业可不填报。</w:t>
      </w:r>
    </w:p>
    <w:p w14:paraId="3D5A8B6F">
      <w:pPr>
        <w:pStyle w:val="14"/>
        <w:rPr>
          <w:rFonts w:ascii="宋体" w:hAnsi="宋体" w:cs="宋体"/>
          <w:b/>
          <w:bCs/>
          <w:color w:val="auto"/>
          <w:sz w:val="24"/>
          <w:highlight w:val="none"/>
        </w:rPr>
      </w:pPr>
      <w:r>
        <w:rPr>
          <w:rFonts w:hint="eastAsia" w:ascii="宋体" w:hAnsi="宋体" w:cs="宋体"/>
          <w:b/>
          <w:bCs/>
          <w:color w:val="auto"/>
          <w:sz w:val="24"/>
          <w:highlight w:val="none"/>
        </w:rPr>
        <w:t>2、本声明函将随中标结果同时公告，接受社会监督。</w:t>
      </w:r>
    </w:p>
    <w:p w14:paraId="6EF9EF9B">
      <w:pPr>
        <w:pageBreakBefore/>
        <w:spacing w:before="260" w:after="260" w:line="415" w:lineRule="auto"/>
        <w:outlineLvl w:val="1"/>
        <w:rPr>
          <w:rFonts w:ascii="宋体" w:hAnsi="宋体" w:cs="宋体"/>
          <w:bCs/>
          <w:color w:val="auto"/>
          <w:sz w:val="24"/>
          <w:highlight w:val="none"/>
        </w:rPr>
      </w:pPr>
      <w:bookmarkStart w:id="109" w:name="_Toc29708"/>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七</w:t>
      </w:r>
      <w:r>
        <w:rPr>
          <w:rFonts w:hint="eastAsia" w:ascii="宋体" w:hAnsi="宋体" w:cs="宋体"/>
          <w:bCs/>
          <w:color w:val="auto"/>
          <w:sz w:val="24"/>
          <w:highlight w:val="none"/>
        </w:rPr>
        <w:t>：</w:t>
      </w:r>
      <w:bookmarkEnd w:id="108"/>
      <w:r>
        <w:rPr>
          <w:rFonts w:hint="eastAsia" w:ascii="宋体" w:hAnsi="宋体" w:cs="宋体"/>
          <w:bCs/>
          <w:color w:val="auto"/>
          <w:sz w:val="24"/>
          <w:highlight w:val="none"/>
        </w:rPr>
        <w:t>东阳市采购项目验收方案</w:t>
      </w:r>
      <w:bookmarkEnd w:id="109"/>
    </w:p>
    <w:p w14:paraId="2C6DF95E">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东阳市采购项目验收方案</w:t>
      </w:r>
    </w:p>
    <w:p w14:paraId="18DCCAC7">
      <w:pPr>
        <w:spacing w:beforeLines="50" w:afterLines="5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根据《政府采购法》及东阳市政府采购办东财预〔2009〕98号《关于加强政府采购管理工作的补充规定》等有关文件规定，为做好</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采购项目的验收管理工作，特制定本项目验收方案，具体如下。</w:t>
      </w:r>
    </w:p>
    <w:p w14:paraId="1AE2944E">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一、验收项目说明</w:t>
      </w:r>
    </w:p>
    <w:p w14:paraId="77BBBCC0">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 xml:space="preserve">1、招标编号：               </w:t>
      </w:r>
    </w:p>
    <w:p w14:paraId="24493A65">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2、采购内容：</w:t>
      </w:r>
    </w:p>
    <w:p w14:paraId="3773723D">
      <w:pPr>
        <w:spacing w:after="120" w:line="360" w:lineRule="auto"/>
        <w:rPr>
          <w:rFonts w:ascii="宋体" w:hAnsi="宋体" w:cs="宋体"/>
          <w:b/>
          <w:color w:val="auto"/>
          <w:sz w:val="24"/>
          <w:highlight w:val="none"/>
        </w:rPr>
      </w:pPr>
    </w:p>
    <w:p w14:paraId="0EC3D5DD">
      <w:pPr>
        <w:spacing w:after="12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二、验收小组人员</w:t>
      </w:r>
    </w:p>
    <w:p w14:paraId="3419D939">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1、本次验收由</w:t>
      </w:r>
      <w:r>
        <w:rPr>
          <w:rFonts w:hint="eastAsia" w:ascii="宋体" w:hAnsi="宋体" w:cs="宋体"/>
          <w:b/>
          <w:color w:val="auto"/>
          <w:sz w:val="24"/>
          <w:highlight w:val="none"/>
          <w:u w:val="single"/>
        </w:rPr>
        <w:t xml:space="preserve">            </w:t>
      </w:r>
      <w:r>
        <w:rPr>
          <w:rFonts w:hint="eastAsia" w:ascii="宋体" w:hAnsi="宋体" w:cs="宋体"/>
          <w:color w:val="auto"/>
          <w:sz w:val="24"/>
          <w:highlight w:val="none"/>
          <w:u w:val="single"/>
        </w:rPr>
        <w:t xml:space="preserve"> </w:t>
      </w:r>
      <w:r>
        <w:rPr>
          <w:rFonts w:hint="eastAsia" w:ascii="宋体" w:hAnsi="宋体" w:cs="宋体"/>
          <w:b/>
          <w:color w:val="auto"/>
          <w:sz w:val="24"/>
          <w:highlight w:val="none"/>
        </w:rPr>
        <w:t>组织。</w:t>
      </w:r>
    </w:p>
    <w:p w14:paraId="24B5F857">
      <w:pPr>
        <w:spacing w:after="120" w:line="360" w:lineRule="auto"/>
        <w:ind w:firstLine="472" w:firstLineChars="196"/>
        <w:rPr>
          <w:rFonts w:ascii="宋体" w:hAnsi="宋体" w:cs="宋体"/>
          <w:b/>
          <w:color w:val="auto"/>
          <w:sz w:val="24"/>
          <w:highlight w:val="none"/>
          <w:u w:val="single"/>
        </w:rPr>
      </w:pPr>
      <w:r>
        <w:rPr>
          <w:rFonts w:hint="eastAsia" w:ascii="宋体" w:hAnsi="宋体" w:cs="宋体"/>
          <w:b/>
          <w:color w:val="auto"/>
          <w:sz w:val="24"/>
          <w:highlight w:val="none"/>
        </w:rPr>
        <w:t>2、验收小组成员名单：</w:t>
      </w:r>
      <w:r>
        <w:rPr>
          <w:rFonts w:hint="eastAsia" w:ascii="宋体" w:hAnsi="宋体" w:cs="宋体"/>
          <w:b/>
          <w:color w:val="auto"/>
          <w:sz w:val="24"/>
          <w:highlight w:val="none"/>
          <w:u w:val="single"/>
        </w:rPr>
        <w:t xml:space="preserve">                                                       </w:t>
      </w:r>
    </w:p>
    <w:p w14:paraId="7B85C96B">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3、验收小组成员签名：</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 xml:space="preserve">                                                                        </w:t>
      </w:r>
    </w:p>
    <w:p w14:paraId="22FFB60A">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三、验收方法与内容</w:t>
      </w:r>
    </w:p>
    <w:p w14:paraId="0C7537D7">
      <w:pPr>
        <w:spacing w:after="120" w:line="360" w:lineRule="auto"/>
        <w:rPr>
          <w:rFonts w:ascii="宋体" w:hAnsi="宋体" w:cs="宋体"/>
          <w:b/>
          <w:color w:val="auto"/>
          <w:sz w:val="24"/>
          <w:highlight w:val="none"/>
        </w:rPr>
      </w:pPr>
    </w:p>
    <w:p w14:paraId="01AE857E">
      <w:pPr>
        <w:spacing w:after="12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四、验收时间</w:t>
      </w:r>
    </w:p>
    <w:p w14:paraId="200E7C73">
      <w:pPr>
        <w:spacing w:after="120" w:line="360" w:lineRule="auto"/>
        <w:rPr>
          <w:rFonts w:ascii="宋体" w:hAnsi="宋体" w:cs="宋体"/>
          <w:b/>
          <w:color w:val="auto"/>
          <w:sz w:val="24"/>
          <w:highlight w:val="none"/>
        </w:rPr>
      </w:pPr>
    </w:p>
    <w:p w14:paraId="1FC76676">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五、验收地点</w:t>
      </w:r>
    </w:p>
    <w:p w14:paraId="4E4A7A18">
      <w:pPr>
        <w:spacing w:after="120" w:line="360" w:lineRule="auto"/>
        <w:rPr>
          <w:rFonts w:ascii="宋体" w:hAnsi="宋体" w:cs="宋体"/>
          <w:b/>
          <w:color w:val="auto"/>
          <w:sz w:val="24"/>
          <w:highlight w:val="none"/>
        </w:rPr>
      </w:pPr>
    </w:p>
    <w:p w14:paraId="189CD4B0">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六、验收程序</w:t>
      </w:r>
    </w:p>
    <w:p w14:paraId="070BAD93">
      <w:pPr>
        <w:spacing w:after="120" w:line="360" w:lineRule="auto"/>
        <w:rPr>
          <w:rFonts w:ascii="宋体" w:hAnsi="宋体" w:cs="宋体"/>
          <w:b/>
          <w:color w:val="auto"/>
          <w:sz w:val="24"/>
          <w:highlight w:val="none"/>
        </w:rPr>
      </w:pPr>
    </w:p>
    <w:p w14:paraId="1947F09E">
      <w:pPr>
        <w:spacing w:after="120" w:line="360" w:lineRule="auto"/>
        <w:ind w:right="-6"/>
        <w:rPr>
          <w:rFonts w:ascii="宋体" w:hAnsi="宋体" w:cs="宋体"/>
          <w:b/>
          <w:color w:val="auto"/>
          <w:sz w:val="24"/>
          <w:highlight w:val="none"/>
        </w:rPr>
      </w:pPr>
      <w:r>
        <w:rPr>
          <w:rFonts w:hint="eastAsia" w:ascii="宋体" w:hAnsi="宋体" w:cs="宋体"/>
          <w:b/>
          <w:color w:val="auto"/>
          <w:sz w:val="24"/>
          <w:highlight w:val="none"/>
        </w:rPr>
        <w:t xml:space="preserve">                                            采购单位（盖章）：</w:t>
      </w:r>
    </w:p>
    <w:p w14:paraId="3D4E12E4">
      <w:pPr>
        <w:spacing w:after="120" w:line="360" w:lineRule="auto"/>
        <w:ind w:right="960" w:firstLine="470" w:firstLineChars="196"/>
        <w:jc w:val="right"/>
        <w:rPr>
          <w:rFonts w:ascii="宋体" w:hAnsi="宋体" w:cs="宋体"/>
          <w:color w:val="auto"/>
          <w:sz w:val="24"/>
          <w:highlight w:val="none"/>
        </w:rPr>
      </w:pPr>
      <w:r>
        <w:rPr>
          <w:rFonts w:hint="eastAsia" w:ascii="宋体" w:hAnsi="宋体" w:cs="宋体"/>
          <w:color w:val="auto"/>
          <w:sz w:val="24"/>
          <w:highlight w:val="none"/>
        </w:rPr>
        <w:t>年  月  日</w:t>
      </w:r>
    </w:p>
    <w:p w14:paraId="678D1547">
      <w:pPr>
        <w:pageBreakBefore/>
        <w:spacing w:before="260" w:after="260" w:line="415" w:lineRule="auto"/>
        <w:outlineLvl w:val="1"/>
        <w:rPr>
          <w:rFonts w:ascii="宋体" w:hAnsi="宋体" w:cs="宋体"/>
          <w:bCs/>
          <w:color w:val="auto"/>
          <w:sz w:val="24"/>
          <w:highlight w:val="none"/>
        </w:rPr>
      </w:pPr>
      <w:bookmarkStart w:id="110" w:name="_Toc496599002"/>
      <w:bookmarkStart w:id="111" w:name="_Toc12195"/>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八</w:t>
      </w:r>
      <w:r>
        <w:rPr>
          <w:rFonts w:hint="eastAsia" w:ascii="宋体" w:hAnsi="宋体" w:cs="宋体"/>
          <w:bCs/>
          <w:color w:val="auto"/>
          <w:sz w:val="24"/>
          <w:highlight w:val="none"/>
        </w:rPr>
        <w:t>：</w:t>
      </w:r>
      <w:bookmarkEnd w:id="110"/>
      <w:r>
        <w:rPr>
          <w:rFonts w:hint="eastAsia" w:ascii="宋体" w:hAnsi="宋体" w:cs="宋体"/>
          <w:bCs/>
          <w:color w:val="auto"/>
          <w:sz w:val="24"/>
          <w:highlight w:val="none"/>
        </w:rPr>
        <w:t>东阳市政府采购代理机构社会评价表</w:t>
      </w:r>
      <w:bookmarkEnd w:id="111"/>
    </w:p>
    <w:p w14:paraId="2B7EA44B">
      <w:pPr>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东阳市政府采购代理机构社会评价表</w:t>
      </w:r>
    </w:p>
    <w:p w14:paraId="256C7AD1">
      <w:pPr>
        <w:rPr>
          <w:rFonts w:ascii="宋体" w:hAnsi="宋体" w:cs="宋体"/>
          <w:color w:val="auto"/>
          <w:sz w:val="28"/>
          <w:szCs w:val="28"/>
          <w:highlight w:val="none"/>
        </w:rPr>
      </w:pPr>
      <w:r>
        <w:rPr>
          <w:rFonts w:hint="eastAsia" w:ascii="宋体" w:hAnsi="宋体" w:cs="宋体"/>
          <w:color w:val="auto"/>
          <w:sz w:val="28"/>
          <w:szCs w:val="28"/>
          <w:highlight w:val="none"/>
        </w:rPr>
        <w:t xml:space="preserve">代理机构名称： </w:t>
      </w:r>
    </w:p>
    <w:tbl>
      <w:tblPr>
        <w:tblStyle w:val="2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69"/>
        <w:gridCol w:w="696"/>
        <w:gridCol w:w="1067"/>
        <w:gridCol w:w="1031"/>
        <w:gridCol w:w="792"/>
        <w:gridCol w:w="2883"/>
      </w:tblGrid>
      <w:tr w14:paraId="67AAC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242" w:type="dxa"/>
            <w:tcBorders>
              <w:top w:val="single" w:color="auto" w:sz="4" w:space="0"/>
              <w:left w:val="single" w:color="auto" w:sz="4" w:space="0"/>
              <w:bottom w:val="single" w:color="auto" w:sz="4" w:space="0"/>
              <w:right w:val="single" w:color="auto" w:sz="4" w:space="0"/>
            </w:tcBorders>
            <w:vAlign w:val="center"/>
          </w:tcPr>
          <w:p w14:paraId="3E4891A2">
            <w:pPr>
              <w:jc w:val="center"/>
              <w:rPr>
                <w:rFonts w:ascii="宋体" w:hAnsi="宋体" w:cs="宋体"/>
                <w:color w:val="auto"/>
                <w:sz w:val="24"/>
                <w:highlight w:val="none"/>
              </w:rPr>
            </w:pPr>
            <w:r>
              <w:rPr>
                <w:rFonts w:hint="eastAsia" w:ascii="宋体" w:hAnsi="宋体" w:cs="宋体"/>
                <w:color w:val="auto"/>
                <w:sz w:val="24"/>
                <w:highlight w:val="none"/>
              </w:rPr>
              <w:t>填表人类别</w:t>
            </w:r>
          </w:p>
        </w:tc>
        <w:tc>
          <w:tcPr>
            <w:tcW w:w="7938" w:type="dxa"/>
            <w:gridSpan w:val="6"/>
            <w:tcBorders>
              <w:top w:val="single" w:color="auto" w:sz="4" w:space="0"/>
              <w:left w:val="nil"/>
              <w:bottom w:val="single" w:color="auto" w:sz="4" w:space="0"/>
              <w:right w:val="single" w:color="auto" w:sz="4" w:space="0"/>
            </w:tcBorders>
            <w:vAlign w:val="center"/>
          </w:tcPr>
          <w:p w14:paraId="060E93CC">
            <w:pPr>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□采购单位      □供应商      □专家     </w:t>
            </w:r>
          </w:p>
        </w:tc>
      </w:tr>
      <w:tr w14:paraId="4E511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6" w:hRule="atLeast"/>
        </w:trPr>
        <w:tc>
          <w:tcPr>
            <w:tcW w:w="1242" w:type="dxa"/>
            <w:tcBorders>
              <w:top w:val="single" w:color="auto" w:sz="4" w:space="0"/>
              <w:left w:val="single" w:color="auto" w:sz="4" w:space="0"/>
              <w:bottom w:val="single" w:color="auto" w:sz="4" w:space="0"/>
              <w:right w:val="single" w:color="auto" w:sz="4" w:space="0"/>
            </w:tcBorders>
            <w:vAlign w:val="center"/>
          </w:tcPr>
          <w:p w14:paraId="1F442AC2">
            <w:pPr>
              <w:jc w:val="center"/>
              <w:rPr>
                <w:rFonts w:ascii="宋体" w:hAnsi="宋体" w:cs="宋体"/>
                <w:color w:val="auto"/>
                <w:sz w:val="24"/>
                <w:highlight w:val="none"/>
              </w:rPr>
            </w:pPr>
            <w:r>
              <w:rPr>
                <w:rFonts w:hint="eastAsia" w:ascii="宋体" w:hAnsi="宋体" w:cs="宋体"/>
                <w:color w:val="auto"/>
                <w:sz w:val="24"/>
                <w:highlight w:val="none"/>
              </w:rPr>
              <w:t>填表人名称或姓名</w:t>
            </w:r>
          </w:p>
        </w:tc>
        <w:tc>
          <w:tcPr>
            <w:tcW w:w="4263" w:type="dxa"/>
            <w:gridSpan w:val="4"/>
            <w:tcBorders>
              <w:top w:val="single" w:color="auto" w:sz="4" w:space="0"/>
              <w:left w:val="nil"/>
              <w:bottom w:val="single" w:color="auto" w:sz="4" w:space="0"/>
              <w:right w:val="single" w:color="auto" w:sz="4" w:space="0"/>
            </w:tcBorders>
            <w:vAlign w:val="center"/>
          </w:tcPr>
          <w:p w14:paraId="107FE58B">
            <w:pPr>
              <w:jc w:val="center"/>
              <w:rPr>
                <w:rFonts w:ascii="宋体" w:hAnsi="宋体" w:cs="宋体"/>
                <w:color w:val="auto"/>
                <w:sz w:val="24"/>
                <w:highlight w:val="none"/>
              </w:rPr>
            </w:pPr>
          </w:p>
        </w:tc>
        <w:tc>
          <w:tcPr>
            <w:tcW w:w="792" w:type="dxa"/>
            <w:tcBorders>
              <w:top w:val="single" w:color="auto" w:sz="4" w:space="0"/>
              <w:left w:val="nil"/>
              <w:bottom w:val="single" w:color="auto" w:sz="4" w:space="0"/>
              <w:right w:val="single" w:color="auto" w:sz="4" w:space="0"/>
            </w:tcBorders>
            <w:vAlign w:val="center"/>
          </w:tcPr>
          <w:p w14:paraId="212F5265">
            <w:pPr>
              <w:jc w:val="center"/>
              <w:rPr>
                <w:rFonts w:ascii="宋体" w:hAnsi="宋体" w:cs="宋体"/>
                <w:color w:val="auto"/>
                <w:sz w:val="24"/>
                <w:highlight w:val="none"/>
              </w:rPr>
            </w:pPr>
            <w:r>
              <w:rPr>
                <w:rFonts w:hint="eastAsia" w:ascii="宋体" w:hAnsi="宋体" w:cs="宋体"/>
                <w:color w:val="auto"/>
                <w:sz w:val="24"/>
                <w:highlight w:val="none"/>
              </w:rPr>
              <w:t>地址</w:t>
            </w:r>
          </w:p>
        </w:tc>
        <w:tc>
          <w:tcPr>
            <w:tcW w:w="2883" w:type="dxa"/>
            <w:tcBorders>
              <w:top w:val="single" w:color="auto" w:sz="4" w:space="0"/>
              <w:left w:val="single" w:color="auto" w:sz="4" w:space="0"/>
              <w:bottom w:val="single" w:color="auto" w:sz="4" w:space="0"/>
              <w:right w:val="single" w:color="auto" w:sz="4" w:space="0"/>
            </w:tcBorders>
            <w:vAlign w:val="center"/>
          </w:tcPr>
          <w:p w14:paraId="66549C4B">
            <w:pPr>
              <w:jc w:val="center"/>
              <w:rPr>
                <w:rFonts w:ascii="宋体" w:hAnsi="宋体" w:cs="宋体"/>
                <w:color w:val="auto"/>
                <w:sz w:val="24"/>
                <w:highlight w:val="none"/>
              </w:rPr>
            </w:pPr>
          </w:p>
        </w:tc>
      </w:tr>
      <w:tr w14:paraId="51E0B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2" w:type="dxa"/>
            <w:tcBorders>
              <w:top w:val="single" w:color="auto" w:sz="4" w:space="0"/>
              <w:left w:val="single" w:color="auto" w:sz="4" w:space="0"/>
              <w:bottom w:val="single" w:color="auto" w:sz="4" w:space="0"/>
              <w:right w:val="single" w:color="auto" w:sz="4" w:space="0"/>
            </w:tcBorders>
            <w:vAlign w:val="center"/>
          </w:tcPr>
          <w:p w14:paraId="075BD54A">
            <w:pPr>
              <w:jc w:val="center"/>
              <w:rPr>
                <w:rFonts w:ascii="宋体" w:hAnsi="宋体" w:cs="宋体"/>
                <w:color w:val="auto"/>
                <w:sz w:val="24"/>
                <w:highlight w:val="none"/>
              </w:rPr>
            </w:pPr>
            <w:r>
              <w:rPr>
                <w:rFonts w:hint="eastAsia" w:ascii="宋体" w:hAnsi="宋体" w:cs="宋体"/>
                <w:color w:val="auto"/>
                <w:sz w:val="24"/>
                <w:highlight w:val="none"/>
              </w:rPr>
              <w:t>联系人</w:t>
            </w:r>
          </w:p>
        </w:tc>
        <w:tc>
          <w:tcPr>
            <w:tcW w:w="1469" w:type="dxa"/>
            <w:tcBorders>
              <w:top w:val="single" w:color="auto" w:sz="4" w:space="0"/>
              <w:left w:val="nil"/>
              <w:bottom w:val="single" w:color="auto" w:sz="4" w:space="0"/>
              <w:right w:val="single" w:color="auto" w:sz="4" w:space="0"/>
            </w:tcBorders>
            <w:vAlign w:val="center"/>
          </w:tcPr>
          <w:p w14:paraId="1F7A1C8A">
            <w:pPr>
              <w:jc w:val="center"/>
              <w:rPr>
                <w:rFonts w:ascii="宋体" w:hAnsi="宋体" w:cs="宋体"/>
                <w:color w:val="auto"/>
                <w:sz w:val="24"/>
                <w:highlight w:val="none"/>
              </w:rPr>
            </w:pPr>
          </w:p>
        </w:tc>
        <w:tc>
          <w:tcPr>
            <w:tcW w:w="696" w:type="dxa"/>
            <w:tcBorders>
              <w:top w:val="single" w:color="auto" w:sz="4" w:space="0"/>
              <w:left w:val="nil"/>
              <w:bottom w:val="single" w:color="auto" w:sz="4" w:space="0"/>
              <w:right w:val="single" w:color="auto" w:sz="4" w:space="0"/>
            </w:tcBorders>
            <w:vAlign w:val="center"/>
          </w:tcPr>
          <w:p w14:paraId="60B4FEDC">
            <w:pPr>
              <w:jc w:val="center"/>
              <w:rPr>
                <w:rFonts w:ascii="宋体" w:hAnsi="宋体" w:cs="宋体"/>
                <w:color w:val="auto"/>
                <w:sz w:val="24"/>
                <w:highlight w:val="none"/>
              </w:rPr>
            </w:pPr>
            <w:r>
              <w:rPr>
                <w:rFonts w:hint="eastAsia" w:ascii="宋体" w:hAnsi="宋体" w:cs="宋体"/>
                <w:color w:val="auto"/>
                <w:sz w:val="24"/>
                <w:highlight w:val="none"/>
              </w:rPr>
              <w:t>电话</w:t>
            </w:r>
          </w:p>
        </w:tc>
        <w:tc>
          <w:tcPr>
            <w:tcW w:w="2098" w:type="dxa"/>
            <w:gridSpan w:val="2"/>
            <w:tcBorders>
              <w:top w:val="single" w:color="auto" w:sz="4" w:space="0"/>
              <w:left w:val="nil"/>
              <w:bottom w:val="single" w:color="auto" w:sz="4" w:space="0"/>
              <w:right w:val="single" w:color="auto" w:sz="4" w:space="0"/>
            </w:tcBorders>
            <w:vAlign w:val="center"/>
          </w:tcPr>
          <w:p w14:paraId="7C605F85">
            <w:pPr>
              <w:jc w:val="center"/>
              <w:rPr>
                <w:rFonts w:ascii="宋体" w:hAnsi="宋体" w:cs="宋体"/>
                <w:color w:val="auto"/>
                <w:sz w:val="24"/>
                <w:highlight w:val="none"/>
              </w:rPr>
            </w:pPr>
          </w:p>
        </w:tc>
        <w:tc>
          <w:tcPr>
            <w:tcW w:w="792" w:type="dxa"/>
            <w:tcBorders>
              <w:top w:val="single" w:color="auto" w:sz="4" w:space="0"/>
              <w:left w:val="nil"/>
              <w:bottom w:val="single" w:color="auto" w:sz="4" w:space="0"/>
              <w:right w:val="single" w:color="auto" w:sz="4" w:space="0"/>
            </w:tcBorders>
            <w:vAlign w:val="center"/>
          </w:tcPr>
          <w:p w14:paraId="0AF7CA34">
            <w:pPr>
              <w:jc w:val="center"/>
              <w:rPr>
                <w:rFonts w:ascii="宋体" w:hAnsi="宋体" w:cs="宋体"/>
                <w:color w:val="auto"/>
                <w:sz w:val="24"/>
                <w:highlight w:val="none"/>
              </w:rPr>
            </w:pPr>
            <w:r>
              <w:rPr>
                <w:rFonts w:hint="eastAsia" w:ascii="宋体" w:hAnsi="宋体" w:cs="宋体"/>
                <w:color w:val="auto"/>
                <w:sz w:val="24"/>
                <w:highlight w:val="none"/>
              </w:rPr>
              <w:t>传真</w:t>
            </w:r>
          </w:p>
        </w:tc>
        <w:tc>
          <w:tcPr>
            <w:tcW w:w="2883" w:type="dxa"/>
            <w:tcBorders>
              <w:top w:val="single" w:color="auto" w:sz="4" w:space="0"/>
              <w:left w:val="single" w:color="auto" w:sz="4" w:space="0"/>
              <w:bottom w:val="single" w:color="auto" w:sz="4" w:space="0"/>
              <w:right w:val="single" w:color="auto" w:sz="4" w:space="0"/>
            </w:tcBorders>
            <w:vAlign w:val="center"/>
          </w:tcPr>
          <w:p w14:paraId="78CCBC27">
            <w:pPr>
              <w:jc w:val="center"/>
              <w:rPr>
                <w:rFonts w:ascii="宋体" w:hAnsi="宋体" w:cs="宋体"/>
                <w:color w:val="auto"/>
                <w:sz w:val="24"/>
                <w:highlight w:val="none"/>
              </w:rPr>
            </w:pPr>
          </w:p>
        </w:tc>
      </w:tr>
      <w:tr w14:paraId="06C8A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tcBorders>
              <w:top w:val="nil"/>
              <w:left w:val="single" w:color="auto" w:sz="4" w:space="0"/>
              <w:bottom w:val="single" w:color="auto" w:sz="4" w:space="0"/>
              <w:right w:val="single" w:color="auto" w:sz="4" w:space="0"/>
            </w:tcBorders>
            <w:vAlign w:val="center"/>
          </w:tcPr>
          <w:p w14:paraId="32513A42">
            <w:pPr>
              <w:jc w:val="center"/>
              <w:rPr>
                <w:rFonts w:ascii="宋体" w:hAnsi="宋体" w:cs="宋体"/>
                <w:color w:val="auto"/>
                <w:sz w:val="24"/>
                <w:highlight w:val="none"/>
              </w:rPr>
            </w:pPr>
            <w:r>
              <w:rPr>
                <w:rFonts w:hint="eastAsia" w:ascii="宋体" w:hAnsi="宋体" w:cs="宋体"/>
                <w:color w:val="auto"/>
                <w:sz w:val="24"/>
                <w:highlight w:val="none"/>
              </w:rPr>
              <w:t>对代理机构的评价</w:t>
            </w:r>
          </w:p>
        </w:tc>
        <w:tc>
          <w:tcPr>
            <w:tcW w:w="3232" w:type="dxa"/>
            <w:gridSpan w:val="3"/>
            <w:tcBorders>
              <w:top w:val="single" w:color="auto" w:sz="4" w:space="0"/>
              <w:left w:val="nil"/>
              <w:bottom w:val="single" w:color="auto" w:sz="4" w:space="0"/>
              <w:right w:val="single" w:color="auto" w:sz="4" w:space="0"/>
            </w:tcBorders>
            <w:vAlign w:val="center"/>
          </w:tcPr>
          <w:p w14:paraId="56C0445A">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项目</w:t>
            </w:r>
          </w:p>
        </w:tc>
        <w:tc>
          <w:tcPr>
            <w:tcW w:w="4706" w:type="dxa"/>
            <w:gridSpan w:val="3"/>
            <w:tcBorders>
              <w:top w:val="single" w:color="auto" w:sz="4" w:space="0"/>
              <w:left w:val="nil"/>
              <w:bottom w:val="single" w:color="auto" w:sz="4" w:space="0"/>
              <w:right w:val="single" w:color="auto" w:sz="4" w:space="0"/>
            </w:tcBorders>
            <w:vAlign w:val="center"/>
          </w:tcPr>
          <w:p w14:paraId="44BCDCE5">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评价（请在分值范围内进行打分）</w:t>
            </w:r>
          </w:p>
        </w:tc>
      </w:tr>
      <w:tr w14:paraId="234EC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40E30F46">
            <w:pPr>
              <w:widowControl/>
              <w:jc w:val="left"/>
              <w:rPr>
                <w:rFonts w:ascii="宋体" w:hAnsi="宋体" w:cs="宋体"/>
                <w:color w:val="auto"/>
                <w:sz w:val="24"/>
                <w:highlight w:val="none"/>
              </w:rPr>
            </w:pPr>
          </w:p>
        </w:tc>
        <w:tc>
          <w:tcPr>
            <w:tcW w:w="3232" w:type="dxa"/>
            <w:gridSpan w:val="3"/>
            <w:tcBorders>
              <w:top w:val="single" w:color="auto" w:sz="4" w:space="0"/>
              <w:left w:val="nil"/>
              <w:bottom w:val="single" w:color="auto" w:sz="4" w:space="0"/>
              <w:right w:val="single" w:color="auto" w:sz="4" w:space="0"/>
            </w:tcBorders>
            <w:vAlign w:val="center"/>
          </w:tcPr>
          <w:p w14:paraId="5A23EEB8">
            <w:pPr>
              <w:rPr>
                <w:rFonts w:ascii="宋体" w:hAnsi="宋体" w:cs="宋体"/>
                <w:color w:val="auto"/>
                <w:kern w:val="0"/>
                <w:sz w:val="24"/>
                <w:highlight w:val="none"/>
              </w:rPr>
            </w:pPr>
            <w:r>
              <w:rPr>
                <w:rFonts w:hint="eastAsia" w:ascii="宋体" w:hAnsi="宋体" w:cs="宋体"/>
                <w:color w:val="auto"/>
                <w:sz w:val="24"/>
                <w:highlight w:val="none"/>
              </w:rPr>
              <w:t>是否严格执行政府采购纪律、法规和规章制度等（2分）。</w:t>
            </w:r>
          </w:p>
        </w:tc>
        <w:tc>
          <w:tcPr>
            <w:tcW w:w="4706" w:type="dxa"/>
            <w:gridSpan w:val="3"/>
            <w:tcBorders>
              <w:top w:val="single" w:color="auto" w:sz="4" w:space="0"/>
              <w:left w:val="nil"/>
              <w:bottom w:val="single" w:color="auto" w:sz="4" w:space="0"/>
              <w:right w:val="single" w:color="auto" w:sz="4" w:space="0"/>
            </w:tcBorders>
            <w:vAlign w:val="center"/>
          </w:tcPr>
          <w:p w14:paraId="43E4EFD6">
            <w:pPr>
              <w:spacing w:line="500" w:lineRule="exact"/>
              <w:jc w:val="center"/>
              <w:rPr>
                <w:rFonts w:ascii="宋体" w:hAnsi="宋体" w:cs="宋体"/>
                <w:color w:val="auto"/>
                <w:sz w:val="24"/>
                <w:highlight w:val="none"/>
              </w:rPr>
            </w:pPr>
          </w:p>
        </w:tc>
      </w:tr>
      <w:tr w14:paraId="43527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671ABC2D">
            <w:pPr>
              <w:widowControl/>
              <w:jc w:val="left"/>
              <w:rPr>
                <w:rFonts w:ascii="宋体" w:hAnsi="宋体" w:cs="宋体"/>
                <w:color w:val="auto"/>
                <w:sz w:val="24"/>
                <w:highlight w:val="none"/>
              </w:rPr>
            </w:pPr>
          </w:p>
        </w:tc>
        <w:tc>
          <w:tcPr>
            <w:tcW w:w="3232" w:type="dxa"/>
            <w:gridSpan w:val="3"/>
            <w:tcBorders>
              <w:top w:val="single" w:color="auto" w:sz="4" w:space="0"/>
              <w:left w:val="nil"/>
              <w:bottom w:val="single" w:color="auto" w:sz="4" w:space="0"/>
              <w:right w:val="single" w:color="auto" w:sz="4" w:space="0"/>
            </w:tcBorders>
            <w:vAlign w:val="center"/>
          </w:tcPr>
          <w:p w14:paraId="04A4AD02">
            <w:pPr>
              <w:rPr>
                <w:rFonts w:ascii="宋体" w:hAnsi="宋体" w:cs="宋体"/>
                <w:color w:val="auto"/>
                <w:kern w:val="0"/>
                <w:sz w:val="24"/>
                <w:highlight w:val="none"/>
              </w:rPr>
            </w:pPr>
            <w:r>
              <w:rPr>
                <w:rFonts w:hint="eastAsia" w:ascii="宋体" w:hAnsi="宋体" w:cs="宋体"/>
                <w:color w:val="auto"/>
                <w:sz w:val="24"/>
                <w:highlight w:val="none"/>
              </w:rPr>
              <w:t>操作程序是否规范，采购行为、过程、结果是否公开、公平、公正，采购组织管理是否规范严谨（2分）</w:t>
            </w:r>
            <w:r>
              <w:rPr>
                <w:rFonts w:hint="eastAsia" w:ascii="宋体" w:hAnsi="宋体" w:cs="宋体"/>
                <w:color w:val="auto"/>
                <w:kern w:val="0"/>
                <w:sz w:val="24"/>
                <w:highlight w:val="none"/>
              </w:rPr>
              <w:t>。</w:t>
            </w:r>
          </w:p>
        </w:tc>
        <w:tc>
          <w:tcPr>
            <w:tcW w:w="4706" w:type="dxa"/>
            <w:gridSpan w:val="3"/>
            <w:tcBorders>
              <w:top w:val="single" w:color="auto" w:sz="4" w:space="0"/>
              <w:left w:val="nil"/>
              <w:bottom w:val="single" w:color="auto" w:sz="4" w:space="0"/>
              <w:right w:val="single" w:color="auto" w:sz="4" w:space="0"/>
            </w:tcBorders>
            <w:vAlign w:val="center"/>
          </w:tcPr>
          <w:p w14:paraId="513B2FB3">
            <w:pPr>
              <w:spacing w:line="500" w:lineRule="exact"/>
              <w:jc w:val="center"/>
              <w:rPr>
                <w:rFonts w:ascii="宋体" w:hAnsi="宋体" w:cs="宋体"/>
                <w:color w:val="auto"/>
                <w:sz w:val="24"/>
                <w:highlight w:val="none"/>
              </w:rPr>
            </w:pPr>
          </w:p>
        </w:tc>
      </w:tr>
      <w:tr w14:paraId="6EEEF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4AD0A770">
            <w:pPr>
              <w:widowControl/>
              <w:jc w:val="left"/>
              <w:rPr>
                <w:rFonts w:ascii="宋体" w:hAnsi="宋体" w:cs="宋体"/>
                <w:color w:val="auto"/>
                <w:sz w:val="24"/>
                <w:highlight w:val="none"/>
              </w:rPr>
            </w:pPr>
          </w:p>
        </w:tc>
        <w:tc>
          <w:tcPr>
            <w:tcW w:w="3232" w:type="dxa"/>
            <w:gridSpan w:val="3"/>
            <w:tcBorders>
              <w:top w:val="single" w:color="auto" w:sz="4" w:space="0"/>
              <w:left w:val="nil"/>
              <w:bottom w:val="single" w:color="auto" w:sz="4" w:space="0"/>
              <w:right w:val="single" w:color="auto" w:sz="4" w:space="0"/>
            </w:tcBorders>
            <w:vAlign w:val="center"/>
          </w:tcPr>
          <w:p w14:paraId="6297C2A0">
            <w:pPr>
              <w:rPr>
                <w:rFonts w:ascii="宋体" w:hAnsi="宋体" w:cs="宋体"/>
                <w:color w:val="auto"/>
                <w:kern w:val="0"/>
                <w:sz w:val="24"/>
                <w:highlight w:val="none"/>
              </w:rPr>
            </w:pPr>
            <w:r>
              <w:rPr>
                <w:rFonts w:hint="eastAsia" w:ascii="宋体" w:hAnsi="宋体" w:cs="宋体"/>
                <w:color w:val="auto"/>
                <w:sz w:val="24"/>
                <w:highlight w:val="none"/>
              </w:rPr>
              <w:t>是否及时组织采购，是否有承诺办事时间并能限时办结（2分）</w:t>
            </w:r>
            <w:r>
              <w:rPr>
                <w:rFonts w:hint="eastAsia" w:ascii="宋体" w:hAnsi="宋体" w:cs="宋体"/>
                <w:color w:val="auto"/>
                <w:kern w:val="0"/>
                <w:sz w:val="24"/>
                <w:highlight w:val="none"/>
              </w:rPr>
              <w:t>。</w:t>
            </w:r>
          </w:p>
        </w:tc>
        <w:tc>
          <w:tcPr>
            <w:tcW w:w="4706" w:type="dxa"/>
            <w:gridSpan w:val="3"/>
            <w:tcBorders>
              <w:top w:val="single" w:color="auto" w:sz="4" w:space="0"/>
              <w:left w:val="nil"/>
              <w:bottom w:val="single" w:color="auto" w:sz="4" w:space="0"/>
              <w:right w:val="single" w:color="auto" w:sz="4" w:space="0"/>
            </w:tcBorders>
            <w:vAlign w:val="center"/>
          </w:tcPr>
          <w:p w14:paraId="3005346F">
            <w:pPr>
              <w:spacing w:line="500" w:lineRule="exact"/>
              <w:jc w:val="center"/>
              <w:rPr>
                <w:rFonts w:ascii="宋体" w:hAnsi="宋体" w:cs="宋体"/>
                <w:color w:val="auto"/>
                <w:sz w:val="24"/>
                <w:highlight w:val="none"/>
              </w:rPr>
            </w:pPr>
          </w:p>
        </w:tc>
      </w:tr>
      <w:tr w14:paraId="776BE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15F2626C">
            <w:pPr>
              <w:widowControl/>
              <w:jc w:val="left"/>
              <w:rPr>
                <w:rFonts w:ascii="宋体" w:hAnsi="宋体" w:cs="宋体"/>
                <w:color w:val="auto"/>
                <w:sz w:val="24"/>
                <w:highlight w:val="none"/>
              </w:rPr>
            </w:pPr>
          </w:p>
        </w:tc>
        <w:tc>
          <w:tcPr>
            <w:tcW w:w="3232" w:type="dxa"/>
            <w:gridSpan w:val="3"/>
            <w:tcBorders>
              <w:top w:val="single" w:color="auto" w:sz="4" w:space="0"/>
              <w:left w:val="nil"/>
              <w:bottom w:val="single" w:color="auto" w:sz="4" w:space="0"/>
              <w:right w:val="single" w:color="auto" w:sz="4" w:space="0"/>
            </w:tcBorders>
            <w:vAlign w:val="center"/>
          </w:tcPr>
          <w:p w14:paraId="02F90B22">
            <w:pPr>
              <w:rPr>
                <w:rFonts w:ascii="宋体" w:hAnsi="宋体" w:cs="宋体"/>
                <w:color w:val="auto"/>
                <w:sz w:val="24"/>
                <w:highlight w:val="none"/>
              </w:rPr>
            </w:pPr>
            <w:r>
              <w:rPr>
                <w:rFonts w:hint="eastAsia" w:ascii="宋体" w:hAnsi="宋体" w:cs="宋体"/>
                <w:color w:val="auto"/>
                <w:sz w:val="24"/>
                <w:highlight w:val="none"/>
              </w:rPr>
              <w:t>是否能积极</w:t>
            </w:r>
            <w:r>
              <w:rPr>
                <w:rFonts w:hint="eastAsia" w:ascii="宋体" w:hAnsi="宋体" w:cs="宋体"/>
                <w:color w:val="auto"/>
                <w:kern w:val="0"/>
                <w:sz w:val="24"/>
                <w:highlight w:val="none"/>
              </w:rPr>
              <w:t>主动</w:t>
            </w:r>
            <w:r>
              <w:rPr>
                <w:rFonts w:hint="eastAsia" w:ascii="宋体" w:hAnsi="宋体" w:cs="宋体"/>
                <w:color w:val="auto"/>
                <w:sz w:val="24"/>
                <w:highlight w:val="none"/>
              </w:rPr>
              <w:t>与当事人沟通</w:t>
            </w:r>
            <w:r>
              <w:rPr>
                <w:rFonts w:hint="eastAsia" w:ascii="宋体" w:hAnsi="宋体" w:cs="宋体"/>
                <w:color w:val="auto"/>
                <w:kern w:val="0"/>
                <w:sz w:val="24"/>
                <w:highlight w:val="none"/>
              </w:rPr>
              <w:t>对接；对采购政策进行详细解读；</w:t>
            </w:r>
            <w:r>
              <w:rPr>
                <w:rFonts w:hint="eastAsia" w:ascii="宋体" w:hAnsi="宋体" w:cs="宋体"/>
                <w:color w:val="auto"/>
                <w:sz w:val="24"/>
                <w:highlight w:val="none"/>
              </w:rPr>
              <w:t>咨询答复是否热情周到、耐心细致（2分）</w:t>
            </w:r>
            <w:r>
              <w:rPr>
                <w:rFonts w:hint="eastAsia" w:ascii="宋体" w:hAnsi="宋体" w:cs="宋体"/>
                <w:color w:val="auto"/>
                <w:kern w:val="0"/>
                <w:sz w:val="24"/>
                <w:highlight w:val="none"/>
              </w:rPr>
              <w:t>。</w:t>
            </w:r>
          </w:p>
        </w:tc>
        <w:tc>
          <w:tcPr>
            <w:tcW w:w="4706" w:type="dxa"/>
            <w:gridSpan w:val="3"/>
            <w:tcBorders>
              <w:top w:val="single" w:color="auto" w:sz="4" w:space="0"/>
              <w:left w:val="nil"/>
              <w:bottom w:val="single" w:color="auto" w:sz="4" w:space="0"/>
              <w:right w:val="single" w:color="auto" w:sz="4" w:space="0"/>
            </w:tcBorders>
            <w:vAlign w:val="center"/>
          </w:tcPr>
          <w:p w14:paraId="55258979">
            <w:pPr>
              <w:spacing w:line="500" w:lineRule="exact"/>
              <w:jc w:val="center"/>
              <w:rPr>
                <w:rFonts w:ascii="宋体" w:hAnsi="宋体" w:cs="宋体"/>
                <w:color w:val="auto"/>
                <w:sz w:val="24"/>
                <w:highlight w:val="none"/>
              </w:rPr>
            </w:pPr>
          </w:p>
        </w:tc>
      </w:tr>
      <w:tr w14:paraId="6738B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5F193007">
            <w:pPr>
              <w:widowControl/>
              <w:jc w:val="left"/>
              <w:rPr>
                <w:rFonts w:ascii="宋体" w:hAnsi="宋体" w:cs="宋体"/>
                <w:color w:val="auto"/>
                <w:sz w:val="24"/>
                <w:highlight w:val="none"/>
              </w:rPr>
            </w:pPr>
          </w:p>
        </w:tc>
        <w:tc>
          <w:tcPr>
            <w:tcW w:w="3232" w:type="dxa"/>
            <w:gridSpan w:val="3"/>
            <w:tcBorders>
              <w:top w:val="single" w:color="auto" w:sz="4" w:space="0"/>
              <w:left w:val="nil"/>
              <w:bottom w:val="single" w:color="auto" w:sz="4" w:space="0"/>
              <w:right w:val="single" w:color="auto" w:sz="4" w:space="0"/>
            </w:tcBorders>
            <w:vAlign w:val="center"/>
          </w:tcPr>
          <w:p w14:paraId="25363EB9">
            <w:pPr>
              <w:rPr>
                <w:rFonts w:ascii="宋体" w:hAnsi="宋体" w:cs="宋体"/>
                <w:color w:val="auto"/>
                <w:sz w:val="24"/>
                <w:highlight w:val="none"/>
              </w:rPr>
            </w:pPr>
            <w:r>
              <w:rPr>
                <w:rFonts w:hint="eastAsia" w:ascii="宋体" w:hAnsi="宋体" w:cs="宋体"/>
                <w:color w:val="auto"/>
                <w:sz w:val="24"/>
                <w:highlight w:val="none"/>
              </w:rPr>
              <w:t>采购的质量、服务是否满意（2分）。</w:t>
            </w:r>
          </w:p>
        </w:tc>
        <w:tc>
          <w:tcPr>
            <w:tcW w:w="4706" w:type="dxa"/>
            <w:gridSpan w:val="3"/>
            <w:tcBorders>
              <w:top w:val="single" w:color="auto" w:sz="4" w:space="0"/>
              <w:left w:val="nil"/>
              <w:bottom w:val="single" w:color="auto" w:sz="4" w:space="0"/>
              <w:right w:val="single" w:color="auto" w:sz="4" w:space="0"/>
            </w:tcBorders>
            <w:vAlign w:val="center"/>
          </w:tcPr>
          <w:p w14:paraId="67CA5328">
            <w:pPr>
              <w:spacing w:line="500" w:lineRule="exact"/>
              <w:jc w:val="center"/>
              <w:rPr>
                <w:rFonts w:ascii="宋体" w:hAnsi="宋体" w:cs="宋体"/>
                <w:color w:val="auto"/>
                <w:sz w:val="24"/>
                <w:highlight w:val="none"/>
              </w:rPr>
            </w:pPr>
          </w:p>
        </w:tc>
      </w:tr>
      <w:tr w14:paraId="768E7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4FFC8782">
            <w:pPr>
              <w:widowControl/>
              <w:jc w:val="left"/>
              <w:rPr>
                <w:rFonts w:ascii="宋体" w:hAnsi="宋体" w:cs="宋体"/>
                <w:color w:val="auto"/>
                <w:sz w:val="24"/>
                <w:highlight w:val="none"/>
              </w:rPr>
            </w:pPr>
          </w:p>
        </w:tc>
        <w:tc>
          <w:tcPr>
            <w:tcW w:w="3232" w:type="dxa"/>
            <w:gridSpan w:val="3"/>
            <w:tcBorders>
              <w:top w:val="single" w:color="auto" w:sz="4" w:space="0"/>
              <w:left w:val="nil"/>
              <w:bottom w:val="single" w:color="auto" w:sz="4" w:space="0"/>
              <w:right w:val="single" w:color="auto" w:sz="4" w:space="0"/>
            </w:tcBorders>
            <w:vAlign w:val="center"/>
          </w:tcPr>
          <w:p w14:paraId="0B1BE634">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合计</w:t>
            </w:r>
          </w:p>
        </w:tc>
        <w:tc>
          <w:tcPr>
            <w:tcW w:w="4706" w:type="dxa"/>
            <w:gridSpan w:val="3"/>
            <w:tcBorders>
              <w:top w:val="single" w:color="auto" w:sz="4" w:space="0"/>
              <w:left w:val="nil"/>
              <w:bottom w:val="single" w:color="auto" w:sz="4" w:space="0"/>
              <w:right w:val="single" w:color="auto" w:sz="4" w:space="0"/>
            </w:tcBorders>
            <w:vAlign w:val="center"/>
          </w:tcPr>
          <w:p w14:paraId="2C6B6E36">
            <w:pPr>
              <w:spacing w:line="500" w:lineRule="exact"/>
              <w:jc w:val="center"/>
              <w:rPr>
                <w:rFonts w:ascii="宋体" w:hAnsi="宋体" w:cs="宋体"/>
                <w:color w:val="auto"/>
                <w:sz w:val="24"/>
                <w:highlight w:val="none"/>
              </w:rPr>
            </w:pPr>
          </w:p>
        </w:tc>
      </w:tr>
      <w:tr w14:paraId="072D3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trPr>
        <w:tc>
          <w:tcPr>
            <w:tcW w:w="1242" w:type="dxa"/>
            <w:tcBorders>
              <w:top w:val="single" w:color="auto" w:sz="4" w:space="0"/>
              <w:left w:val="single" w:color="auto" w:sz="4" w:space="0"/>
              <w:bottom w:val="single" w:color="auto" w:sz="4" w:space="0"/>
              <w:right w:val="single" w:color="auto" w:sz="4" w:space="0"/>
            </w:tcBorders>
            <w:vAlign w:val="center"/>
          </w:tcPr>
          <w:p w14:paraId="48428F5F">
            <w:pPr>
              <w:jc w:val="center"/>
              <w:rPr>
                <w:rFonts w:ascii="宋体" w:hAnsi="宋体" w:cs="宋体"/>
                <w:color w:val="auto"/>
                <w:sz w:val="24"/>
                <w:highlight w:val="none"/>
              </w:rPr>
            </w:pPr>
            <w:r>
              <w:rPr>
                <w:rFonts w:hint="eastAsia" w:ascii="宋体" w:hAnsi="宋体" w:cs="宋体"/>
                <w:color w:val="auto"/>
                <w:sz w:val="24"/>
                <w:highlight w:val="none"/>
              </w:rPr>
              <w:t>对代理机构的意见和建议</w:t>
            </w:r>
          </w:p>
        </w:tc>
        <w:tc>
          <w:tcPr>
            <w:tcW w:w="7938" w:type="dxa"/>
            <w:gridSpan w:val="6"/>
            <w:tcBorders>
              <w:top w:val="single" w:color="auto" w:sz="4" w:space="0"/>
              <w:left w:val="nil"/>
              <w:bottom w:val="single" w:color="auto" w:sz="4" w:space="0"/>
              <w:right w:val="single" w:color="auto" w:sz="4" w:space="0"/>
            </w:tcBorders>
            <w:vAlign w:val="center"/>
          </w:tcPr>
          <w:p w14:paraId="047BA9C5">
            <w:pPr>
              <w:jc w:val="center"/>
              <w:rPr>
                <w:rFonts w:ascii="宋体" w:hAnsi="宋体" w:cs="宋体"/>
                <w:color w:val="auto"/>
                <w:sz w:val="24"/>
                <w:highlight w:val="none"/>
              </w:rPr>
            </w:pPr>
          </w:p>
        </w:tc>
      </w:tr>
      <w:tr w14:paraId="191ED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242" w:type="dxa"/>
            <w:tcBorders>
              <w:top w:val="single" w:color="auto" w:sz="4" w:space="0"/>
              <w:left w:val="single" w:color="auto" w:sz="4" w:space="0"/>
              <w:bottom w:val="single" w:color="auto" w:sz="4" w:space="0"/>
              <w:right w:val="single" w:color="auto" w:sz="4" w:space="0"/>
            </w:tcBorders>
            <w:vAlign w:val="center"/>
          </w:tcPr>
          <w:p w14:paraId="7B097724">
            <w:pPr>
              <w:jc w:val="center"/>
              <w:rPr>
                <w:rFonts w:ascii="宋体" w:hAnsi="宋体" w:cs="宋体"/>
                <w:color w:val="auto"/>
                <w:sz w:val="24"/>
                <w:highlight w:val="none"/>
              </w:rPr>
            </w:pPr>
            <w:r>
              <w:rPr>
                <w:rFonts w:hint="eastAsia" w:ascii="宋体" w:hAnsi="宋体" w:cs="宋体"/>
                <w:color w:val="auto"/>
                <w:sz w:val="24"/>
                <w:highlight w:val="none"/>
              </w:rPr>
              <w:t>备注</w:t>
            </w:r>
          </w:p>
        </w:tc>
        <w:tc>
          <w:tcPr>
            <w:tcW w:w="7938" w:type="dxa"/>
            <w:gridSpan w:val="6"/>
            <w:tcBorders>
              <w:top w:val="single" w:color="auto" w:sz="4" w:space="0"/>
              <w:left w:val="nil"/>
              <w:bottom w:val="single" w:color="auto" w:sz="4" w:space="0"/>
              <w:right w:val="single" w:color="auto" w:sz="4" w:space="0"/>
            </w:tcBorders>
            <w:vAlign w:val="center"/>
          </w:tcPr>
          <w:p w14:paraId="010BCCC6">
            <w:pPr>
              <w:jc w:val="center"/>
              <w:rPr>
                <w:rFonts w:ascii="宋体" w:hAnsi="宋体" w:cs="宋体"/>
                <w:color w:val="auto"/>
                <w:sz w:val="24"/>
                <w:highlight w:val="none"/>
              </w:rPr>
            </w:pPr>
          </w:p>
        </w:tc>
      </w:tr>
    </w:tbl>
    <w:p w14:paraId="7AFE3360">
      <w:pPr>
        <w:spacing w:after="120"/>
        <w:ind w:right="1240"/>
        <w:rPr>
          <w:rFonts w:ascii="宋体" w:hAnsi="宋体" w:cs="宋体"/>
          <w:color w:val="auto"/>
          <w:sz w:val="24"/>
          <w:highlight w:val="none"/>
        </w:rPr>
      </w:pPr>
      <w:r>
        <w:rPr>
          <w:rFonts w:hint="eastAsia" w:ascii="宋体" w:hAnsi="宋体" w:cs="宋体"/>
          <w:color w:val="auto"/>
          <w:sz w:val="24"/>
          <w:highlight w:val="none"/>
        </w:rPr>
        <w:t>填表人签字盖章：                    日期</w:t>
      </w:r>
    </w:p>
    <w:p w14:paraId="1CF9C0BE">
      <w:pPr>
        <w:spacing w:after="120"/>
        <w:ind w:right="-154"/>
        <w:rPr>
          <w:rFonts w:ascii="宋体" w:hAnsi="宋体" w:cs="宋体"/>
          <w:color w:val="auto"/>
          <w:szCs w:val="21"/>
          <w:highlight w:val="none"/>
        </w:rPr>
      </w:pPr>
      <w:r>
        <w:rPr>
          <w:rFonts w:hint="eastAsia" w:ascii="宋体" w:hAnsi="宋体" w:cs="宋体"/>
          <w:color w:val="auto"/>
          <w:szCs w:val="21"/>
          <w:highlight w:val="none"/>
        </w:rPr>
        <w:t>注：投标单位须加盖单位红章。</w:t>
      </w:r>
    </w:p>
    <w:p w14:paraId="4DF29851">
      <w:pPr>
        <w:pStyle w:val="6"/>
        <w:rPr>
          <w:rFonts w:ascii="宋体" w:hAnsi="宋体" w:eastAsia="宋体" w:cs="宋体"/>
          <w:b w:val="0"/>
          <w:color w:val="auto"/>
          <w:sz w:val="24"/>
          <w:szCs w:val="24"/>
          <w:highlight w:val="none"/>
        </w:rPr>
      </w:pPr>
      <w:bookmarkStart w:id="112" w:name="_Toc25847"/>
      <w:bookmarkStart w:id="113" w:name="_Toc17196"/>
      <w:r>
        <w:rPr>
          <w:rFonts w:hint="eastAsia" w:ascii="宋体" w:hAnsi="宋体" w:eastAsia="宋体" w:cs="宋体"/>
          <w:b w:val="0"/>
          <w:color w:val="auto"/>
          <w:sz w:val="24"/>
          <w:szCs w:val="24"/>
          <w:highlight w:val="none"/>
        </w:rPr>
        <w:t>附件十</w:t>
      </w:r>
      <w:r>
        <w:rPr>
          <w:rFonts w:hint="eastAsia" w:ascii="宋体" w:hAnsi="宋体" w:eastAsia="宋体" w:cs="宋体"/>
          <w:b w:val="0"/>
          <w:color w:val="auto"/>
          <w:sz w:val="24"/>
          <w:szCs w:val="24"/>
          <w:highlight w:val="none"/>
          <w:lang w:val="en-US" w:eastAsia="zh-CN"/>
        </w:rPr>
        <w:t>九</w:t>
      </w:r>
      <w:r>
        <w:rPr>
          <w:rFonts w:hint="eastAsia" w:ascii="宋体" w:hAnsi="宋体" w:eastAsia="宋体" w:cs="宋体"/>
          <w:b w:val="0"/>
          <w:color w:val="auto"/>
          <w:sz w:val="24"/>
          <w:szCs w:val="24"/>
          <w:highlight w:val="none"/>
        </w:rPr>
        <w:t>：办理保函需提供资料</w:t>
      </w:r>
      <w:bookmarkEnd w:id="112"/>
      <w:bookmarkEnd w:id="113"/>
    </w:p>
    <w:p w14:paraId="515D4030">
      <w:pPr>
        <w:spacing w:after="120"/>
        <w:ind w:right="-154"/>
        <w:rPr>
          <w:rFonts w:ascii="宋体" w:hAnsi="宋体" w:cs="宋体"/>
          <w:color w:val="auto"/>
          <w:sz w:val="24"/>
          <w:highlight w:val="none"/>
        </w:rPr>
      </w:pPr>
    </w:p>
    <w:p w14:paraId="56BF9F97">
      <w:pPr>
        <w:spacing w:after="120"/>
        <w:ind w:right="-154"/>
        <w:jc w:val="center"/>
        <w:rPr>
          <w:rFonts w:ascii="宋体" w:hAnsi="宋体" w:cs="宋体"/>
          <w:b/>
          <w:color w:val="auto"/>
          <w:sz w:val="24"/>
          <w:highlight w:val="none"/>
        </w:rPr>
      </w:pPr>
      <w:r>
        <w:rPr>
          <w:rFonts w:hint="eastAsia" w:ascii="宋体" w:hAnsi="宋体" w:cs="宋体"/>
          <w:b/>
          <w:color w:val="auto"/>
          <w:sz w:val="24"/>
          <w:highlight w:val="none"/>
        </w:rPr>
        <w:t>办理保函需提供资料</w:t>
      </w:r>
    </w:p>
    <w:p w14:paraId="2F523B3F">
      <w:pPr>
        <w:numPr>
          <w:ilvl w:val="0"/>
          <w:numId w:val="10"/>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营业执照</w:t>
      </w:r>
    </w:p>
    <w:p w14:paraId="351A53E9">
      <w:pPr>
        <w:numPr>
          <w:ilvl w:val="0"/>
          <w:numId w:val="10"/>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法人身份证</w:t>
      </w:r>
    </w:p>
    <w:p w14:paraId="74E66B5D">
      <w:pPr>
        <w:numPr>
          <w:ilvl w:val="0"/>
          <w:numId w:val="10"/>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近两年财务报表</w:t>
      </w:r>
    </w:p>
    <w:p w14:paraId="303D49F6">
      <w:pPr>
        <w:numPr>
          <w:ilvl w:val="0"/>
          <w:numId w:val="10"/>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资质证书或安装，维修证书</w:t>
      </w:r>
    </w:p>
    <w:p w14:paraId="023F0611">
      <w:pPr>
        <w:numPr>
          <w:ilvl w:val="0"/>
          <w:numId w:val="10"/>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中标通知书</w:t>
      </w:r>
    </w:p>
    <w:p w14:paraId="738CF8D0">
      <w:pPr>
        <w:numPr>
          <w:ilvl w:val="0"/>
          <w:numId w:val="10"/>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招标文件电子版</w:t>
      </w:r>
    </w:p>
    <w:p w14:paraId="18A4AE64">
      <w:pPr>
        <w:numPr>
          <w:ilvl w:val="0"/>
          <w:numId w:val="10"/>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信用反担保函</w:t>
      </w:r>
    </w:p>
    <w:p w14:paraId="1BEF5D83">
      <w:pPr>
        <w:spacing w:line="800" w:lineRule="exact"/>
        <w:jc w:val="left"/>
        <w:rPr>
          <w:rFonts w:ascii="宋体" w:hAnsi="宋体" w:cs="宋体"/>
          <w:color w:val="auto"/>
          <w:sz w:val="24"/>
          <w:highlight w:val="none"/>
        </w:rPr>
      </w:pPr>
      <w:r>
        <w:rPr>
          <w:rFonts w:hint="eastAsia" w:ascii="宋体" w:hAnsi="宋体" w:cs="宋体"/>
          <w:color w:val="auto"/>
          <w:sz w:val="24"/>
          <w:highlight w:val="none"/>
        </w:rPr>
        <w:t>注：所有资料复印件加盖公章</w:t>
      </w:r>
    </w:p>
    <w:p w14:paraId="4BCE8C30">
      <w:pPr>
        <w:spacing w:after="120"/>
        <w:ind w:right="-154"/>
        <w:rPr>
          <w:rFonts w:ascii="宋体" w:hAnsi="宋体" w:cs="宋体"/>
          <w:b/>
          <w:color w:val="auto"/>
          <w:sz w:val="24"/>
          <w:highlight w:val="none"/>
        </w:rPr>
      </w:pPr>
    </w:p>
    <w:p w14:paraId="2829C529">
      <w:pPr>
        <w:spacing w:after="120"/>
        <w:ind w:right="-154"/>
        <w:rPr>
          <w:rFonts w:ascii="宋体" w:hAnsi="宋体" w:cs="宋体"/>
          <w:b/>
          <w:color w:val="auto"/>
          <w:sz w:val="24"/>
          <w:highlight w:val="none"/>
        </w:rPr>
      </w:pPr>
    </w:p>
    <w:p w14:paraId="19FF45FB">
      <w:pPr>
        <w:spacing w:after="120"/>
        <w:ind w:right="-154"/>
        <w:rPr>
          <w:rFonts w:ascii="宋体" w:hAnsi="宋体" w:cs="宋体"/>
          <w:b/>
          <w:color w:val="auto"/>
          <w:sz w:val="24"/>
          <w:highlight w:val="none"/>
        </w:rPr>
      </w:pPr>
    </w:p>
    <w:p w14:paraId="121AECD8">
      <w:pPr>
        <w:spacing w:after="120"/>
        <w:ind w:right="-154"/>
        <w:rPr>
          <w:rFonts w:ascii="宋体" w:hAnsi="宋体" w:cs="宋体"/>
          <w:b/>
          <w:color w:val="auto"/>
          <w:sz w:val="24"/>
          <w:highlight w:val="none"/>
        </w:rPr>
      </w:pPr>
    </w:p>
    <w:p w14:paraId="79946C31">
      <w:pPr>
        <w:spacing w:after="120"/>
        <w:ind w:right="-154"/>
        <w:rPr>
          <w:rFonts w:ascii="宋体" w:hAnsi="宋体" w:cs="宋体"/>
          <w:b/>
          <w:color w:val="auto"/>
          <w:sz w:val="24"/>
          <w:highlight w:val="none"/>
        </w:rPr>
      </w:pPr>
    </w:p>
    <w:p w14:paraId="1F2B0F0D">
      <w:pPr>
        <w:spacing w:after="120"/>
        <w:ind w:right="-154"/>
        <w:rPr>
          <w:rFonts w:ascii="宋体" w:hAnsi="宋体" w:cs="宋体"/>
          <w:b/>
          <w:color w:val="auto"/>
          <w:sz w:val="24"/>
          <w:highlight w:val="none"/>
        </w:rPr>
      </w:pPr>
    </w:p>
    <w:p w14:paraId="4B78A660">
      <w:pPr>
        <w:spacing w:after="120"/>
        <w:ind w:right="-154"/>
        <w:rPr>
          <w:rFonts w:ascii="宋体" w:hAnsi="宋体" w:cs="宋体"/>
          <w:b/>
          <w:color w:val="auto"/>
          <w:sz w:val="24"/>
          <w:highlight w:val="none"/>
        </w:rPr>
      </w:pPr>
    </w:p>
    <w:p w14:paraId="2DBA2C8D">
      <w:pPr>
        <w:spacing w:after="120"/>
        <w:ind w:right="-154"/>
        <w:rPr>
          <w:rFonts w:ascii="宋体" w:hAnsi="宋体" w:cs="宋体"/>
          <w:b/>
          <w:color w:val="auto"/>
          <w:sz w:val="24"/>
          <w:highlight w:val="none"/>
        </w:rPr>
      </w:pPr>
    </w:p>
    <w:p w14:paraId="767D2B9B">
      <w:pPr>
        <w:spacing w:after="120"/>
        <w:ind w:right="-154"/>
        <w:rPr>
          <w:rFonts w:ascii="宋体" w:hAnsi="宋体" w:cs="宋体"/>
          <w:b/>
          <w:color w:val="auto"/>
          <w:sz w:val="24"/>
          <w:highlight w:val="none"/>
        </w:rPr>
      </w:pPr>
    </w:p>
    <w:p w14:paraId="76FF9F42">
      <w:pPr>
        <w:spacing w:after="120"/>
        <w:ind w:right="-154"/>
        <w:rPr>
          <w:rFonts w:ascii="宋体" w:hAnsi="宋体" w:cs="宋体"/>
          <w:b/>
          <w:color w:val="auto"/>
          <w:sz w:val="24"/>
          <w:highlight w:val="none"/>
        </w:rPr>
      </w:pPr>
    </w:p>
    <w:p w14:paraId="61C04AAA">
      <w:pPr>
        <w:spacing w:after="120"/>
        <w:ind w:right="-154"/>
        <w:rPr>
          <w:rFonts w:ascii="宋体" w:hAnsi="宋体" w:cs="宋体"/>
          <w:b/>
          <w:color w:val="auto"/>
          <w:sz w:val="24"/>
          <w:highlight w:val="none"/>
        </w:rPr>
      </w:pPr>
    </w:p>
    <w:p w14:paraId="2B326C82">
      <w:pPr>
        <w:spacing w:after="120"/>
        <w:ind w:right="-154"/>
        <w:rPr>
          <w:rFonts w:ascii="宋体" w:hAnsi="宋体" w:cs="宋体"/>
          <w:b/>
          <w:color w:val="auto"/>
          <w:sz w:val="24"/>
          <w:highlight w:val="none"/>
        </w:rPr>
      </w:pPr>
    </w:p>
    <w:p w14:paraId="37CA2DEF">
      <w:pPr>
        <w:pageBreakBefore/>
        <w:spacing w:line="360" w:lineRule="auto"/>
        <w:jc w:val="center"/>
        <w:rPr>
          <w:rFonts w:ascii="宋体" w:hAnsi="宋体" w:cs="宋体"/>
          <w:color w:val="auto"/>
          <w:sz w:val="24"/>
          <w:highlight w:val="none"/>
        </w:rPr>
      </w:pPr>
      <w:r>
        <w:rPr>
          <w:rFonts w:hint="eastAsia" w:ascii="宋体" w:hAnsi="宋体" w:cs="宋体"/>
          <w:color w:val="auto"/>
          <w:sz w:val="24"/>
          <w:highlight w:val="none"/>
        </w:rPr>
        <w:t>信用反担保保证函</w:t>
      </w:r>
    </w:p>
    <w:p w14:paraId="47BA5168">
      <w:pPr>
        <w:spacing w:line="520" w:lineRule="exact"/>
        <w:rPr>
          <w:rFonts w:ascii="宋体" w:hAnsi="宋体" w:cs="宋体"/>
          <w:color w:val="auto"/>
          <w:sz w:val="24"/>
          <w:highlight w:val="none"/>
        </w:rPr>
      </w:pPr>
      <w:r>
        <w:rPr>
          <w:rFonts w:hint="eastAsia" w:ascii="宋体" w:hAnsi="宋体" w:cs="宋体"/>
          <w:color w:val="auto"/>
          <w:sz w:val="24"/>
          <w:highlight w:val="none"/>
        </w:rPr>
        <w:t>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w:t>
      </w:r>
    </w:p>
    <w:p w14:paraId="3D9F8BC9">
      <w:pPr>
        <w:spacing w:line="520" w:lineRule="exact"/>
        <w:ind w:firstLine="480" w:firstLineChars="200"/>
        <w:rPr>
          <w:rFonts w:ascii="宋体" w:hAnsi="宋体" w:cs="宋体"/>
          <w:b/>
          <w:bCs/>
          <w:color w:val="auto"/>
          <w:sz w:val="24"/>
          <w:highlight w:val="none"/>
          <w:u w:val="single"/>
        </w:rPr>
      </w:pPr>
      <w:r>
        <w:rPr>
          <w:rFonts w:hint="eastAsia" w:ascii="宋体" w:hAnsi="宋体" w:cs="宋体"/>
          <w:color w:val="auto"/>
          <w:sz w:val="24"/>
          <w:highlight w:val="none"/>
        </w:rPr>
        <w:t>鉴于中国人民财产保险股份有限公司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支公司向</w:t>
      </w:r>
    </w:p>
    <w:p w14:paraId="7F51E53D">
      <w:pPr>
        <w:spacing w:line="520" w:lineRule="exact"/>
        <w:ind w:firstLine="482" w:firstLineChars="200"/>
        <w:jc w:val="left"/>
        <w:rPr>
          <w:rFonts w:ascii="宋体" w:hAnsi="宋体" w:cs="宋体"/>
          <w:color w:val="auto"/>
          <w:sz w:val="24"/>
          <w:highlight w:val="none"/>
          <w:u w:val="single"/>
        </w:rPr>
      </w:pPr>
      <w:r>
        <w:rPr>
          <w:rFonts w:hint="eastAsia" w:ascii="宋体" w:hAnsi="宋体" w:cs="宋体"/>
          <w:b/>
          <w:bCs/>
          <w:color w:val="auto"/>
          <w:sz w:val="24"/>
          <w:highlight w:val="none"/>
          <w:u w:val="single"/>
        </w:rPr>
        <w:t xml:space="preserve">             </w:t>
      </w:r>
      <w:r>
        <w:rPr>
          <w:rFonts w:hint="eastAsia" w:ascii="宋体" w:hAnsi="宋体" w:cs="宋体"/>
          <w:color w:val="auto"/>
          <w:sz w:val="24"/>
          <w:highlight w:val="none"/>
        </w:rPr>
        <w:t>公司出具《供货履约保证保险》保单（保单编号：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），并承担相应的保险责任（具体以保险合同条款为准），最高保险金额为人民币（大写）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）；为促进该业务的良好开展，</w:t>
      </w:r>
      <w:r>
        <w:rPr>
          <w:rFonts w:hint="eastAsia" w:ascii="宋体" w:hAnsi="宋体" w:cs="宋体"/>
          <w:color w:val="auto"/>
          <w:sz w:val="24"/>
          <w:highlight w:val="none"/>
          <w:u w:val="single"/>
        </w:rPr>
        <w:t xml:space="preserve">                                                     </w:t>
      </w:r>
    </w:p>
    <w:p w14:paraId="7DF32E4B">
      <w:pPr>
        <w:spacing w:line="520" w:lineRule="exact"/>
        <w:rPr>
          <w:rFonts w:ascii="宋体" w:hAnsi="宋体" w:cs="宋体"/>
          <w:color w:val="auto"/>
          <w:sz w:val="24"/>
          <w:highlight w:val="none"/>
        </w:rPr>
      </w:pPr>
      <w:r>
        <w:rPr>
          <w:rFonts w:hint="eastAsia" w:ascii="宋体" w:hAnsi="宋体" w:cs="宋体"/>
          <w:color w:val="auto"/>
          <w:sz w:val="24"/>
          <w:highlight w:val="none"/>
        </w:rPr>
        <w:t>有限责任公司（以下称本信用反担保保证人）愿意为中国人民财产保险股份有限公司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支公司在保险合同项下的一系列保险保障提供信用反担保保证，同意履行以下保证内容：</w:t>
      </w:r>
    </w:p>
    <w:p w14:paraId="25DF3D99">
      <w:pPr>
        <w:spacing w:line="520" w:lineRule="exact"/>
        <w:ind w:firstLine="600" w:firstLineChars="250"/>
        <w:rPr>
          <w:rFonts w:ascii="宋体" w:hAnsi="宋体" w:cs="宋体"/>
          <w:color w:val="auto"/>
          <w:sz w:val="24"/>
          <w:highlight w:val="none"/>
        </w:rPr>
      </w:pPr>
      <w:r>
        <w:rPr>
          <w:rFonts w:hint="eastAsia" w:ascii="宋体" w:hAnsi="宋体" w:cs="宋体"/>
          <w:color w:val="auto"/>
          <w:sz w:val="24"/>
          <w:highlight w:val="none"/>
        </w:rPr>
        <w:t>一、 本信用反担保保证人同意承担的保证范围：</w:t>
      </w:r>
    </w:p>
    <w:p w14:paraId="25428DFF">
      <w:pPr>
        <w:spacing w:line="5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支公司承保的保单号为：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的供货履约保证保险合同约定的保险责任、保险金额和履行保证责任而实际发生的费用（包括但不限于诉讼费、公告费、保全费、律师费等）及损失；</w:t>
      </w:r>
    </w:p>
    <w:p w14:paraId="7B629B0B">
      <w:pPr>
        <w:spacing w:line="5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（二）本信用反担保保证人承担保证责任的方式为连带保证责任。</w:t>
      </w:r>
    </w:p>
    <w:p w14:paraId="48AF44E1">
      <w:pPr>
        <w:spacing w:line="5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二、本信用反担保保证人承担的保证期间为：从中国人民财产保险股份有限公司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支公司与本信用反担保保证人签订的保险合同生效之日起，至保险合同结束之日起的两年届满时止。</w:t>
      </w:r>
    </w:p>
    <w:p w14:paraId="7C80DD85">
      <w:pPr>
        <w:spacing w:line="5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三、中国人民财产保险股份有限公司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支公司所承保的《供货履约保证保险》合同发生保险事故后，有权要求本信用反担保保证人优先履行偿债责任，且优先偿债比例为100%。</w:t>
      </w:r>
    </w:p>
    <w:p w14:paraId="292FC616">
      <w:pPr>
        <w:spacing w:line="520" w:lineRule="exact"/>
        <w:ind w:left="560"/>
        <w:rPr>
          <w:rFonts w:ascii="宋体" w:hAnsi="宋体" w:cs="宋体"/>
          <w:color w:val="auto"/>
          <w:sz w:val="24"/>
          <w:highlight w:val="none"/>
        </w:rPr>
      </w:pPr>
      <w:r>
        <w:rPr>
          <w:rFonts w:hint="eastAsia" w:ascii="宋体" w:hAnsi="宋体" w:cs="宋体"/>
          <w:color w:val="auto"/>
          <w:sz w:val="24"/>
          <w:highlight w:val="none"/>
        </w:rPr>
        <w:t>四、本信用反担保保证人放弃反担保措施的优先偿债抗辩权。</w:t>
      </w:r>
    </w:p>
    <w:p w14:paraId="0436A750">
      <w:pPr>
        <w:spacing w:line="520" w:lineRule="exact"/>
        <w:rPr>
          <w:rFonts w:ascii="宋体" w:hAnsi="宋体" w:cs="宋体"/>
          <w:color w:val="auto"/>
          <w:sz w:val="24"/>
          <w:highlight w:val="none"/>
        </w:rPr>
      </w:pPr>
    </w:p>
    <w:p w14:paraId="0C3D879E">
      <w:pPr>
        <w:spacing w:line="520" w:lineRule="exact"/>
        <w:rPr>
          <w:rFonts w:ascii="宋体" w:hAnsi="宋体" w:cs="宋体"/>
          <w:color w:val="auto"/>
          <w:sz w:val="24"/>
          <w:highlight w:val="none"/>
        </w:rPr>
      </w:pPr>
      <w:r>
        <w:rPr>
          <w:rFonts w:hint="eastAsia" w:ascii="宋体" w:hAnsi="宋体" w:cs="宋体"/>
          <w:color w:val="auto"/>
          <w:sz w:val="24"/>
          <w:highlight w:val="none"/>
        </w:rPr>
        <w:t>信用反担保保证人：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4B9F1BB2">
      <w:pPr>
        <w:spacing w:line="520" w:lineRule="exact"/>
        <w:ind w:left="4680" w:hanging="4680" w:hangingChars="1950"/>
        <w:rPr>
          <w:rFonts w:ascii="宋体" w:hAnsi="宋体" w:cs="宋体"/>
          <w:color w:val="auto"/>
          <w:sz w:val="24"/>
          <w:highlight w:val="none"/>
        </w:rPr>
      </w:pPr>
    </w:p>
    <w:p w14:paraId="008A317E">
      <w:pPr>
        <w:spacing w:line="520" w:lineRule="exact"/>
        <w:ind w:left="5460" w:leftChars="2600" w:firstLine="360" w:firstLineChars="150"/>
        <w:rPr>
          <w:rFonts w:ascii="宋体" w:hAnsi="宋体" w:cs="宋体"/>
          <w:color w:val="auto"/>
          <w:sz w:val="24"/>
          <w:highlight w:val="none"/>
        </w:rPr>
      </w:pPr>
      <w:r>
        <w:rPr>
          <w:rFonts w:hint="eastAsia" w:ascii="宋体" w:hAnsi="宋体" w:cs="宋体"/>
          <w:color w:val="auto"/>
          <w:sz w:val="24"/>
          <w:highlight w:val="none"/>
        </w:rPr>
        <w:t>年  月   日</w:t>
      </w:r>
    </w:p>
    <w:p w14:paraId="73F937D7">
      <w:pPr>
        <w:spacing w:line="360" w:lineRule="auto"/>
        <w:rPr>
          <w:rFonts w:ascii="宋体" w:hAnsi="宋体" w:cs="宋体"/>
          <w:color w:val="auto"/>
          <w:sz w:val="24"/>
          <w:highlight w:val="none"/>
        </w:rPr>
      </w:pPr>
    </w:p>
    <w:p w14:paraId="1460D563">
      <w:pPr>
        <w:pStyle w:val="15"/>
        <w:ind w:firstLine="600"/>
        <w:rPr>
          <w:color w:val="auto"/>
          <w:highlight w:val="none"/>
        </w:rPr>
      </w:pPr>
    </w:p>
    <w:p w14:paraId="1E06575C">
      <w:pPr>
        <w:pStyle w:val="6"/>
        <w:keepNext w:val="0"/>
        <w:keepLines w:val="0"/>
        <w:pageBreakBefore/>
        <w:rPr>
          <w:rFonts w:ascii="宋体" w:hAnsi="宋体" w:eastAsia="宋体" w:cs="宋体"/>
          <w:b w:val="0"/>
          <w:color w:val="auto"/>
          <w:sz w:val="24"/>
          <w:highlight w:val="none"/>
        </w:rPr>
      </w:pPr>
      <w:bookmarkStart w:id="114" w:name="_Toc18011"/>
      <w:bookmarkStart w:id="115" w:name="_Toc24160"/>
      <w:bookmarkStart w:id="116" w:name="_Toc2489"/>
      <w:r>
        <w:rPr>
          <w:rFonts w:hint="eastAsia" w:ascii="宋体" w:hAnsi="宋体" w:eastAsia="宋体" w:cs="宋体"/>
          <w:b w:val="0"/>
          <w:color w:val="auto"/>
          <w:sz w:val="24"/>
          <w:highlight w:val="none"/>
        </w:rPr>
        <w:t>附件二十：质疑函范本</w:t>
      </w:r>
      <w:bookmarkEnd w:id="114"/>
      <w:bookmarkEnd w:id="115"/>
      <w:bookmarkEnd w:id="116"/>
    </w:p>
    <w:p w14:paraId="5F1E0974">
      <w:pPr>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质疑函范本</w:t>
      </w:r>
    </w:p>
    <w:p w14:paraId="376C129A">
      <w:pPr>
        <w:adjustRightInd w:val="0"/>
        <w:snapToGrid w:val="0"/>
        <w:spacing w:beforeLines="100" w:line="360" w:lineRule="auto"/>
        <w:rPr>
          <w:rFonts w:ascii="宋体" w:hAnsi="宋体" w:cs="宋体"/>
          <w:bCs/>
          <w:color w:val="auto"/>
          <w:sz w:val="28"/>
          <w:szCs w:val="28"/>
          <w:highlight w:val="none"/>
        </w:rPr>
      </w:pPr>
      <w:r>
        <w:rPr>
          <w:rFonts w:hint="eastAsia" w:ascii="宋体" w:hAnsi="宋体" w:cs="宋体"/>
          <w:bCs/>
          <w:color w:val="auto"/>
          <w:sz w:val="32"/>
          <w:szCs w:val="32"/>
          <w:highlight w:val="none"/>
        </w:rPr>
        <w:t>一</w:t>
      </w:r>
      <w:r>
        <w:rPr>
          <w:rFonts w:hint="eastAsia" w:ascii="宋体" w:hAnsi="宋体" w:cs="宋体"/>
          <w:bCs/>
          <w:color w:val="auto"/>
          <w:sz w:val="28"/>
          <w:szCs w:val="28"/>
          <w:highlight w:val="none"/>
        </w:rPr>
        <w:t>、质疑供应商基本信息</w:t>
      </w:r>
    </w:p>
    <w:p w14:paraId="44199019">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质疑供应商：</w:t>
      </w:r>
      <w:r>
        <w:rPr>
          <w:rFonts w:hint="eastAsia" w:ascii="宋体" w:hAnsi="宋体" w:cs="宋体"/>
          <w:color w:val="auto"/>
          <w:sz w:val="28"/>
          <w:szCs w:val="28"/>
          <w:highlight w:val="none"/>
          <w:u w:val="dotted"/>
        </w:rPr>
        <w:t xml:space="preserve">                                        </w:t>
      </w:r>
    </w:p>
    <w:p w14:paraId="64D7A3CD">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地址：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p>
    <w:p w14:paraId="2A51300A">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联系人：</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p>
    <w:p w14:paraId="279B9143">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授权代表：</w:t>
      </w:r>
      <w:r>
        <w:rPr>
          <w:rFonts w:hint="eastAsia" w:ascii="宋体" w:hAnsi="宋体" w:cs="宋体"/>
          <w:color w:val="auto"/>
          <w:sz w:val="28"/>
          <w:szCs w:val="28"/>
          <w:highlight w:val="none"/>
          <w:u w:val="dotted"/>
        </w:rPr>
        <w:t xml:space="preserve">                                          </w:t>
      </w:r>
    </w:p>
    <w:p w14:paraId="7398FD51">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 xml:space="preserve"> </w:t>
      </w:r>
    </w:p>
    <w:p w14:paraId="6FDD8E26">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 xml:space="preserve">地址： </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p>
    <w:p w14:paraId="2A1D0FC4">
      <w:pPr>
        <w:adjustRightInd w:val="0"/>
        <w:snapToGrid w:val="0"/>
        <w:spacing w:line="360" w:lineRule="auto"/>
        <w:rPr>
          <w:rFonts w:ascii="宋体" w:hAnsi="宋体" w:cs="宋体"/>
          <w:bCs/>
          <w:color w:val="auto"/>
          <w:sz w:val="28"/>
          <w:szCs w:val="28"/>
          <w:highlight w:val="none"/>
        </w:rPr>
      </w:pPr>
      <w:r>
        <w:rPr>
          <w:rFonts w:hint="eastAsia" w:ascii="宋体" w:hAnsi="宋体" w:cs="宋体"/>
          <w:bCs/>
          <w:color w:val="auto"/>
          <w:sz w:val="28"/>
          <w:szCs w:val="28"/>
          <w:highlight w:val="none"/>
        </w:rPr>
        <w:t>二、质疑项目基本情况</w:t>
      </w:r>
    </w:p>
    <w:p w14:paraId="4F026A3D">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质疑项目的名称：</w:t>
      </w:r>
      <w:r>
        <w:rPr>
          <w:rFonts w:hint="eastAsia" w:ascii="宋体" w:hAnsi="宋体" w:cs="宋体"/>
          <w:color w:val="auto"/>
          <w:sz w:val="28"/>
          <w:szCs w:val="28"/>
          <w:highlight w:val="none"/>
          <w:u w:val="dotted"/>
        </w:rPr>
        <w:t xml:space="preserve">                                      </w:t>
      </w:r>
    </w:p>
    <w:p w14:paraId="51306140">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质疑项目的编号：</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包号：</w:t>
      </w:r>
      <w:r>
        <w:rPr>
          <w:rFonts w:hint="eastAsia" w:ascii="宋体" w:hAnsi="宋体" w:cs="宋体"/>
          <w:color w:val="auto"/>
          <w:sz w:val="28"/>
          <w:szCs w:val="28"/>
          <w:highlight w:val="none"/>
          <w:u w:val="dotted"/>
        </w:rPr>
        <w:t xml:space="preserve">                 </w:t>
      </w:r>
    </w:p>
    <w:p w14:paraId="76234242">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采购人名称：</w:t>
      </w:r>
      <w:r>
        <w:rPr>
          <w:rFonts w:hint="eastAsia" w:ascii="宋体" w:hAnsi="宋体" w:cs="宋体"/>
          <w:color w:val="auto"/>
          <w:sz w:val="28"/>
          <w:szCs w:val="28"/>
          <w:highlight w:val="none"/>
          <w:u w:val="dotted"/>
        </w:rPr>
        <w:t xml:space="preserve">                                         </w:t>
      </w:r>
    </w:p>
    <w:p w14:paraId="16480EC4">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采购文件获取日期：</w:t>
      </w:r>
      <w:r>
        <w:rPr>
          <w:rFonts w:hint="eastAsia" w:ascii="宋体" w:hAnsi="宋体" w:cs="宋体"/>
          <w:color w:val="auto"/>
          <w:sz w:val="28"/>
          <w:szCs w:val="28"/>
          <w:highlight w:val="none"/>
          <w:u w:val="dotted"/>
        </w:rPr>
        <w:t xml:space="preserve">                                           </w:t>
      </w:r>
    </w:p>
    <w:p w14:paraId="23388113">
      <w:pPr>
        <w:adjustRightInd w:val="0"/>
        <w:snapToGrid w:val="0"/>
        <w:spacing w:line="360" w:lineRule="auto"/>
        <w:rPr>
          <w:rFonts w:ascii="宋体" w:hAnsi="宋体" w:cs="宋体"/>
          <w:bCs/>
          <w:color w:val="auto"/>
          <w:sz w:val="28"/>
          <w:szCs w:val="28"/>
          <w:highlight w:val="none"/>
        </w:rPr>
      </w:pPr>
      <w:r>
        <w:rPr>
          <w:rFonts w:hint="eastAsia" w:ascii="宋体" w:hAnsi="宋体" w:cs="宋体"/>
          <w:bCs/>
          <w:color w:val="auto"/>
          <w:sz w:val="28"/>
          <w:szCs w:val="28"/>
          <w:highlight w:val="none"/>
        </w:rPr>
        <w:t>三、质疑事项具体内容</w:t>
      </w:r>
    </w:p>
    <w:p w14:paraId="56FF77DF">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质疑事项1：</w:t>
      </w:r>
      <w:r>
        <w:rPr>
          <w:rFonts w:hint="eastAsia" w:ascii="宋体" w:hAnsi="宋体" w:cs="宋体"/>
          <w:color w:val="auto"/>
          <w:sz w:val="28"/>
          <w:szCs w:val="28"/>
          <w:highlight w:val="none"/>
          <w:u w:val="dotted"/>
        </w:rPr>
        <w:t xml:space="preserve">                                         </w:t>
      </w:r>
    </w:p>
    <w:p w14:paraId="3A7F2A67">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事实依据：</w:t>
      </w:r>
      <w:r>
        <w:rPr>
          <w:rFonts w:hint="eastAsia" w:ascii="宋体" w:hAnsi="宋体" w:cs="宋体"/>
          <w:color w:val="auto"/>
          <w:sz w:val="28"/>
          <w:szCs w:val="28"/>
          <w:highlight w:val="none"/>
          <w:u w:val="dotted"/>
        </w:rPr>
        <w:t xml:space="preserve">                                          </w:t>
      </w:r>
    </w:p>
    <w:p w14:paraId="3BBC54B2">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u w:val="dotted"/>
        </w:rPr>
        <w:t xml:space="preserve">                                                       </w:t>
      </w:r>
    </w:p>
    <w:p w14:paraId="5A56464A">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法律依据：</w:t>
      </w:r>
      <w:r>
        <w:rPr>
          <w:rFonts w:hint="eastAsia" w:ascii="宋体" w:hAnsi="宋体" w:cs="宋体"/>
          <w:color w:val="auto"/>
          <w:sz w:val="28"/>
          <w:szCs w:val="28"/>
          <w:highlight w:val="none"/>
          <w:u w:val="dotted"/>
        </w:rPr>
        <w:t xml:space="preserve">                                          </w:t>
      </w:r>
    </w:p>
    <w:p w14:paraId="584E56E5">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u w:val="dotted"/>
        </w:rPr>
        <w:t xml:space="preserve">                                                     </w:t>
      </w:r>
    </w:p>
    <w:p w14:paraId="63679F90">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质疑事项2</w:t>
      </w:r>
    </w:p>
    <w:p w14:paraId="36019490">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w:t>
      </w:r>
    </w:p>
    <w:p w14:paraId="05697E3F">
      <w:pPr>
        <w:adjustRightInd w:val="0"/>
        <w:snapToGrid w:val="0"/>
        <w:spacing w:line="360" w:lineRule="auto"/>
        <w:rPr>
          <w:rFonts w:ascii="宋体" w:hAnsi="宋体" w:cs="宋体"/>
          <w:bCs/>
          <w:color w:val="auto"/>
          <w:sz w:val="28"/>
          <w:szCs w:val="28"/>
          <w:highlight w:val="none"/>
        </w:rPr>
      </w:pPr>
      <w:r>
        <w:rPr>
          <w:rFonts w:hint="eastAsia" w:ascii="宋体" w:hAnsi="宋体" w:cs="宋体"/>
          <w:bCs/>
          <w:color w:val="auto"/>
          <w:sz w:val="28"/>
          <w:szCs w:val="28"/>
          <w:highlight w:val="none"/>
        </w:rPr>
        <w:t>四、与质疑事项相关的质疑请求</w:t>
      </w:r>
    </w:p>
    <w:p w14:paraId="370A8331">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请求：</w:t>
      </w:r>
      <w:r>
        <w:rPr>
          <w:rFonts w:hint="eastAsia" w:ascii="宋体" w:hAnsi="宋体" w:cs="宋体"/>
          <w:color w:val="auto"/>
          <w:sz w:val="28"/>
          <w:szCs w:val="28"/>
          <w:highlight w:val="none"/>
          <w:u w:val="dotted"/>
        </w:rPr>
        <w:t xml:space="preserve">                                               </w:t>
      </w:r>
    </w:p>
    <w:p w14:paraId="3CF325B2">
      <w:pPr>
        <w:rPr>
          <w:rFonts w:ascii="宋体" w:hAnsi="宋体" w:cs="宋体"/>
          <w:color w:val="auto"/>
          <w:sz w:val="28"/>
          <w:szCs w:val="28"/>
          <w:highlight w:val="none"/>
        </w:rPr>
      </w:pPr>
      <w:r>
        <w:rPr>
          <w:rFonts w:hint="eastAsia" w:ascii="宋体" w:hAnsi="宋体" w:cs="宋体"/>
          <w:color w:val="auto"/>
          <w:sz w:val="28"/>
          <w:szCs w:val="28"/>
          <w:highlight w:val="none"/>
        </w:rPr>
        <w:t xml:space="preserve">签字(签章)：                   公章：               日期：    </w:t>
      </w:r>
    </w:p>
    <w:p w14:paraId="7C74A6F6">
      <w:pPr>
        <w:rPr>
          <w:rFonts w:ascii="宋体" w:hAnsi="宋体" w:cs="宋体"/>
          <w:b/>
          <w:color w:val="auto"/>
          <w:sz w:val="24"/>
          <w:highlight w:val="none"/>
        </w:rPr>
      </w:pPr>
      <w:r>
        <w:rPr>
          <w:rFonts w:hint="eastAsia" w:ascii="宋体" w:hAnsi="宋体" w:cs="宋体"/>
          <w:b/>
          <w:color w:val="auto"/>
          <w:sz w:val="24"/>
          <w:highlight w:val="none"/>
        </w:rPr>
        <w:t>质疑函制作说明：</w:t>
      </w:r>
    </w:p>
    <w:p w14:paraId="6BEC1CE2">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46672AE2">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26610431">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A8FA803">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0071865">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88B82F">
      <w:pPr>
        <w:widowControl/>
        <w:ind w:firstLine="480" w:firstLineChars="200"/>
        <w:jc w:val="left"/>
        <w:rPr>
          <w:rFonts w:ascii="宋体" w:hAnsi="宋体" w:cs="宋体"/>
          <w:color w:val="auto"/>
          <w:sz w:val="28"/>
          <w:szCs w:val="28"/>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7400356">
      <w:pPr>
        <w:rPr>
          <w:rFonts w:ascii="宋体" w:hAnsi="宋体" w:cs="宋体"/>
          <w:color w:val="auto"/>
          <w:sz w:val="20"/>
          <w:szCs w:val="22"/>
          <w:highlight w:val="none"/>
        </w:rPr>
      </w:pPr>
    </w:p>
    <w:p w14:paraId="2F8B04D9">
      <w:pPr>
        <w:pStyle w:val="15"/>
        <w:ind w:firstLine="560"/>
        <w:rPr>
          <w:rFonts w:ascii="宋体" w:hAnsi="宋体" w:eastAsia="宋体" w:cs="宋体"/>
          <w:color w:val="auto"/>
          <w:sz w:val="28"/>
          <w:szCs w:val="22"/>
          <w:highlight w:val="none"/>
        </w:rPr>
      </w:pPr>
    </w:p>
    <w:p w14:paraId="2E235A01">
      <w:pPr>
        <w:pStyle w:val="16"/>
        <w:rPr>
          <w:rFonts w:ascii="宋体" w:hAnsi="宋体" w:cs="宋体"/>
          <w:color w:val="auto"/>
          <w:sz w:val="20"/>
          <w:szCs w:val="22"/>
          <w:highlight w:val="none"/>
        </w:rPr>
      </w:pPr>
    </w:p>
    <w:p w14:paraId="2DF93EB3">
      <w:pPr>
        <w:rPr>
          <w:rFonts w:ascii="宋体" w:hAnsi="宋体" w:cs="宋体"/>
          <w:color w:val="auto"/>
          <w:sz w:val="20"/>
          <w:szCs w:val="22"/>
          <w:highlight w:val="none"/>
        </w:rPr>
      </w:pPr>
    </w:p>
    <w:p w14:paraId="00008A18">
      <w:pPr>
        <w:pStyle w:val="6"/>
        <w:keepNext w:val="0"/>
        <w:keepLines w:val="0"/>
        <w:pageBreakBefore/>
        <w:rPr>
          <w:rFonts w:ascii="宋体" w:hAnsi="宋体" w:eastAsia="宋体" w:cs="宋体"/>
          <w:b w:val="0"/>
          <w:color w:val="auto"/>
          <w:sz w:val="24"/>
          <w:highlight w:val="none"/>
        </w:rPr>
      </w:pPr>
      <w:bookmarkStart w:id="117" w:name="_Toc32533"/>
      <w:bookmarkStart w:id="118" w:name="_Toc4445"/>
      <w:bookmarkStart w:id="119" w:name="_Toc28792"/>
      <w:r>
        <w:rPr>
          <w:rFonts w:hint="eastAsia" w:ascii="宋体" w:hAnsi="宋体" w:eastAsia="宋体" w:cs="宋体"/>
          <w:b w:val="0"/>
          <w:color w:val="auto"/>
          <w:sz w:val="24"/>
          <w:highlight w:val="none"/>
        </w:rPr>
        <w:t>附件二十</w:t>
      </w:r>
      <w:r>
        <w:rPr>
          <w:rFonts w:hint="eastAsia" w:ascii="宋体" w:hAnsi="宋体" w:eastAsia="宋体" w:cs="宋体"/>
          <w:b w:val="0"/>
          <w:color w:val="auto"/>
          <w:sz w:val="24"/>
          <w:highlight w:val="none"/>
          <w:lang w:val="en-US" w:eastAsia="zh-CN"/>
        </w:rPr>
        <w:t>一</w:t>
      </w:r>
      <w:r>
        <w:rPr>
          <w:rFonts w:hint="eastAsia" w:ascii="宋体" w:hAnsi="宋体" w:eastAsia="宋体" w:cs="宋体"/>
          <w:b w:val="0"/>
          <w:color w:val="auto"/>
          <w:sz w:val="24"/>
          <w:highlight w:val="none"/>
        </w:rPr>
        <w:t>：投诉书范本</w:t>
      </w:r>
      <w:bookmarkEnd w:id="117"/>
      <w:bookmarkEnd w:id="118"/>
      <w:bookmarkEnd w:id="119"/>
    </w:p>
    <w:p w14:paraId="2C13DA5B">
      <w:pPr>
        <w:jc w:val="center"/>
        <w:rPr>
          <w:rFonts w:ascii="宋体" w:hAnsi="宋体" w:cs="宋体"/>
          <w:b/>
          <w:color w:val="auto"/>
          <w:sz w:val="40"/>
          <w:szCs w:val="40"/>
          <w:highlight w:val="none"/>
        </w:rPr>
      </w:pPr>
      <w:r>
        <w:rPr>
          <w:rFonts w:hint="eastAsia" w:ascii="宋体" w:hAnsi="宋体" w:cs="宋体"/>
          <w:b/>
          <w:color w:val="auto"/>
          <w:sz w:val="40"/>
          <w:szCs w:val="40"/>
          <w:highlight w:val="none"/>
        </w:rPr>
        <w:t>投诉书范本</w:t>
      </w:r>
    </w:p>
    <w:p w14:paraId="2951B08C">
      <w:pPr>
        <w:rPr>
          <w:rFonts w:ascii="宋体" w:hAnsi="宋体" w:cs="宋体"/>
          <w:color w:val="auto"/>
          <w:sz w:val="28"/>
          <w:szCs w:val="28"/>
          <w:highlight w:val="none"/>
        </w:rPr>
      </w:pPr>
      <w:r>
        <w:rPr>
          <w:rFonts w:hint="eastAsia" w:ascii="宋体" w:hAnsi="宋体" w:cs="宋体"/>
          <w:color w:val="auto"/>
          <w:sz w:val="28"/>
          <w:szCs w:val="28"/>
          <w:highlight w:val="none"/>
        </w:rPr>
        <w:t>一、投诉相关主体基本情况</w:t>
      </w:r>
    </w:p>
    <w:p w14:paraId="1416B053">
      <w:pPr>
        <w:rPr>
          <w:rFonts w:ascii="宋体" w:hAnsi="宋体" w:cs="宋体"/>
          <w:color w:val="auto"/>
          <w:sz w:val="28"/>
          <w:szCs w:val="28"/>
          <w:highlight w:val="none"/>
          <w:u w:val="dotted"/>
        </w:rPr>
      </w:pPr>
      <w:r>
        <w:rPr>
          <w:rFonts w:hint="eastAsia" w:ascii="宋体" w:hAnsi="宋体" w:cs="宋体"/>
          <w:color w:val="auto"/>
          <w:sz w:val="28"/>
          <w:szCs w:val="28"/>
          <w:highlight w:val="none"/>
        </w:rPr>
        <w:t>投诉人：</w:t>
      </w:r>
      <w:r>
        <w:rPr>
          <w:rFonts w:hint="eastAsia" w:ascii="宋体" w:hAnsi="宋体" w:cs="宋体"/>
          <w:color w:val="auto"/>
          <w:sz w:val="28"/>
          <w:szCs w:val="28"/>
          <w:highlight w:val="none"/>
          <w:u w:val="dotted"/>
        </w:rPr>
        <w:t xml:space="preserve">                                               </w:t>
      </w:r>
    </w:p>
    <w:p w14:paraId="60807485">
      <w:pPr>
        <w:rPr>
          <w:rFonts w:ascii="宋体" w:hAnsi="宋体" w:cs="宋体"/>
          <w:color w:val="auto"/>
          <w:sz w:val="28"/>
          <w:szCs w:val="28"/>
          <w:highlight w:val="none"/>
          <w:u w:val="single"/>
        </w:rPr>
      </w:pPr>
      <w:r>
        <w:rPr>
          <w:rFonts w:hint="eastAsia" w:ascii="宋体" w:hAnsi="宋体" w:cs="宋体"/>
          <w:color w:val="auto"/>
          <w:sz w:val="28"/>
          <w:szCs w:val="28"/>
          <w:highlight w:val="none"/>
        </w:rPr>
        <w:t>地     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68F6E78A">
      <w:pPr>
        <w:tabs>
          <w:tab w:val="left" w:pos="6510"/>
        </w:tabs>
        <w:jc w:val="left"/>
        <w:rPr>
          <w:rFonts w:ascii="宋体" w:hAnsi="宋体" w:cs="宋体"/>
          <w:color w:val="auto"/>
          <w:sz w:val="28"/>
          <w:szCs w:val="28"/>
          <w:highlight w:val="none"/>
        </w:rPr>
      </w:pPr>
      <w:r>
        <w:rPr>
          <w:rFonts w:hint="eastAsia" w:ascii="宋体" w:hAnsi="宋体" w:cs="宋体"/>
          <w:color w:val="auto"/>
          <w:sz w:val="28"/>
          <w:szCs w:val="28"/>
          <w:highlight w:val="none"/>
        </w:rPr>
        <w:t>法定代表人/主要负责人：</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 xml:space="preserve">  </w:t>
      </w:r>
    </w:p>
    <w:p w14:paraId="741FBF37">
      <w:pPr>
        <w:tabs>
          <w:tab w:val="left" w:pos="6510"/>
        </w:tabs>
        <w:rPr>
          <w:rFonts w:ascii="宋体" w:hAnsi="宋体" w:cs="宋体"/>
          <w:color w:val="auto"/>
          <w:sz w:val="28"/>
          <w:szCs w:val="28"/>
          <w:highlight w:val="none"/>
          <w:u w:val="dotted"/>
        </w:rPr>
      </w:pP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p>
    <w:p w14:paraId="5BD6A626">
      <w:pPr>
        <w:rPr>
          <w:rFonts w:ascii="宋体" w:hAnsi="宋体" w:cs="宋体"/>
          <w:color w:val="auto"/>
          <w:sz w:val="28"/>
          <w:szCs w:val="28"/>
          <w:highlight w:val="none"/>
          <w:u w:val="dotted"/>
        </w:rPr>
      </w:pPr>
      <w:r>
        <w:rPr>
          <w:rFonts w:hint="eastAsia" w:ascii="宋体" w:hAnsi="宋体" w:cs="宋体"/>
          <w:color w:val="auto"/>
          <w:sz w:val="28"/>
          <w:szCs w:val="28"/>
          <w:highlight w:val="none"/>
        </w:rPr>
        <w:t>授权代表：</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p>
    <w:p w14:paraId="22F78199">
      <w:pPr>
        <w:rPr>
          <w:rFonts w:ascii="宋体" w:hAnsi="宋体" w:cs="宋体"/>
          <w:color w:val="auto"/>
          <w:sz w:val="28"/>
          <w:szCs w:val="28"/>
          <w:highlight w:val="none"/>
          <w:u w:val="dotted"/>
        </w:rPr>
      </w:pPr>
      <w:r>
        <w:rPr>
          <w:rFonts w:hint="eastAsia" w:ascii="宋体" w:hAnsi="宋体" w:cs="宋体"/>
          <w:color w:val="auto"/>
          <w:sz w:val="28"/>
          <w:szCs w:val="28"/>
          <w:highlight w:val="none"/>
        </w:rPr>
        <w:t>地     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u w:val="dotted"/>
        </w:rPr>
        <w:t xml:space="preserve">                   </w:t>
      </w:r>
    </w:p>
    <w:p w14:paraId="1AF9C8D5">
      <w:pPr>
        <w:rPr>
          <w:rFonts w:ascii="宋体" w:hAnsi="宋体" w:cs="宋体"/>
          <w:color w:val="auto"/>
          <w:sz w:val="28"/>
          <w:szCs w:val="28"/>
          <w:highlight w:val="none"/>
          <w:u w:val="single"/>
        </w:rPr>
      </w:pPr>
      <w:r>
        <w:rPr>
          <w:rFonts w:hint="eastAsia" w:ascii="宋体" w:hAnsi="宋体" w:cs="宋体"/>
          <w:color w:val="auto"/>
          <w:sz w:val="28"/>
          <w:szCs w:val="28"/>
          <w:highlight w:val="none"/>
        </w:rPr>
        <w:t>被投诉人1：</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41B09EC5">
      <w:pPr>
        <w:rPr>
          <w:rFonts w:ascii="宋体" w:hAnsi="宋体" w:cs="宋体"/>
          <w:color w:val="auto"/>
          <w:sz w:val="28"/>
          <w:szCs w:val="28"/>
          <w:highlight w:val="none"/>
          <w:u w:val="single"/>
        </w:rPr>
      </w:pPr>
      <w:r>
        <w:rPr>
          <w:rFonts w:hint="eastAsia" w:ascii="宋体" w:hAnsi="宋体" w:cs="宋体"/>
          <w:color w:val="auto"/>
          <w:sz w:val="28"/>
          <w:szCs w:val="28"/>
          <w:highlight w:val="none"/>
        </w:rPr>
        <w:t>地     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329B351E">
      <w:pPr>
        <w:rPr>
          <w:rFonts w:ascii="宋体" w:hAnsi="宋体" w:cs="宋体"/>
          <w:color w:val="auto"/>
          <w:sz w:val="28"/>
          <w:szCs w:val="28"/>
          <w:highlight w:val="none"/>
          <w:u w:val="single"/>
        </w:rPr>
      </w:pPr>
      <w:r>
        <w:rPr>
          <w:rFonts w:hint="eastAsia" w:ascii="宋体" w:hAnsi="宋体" w:cs="宋体"/>
          <w:color w:val="auto"/>
          <w:sz w:val="28"/>
          <w:szCs w:val="28"/>
          <w:highlight w:val="none"/>
        </w:rPr>
        <w:t>联系人：</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432F5983">
      <w:pPr>
        <w:rPr>
          <w:rFonts w:ascii="宋体" w:hAnsi="宋体" w:cs="宋体"/>
          <w:color w:val="auto"/>
          <w:sz w:val="28"/>
          <w:szCs w:val="28"/>
          <w:highlight w:val="none"/>
        </w:rPr>
      </w:pPr>
      <w:r>
        <w:rPr>
          <w:rFonts w:hint="eastAsia" w:ascii="宋体" w:hAnsi="宋体" w:cs="宋体"/>
          <w:color w:val="auto"/>
          <w:sz w:val="28"/>
          <w:szCs w:val="28"/>
          <w:highlight w:val="none"/>
        </w:rPr>
        <w:t>被投诉人2</w:t>
      </w:r>
    </w:p>
    <w:p w14:paraId="12A8218E">
      <w:pPr>
        <w:rPr>
          <w:rFonts w:ascii="宋体" w:hAnsi="宋体" w:cs="宋体"/>
          <w:color w:val="auto"/>
          <w:sz w:val="28"/>
          <w:szCs w:val="28"/>
          <w:highlight w:val="none"/>
          <w:u w:val="dotted"/>
        </w:rPr>
      </w:pPr>
      <w:r>
        <w:rPr>
          <w:rFonts w:hint="eastAsia" w:ascii="宋体" w:hAnsi="宋体" w:cs="宋体"/>
          <w:color w:val="auto"/>
          <w:sz w:val="28"/>
          <w:szCs w:val="28"/>
          <w:highlight w:val="none"/>
        </w:rPr>
        <w:t>……</w:t>
      </w:r>
    </w:p>
    <w:p w14:paraId="66BDB066">
      <w:pPr>
        <w:rPr>
          <w:rFonts w:ascii="宋体" w:hAnsi="宋体" w:cs="宋体"/>
          <w:color w:val="auto"/>
          <w:sz w:val="28"/>
          <w:szCs w:val="28"/>
          <w:highlight w:val="none"/>
          <w:u w:val="single"/>
        </w:rPr>
      </w:pPr>
      <w:r>
        <w:rPr>
          <w:rFonts w:hint="eastAsia" w:ascii="宋体" w:hAnsi="宋体" w:cs="宋体"/>
          <w:color w:val="auto"/>
          <w:sz w:val="28"/>
          <w:szCs w:val="28"/>
          <w:highlight w:val="none"/>
        </w:rPr>
        <w:t>相关供应商：</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4E79E752">
      <w:pPr>
        <w:rPr>
          <w:rFonts w:ascii="宋体" w:hAnsi="宋体" w:cs="宋体"/>
          <w:color w:val="auto"/>
          <w:sz w:val="28"/>
          <w:szCs w:val="28"/>
          <w:highlight w:val="none"/>
          <w:u w:val="single"/>
        </w:rPr>
      </w:pPr>
      <w:r>
        <w:rPr>
          <w:rFonts w:hint="eastAsia" w:ascii="宋体" w:hAnsi="宋体" w:cs="宋体"/>
          <w:color w:val="auto"/>
          <w:sz w:val="28"/>
          <w:szCs w:val="28"/>
          <w:highlight w:val="none"/>
        </w:rPr>
        <w:t>地     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5EDF1EC0">
      <w:pPr>
        <w:rPr>
          <w:rFonts w:ascii="宋体" w:hAnsi="宋体" w:cs="宋体"/>
          <w:color w:val="auto"/>
          <w:sz w:val="28"/>
          <w:szCs w:val="28"/>
          <w:highlight w:val="none"/>
          <w:u w:val="single"/>
        </w:rPr>
      </w:pPr>
      <w:r>
        <w:rPr>
          <w:rFonts w:hint="eastAsia" w:ascii="宋体" w:hAnsi="宋体" w:cs="宋体"/>
          <w:color w:val="auto"/>
          <w:sz w:val="28"/>
          <w:szCs w:val="28"/>
          <w:highlight w:val="none"/>
        </w:rPr>
        <w:t>联系人：</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5577D184">
      <w:pPr>
        <w:rPr>
          <w:rFonts w:ascii="宋体" w:hAnsi="宋体" w:cs="宋体"/>
          <w:color w:val="auto"/>
          <w:sz w:val="28"/>
          <w:szCs w:val="28"/>
          <w:highlight w:val="none"/>
        </w:rPr>
      </w:pPr>
      <w:r>
        <w:rPr>
          <w:rFonts w:hint="eastAsia" w:ascii="宋体" w:hAnsi="宋体" w:cs="宋体"/>
          <w:color w:val="auto"/>
          <w:sz w:val="28"/>
          <w:szCs w:val="28"/>
          <w:highlight w:val="none"/>
        </w:rPr>
        <w:t>二、投诉项目基本情况</w:t>
      </w:r>
    </w:p>
    <w:p w14:paraId="711F915D">
      <w:pPr>
        <w:rPr>
          <w:rFonts w:ascii="宋体" w:hAnsi="宋体" w:cs="宋体"/>
          <w:color w:val="auto"/>
          <w:sz w:val="28"/>
          <w:szCs w:val="28"/>
          <w:highlight w:val="none"/>
          <w:u w:val="dotted"/>
        </w:rPr>
      </w:pPr>
      <w:r>
        <w:rPr>
          <w:rFonts w:hint="eastAsia" w:ascii="宋体" w:hAnsi="宋体" w:cs="宋体"/>
          <w:color w:val="auto"/>
          <w:sz w:val="28"/>
          <w:szCs w:val="28"/>
          <w:highlight w:val="none"/>
        </w:rPr>
        <w:t>采购项目名称：</w:t>
      </w:r>
      <w:r>
        <w:rPr>
          <w:rFonts w:hint="eastAsia" w:ascii="宋体" w:hAnsi="宋体" w:cs="宋体"/>
          <w:color w:val="auto"/>
          <w:sz w:val="28"/>
          <w:szCs w:val="28"/>
          <w:highlight w:val="none"/>
          <w:u w:val="dotted"/>
        </w:rPr>
        <w:t xml:space="preserve">                                        </w:t>
      </w:r>
    </w:p>
    <w:p w14:paraId="7A478840">
      <w:pPr>
        <w:rPr>
          <w:rFonts w:ascii="宋体" w:hAnsi="宋体" w:cs="宋体"/>
          <w:color w:val="auto"/>
          <w:sz w:val="28"/>
          <w:szCs w:val="28"/>
          <w:highlight w:val="none"/>
          <w:u w:val="single"/>
        </w:rPr>
      </w:pPr>
      <w:r>
        <w:rPr>
          <w:rFonts w:hint="eastAsia" w:ascii="宋体" w:hAnsi="宋体" w:cs="宋体"/>
          <w:color w:val="auto"/>
          <w:sz w:val="28"/>
          <w:szCs w:val="28"/>
          <w:highlight w:val="none"/>
        </w:rPr>
        <w:t>采购项目编号：</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包号：</w:t>
      </w:r>
      <w:r>
        <w:rPr>
          <w:rFonts w:hint="eastAsia" w:ascii="宋体" w:hAnsi="宋体" w:cs="宋体"/>
          <w:color w:val="auto"/>
          <w:sz w:val="28"/>
          <w:szCs w:val="28"/>
          <w:highlight w:val="none"/>
          <w:u w:val="dotted"/>
        </w:rPr>
        <w:t xml:space="preserve">              </w:t>
      </w:r>
    </w:p>
    <w:p w14:paraId="7A4DF5EA">
      <w:pPr>
        <w:rPr>
          <w:rFonts w:ascii="宋体" w:hAnsi="宋体" w:cs="宋体"/>
          <w:color w:val="auto"/>
          <w:sz w:val="28"/>
          <w:szCs w:val="28"/>
          <w:highlight w:val="none"/>
        </w:rPr>
      </w:pPr>
      <w:r>
        <w:rPr>
          <w:rFonts w:hint="eastAsia" w:ascii="宋体" w:hAnsi="宋体" w:cs="宋体"/>
          <w:color w:val="auto"/>
          <w:sz w:val="28"/>
          <w:szCs w:val="28"/>
          <w:highlight w:val="none"/>
        </w:rPr>
        <w:t>采购人名称：</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1DA79902">
      <w:pPr>
        <w:rPr>
          <w:rFonts w:ascii="宋体" w:hAnsi="宋体" w:cs="宋体"/>
          <w:color w:val="auto"/>
          <w:sz w:val="28"/>
          <w:szCs w:val="28"/>
          <w:highlight w:val="none"/>
          <w:u w:val="single"/>
        </w:rPr>
      </w:pPr>
      <w:r>
        <w:rPr>
          <w:rFonts w:hint="eastAsia" w:ascii="宋体" w:hAnsi="宋体" w:cs="宋体"/>
          <w:color w:val="auto"/>
          <w:sz w:val="28"/>
          <w:szCs w:val="28"/>
          <w:highlight w:val="none"/>
        </w:rPr>
        <w:t>代理机构名称：</w:t>
      </w:r>
      <w:r>
        <w:rPr>
          <w:rFonts w:hint="eastAsia" w:ascii="宋体" w:hAnsi="宋体" w:cs="宋体"/>
          <w:color w:val="auto"/>
          <w:sz w:val="28"/>
          <w:szCs w:val="28"/>
          <w:highlight w:val="none"/>
          <w:u w:val="dotted"/>
        </w:rPr>
        <w:t xml:space="preserve">                                         </w:t>
      </w:r>
    </w:p>
    <w:p w14:paraId="4D7279AC">
      <w:pPr>
        <w:rPr>
          <w:rFonts w:ascii="宋体" w:hAnsi="宋体" w:cs="宋体"/>
          <w:color w:val="auto"/>
          <w:sz w:val="28"/>
          <w:szCs w:val="28"/>
          <w:highlight w:val="none"/>
          <w:u w:val="dotted"/>
        </w:rPr>
      </w:pPr>
      <w:r>
        <w:rPr>
          <w:rFonts w:hint="eastAsia" w:ascii="宋体" w:hAnsi="宋体" w:cs="宋体"/>
          <w:color w:val="auto"/>
          <w:sz w:val="28"/>
          <w:szCs w:val="28"/>
          <w:highlight w:val="none"/>
        </w:rPr>
        <w:t>采购文件公告:</w:t>
      </w:r>
      <w:r>
        <w:rPr>
          <w:rFonts w:hint="eastAsia" w:ascii="宋体" w:hAnsi="宋体" w:cs="宋体"/>
          <w:color w:val="auto"/>
          <w:sz w:val="28"/>
          <w:szCs w:val="28"/>
          <w:highlight w:val="none"/>
          <w:u w:val="dotted"/>
        </w:rPr>
        <w:t xml:space="preserve">是/否 </w:t>
      </w:r>
      <w:r>
        <w:rPr>
          <w:rFonts w:hint="eastAsia" w:ascii="宋体" w:hAnsi="宋体" w:cs="宋体"/>
          <w:color w:val="auto"/>
          <w:sz w:val="28"/>
          <w:szCs w:val="28"/>
          <w:highlight w:val="none"/>
        </w:rPr>
        <w:t>公告期限：</w:t>
      </w:r>
      <w:r>
        <w:rPr>
          <w:rFonts w:hint="eastAsia" w:ascii="宋体" w:hAnsi="宋体" w:cs="宋体"/>
          <w:color w:val="auto"/>
          <w:sz w:val="28"/>
          <w:szCs w:val="28"/>
          <w:highlight w:val="none"/>
          <w:u w:val="dotted"/>
        </w:rPr>
        <w:t xml:space="preserve">                                 </w:t>
      </w:r>
    </w:p>
    <w:p w14:paraId="45A24F1F">
      <w:pPr>
        <w:rPr>
          <w:rFonts w:ascii="宋体" w:hAnsi="宋体" w:cs="宋体"/>
          <w:color w:val="auto"/>
          <w:sz w:val="28"/>
          <w:szCs w:val="28"/>
          <w:highlight w:val="none"/>
          <w:u w:val="single"/>
        </w:rPr>
      </w:pPr>
      <w:r>
        <w:rPr>
          <w:rFonts w:hint="eastAsia" w:ascii="宋体" w:hAnsi="宋体" w:cs="宋体"/>
          <w:color w:val="auto"/>
          <w:sz w:val="28"/>
          <w:szCs w:val="28"/>
          <w:highlight w:val="none"/>
        </w:rPr>
        <w:t>采购结果公告:</w:t>
      </w:r>
      <w:r>
        <w:rPr>
          <w:rFonts w:hint="eastAsia" w:ascii="宋体" w:hAnsi="宋体" w:cs="宋体"/>
          <w:color w:val="auto"/>
          <w:sz w:val="28"/>
          <w:szCs w:val="28"/>
          <w:highlight w:val="none"/>
          <w:u w:val="dotted"/>
        </w:rPr>
        <w:t xml:space="preserve">是/否 </w:t>
      </w:r>
      <w:r>
        <w:rPr>
          <w:rFonts w:hint="eastAsia" w:ascii="宋体" w:hAnsi="宋体" w:cs="宋体"/>
          <w:color w:val="auto"/>
          <w:sz w:val="28"/>
          <w:szCs w:val="28"/>
          <w:highlight w:val="none"/>
        </w:rPr>
        <w:t>公告期限：</w:t>
      </w:r>
      <w:r>
        <w:rPr>
          <w:rFonts w:hint="eastAsia" w:ascii="宋体" w:hAnsi="宋体" w:cs="宋体"/>
          <w:color w:val="auto"/>
          <w:sz w:val="28"/>
          <w:szCs w:val="28"/>
          <w:highlight w:val="none"/>
          <w:u w:val="dotted"/>
        </w:rPr>
        <w:t xml:space="preserve">                        </w:t>
      </w:r>
    </w:p>
    <w:p w14:paraId="28299598">
      <w:pPr>
        <w:rPr>
          <w:rFonts w:ascii="宋体" w:hAnsi="宋体" w:cs="宋体"/>
          <w:color w:val="auto"/>
          <w:sz w:val="28"/>
          <w:szCs w:val="28"/>
          <w:highlight w:val="none"/>
        </w:rPr>
      </w:pPr>
      <w:r>
        <w:rPr>
          <w:rFonts w:hint="eastAsia" w:ascii="宋体" w:hAnsi="宋体" w:cs="宋体"/>
          <w:color w:val="auto"/>
          <w:sz w:val="28"/>
          <w:szCs w:val="28"/>
          <w:highlight w:val="none"/>
        </w:rPr>
        <w:t>三、质疑基本情况</w:t>
      </w:r>
    </w:p>
    <w:p w14:paraId="538CCF3A">
      <w:pPr>
        <w:ind w:firstLine="560" w:firstLineChars="200"/>
        <w:rPr>
          <w:rFonts w:ascii="宋体" w:hAnsi="宋体" w:cs="宋体"/>
          <w:color w:val="auto"/>
          <w:sz w:val="28"/>
          <w:szCs w:val="28"/>
          <w:highlight w:val="none"/>
          <w:u w:val="dotted"/>
        </w:rPr>
      </w:pPr>
      <w:r>
        <w:rPr>
          <w:rFonts w:hint="eastAsia" w:ascii="宋体" w:hAnsi="宋体" w:cs="宋体"/>
          <w:color w:val="auto"/>
          <w:sz w:val="28"/>
          <w:szCs w:val="28"/>
          <w:highlight w:val="none"/>
        </w:rPr>
        <w:t>投诉人于</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月</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日,向</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提出质疑，质疑事项为：</w:t>
      </w:r>
      <w:r>
        <w:rPr>
          <w:rFonts w:hint="eastAsia" w:ascii="宋体" w:hAnsi="宋体" w:cs="宋体"/>
          <w:color w:val="auto"/>
          <w:sz w:val="28"/>
          <w:szCs w:val="28"/>
          <w:highlight w:val="none"/>
          <w:u w:val="dotted"/>
        </w:rPr>
        <w:t xml:space="preserve">                                </w:t>
      </w:r>
    </w:p>
    <w:p w14:paraId="3D274C02">
      <w:pPr>
        <w:rPr>
          <w:rFonts w:ascii="宋体" w:hAnsi="宋体" w:cs="宋体"/>
          <w:color w:val="auto"/>
          <w:sz w:val="28"/>
          <w:szCs w:val="28"/>
          <w:highlight w:val="none"/>
          <w:u w:val="dotted"/>
        </w:rPr>
      </w:pP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 xml:space="preserve">  </w:t>
      </w:r>
    </w:p>
    <w:p w14:paraId="75613F38">
      <w:pPr>
        <w:ind w:firstLine="420" w:firstLineChars="150"/>
        <w:rPr>
          <w:rFonts w:ascii="宋体" w:hAnsi="宋体" w:cs="宋体"/>
          <w:color w:val="auto"/>
          <w:sz w:val="28"/>
          <w:szCs w:val="28"/>
          <w:highlight w:val="none"/>
        </w:rPr>
      </w:pPr>
      <w:r>
        <w:rPr>
          <w:rFonts w:hint="eastAsia" w:ascii="宋体" w:hAnsi="宋体" w:cs="宋体"/>
          <w:color w:val="auto"/>
          <w:sz w:val="28"/>
          <w:szCs w:val="28"/>
          <w:highlight w:val="none"/>
          <w:u w:val="dotted"/>
        </w:rPr>
        <w:t>采购人/代理机构</w:t>
      </w:r>
      <w:r>
        <w:rPr>
          <w:rFonts w:hint="eastAsia" w:ascii="宋体" w:hAnsi="宋体" w:cs="宋体"/>
          <w:color w:val="auto"/>
          <w:sz w:val="28"/>
          <w:szCs w:val="28"/>
          <w:highlight w:val="none"/>
        </w:rPr>
        <w:t>于</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月</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日,就质疑事项作出了答复/没有在法定期限内作出答复。</w:t>
      </w:r>
    </w:p>
    <w:p w14:paraId="1E8E1E44">
      <w:pPr>
        <w:rPr>
          <w:rFonts w:ascii="宋体" w:hAnsi="宋体" w:cs="宋体"/>
          <w:color w:val="auto"/>
          <w:sz w:val="28"/>
          <w:szCs w:val="28"/>
          <w:highlight w:val="none"/>
        </w:rPr>
      </w:pPr>
      <w:r>
        <w:rPr>
          <w:rFonts w:hint="eastAsia" w:ascii="宋体" w:hAnsi="宋体" w:cs="宋体"/>
          <w:color w:val="auto"/>
          <w:sz w:val="28"/>
          <w:szCs w:val="28"/>
          <w:highlight w:val="none"/>
        </w:rPr>
        <w:t>四、投诉事项具体内容</w:t>
      </w:r>
    </w:p>
    <w:p w14:paraId="6DF58A6C">
      <w:pPr>
        <w:rPr>
          <w:rFonts w:ascii="宋体" w:hAnsi="宋体" w:cs="宋体"/>
          <w:color w:val="auto"/>
          <w:sz w:val="28"/>
          <w:szCs w:val="28"/>
          <w:highlight w:val="none"/>
          <w:u w:val="single"/>
        </w:rPr>
      </w:pPr>
      <w:r>
        <w:rPr>
          <w:rFonts w:hint="eastAsia" w:ascii="宋体" w:hAnsi="宋体" w:cs="宋体"/>
          <w:color w:val="auto"/>
          <w:sz w:val="28"/>
          <w:szCs w:val="28"/>
          <w:highlight w:val="none"/>
        </w:rPr>
        <w:t>投诉事项 1：</w:t>
      </w:r>
      <w:r>
        <w:rPr>
          <w:rFonts w:hint="eastAsia" w:ascii="宋体" w:hAnsi="宋体" w:cs="宋体"/>
          <w:color w:val="auto"/>
          <w:sz w:val="28"/>
          <w:szCs w:val="28"/>
          <w:highlight w:val="none"/>
          <w:u w:val="dotted"/>
        </w:rPr>
        <w:t xml:space="preserve">                                       </w:t>
      </w:r>
    </w:p>
    <w:p w14:paraId="5FF0A334">
      <w:pPr>
        <w:rPr>
          <w:rFonts w:ascii="宋体" w:hAnsi="宋体" w:cs="宋体"/>
          <w:color w:val="auto"/>
          <w:sz w:val="28"/>
          <w:szCs w:val="28"/>
          <w:highlight w:val="none"/>
        </w:rPr>
      </w:pPr>
      <w:r>
        <w:rPr>
          <w:rFonts w:hint="eastAsia" w:ascii="宋体" w:hAnsi="宋体" w:cs="宋体"/>
          <w:color w:val="auto"/>
          <w:sz w:val="28"/>
          <w:szCs w:val="28"/>
          <w:highlight w:val="none"/>
        </w:rPr>
        <w:t>事实依据：</w:t>
      </w:r>
      <w:r>
        <w:rPr>
          <w:rFonts w:hint="eastAsia" w:ascii="宋体" w:hAnsi="宋体" w:cs="宋体"/>
          <w:color w:val="auto"/>
          <w:sz w:val="28"/>
          <w:szCs w:val="28"/>
          <w:highlight w:val="none"/>
          <w:u w:val="dotted"/>
        </w:rPr>
        <w:t xml:space="preserve">                                         </w:t>
      </w:r>
    </w:p>
    <w:p w14:paraId="2C5ADA16">
      <w:pPr>
        <w:rPr>
          <w:rFonts w:ascii="宋体" w:hAnsi="宋体" w:cs="宋体"/>
          <w:color w:val="auto"/>
          <w:sz w:val="28"/>
          <w:szCs w:val="28"/>
          <w:highlight w:val="none"/>
          <w:u w:val="dotted"/>
        </w:rPr>
      </w:pPr>
      <w:r>
        <w:rPr>
          <w:rFonts w:hint="eastAsia" w:ascii="宋体" w:hAnsi="宋体" w:cs="宋体"/>
          <w:color w:val="auto"/>
          <w:sz w:val="28"/>
          <w:szCs w:val="28"/>
          <w:highlight w:val="none"/>
          <w:u w:val="dotted"/>
        </w:rPr>
        <w:t xml:space="preserve">                                                      </w:t>
      </w:r>
    </w:p>
    <w:p w14:paraId="0B128C16">
      <w:pPr>
        <w:rPr>
          <w:rFonts w:ascii="宋体" w:hAnsi="宋体" w:cs="宋体"/>
          <w:color w:val="auto"/>
          <w:sz w:val="28"/>
          <w:szCs w:val="28"/>
          <w:highlight w:val="none"/>
          <w:u w:val="single"/>
        </w:rPr>
      </w:pPr>
      <w:r>
        <w:rPr>
          <w:rFonts w:hint="eastAsia" w:ascii="宋体" w:hAnsi="宋体" w:cs="宋体"/>
          <w:color w:val="auto"/>
          <w:sz w:val="28"/>
          <w:szCs w:val="28"/>
          <w:highlight w:val="none"/>
        </w:rPr>
        <w:t>法律依据：</w:t>
      </w:r>
      <w:r>
        <w:rPr>
          <w:rFonts w:hint="eastAsia" w:ascii="宋体" w:hAnsi="宋体" w:cs="宋体"/>
          <w:color w:val="auto"/>
          <w:sz w:val="28"/>
          <w:szCs w:val="28"/>
          <w:highlight w:val="none"/>
          <w:u w:val="dotted"/>
        </w:rPr>
        <w:t xml:space="preserve">                                          </w:t>
      </w:r>
    </w:p>
    <w:p w14:paraId="06F6B5D5">
      <w:pPr>
        <w:rPr>
          <w:rFonts w:ascii="宋体" w:hAnsi="宋体" w:cs="宋体"/>
          <w:color w:val="auto"/>
          <w:sz w:val="28"/>
          <w:szCs w:val="28"/>
          <w:highlight w:val="none"/>
          <w:u w:val="dotted"/>
        </w:rPr>
      </w:pPr>
      <w:r>
        <w:rPr>
          <w:rFonts w:hint="eastAsia" w:ascii="宋体" w:hAnsi="宋体" w:cs="宋体"/>
          <w:color w:val="auto"/>
          <w:sz w:val="28"/>
          <w:szCs w:val="28"/>
          <w:highlight w:val="none"/>
          <w:u w:val="dotted"/>
        </w:rPr>
        <w:t xml:space="preserve">                                                      </w:t>
      </w:r>
    </w:p>
    <w:p w14:paraId="17C8223A">
      <w:pPr>
        <w:rPr>
          <w:rFonts w:ascii="宋体" w:hAnsi="宋体" w:cs="宋体"/>
          <w:color w:val="auto"/>
          <w:sz w:val="28"/>
          <w:szCs w:val="28"/>
          <w:highlight w:val="none"/>
        </w:rPr>
      </w:pPr>
      <w:r>
        <w:rPr>
          <w:rFonts w:hint="eastAsia" w:ascii="宋体" w:hAnsi="宋体" w:cs="宋体"/>
          <w:color w:val="auto"/>
          <w:sz w:val="28"/>
          <w:szCs w:val="28"/>
          <w:highlight w:val="none"/>
        </w:rPr>
        <w:t>投诉事项2</w:t>
      </w:r>
    </w:p>
    <w:p w14:paraId="41E19933">
      <w:pPr>
        <w:rPr>
          <w:rFonts w:ascii="宋体" w:hAnsi="宋体" w:cs="宋体"/>
          <w:color w:val="auto"/>
          <w:sz w:val="28"/>
          <w:szCs w:val="28"/>
          <w:highlight w:val="none"/>
          <w:u w:val="dotted"/>
        </w:rPr>
      </w:pPr>
      <w:r>
        <w:rPr>
          <w:rFonts w:hint="eastAsia" w:ascii="宋体" w:hAnsi="宋体" w:cs="宋体"/>
          <w:color w:val="auto"/>
          <w:sz w:val="28"/>
          <w:szCs w:val="28"/>
          <w:highlight w:val="none"/>
        </w:rPr>
        <w:t>……</w:t>
      </w:r>
    </w:p>
    <w:p w14:paraId="388E0574">
      <w:pPr>
        <w:rPr>
          <w:rFonts w:ascii="宋体" w:hAnsi="宋体" w:cs="宋体"/>
          <w:color w:val="auto"/>
          <w:sz w:val="28"/>
          <w:szCs w:val="28"/>
          <w:highlight w:val="none"/>
        </w:rPr>
      </w:pPr>
      <w:r>
        <w:rPr>
          <w:rFonts w:hint="eastAsia" w:ascii="宋体" w:hAnsi="宋体" w:cs="宋体"/>
          <w:color w:val="auto"/>
          <w:sz w:val="28"/>
          <w:szCs w:val="28"/>
          <w:highlight w:val="none"/>
        </w:rPr>
        <w:t>五、与投诉事项相关的投诉请求</w:t>
      </w:r>
    </w:p>
    <w:p w14:paraId="6A979E94">
      <w:pPr>
        <w:rPr>
          <w:rFonts w:ascii="宋体" w:hAnsi="宋体" w:cs="宋体"/>
          <w:color w:val="auto"/>
          <w:sz w:val="28"/>
          <w:szCs w:val="28"/>
          <w:highlight w:val="none"/>
        </w:rPr>
      </w:pPr>
      <w:r>
        <w:rPr>
          <w:rFonts w:hint="eastAsia" w:ascii="宋体" w:hAnsi="宋体" w:cs="宋体"/>
          <w:color w:val="auto"/>
          <w:sz w:val="28"/>
          <w:szCs w:val="28"/>
          <w:highlight w:val="none"/>
        </w:rPr>
        <w:t>请求：</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 xml:space="preserve"> </w:t>
      </w:r>
    </w:p>
    <w:p w14:paraId="42B6AC80">
      <w:pPr>
        <w:rPr>
          <w:rFonts w:ascii="宋体" w:hAnsi="宋体" w:cs="宋体"/>
          <w:color w:val="auto"/>
          <w:sz w:val="28"/>
          <w:szCs w:val="28"/>
          <w:highlight w:val="none"/>
          <w:u w:val="single"/>
        </w:rPr>
      </w:pPr>
      <w:r>
        <w:rPr>
          <w:rFonts w:hint="eastAsia" w:ascii="宋体" w:hAnsi="宋体" w:cs="宋体"/>
          <w:color w:val="auto"/>
          <w:sz w:val="28"/>
          <w:szCs w:val="28"/>
          <w:highlight w:val="none"/>
        </w:rPr>
        <w:t xml:space="preserve">                                                                                                    </w:t>
      </w:r>
    </w:p>
    <w:p w14:paraId="5865A8A7">
      <w:pPr>
        <w:rPr>
          <w:rFonts w:ascii="宋体" w:hAnsi="宋体" w:cs="宋体"/>
          <w:color w:val="auto"/>
          <w:sz w:val="28"/>
          <w:szCs w:val="28"/>
          <w:highlight w:val="none"/>
        </w:rPr>
      </w:pPr>
      <w:r>
        <w:rPr>
          <w:rFonts w:hint="eastAsia" w:ascii="宋体" w:hAnsi="宋体" w:cs="宋体"/>
          <w:color w:val="auto"/>
          <w:sz w:val="28"/>
          <w:szCs w:val="28"/>
          <w:highlight w:val="none"/>
        </w:rPr>
        <w:t xml:space="preserve">签字(签章)：                   公章：                      </w:t>
      </w:r>
    </w:p>
    <w:p w14:paraId="6516129A">
      <w:pPr>
        <w:rPr>
          <w:rFonts w:ascii="宋体" w:hAnsi="宋体" w:cs="宋体"/>
          <w:color w:val="auto"/>
          <w:sz w:val="28"/>
          <w:szCs w:val="28"/>
          <w:highlight w:val="none"/>
        </w:rPr>
      </w:pPr>
      <w:r>
        <w:rPr>
          <w:rFonts w:hint="eastAsia" w:ascii="宋体" w:hAnsi="宋体" w:cs="宋体"/>
          <w:color w:val="auto"/>
          <w:sz w:val="28"/>
          <w:szCs w:val="28"/>
          <w:highlight w:val="none"/>
        </w:rPr>
        <w:t xml:space="preserve">日期：    </w:t>
      </w:r>
    </w:p>
    <w:p w14:paraId="51748A79">
      <w:pPr>
        <w:rPr>
          <w:rFonts w:ascii="宋体" w:hAnsi="宋体" w:cs="宋体"/>
          <w:b/>
          <w:color w:val="auto"/>
          <w:sz w:val="28"/>
          <w:szCs w:val="28"/>
          <w:highlight w:val="none"/>
        </w:rPr>
      </w:pPr>
    </w:p>
    <w:p w14:paraId="6FA907FC">
      <w:pPr>
        <w:rPr>
          <w:rFonts w:ascii="宋体" w:hAnsi="宋体" w:cs="宋体"/>
          <w:b/>
          <w:color w:val="auto"/>
          <w:sz w:val="28"/>
          <w:szCs w:val="28"/>
          <w:highlight w:val="none"/>
        </w:rPr>
      </w:pPr>
    </w:p>
    <w:p w14:paraId="72ED2EE4">
      <w:pPr>
        <w:rPr>
          <w:rFonts w:ascii="宋体" w:hAnsi="宋体" w:cs="宋体"/>
          <w:b/>
          <w:color w:val="auto"/>
          <w:sz w:val="28"/>
          <w:szCs w:val="28"/>
          <w:highlight w:val="none"/>
        </w:rPr>
      </w:pPr>
    </w:p>
    <w:p w14:paraId="5664E5F7">
      <w:pPr>
        <w:rPr>
          <w:rFonts w:ascii="宋体" w:hAnsi="宋体" w:cs="宋体"/>
          <w:b/>
          <w:color w:val="auto"/>
          <w:sz w:val="28"/>
          <w:szCs w:val="28"/>
          <w:highlight w:val="none"/>
        </w:rPr>
      </w:pPr>
    </w:p>
    <w:p w14:paraId="54EB20A5">
      <w:pPr>
        <w:rPr>
          <w:rFonts w:ascii="宋体" w:hAnsi="宋体" w:cs="宋体"/>
          <w:b/>
          <w:color w:val="auto"/>
          <w:sz w:val="28"/>
          <w:szCs w:val="28"/>
          <w:highlight w:val="none"/>
        </w:rPr>
      </w:pPr>
    </w:p>
    <w:p w14:paraId="297CABAB">
      <w:pPr>
        <w:rPr>
          <w:rFonts w:ascii="宋体" w:hAnsi="宋体" w:cs="宋体"/>
          <w:b/>
          <w:color w:val="auto"/>
          <w:sz w:val="24"/>
          <w:highlight w:val="none"/>
        </w:rPr>
      </w:pPr>
      <w:r>
        <w:rPr>
          <w:rFonts w:hint="eastAsia" w:ascii="宋体" w:hAnsi="宋体" w:cs="宋体"/>
          <w:b/>
          <w:color w:val="auto"/>
          <w:sz w:val="24"/>
          <w:highlight w:val="none"/>
        </w:rPr>
        <w:t>投诉书制作说明：</w:t>
      </w:r>
    </w:p>
    <w:p w14:paraId="79E4A1BA">
      <w:pPr>
        <w:widowControl/>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5DC0A8EE">
      <w:pPr>
        <w:widowControl/>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7EAC9248">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EEA4A6D">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021EA79">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95285D0">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14D65B1C">
      <w:pPr>
        <w:widowControl/>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5D44CF0">
      <w:pPr>
        <w:jc w:val="left"/>
        <w:rPr>
          <w:rFonts w:ascii="宋体" w:hAnsi="宋体" w:cs="宋体"/>
          <w:b/>
          <w:color w:val="auto"/>
          <w:sz w:val="28"/>
          <w:szCs w:val="28"/>
          <w:highlight w:val="none"/>
        </w:rPr>
      </w:pPr>
      <w:r>
        <w:rPr>
          <w:rFonts w:hint="eastAsia" w:ascii="宋体" w:hAnsi="宋体" w:cs="宋体"/>
          <w:color w:val="auto"/>
          <w:sz w:val="28"/>
          <w:szCs w:val="28"/>
          <w:highlight w:val="none"/>
        </w:rPr>
        <w:t xml:space="preserve">         </w:t>
      </w:r>
      <w:r>
        <w:rPr>
          <w:rFonts w:hint="eastAsia" w:ascii="宋体" w:hAnsi="宋体" w:cs="宋体"/>
          <w:b/>
          <w:color w:val="auto"/>
          <w:sz w:val="28"/>
          <w:szCs w:val="28"/>
          <w:highlight w:val="none"/>
        </w:rPr>
        <w:t xml:space="preserve"> </w:t>
      </w:r>
    </w:p>
    <w:p w14:paraId="272B3D79">
      <w:pPr>
        <w:jc w:val="left"/>
        <w:rPr>
          <w:rFonts w:ascii="宋体" w:hAnsi="宋体" w:cs="宋体"/>
          <w:b/>
          <w:color w:val="auto"/>
          <w:sz w:val="28"/>
          <w:szCs w:val="28"/>
          <w:highlight w:val="none"/>
        </w:rPr>
      </w:pPr>
    </w:p>
    <w:p w14:paraId="3829BC0A">
      <w:pPr>
        <w:rPr>
          <w:rFonts w:ascii="宋体" w:hAnsi="宋体" w:cs="宋体"/>
          <w:color w:val="auto"/>
          <w:sz w:val="20"/>
          <w:szCs w:val="22"/>
          <w:highlight w:val="none"/>
        </w:rPr>
      </w:pPr>
    </w:p>
    <w:p w14:paraId="1FE3F2B3">
      <w:pPr>
        <w:rPr>
          <w:rFonts w:ascii="宋体" w:hAnsi="宋体" w:cs="宋体"/>
          <w:color w:val="auto"/>
          <w:sz w:val="20"/>
          <w:szCs w:val="22"/>
          <w:highlight w:val="none"/>
        </w:rPr>
      </w:pPr>
    </w:p>
    <w:p w14:paraId="10801505">
      <w:pPr>
        <w:pStyle w:val="33"/>
        <w:rPr>
          <w:rFonts w:ascii="宋体" w:hAnsi="宋体" w:eastAsia="宋体" w:cs="宋体"/>
          <w:color w:val="auto"/>
          <w:sz w:val="20"/>
          <w:szCs w:val="22"/>
          <w:highlight w:val="none"/>
        </w:rPr>
      </w:pPr>
    </w:p>
    <w:p w14:paraId="709DA282">
      <w:pPr>
        <w:rPr>
          <w:color w:val="auto"/>
          <w:highlight w:val="none"/>
        </w:rPr>
      </w:pPr>
    </w:p>
    <w:p w14:paraId="22E2D6C2">
      <w:pPr>
        <w:pStyle w:val="2"/>
        <w:rPr>
          <w:color w:val="auto"/>
          <w:highlight w:val="none"/>
        </w:rPr>
      </w:pPr>
    </w:p>
    <w:p w14:paraId="2A1114EB">
      <w:pPr>
        <w:pStyle w:val="3"/>
        <w:rPr>
          <w:color w:val="auto"/>
          <w:highlight w:val="none"/>
        </w:rPr>
      </w:pPr>
    </w:p>
    <w:p w14:paraId="594096E4">
      <w:pPr>
        <w:pStyle w:val="4"/>
        <w:rPr>
          <w:color w:val="auto"/>
          <w:highlight w:val="none"/>
        </w:rPr>
      </w:pPr>
    </w:p>
    <w:p w14:paraId="185F5279">
      <w:pPr>
        <w:rPr>
          <w:color w:val="auto"/>
          <w:highlight w:val="none"/>
        </w:rPr>
      </w:pPr>
    </w:p>
    <w:p w14:paraId="6E55160E">
      <w:pPr>
        <w:pStyle w:val="2"/>
        <w:rPr>
          <w:color w:val="auto"/>
          <w:highlight w:val="none"/>
        </w:rPr>
      </w:pPr>
    </w:p>
    <w:p w14:paraId="0E0ED6F3">
      <w:pPr>
        <w:pStyle w:val="3"/>
        <w:rPr>
          <w:color w:val="auto"/>
          <w:highlight w:val="none"/>
        </w:rPr>
      </w:pPr>
    </w:p>
    <w:p w14:paraId="44243FF9">
      <w:pPr>
        <w:pStyle w:val="4"/>
        <w:rPr>
          <w:color w:val="auto"/>
          <w:highlight w:val="none"/>
        </w:rPr>
      </w:pPr>
    </w:p>
    <w:p w14:paraId="5CE14852">
      <w:pPr>
        <w:rPr>
          <w:color w:val="auto"/>
          <w:highlight w:val="none"/>
        </w:rPr>
      </w:pPr>
    </w:p>
    <w:p w14:paraId="17C1DFAB">
      <w:pPr>
        <w:pStyle w:val="2"/>
        <w:rPr>
          <w:color w:val="auto"/>
          <w:highlight w:val="none"/>
        </w:rPr>
      </w:pPr>
    </w:p>
    <w:p w14:paraId="06413B06">
      <w:pPr>
        <w:pStyle w:val="3"/>
        <w:rPr>
          <w:color w:val="auto"/>
          <w:highlight w:val="none"/>
        </w:rPr>
      </w:pPr>
    </w:p>
    <w:p w14:paraId="54E5B75D">
      <w:pPr>
        <w:pStyle w:val="4"/>
        <w:rPr>
          <w:color w:val="auto"/>
          <w:highlight w:val="none"/>
        </w:rPr>
      </w:pPr>
    </w:p>
    <w:p w14:paraId="41F36D08">
      <w:pPr>
        <w:rPr>
          <w:color w:val="auto"/>
          <w:highlight w:val="none"/>
        </w:rPr>
      </w:pPr>
    </w:p>
    <w:p w14:paraId="6EC9EB5F">
      <w:pPr>
        <w:pStyle w:val="2"/>
        <w:rPr>
          <w:color w:val="auto"/>
          <w:highlight w:val="none"/>
        </w:rPr>
      </w:pPr>
    </w:p>
    <w:p w14:paraId="3FFF2295">
      <w:pPr>
        <w:pStyle w:val="3"/>
        <w:rPr>
          <w:color w:val="auto"/>
          <w:highlight w:val="none"/>
        </w:rPr>
      </w:pPr>
    </w:p>
    <w:p w14:paraId="346AC5F1">
      <w:pPr>
        <w:pStyle w:val="4"/>
        <w:rPr>
          <w:color w:val="auto"/>
          <w:highlight w:val="none"/>
        </w:rPr>
      </w:pPr>
    </w:p>
    <w:p w14:paraId="6D7FEA8A">
      <w:pPr>
        <w:rPr>
          <w:color w:val="auto"/>
          <w:highlight w:val="none"/>
        </w:rPr>
      </w:pPr>
    </w:p>
    <w:p w14:paraId="081E26A3">
      <w:pPr>
        <w:pStyle w:val="3"/>
        <w:rPr>
          <w:color w:val="auto"/>
          <w:highlight w:val="none"/>
        </w:rPr>
      </w:pPr>
    </w:p>
    <w:sectPr>
      <w:headerReference r:id="rId10" w:type="first"/>
      <w:footerReference r:id="rId13" w:type="first"/>
      <w:headerReference r:id="rId9" w:type="default"/>
      <w:footerReference r:id="rId11" w:type="default"/>
      <w:footerReference r:id="rId12" w:type="even"/>
      <w:pgSz w:w="11906" w:h="16838"/>
      <w:pgMar w:top="1020" w:right="1247" w:bottom="1020" w:left="1247" w:header="851" w:footer="907"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Helvetica">
    <w:altName w:val="Arial"/>
    <w:panose1 w:val="020B0604020202020204"/>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Arial Unicode MS">
    <w:altName w:val="宋体"/>
    <w:panose1 w:val="020B0604020202020204"/>
    <w:charset w:val="86"/>
    <w:family w:val="swiss"/>
    <w:pitch w:val="default"/>
    <w:sig w:usb0="00000000" w:usb1="00000000" w:usb2="0000003F" w:usb3="00000000" w:csb0="603F01FF" w:csb1="FFFF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958D0">
    <w:pPr>
      <w:pStyle w:val="3"/>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86A716">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886A716">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8E2E73">
    <w:pPr>
      <w:pStyle w:val="3"/>
      <w:jc w:val="center"/>
      <w:rPr>
        <w:rFonts w:ascii="宋体" w:hAnsi="宋体" w:cs="宋体"/>
      </w:rPr>
    </w:pPr>
    <w:r>
      <w:rPr>
        <w:rFonts w:hint="eastAsia" w:ascii="宋体" w:hAnsi="宋体" w:cs="宋体"/>
      </w:rPr>
      <w:t xml:space="preserve">                                                                          东阳市鑫盛工程咨询有限公司</w:t>
    </w:r>
    <w:r>
      <w:rPr>
        <w:rFonts w:ascii="宋体" w:hAnsi="宋体" w:cs="宋体"/>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DF79D69">
                          <w:pPr>
                            <w:pStyle w:val="3"/>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1DF79D69">
                    <w:pPr>
                      <w:pStyle w:val="3"/>
                    </w:pPr>
                    <w:r>
                      <w:fldChar w:fldCharType="begin"/>
                    </w:r>
                    <w:r>
                      <w:instrText xml:space="preserve"> PAGE  \* MERGEFORMAT </w:instrText>
                    </w:r>
                    <w:r>
                      <w:fldChar w:fldCharType="separate"/>
                    </w:r>
                    <w:r>
                      <w:t>14</w:t>
                    </w:r>
                    <w:r>
                      <w:fldChar w:fldCharType="end"/>
                    </w:r>
                  </w:p>
                </w:txbxContent>
              </v:textbox>
            </v:shape>
          </w:pict>
        </mc:Fallback>
      </mc:AlternateContent>
    </w:r>
  </w:p>
  <w:p w14:paraId="1014444C">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8655D">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2E1D97C">
                          <w:pPr>
                            <w:pStyle w:val="3"/>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52E1D97C">
                    <w:pPr>
                      <w:pStyle w:val="3"/>
                    </w:pPr>
                    <w:r>
                      <w:fldChar w:fldCharType="begin"/>
                    </w:r>
                    <w:r>
                      <w:instrText xml:space="preserve"> PAGE  \* MERGEFORMAT </w:instrText>
                    </w:r>
                    <w:r>
                      <w:fldChar w:fldCharType="separate"/>
                    </w:r>
                    <w:r>
                      <w:t>16</w:t>
                    </w:r>
                    <w:r>
                      <w:fldChar w:fldCharType="end"/>
                    </w:r>
                  </w:p>
                </w:txbxContent>
              </v:textbox>
            </v:shape>
          </w:pict>
        </mc:Fallback>
      </mc:AlternateContent>
    </w:r>
    <w:r>
      <w:rPr>
        <w:rFonts w:hint="eastAsia" w:ascii="仿宋_GB2312" w:eastAsia="仿宋_GB2312"/>
        <w:kern w:val="0"/>
      </w:rPr>
      <w:t xml:space="preserve">1                                                               </w:t>
    </w:r>
    <w:r>
      <w:rPr>
        <w:rFonts w:hint="eastAsia" w:ascii="宋体" w:hAnsi="宋体" w:cs="宋体"/>
        <w:kern w:val="0"/>
        <w:sz w:val="18"/>
        <w:szCs w:val="21"/>
      </w:rPr>
      <w:t>东阳市鑫盛工程咨询有限公司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2BAD0">
    <w:pPr>
      <w:pStyle w:val="3"/>
      <w:ind w:firstLine="4320" w:firstLineChars="2400"/>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164BDC3">
                          <w:pPr>
                            <w:pStyle w:val="3"/>
                          </w:pPr>
                          <w:r>
                            <w:fldChar w:fldCharType="begin"/>
                          </w:r>
                          <w:r>
                            <w:instrText xml:space="preserve"> PAGE  \* MERGEFORMAT </w:instrText>
                          </w:r>
                          <w:r>
                            <w:fldChar w:fldCharType="separate"/>
                          </w:r>
                          <w:r>
                            <w:t>93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7164BDC3">
                    <w:pPr>
                      <w:pStyle w:val="3"/>
                    </w:pPr>
                    <w:r>
                      <w:fldChar w:fldCharType="begin"/>
                    </w:r>
                    <w:r>
                      <w:instrText xml:space="preserve"> PAGE  \* MERGEFORMAT </w:instrText>
                    </w:r>
                    <w:r>
                      <w:fldChar w:fldCharType="separate"/>
                    </w:r>
                    <w:r>
                      <w:t>93</w:t>
                    </w:r>
                    <w:r>
                      <w:fldChar w:fldCharType="end"/>
                    </w:r>
                  </w:p>
                </w:txbxContent>
              </v:textbox>
            </v:shape>
          </w:pict>
        </mc:Fallback>
      </mc:AlternateContent>
    </w:r>
    <w:r>
      <w:rPr>
        <w:rFonts w:hint="eastAsia"/>
      </w:rPr>
      <w:t xml:space="preserve">  </w:t>
    </w:r>
    <w:r>
      <w:t xml:space="preserve">   </w:t>
    </w:r>
    <w:r>
      <w:rPr>
        <w:rFonts w:hint="eastAsia"/>
      </w:rPr>
      <w:t xml:space="preserve">                                                                              东阳市鑫盛工程咨询有限公司</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CA6A01">
    <w:pPr>
      <w:pStyle w:val="3"/>
      <w:framePr w:wrap="around" w:vAnchor="text" w:hAnchor="margin" w:xAlign="center" w:y="1"/>
      <w:rPr>
        <w:rStyle w:val="27"/>
      </w:rPr>
    </w:pPr>
    <w:r>
      <w:fldChar w:fldCharType="begin"/>
    </w:r>
    <w:r>
      <w:rPr>
        <w:rStyle w:val="27"/>
      </w:rPr>
      <w:instrText xml:space="preserve">PAGE  </w:instrText>
    </w:r>
    <w:r>
      <w:fldChar w:fldCharType="end"/>
    </w:r>
  </w:p>
  <w:p w14:paraId="21CAA205">
    <w:pPr>
      <w:pStyle w:val="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4D4B5">
    <w:pPr>
      <w:pStyle w:val="3"/>
      <w:jc w:val="center"/>
      <w:rPr>
        <w:rFonts w:ascii="宋体" w:hAnsi="宋体" w:cs="宋体"/>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436678E">
                          <w:pPr>
                            <w:pStyle w:val="3"/>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2436678E">
                    <w:pPr>
                      <w:pStyle w:val="3"/>
                    </w:pPr>
                    <w:r>
                      <w:fldChar w:fldCharType="begin"/>
                    </w:r>
                    <w:r>
                      <w:instrText xml:space="preserve"> PAGE  \* MERGEFORMAT </w:instrText>
                    </w:r>
                    <w:r>
                      <w:fldChar w:fldCharType="separate"/>
                    </w:r>
                    <w:r>
                      <w:t>59</w:t>
                    </w:r>
                    <w:r>
                      <w:fldChar w:fldCharType="end"/>
                    </w:r>
                  </w:p>
                </w:txbxContent>
              </v:textbox>
            </v:shape>
          </w:pict>
        </mc:Fallback>
      </mc:AlternateContent>
    </w:r>
    <w:r>
      <w:rPr>
        <w:rFonts w:hint="eastAsia" w:ascii="宋体" w:hAnsi="宋体" w:cs="宋体"/>
        <w:sz w:val="21"/>
        <w:szCs w:val="21"/>
      </w:rPr>
      <w:t xml:space="preserve">                                                                                           </w:t>
    </w:r>
    <w:r>
      <w:rPr>
        <w:rFonts w:hint="eastAsia" w:ascii="宋体" w:hAnsi="宋体" w:cs="宋体"/>
      </w:rPr>
      <w:t xml:space="preserve">                   东阳市鑫盛工程咨询有限公司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F62EA">
    <w:pPr>
      <w:pStyle w:val="20"/>
      <w:jc w:val="left"/>
      <w:rPr>
        <w:rFonts w:hint="eastAsia"/>
        <w:lang w:eastAsia="zh-CN"/>
      </w:rPr>
    </w:pPr>
    <w:r>
      <w:rPr>
        <w:rFonts w:hint="eastAsia"/>
        <w:lang w:eastAsia="zh-CN"/>
      </w:rPr>
      <w:t>浙江东阳经济开发区城市分批次建设项目土地报批技术服务项目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D9718">
    <w:pPr>
      <w:pStyle w:val="20"/>
      <w:jc w:val="left"/>
      <w:rPr>
        <w:rFonts w:hint="eastAsia"/>
        <w:sz w:val="16"/>
        <w:szCs w:val="16"/>
        <w:lang w:eastAsia="zh-CN"/>
      </w:rPr>
    </w:pPr>
    <w:r>
      <w:rPr>
        <w:rFonts w:hint="eastAsia"/>
        <w:sz w:val="16"/>
        <w:szCs w:val="16"/>
        <w:lang w:eastAsia="zh-CN"/>
      </w:rPr>
      <w:t>浙江东阳经济开发区城市分批次建设项目土地报批技术服务项目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C776D">
    <w:pPr>
      <w:pStyle w:val="20"/>
      <w:jc w:val="left"/>
      <w:rPr>
        <w:sz w:val="16"/>
        <w:szCs w:val="16"/>
      </w:rPr>
    </w:pPr>
    <w:r>
      <w:rPr>
        <w:rFonts w:hint="eastAsia"/>
        <w:sz w:val="16"/>
        <w:szCs w:val="16"/>
        <w:lang w:eastAsia="zh-CN"/>
      </w:rPr>
      <w:t>浙江东阳经济开发区城市分批次建设项目土地报批技术服务项目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9CD26">
    <w:pPr>
      <w:pStyle w:val="20"/>
      <w:jc w:val="left"/>
      <w:rPr>
        <w:rFonts w:hint="eastAsia"/>
        <w:lang w:eastAsia="zh-CN"/>
      </w:rPr>
    </w:pPr>
    <w:r>
      <w:rPr>
        <w:rFonts w:hint="eastAsia"/>
        <w:sz w:val="16"/>
        <w:szCs w:val="16"/>
        <w:lang w:eastAsia="zh-CN"/>
      </w:rPr>
      <w:t>浙江东阳经济开发区城市分批次建设项目土地报批技术服务项目</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A281A">
    <w:pPr>
      <w:pStyle w:val="20"/>
      <w:jc w:val="left"/>
      <w:rPr>
        <w:rFonts w:hint="eastAsia"/>
        <w:lang w:eastAsia="zh-CN"/>
      </w:rPr>
    </w:pPr>
    <w:r>
      <w:rPr>
        <w:rFonts w:hint="eastAsia"/>
        <w:sz w:val="16"/>
        <w:szCs w:val="16"/>
        <w:lang w:eastAsia="zh-CN"/>
      </w:rPr>
      <w:t>浙江东阳经济开发区城市分批次建设项目土地报批技术服务项目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D025FC"/>
    <w:multiLevelType w:val="singleLevel"/>
    <w:tmpl w:val="C6D025FC"/>
    <w:lvl w:ilvl="0" w:tentative="0">
      <w:start w:val="1"/>
      <w:numFmt w:val="decimal"/>
      <w:lvlText w:val="%1."/>
      <w:lvlJc w:val="left"/>
      <w:pPr>
        <w:tabs>
          <w:tab w:val="left" w:pos="312"/>
        </w:tabs>
      </w:pPr>
    </w:lvl>
  </w:abstractNum>
  <w:abstractNum w:abstractNumId="1">
    <w:nsid w:val="FA5E8E8B"/>
    <w:multiLevelType w:val="singleLevel"/>
    <w:tmpl w:val="FA5E8E8B"/>
    <w:lvl w:ilvl="0" w:tentative="0">
      <w:start w:val="1"/>
      <w:numFmt w:val="chineseCounting"/>
      <w:suff w:val="nothing"/>
      <w:lvlText w:val="%1、"/>
      <w:lvlJc w:val="left"/>
      <w:rPr>
        <w:rFonts w:hint="eastAsia"/>
      </w:rPr>
    </w:lvl>
  </w:abstractNum>
  <w:abstractNum w:abstractNumId="2">
    <w:nsid w:val="0B3575E4"/>
    <w:multiLevelType w:val="singleLevel"/>
    <w:tmpl w:val="0B3575E4"/>
    <w:lvl w:ilvl="0" w:tentative="0">
      <w:start w:val="4"/>
      <w:numFmt w:val="chineseCounting"/>
      <w:suff w:val="nothing"/>
      <w:lvlText w:val="（%1）"/>
      <w:lvlJc w:val="left"/>
      <w:rPr>
        <w:rFonts w:hint="eastAsia"/>
      </w:rPr>
    </w:lvl>
  </w:abstractNum>
  <w:abstractNum w:abstractNumId="3">
    <w:nsid w:val="248712B5"/>
    <w:multiLevelType w:val="singleLevel"/>
    <w:tmpl w:val="248712B5"/>
    <w:lvl w:ilvl="0" w:tentative="0">
      <w:start w:val="3"/>
      <w:numFmt w:val="decimal"/>
      <w:lvlText w:val="%1."/>
      <w:lvlJc w:val="left"/>
      <w:pPr>
        <w:tabs>
          <w:tab w:val="left" w:pos="312"/>
        </w:tabs>
      </w:pPr>
    </w:lvl>
  </w:abstractNum>
  <w:abstractNum w:abstractNumId="4">
    <w:nsid w:val="5D410D0D"/>
    <w:multiLevelType w:val="singleLevel"/>
    <w:tmpl w:val="5D410D0D"/>
    <w:lvl w:ilvl="0" w:tentative="0">
      <w:start w:val="5"/>
      <w:numFmt w:val="chineseCounting"/>
      <w:suff w:val="space"/>
      <w:lvlText w:val="第%1章"/>
      <w:lvlJc w:val="left"/>
      <w:rPr>
        <w:rFonts w:hint="eastAsia"/>
      </w:rPr>
    </w:lvl>
  </w:abstractNum>
  <w:abstractNum w:abstractNumId="5">
    <w:nsid w:val="612C0E64"/>
    <w:multiLevelType w:val="multilevel"/>
    <w:tmpl w:val="612C0E64"/>
    <w:lvl w:ilvl="0" w:tentative="0">
      <w:start w:val="1"/>
      <w:numFmt w:val="decimal"/>
      <w:lvlText w:val="%1."/>
      <w:lvlJc w:val="left"/>
      <w:pPr>
        <w:tabs>
          <w:tab w:val="left" w:pos="1244"/>
        </w:tabs>
        <w:ind w:left="1244" w:hanging="420"/>
      </w:pPr>
      <w:rPr>
        <w:rFonts w:hint="eastAsia"/>
      </w:rPr>
    </w:lvl>
    <w:lvl w:ilvl="1" w:tentative="0">
      <w:start w:val="1"/>
      <w:numFmt w:val="lowerLetter"/>
      <w:lvlText w:val="%2)"/>
      <w:lvlJc w:val="left"/>
      <w:pPr>
        <w:tabs>
          <w:tab w:val="left" w:pos="824"/>
        </w:tabs>
        <w:ind w:left="824" w:hanging="420"/>
      </w:pPr>
    </w:lvl>
    <w:lvl w:ilvl="2" w:tentative="0">
      <w:start w:val="1"/>
      <w:numFmt w:val="lowerRoman"/>
      <w:lvlText w:val="%3."/>
      <w:lvlJc w:val="right"/>
      <w:pPr>
        <w:tabs>
          <w:tab w:val="left" w:pos="1244"/>
        </w:tabs>
        <w:ind w:left="1244" w:hanging="420"/>
      </w:pPr>
    </w:lvl>
    <w:lvl w:ilvl="3" w:tentative="0">
      <w:start w:val="1"/>
      <w:numFmt w:val="decimal"/>
      <w:lvlText w:val="%4."/>
      <w:lvlJc w:val="left"/>
      <w:pPr>
        <w:tabs>
          <w:tab w:val="left" w:pos="1664"/>
        </w:tabs>
        <w:ind w:left="1664" w:hanging="420"/>
      </w:pPr>
    </w:lvl>
    <w:lvl w:ilvl="4" w:tentative="0">
      <w:start w:val="1"/>
      <w:numFmt w:val="lowerLetter"/>
      <w:lvlText w:val="%5)"/>
      <w:lvlJc w:val="left"/>
      <w:pPr>
        <w:tabs>
          <w:tab w:val="left" w:pos="2084"/>
        </w:tabs>
        <w:ind w:left="2084" w:hanging="420"/>
      </w:pPr>
    </w:lvl>
    <w:lvl w:ilvl="5" w:tentative="0">
      <w:start w:val="1"/>
      <w:numFmt w:val="lowerRoman"/>
      <w:lvlText w:val="%6."/>
      <w:lvlJc w:val="right"/>
      <w:pPr>
        <w:tabs>
          <w:tab w:val="left" w:pos="2504"/>
        </w:tabs>
        <w:ind w:left="2504" w:hanging="420"/>
      </w:pPr>
    </w:lvl>
    <w:lvl w:ilvl="6" w:tentative="0">
      <w:start w:val="1"/>
      <w:numFmt w:val="decimal"/>
      <w:lvlText w:val="%7."/>
      <w:lvlJc w:val="left"/>
      <w:pPr>
        <w:tabs>
          <w:tab w:val="left" w:pos="2924"/>
        </w:tabs>
        <w:ind w:left="2924" w:hanging="420"/>
      </w:pPr>
    </w:lvl>
    <w:lvl w:ilvl="7" w:tentative="0">
      <w:start w:val="1"/>
      <w:numFmt w:val="lowerLetter"/>
      <w:lvlText w:val="%8)"/>
      <w:lvlJc w:val="left"/>
      <w:pPr>
        <w:tabs>
          <w:tab w:val="left" w:pos="3344"/>
        </w:tabs>
        <w:ind w:left="3344" w:hanging="420"/>
      </w:pPr>
    </w:lvl>
    <w:lvl w:ilvl="8" w:tentative="0">
      <w:start w:val="1"/>
      <w:numFmt w:val="lowerRoman"/>
      <w:lvlText w:val="%9."/>
      <w:lvlJc w:val="right"/>
      <w:pPr>
        <w:tabs>
          <w:tab w:val="left" w:pos="3764"/>
        </w:tabs>
        <w:ind w:left="3764" w:hanging="420"/>
      </w:pPr>
    </w:lvl>
  </w:abstractNum>
  <w:abstractNum w:abstractNumId="6">
    <w:nsid w:val="61ADA8C3"/>
    <w:multiLevelType w:val="singleLevel"/>
    <w:tmpl w:val="61ADA8C3"/>
    <w:lvl w:ilvl="0" w:tentative="0">
      <w:start w:val="5"/>
      <w:numFmt w:val="chineseCounting"/>
      <w:suff w:val="nothing"/>
      <w:lvlText w:val="%1、"/>
      <w:lvlJc w:val="left"/>
    </w:lvl>
  </w:abstractNum>
  <w:abstractNum w:abstractNumId="7">
    <w:nsid w:val="685F539A"/>
    <w:multiLevelType w:val="multilevel"/>
    <w:tmpl w:val="685F539A"/>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6AC6957A"/>
    <w:multiLevelType w:val="singleLevel"/>
    <w:tmpl w:val="6AC6957A"/>
    <w:lvl w:ilvl="0" w:tentative="0">
      <w:start w:val="2"/>
      <w:numFmt w:val="decimal"/>
      <w:suff w:val="nothing"/>
      <w:lvlText w:val="%1、"/>
      <w:lvlJc w:val="left"/>
    </w:lvl>
  </w:abstractNum>
  <w:abstractNum w:abstractNumId="9">
    <w:nsid w:val="7E234718"/>
    <w:multiLevelType w:val="multilevel"/>
    <w:tmpl w:val="7E234718"/>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6"/>
  </w:num>
  <w:num w:numId="3">
    <w:abstractNumId w:val="9"/>
  </w:num>
  <w:num w:numId="4">
    <w:abstractNumId w:val="3"/>
  </w:num>
  <w:num w:numId="5">
    <w:abstractNumId w:val="0"/>
  </w:num>
  <w:num w:numId="6">
    <w:abstractNumId w:val="2"/>
  </w:num>
  <w:num w:numId="7">
    <w:abstractNumId w:val="4"/>
  </w:num>
  <w:num w:numId="8">
    <w:abstractNumId w:val="8"/>
  </w:num>
  <w:num w:numId="9">
    <w:abstractNumId w:val="5"/>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dlNDlkZmRhNTE5OGUxZDJlNWYzNmZmZTE5NmE4NjcifQ=="/>
    <w:docVar w:name="KSO_WPS_MARK_KEY" w:val="9eb70614-34d1-49b0-92d5-e6bc695ecbe6"/>
  </w:docVars>
  <w:rsids>
    <w:rsidRoot w:val="22CE71A1"/>
    <w:rsid w:val="000B14A2"/>
    <w:rsid w:val="00292D05"/>
    <w:rsid w:val="004A321C"/>
    <w:rsid w:val="005E00C3"/>
    <w:rsid w:val="007E4CA5"/>
    <w:rsid w:val="009B491B"/>
    <w:rsid w:val="00D1237D"/>
    <w:rsid w:val="00E7430F"/>
    <w:rsid w:val="0100241C"/>
    <w:rsid w:val="010048A1"/>
    <w:rsid w:val="010A478A"/>
    <w:rsid w:val="01176E27"/>
    <w:rsid w:val="014C11D0"/>
    <w:rsid w:val="015155C3"/>
    <w:rsid w:val="01AC7ED6"/>
    <w:rsid w:val="01C56466"/>
    <w:rsid w:val="01E53BA7"/>
    <w:rsid w:val="02225B04"/>
    <w:rsid w:val="02326B40"/>
    <w:rsid w:val="02380BEE"/>
    <w:rsid w:val="025657AD"/>
    <w:rsid w:val="025D263D"/>
    <w:rsid w:val="0286044B"/>
    <w:rsid w:val="028C16CD"/>
    <w:rsid w:val="028E1825"/>
    <w:rsid w:val="02D109A1"/>
    <w:rsid w:val="030C4CA2"/>
    <w:rsid w:val="031422ED"/>
    <w:rsid w:val="03202CAB"/>
    <w:rsid w:val="03483A8A"/>
    <w:rsid w:val="03492604"/>
    <w:rsid w:val="037D2A0B"/>
    <w:rsid w:val="03987D91"/>
    <w:rsid w:val="039F44C1"/>
    <w:rsid w:val="03A63E0F"/>
    <w:rsid w:val="04182E50"/>
    <w:rsid w:val="045F1833"/>
    <w:rsid w:val="046F58A8"/>
    <w:rsid w:val="047F5CD5"/>
    <w:rsid w:val="04A66578"/>
    <w:rsid w:val="04BA6D01"/>
    <w:rsid w:val="04E83035"/>
    <w:rsid w:val="05917228"/>
    <w:rsid w:val="05CC64B2"/>
    <w:rsid w:val="05F477B7"/>
    <w:rsid w:val="060A3685"/>
    <w:rsid w:val="06345BBB"/>
    <w:rsid w:val="063A78C0"/>
    <w:rsid w:val="06495B29"/>
    <w:rsid w:val="066D7A77"/>
    <w:rsid w:val="068153A2"/>
    <w:rsid w:val="06BA754B"/>
    <w:rsid w:val="07533B82"/>
    <w:rsid w:val="07560EBE"/>
    <w:rsid w:val="07876842"/>
    <w:rsid w:val="079B1123"/>
    <w:rsid w:val="086504F8"/>
    <w:rsid w:val="086E1AA3"/>
    <w:rsid w:val="08A2799E"/>
    <w:rsid w:val="08B03E69"/>
    <w:rsid w:val="08B20D9E"/>
    <w:rsid w:val="08DD20F9"/>
    <w:rsid w:val="08E056F9"/>
    <w:rsid w:val="094445B2"/>
    <w:rsid w:val="09477125"/>
    <w:rsid w:val="095133ED"/>
    <w:rsid w:val="09585F1B"/>
    <w:rsid w:val="099635A0"/>
    <w:rsid w:val="09EB0BF7"/>
    <w:rsid w:val="0A254FE5"/>
    <w:rsid w:val="0A681BFC"/>
    <w:rsid w:val="0A6B239D"/>
    <w:rsid w:val="0AE26331"/>
    <w:rsid w:val="0B0C7351"/>
    <w:rsid w:val="0B3C6D9B"/>
    <w:rsid w:val="0B4C2E55"/>
    <w:rsid w:val="0B5C5227"/>
    <w:rsid w:val="0B5E5C75"/>
    <w:rsid w:val="0B641591"/>
    <w:rsid w:val="0B8B471A"/>
    <w:rsid w:val="0BE81B6C"/>
    <w:rsid w:val="0C116467"/>
    <w:rsid w:val="0C1F6C92"/>
    <w:rsid w:val="0C2B3D1C"/>
    <w:rsid w:val="0C834A9C"/>
    <w:rsid w:val="0C8C4543"/>
    <w:rsid w:val="0CA103A6"/>
    <w:rsid w:val="0CAF09DF"/>
    <w:rsid w:val="0CB8387E"/>
    <w:rsid w:val="0CD0098A"/>
    <w:rsid w:val="0CF84031"/>
    <w:rsid w:val="0D020A84"/>
    <w:rsid w:val="0D977056"/>
    <w:rsid w:val="0DEB6ED6"/>
    <w:rsid w:val="0DF32803"/>
    <w:rsid w:val="0E323DC6"/>
    <w:rsid w:val="0E377FC1"/>
    <w:rsid w:val="0E51617F"/>
    <w:rsid w:val="0E607705"/>
    <w:rsid w:val="0ED847AC"/>
    <w:rsid w:val="0EEA4E34"/>
    <w:rsid w:val="0F274759"/>
    <w:rsid w:val="0F56112B"/>
    <w:rsid w:val="0F863805"/>
    <w:rsid w:val="0FAF11DF"/>
    <w:rsid w:val="0FBC3357"/>
    <w:rsid w:val="0FBE12F4"/>
    <w:rsid w:val="0FFA1E6E"/>
    <w:rsid w:val="0FFF6F7A"/>
    <w:rsid w:val="1092045D"/>
    <w:rsid w:val="109D2B29"/>
    <w:rsid w:val="10B64996"/>
    <w:rsid w:val="10EA0134"/>
    <w:rsid w:val="10FD0454"/>
    <w:rsid w:val="11596691"/>
    <w:rsid w:val="11772344"/>
    <w:rsid w:val="11967974"/>
    <w:rsid w:val="11AC710A"/>
    <w:rsid w:val="11C823E8"/>
    <w:rsid w:val="11F363D9"/>
    <w:rsid w:val="12672813"/>
    <w:rsid w:val="126A7BDA"/>
    <w:rsid w:val="12755990"/>
    <w:rsid w:val="12940635"/>
    <w:rsid w:val="1295698D"/>
    <w:rsid w:val="12BE7183"/>
    <w:rsid w:val="12DE553C"/>
    <w:rsid w:val="12F9443C"/>
    <w:rsid w:val="130C48FD"/>
    <w:rsid w:val="130E55B9"/>
    <w:rsid w:val="13165211"/>
    <w:rsid w:val="133B68BE"/>
    <w:rsid w:val="136E0A98"/>
    <w:rsid w:val="13724978"/>
    <w:rsid w:val="13AA52FD"/>
    <w:rsid w:val="13D85238"/>
    <w:rsid w:val="13EF0E30"/>
    <w:rsid w:val="14017B2E"/>
    <w:rsid w:val="1411212C"/>
    <w:rsid w:val="143F42F3"/>
    <w:rsid w:val="148F485D"/>
    <w:rsid w:val="14994DC4"/>
    <w:rsid w:val="14D25167"/>
    <w:rsid w:val="150C0679"/>
    <w:rsid w:val="157B57FF"/>
    <w:rsid w:val="1594241D"/>
    <w:rsid w:val="15B4486D"/>
    <w:rsid w:val="15C23106"/>
    <w:rsid w:val="160475A2"/>
    <w:rsid w:val="1625472E"/>
    <w:rsid w:val="16683AEA"/>
    <w:rsid w:val="169A3A63"/>
    <w:rsid w:val="169F0C1D"/>
    <w:rsid w:val="16AF2654"/>
    <w:rsid w:val="16CE6CA5"/>
    <w:rsid w:val="17000E9D"/>
    <w:rsid w:val="17251876"/>
    <w:rsid w:val="174A7092"/>
    <w:rsid w:val="177B05D7"/>
    <w:rsid w:val="177E6B21"/>
    <w:rsid w:val="17820677"/>
    <w:rsid w:val="179C6080"/>
    <w:rsid w:val="179E534A"/>
    <w:rsid w:val="17A70FA3"/>
    <w:rsid w:val="17AC38E0"/>
    <w:rsid w:val="17AF5662"/>
    <w:rsid w:val="17F2607C"/>
    <w:rsid w:val="17FB49D5"/>
    <w:rsid w:val="18111CA0"/>
    <w:rsid w:val="1867206B"/>
    <w:rsid w:val="187338A5"/>
    <w:rsid w:val="187471D8"/>
    <w:rsid w:val="18932F7E"/>
    <w:rsid w:val="18AD0F2F"/>
    <w:rsid w:val="18B708FC"/>
    <w:rsid w:val="18C70EAA"/>
    <w:rsid w:val="18D25736"/>
    <w:rsid w:val="18D9649C"/>
    <w:rsid w:val="18E414ED"/>
    <w:rsid w:val="191B0322"/>
    <w:rsid w:val="193F50B8"/>
    <w:rsid w:val="19A567FB"/>
    <w:rsid w:val="19C77265"/>
    <w:rsid w:val="19D63004"/>
    <w:rsid w:val="1A2C233D"/>
    <w:rsid w:val="1A4117E7"/>
    <w:rsid w:val="1A4E5290"/>
    <w:rsid w:val="1A564145"/>
    <w:rsid w:val="1A5A1A62"/>
    <w:rsid w:val="1A741074"/>
    <w:rsid w:val="1AB11222"/>
    <w:rsid w:val="1AC50F79"/>
    <w:rsid w:val="1AF220BF"/>
    <w:rsid w:val="1AF851FC"/>
    <w:rsid w:val="1AF90E3D"/>
    <w:rsid w:val="1B3E70B3"/>
    <w:rsid w:val="1B7A15FA"/>
    <w:rsid w:val="1BAA3C17"/>
    <w:rsid w:val="1BDE7276"/>
    <w:rsid w:val="1C0761B0"/>
    <w:rsid w:val="1C2633D9"/>
    <w:rsid w:val="1C3434EE"/>
    <w:rsid w:val="1C3E5CF4"/>
    <w:rsid w:val="1C715266"/>
    <w:rsid w:val="1D25699F"/>
    <w:rsid w:val="1D55243B"/>
    <w:rsid w:val="1D6F136F"/>
    <w:rsid w:val="1DB75B82"/>
    <w:rsid w:val="1DCE623E"/>
    <w:rsid w:val="1DD90004"/>
    <w:rsid w:val="1DDD5252"/>
    <w:rsid w:val="1DF04AAB"/>
    <w:rsid w:val="1DF05030"/>
    <w:rsid w:val="1E195BB5"/>
    <w:rsid w:val="1E4270A2"/>
    <w:rsid w:val="1E4C7D38"/>
    <w:rsid w:val="1E541DA9"/>
    <w:rsid w:val="1E951CA6"/>
    <w:rsid w:val="1EB904D1"/>
    <w:rsid w:val="1EC475AC"/>
    <w:rsid w:val="1EEB35B0"/>
    <w:rsid w:val="1EF7175C"/>
    <w:rsid w:val="1EF97F53"/>
    <w:rsid w:val="1F881244"/>
    <w:rsid w:val="1FC14756"/>
    <w:rsid w:val="201C628E"/>
    <w:rsid w:val="204F3B10"/>
    <w:rsid w:val="20831BA0"/>
    <w:rsid w:val="20996921"/>
    <w:rsid w:val="20BF38C4"/>
    <w:rsid w:val="21241640"/>
    <w:rsid w:val="212C5BFF"/>
    <w:rsid w:val="217D3987"/>
    <w:rsid w:val="21C50BBD"/>
    <w:rsid w:val="21D14552"/>
    <w:rsid w:val="21D544E9"/>
    <w:rsid w:val="226E2973"/>
    <w:rsid w:val="228D4F75"/>
    <w:rsid w:val="229D7F0B"/>
    <w:rsid w:val="22CE71A1"/>
    <w:rsid w:val="23070620"/>
    <w:rsid w:val="23275843"/>
    <w:rsid w:val="233D062B"/>
    <w:rsid w:val="23440F61"/>
    <w:rsid w:val="23706277"/>
    <w:rsid w:val="24107A5A"/>
    <w:rsid w:val="241A2687"/>
    <w:rsid w:val="2442344A"/>
    <w:rsid w:val="24540A05"/>
    <w:rsid w:val="245711E5"/>
    <w:rsid w:val="245E2BBB"/>
    <w:rsid w:val="246F2006"/>
    <w:rsid w:val="248F4E23"/>
    <w:rsid w:val="24917819"/>
    <w:rsid w:val="24D74E25"/>
    <w:rsid w:val="25146AE7"/>
    <w:rsid w:val="25224D78"/>
    <w:rsid w:val="254D49B1"/>
    <w:rsid w:val="256E67E6"/>
    <w:rsid w:val="259D1DA2"/>
    <w:rsid w:val="25A246E2"/>
    <w:rsid w:val="25CC204F"/>
    <w:rsid w:val="26255C1D"/>
    <w:rsid w:val="265B5FD7"/>
    <w:rsid w:val="268B161A"/>
    <w:rsid w:val="268D4433"/>
    <w:rsid w:val="2698220E"/>
    <w:rsid w:val="26AE2FAD"/>
    <w:rsid w:val="26C54B2C"/>
    <w:rsid w:val="26CA0394"/>
    <w:rsid w:val="26F22DDB"/>
    <w:rsid w:val="27167136"/>
    <w:rsid w:val="27170656"/>
    <w:rsid w:val="273A74E3"/>
    <w:rsid w:val="27870033"/>
    <w:rsid w:val="278C7AF8"/>
    <w:rsid w:val="27F136FF"/>
    <w:rsid w:val="27F6199E"/>
    <w:rsid w:val="2830513C"/>
    <w:rsid w:val="287C7213"/>
    <w:rsid w:val="289A5B44"/>
    <w:rsid w:val="28AD3ACA"/>
    <w:rsid w:val="28DC7F0B"/>
    <w:rsid w:val="28EB2280"/>
    <w:rsid w:val="29080D00"/>
    <w:rsid w:val="292C28FD"/>
    <w:rsid w:val="29671ECA"/>
    <w:rsid w:val="29736AC1"/>
    <w:rsid w:val="29755C72"/>
    <w:rsid w:val="29C7761A"/>
    <w:rsid w:val="29E21551"/>
    <w:rsid w:val="2A602560"/>
    <w:rsid w:val="2A9F3F97"/>
    <w:rsid w:val="2AE31BCA"/>
    <w:rsid w:val="2B033E75"/>
    <w:rsid w:val="2B0825F5"/>
    <w:rsid w:val="2B320D19"/>
    <w:rsid w:val="2B4D20BD"/>
    <w:rsid w:val="2B554F69"/>
    <w:rsid w:val="2B99711B"/>
    <w:rsid w:val="2C0E487F"/>
    <w:rsid w:val="2C195441"/>
    <w:rsid w:val="2C3857C8"/>
    <w:rsid w:val="2C3D6D4E"/>
    <w:rsid w:val="2CA92F00"/>
    <w:rsid w:val="2CAA4EB8"/>
    <w:rsid w:val="2CAD3317"/>
    <w:rsid w:val="2CE675AA"/>
    <w:rsid w:val="2D0965B8"/>
    <w:rsid w:val="2D6F524F"/>
    <w:rsid w:val="2D890814"/>
    <w:rsid w:val="2D99286E"/>
    <w:rsid w:val="2D9B75A3"/>
    <w:rsid w:val="2DD678F6"/>
    <w:rsid w:val="2DF40EEC"/>
    <w:rsid w:val="2E02359D"/>
    <w:rsid w:val="2E124C55"/>
    <w:rsid w:val="2E736DC3"/>
    <w:rsid w:val="2E7563DA"/>
    <w:rsid w:val="2E8D23D3"/>
    <w:rsid w:val="2F192107"/>
    <w:rsid w:val="2F2132E9"/>
    <w:rsid w:val="2F394E54"/>
    <w:rsid w:val="2F4A0D0C"/>
    <w:rsid w:val="2F4C1D49"/>
    <w:rsid w:val="2F7F0C0C"/>
    <w:rsid w:val="2FB33FAF"/>
    <w:rsid w:val="2FD63906"/>
    <w:rsid w:val="300A1092"/>
    <w:rsid w:val="305D7B83"/>
    <w:rsid w:val="30710C92"/>
    <w:rsid w:val="3071362F"/>
    <w:rsid w:val="30942F58"/>
    <w:rsid w:val="30C145B6"/>
    <w:rsid w:val="30F312A6"/>
    <w:rsid w:val="30F71917"/>
    <w:rsid w:val="30FD4EC2"/>
    <w:rsid w:val="313341CE"/>
    <w:rsid w:val="313B74D9"/>
    <w:rsid w:val="318E58E2"/>
    <w:rsid w:val="32214429"/>
    <w:rsid w:val="322A698F"/>
    <w:rsid w:val="323403AB"/>
    <w:rsid w:val="326827A3"/>
    <w:rsid w:val="326F3B9E"/>
    <w:rsid w:val="32AD7029"/>
    <w:rsid w:val="32EA187D"/>
    <w:rsid w:val="32FE389F"/>
    <w:rsid w:val="33134E41"/>
    <w:rsid w:val="331C1F78"/>
    <w:rsid w:val="334C4178"/>
    <w:rsid w:val="33923FE8"/>
    <w:rsid w:val="339E298D"/>
    <w:rsid w:val="34340270"/>
    <w:rsid w:val="34732F46"/>
    <w:rsid w:val="34AB0DFB"/>
    <w:rsid w:val="34B71D68"/>
    <w:rsid w:val="34BB7B89"/>
    <w:rsid w:val="34CC6F82"/>
    <w:rsid w:val="34F5482E"/>
    <w:rsid w:val="358839D7"/>
    <w:rsid w:val="35A222EB"/>
    <w:rsid w:val="35D9040D"/>
    <w:rsid w:val="36070CBD"/>
    <w:rsid w:val="36086404"/>
    <w:rsid w:val="36261829"/>
    <w:rsid w:val="362C24D2"/>
    <w:rsid w:val="363323F5"/>
    <w:rsid w:val="367B109D"/>
    <w:rsid w:val="367E3C73"/>
    <w:rsid w:val="36905FE1"/>
    <w:rsid w:val="36D36DF1"/>
    <w:rsid w:val="36E12307"/>
    <w:rsid w:val="37133692"/>
    <w:rsid w:val="371C0798"/>
    <w:rsid w:val="37441A9D"/>
    <w:rsid w:val="379245B6"/>
    <w:rsid w:val="37CC6DB0"/>
    <w:rsid w:val="37F20235"/>
    <w:rsid w:val="382532DF"/>
    <w:rsid w:val="382B51B3"/>
    <w:rsid w:val="38477715"/>
    <w:rsid w:val="38671772"/>
    <w:rsid w:val="388C7258"/>
    <w:rsid w:val="388F5AD6"/>
    <w:rsid w:val="38924B76"/>
    <w:rsid w:val="38E51657"/>
    <w:rsid w:val="39045B6D"/>
    <w:rsid w:val="39511289"/>
    <w:rsid w:val="39641F82"/>
    <w:rsid w:val="397A6020"/>
    <w:rsid w:val="39DC2EF6"/>
    <w:rsid w:val="39DC5FBD"/>
    <w:rsid w:val="39DF1586"/>
    <w:rsid w:val="39FF7C53"/>
    <w:rsid w:val="3A184F1A"/>
    <w:rsid w:val="3A637649"/>
    <w:rsid w:val="3A7C32FC"/>
    <w:rsid w:val="3A7E3D5E"/>
    <w:rsid w:val="3A8B1791"/>
    <w:rsid w:val="3A972F8C"/>
    <w:rsid w:val="3AF20D09"/>
    <w:rsid w:val="3AFD61EB"/>
    <w:rsid w:val="3B46297B"/>
    <w:rsid w:val="3B484AF6"/>
    <w:rsid w:val="3B6B7401"/>
    <w:rsid w:val="3B7B35B3"/>
    <w:rsid w:val="3BC94BB0"/>
    <w:rsid w:val="3BCE5995"/>
    <w:rsid w:val="3BD81477"/>
    <w:rsid w:val="3BE61375"/>
    <w:rsid w:val="3C327638"/>
    <w:rsid w:val="3C333E8E"/>
    <w:rsid w:val="3C4A35E1"/>
    <w:rsid w:val="3C64799E"/>
    <w:rsid w:val="3C716CB1"/>
    <w:rsid w:val="3C8446EA"/>
    <w:rsid w:val="3CAA4F7D"/>
    <w:rsid w:val="3CE9764C"/>
    <w:rsid w:val="3D0A1093"/>
    <w:rsid w:val="3D0C4E0B"/>
    <w:rsid w:val="3D3B03CD"/>
    <w:rsid w:val="3D687B67"/>
    <w:rsid w:val="3D7E5B0E"/>
    <w:rsid w:val="3DA55A8B"/>
    <w:rsid w:val="3DB04E22"/>
    <w:rsid w:val="3DC01751"/>
    <w:rsid w:val="3E3A3504"/>
    <w:rsid w:val="3E4C7A3A"/>
    <w:rsid w:val="3E774506"/>
    <w:rsid w:val="3E9108B3"/>
    <w:rsid w:val="3EA174E6"/>
    <w:rsid w:val="3EA64DEB"/>
    <w:rsid w:val="3EAB74D0"/>
    <w:rsid w:val="3EBB0897"/>
    <w:rsid w:val="3EE15DFE"/>
    <w:rsid w:val="3EE55913"/>
    <w:rsid w:val="3F1E5B35"/>
    <w:rsid w:val="3F4D0FE9"/>
    <w:rsid w:val="3F75170C"/>
    <w:rsid w:val="3F8213B4"/>
    <w:rsid w:val="3F834C62"/>
    <w:rsid w:val="3F9133A5"/>
    <w:rsid w:val="3FB84DD6"/>
    <w:rsid w:val="3FD61B66"/>
    <w:rsid w:val="3FD65519"/>
    <w:rsid w:val="3FF91DAD"/>
    <w:rsid w:val="4006436D"/>
    <w:rsid w:val="40183AC7"/>
    <w:rsid w:val="401C7F00"/>
    <w:rsid w:val="4024421A"/>
    <w:rsid w:val="40356F33"/>
    <w:rsid w:val="40385C80"/>
    <w:rsid w:val="40527233"/>
    <w:rsid w:val="40532D8A"/>
    <w:rsid w:val="406E10ED"/>
    <w:rsid w:val="40953369"/>
    <w:rsid w:val="40C32849"/>
    <w:rsid w:val="40C63523"/>
    <w:rsid w:val="40E340D5"/>
    <w:rsid w:val="40E8793D"/>
    <w:rsid w:val="411D0507"/>
    <w:rsid w:val="414D77A0"/>
    <w:rsid w:val="415549DD"/>
    <w:rsid w:val="41D8350E"/>
    <w:rsid w:val="42087DCE"/>
    <w:rsid w:val="42277FF1"/>
    <w:rsid w:val="423356C5"/>
    <w:rsid w:val="42571338"/>
    <w:rsid w:val="427F0906"/>
    <w:rsid w:val="42982D30"/>
    <w:rsid w:val="429D2840"/>
    <w:rsid w:val="42BE0955"/>
    <w:rsid w:val="42C341BE"/>
    <w:rsid w:val="42EA799C"/>
    <w:rsid w:val="42F9184C"/>
    <w:rsid w:val="433B05B1"/>
    <w:rsid w:val="4396542E"/>
    <w:rsid w:val="43A31847"/>
    <w:rsid w:val="43DA6864"/>
    <w:rsid w:val="43FD54AD"/>
    <w:rsid w:val="440E76BA"/>
    <w:rsid w:val="44235884"/>
    <w:rsid w:val="442E1B0B"/>
    <w:rsid w:val="44434366"/>
    <w:rsid w:val="44557097"/>
    <w:rsid w:val="44BD2C0D"/>
    <w:rsid w:val="451A3E3D"/>
    <w:rsid w:val="454809AA"/>
    <w:rsid w:val="45C77517"/>
    <w:rsid w:val="461F353F"/>
    <w:rsid w:val="462C207A"/>
    <w:rsid w:val="469D544E"/>
    <w:rsid w:val="46B84EDD"/>
    <w:rsid w:val="46C15250"/>
    <w:rsid w:val="46C211AA"/>
    <w:rsid w:val="46E569C6"/>
    <w:rsid w:val="47207130"/>
    <w:rsid w:val="473C708E"/>
    <w:rsid w:val="475D3E27"/>
    <w:rsid w:val="47C03621"/>
    <w:rsid w:val="47D44777"/>
    <w:rsid w:val="480E555C"/>
    <w:rsid w:val="4839282C"/>
    <w:rsid w:val="484941F0"/>
    <w:rsid w:val="4860425D"/>
    <w:rsid w:val="48831CF9"/>
    <w:rsid w:val="495F712F"/>
    <w:rsid w:val="49AD6E69"/>
    <w:rsid w:val="4A1D1B83"/>
    <w:rsid w:val="4A451F0D"/>
    <w:rsid w:val="4A4F27DB"/>
    <w:rsid w:val="4A630034"/>
    <w:rsid w:val="4A734D89"/>
    <w:rsid w:val="4A765773"/>
    <w:rsid w:val="4A841328"/>
    <w:rsid w:val="4A8B36FA"/>
    <w:rsid w:val="4A9B7B45"/>
    <w:rsid w:val="4AAA3DF6"/>
    <w:rsid w:val="4AB330F6"/>
    <w:rsid w:val="4AD827D0"/>
    <w:rsid w:val="4AF804DE"/>
    <w:rsid w:val="4B015F26"/>
    <w:rsid w:val="4BAC0BD3"/>
    <w:rsid w:val="4BB97548"/>
    <w:rsid w:val="4C0A0B5C"/>
    <w:rsid w:val="4C58271E"/>
    <w:rsid w:val="4C7D7030"/>
    <w:rsid w:val="4CCF550D"/>
    <w:rsid w:val="4CD3706D"/>
    <w:rsid w:val="4CDF23A3"/>
    <w:rsid w:val="4D0B7FC7"/>
    <w:rsid w:val="4D162F0A"/>
    <w:rsid w:val="4D1E654F"/>
    <w:rsid w:val="4D37496D"/>
    <w:rsid w:val="4D5C1590"/>
    <w:rsid w:val="4D6A3E48"/>
    <w:rsid w:val="4D73058E"/>
    <w:rsid w:val="4D861753"/>
    <w:rsid w:val="4D930C30"/>
    <w:rsid w:val="4E191038"/>
    <w:rsid w:val="4E4F1CA6"/>
    <w:rsid w:val="4EA92364"/>
    <w:rsid w:val="4F0516BA"/>
    <w:rsid w:val="4F502F66"/>
    <w:rsid w:val="4F7F321A"/>
    <w:rsid w:val="4FB945F5"/>
    <w:rsid w:val="4FC7192C"/>
    <w:rsid w:val="4FCC049B"/>
    <w:rsid w:val="4FCC3F86"/>
    <w:rsid w:val="4FEB08B0"/>
    <w:rsid w:val="506643DA"/>
    <w:rsid w:val="50C97FF9"/>
    <w:rsid w:val="50FB388D"/>
    <w:rsid w:val="512D7576"/>
    <w:rsid w:val="51D450E4"/>
    <w:rsid w:val="51FE61C3"/>
    <w:rsid w:val="51FF131A"/>
    <w:rsid w:val="52297E4E"/>
    <w:rsid w:val="5239232C"/>
    <w:rsid w:val="5244129E"/>
    <w:rsid w:val="528441FF"/>
    <w:rsid w:val="528539AE"/>
    <w:rsid w:val="52AB61A6"/>
    <w:rsid w:val="52EB5E34"/>
    <w:rsid w:val="52FE08FA"/>
    <w:rsid w:val="536B7291"/>
    <w:rsid w:val="53CB18B2"/>
    <w:rsid w:val="53CB3901"/>
    <w:rsid w:val="53E80FA0"/>
    <w:rsid w:val="53EE3CA2"/>
    <w:rsid w:val="53F046E7"/>
    <w:rsid w:val="542B51E8"/>
    <w:rsid w:val="54482775"/>
    <w:rsid w:val="5472334E"/>
    <w:rsid w:val="54837309"/>
    <w:rsid w:val="54882238"/>
    <w:rsid w:val="54972DB4"/>
    <w:rsid w:val="54B27DCE"/>
    <w:rsid w:val="54F77EBC"/>
    <w:rsid w:val="54FC1BD7"/>
    <w:rsid w:val="55BF6A67"/>
    <w:rsid w:val="55E44478"/>
    <w:rsid w:val="55FA17C1"/>
    <w:rsid w:val="56241CDA"/>
    <w:rsid w:val="565209AB"/>
    <w:rsid w:val="56545D1C"/>
    <w:rsid w:val="56660C90"/>
    <w:rsid w:val="568832FC"/>
    <w:rsid w:val="569A4AFE"/>
    <w:rsid w:val="56A44D7C"/>
    <w:rsid w:val="56B04601"/>
    <w:rsid w:val="57013744"/>
    <w:rsid w:val="5707708D"/>
    <w:rsid w:val="5721105B"/>
    <w:rsid w:val="57266F64"/>
    <w:rsid w:val="572B3C88"/>
    <w:rsid w:val="5730129E"/>
    <w:rsid w:val="57340D8E"/>
    <w:rsid w:val="57431BBE"/>
    <w:rsid w:val="576A2A02"/>
    <w:rsid w:val="57BE7047"/>
    <w:rsid w:val="57E461A9"/>
    <w:rsid w:val="57F449B9"/>
    <w:rsid w:val="583D6913"/>
    <w:rsid w:val="585C747F"/>
    <w:rsid w:val="587F6530"/>
    <w:rsid w:val="58852470"/>
    <w:rsid w:val="58CD73FE"/>
    <w:rsid w:val="58F92290"/>
    <w:rsid w:val="591E3396"/>
    <w:rsid w:val="595231AC"/>
    <w:rsid w:val="59527BF2"/>
    <w:rsid w:val="596D0588"/>
    <w:rsid w:val="597621D0"/>
    <w:rsid w:val="59CD5696"/>
    <w:rsid w:val="5A2E5F69"/>
    <w:rsid w:val="5A421A14"/>
    <w:rsid w:val="5A4237C2"/>
    <w:rsid w:val="5A9952C0"/>
    <w:rsid w:val="5ABF0594"/>
    <w:rsid w:val="5ACD4C24"/>
    <w:rsid w:val="5AD92808"/>
    <w:rsid w:val="5B24111A"/>
    <w:rsid w:val="5B48305A"/>
    <w:rsid w:val="5B5714EF"/>
    <w:rsid w:val="5B7E7B97"/>
    <w:rsid w:val="5B815756"/>
    <w:rsid w:val="5B9C5154"/>
    <w:rsid w:val="5BB128B9"/>
    <w:rsid w:val="5BF049B0"/>
    <w:rsid w:val="5BFA7826"/>
    <w:rsid w:val="5BFC4D5E"/>
    <w:rsid w:val="5C0841AA"/>
    <w:rsid w:val="5C2E5BDE"/>
    <w:rsid w:val="5C5B3495"/>
    <w:rsid w:val="5C5B3570"/>
    <w:rsid w:val="5C797006"/>
    <w:rsid w:val="5C8C62A8"/>
    <w:rsid w:val="5CA95708"/>
    <w:rsid w:val="5D35142F"/>
    <w:rsid w:val="5D596303"/>
    <w:rsid w:val="5D686AAA"/>
    <w:rsid w:val="5D8977E8"/>
    <w:rsid w:val="5DA64068"/>
    <w:rsid w:val="5DEA43FB"/>
    <w:rsid w:val="5DEF7499"/>
    <w:rsid w:val="5E0019CA"/>
    <w:rsid w:val="5E2B5266"/>
    <w:rsid w:val="5E536F5A"/>
    <w:rsid w:val="5E5A37D0"/>
    <w:rsid w:val="5E6F6669"/>
    <w:rsid w:val="5E7F4FE5"/>
    <w:rsid w:val="5E8A4ED0"/>
    <w:rsid w:val="5E941919"/>
    <w:rsid w:val="5F3A19DD"/>
    <w:rsid w:val="5F3F3DA7"/>
    <w:rsid w:val="5F9431B9"/>
    <w:rsid w:val="5FC829BC"/>
    <w:rsid w:val="5FCB425A"/>
    <w:rsid w:val="5FCF78A6"/>
    <w:rsid w:val="5FE96731"/>
    <w:rsid w:val="5FF7490A"/>
    <w:rsid w:val="60145C01"/>
    <w:rsid w:val="60285208"/>
    <w:rsid w:val="603E67DA"/>
    <w:rsid w:val="6045351B"/>
    <w:rsid w:val="605424A1"/>
    <w:rsid w:val="60597AB8"/>
    <w:rsid w:val="607C7302"/>
    <w:rsid w:val="60885CA7"/>
    <w:rsid w:val="609732E9"/>
    <w:rsid w:val="60996106"/>
    <w:rsid w:val="60FE54EA"/>
    <w:rsid w:val="611A0FF5"/>
    <w:rsid w:val="613F0E54"/>
    <w:rsid w:val="6162474A"/>
    <w:rsid w:val="6181445A"/>
    <w:rsid w:val="61A7716B"/>
    <w:rsid w:val="61AE5BE1"/>
    <w:rsid w:val="61E0345C"/>
    <w:rsid w:val="62061579"/>
    <w:rsid w:val="623D61CA"/>
    <w:rsid w:val="62D358FF"/>
    <w:rsid w:val="62ED6869"/>
    <w:rsid w:val="62EE66A6"/>
    <w:rsid w:val="62F53AC8"/>
    <w:rsid w:val="631B690C"/>
    <w:rsid w:val="63696264"/>
    <w:rsid w:val="63A614B8"/>
    <w:rsid w:val="63B44CE4"/>
    <w:rsid w:val="63CE6105"/>
    <w:rsid w:val="63DC1D65"/>
    <w:rsid w:val="643B745B"/>
    <w:rsid w:val="64414DA6"/>
    <w:rsid w:val="64563013"/>
    <w:rsid w:val="6457283E"/>
    <w:rsid w:val="6488096B"/>
    <w:rsid w:val="64C179D9"/>
    <w:rsid w:val="64D21465"/>
    <w:rsid w:val="65012DC1"/>
    <w:rsid w:val="650E642B"/>
    <w:rsid w:val="651E51CD"/>
    <w:rsid w:val="65297A59"/>
    <w:rsid w:val="6558033E"/>
    <w:rsid w:val="65695C4F"/>
    <w:rsid w:val="65841133"/>
    <w:rsid w:val="658E7B9D"/>
    <w:rsid w:val="65E65FB5"/>
    <w:rsid w:val="66466D76"/>
    <w:rsid w:val="66652149"/>
    <w:rsid w:val="667E6785"/>
    <w:rsid w:val="66B91CDA"/>
    <w:rsid w:val="66C7577B"/>
    <w:rsid w:val="66C814F3"/>
    <w:rsid w:val="66CC2CC9"/>
    <w:rsid w:val="66E10A89"/>
    <w:rsid w:val="670001AD"/>
    <w:rsid w:val="6712476F"/>
    <w:rsid w:val="673A29F1"/>
    <w:rsid w:val="678D417C"/>
    <w:rsid w:val="678D46C0"/>
    <w:rsid w:val="681C3839"/>
    <w:rsid w:val="68941085"/>
    <w:rsid w:val="68B878E7"/>
    <w:rsid w:val="68E74A33"/>
    <w:rsid w:val="68F84811"/>
    <w:rsid w:val="68FE744E"/>
    <w:rsid w:val="690507DD"/>
    <w:rsid w:val="692D7CF1"/>
    <w:rsid w:val="694A5049"/>
    <w:rsid w:val="69B0699A"/>
    <w:rsid w:val="69BD514B"/>
    <w:rsid w:val="69D87C9F"/>
    <w:rsid w:val="69DE39D7"/>
    <w:rsid w:val="69EA68DE"/>
    <w:rsid w:val="6A297041"/>
    <w:rsid w:val="6A2B7DCF"/>
    <w:rsid w:val="6A38073E"/>
    <w:rsid w:val="6A612134"/>
    <w:rsid w:val="6A822E28"/>
    <w:rsid w:val="6A953B9B"/>
    <w:rsid w:val="6A98507A"/>
    <w:rsid w:val="6A9B1BE3"/>
    <w:rsid w:val="6AC975E8"/>
    <w:rsid w:val="6B2B79C9"/>
    <w:rsid w:val="6B421F06"/>
    <w:rsid w:val="6B6636D5"/>
    <w:rsid w:val="6B9D0A1F"/>
    <w:rsid w:val="6B9D69A3"/>
    <w:rsid w:val="6BA545A9"/>
    <w:rsid w:val="6BBB33DE"/>
    <w:rsid w:val="6BD12BF8"/>
    <w:rsid w:val="6BD93EC5"/>
    <w:rsid w:val="6BDE76C7"/>
    <w:rsid w:val="6C0134DD"/>
    <w:rsid w:val="6C0F68C1"/>
    <w:rsid w:val="6C1D2EDA"/>
    <w:rsid w:val="6C423AF6"/>
    <w:rsid w:val="6C7756D0"/>
    <w:rsid w:val="6C8D48B2"/>
    <w:rsid w:val="6C8D5339"/>
    <w:rsid w:val="6C9C4FB4"/>
    <w:rsid w:val="6CAF0CC0"/>
    <w:rsid w:val="6CEF77DA"/>
    <w:rsid w:val="6CF2294A"/>
    <w:rsid w:val="6D09076D"/>
    <w:rsid w:val="6D4B4BC9"/>
    <w:rsid w:val="6D517045"/>
    <w:rsid w:val="6D6830E8"/>
    <w:rsid w:val="6D69549E"/>
    <w:rsid w:val="6D7823DF"/>
    <w:rsid w:val="6D785A21"/>
    <w:rsid w:val="6D9A7C54"/>
    <w:rsid w:val="6DDB5ED7"/>
    <w:rsid w:val="6DDD7F98"/>
    <w:rsid w:val="6DF8052E"/>
    <w:rsid w:val="6E090CEB"/>
    <w:rsid w:val="6E1A6AD8"/>
    <w:rsid w:val="6E2F0E6E"/>
    <w:rsid w:val="6EBA546C"/>
    <w:rsid w:val="6EEB7D76"/>
    <w:rsid w:val="6EFF6D4F"/>
    <w:rsid w:val="6F3230C2"/>
    <w:rsid w:val="6F482450"/>
    <w:rsid w:val="6F4B4A6F"/>
    <w:rsid w:val="6F587780"/>
    <w:rsid w:val="6F5B4B62"/>
    <w:rsid w:val="6F5B78D4"/>
    <w:rsid w:val="6FA83C70"/>
    <w:rsid w:val="6FC36713"/>
    <w:rsid w:val="700F3CEF"/>
    <w:rsid w:val="70240D88"/>
    <w:rsid w:val="7088334B"/>
    <w:rsid w:val="70AE1811"/>
    <w:rsid w:val="70BD7BEF"/>
    <w:rsid w:val="712B431E"/>
    <w:rsid w:val="71662887"/>
    <w:rsid w:val="717148A3"/>
    <w:rsid w:val="71954990"/>
    <w:rsid w:val="71995F66"/>
    <w:rsid w:val="719A487E"/>
    <w:rsid w:val="71CD5C10"/>
    <w:rsid w:val="72017C83"/>
    <w:rsid w:val="722C0B88"/>
    <w:rsid w:val="723C1C1E"/>
    <w:rsid w:val="723D0FE7"/>
    <w:rsid w:val="724F0D1A"/>
    <w:rsid w:val="725E2D0C"/>
    <w:rsid w:val="726519CA"/>
    <w:rsid w:val="729675CA"/>
    <w:rsid w:val="72B8066E"/>
    <w:rsid w:val="72F33BF6"/>
    <w:rsid w:val="72F9006C"/>
    <w:rsid w:val="72FB7879"/>
    <w:rsid w:val="730B44D4"/>
    <w:rsid w:val="733168E2"/>
    <w:rsid w:val="733E315C"/>
    <w:rsid w:val="738A200A"/>
    <w:rsid w:val="73B40A19"/>
    <w:rsid w:val="74373814"/>
    <w:rsid w:val="747E6855"/>
    <w:rsid w:val="74820793"/>
    <w:rsid w:val="74822CE1"/>
    <w:rsid w:val="74AC58B0"/>
    <w:rsid w:val="74AD434A"/>
    <w:rsid w:val="74B96F49"/>
    <w:rsid w:val="74D3353D"/>
    <w:rsid w:val="74D53759"/>
    <w:rsid w:val="74DF1EE2"/>
    <w:rsid w:val="751C24CC"/>
    <w:rsid w:val="751D0CB9"/>
    <w:rsid w:val="75274ED0"/>
    <w:rsid w:val="752C67A4"/>
    <w:rsid w:val="75344494"/>
    <w:rsid w:val="753C5586"/>
    <w:rsid w:val="755F74C6"/>
    <w:rsid w:val="75644ADD"/>
    <w:rsid w:val="756C079A"/>
    <w:rsid w:val="758666A6"/>
    <w:rsid w:val="758C1D32"/>
    <w:rsid w:val="75C40F31"/>
    <w:rsid w:val="75CB3DAA"/>
    <w:rsid w:val="75DE78F4"/>
    <w:rsid w:val="760B2304"/>
    <w:rsid w:val="76171CE3"/>
    <w:rsid w:val="76441316"/>
    <w:rsid w:val="7650794E"/>
    <w:rsid w:val="76AC2297"/>
    <w:rsid w:val="76C75323"/>
    <w:rsid w:val="76F0487A"/>
    <w:rsid w:val="76FF7B7E"/>
    <w:rsid w:val="771450F9"/>
    <w:rsid w:val="77437FDC"/>
    <w:rsid w:val="774670D8"/>
    <w:rsid w:val="774C2801"/>
    <w:rsid w:val="77B2085A"/>
    <w:rsid w:val="77CE7200"/>
    <w:rsid w:val="77D000DF"/>
    <w:rsid w:val="77D81DF8"/>
    <w:rsid w:val="781349B9"/>
    <w:rsid w:val="784C276C"/>
    <w:rsid w:val="78955F03"/>
    <w:rsid w:val="78A6788D"/>
    <w:rsid w:val="78D35A79"/>
    <w:rsid w:val="78DA7590"/>
    <w:rsid w:val="78E42141"/>
    <w:rsid w:val="79065900"/>
    <w:rsid w:val="79302D44"/>
    <w:rsid w:val="7931117A"/>
    <w:rsid w:val="794013E0"/>
    <w:rsid w:val="799671DA"/>
    <w:rsid w:val="79B6781E"/>
    <w:rsid w:val="7A276859"/>
    <w:rsid w:val="7A5924D4"/>
    <w:rsid w:val="7A672048"/>
    <w:rsid w:val="7A7256A0"/>
    <w:rsid w:val="7A962E82"/>
    <w:rsid w:val="7A9814B1"/>
    <w:rsid w:val="7ADB75EF"/>
    <w:rsid w:val="7AEA25F7"/>
    <w:rsid w:val="7B114DBF"/>
    <w:rsid w:val="7B160FC2"/>
    <w:rsid w:val="7B166879"/>
    <w:rsid w:val="7B2B5A53"/>
    <w:rsid w:val="7B5A1010"/>
    <w:rsid w:val="7B5C10FE"/>
    <w:rsid w:val="7B643141"/>
    <w:rsid w:val="7B914152"/>
    <w:rsid w:val="7BB01BFF"/>
    <w:rsid w:val="7BD227A0"/>
    <w:rsid w:val="7BDA660C"/>
    <w:rsid w:val="7C3A4157"/>
    <w:rsid w:val="7C8F0691"/>
    <w:rsid w:val="7CB61824"/>
    <w:rsid w:val="7D1978AF"/>
    <w:rsid w:val="7D4C3C39"/>
    <w:rsid w:val="7D675700"/>
    <w:rsid w:val="7D6865E6"/>
    <w:rsid w:val="7D774D25"/>
    <w:rsid w:val="7DC12ACC"/>
    <w:rsid w:val="7DED2C79"/>
    <w:rsid w:val="7DF9013F"/>
    <w:rsid w:val="7E1F3CD9"/>
    <w:rsid w:val="7E633B84"/>
    <w:rsid w:val="7E6831BC"/>
    <w:rsid w:val="7EA1645A"/>
    <w:rsid w:val="7EDD0403"/>
    <w:rsid w:val="7EE637D4"/>
    <w:rsid w:val="7F032C71"/>
    <w:rsid w:val="7F0C421B"/>
    <w:rsid w:val="7F1135E0"/>
    <w:rsid w:val="7F2F3679"/>
    <w:rsid w:val="7F7A3332"/>
    <w:rsid w:val="7F910CAE"/>
    <w:rsid w:val="7FAF583C"/>
    <w:rsid w:val="7FB3223F"/>
    <w:rsid w:val="7FD16CFA"/>
    <w:rsid w:val="7FE728A3"/>
    <w:rsid w:val="CFABDE82"/>
    <w:rsid w:val="DEE75E4A"/>
    <w:rsid w:val="FBEF62B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59"/>
    <w:autoRedefine/>
    <w:qFormat/>
    <w:uiPriority w:val="0"/>
    <w:pPr>
      <w:keepNext/>
      <w:keepLines/>
      <w:spacing w:before="340" w:after="330" w:line="578" w:lineRule="auto"/>
      <w:outlineLvl w:val="0"/>
    </w:pPr>
    <w:rPr>
      <w:b/>
      <w:bCs/>
      <w:kern w:val="44"/>
      <w:sz w:val="44"/>
      <w:szCs w:val="44"/>
    </w:rPr>
  </w:style>
  <w:style w:type="paragraph" w:styleId="6">
    <w:name w:val="heading 2"/>
    <w:basedOn w:val="1"/>
    <w:next w:val="1"/>
    <w:autoRedefine/>
    <w:qFormat/>
    <w:uiPriority w:val="9"/>
    <w:pPr>
      <w:keepNext/>
      <w:keepLines/>
      <w:spacing w:before="260" w:after="260" w:line="416" w:lineRule="auto"/>
      <w:outlineLvl w:val="1"/>
    </w:pPr>
    <w:rPr>
      <w:rFonts w:ascii="Arial" w:hAnsi="Arial" w:eastAsia="黑体"/>
      <w:b/>
      <w:bCs/>
      <w:sz w:val="32"/>
      <w:szCs w:val="32"/>
    </w:rPr>
  </w:style>
  <w:style w:type="character" w:default="1" w:styleId="26">
    <w:name w:val="Default Paragraph Font"/>
    <w:autoRedefine/>
    <w:semiHidden/>
    <w:unhideWhenUsed/>
    <w:qFormat/>
    <w:uiPriority w:val="1"/>
  </w:style>
  <w:style w:type="table" w:default="1" w:styleId="24">
    <w:name w:val="Normal Table"/>
    <w:autoRedefine/>
    <w:semiHidden/>
    <w:unhideWhenUsed/>
    <w:qFormat/>
    <w:uiPriority w:val="99"/>
    <w:tblPr>
      <w:tblCellMar>
        <w:top w:w="0" w:type="dxa"/>
        <w:left w:w="108" w:type="dxa"/>
        <w:bottom w:w="0" w:type="dxa"/>
        <w:right w:w="108" w:type="dxa"/>
      </w:tblCellMar>
    </w:tblPr>
  </w:style>
  <w:style w:type="paragraph" w:customStyle="1" w:styleId="2">
    <w:name w:val="Default"/>
    <w:next w:val="3"/>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3">
    <w:name w:val="footer"/>
    <w:basedOn w:val="1"/>
    <w:next w:val="4"/>
    <w:autoRedefine/>
    <w:qFormat/>
    <w:uiPriority w:val="99"/>
    <w:pPr>
      <w:tabs>
        <w:tab w:val="center" w:pos="4153"/>
        <w:tab w:val="right" w:pos="8306"/>
      </w:tabs>
      <w:snapToGrid w:val="0"/>
      <w:jc w:val="left"/>
    </w:pPr>
    <w:rPr>
      <w:sz w:val="18"/>
      <w:szCs w:val="18"/>
    </w:rPr>
  </w:style>
  <w:style w:type="paragraph" w:styleId="4">
    <w:name w:val="toc 2"/>
    <w:basedOn w:val="1"/>
    <w:next w:val="1"/>
    <w:autoRedefine/>
    <w:qFormat/>
    <w:uiPriority w:val="39"/>
    <w:pPr>
      <w:ind w:left="420" w:leftChars="200"/>
    </w:pPr>
  </w:style>
  <w:style w:type="paragraph" w:styleId="7">
    <w:name w:val="table of authorities"/>
    <w:basedOn w:val="1"/>
    <w:next w:val="1"/>
    <w:autoRedefine/>
    <w:qFormat/>
    <w:uiPriority w:val="0"/>
    <w:pPr>
      <w:spacing w:line="440" w:lineRule="exact"/>
      <w:ind w:left="420" w:leftChars="200" w:firstLine="883" w:firstLineChars="200"/>
    </w:pPr>
    <w:rPr>
      <w:sz w:val="28"/>
    </w:rPr>
  </w:style>
  <w:style w:type="paragraph" w:styleId="8">
    <w:name w:val="Normal Indent"/>
    <w:basedOn w:val="1"/>
    <w:next w:val="9"/>
    <w:autoRedefine/>
    <w:qFormat/>
    <w:uiPriority w:val="0"/>
    <w:pPr>
      <w:ind w:firstLine="420"/>
    </w:pPr>
    <w:rPr>
      <w:szCs w:val="20"/>
    </w:rPr>
  </w:style>
  <w:style w:type="paragraph" w:styleId="9">
    <w:name w:val="Body Text Indent"/>
    <w:basedOn w:val="1"/>
    <w:next w:val="10"/>
    <w:autoRedefine/>
    <w:qFormat/>
    <w:uiPriority w:val="0"/>
    <w:pPr>
      <w:spacing w:after="120"/>
      <w:ind w:left="420" w:leftChars="200"/>
    </w:pPr>
  </w:style>
  <w:style w:type="paragraph" w:styleId="10">
    <w:name w:val="Body Text First Indent 2"/>
    <w:basedOn w:val="9"/>
    <w:next w:val="11"/>
    <w:autoRedefine/>
    <w:qFormat/>
    <w:uiPriority w:val="0"/>
    <w:pPr>
      <w:autoSpaceDE w:val="0"/>
      <w:autoSpaceDN w:val="0"/>
      <w:adjustRightInd w:val="0"/>
      <w:ind w:firstLine="420" w:firstLineChars="200"/>
      <w:jc w:val="left"/>
    </w:pPr>
  </w:style>
  <w:style w:type="paragraph" w:customStyle="1" w:styleId="11">
    <w:name w:val="xl53"/>
    <w:basedOn w:val="1"/>
    <w:next w:val="1"/>
    <w:autoRedefine/>
    <w:qFormat/>
    <w:uiPriority w:val="0"/>
    <w:pPr>
      <w:spacing w:before="280" w:after="280" w:line="100" w:lineRule="exact"/>
      <w:jc w:val="center"/>
    </w:pPr>
    <w:rPr>
      <w:b/>
    </w:rPr>
  </w:style>
  <w:style w:type="paragraph" w:styleId="12">
    <w:name w:val="Document Map"/>
    <w:basedOn w:val="1"/>
    <w:autoRedefine/>
    <w:qFormat/>
    <w:uiPriority w:val="0"/>
    <w:rPr>
      <w:rFonts w:ascii="Helvetica" w:hAnsi="Helvetica"/>
      <w:sz w:val="24"/>
    </w:rPr>
  </w:style>
  <w:style w:type="paragraph" w:styleId="13">
    <w:name w:val="annotation text"/>
    <w:basedOn w:val="1"/>
    <w:autoRedefine/>
    <w:qFormat/>
    <w:uiPriority w:val="0"/>
    <w:pPr>
      <w:jc w:val="left"/>
    </w:pPr>
  </w:style>
  <w:style w:type="paragraph" w:styleId="14">
    <w:name w:val="Body Text"/>
    <w:basedOn w:val="1"/>
    <w:next w:val="15"/>
    <w:autoRedefine/>
    <w:qFormat/>
    <w:uiPriority w:val="0"/>
    <w:pPr>
      <w:spacing w:after="120"/>
    </w:pPr>
  </w:style>
  <w:style w:type="paragraph" w:styleId="15">
    <w:name w:val="Body Text First Indent"/>
    <w:basedOn w:val="14"/>
    <w:next w:val="16"/>
    <w:autoRedefine/>
    <w:unhideWhenUsed/>
    <w:qFormat/>
    <w:uiPriority w:val="99"/>
    <w:pPr>
      <w:spacing w:line="360" w:lineRule="auto"/>
      <w:ind w:firstLine="200" w:firstLineChars="200"/>
    </w:pPr>
    <w:rPr>
      <w:rFonts w:ascii="仿宋_GB2312" w:eastAsia="仿宋_GB2312"/>
      <w:bCs/>
      <w:sz w:val="30"/>
    </w:rPr>
  </w:style>
  <w:style w:type="paragraph" w:styleId="16">
    <w:name w:val="toc 6"/>
    <w:basedOn w:val="1"/>
    <w:next w:val="1"/>
    <w:autoRedefine/>
    <w:unhideWhenUsed/>
    <w:qFormat/>
    <w:uiPriority w:val="39"/>
    <w:pPr>
      <w:ind w:left="2100" w:leftChars="1000"/>
    </w:pPr>
  </w:style>
  <w:style w:type="paragraph" w:styleId="17">
    <w:name w:val="List 2"/>
    <w:basedOn w:val="1"/>
    <w:autoRedefine/>
    <w:qFormat/>
    <w:uiPriority w:val="0"/>
    <w:pPr>
      <w:ind w:left="100" w:leftChars="200" w:hanging="200" w:hangingChars="200"/>
    </w:pPr>
  </w:style>
  <w:style w:type="paragraph" w:styleId="18">
    <w:name w:val="Plain Text"/>
    <w:basedOn w:val="1"/>
    <w:next w:val="1"/>
    <w:autoRedefine/>
    <w:qFormat/>
    <w:uiPriority w:val="0"/>
    <w:rPr>
      <w:sz w:val="24"/>
      <w:szCs w:val="20"/>
    </w:rPr>
  </w:style>
  <w:style w:type="paragraph" w:styleId="19">
    <w:name w:val="Date"/>
    <w:basedOn w:val="1"/>
    <w:next w:val="1"/>
    <w:autoRedefine/>
    <w:qFormat/>
    <w:uiPriority w:val="0"/>
    <w:pPr>
      <w:ind w:left="2500" w:leftChars="2500"/>
    </w:pPr>
    <w:rPr>
      <w:rFonts w:eastAsia="楷体_GB2312"/>
      <w:sz w:val="32"/>
      <w:szCs w:val="20"/>
    </w:rPr>
  </w:style>
  <w:style w:type="paragraph" w:styleId="20">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21">
    <w:name w:val="toc 1"/>
    <w:basedOn w:val="1"/>
    <w:next w:val="1"/>
    <w:autoRedefine/>
    <w:qFormat/>
    <w:uiPriority w:val="39"/>
  </w:style>
  <w:style w:type="paragraph" w:styleId="22">
    <w:name w:val="Body Text Indent 3"/>
    <w:basedOn w:val="1"/>
    <w:autoRedefine/>
    <w:qFormat/>
    <w:uiPriority w:val="0"/>
    <w:pPr>
      <w:ind w:firstLine="435"/>
    </w:pPr>
  </w:style>
  <w:style w:type="paragraph" w:styleId="23">
    <w:name w:val="Normal (Web)"/>
    <w:basedOn w:val="1"/>
    <w:autoRedefine/>
    <w:unhideWhenUsed/>
    <w:qFormat/>
    <w:uiPriority w:val="0"/>
    <w:pPr>
      <w:widowControl/>
      <w:spacing w:before="240" w:after="240"/>
      <w:jc w:val="left"/>
    </w:pPr>
    <w:rPr>
      <w:rFonts w:ascii="宋体" w:hAnsi="宋体" w:cs="宋体"/>
      <w:kern w:val="0"/>
      <w:sz w:val="24"/>
    </w:rPr>
  </w:style>
  <w:style w:type="table" w:styleId="25">
    <w:name w:val="Table Grid"/>
    <w:basedOn w:val="2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page number"/>
    <w:basedOn w:val="26"/>
    <w:autoRedefine/>
    <w:qFormat/>
    <w:uiPriority w:val="0"/>
  </w:style>
  <w:style w:type="character" w:styleId="28">
    <w:name w:val="Hyperlink"/>
    <w:autoRedefine/>
    <w:qFormat/>
    <w:uiPriority w:val="99"/>
    <w:rPr>
      <w:color w:val="0000FF"/>
      <w:u w:val="single"/>
    </w:rPr>
  </w:style>
  <w:style w:type="paragraph" w:customStyle="1" w:styleId="29">
    <w:name w:val="BodyText1I"/>
    <w:basedOn w:val="30"/>
    <w:next w:val="1"/>
    <w:autoRedefine/>
    <w:qFormat/>
    <w:uiPriority w:val="0"/>
    <w:pPr>
      <w:ind w:firstLine="420" w:firstLineChars="100"/>
    </w:pPr>
  </w:style>
  <w:style w:type="paragraph" w:customStyle="1" w:styleId="30">
    <w:name w:val="BodyText"/>
    <w:basedOn w:val="1"/>
    <w:next w:val="31"/>
    <w:autoRedefine/>
    <w:qFormat/>
    <w:uiPriority w:val="0"/>
    <w:pPr>
      <w:textAlignment w:val="baseline"/>
    </w:pPr>
    <w:rPr>
      <w:rFonts w:ascii="宋体" w:hAnsi="宋体"/>
      <w:szCs w:val="21"/>
      <w:lang w:val="zh-CN" w:bidi="zh-CN"/>
    </w:rPr>
  </w:style>
  <w:style w:type="paragraph" w:customStyle="1" w:styleId="31">
    <w:name w:val="TOC2"/>
    <w:basedOn w:val="1"/>
    <w:next w:val="1"/>
    <w:autoRedefine/>
    <w:qFormat/>
    <w:uiPriority w:val="0"/>
    <w:pPr>
      <w:ind w:left="420" w:leftChars="200"/>
      <w:textAlignment w:val="baseline"/>
    </w:pPr>
  </w:style>
  <w:style w:type="paragraph" w:customStyle="1" w:styleId="32">
    <w:name w:val="首行缩进"/>
    <w:basedOn w:val="1"/>
    <w:autoRedefine/>
    <w:qFormat/>
    <w:uiPriority w:val="0"/>
    <w:pPr>
      <w:widowControl/>
      <w:tabs>
        <w:tab w:val="left" w:pos="822"/>
      </w:tabs>
      <w:snapToGrid w:val="0"/>
      <w:spacing w:line="360" w:lineRule="auto"/>
      <w:jc w:val="left"/>
    </w:pPr>
    <w:rPr>
      <w:rFonts w:ascii="Arial" w:hAnsi="Arial"/>
      <w:kern w:val="0"/>
      <w:sz w:val="24"/>
      <w:szCs w:val="20"/>
    </w:rPr>
  </w:style>
  <w:style w:type="paragraph" w:customStyle="1" w:styleId="33">
    <w:name w:val="样式 标题 1 + 四号 加粗"/>
    <w:basedOn w:val="5"/>
    <w:autoRedefine/>
    <w:qFormat/>
    <w:uiPriority w:val="99"/>
    <w:rPr>
      <w:rFonts w:eastAsia="黑体"/>
    </w:rPr>
  </w:style>
  <w:style w:type="paragraph" w:customStyle="1" w:styleId="34">
    <w:name w:val="样式 表格正文 + 两端对齐"/>
    <w:basedOn w:val="1"/>
    <w:next w:val="35"/>
    <w:autoRedefine/>
    <w:qFormat/>
    <w:uiPriority w:val="0"/>
    <w:pPr>
      <w:spacing w:line="300" w:lineRule="auto"/>
    </w:pPr>
  </w:style>
  <w:style w:type="paragraph" w:customStyle="1" w:styleId="35">
    <w:name w:val="正文1"/>
    <w:basedOn w:val="12"/>
    <w:next w:val="1"/>
    <w:autoRedefine/>
    <w:qFormat/>
    <w:uiPriority w:val="99"/>
    <w:pPr>
      <w:widowControl/>
      <w:overflowPunct w:val="0"/>
      <w:autoSpaceDE w:val="0"/>
      <w:autoSpaceDN w:val="0"/>
      <w:adjustRightInd w:val="0"/>
      <w:spacing w:line="400" w:lineRule="exact"/>
      <w:textAlignment w:val="baseline"/>
    </w:pPr>
    <w:rPr>
      <w:kern w:val="0"/>
      <w:szCs w:val="20"/>
    </w:rPr>
  </w:style>
  <w:style w:type="paragraph" w:customStyle="1" w:styleId="36">
    <w:name w:val="表格文字"/>
    <w:basedOn w:val="37"/>
    <w:next w:val="14"/>
    <w:autoRedefine/>
    <w:qFormat/>
    <w:locked/>
    <w:uiPriority w:val="0"/>
    <w:pPr>
      <w:spacing w:beforeLines="25" w:afterLines="25"/>
      <w:jc w:val="center"/>
    </w:pPr>
    <w:rPr>
      <w:rFonts w:ascii="Times New Roman" w:hAnsi="Times New Roman" w:eastAsia="宋体" w:cs="Times New Roman"/>
      <w:kern w:val="2"/>
      <w:sz w:val="24"/>
      <w:szCs w:val="28"/>
      <w:lang w:val="en-US" w:eastAsia="zh-CN" w:bidi="ar-SA"/>
    </w:rPr>
  </w:style>
  <w:style w:type="paragraph" w:customStyle="1" w:styleId="37">
    <w:name w:val="表格文字（两侧对齐）"/>
    <w:basedOn w:val="1"/>
    <w:qFormat/>
    <w:uiPriority w:val="0"/>
    <w:pPr>
      <w:snapToGrid w:val="0"/>
    </w:pPr>
    <w:rPr>
      <w:sz w:val="20"/>
      <w:szCs w:val="24"/>
    </w:rPr>
  </w:style>
  <w:style w:type="paragraph" w:customStyle="1" w:styleId="38">
    <w:name w:val="U_正文2"/>
    <w:basedOn w:val="1"/>
    <w:autoRedefine/>
    <w:qFormat/>
    <w:uiPriority w:val="0"/>
    <w:pPr>
      <w:spacing w:beforeLines="10" w:afterLines="10" w:line="300" w:lineRule="auto"/>
    </w:pPr>
    <w:rPr>
      <w:sz w:val="24"/>
      <w:szCs w:val="20"/>
    </w:rPr>
  </w:style>
  <w:style w:type="paragraph" w:customStyle="1" w:styleId="39">
    <w:name w:val="默认段落字体 Para Char Char Char Char Char Char Char Char Char1 Char Char Char Char"/>
    <w:basedOn w:val="1"/>
    <w:autoRedefine/>
    <w:qFormat/>
    <w:uiPriority w:val="0"/>
    <w:rPr>
      <w:rFonts w:ascii="Tahoma" w:hAnsi="Tahoma"/>
      <w:sz w:val="24"/>
      <w:szCs w:val="20"/>
    </w:rPr>
  </w:style>
  <w:style w:type="character" w:customStyle="1" w:styleId="40">
    <w:name w:val="font61"/>
    <w:basedOn w:val="26"/>
    <w:autoRedefine/>
    <w:qFormat/>
    <w:uiPriority w:val="0"/>
    <w:rPr>
      <w:rFonts w:hint="eastAsia" w:ascii="宋体" w:hAnsi="宋体" w:eastAsia="宋体" w:cs="宋体"/>
      <w:b/>
      <w:bCs/>
      <w:color w:val="000000"/>
      <w:sz w:val="22"/>
      <w:szCs w:val="22"/>
      <w:u w:val="none"/>
    </w:rPr>
  </w:style>
  <w:style w:type="character" w:customStyle="1" w:styleId="41">
    <w:name w:val="font112"/>
    <w:basedOn w:val="26"/>
    <w:autoRedefine/>
    <w:qFormat/>
    <w:uiPriority w:val="0"/>
    <w:rPr>
      <w:rFonts w:hint="eastAsia" w:ascii="宋体" w:hAnsi="宋体" w:eastAsia="宋体" w:cs="宋体"/>
      <w:b/>
      <w:bCs/>
      <w:color w:val="000000"/>
      <w:sz w:val="22"/>
      <w:szCs w:val="22"/>
      <w:u w:val="none"/>
    </w:rPr>
  </w:style>
  <w:style w:type="character" w:customStyle="1" w:styleId="42">
    <w:name w:val="font91"/>
    <w:basedOn w:val="26"/>
    <w:autoRedefine/>
    <w:qFormat/>
    <w:uiPriority w:val="0"/>
    <w:rPr>
      <w:rFonts w:hint="default" w:ascii="Times New Roman" w:hAnsi="Times New Roman" w:cs="Times New Roman"/>
      <w:color w:val="000000"/>
      <w:sz w:val="22"/>
      <w:szCs w:val="22"/>
      <w:u w:val="none"/>
    </w:rPr>
  </w:style>
  <w:style w:type="character" w:customStyle="1" w:styleId="43">
    <w:name w:val="font121"/>
    <w:basedOn w:val="26"/>
    <w:autoRedefine/>
    <w:qFormat/>
    <w:uiPriority w:val="0"/>
    <w:rPr>
      <w:rFonts w:hint="eastAsia" w:ascii="宋体" w:hAnsi="宋体" w:eastAsia="宋体" w:cs="宋体"/>
      <w:color w:val="000000"/>
      <w:sz w:val="22"/>
      <w:szCs w:val="22"/>
      <w:u w:val="none"/>
    </w:rPr>
  </w:style>
  <w:style w:type="character" w:customStyle="1" w:styleId="44">
    <w:name w:val="font01"/>
    <w:basedOn w:val="26"/>
    <w:autoRedefine/>
    <w:qFormat/>
    <w:uiPriority w:val="0"/>
    <w:rPr>
      <w:rFonts w:hint="eastAsia" w:ascii="宋体" w:hAnsi="宋体" w:eastAsia="宋体" w:cs="宋体"/>
      <w:color w:val="000000"/>
      <w:sz w:val="22"/>
      <w:szCs w:val="22"/>
      <w:u w:val="none"/>
    </w:rPr>
  </w:style>
  <w:style w:type="character" w:customStyle="1" w:styleId="45">
    <w:name w:val="font81"/>
    <w:basedOn w:val="26"/>
    <w:autoRedefine/>
    <w:qFormat/>
    <w:uiPriority w:val="0"/>
    <w:rPr>
      <w:rFonts w:hint="default" w:ascii="Times New Roman" w:hAnsi="Times New Roman" w:cs="Times New Roman"/>
      <w:color w:val="000000"/>
      <w:sz w:val="22"/>
      <w:szCs w:val="22"/>
      <w:u w:val="none"/>
    </w:rPr>
  </w:style>
  <w:style w:type="character" w:customStyle="1" w:styleId="46">
    <w:name w:val="font41"/>
    <w:basedOn w:val="26"/>
    <w:autoRedefine/>
    <w:qFormat/>
    <w:uiPriority w:val="0"/>
    <w:rPr>
      <w:rFonts w:hint="default" w:ascii="Times New Roman" w:hAnsi="Times New Roman" w:cs="Times New Roman"/>
      <w:b/>
      <w:bCs/>
      <w:color w:val="000000"/>
      <w:sz w:val="22"/>
      <w:szCs w:val="22"/>
      <w:u w:val="none"/>
    </w:rPr>
  </w:style>
  <w:style w:type="character" w:customStyle="1" w:styleId="47">
    <w:name w:val="font21"/>
    <w:basedOn w:val="26"/>
    <w:autoRedefine/>
    <w:qFormat/>
    <w:uiPriority w:val="0"/>
    <w:rPr>
      <w:rFonts w:hint="default" w:ascii="Times New Roman" w:hAnsi="Times New Roman" w:cs="Times New Roman"/>
      <w:b/>
      <w:bCs/>
      <w:color w:val="FF0000"/>
      <w:sz w:val="22"/>
      <w:szCs w:val="22"/>
      <w:u w:val="none"/>
    </w:rPr>
  </w:style>
  <w:style w:type="character" w:customStyle="1" w:styleId="48">
    <w:name w:val="font181"/>
    <w:basedOn w:val="26"/>
    <w:autoRedefine/>
    <w:qFormat/>
    <w:uiPriority w:val="0"/>
    <w:rPr>
      <w:rFonts w:hint="eastAsia" w:ascii="宋体" w:hAnsi="宋体" w:eastAsia="宋体" w:cs="宋体"/>
      <w:b/>
      <w:bCs/>
      <w:color w:val="FF0000"/>
      <w:sz w:val="22"/>
      <w:szCs w:val="22"/>
      <w:u w:val="none"/>
    </w:rPr>
  </w:style>
  <w:style w:type="character" w:customStyle="1" w:styleId="49">
    <w:name w:val="font51"/>
    <w:basedOn w:val="26"/>
    <w:autoRedefine/>
    <w:qFormat/>
    <w:uiPriority w:val="0"/>
    <w:rPr>
      <w:rFonts w:hint="default" w:ascii="Times New Roman" w:hAnsi="Times New Roman" w:cs="Times New Roman"/>
      <w:b/>
      <w:bCs/>
      <w:color w:val="000000"/>
      <w:sz w:val="22"/>
      <w:szCs w:val="22"/>
      <w:u w:val="none"/>
    </w:rPr>
  </w:style>
  <w:style w:type="character" w:customStyle="1" w:styleId="50">
    <w:name w:val="font141"/>
    <w:basedOn w:val="26"/>
    <w:autoRedefine/>
    <w:qFormat/>
    <w:uiPriority w:val="0"/>
    <w:rPr>
      <w:rFonts w:hint="eastAsia" w:ascii="宋体" w:hAnsi="宋体" w:eastAsia="宋体" w:cs="宋体"/>
      <w:b/>
      <w:bCs/>
      <w:color w:val="000000"/>
      <w:sz w:val="22"/>
      <w:szCs w:val="22"/>
      <w:u w:val="none"/>
    </w:rPr>
  </w:style>
  <w:style w:type="character" w:customStyle="1" w:styleId="51">
    <w:name w:val="font71"/>
    <w:basedOn w:val="26"/>
    <w:autoRedefine/>
    <w:qFormat/>
    <w:uiPriority w:val="0"/>
    <w:rPr>
      <w:rFonts w:hint="default" w:ascii="Times New Roman" w:hAnsi="Times New Roman" w:cs="Times New Roman"/>
      <w:color w:val="000000"/>
      <w:sz w:val="22"/>
      <w:szCs w:val="22"/>
      <w:u w:val="none"/>
    </w:rPr>
  </w:style>
  <w:style w:type="character" w:customStyle="1" w:styleId="52">
    <w:name w:val="font101"/>
    <w:basedOn w:val="26"/>
    <w:autoRedefine/>
    <w:qFormat/>
    <w:uiPriority w:val="0"/>
    <w:rPr>
      <w:rFonts w:hint="eastAsia" w:ascii="宋体" w:hAnsi="宋体" w:eastAsia="宋体" w:cs="宋体"/>
      <w:b/>
      <w:bCs/>
      <w:color w:val="000000"/>
      <w:sz w:val="22"/>
      <w:szCs w:val="22"/>
      <w:u w:val="none"/>
    </w:rPr>
  </w:style>
  <w:style w:type="character" w:customStyle="1" w:styleId="53">
    <w:name w:val="font31"/>
    <w:basedOn w:val="26"/>
    <w:autoRedefine/>
    <w:qFormat/>
    <w:uiPriority w:val="0"/>
    <w:rPr>
      <w:rFonts w:hint="eastAsia" w:ascii="宋体" w:hAnsi="宋体" w:eastAsia="宋体" w:cs="宋体"/>
      <w:color w:val="FF0000"/>
      <w:sz w:val="22"/>
      <w:szCs w:val="22"/>
      <w:u w:val="none"/>
    </w:rPr>
  </w:style>
  <w:style w:type="paragraph" w:styleId="54">
    <w:name w:val="No Spacing"/>
    <w:autoRedefine/>
    <w:qFormat/>
    <w:uiPriority w:val="1"/>
    <w:rPr>
      <w:rFonts w:ascii="Calibri" w:hAnsi="Calibri" w:eastAsia="MS Mincho" w:cs="Times New Roman"/>
      <w:sz w:val="24"/>
      <w:szCs w:val="24"/>
      <w:lang w:val="en-US" w:eastAsia="en-US" w:bidi="ar-SA"/>
    </w:rPr>
  </w:style>
  <w:style w:type="character" w:customStyle="1" w:styleId="55">
    <w:name w:val="不明显强调1"/>
    <w:autoRedefine/>
    <w:qFormat/>
    <w:uiPriority w:val="19"/>
    <w:rPr>
      <w:i/>
      <w:iCs/>
      <w:color w:val="808080"/>
    </w:rPr>
  </w:style>
  <w:style w:type="character" w:customStyle="1" w:styleId="56">
    <w:name w:val="无"/>
    <w:autoRedefine/>
    <w:qFormat/>
    <w:uiPriority w:val="99"/>
  </w:style>
  <w:style w:type="paragraph" w:customStyle="1" w:styleId="57">
    <w:name w:val="正文_21"/>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58">
    <w:name w:val="NormalCharacter"/>
    <w:autoRedefine/>
    <w:qFormat/>
    <w:uiPriority w:val="0"/>
  </w:style>
  <w:style w:type="character" w:customStyle="1" w:styleId="59">
    <w:name w:val="标题 1 Char"/>
    <w:basedOn w:val="26"/>
    <w:link w:val="5"/>
    <w:autoRedefine/>
    <w:qFormat/>
    <w:uiPriority w:val="0"/>
    <w:rPr>
      <w:b/>
      <w:bCs/>
      <w:kern w:val="44"/>
      <w:sz w:val="44"/>
      <w:szCs w:val="44"/>
    </w:rPr>
  </w:style>
  <w:style w:type="paragraph" w:customStyle="1" w:styleId="60">
    <w:name w:val="正文2"/>
    <w:basedOn w:val="1"/>
    <w:autoRedefine/>
    <w:qFormat/>
    <w:uiPriority w:val="0"/>
    <w:pPr>
      <w:spacing w:beforeLines="50" w:afterLines="50" w:line="360" w:lineRule="auto"/>
      <w:ind w:firstLine="480" w:firstLineChars="200"/>
    </w:pPr>
    <w:rPr>
      <w:rFonts w:ascii="仿宋_GB2312"/>
      <w:sz w:val="24"/>
      <w:szCs w:val="20"/>
    </w:rPr>
  </w:style>
  <w:style w:type="paragraph" w:customStyle="1" w:styleId="61">
    <w:name w:val="Table Text"/>
    <w:basedOn w:val="1"/>
    <w:autoRedefine/>
    <w:semiHidden/>
    <w:qFormat/>
    <w:uiPriority w:val="0"/>
    <w:rPr>
      <w:rFonts w:ascii="宋体" w:hAnsi="宋体" w:cs="宋体"/>
      <w:sz w:val="29"/>
      <w:szCs w:val="29"/>
      <w:lang w:eastAsia="en-US"/>
    </w:rPr>
  </w:style>
  <w:style w:type="table" w:customStyle="1" w:styleId="62">
    <w:name w:val="Table Normal"/>
    <w:autoRedefine/>
    <w:semiHidden/>
    <w:unhideWhenUsed/>
    <w:qFormat/>
    <w:uiPriority w:val="0"/>
    <w:tblPr>
      <w:tblCellMar>
        <w:top w:w="0" w:type="dxa"/>
        <w:left w:w="0" w:type="dxa"/>
        <w:bottom w:w="0" w:type="dxa"/>
        <w:right w:w="0" w:type="dxa"/>
      </w:tblCellMar>
    </w:tblPr>
  </w:style>
  <w:style w:type="paragraph" w:customStyle="1" w:styleId="63">
    <w:name w:val="样式3"/>
    <w:basedOn w:val="18"/>
    <w:autoRedefine/>
    <w:qFormat/>
    <w:uiPriority w:val="0"/>
    <w:pPr>
      <w:spacing w:line="0" w:lineRule="atLeast"/>
      <w:outlineLvl w:val="0"/>
    </w:pPr>
    <w:rPr>
      <w:sz w:val="28"/>
    </w:rPr>
  </w:style>
  <w:style w:type="paragraph" w:customStyle="1" w:styleId="64">
    <w:name w:val="正文 A"/>
    <w:autoRedefine/>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65">
    <w:name w:val="A_正文_两端"/>
    <w:basedOn w:val="1"/>
    <w:unhideWhenUsed/>
    <w:qFormat/>
    <w:uiPriority w:val="0"/>
    <w:pPr>
      <w:spacing w:line="360" w:lineRule="auto"/>
      <w:ind w:firstLine="200" w:firstLineChars="200"/>
    </w:pPr>
    <w:rPr>
      <w:rFonts w:ascii="Times New Roman" w:hAnsi="Times New Roman" w:eastAsia="仿宋"/>
    </w:rPr>
  </w:style>
  <w:style w:type="paragraph" w:customStyle="1" w:styleId="66">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69</Pages>
  <Words>32347</Words>
  <Characters>34438</Characters>
  <Lines>442</Lines>
  <Paragraphs>124</Paragraphs>
  <TotalTime>0</TotalTime>
  <ScaleCrop>false</ScaleCrop>
  <LinksUpToDate>false</LinksUpToDate>
  <CharactersWithSpaces>38801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2022-05-17T02:04:00Z</dcterms:created>
  <dc:creator>Z&amp;Y</dc:creator>
  <cp:lastModifiedBy>韦亮</cp:lastModifiedBy>
  <cp:lastPrinted>2025-04-17T08:01:00Z</cp:lastPrinted>
  <dcterms:modified xsi:type="dcterms:W3CDTF">2025-04-17T08:39:45Z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2C6A0252AE3B44148BBE49CB76D34A05_13</vt:lpwstr>
  </property>
  <property fmtid="{D5CDD505-2E9C-101B-9397-08002B2CF9AE}" pid="4" name="KSOTemplateDocerSaveRecord">
    <vt:lpwstr>eyJoZGlkIjoiMjY1YTk0OWMwNjFjZjBjNjNmNWE1ZWMyMTAxM2ZiYzgiLCJ1c2VySWQiOiIxNDM0MTA5ODE4In0=</vt:lpwstr>
  </property>
</Properties>
</file>