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848C8">
      <w:pPr>
        <w:spacing w:line="288" w:lineRule="auto"/>
        <w:jc w:val="center"/>
        <w:rPr>
          <w:rFonts w:ascii="宋体" w:hAnsi="宋体" w:cs="宋体"/>
          <w:b/>
          <w:color w:val="auto"/>
          <w:sz w:val="24"/>
          <w:highlight w:val="none"/>
        </w:rPr>
      </w:pPr>
    </w:p>
    <w:p w14:paraId="3842A413">
      <w:pPr>
        <w:keepNext w:val="0"/>
        <w:keepLines w:val="0"/>
        <w:pageBreakBefore w:val="0"/>
        <w:widowControl w:val="0"/>
        <w:kinsoku/>
        <w:wordWrap/>
        <w:overflowPunct/>
        <w:topLinePunct w:val="0"/>
        <w:autoSpaceDE/>
        <w:autoSpaceDN/>
        <w:bidi w:val="0"/>
        <w:adjustRightInd/>
        <w:snapToGrid/>
        <w:spacing w:line="1060" w:lineRule="exact"/>
        <w:jc w:val="center"/>
        <w:textAlignment w:val="auto"/>
        <w:rPr>
          <w:color w:val="auto"/>
          <w:sz w:val="20"/>
          <w:szCs w:val="22"/>
          <w:highlight w:val="none"/>
        </w:rPr>
      </w:pPr>
      <w:r>
        <w:rPr>
          <w:rFonts w:hint="eastAsia" w:ascii="宋体" w:hAnsi="宋体" w:cs="宋体"/>
          <w:b/>
          <w:color w:val="auto"/>
          <w:sz w:val="52"/>
          <w:szCs w:val="52"/>
          <w:highlight w:val="none"/>
        </w:rPr>
        <w:t>东阳市鑫盛工程咨询有限公司关于</w:t>
      </w:r>
      <w:r>
        <w:rPr>
          <w:rFonts w:hint="eastAsia" w:ascii="宋体" w:hAnsi="宋体" w:cs="宋体"/>
          <w:b/>
          <w:color w:val="auto"/>
          <w:sz w:val="52"/>
          <w:szCs w:val="52"/>
          <w:highlight w:val="none"/>
          <w:lang w:eastAsia="zh-CN"/>
        </w:rPr>
        <w:t>东阳市人民医院肾穿刺病理检测外送服务项目</w:t>
      </w:r>
    </w:p>
    <w:p w14:paraId="58524977">
      <w:pPr>
        <w:rPr>
          <w:color w:val="auto"/>
          <w:highlight w:val="none"/>
        </w:rPr>
      </w:pPr>
    </w:p>
    <w:p w14:paraId="1CBA3D32">
      <w:pPr>
        <w:rPr>
          <w:color w:val="auto"/>
          <w:highlight w:val="none"/>
        </w:rPr>
      </w:pPr>
    </w:p>
    <w:p w14:paraId="419F32E2">
      <w:pPr>
        <w:pStyle w:val="7"/>
        <w:rPr>
          <w:color w:val="auto"/>
          <w:highlight w:val="none"/>
        </w:rPr>
      </w:pPr>
    </w:p>
    <w:p w14:paraId="6359BAAD">
      <w:pPr>
        <w:pStyle w:val="8"/>
      </w:pPr>
    </w:p>
    <w:p w14:paraId="025C2708">
      <w:pPr>
        <w:rPr>
          <w:color w:val="auto"/>
          <w:highlight w:val="none"/>
        </w:rPr>
      </w:pPr>
    </w:p>
    <w:p w14:paraId="68C078A3">
      <w:pPr>
        <w:pStyle w:val="12"/>
        <w:rPr>
          <w:color w:val="auto"/>
          <w:highlight w:val="none"/>
        </w:rPr>
      </w:pPr>
    </w:p>
    <w:p w14:paraId="13ADF6B3">
      <w:pPr>
        <w:pStyle w:val="36"/>
        <w:ind w:firstLine="210"/>
        <w:rPr>
          <w:color w:val="auto"/>
          <w:highlight w:val="none"/>
          <w:lang w:val="en-US"/>
        </w:rPr>
      </w:pPr>
    </w:p>
    <w:p w14:paraId="1C098A97">
      <w:pPr>
        <w:rPr>
          <w:color w:val="auto"/>
          <w:highlight w:val="none"/>
        </w:rPr>
      </w:pPr>
    </w:p>
    <w:p w14:paraId="4BB48A17">
      <w:pPr>
        <w:jc w:val="center"/>
        <w:rPr>
          <w:rFonts w:hint="default"/>
          <w:color w:val="auto"/>
          <w:highlight w:val="none"/>
          <w:lang w:val="en-US"/>
        </w:rPr>
      </w:pPr>
      <w:r>
        <w:rPr>
          <w:rFonts w:hint="eastAsia"/>
          <w:b/>
          <w:bCs/>
          <w:color w:val="auto"/>
          <w:sz w:val="72"/>
          <w:szCs w:val="72"/>
          <w:highlight w:val="none"/>
          <w:lang w:val="en-US" w:eastAsia="zh-CN"/>
        </w:rPr>
        <w:t>公开招标文件</w:t>
      </w:r>
    </w:p>
    <w:p w14:paraId="6C63A1D8">
      <w:pPr>
        <w:pStyle w:val="18"/>
        <w:rPr>
          <w:color w:val="auto"/>
          <w:highlight w:val="none"/>
        </w:rPr>
      </w:pPr>
    </w:p>
    <w:p w14:paraId="14AE42CC">
      <w:pPr>
        <w:rPr>
          <w:color w:val="auto"/>
          <w:highlight w:val="none"/>
        </w:rPr>
      </w:pPr>
    </w:p>
    <w:p w14:paraId="255D2547">
      <w:pPr>
        <w:pStyle w:val="26"/>
      </w:pPr>
    </w:p>
    <w:p w14:paraId="2218976F">
      <w:pPr>
        <w:pStyle w:val="18"/>
        <w:rPr>
          <w:color w:val="auto"/>
          <w:highlight w:val="none"/>
        </w:rPr>
      </w:pPr>
    </w:p>
    <w:p w14:paraId="40A3D2B8">
      <w:pPr>
        <w:pStyle w:val="7"/>
        <w:ind w:left="0" w:leftChars="0" w:firstLine="0" w:firstLineChars="0"/>
        <w:rPr>
          <w:color w:val="auto"/>
          <w:highlight w:val="none"/>
        </w:rPr>
      </w:pPr>
    </w:p>
    <w:p w14:paraId="4F73B9A5">
      <w:pPr>
        <w:keepNext w:val="0"/>
        <w:keepLines w:val="0"/>
        <w:widowControl w:val="0"/>
        <w:kinsoku/>
        <w:wordWrap/>
        <w:overflowPunct/>
        <w:topLinePunct w:val="0"/>
        <w:autoSpaceDE/>
        <w:autoSpaceDN/>
        <w:bidi w:val="0"/>
        <w:adjustRightInd/>
        <w:snapToGrid/>
        <w:spacing w:line="780" w:lineRule="exact"/>
        <w:ind w:firstLine="643" w:firstLineChars="200"/>
        <w:textAlignment w:val="auto"/>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项目名称：</w:t>
      </w:r>
      <w:r>
        <w:rPr>
          <w:rFonts w:hint="eastAsia" w:ascii="宋体" w:hAnsi="宋体" w:cs="宋体"/>
          <w:b/>
          <w:color w:val="auto"/>
          <w:kern w:val="0"/>
          <w:sz w:val="32"/>
          <w:szCs w:val="32"/>
          <w:highlight w:val="none"/>
          <w:lang w:eastAsia="zh-CN"/>
        </w:rPr>
        <w:t>东阳市人民医院肾穿刺病理检测外送服务项目</w:t>
      </w:r>
    </w:p>
    <w:p w14:paraId="4A7B8C60">
      <w:pPr>
        <w:keepNext w:val="0"/>
        <w:keepLines w:val="0"/>
        <w:widowControl w:val="0"/>
        <w:kinsoku/>
        <w:wordWrap/>
        <w:overflowPunct/>
        <w:topLinePunct w:val="0"/>
        <w:autoSpaceDE/>
        <w:autoSpaceDN/>
        <w:bidi w:val="0"/>
        <w:adjustRightInd/>
        <w:snapToGrid/>
        <w:spacing w:line="780" w:lineRule="exact"/>
        <w:ind w:firstLine="643" w:firstLineChars="200"/>
        <w:textAlignment w:val="auto"/>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rPr>
        <w:t>项目编号：</w:t>
      </w:r>
      <w:r>
        <w:rPr>
          <w:rFonts w:hint="eastAsia" w:ascii="宋体" w:hAnsi="宋体" w:cs="宋体"/>
          <w:b/>
          <w:color w:val="auto"/>
          <w:kern w:val="0"/>
          <w:sz w:val="32"/>
          <w:szCs w:val="32"/>
          <w:highlight w:val="none"/>
          <w:lang w:eastAsia="zh-CN"/>
        </w:rPr>
        <w:t>XSZFCGDZ2024-310</w:t>
      </w:r>
      <w:r>
        <w:rPr>
          <w:rFonts w:hint="eastAsia" w:ascii="宋体" w:hAnsi="宋体" w:cs="宋体"/>
          <w:b/>
          <w:color w:val="auto"/>
          <w:kern w:val="0"/>
          <w:sz w:val="32"/>
          <w:szCs w:val="32"/>
          <w:highlight w:val="none"/>
          <w:lang w:val="en-US" w:eastAsia="zh-CN"/>
        </w:rPr>
        <w:t>-2</w:t>
      </w:r>
    </w:p>
    <w:p w14:paraId="08506677">
      <w:pPr>
        <w:keepNext w:val="0"/>
        <w:keepLines w:val="0"/>
        <w:widowControl w:val="0"/>
        <w:kinsoku/>
        <w:wordWrap/>
        <w:overflowPunct/>
        <w:topLinePunct w:val="0"/>
        <w:autoSpaceDE/>
        <w:autoSpaceDN/>
        <w:bidi w:val="0"/>
        <w:adjustRightInd/>
        <w:snapToGrid/>
        <w:spacing w:line="780" w:lineRule="exact"/>
        <w:ind w:firstLine="643" w:firstLineChars="200"/>
        <w:textAlignment w:val="auto"/>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采购单位：</w:t>
      </w:r>
      <w:r>
        <w:rPr>
          <w:rFonts w:hint="eastAsia" w:ascii="宋体" w:hAnsi="宋体" w:cs="宋体"/>
          <w:b/>
          <w:color w:val="auto"/>
          <w:kern w:val="0"/>
          <w:sz w:val="32"/>
          <w:szCs w:val="32"/>
          <w:highlight w:val="none"/>
          <w:lang w:eastAsia="zh-CN"/>
        </w:rPr>
        <w:t xml:space="preserve">东阳市人民医院 </w:t>
      </w:r>
    </w:p>
    <w:p w14:paraId="188CF78E">
      <w:pPr>
        <w:keepNext w:val="0"/>
        <w:keepLines w:val="0"/>
        <w:widowControl w:val="0"/>
        <w:kinsoku/>
        <w:wordWrap/>
        <w:overflowPunct/>
        <w:topLinePunct w:val="0"/>
        <w:autoSpaceDE/>
        <w:autoSpaceDN/>
        <w:bidi w:val="0"/>
        <w:adjustRightInd/>
        <w:snapToGrid/>
        <w:spacing w:line="780" w:lineRule="exact"/>
        <w:ind w:firstLine="643" w:firstLineChars="200"/>
        <w:textAlignment w:val="auto"/>
        <w:rPr>
          <w:color w:val="auto"/>
          <w:highlight w:val="none"/>
        </w:rPr>
      </w:pPr>
      <w:r>
        <w:rPr>
          <w:rFonts w:hint="eastAsia" w:ascii="宋体" w:hAnsi="宋体" w:cs="宋体"/>
          <w:b/>
          <w:color w:val="auto"/>
          <w:kern w:val="0"/>
          <w:sz w:val="32"/>
          <w:szCs w:val="32"/>
          <w:highlight w:val="none"/>
        </w:rPr>
        <w:t>招标机构：东阳市鑫盛工程咨询有限公司</w:t>
      </w:r>
    </w:p>
    <w:p w14:paraId="12E81B15">
      <w:pPr>
        <w:pStyle w:val="6"/>
        <w:keepNext w:val="0"/>
        <w:keepLines w:val="0"/>
        <w:widowControl w:val="0"/>
        <w:kinsoku/>
        <w:wordWrap/>
        <w:overflowPunct/>
        <w:topLinePunct w:val="0"/>
        <w:autoSpaceDE/>
        <w:autoSpaceDN/>
        <w:bidi w:val="0"/>
        <w:adjustRightInd/>
        <w:snapToGrid/>
        <w:spacing w:line="780" w:lineRule="exact"/>
        <w:jc w:val="center"/>
        <w:textAlignment w:val="auto"/>
        <w:rPr>
          <w:rFonts w:hint="eastAsia" w:ascii="宋体" w:hAnsi="宋体" w:cs="宋体"/>
          <w:b/>
          <w:color w:val="auto"/>
          <w:sz w:val="28"/>
          <w:szCs w:val="28"/>
          <w:highlight w:val="none"/>
        </w:rPr>
      </w:pPr>
    </w:p>
    <w:p w14:paraId="3F0C5D3C">
      <w:pPr>
        <w:pStyle w:val="6"/>
        <w:keepNext w:val="0"/>
        <w:keepLines w:val="0"/>
        <w:widowControl w:val="0"/>
        <w:kinsoku/>
        <w:wordWrap/>
        <w:overflowPunct/>
        <w:topLinePunct w:val="0"/>
        <w:autoSpaceDE/>
        <w:autoSpaceDN/>
        <w:bidi w:val="0"/>
        <w:adjustRightInd/>
        <w:snapToGrid/>
        <w:spacing w:line="780" w:lineRule="exact"/>
        <w:jc w:val="center"/>
        <w:textAlignment w:val="auto"/>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2025</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lang w:val="en-US" w:eastAsia="zh-CN"/>
        </w:rPr>
        <w:t>1</w:t>
      </w:r>
      <w:r>
        <w:rPr>
          <w:rFonts w:hint="eastAsia" w:ascii="宋体" w:hAnsi="宋体" w:cs="宋体"/>
          <w:b/>
          <w:color w:val="auto"/>
          <w:sz w:val="28"/>
          <w:szCs w:val="28"/>
          <w:highlight w:val="none"/>
        </w:rPr>
        <w:t>月</w:t>
      </w:r>
    </w:p>
    <w:p w14:paraId="68391EC0">
      <w:pPr>
        <w:pStyle w:val="6"/>
        <w:keepNext w:val="0"/>
        <w:keepLines w:val="0"/>
        <w:pageBreakBefore/>
        <w:widowControl w:val="0"/>
        <w:kinsoku/>
        <w:wordWrap/>
        <w:overflowPunct/>
        <w:topLinePunct w:val="0"/>
        <w:autoSpaceDE/>
        <w:autoSpaceDN/>
        <w:bidi w:val="0"/>
        <w:adjustRightInd/>
        <w:snapToGrid/>
        <w:spacing w:line="780" w:lineRule="exact"/>
        <w:jc w:val="center"/>
        <w:textAlignment w:val="auto"/>
        <w:rPr>
          <w:rFonts w:ascii="宋体" w:hAnsi="宋体" w:cs="宋体"/>
          <w:b/>
          <w:color w:val="auto"/>
          <w:szCs w:val="24"/>
          <w:highlight w:val="none"/>
        </w:rPr>
        <w:sectPr>
          <w:headerReference r:id="rId3" w:type="default"/>
          <w:pgSz w:w="11906" w:h="16838"/>
          <w:pgMar w:top="1060" w:right="1174" w:bottom="1060" w:left="1174" w:header="851" w:footer="992" w:gutter="0"/>
          <w:pgNumType w:fmt="decimal"/>
          <w:cols w:space="425" w:num="1"/>
          <w:docGrid w:type="lines" w:linePitch="312" w:charSpace="0"/>
        </w:sectPr>
      </w:pPr>
    </w:p>
    <w:p w14:paraId="6FE71862">
      <w:pPr>
        <w:pStyle w:val="6"/>
        <w:pageBreakBefore/>
        <w:spacing w:line="276" w:lineRule="auto"/>
        <w:jc w:val="center"/>
        <w:rPr>
          <w:rFonts w:ascii="宋体" w:hAnsi="宋体" w:cs="宋体"/>
          <w:b/>
          <w:color w:val="auto"/>
          <w:szCs w:val="24"/>
          <w:highlight w:val="none"/>
        </w:rPr>
      </w:pPr>
      <w:r>
        <w:rPr>
          <w:rFonts w:hint="eastAsia" w:ascii="宋体" w:hAnsi="宋体" w:cs="宋体"/>
          <w:b/>
          <w:color w:val="auto"/>
          <w:szCs w:val="24"/>
          <w:highlight w:val="none"/>
        </w:rPr>
        <w:t>目    录</w:t>
      </w:r>
    </w:p>
    <w:p w14:paraId="4DD17035">
      <w:pPr>
        <w:pStyle w:val="18"/>
        <w:tabs>
          <w:tab w:val="right" w:leader="dot" w:pos="9127"/>
        </w:tabs>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"1-2" \h \z \u </w:instrText>
      </w:r>
      <w:r>
        <w:rPr>
          <w:rFonts w:hint="eastAsia" w:ascii="宋体" w:hAnsi="宋体" w:cs="宋体"/>
          <w:color w:val="auto"/>
          <w:sz w:val="24"/>
          <w:highlight w:val="none"/>
        </w:rPr>
        <w:fldChar w:fldCharType="separate"/>
      </w:r>
      <w:r>
        <w:rPr>
          <w:rFonts w:hint="eastAsia" w:ascii="宋体" w:hAnsi="宋体" w:cs="宋体"/>
          <w:color w:val="auto"/>
          <w:highlight w:val="none"/>
        </w:rPr>
        <w:fldChar w:fldCharType="begin"/>
      </w:r>
      <w:r>
        <w:rPr>
          <w:rFonts w:hint="eastAsia" w:ascii="宋体" w:hAnsi="宋体" w:cs="宋体"/>
          <w:highlight w:val="none"/>
        </w:rPr>
        <w:instrText xml:space="preserve"> HYPERLINK \l _Toc4244 </w:instrText>
      </w:r>
      <w:r>
        <w:rPr>
          <w:rFonts w:hint="eastAsia" w:ascii="宋体" w:hAnsi="宋体" w:cs="宋体"/>
          <w:highlight w:val="none"/>
        </w:rPr>
        <w:fldChar w:fldCharType="separate"/>
      </w:r>
      <w:r>
        <w:rPr>
          <w:rFonts w:hint="eastAsia" w:ascii="宋体" w:hAnsi="宋体" w:cs="宋体"/>
          <w:szCs w:val="28"/>
          <w:highlight w:val="none"/>
        </w:rPr>
        <w:t>第一章  公开招标采购公告</w:t>
      </w:r>
      <w:r>
        <w:tab/>
      </w:r>
      <w:r>
        <w:fldChar w:fldCharType="begin"/>
      </w:r>
      <w:r>
        <w:instrText xml:space="preserve"> PAGEREF _Toc4244 \h </w:instrText>
      </w:r>
      <w:r>
        <w:fldChar w:fldCharType="separate"/>
      </w:r>
      <w:r>
        <w:t>3</w:t>
      </w:r>
      <w:r>
        <w:fldChar w:fldCharType="end"/>
      </w:r>
      <w:r>
        <w:rPr>
          <w:rFonts w:hint="eastAsia" w:ascii="宋体" w:hAnsi="宋体" w:cs="宋体"/>
          <w:color w:val="auto"/>
          <w:highlight w:val="none"/>
        </w:rPr>
        <w:fldChar w:fldCharType="end"/>
      </w:r>
    </w:p>
    <w:p w14:paraId="62527AD0">
      <w:pPr>
        <w:pStyle w:val="18"/>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_Toc9565 </w:instrText>
      </w:r>
      <w:r>
        <w:rPr>
          <w:rFonts w:hint="eastAsia" w:ascii="宋体" w:hAnsi="宋体" w:cs="宋体"/>
          <w:highlight w:val="none"/>
        </w:rPr>
        <w:fldChar w:fldCharType="separate"/>
      </w:r>
      <w:r>
        <w:rPr>
          <w:rFonts w:hint="eastAsia" w:ascii="宋体" w:hAnsi="宋体" w:cs="宋体"/>
          <w:szCs w:val="24"/>
          <w:highlight w:val="none"/>
        </w:rPr>
        <w:t>第二章  招标需求</w:t>
      </w:r>
      <w:r>
        <w:tab/>
      </w:r>
      <w:r>
        <w:fldChar w:fldCharType="begin"/>
      </w:r>
      <w:r>
        <w:instrText xml:space="preserve"> PAGEREF _Toc9565 \h </w:instrText>
      </w:r>
      <w:r>
        <w:fldChar w:fldCharType="separate"/>
      </w:r>
      <w:r>
        <w:t>8</w:t>
      </w:r>
      <w:r>
        <w:fldChar w:fldCharType="end"/>
      </w:r>
      <w:r>
        <w:rPr>
          <w:rFonts w:hint="eastAsia" w:ascii="宋体" w:hAnsi="宋体" w:cs="宋体"/>
          <w:color w:val="auto"/>
          <w:highlight w:val="none"/>
        </w:rPr>
        <w:fldChar w:fldCharType="end"/>
      </w:r>
    </w:p>
    <w:p w14:paraId="4D48CA08">
      <w:pPr>
        <w:pStyle w:val="18"/>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_Toc29839 </w:instrText>
      </w:r>
      <w:r>
        <w:rPr>
          <w:rFonts w:hint="eastAsia" w:ascii="宋体" w:hAnsi="宋体" w:cs="宋体"/>
          <w:highlight w:val="none"/>
        </w:rPr>
        <w:fldChar w:fldCharType="separate"/>
      </w:r>
      <w:r>
        <w:rPr>
          <w:rFonts w:hint="eastAsia" w:ascii="宋体" w:hAnsi="宋体" w:cs="宋体"/>
          <w:szCs w:val="24"/>
          <w:highlight w:val="none"/>
        </w:rPr>
        <w:t>第三章   投标人须知</w:t>
      </w:r>
      <w:r>
        <w:tab/>
      </w:r>
      <w:r>
        <w:fldChar w:fldCharType="begin"/>
      </w:r>
      <w:r>
        <w:instrText xml:space="preserve"> PAGEREF _Toc29839 \h </w:instrText>
      </w:r>
      <w:r>
        <w:fldChar w:fldCharType="separate"/>
      </w:r>
      <w:r>
        <w:t>12</w:t>
      </w:r>
      <w:r>
        <w:fldChar w:fldCharType="end"/>
      </w:r>
      <w:r>
        <w:rPr>
          <w:rFonts w:hint="eastAsia" w:ascii="宋体" w:hAnsi="宋体" w:cs="宋体"/>
          <w:color w:val="auto"/>
          <w:highlight w:val="none"/>
        </w:rPr>
        <w:fldChar w:fldCharType="end"/>
      </w:r>
    </w:p>
    <w:p w14:paraId="0F0E5536">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_Toc23746 </w:instrText>
      </w:r>
      <w:r>
        <w:rPr>
          <w:rFonts w:hint="eastAsia" w:ascii="宋体" w:hAnsi="宋体" w:cs="宋体"/>
          <w:highlight w:val="none"/>
        </w:rPr>
        <w:fldChar w:fldCharType="separate"/>
      </w:r>
      <w:r>
        <w:rPr>
          <w:rFonts w:hint="eastAsia" w:ascii="宋体" w:hAnsi="宋体" w:cs="宋体"/>
          <w:szCs w:val="24"/>
          <w:highlight w:val="none"/>
        </w:rPr>
        <w:t>前附表</w:t>
      </w:r>
      <w:r>
        <w:tab/>
      </w:r>
      <w:r>
        <w:fldChar w:fldCharType="begin"/>
      </w:r>
      <w:r>
        <w:instrText xml:space="preserve"> PAGEREF _Toc23746 \h </w:instrText>
      </w:r>
      <w:r>
        <w:fldChar w:fldCharType="separate"/>
      </w:r>
      <w:r>
        <w:t>12</w:t>
      </w:r>
      <w:r>
        <w:fldChar w:fldCharType="end"/>
      </w:r>
      <w:r>
        <w:rPr>
          <w:rFonts w:hint="eastAsia" w:ascii="宋体" w:hAnsi="宋体" w:cs="宋体"/>
          <w:color w:val="auto"/>
          <w:highlight w:val="none"/>
        </w:rPr>
        <w:fldChar w:fldCharType="end"/>
      </w:r>
    </w:p>
    <w:p w14:paraId="301D2C12">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_Toc26493 </w:instrText>
      </w:r>
      <w:r>
        <w:rPr>
          <w:rFonts w:hint="eastAsia" w:ascii="宋体" w:hAnsi="宋体" w:cs="宋体"/>
          <w:highlight w:val="none"/>
        </w:rPr>
        <w:fldChar w:fldCharType="separate"/>
      </w:r>
      <w:r>
        <w:rPr>
          <w:rFonts w:hint="default" w:ascii="宋体" w:hAnsi="宋体" w:cs="宋体"/>
          <w:szCs w:val="24"/>
        </w:rPr>
        <w:t xml:space="preserve">一、 </w:t>
      </w:r>
      <w:r>
        <w:rPr>
          <w:rFonts w:hint="eastAsia" w:ascii="宋体" w:hAnsi="宋体" w:cs="宋体"/>
          <w:szCs w:val="24"/>
          <w:highlight w:val="none"/>
        </w:rPr>
        <w:t>总则</w:t>
      </w:r>
      <w:r>
        <w:tab/>
      </w:r>
      <w:r>
        <w:fldChar w:fldCharType="begin"/>
      </w:r>
      <w:r>
        <w:instrText xml:space="preserve"> PAGEREF _Toc26493 \h </w:instrText>
      </w:r>
      <w:r>
        <w:fldChar w:fldCharType="separate"/>
      </w:r>
      <w:r>
        <w:t>17</w:t>
      </w:r>
      <w:r>
        <w:fldChar w:fldCharType="end"/>
      </w:r>
      <w:r>
        <w:rPr>
          <w:rFonts w:hint="eastAsia" w:ascii="宋体" w:hAnsi="宋体" w:cs="宋体"/>
          <w:color w:val="auto"/>
          <w:highlight w:val="none"/>
        </w:rPr>
        <w:fldChar w:fldCharType="end"/>
      </w:r>
    </w:p>
    <w:p w14:paraId="5582EA36">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_Toc28481 </w:instrText>
      </w:r>
      <w:r>
        <w:rPr>
          <w:rFonts w:hint="eastAsia" w:ascii="宋体" w:hAnsi="宋体" w:cs="宋体"/>
          <w:highlight w:val="none"/>
        </w:rPr>
        <w:fldChar w:fldCharType="separate"/>
      </w:r>
      <w:r>
        <w:rPr>
          <w:rFonts w:hint="eastAsia" w:ascii="宋体" w:hAnsi="宋体" w:eastAsia="宋体" w:cs="宋体"/>
          <w:szCs w:val="24"/>
          <w:highlight w:val="none"/>
        </w:rPr>
        <w:t>二、招标文件</w:t>
      </w:r>
      <w:r>
        <w:tab/>
      </w:r>
      <w:r>
        <w:fldChar w:fldCharType="begin"/>
      </w:r>
      <w:r>
        <w:instrText xml:space="preserve"> PAGEREF _Toc28481 \h </w:instrText>
      </w:r>
      <w:r>
        <w:fldChar w:fldCharType="separate"/>
      </w:r>
      <w:r>
        <w:t>22</w:t>
      </w:r>
      <w:r>
        <w:fldChar w:fldCharType="end"/>
      </w:r>
      <w:r>
        <w:rPr>
          <w:rFonts w:hint="eastAsia" w:ascii="宋体" w:hAnsi="宋体" w:cs="宋体"/>
          <w:color w:val="auto"/>
          <w:highlight w:val="none"/>
        </w:rPr>
        <w:fldChar w:fldCharType="end"/>
      </w:r>
    </w:p>
    <w:p w14:paraId="411C8A59">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_Toc19015 </w:instrText>
      </w:r>
      <w:r>
        <w:rPr>
          <w:rFonts w:hint="eastAsia" w:ascii="宋体" w:hAnsi="宋体" w:cs="宋体"/>
          <w:highlight w:val="none"/>
        </w:rPr>
        <w:fldChar w:fldCharType="separate"/>
      </w:r>
      <w:r>
        <w:rPr>
          <w:rFonts w:hint="eastAsia" w:ascii="宋体" w:hAnsi="宋体" w:eastAsia="宋体" w:cs="宋体"/>
          <w:szCs w:val="24"/>
          <w:highlight w:val="none"/>
        </w:rPr>
        <w:t>三、投标文件的编制</w:t>
      </w:r>
      <w:r>
        <w:tab/>
      </w:r>
      <w:r>
        <w:fldChar w:fldCharType="begin"/>
      </w:r>
      <w:r>
        <w:instrText xml:space="preserve"> PAGEREF _Toc19015 \h </w:instrText>
      </w:r>
      <w:r>
        <w:fldChar w:fldCharType="separate"/>
      </w:r>
      <w:r>
        <w:t>23</w:t>
      </w:r>
      <w:r>
        <w:fldChar w:fldCharType="end"/>
      </w:r>
      <w:r>
        <w:rPr>
          <w:rFonts w:hint="eastAsia" w:ascii="宋体" w:hAnsi="宋体" w:cs="宋体"/>
          <w:color w:val="auto"/>
          <w:highlight w:val="none"/>
        </w:rPr>
        <w:fldChar w:fldCharType="end"/>
      </w:r>
    </w:p>
    <w:p w14:paraId="7BAEE901">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_Toc25520 </w:instrText>
      </w:r>
      <w:r>
        <w:rPr>
          <w:rFonts w:hint="eastAsia" w:ascii="宋体" w:hAnsi="宋体" w:cs="宋体"/>
          <w:highlight w:val="none"/>
        </w:rPr>
        <w:fldChar w:fldCharType="separate"/>
      </w:r>
      <w:r>
        <w:rPr>
          <w:rFonts w:hint="eastAsia" w:ascii="宋体" w:hAnsi="宋体" w:eastAsia="宋体" w:cs="宋体"/>
          <w:szCs w:val="24"/>
          <w:highlight w:val="none"/>
        </w:rPr>
        <w:t>四、开标</w:t>
      </w:r>
      <w:r>
        <w:tab/>
      </w:r>
      <w:r>
        <w:fldChar w:fldCharType="begin"/>
      </w:r>
      <w:r>
        <w:instrText xml:space="preserve"> PAGEREF _Toc25520 \h </w:instrText>
      </w:r>
      <w:r>
        <w:fldChar w:fldCharType="separate"/>
      </w:r>
      <w:r>
        <w:t>28</w:t>
      </w:r>
      <w:r>
        <w:fldChar w:fldCharType="end"/>
      </w:r>
      <w:r>
        <w:rPr>
          <w:rFonts w:hint="eastAsia" w:ascii="宋体" w:hAnsi="宋体" w:cs="宋体"/>
          <w:color w:val="auto"/>
          <w:highlight w:val="none"/>
        </w:rPr>
        <w:fldChar w:fldCharType="end"/>
      </w:r>
    </w:p>
    <w:p w14:paraId="3557082A">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_Toc21429 </w:instrText>
      </w:r>
      <w:r>
        <w:rPr>
          <w:rFonts w:hint="eastAsia" w:ascii="宋体" w:hAnsi="宋体" w:cs="宋体"/>
          <w:highlight w:val="none"/>
        </w:rPr>
        <w:fldChar w:fldCharType="separate"/>
      </w:r>
      <w:r>
        <w:rPr>
          <w:rFonts w:hint="eastAsia" w:ascii="宋体" w:hAnsi="宋体" w:eastAsia="宋体" w:cs="宋体"/>
          <w:szCs w:val="24"/>
          <w:highlight w:val="none"/>
        </w:rPr>
        <w:t>五、评标</w:t>
      </w:r>
      <w:r>
        <w:tab/>
      </w:r>
      <w:r>
        <w:fldChar w:fldCharType="begin"/>
      </w:r>
      <w:r>
        <w:instrText xml:space="preserve"> PAGEREF _Toc21429 \h </w:instrText>
      </w:r>
      <w:r>
        <w:fldChar w:fldCharType="separate"/>
      </w:r>
      <w:r>
        <w:t>30</w:t>
      </w:r>
      <w:r>
        <w:fldChar w:fldCharType="end"/>
      </w:r>
      <w:r>
        <w:rPr>
          <w:rFonts w:hint="eastAsia" w:ascii="宋体" w:hAnsi="宋体" w:cs="宋体"/>
          <w:color w:val="auto"/>
          <w:highlight w:val="none"/>
        </w:rPr>
        <w:fldChar w:fldCharType="end"/>
      </w:r>
    </w:p>
    <w:p w14:paraId="4D8A3EE5">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_Toc23515 </w:instrText>
      </w:r>
      <w:r>
        <w:rPr>
          <w:rFonts w:hint="eastAsia" w:ascii="宋体" w:hAnsi="宋体" w:cs="宋体"/>
          <w:highlight w:val="none"/>
        </w:rPr>
        <w:fldChar w:fldCharType="separate"/>
      </w:r>
      <w:r>
        <w:rPr>
          <w:rFonts w:hint="eastAsia" w:ascii="宋体" w:hAnsi="宋体" w:eastAsia="宋体" w:cs="宋体"/>
          <w:szCs w:val="24"/>
          <w:highlight w:val="none"/>
        </w:rPr>
        <w:t>六、定标</w:t>
      </w:r>
      <w:r>
        <w:tab/>
      </w:r>
      <w:r>
        <w:fldChar w:fldCharType="begin"/>
      </w:r>
      <w:r>
        <w:instrText xml:space="preserve"> PAGEREF _Toc23515 \h </w:instrText>
      </w:r>
      <w:r>
        <w:fldChar w:fldCharType="separate"/>
      </w:r>
      <w:r>
        <w:t>34</w:t>
      </w:r>
      <w:r>
        <w:fldChar w:fldCharType="end"/>
      </w:r>
      <w:r>
        <w:rPr>
          <w:rFonts w:hint="eastAsia" w:ascii="宋体" w:hAnsi="宋体" w:cs="宋体"/>
          <w:color w:val="auto"/>
          <w:highlight w:val="none"/>
        </w:rPr>
        <w:fldChar w:fldCharType="end"/>
      </w:r>
    </w:p>
    <w:p w14:paraId="030739B0">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_Toc21497 </w:instrText>
      </w:r>
      <w:r>
        <w:rPr>
          <w:rFonts w:hint="eastAsia" w:ascii="宋体" w:hAnsi="宋体" w:cs="宋体"/>
          <w:highlight w:val="none"/>
        </w:rPr>
        <w:fldChar w:fldCharType="separate"/>
      </w:r>
      <w:r>
        <w:rPr>
          <w:rFonts w:hint="eastAsia" w:ascii="宋体" w:hAnsi="宋体" w:eastAsia="宋体" w:cs="宋体"/>
          <w:szCs w:val="24"/>
          <w:highlight w:val="none"/>
        </w:rPr>
        <w:t>七、合同授予</w:t>
      </w:r>
      <w:r>
        <w:tab/>
      </w:r>
      <w:r>
        <w:fldChar w:fldCharType="begin"/>
      </w:r>
      <w:r>
        <w:instrText xml:space="preserve"> PAGEREF _Toc21497 \h </w:instrText>
      </w:r>
      <w:r>
        <w:fldChar w:fldCharType="separate"/>
      </w:r>
      <w:r>
        <w:t>35</w:t>
      </w:r>
      <w:r>
        <w:fldChar w:fldCharType="end"/>
      </w:r>
      <w:r>
        <w:rPr>
          <w:rFonts w:hint="eastAsia" w:ascii="宋体" w:hAnsi="宋体" w:cs="宋体"/>
          <w:color w:val="auto"/>
          <w:highlight w:val="none"/>
        </w:rPr>
        <w:fldChar w:fldCharType="end"/>
      </w:r>
    </w:p>
    <w:p w14:paraId="4203C15C">
      <w:pPr>
        <w:pStyle w:val="18"/>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_Toc11865 </w:instrText>
      </w:r>
      <w:r>
        <w:rPr>
          <w:rFonts w:hint="eastAsia" w:ascii="宋体" w:hAnsi="宋体" w:cs="宋体"/>
          <w:highlight w:val="none"/>
        </w:rPr>
        <w:fldChar w:fldCharType="separate"/>
      </w:r>
      <w:r>
        <w:rPr>
          <w:rFonts w:hint="eastAsia" w:ascii="宋体" w:hAnsi="宋体" w:cs="宋体"/>
          <w:szCs w:val="24"/>
          <w:highlight w:val="none"/>
        </w:rPr>
        <w:t>第四章  评标办法及评分标准</w:t>
      </w:r>
      <w:r>
        <w:tab/>
      </w:r>
      <w:r>
        <w:fldChar w:fldCharType="begin"/>
      </w:r>
      <w:r>
        <w:instrText xml:space="preserve"> PAGEREF _Toc11865 \h </w:instrText>
      </w:r>
      <w:r>
        <w:fldChar w:fldCharType="separate"/>
      </w:r>
      <w:r>
        <w:t>36</w:t>
      </w:r>
      <w:r>
        <w:fldChar w:fldCharType="end"/>
      </w:r>
      <w:r>
        <w:rPr>
          <w:rFonts w:hint="eastAsia" w:ascii="宋体" w:hAnsi="宋体" w:cs="宋体"/>
          <w:color w:val="auto"/>
          <w:highlight w:val="none"/>
        </w:rPr>
        <w:fldChar w:fldCharType="end"/>
      </w:r>
    </w:p>
    <w:p w14:paraId="6DE07D16">
      <w:pPr>
        <w:pStyle w:val="18"/>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_Toc14782 </w:instrText>
      </w:r>
      <w:r>
        <w:rPr>
          <w:rFonts w:hint="eastAsia" w:ascii="宋体" w:hAnsi="宋体" w:cs="宋体"/>
          <w:highlight w:val="none"/>
        </w:rPr>
        <w:fldChar w:fldCharType="separate"/>
      </w:r>
      <w:r>
        <w:rPr>
          <w:rFonts w:hint="eastAsia" w:ascii="宋体" w:hAnsi="宋体" w:cs="宋体"/>
          <w:bCs w:val="0"/>
          <w:szCs w:val="32"/>
        </w:rPr>
        <w:t xml:space="preserve">第五章 </w:t>
      </w:r>
      <w:r>
        <w:rPr>
          <w:rFonts w:hint="eastAsia" w:ascii="宋体" w:hAnsi="宋体" w:cs="宋体"/>
          <w:bCs w:val="0"/>
          <w:szCs w:val="32"/>
          <w:highlight w:val="none"/>
        </w:rPr>
        <w:t>合同主要条款</w:t>
      </w:r>
      <w:r>
        <w:tab/>
      </w:r>
      <w:r>
        <w:fldChar w:fldCharType="begin"/>
      </w:r>
      <w:r>
        <w:instrText xml:space="preserve"> PAGEREF _Toc14782 \h </w:instrText>
      </w:r>
      <w:r>
        <w:fldChar w:fldCharType="separate"/>
      </w:r>
      <w:r>
        <w:t>39</w:t>
      </w:r>
      <w:r>
        <w:fldChar w:fldCharType="end"/>
      </w:r>
      <w:r>
        <w:rPr>
          <w:rFonts w:hint="eastAsia" w:ascii="宋体" w:hAnsi="宋体" w:cs="宋体"/>
          <w:color w:val="auto"/>
          <w:highlight w:val="none"/>
        </w:rPr>
        <w:fldChar w:fldCharType="end"/>
      </w:r>
    </w:p>
    <w:p w14:paraId="62A5B0A7">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_Toc24559 </w:instrText>
      </w:r>
      <w:r>
        <w:rPr>
          <w:rFonts w:hint="eastAsia" w:ascii="宋体" w:hAnsi="宋体" w:cs="宋体"/>
          <w:highlight w:val="none"/>
        </w:rPr>
        <w:fldChar w:fldCharType="separate"/>
      </w:r>
      <w:r>
        <w:rPr>
          <w:rFonts w:hint="eastAsia" w:ascii="宋体" w:hAnsi="宋体"/>
          <w:szCs w:val="32"/>
          <w:highlight w:val="none"/>
        </w:rPr>
        <w:t>东阳市政府采购合同（样本）</w:t>
      </w:r>
      <w:r>
        <w:tab/>
      </w:r>
      <w:r>
        <w:fldChar w:fldCharType="begin"/>
      </w:r>
      <w:r>
        <w:instrText xml:space="preserve"> PAGEREF _Toc24559 \h </w:instrText>
      </w:r>
      <w:r>
        <w:fldChar w:fldCharType="separate"/>
      </w:r>
      <w:r>
        <w:t>39</w:t>
      </w:r>
      <w:r>
        <w:fldChar w:fldCharType="end"/>
      </w:r>
      <w:r>
        <w:rPr>
          <w:rFonts w:hint="eastAsia" w:ascii="宋体" w:hAnsi="宋体" w:cs="宋体"/>
          <w:color w:val="auto"/>
          <w:highlight w:val="none"/>
        </w:rPr>
        <w:fldChar w:fldCharType="end"/>
      </w:r>
    </w:p>
    <w:p w14:paraId="68B2CCA3">
      <w:pPr>
        <w:pStyle w:val="18"/>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_Toc3180 </w:instrText>
      </w:r>
      <w:r>
        <w:rPr>
          <w:rFonts w:hint="eastAsia" w:ascii="宋体" w:hAnsi="宋体" w:cs="宋体"/>
          <w:highlight w:val="none"/>
        </w:rPr>
        <w:fldChar w:fldCharType="separate"/>
      </w:r>
      <w:r>
        <w:rPr>
          <w:rFonts w:hint="eastAsia" w:ascii="宋体" w:hAnsi="宋体" w:cs="宋体"/>
          <w:szCs w:val="24"/>
          <w:highlight w:val="none"/>
        </w:rPr>
        <w:t>第六章　投标文件组成内容及格式</w:t>
      </w:r>
      <w:r>
        <w:tab/>
      </w:r>
      <w:r>
        <w:fldChar w:fldCharType="begin"/>
      </w:r>
      <w:r>
        <w:instrText xml:space="preserve"> PAGEREF _Toc3180 \h </w:instrText>
      </w:r>
      <w:r>
        <w:fldChar w:fldCharType="separate"/>
      </w:r>
      <w:r>
        <w:t>43</w:t>
      </w:r>
      <w:r>
        <w:fldChar w:fldCharType="end"/>
      </w:r>
      <w:r>
        <w:rPr>
          <w:rFonts w:hint="eastAsia" w:ascii="宋体" w:hAnsi="宋体" w:cs="宋体"/>
          <w:color w:val="auto"/>
          <w:highlight w:val="none"/>
        </w:rPr>
        <w:fldChar w:fldCharType="end"/>
      </w:r>
    </w:p>
    <w:p w14:paraId="50DE8430">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_Toc313 </w:instrText>
      </w:r>
      <w:r>
        <w:rPr>
          <w:rFonts w:hint="eastAsia" w:ascii="宋体" w:hAnsi="宋体" w:cs="宋体"/>
          <w:highlight w:val="none"/>
        </w:rPr>
        <w:fldChar w:fldCharType="separate"/>
      </w:r>
      <w:r>
        <w:rPr>
          <w:rFonts w:hint="eastAsia" w:ascii="宋体" w:hAnsi="宋体" w:eastAsia="宋体" w:cs="宋体"/>
          <w:szCs w:val="24"/>
          <w:highlight w:val="none"/>
        </w:rPr>
        <w:t>附件一：投标声明书</w:t>
      </w:r>
      <w:r>
        <w:tab/>
      </w:r>
      <w:r>
        <w:fldChar w:fldCharType="begin"/>
      </w:r>
      <w:r>
        <w:instrText xml:space="preserve"> PAGEREF _Toc313 \h </w:instrText>
      </w:r>
      <w:r>
        <w:fldChar w:fldCharType="separate"/>
      </w:r>
      <w:r>
        <w:t>46</w:t>
      </w:r>
      <w:r>
        <w:fldChar w:fldCharType="end"/>
      </w:r>
      <w:r>
        <w:rPr>
          <w:rFonts w:hint="eastAsia" w:ascii="宋体" w:hAnsi="宋体" w:cs="宋体"/>
          <w:color w:val="auto"/>
          <w:highlight w:val="none"/>
        </w:rPr>
        <w:fldChar w:fldCharType="end"/>
      </w:r>
    </w:p>
    <w:p w14:paraId="244FAF18">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_Toc28089 </w:instrText>
      </w:r>
      <w:r>
        <w:rPr>
          <w:rFonts w:hint="eastAsia" w:ascii="宋体" w:hAnsi="宋体" w:cs="宋体"/>
          <w:highlight w:val="none"/>
        </w:rPr>
        <w:fldChar w:fldCharType="separate"/>
      </w:r>
      <w:r>
        <w:rPr>
          <w:rFonts w:hint="eastAsia" w:ascii="宋体" w:hAnsi="宋体" w:eastAsia="宋体" w:cs="宋体"/>
          <w:bCs w:val="0"/>
          <w:szCs w:val="24"/>
          <w:highlight w:val="none"/>
        </w:rPr>
        <w:t>附件二：符合参加政府采购活动应当具备的一般条件的承诺函</w:t>
      </w:r>
      <w:r>
        <w:tab/>
      </w:r>
      <w:r>
        <w:fldChar w:fldCharType="begin"/>
      </w:r>
      <w:r>
        <w:instrText xml:space="preserve"> PAGEREF _Toc28089 \h </w:instrText>
      </w:r>
      <w:r>
        <w:fldChar w:fldCharType="separate"/>
      </w:r>
      <w:r>
        <w:t>47</w:t>
      </w:r>
      <w:r>
        <w:fldChar w:fldCharType="end"/>
      </w:r>
      <w:r>
        <w:rPr>
          <w:rFonts w:hint="eastAsia" w:ascii="宋体" w:hAnsi="宋体" w:cs="宋体"/>
          <w:color w:val="auto"/>
          <w:highlight w:val="none"/>
        </w:rPr>
        <w:fldChar w:fldCharType="end"/>
      </w:r>
    </w:p>
    <w:p w14:paraId="34F4319A">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_Toc23153 </w:instrText>
      </w:r>
      <w:r>
        <w:rPr>
          <w:rFonts w:hint="eastAsia" w:ascii="宋体" w:hAnsi="宋体" w:cs="宋体"/>
          <w:highlight w:val="none"/>
        </w:rPr>
        <w:fldChar w:fldCharType="separate"/>
      </w:r>
      <w:r>
        <w:rPr>
          <w:rFonts w:hint="eastAsia" w:ascii="宋体" w:hAnsi="宋体" w:eastAsia="宋体" w:cs="宋体"/>
          <w:bCs w:val="0"/>
          <w:szCs w:val="24"/>
          <w:highlight w:val="none"/>
        </w:rPr>
        <w:t>附件三：政府采购活动现场确认声明书</w:t>
      </w:r>
      <w:r>
        <w:tab/>
      </w:r>
      <w:r>
        <w:fldChar w:fldCharType="begin"/>
      </w:r>
      <w:r>
        <w:instrText xml:space="preserve"> PAGEREF _Toc23153 \h </w:instrText>
      </w:r>
      <w:r>
        <w:fldChar w:fldCharType="separate"/>
      </w:r>
      <w:r>
        <w:t>48</w:t>
      </w:r>
      <w:r>
        <w:fldChar w:fldCharType="end"/>
      </w:r>
      <w:r>
        <w:rPr>
          <w:rFonts w:hint="eastAsia" w:ascii="宋体" w:hAnsi="宋体" w:cs="宋体"/>
          <w:color w:val="auto"/>
          <w:highlight w:val="none"/>
        </w:rPr>
        <w:fldChar w:fldCharType="end"/>
      </w:r>
    </w:p>
    <w:p w14:paraId="52895AB5">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_Toc1234 </w:instrText>
      </w:r>
      <w:r>
        <w:rPr>
          <w:rFonts w:hint="eastAsia" w:ascii="宋体" w:hAnsi="宋体" w:cs="宋体"/>
          <w:highlight w:val="none"/>
        </w:rPr>
        <w:fldChar w:fldCharType="separate"/>
      </w:r>
      <w:r>
        <w:rPr>
          <w:rFonts w:hint="eastAsia" w:ascii="宋体" w:hAnsi="宋体" w:eastAsia="宋体" w:cs="宋体"/>
          <w:szCs w:val="24"/>
          <w:highlight w:val="none"/>
        </w:rPr>
        <w:t>附件四：法定代表人授权委托书</w:t>
      </w:r>
      <w:r>
        <w:tab/>
      </w:r>
      <w:r>
        <w:fldChar w:fldCharType="begin"/>
      </w:r>
      <w:r>
        <w:instrText xml:space="preserve"> PAGEREF _Toc1234 \h </w:instrText>
      </w:r>
      <w:r>
        <w:fldChar w:fldCharType="separate"/>
      </w:r>
      <w:r>
        <w:t>49</w:t>
      </w:r>
      <w:r>
        <w:fldChar w:fldCharType="end"/>
      </w:r>
      <w:r>
        <w:rPr>
          <w:rFonts w:hint="eastAsia" w:ascii="宋体" w:hAnsi="宋体" w:cs="宋体"/>
          <w:color w:val="auto"/>
          <w:highlight w:val="none"/>
        </w:rPr>
        <w:fldChar w:fldCharType="end"/>
      </w:r>
    </w:p>
    <w:p w14:paraId="03EB924F">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_Toc24198 </w:instrText>
      </w:r>
      <w:r>
        <w:rPr>
          <w:rFonts w:hint="eastAsia" w:ascii="宋体" w:hAnsi="宋体" w:cs="宋体"/>
          <w:highlight w:val="none"/>
        </w:rPr>
        <w:fldChar w:fldCharType="separate"/>
      </w:r>
      <w:r>
        <w:rPr>
          <w:rFonts w:hint="eastAsia" w:ascii="宋体" w:hAnsi="宋体" w:eastAsia="宋体" w:cs="宋体"/>
          <w:szCs w:val="24"/>
          <w:highlight w:val="none"/>
        </w:rPr>
        <w:t>附件五：联合体协议</w:t>
      </w:r>
      <w:r>
        <w:tab/>
      </w:r>
      <w:r>
        <w:fldChar w:fldCharType="begin"/>
      </w:r>
      <w:r>
        <w:instrText xml:space="preserve"> PAGEREF _Toc24198 \h </w:instrText>
      </w:r>
      <w:r>
        <w:fldChar w:fldCharType="separate"/>
      </w:r>
      <w:r>
        <w:t>50</w:t>
      </w:r>
      <w:r>
        <w:fldChar w:fldCharType="end"/>
      </w:r>
      <w:r>
        <w:rPr>
          <w:rFonts w:hint="eastAsia" w:ascii="宋体" w:hAnsi="宋体" w:cs="宋体"/>
          <w:color w:val="auto"/>
          <w:highlight w:val="none"/>
        </w:rPr>
        <w:fldChar w:fldCharType="end"/>
      </w:r>
    </w:p>
    <w:p w14:paraId="46E22CAE">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_Toc1938 </w:instrText>
      </w:r>
      <w:r>
        <w:rPr>
          <w:rFonts w:hint="eastAsia" w:ascii="宋体" w:hAnsi="宋体" w:cs="宋体"/>
          <w:highlight w:val="none"/>
        </w:rPr>
        <w:fldChar w:fldCharType="separate"/>
      </w:r>
      <w:r>
        <w:rPr>
          <w:rFonts w:hint="eastAsia" w:ascii="宋体" w:hAnsi="宋体" w:eastAsia="宋体" w:cs="宋体"/>
          <w:szCs w:val="24"/>
          <w:highlight w:val="none"/>
        </w:rPr>
        <w:t>附件六：分包意向协议</w:t>
      </w:r>
      <w:r>
        <w:tab/>
      </w:r>
      <w:r>
        <w:fldChar w:fldCharType="begin"/>
      </w:r>
      <w:r>
        <w:instrText xml:space="preserve"> PAGEREF _Toc1938 \h </w:instrText>
      </w:r>
      <w:r>
        <w:fldChar w:fldCharType="separate"/>
      </w:r>
      <w:r>
        <w:t>51</w:t>
      </w:r>
      <w:r>
        <w:fldChar w:fldCharType="end"/>
      </w:r>
      <w:r>
        <w:rPr>
          <w:rFonts w:hint="eastAsia" w:ascii="宋体" w:hAnsi="宋体" w:cs="宋体"/>
          <w:color w:val="auto"/>
          <w:highlight w:val="none"/>
        </w:rPr>
        <w:fldChar w:fldCharType="end"/>
      </w:r>
    </w:p>
    <w:p w14:paraId="6A2B8E03">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_Toc26601 </w:instrText>
      </w:r>
      <w:r>
        <w:rPr>
          <w:rFonts w:hint="eastAsia" w:ascii="宋体" w:hAnsi="宋体" w:cs="宋体"/>
          <w:highlight w:val="none"/>
        </w:rPr>
        <w:fldChar w:fldCharType="separate"/>
      </w:r>
      <w:r>
        <w:rPr>
          <w:rFonts w:hint="eastAsia" w:ascii="宋体" w:hAnsi="宋体" w:eastAsia="宋体" w:cs="宋体"/>
          <w:szCs w:val="24"/>
          <w:highlight w:val="none"/>
        </w:rPr>
        <w:t>附件七：投标人资信商务、技术自评得分表</w:t>
      </w:r>
      <w:r>
        <w:tab/>
      </w:r>
      <w:r>
        <w:fldChar w:fldCharType="begin"/>
      </w:r>
      <w:r>
        <w:instrText xml:space="preserve"> PAGEREF _Toc26601 \h </w:instrText>
      </w:r>
      <w:r>
        <w:fldChar w:fldCharType="separate"/>
      </w:r>
      <w:r>
        <w:t>52</w:t>
      </w:r>
      <w:r>
        <w:fldChar w:fldCharType="end"/>
      </w:r>
      <w:r>
        <w:rPr>
          <w:rFonts w:hint="eastAsia" w:ascii="宋体" w:hAnsi="宋体" w:cs="宋体"/>
          <w:color w:val="auto"/>
          <w:highlight w:val="none"/>
        </w:rPr>
        <w:fldChar w:fldCharType="end"/>
      </w:r>
    </w:p>
    <w:p w14:paraId="4B2E3E49">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_Toc31392 </w:instrText>
      </w:r>
      <w:r>
        <w:rPr>
          <w:rFonts w:hint="eastAsia" w:ascii="宋体" w:hAnsi="宋体" w:cs="宋体"/>
          <w:highlight w:val="none"/>
        </w:rPr>
        <w:fldChar w:fldCharType="separate"/>
      </w:r>
      <w:r>
        <w:rPr>
          <w:rFonts w:hint="eastAsia" w:ascii="宋体" w:hAnsi="宋体" w:eastAsia="宋体" w:cs="宋体"/>
          <w:szCs w:val="24"/>
          <w:highlight w:val="none"/>
        </w:rPr>
        <w:t>附件八：商务响应表</w:t>
      </w:r>
      <w:r>
        <w:tab/>
      </w:r>
      <w:r>
        <w:fldChar w:fldCharType="begin"/>
      </w:r>
      <w:r>
        <w:instrText xml:space="preserve"> PAGEREF _Toc31392 \h </w:instrText>
      </w:r>
      <w:r>
        <w:fldChar w:fldCharType="separate"/>
      </w:r>
      <w:r>
        <w:t>53</w:t>
      </w:r>
      <w:r>
        <w:fldChar w:fldCharType="end"/>
      </w:r>
      <w:r>
        <w:rPr>
          <w:rFonts w:hint="eastAsia" w:ascii="宋体" w:hAnsi="宋体" w:cs="宋体"/>
          <w:color w:val="auto"/>
          <w:highlight w:val="none"/>
        </w:rPr>
        <w:fldChar w:fldCharType="end"/>
      </w:r>
    </w:p>
    <w:p w14:paraId="1A4B3135">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_Toc5301 </w:instrText>
      </w:r>
      <w:r>
        <w:rPr>
          <w:rFonts w:hint="eastAsia" w:ascii="宋体" w:hAnsi="宋体" w:cs="宋体"/>
          <w:highlight w:val="none"/>
        </w:rPr>
        <w:fldChar w:fldCharType="separate"/>
      </w:r>
      <w:r>
        <w:rPr>
          <w:rFonts w:hint="eastAsia" w:ascii="宋体" w:hAnsi="宋体" w:eastAsia="宋体" w:cs="宋体"/>
          <w:bCs w:val="0"/>
          <w:szCs w:val="24"/>
          <w:highlight w:val="none"/>
        </w:rPr>
        <w:t>附件九：技术响应表</w:t>
      </w:r>
      <w:r>
        <w:tab/>
      </w:r>
      <w:r>
        <w:fldChar w:fldCharType="begin"/>
      </w:r>
      <w:r>
        <w:instrText xml:space="preserve"> PAGEREF _Toc5301 \h </w:instrText>
      </w:r>
      <w:r>
        <w:fldChar w:fldCharType="separate"/>
      </w:r>
      <w:r>
        <w:t>54</w:t>
      </w:r>
      <w:r>
        <w:fldChar w:fldCharType="end"/>
      </w:r>
      <w:r>
        <w:rPr>
          <w:rFonts w:hint="eastAsia" w:ascii="宋体" w:hAnsi="宋体" w:cs="宋体"/>
          <w:color w:val="auto"/>
          <w:highlight w:val="none"/>
        </w:rPr>
        <w:fldChar w:fldCharType="end"/>
      </w:r>
    </w:p>
    <w:p w14:paraId="716B30E6">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_Toc18296 </w:instrText>
      </w:r>
      <w:r>
        <w:rPr>
          <w:rFonts w:hint="eastAsia" w:ascii="宋体" w:hAnsi="宋体" w:cs="宋体"/>
          <w:highlight w:val="none"/>
        </w:rPr>
        <w:fldChar w:fldCharType="separate"/>
      </w:r>
      <w:r>
        <w:rPr>
          <w:rFonts w:hint="eastAsia" w:ascii="宋体" w:hAnsi="宋体" w:eastAsia="宋体" w:cs="宋体"/>
          <w:bCs w:val="0"/>
          <w:szCs w:val="24"/>
          <w:highlight w:val="none"/>
        </w:rPr>
        <w:t>附件十：服务项目组成员及简介</w:t>
      </w:r>
      <w:r>
        <w:tab/>
      </w:r>
      <w:r>
        <w:fldChar w:fldCharType="begin"/>
      </w:r>
      <w:r>
        <w:instrText xml:space="preserve"> PAGEREF _Toc18296 \h </w:instrText>
      </w:r>
      <w:r>
        <w:fldChar w:fldCharType="separate"/>
      </w:r>
      <w:r>
        <w:t>55</w:t>
      </w:r>
      <w:r>
        <w:fldChar w:fldCharType="end"/>
      </w:r>
      <w:r>
        <w:rPr>
          <w:rFonts w:hint="eastAsia" w:ascii="宋体" w:hAnsi="宋体" w:cs="宋体"/>
          <w:color w:val="auto"/>
          <w:highlight w:val="none"/>
        </w:rPr>
        <w:fldChar w:fldCharType="end"/>
      </w:r>
    </w:p>
    <w:p w14:paraId="415AF755">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_Toc1308 </w:instrText>
      </w:r>
      <w:r>
        <w:rPr>
          <w:rFonts w:hint="eastAsia" w:ascii="宋体" w:hAnsi="宋体" w:cs="宋体"/>
          <w:highlight w:val="none"/>
        </w:rPr>
        <w:fldChar w:fldCharType="separate"/>
      </w:r>
      <w:r>
        <w:rPr>
          <w:rFonts w:hint="eastAsia" w:ascii="宋体" w:hAnsi="宋体" w:eastAsia="宋体" w:cs="宋体"/>
          <w:kern w:val="0"/>
          <w:szCs w:val="24"/>
          <w:highlight w:val="none"/>
        </w:rPr>
        <w:t>附件十一：同类项目业绩一览表</w:t>
      </w:r>
      <w:r>
        <w:tab/>
      </w:r>
      <w:r>
        <w:fldChar w:fldCharType="begin"/>
      </w:r>
      <w:r>
        <w:instrText xml:space="preserve"> PAGEREF _Toc1308 \h </w:instrText>
      </w:r>
      <w:r>
        <w:fldChar w:fldCharType="separate"/>
      </w:r>
      <w:r>
        <w:t>56</w:t>
      </w:r>
      <w:r>
        <w:fldChar w:fldCharType="end"/>
      </w:r>
      <w:r>
        <w:rPr>
          <w:rFonts w:hint="eastAsia" w:ascii="宋体" w:hAnsi="宋体" w:cs="宋体"/>
          <w:color w:val="auto"/>
          <w:highlight w:val="none"/>
        </w:rPr>
        <w:fldChar w:fldCharType="end"/>
      </w:r>
    </w:p>
    <w:p w14:paraId="7C73F55D">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_Toc32669 </w:instrText>
      </w:r>
      <w:r>
        <w:rPr>
          <w:rFonts w:hint="eastAsia" w:ascii="宋体" w:hAnsi="宋体" w:cs="宋体"/>
          <w:highlight w:val="none"/>
        </w:rPr>
        <w:fldChar w:fldCharType="separate"/>
      </w:r>
      <w:r>
        <w:rPr>
          <w:rFonts w:hint="eastAsia" w:ascii="宋体" w:hAnsi="宋体" w:cs="宋体"/>
          <w:bCs/>
          <w:highlight w:val="none"/>
        </w:rPr>
        <w:t>附件十二：服务费承诺书</w:t>
      </w:r>
      <w:r>
        <w:tab/>
      </w:r>
      <w:r>
        <w:fldChar w:fldCharType="begin"/>
      </w:r>
      <w:r>
        <w:instrText xml:space="preserve"> PAGEREF _Toc32669 \h </w:instrText>
      </w:r>
      <w:r>
        <w:fldChar w:fldCharType="separate"/>
      </w:r>
      <w:r>
        <w:t>57</w:t>
      </w:r>
      <w:r>
        <w:fldChar w:fldCharType="end"/>
      </w:r>
      <w:r>
        <w:rPr>
          <w:rFonts w:hint="eastAsia" w:ascii="宋体" w:hAnsi="宋体" w:cs="宋体"/>
          <w:color w:val="auto"/>
          <w:highlight w:val="none"/>
        </w:rPr>
        <w:fldChar w:fldCharType="end"/>
      </w:r>
    </w:p>
    <w:p w14:paraId="622F38B0">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_Toc5696 </w:instrText>
      </w:r>
      <w:r>
        <w:rPr>
          <w:rFonts w:hint="eastAsia" w:ascii="宋体" w:hAnsi="宋体" w:cs="宋体"/>
          <w:highlight w:val="none"/>
        </w:rPr>
        <w:fldChar w:fldCharType="separate"/>
      </w:r>
      <w:r>
        <w:rPr>
          <w:rFonts w:hint="eastAsia" w:ascii="宋体" w:hAnsi="宋体" w:cs="宋体"/>
          <w:bCs/>
          <w:highlight w:val="none"/>
        </w:rPr>
        <w:t>附件十三: 投标函</w:t>
      </w:r>
      <w:r>
        <w:tab/>
      </w:r>
      <w:r>
        <w:fldChar w:fldCharType="begin"/>
      </w:r>
      <w:r>
        <w:instrText xml:space="preserve"> PAGEREF _Toc5696 \h </w:instrText>
      </w:r>
      <w:r>
        <w:fldChar w:fldCharType="separate"/>
      </w:r>
      <w:r>
        <w:t>58</w:t>
      </w:r>
      <w:r>
        <w:fldChar w:fldCharType="end"/>
      </w:r>
      <w:r>
        <w:rPr>
          <w:rFonts w:hint="eastAsia" w:ascii="宋体" w:hAnsi="宋体" w:cs="宋体"/>
          <w:color w:val="auto"/>
          <w:highlight w:val="none"/>
        </w:rPr>
        <w:fldChar w:fldCharType="end"/>
      </w:r>
    </w:p>
    <w:p w14:paraId="457D7477">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_Toc7824 </w:instrText>
      </w:r>
      <w:r>
        <w:rPr>
          <w:rFonts w:hint="eastAsia" w:ascii="宋体" w:hAnsi="宋体" w:cs="宋体"/>
          <w:highlight w:val="none"/>
        </w:rPr>
        <w:fldChar w:fldCharType="separate"/>
      </w:r>
      <w:r>
        <w:rPr>
          <w:rFonts w:hint="eastAsia" w:ascii="宋体" w:hAnsi="宋体" w:cs="宋体"/>
          <w:bCs/>
          <w:highlight w:val="none"/>
        </w:rPr>
        <w:t>附件十四：开标一览表</w:t>
      </w:r>
      <w:r>
        <w:tab/>
      </w:r>
      <w:r>
        <w:fldChar w:fldCharType="begin"/>
      </w:r>
      <w:r>
        <w:instrText xml:space="preserve"> PAGEREF _Toc7824 \h </w:instrText>
      </w:r>
      <w:r>
        <w:fldChar w:fldCharType="separate"/>
      </w:r>
      <w:r>
        <w:t>59</w:t>
      </w:r>
      <w:r>
        <w:fldChar w:fldCharType="end"/>
      </w:r>
      <w:r>
        <w:rPr>
          <w:rFonts w:hint="eastAsia" w:ascii="宋体" w:hAnsi="宋体" w:cs="宋体"/>
          <w:color w:val="auto"/>
          <w:highlight w:val="none"/>
        </w:rPr>
        <w:fldChar w:fldCharType="end"/>
      </w:r>
    </w:p>
    <w:p w14:paraId="7DB70F5A">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_Toc17640 </w:instrText>
      </w:r>
      <w:r>
        <w:rPr>
          <w:rFonts w:hint="eastAsia" w:ascii="宋体" w:hAnsi="宋体" w:cs="宋体"/>
          <w:highlight w:val="none"/>
        </w:rPr>
        <w:fldChar w:fldCharType="separate"/>
      </w:r>
      <w:r>
        <w:rPr>
          <w:rFonts w:hint="eastAsia" w:ascii="宋体" w:hAnsi="宋体" w:cs="宋体"/>
          <w:bCs/>
          <w:highlight w:val="none"/>
        </w:rPr>
        <w:t>附件十五：中小企业声明函（工程、服务）</w:t>
      </w:r>
      <w:r>
        <w:tab/>
      </w:r>
      <w:r>
        <w:fldChar w:fldCharType="begin"/>
      </w:r>
      <w:r>
        <w:instrText xml:space="preserve"> PAGEREF _Toc17640 \h </w:instrText>
      </w:r>
      <w:r>
        <w:fldChar w:fldCharType="separate"/>
      </w:r>
      <w:r>
        <w:t>60</w:t>
      </w:r>
      <w:r>
        <w:fldChar w:fldCharType="end"/>
      </w:r>
      <w:r>
        <w:rPr>
          <w:rFonts w:hint="eastAsia" w:ascii="宋体" w:hAnsi="宋体" w:cs="宋体"/>
          <w:color w:val="auto"/>
          <w:highlight w:val="none"/>
        </w:rPr>
        <w:fldChar w:fldCharType="end"/>
      </w:r>
    </w:p>
    <w:p w14:paraId="3352DED7">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_Toc26681 </w:instrText>
      </w:r>
      <w:r>
        <w:rPr>
          <w:rFonts w:hint="eastAsia" w:ascii="宋体" w:hAnsi="宋体" w:cs="宋体"/>
          <w:highlight w:val="none"/>
        </w:rPr>
        <w:fldChar w:fldCharType="separate"/>
      </w:r>
      <w:r>
        <w:rPr>
          <w:rFonts w:hint="eastAsia" w:ascii="宋体" w:hAnsi="宋体" w:eastAsia="宋体" w:cs="宋体"/>
          <w:bCs/>
          <w:highlight w:val="none"/>
        </w:rPr>
        <w:t>附件十</w:t>
      </w:r>
      <w:r>
        <w:rPr>
          <w:rFonts w:hint="eastAsia" w:ascii="宋体" w:hAnsi="宋体" w:eastAsia="宋体" w:cs="宋体"/>
          <w:bCs/>
          <w:highlight w:val="none"/>
          <w:lang w:val="en-US" w:eastAsia="zh-CN"/>
        </w:rPr>
        <w:t>六</w:t>
      </w:r>
      <w:r>
        <w:rPr>
          <w:rFonts w:hint="eastAsia" w:ascii="宋体" w:hAnsi="宋体" w:eastAsia="宋体" w:cs="宋体"/>
          <w:bCs/>
          <w:highlight w:val="none"/>
        </w:rPr>
        <w:t>：残疾人福利性单位声明函</w:t>
      </w:r>
      <w:r>
        <w:tab/>
      </w:r>
      <w:r>
        <w:fldChar w:fldCharType="begin"/>
      </w:r>
      <w:r>
        <w:instrText xml:space="preserve"> PAGEREF _Toc26681 \h </w:instrText>
      </w:r>
      <w:r>
        <w:fldChar w:fldCharType="separate"/>
      </w:r>
      <w:r>
        <w:t>61</w:t>
      </w:r>
      <w:r>
        <w:fldChar w:fldCharType="end"/>
      </w:r>
      <w:r>
        <w:rPr>
          <w:rFonts w:hint="eastAsia" w:ascii="宋体" w:hAnsi="宋体" w:cs="宋体"/>
          <w:color w:val="auto"/>
          <w:highlight w:val="none"/>
        </w:rPr>
        <w:fldChar w:fldCharType="end"/>
      </w:r>
    </w:p>
    <w:p w14:paraId="132A3113">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_Toc32423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七</w:t>
      </w:r>
      <w:r>
        <w:rPr>
          <w:rFonts w:hint="eastAsia" w:ascii="宋体" w:hAnsi="宋体" w:cs="宋体"/>
          <w:bCs/>
          <w:highlight w:val="none"/>
        </w:rPr>
        <w:t>：东阳市采购项目验收方案</w:t>
      </w:r>
      <w:r>
        <w:tab/>
      </w:r>
      <w:r>
        <w:fldChar w:fldCharType="begin"/>
      </w:r>
      <w:r>
        <w:instrText xml:space="preserve"> PAGEREF _Toc32423 \h </w:instrText>
      </w:r>
      <w:r>
        <w:fldChar w:fldCharType="separate"/>
      </w:r>
      <w:r>
        <w:t>62</w:t>
      </w:r>
      <w:r>
        <w:fldChar w:fldCharType="end"/>
      </w:r>
      <w:r>
        <w:rPr>
          <w:rFonts w:hint="eastAsia" w:ascii="宋体" w:hAnsi="宋体" w:cs="宋体"/>
          <w:color w:val="auto"/>
          <w:highlight w:val="none"/>
        </w:rPr>
        <w:fldChar w:fldCharType="end"/>
      </w:r>
    </w:p>
    <w:p w14:paraId="1FF877B2">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_Toc12266 </w:instrText>
      </w:r>
      <w:r>
        <w:rPr>
          <w:rFonts w:hint="eastAsia" w:ascii="宋体" w:hAnsi="宋体" w:cs="宋体"/>
          <w:highlight w:val="none"/>
        </w:rPr>
        <w:fldChar w:fldCharType="separate"/>
      </w:r>
      <w:r>
        <w:rPr>
          <w:rFonts w:hint="eastAsia" w:ascii="宋体" w:hAnsi="宋体" w:cs="宋体"/>
          <w:bCs/>
          <w:highlight w:val="none"/>
        </w:rPr>
        <w:t>附件十</w:t>
      </w:r>
      <w:r>
        <w:rPr>
          <w:rFonts w:hint="eastAsia" w:ascii="宋体" w:hAnsi="宋体" w:cs="宋体"/>
          <w:bCs/>
          <w:highlight w:val="none"/>
          <w:lang w:val="en-US" w:eastAsia="zh-CN"/>
        </w:rPr>
        <w:t>八</w:t>
      </w:r>
      <w:r>
        <w:rPr>
          <w:rFonts w:hint="eastAsia" w:ascii="宋体" w:hAnsi="宋体" w:cs="宋体"/>
          <w:bCs/>
          <w:highlight w:val="none"/>
        </w:rPr>
        <w:t>：东阳市政府采购代理机构社会评价表</w:t>
      </w:r>
      <w:r>
        <w:tab/>
      </w:r>
      <w:r>
        <w:fldChar w:fldCharType="begin"/>
      </w:r>
      <w:r>
        <w:instrText xml:space="preserve"> PAGEREF _Toc12266 \h </w:instrText>
      </w:r>
      <w:r>
        <w:fldChar w:fldCharType="separate"/>
      </w:r>
      <w:r>
        <w:t>63</w:t>
      </w:r>
      <w:r>
        <w:fldChar w:fldCharType="end"/>
      </w:r>
      <w:r>
        <w:rPr>
          <w:rFonts w:hint="eastAsia" w:ascii="宋体" w:hAnsi="宋体" w:cs="宋体"/>
          <w:color w:val="auto"/>
          <w:highlight w:val="none"/>
        </w:rPr>
        <w:fldChar w:fldCharType="end"/>
      </w:r>
    </w:p>
    <w:p w14:paraId="4DD5468E">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_Toc7536 </w:instrText>
      </w:r>
      <w:r>
        <w:rPr>
          <w:rFonts w:hint="eastAsia" w:ascii="宋体" w:hAnsi="宋体" w:cs="宋体"/>
          <w:highlight w:val="none"/>
        </w:rPr>
        <w:fldChar w:fldCharType="separate"/>
      </w:r>
      <w:r>
        <w:rPr>
          <w:rFonts w:hint="eastAsia" w:ascii="宋体" w:hAnsi="宋体" w:eastAsia="宋体" w:cs="宋体"/>
          <w:szCs w:val="24"/>
          <w:highlight w:val="none"/>
        </w:rPr>
        <w:t>附件十</w:t>
      </w:r>
      <w:r>
        <w:rPr>
          <w:rFonts w:hint="eastAsia" w:ascii="宋体" w:hAnsi="宋体" w:eastAsia="宋体" w:cs="宋体"/>
          <w:szCs w:val="24"/>
          <w:highlight w:val="none"/>
          <w:lang w:val="en-US" w:eastAsia="zh-CN"/>
        </w:rPr>
        <w:t>九</w:t>
      </w:r>
      <w:r>
        <w:rPr>
          <w:rFonts w:hint="eastAsia" w:ascii="宋体" w:hAnsi="宋体" w:eastAsia="宋体" w:cs="宋体"/>
          <w:szCs w:val="24"/>
          <w:highlight w:val="none"/>
        </w:rPr>
        <w:t>：办理保函需提供资料</w:t>
      </w:r>
      <w:r>
        <w:tab/>
      </w:r>
      <w:r>
        <w:fldChar w:fldCharType="begin"/>
      </w:r>
      <w:r>
        <w:instrText xml:space="preserve"> PAGEREF _Toc7536 \h </w:instrText>
      </w:r>
      <w:r>
        <w:fldChar w:fldCharType="separate"/>
      </w:r>
      <w:r>
        <w:t>64</w:t>
      </w:r>
      <w:r>
        <w:fldChar w:fldCharType="end"/>
      </w:r>
      <w:r>
        <w:rPr>
          <w:rFonts w:hint="eastAsia" w:ascii="宋体" w:hAnsi="宋体" w:cs="宋体"/>
          <w:color w:val="auto"/>
          <w:highlight w:val="none"/>
        </w:rPr>
        <w:fldChar w:fldCharType="end"/>
      </w:r>
    </w:p>
    <w:p w14:paraId="7B882C1D">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_Toc29729 </w:instrText>
      </w:r>
      <w:r>
        <w:rPr>
          <w:rFonts w:hint="eastAsia" w:ascii="宋体" w:hAnsi="宋体" w:cs="宋体"/>
          <w:highlight w:val="none"/>
        </w:rPr>
        <w:fldChar w:fldCharType="separate"/>
      </w:r>
      <w:r>
        <w:rPr>
          <w:rFonts w:hint="eastAsia" w:ascii="宋体" w:hAnsi="宋体" w:eastAsia="宋体" w:cs="宋体"/>
          <w:highlight w:val="none"/>
        </w:rPr>
        <w:t>附件</w:t>
      </w:r>
      <w:r>
        <w:rPr>
          <w:rFonts w:hint="eastAsia" w:ascii="宋体" w:hAnsi="宋体" w:eastAsia="宋体" w:cs="宋体"/>
          <w:highlight w:val="none"/>
          <w:lang w:val="en-US" w:eastAsia="zh-CN"/>
        </w:rPr>
        <w:t>二</w:t>
      </w:r>
      <w:r>
        <w:rPr>
          <w:rFonts w:hint="eastAsia" w:ascii="宋体" w:hAnsi="宋体" w:eastAsia="宋体" w:cs="宋体"/>
          <w:highlight w:val="none"/>
        </w:rPr>
        <w:t>十：质疑函范本</w:t>
      </w:r>
      <w:r>
        <w:tab/>
      </w:r>
      <w:r>
        <w:fldChar w:fldCharType="begin"/>
      </w:r>
      <w:r>
        <w:instrText xml:space="preserve"> PAGEREF _Toc29729 \h </w:instrText>
      </w:r>
      <w:r>
        <w:fldChar w:fldCharType="separate"/>
      </w:r>
      <w:r>
        <w:t>66</w:t>
      </w:r>
      <w:r>
        <w:fldChar w:fldCharType="end"/>
      </w:r>
      <w:r>
        <w:rPr>
          <w:rFonts w:hint="eastAsia" w:ascii="宋体" w:hAnsi="宋体" w:cs="宋体"/>
          <w:color w:val="auto"/>
          <w:highlight w:val="none"/>
        </w:rPr>
        <w:fldChar w:fldCharType="end"/>
      </w:r>
    </w:p>
    <w:p w14:paraId="0681B58E">
      <w:pPr>
        <w:pStyle w:val="23"/>
        <w:tabs>
          <w:tab w:val="right" w:leader="dot" w:pos="9127"/>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_Toc26805 </w:instrText>
      </w:r>
      <w:r>
        <w:rPr>
          <w:rFonts w:hint="eastAsia" w:ascii="宋体" w:hAnsi="宋体" w:cs="宋体"/>
          <w:highlight w:val="none"/>
        </w:rPr>
        <w:fldChar w:fldCharType="separate"/>
      </w:r>
      <w:r>
        <w:rPr>
          <w:rFonts w:hint="eastAsia" w:ascii="宋体" w:hAnsi="宋体" w:eastAsia="宋体" w:cs="宋体"/>
          <w:highlight w:val="none"/>
        </w:rPr>
        <w:t>附件二十</w:t>
      </w:r>
      <w:r>
        <w:rPr>
          <w:rFonts w:hint="eastAsia" w:ascii="宋体" w:hAnsi="宋体" w:eastAsia="宋体" w:cs="宋体"/>
          <w:highlight w:val="none"/>
          <w:lang w:val="en-US" w:eastAsia="zh-CN"/>
        </w:rPr>
        <w:t>一</w:t>
      </w:r>
      <w:r>
        <w:rPr>
          <w:rFonts w:hint="eastAsia" w:ascii="宋体" w:hAnsi="宋体" w:eastAsia="宋体" w:cs="宋体"/>
          <w:highlight w:val="none"/>
        </w:rPr>
        <w:t>：投诉书范本</w:t>
      </w:r>
      <w:r>
        <w:tab/>
      </w:r>
      <w:r>
        <w:fldChar w:fldCharType="begin"/>
      </w:r>
      <w:r>
        <w:instrText xml:space="preserve"> PAGEREF _Toc26805 \h </w:instrText>
      </w:r>
      <w:r>
        <w:fldChar w:fldCharType="separate"/>
      </w:r>
      <w:r>
        <w:t>68</w:t>
      </w:r>
      <w:r>
        <w:fldChar w:fldCharType="end"/>
      </w:r>
      <w:r>
        <w:rPr>
          <w:rFonts w:hint="eastAsia" w:ascii="宋体" w:hAnsi="宋体" w:cs="宋体"/>
          <w:color w:val="auto"/>
          <w:highlight w:val="none"/>
        </w:rPr>
        <w:fldChar w:fldCharType="end"/>
      </w:r>
    </w:p>
    <w:p w14:paraId="469235B9">
      <w:pPr>
        <w:pStyle w:val="18"/>
        <w:tabs>
          <w:tab w:val="right" w:leader="dot" w:pos="9402"/>
        </w:tabs>
        <w:spacing w:line="360" w:lineRule="auto"/>
        <w:jc w:val="center"/>
        <w:rPr>
          <w:rFonts w:ascii="宋体" w:hAnsi="宋体" w:cs="宋体"/>
          <w:color w:val="auto"/>
          <w:sz w:val="24"/>
          <w:highlight w:val="none"/>
        </w:rPr>
      </w:pPr>
      <w:r>
        <w:rPr>
          <w:rFonts w:hint="eastAsia" w:ascii="宋体" w:hAnsi="宋体" w:cs="宋体"/>
          <w:color w:val="auto"/>
          <w:highlight w:val="none"/>
        </w:rPr>
        <w:fldChar w:fldCharType="end"/>
      </w:r>
    </w:p>
    <w:p w14:paraId="175FA4EB">
      <w:pPr>
        <w:pStyle w:val="18"/>
        <w:pageBreakBefore/>
        <w:tabs>
          <w:tab w:val="right" w:leader="dot" w:pos="9402"/>
        </w:tabs>
        <w:spacing w:line="480" w:lineRule="auto"/>
        <w:jc w:val="center"/>
        <w:outlineLvl w:val="0"/>
        <w:rPr>
          <w:rFonts w:ascii="宋体" w:hAnsi="宋体" w:cs="宋体"/>
          <w:b/>
          <w:color w:val="auto"/>
          <w:sz w:val="28"/>
          <w:szCs w:val="28"/>
          <w:highlight w:val="none"/>
        </w:rPr>
      </w:pPr>
      <w:bookmarkStart w:id="0" w:name="_Toc4244"/>
      <w:r>
        <w:rPr>
          <w:rFonts w:hint="eastAsia" w:ascii="宋体" w:hAnsi="宋体" w:cs="宋体"/>
          <w:b/>
          <w:color w:val="auto"/>
          <w:sz w:val="28"/>
          <w:szCs w:val="28"/>
          <w:highlight w:val="none"/>
        </w:rPr>
        <w:t>第一章  公开招标采购公告</w:t>
      </w:r>
      <w:bookmarkEnd w:id="0"/>
      <w:r>
        <w:rPr>
          <w:rFonts w:hint="eastAsia" w:ascii="宋体" w:hAnsi="宋体" w:cs="宋体"/>
          <w:b/>
          <w:color w:val="auto"/>
          <w:sz w:val="28"/>
          <w:szCs w:val="28"/>
          <w:highlight w:val="none"/>
        </w:rPr>
        <w:t xml:space="preserve"> </w:t>
      </w:r>
    </w:p>
    <w:p w14:paraId="5B2FD14E">
      <w:pPr>
        <w:pBdr>
          <w:top w:val="single" w:color="auto" w:sz="4" w:space="1"/>
          <w:left w:val="single" w:color="auto" w:sz="4" w:space="4"/>
          <w:bottom w:val="single" w:color="auto" w:sz="4" w:space="1"/>
          <w:right w:val="single" w:color="auto" w:sz="4" w:space="4"/>
        </w:pBdr>
        <w:spacing w:line="5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项目概况</w:t>
      </w:r>
    </w:p>
    <w:p w14:paraId="0DD7DF51">
      <w:pPr>
        <w:pBdr>
          <w:top w:val="single" w:color="auto" w:sz="4" w:space="1"/>
          <w:left w:val="single" w:color="auto" w:sz="4" w:space="4"/>
          <w:bottom w:val="single" w:color="auto" w:sz="4" w:space="1"/>
          <w:right w:val="single" w:color="auto" w:sz="4" w:space="4"/>
        </w:pBd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东阳市人民医院肾穿刺病理检测外送服务项目</w:t>
      </w:r>
      <w:r>
        <w:rPr>
          <w:rFonts w:hint="eastAsia" w:ascii="宋体" w:hAnsi="宋体" w:cs="宋体"/>
          <w:color w:val="auto"/>
          <w:sz w:val="24"/>
          <w:highlight w:val="none"/>
        </w:rPr>
        <w:t>的潜在投标人应在浙江政府采购网（http://zfcg.czt.zj.gov.cn/）；东阳市公共资源交易网(http://www.dongyang.gov.cn/ggzyjy/index.html)获取（下载）招标文件，并于</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13</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r>
        <w:rPr>
          <w:rFonts w:hint="eastAsia" w:ascii="宋体" w:hAnsi="宋体" w:cs="宋体"/>
          <w:color w:val="auto"/>
          <w:sz w:val="24"/>
          <w:highlight w:val="none"/>
        </w:rPr>
        <w:t>（北京时间）前递交（上传）电子投标文件。</w:t>
      </w:r>
    </w:p>
    <w:p w14:paraId="3E423D9E">
      <w:pPr>
        <w:numPr>
          <w:ilvl w:val="0"/>
          <w:numId w:val="2"/>
        </w:num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项目基本情况</w:t>
      </w:r>
    </w:p>
    <w:p w14:paraId="10C09B9B">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rPr>
        <w:t>项目编号：</w:t>
      </w:r>
      <w:r>
        <w:rPr>
          <w:rFonts w:hint="eastAsia" w:ascii="宋体" w:hAnsi="宋体" w:cs="宋体"/>
          <w:b/>
          <w:bCs/>
          <w:color w:val="auto"/>
          <w:sz w:val="24"/>
          <w:highlight w:val="none"/>
          <w:lang w:eastAsia="zh-CN"/>
        </w:rPr>
        <w:t>XSZFCGDZ2024-310</w:t>
      </w:r>
      <w:r>
        <w:rPr>
          <w:rFonts w:hint="eastAsia" w:ascii="宋体" w:hAnsi="宋体" w:cs="宋体"/>
          <w:b/>
          <w:bCs/>
          <w:color w:val="auto"/>
          <w:sz w:val="24"/>
          <w:highlight w:val="none"/>
          <w:lang w:val="en-US" w:eastAsia="zh-CN"/>
        </w:rPr>
        <w:t>-2</w:t>
      </w:r>
    </w:p>
    <w:p w14:paraId="5B08DAAC">
      <w:pPr>
        <w:spacing w:line="360" w:lineRule="auto"/>
        <w:ind w:left="1684" w:leftChars="228" w:hanging="1205" w:hangingChars="5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项目名称：</w:t>
      </w:r>
      <w:r>
        <w:rPr>
          <w:rFonts w:hint="eastAsia" w:ascii="宋体" w:hAnsi="宋体" w:cs="宋体"/>
          <w:b/>
          <w:bCs/>
          <w:color w:val="auto"/>
          <w:sz w:val="24"/>
          <w:highlight w:val="none"/>
          <w:lang w:eastAsia="zh-CN"/>
        </w:rPr>
        <w:t>东阳市人民医院肾穿刺病理检测外送服务项目</w:t>
      </w:r>
    </w:p>
    <w:p w14:paraId="519EA116">
      <w:pPr>
        <w:spacing w:line="360" w:lineRule="auto"/>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rPr>
        <w:t>预算金额（元）：</w:t>
      </w:r>
      <w:r>
        <w:rPr>
          <w:rFonts w:hint="eastAsia" w:ascii="宋体" w:hAnsi="宋体" w:cs="宋体"/>
          <w:bCs/>
          <w:color w:val="auto"/>
          <w:sz w:val="24"/>
          <w:highlight w:val="none"/>
          <w:lang w:val="en-US" w:eastAsia="zh-CN"/>
        </w:rPr>
        <w:t>900000元；</w:t>
      </w:r>
    </w:p>
    <w:p w14:paraId="7DB6852B">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最高限价（元）：</w:t>
      </w:r>
      <w:r>
        <w:rPr>
          <w:rFonts w:hint="eastAsia" w:ascii="宋体" w:hAnsi="宋体" w:cs="宋体"/>
          <w:bCs/>
          <w:color w:val="auto"/>
          <w:sz w:val="24"/>
          <w:highlight w:val="none"/>
          <w:lang w:val="en-US" w:eastAsia="zh-CN"/>
        </w:rPr>
        <w:t xml:space="preserve">        </w:t>
      </w:r>
    </w:p>
    <w:p w14:paraId="565ADCC7">
      <w:pPr>
        <w:pStyle w:val="12"/>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采购需求：</w:t>
      </w:r>
    </w:p>
    <w:p w14:paraId="35A6D968">
      <w:pPr>
        <w:pStyle w:val="12"/>
        <w:keepNext w:val="0"/>
        <w:keepLines w:val="0"/>
        <w:pageBreakBefore w:val="0"/>
        <w:kinsoku/>
        <w:wordWrap/>
        <w:overflowPunct/>
        <w:topLinePunct w:val="0"/>
        <w:autoSpaceDE/>
        <w:autoSpaceDN/>
        <w:bidi w:val="0"/>
        <w:adjustRightInd/>
        <w:spacing w:line="360" w:lineRule="auto"/>
        <w:ind w:left="718" w:leftChars="342"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标项名称：</w:t>
      </w:r>
      <w:r>
        <w:rPr>
          <w:rFonts w:hint="eastAsia" w:ascii="宋体" w:hAnsi="宋体" w:cs="宋体"/>
          <w:color w:val="auto"/>
          <w:sz w:val="24"/>
          <w:szCs w:val="24"/>
          <w:highlight w:val="none"/>
          <w:lang w:eastAsia="zh-CN"/>
        </w:rPr>
        <w:t>东阳市人民医院肾穿刺病理检测外送服务项目</w:t>
      </w:r>
    </w:p>
    <w:p w14:paraId="6315AAF9">
      <w:pPr>
        <w:pStyle w:val="12"/>
        <w:keepNext w:val="0"/>
        <w:keepLines w:val="0"/>
        <w:pageBreakBefore w:val="0"/>
        <w:kinsoku/>
        <w:wordWrap/>
        <w:overflowPunct/>
        <w:topLinePunct w:val="0"/>
        <w:autoSpaceDE/>
        <w:autoSpaceDN/>
        <w:bidi w:val="0"/>
        <w:adjustRightInd/>
        <w:spacing w:line="360" w:lineRule="auto"/>
        <w:ind w:left="718" w:leftChars="342"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数量：</w:t>
      </w:r>
      <w:r>
        <w:rPr>
          <w:rFonts w:hint="eastAsia" w:ascii="宋体" w:hAnsi="宋体" w:cs="宋体"/>
          <w:color w:val="auto"/>
          <w:sz w:val="24"/>
          <w:szCs w:val="24"/>
          <w:highlight w:val="none"/>
          <w:lang w:val="en-US" w:eastAsia="zh-CN"/>
        </w:rPr>
        <w:t>3年</w:t>
      </w:r>
      <w:bookmarkStart w:id="107" w:name="_GoBack"/>
      <w:bookmarkEnd w:id="107"/>
    </w:p>
    <w:p w14:paraId="68D49FF8">
      <w:pPr>
        <w:keepNext w:val="0"/>
        <w:keepLines w:val="0"/>
        <w:pageBreakBefore w:val="0"/>
        <w:kinsoku/>
        <w:wordWrap/>
        <w:overflowPunct/>
        <w:topLinePunct w:val="0"/>
        <w:autoSpaceDE/>
        <w:autoSpaceDN/>
        <w:bidi w:val="0"/>
        <w:adjustRightInd/>
        <w:spacing w:line="360" w:lineRule="auto"/>
        <w:ind w:firstLine="720" w:firstLineChars="3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预算金额（元）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900000元；</w:t>
      </w:r>
    </w:p>
    <w:p w14:paraId="2D37A6D8">
      <w:pPr>
        <w:pStyle w:val="12"/>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简要规格描述或项目基本概况介绍、用途：具体要求详见第二章招标需求</w:t>
      </w:r>
    </w:p>
    <w:p w14:paraId="1998AEC7">
      <w:pPr>
        <w:pStyle w:val="12"/>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p w14:paraId="1C75A1C9">
      <w:pPr>
        <w:pStyle w:val="12"/>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合同履约期限：详见招标文件</w:t>
      </w:r>
    </w:p>
    <w:p w14:paraId="36EAE8DF">
      <w:pPr>
        <w:pStyle w:val="12"/>
        <w:keepNext w:val="0"/>
        <w:keepLines w:val="0"/>
        <w:pageBreakBefore w:val="0"/>
        <w:kinsoku/>
        <w:wordWrap/>
        <w:overflowPunct/>
        <w:topLinePunct w:val="0"/>
        <w:autoSpaceDE/>
        <w:autoSpaceDN/>
        <w:bidi w:val="0"/>
        <w:adjustRightInd/>
        <w:spacing w:line="360" w:lineRule="auto"/>
        <w:ind w:firstLine="720" w:firstLineChars="3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本项目接受联合体投标</w:t>
      </w:r>
    </w:p>
    <w:p w14:paraId="6B146B92">
      <w:pPr>
        <w:snapToGrid w:val="0"/>
        <w:spacing w:line="360" w:lineRule="auto"/>
        <w:rPr>
          <w:rFonts w:ascii="宋体" w:hAnsi="宋体" w:cs="宋体"/>
          <w:b/>
          <w:bCs/>
          <w:strike/>
          <w:color w:val="auto"/>
          <w:sz w:val="24"/>
          <w:highlight w:val="none"/>
        </w:rPr>
      </w:pPr>
      <w:r>
        <w:rPr>
          <w:rFonts w:hint="eastAsia" w:ascii="宋体" w:hAnsi="宋体" w:cs="宋体"/>
          <w:b/>
          <w:bCs/>
          <w:color w:val="auto"/>
          <w:sz w:val="24"/>
          <w:highlight w:val="none"/>
        </w:rPr>
        <w:t xml:space="preserve">▲二、申请人的资格要求： </w:t>
      </w:r>
    </w:p>
    <w:p w14:paraId="733995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33FD177">
      <w:pPr>
        <w:spacing w:line="360" w:lineRule="auto"/>
        <w:ind w:firstLine="480" w:firstLineChars="200"/>
        <w:rPr>
          <w:rFonts w:ascii="宋体" w:hAnsi="宋体" w:cs="宋体"/>
          <w:sz w:val="24"/>
          <w:highlight w:val="none"/>
        </w:rPr>
      </w:pPr>
      <w:r>
        <w:rPr>
          <w:rFonts w:hint="eastAsia" w:ascii="宋体" w:hAnsi="宋体" w:cs="宋体"/>
          <w:color w:val="auto"/>
          <w:sz w:val="24"/>
          <w:highlight w:val="none"/>
        </w:rPr>
        <w:t>2.落实政府采购政策需满足的资格要求：</w:t>
      </w:r>
      <w:r>
        <w:rPr>
          <w:rFonts w:hint="eastAsia" w:ascii="宋体" w:hAnsi="宋体" w:eastAsia="宋体" w:cs="宋体"/>
          <w:color w:val="auto"/>
          <w:kern w:val="2"/>
          <w:sz w:val="24"/>
          <w:szCs w:val="24"/>
          <w:highlight w:val="none"/>
          <w:lang w:val="en-US" w:eastAsia="zh-CN" w:bidi="ar-SA"/>
        </w:rPr>
        <w:t>所有大中小微型企业均可参加投标。</w:t>
      </w:r>
    </w:p>
    <w:p w14:paraId="41F6A9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w:t>
      </w:r>
    </w:p>
    <w:p w14:paraId="46E11B8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）投标人具有</w:t>
      </w:r>
      <w:r>
        <w:rPr>
          <w:rFonts w:hint="eastAsia" w:ascii="宋体" w:hAnsi="宋体" w:cs="宋体"/>
          <w:strike w:val="0"/>
          <w:dstrike w:val="0"/>
          <w:color w:val="auto"/>
          <w:sz w:val="24"/>
          <w:highlight w:val="none"/>
        </w:rPr>
        <w:t>通过卫生行政部门批准</w:t>
      </w:r>
      <w:r>
        <w:rPr>
          <w:rFonts w:hint="eastAsia" w:ascii="宋体" w:hAnsi="宋体" w:cs="宋体"/>
          <w:strike w:val="0"/>
          <w:dstrike w:val="0"/>
          <w:color w:val="auto"/>
          <w:sz w:val="24"/>
          <w:highlight w:val="none"/>
          <w:lang w:val="en-US" w:eastAsia="zh-CN"/>
        </w:rPr>
        <w:t>的</w:t>
      </w:r>
      <w:r>
        <w:rPr>
          <w:rFonts w:hint="eastAsia" w:ascii="宋体" w:hAnsi="宋体" w:cs="宋体"/>
          <w:strike w:val="0"/>
          <w:color w:val="auto"/>
          <w:sz w:val="24"/>
          <w:highlight w:val="none"/>
        </w:rPr>
        <w:t>《</w:t>
      </w:r>
      <w:r>
        <w:rPr>
          <w:rFonts w:hint="eastAsia" w:ascii="宋体" w:hAnsi="宋体" w:cs="宋体"/>
          <w:color w:val="auto"/>
          <w:sz w:val="24"/>
          <w:highlight w:val="none"/>
        </w:rPr>
        <w:t>医疗机构执业许可证》。</w:t>
      </w:r>
    </w:p>
    <w:p w14:paraId="1D82A3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）投标人须为浙江政府采购网注册的正式供应商或承诺中标后30天内注册为浙江政府采购网正式供应商。</w:t>
      </w:r>
    </w:p>
    <w:p w14:paraId="7691D931">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 xml:space="preserve">▲三、获取招标文件： </w:t>
      </w:r>
    </w:p>
    <w:p w14:paraId="367627F5">
      <w:pPr>
        <w:spacing w:line="360" w:lineRule="auto"/>
        <w:ind w:firstLine="640"/>
        <w:rPr>
          <w:rFonts w:ascii="宋体" w:hAnsi="宋体" w:cs="宋体"/>
          <w:color w:val="auto"/>
          <w:sz w:val="24"/>
          <w:highlight w:val="none"/>
        </w:rPr>
      </w:pPr>
      <w:r>
        <w:rPr>
          <w:rFonts w:hint="eastAsia" w:ascii="宋体" w:hAnsi="宋体" w:cs="宋体"/>
          <w:color w:val="auto"/>
          <w:sz w:val="24"/>
          <w:highlight w:val="none"/>
        </w:rPr>
        <w:t>时间：/至</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13</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r>
        <w:rPr>
          <w:rFonts w:hint="eastAsia" w:ascii="宋体" w:hAnsi="宋体" w:cs="宋体"/>
          <w:color w:val="auto"/>
          <w:sz w:val="24"/>
          <w:highlight w:val="none"/>
        </w:rPr>
        <w:t>，每天上午00：00至12:00，下午12:00至23:59（北京时间，线上获取法定节假日均可，线下获取文件法定节假日除外）</w:t>
      </w:r>
    </w:p>
    <w:p w14:paraId="05471991">
      <w:pPr>
        <w:spacing w:line="360" w:lineRule="auto"/>
        <w:ind w:firstLine="640"/>
        <w:rPr>
          <w:rFonts w:ascii="宋体" w:hAnsi="宋体" w:cs="宋体"/>
          <w:color w:val="auto"/>
          <w:sz w:val="24"/>
          <w:highlight w:val="none"/>
        </w:rPr>
      </w:pPr>
      <w:r>
        <w:rPr>
          <w:rFonts w:hint="eastAsia" w:ascii="宋体" w:hAnsi="宋体" w:cs="宋体"/>
          <w:color w:val="auto"/>
          <w:sz w:val="24"/>
          <w:highlight w:val="none"/>
        </w:rPr>
        <w:t>地点（网址）：浙江政府采购网（http://zfcg.czt.zj.gov.cn/）； 东阳市公共资源交易网(http://www.dongyang.gov.cn/ggzyjy/index.html)</w:t>
      </w:r>
    </w:p>
    <w:p w14:paraId="065439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方式：1、由投标人通过登录浙江省政府采购网(http://zfcg.czt.zj.gov.cn/)上的政采云系统进行获取（首次参加投标的单位应先登录浙江省政府采购网(http://zfcg.czt.zj.gov.cn/)进行账户注册，注册完毕待审核成功后方可登录政采云系统获取；注册流程见网址</w:t>
      </w:r>
    </w:p>
    <w:p w14:paraId="3AD738A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http://zfcg.czt.zj.gov.cn/register/2017-07-24/6728.html?_=2017-11-13%2011:10:28）；</w:t>
      </w:r>
    </w:p>
    <w:p w14:paraId="5D2C46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2、招标文件获取流程：浙江政府采购网-政采云用户登录-用户中心-项目采购-获取采购文件管理。</w:t>
      </w:r>
    </w:p>
    <w:p w14:paraId="4ED758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3、浙江政府采购网上以“游客”身份获取的采购文件仅供阅览；潜在供应商应按上述方式获取采购文件；未按上述方式获取采购文件的，不得对采购文件提起质疑投诉。</w:t>
      </w:r>
    </w:p>
    <w:p w14:paraId="057F6AB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售价（元）：0</w:t>
      </w:r>
    </w:p>
    <w:p w14:paraId="211040DC">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3C093B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13</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r>
        <w:rPr>
          <w:rFonts w:hint="eastAsia" w:ascii="宋体" w:hAnsi="宋体" w:cs="宋体"/>
          <w:color w:val="auto"/>
          <w:sz w:val="24"/>
          <w:highlight w:val="none"/>
        </w:rPr>
        <w:t>（北京时间）</w:t>
      </w:r>
    </w:p>
    <w:p w14:paraId="39A2B1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投标地点（网址）：政采云平台</w:t>
      </w:r>
    </w:p>
    <w:p w14:paraId="5777411E">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13</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p>
    <w:p w14:paraId="6816B376">
      <w:pPr>
        <w:snapToGrid w:val="0"/>
        <w:spacing w:line="360" w:lineRule="auto"/>
        <w:ind w:firstLine="481"/>
        <w:rPr>
          <w:rFonts w:ascii="宋体" w:hAnsi="宋体" w:cs="宋体"/>
          <w:b/>
          <w:bCs/>
          <w:color w:val="auto"/>
          <w:sz w:val="24"/>
          <w:highlight w:val="none"/>
        </w:rPr>
      </w:pPr>
      <w:r>
        <w:rPr>
          <w:rFonts w:hint="eastAsia" w:ascii="宋体" w:hAnsi="宋体" w:cs="宋体"/>
          <w:color w:val="auto"/>
          <w:sz w:val="24"/>
          <w:highlight w:val="none"/>
        </w:rPr>
        <w:t>开标地点（网址）：政采云平台</w:t>
      </w:r>
    </w:p>
    <w:p w14:paraId="7AFBC37D">
      <w:pPr>
        <w:numPr>
          <w:ilvl w:val="0"/>
          <w:numId w:val="3"/>
        </w:num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采购意向公开链接</w:t>
      </w:r>
    </w:p>
    <w:p w14:paraId="6153AFEF">
      <w:pPr>
        <w:snapToGrid w:val="0"/>
        <w:spacing w:line="360" w:lineRule="auto"/>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fldChar w:fldCharType="begin"/>
      </w:r>
      <w:r>
        <w:rPr>
          <w:rFonts w:hint="eastAsia" w:ascii="宋体" w:hAnsi="宋体" w:cs="宋体"/>
          <w:b/>
          <w:bCs/>
          <w:color w:val="auto"/>
          <w:sz w:val="24"/>
          <w:highlight w:val="none"/>
          <w:lang w:val="en-US" w:eastAsia="zh-CN"/>
        </w:rPr>
        <w:instrText xml:space="preserve"> HYPERLINK "https://zfcg.czt.zj.gov.cn/site/detail?categoryCode=ZcyAnnouncement&amp;parentId=600007&amp;articleId=+5YpUDht12cWmeSJZgl2QQ==" </w:instrText>
      </w:r>
      <w:r>
        <w:rPr>
          <w:rFonts w:hint="eastAsia" w:ascii="宋体" w:hAnsi="宋体" w:cs="宋体"/>
          <w:b/>
          <w:bCs/>
          <w:color w:val="auto"/>
          <w:sz w:val="24"/>
          <w:highlight w:val="none"/>
          <w:lang w:val="en-US" w:eastAsia="zh-CN"/>
        </w:rPr>
        <w:fldChar w:fldCharType="separate"/>
      </w:r>
      <w:r>
        <w:rPr>
          <w:rStyle w:val="32"/>
          <w:rFonts w:hint="eastAsia" w:ascii="宋体" w:hAnsi="宋体" w:cs="宋体"/>
          <w:b/>
          <w:bCs/>
          <w:sz w:val="24"/>
          <w:highlight w:val="none"/>
          <w:lang w:val="en-US" w:eastAsia="zh-CN"/>
        </w:rPr>
        <w:t>https://zfcg.czt.zj.gov.cn/site/detail?categoryCode=ZcyAnnouncement&amp;parentId=600007&amp;articleId=+5YpUDht12cWmeSJZgl2QQ==</w:t>
      </w:r>
      <w:r>
        <w:rPr>
          <w:rFonts w:hint="eastAsia" w:ascii="宋体" w:hAnsi="宋体" w:cs="宋体"/>
          <w:b/>
          <w:bCs/>
          <w:color w:val="auto"/>
          <w:sz w:val="24"/>
          <w:highlight w:val="none"/>
          <w:lang w:val="en-US" w:eastAsia="zh-CN"/>
        </w:rPr>
        <w:fldChar w:fldCharType="end"/>
      </w:r>
    </w:p>
    <w:p w14:paraId="0649A7FD">
      <w:pPr>
        <w:snapToGrid w:val="0"/>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六、公告期限</w:t>
      </w:r>
    </w:p>
    <w:p w14:paraId="249557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1427342">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七、其他补充事宜</w:t>
      </w:r>
    </w:p>
    <w:p w14:paraId="533B1E18">
      <w:pPr>
        <w:pStyle w:val="24"/>
        <w:adjustRightInd w:val="0"/>
        <w:snapToGrid w:val="0"/>
        <w:spacing w:line="360" w:lineRule="auto"/>
        <w:rPr>
          <w:color w:val="auto"/>
          <w:kern w:val="2"/>
          <w:highlight w:val="none"/>
        </w:rPr>
      </w:pPr>
      <w:r>
        <w:rPr>
          <w:rFonts w:hint="eastAsia"/>
          <w:color w:val="auto"/>
          <w:highlight w:val="none"/>
        </w:rPr>
        <w:t xml:space="preserve">   </w:t>
      </w:r>
      <w:r>
        <w:rPr>
          <w:rFonts w:hint="eastAsia"/>
          <w:color w:val="auto"/>
          <w:kern w:val="2"/>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693EF2">
      <w:pPr>
        <w:pStyle w:val="24"/>
        <w:adjustRightInd w:val="0"/>
        <w:snapToGrid w:val="0"/>
        <w:spacing w:line="360" w:lineRule="auto"/>
        <w:ind w:firstLine="480" w:firstLineChars="200"/>
        <w:jc w:val="both"/>
        <w:rPr>
          <w:color w:val="auto"/>
          <w:kern w:val="2"/>
          <w:highlight w:val="none"/>
        </w:rPr>
      </w:pPr>
      <w:r>
        <w:rPr>
          <w:rFonts w:hint="eastAsia"/>
          <w:color w:val="auto"/>
          <w:kern w:val="2"/>
          <w:highlight w:val="none"/>
        </w:rPr>
        <w:t>2、其他事项：1.《浙江省财政厅关于进一步发挥政府采购政策功能全力推动经济稳进提质的通知》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14:paraId="66B4BCB8">
      <w:pPr>
        <w:pStyle w:val="24"/>
        <w:adjustRightInd w:val="0"/>
        <w:snapToGrid w:val="0"/>
        <w:spacing w:line="360" w:lineRule="auto"/>
        <w:ind w:firstLine="480" w:firstLineChars="200"/>
        <w:jc w:val="both"/>
        <w:rPr>
          <w:color w:val="auto"/>
          <w:kern w:val="2"/>
          <w:highlight w:val="none"/>
        </w:rPr>
      </w:pPr>
      <w:r>
        <w:rPr>
          <w:rFonts w:hint="eastAsia"/>
          <w:color w:val="auto"/>
          <w:kern w:val="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61DE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 czt.zj. gov.cn/)首页的“浙江政采贷”模块进入申请，还可以通过政府采购云平台(https://www.zcygov.cn/)首页的“金融服务”模块进入申请。</w:t>
      </w:r>
    </w:p>
    <w:p w14:paraId="1FA050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4EC757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项目实行电子投标，投标文件应按照本项目招标文件和政采云平台的要求编制、加密并递交。投标人在使用系统进行投标的过程中遇到涉及平台使用的任何问题，可致电政采云平台技术支持热线咨询，联系方式：</w:t>
      </w:r>
      <w:r>
        <w:rPr>
          <w:rFonts w:hint="eastAsia" w:ascii="宋体" w:hAnsi="宋体" w:cs="宋体"/>
          <w:color w:val="auto"/>
          <w:sz w:val="24"/>
          <w:highlight w:val="none"/>
          <w:lang w:eastAsia="zh-CN"/>
        </w:rPr>
        <w:t>95763</w:t>
      </w:r>
      <w:r>
        <w:rPr>
          <w:rFonts w:hint="eastAsia" w:ascii="宋体" w:hAnsi="宋体" w:cs="宋体"/>
          <w:color w:val="auto"/>
          <w:sz w:val="24"/>
          <w:highlight w:val="none"/>
        </w:rPr>
        <w:t>。</w:t>
      </w:r>
    </w:p>
    <w:p w14:paraId="363B69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 标 人 应 在 开 标 前 完 成 CA 数 字 证 书 办 理 。 （ 办 理 流 程 详 见http://zfcg.czt.zj.gov.cn/bidClientTemplate/2019-05-27/12945.html）。完成 CA 数字证书办理预计一周左右，建议各投标人抓紧时间办理。</w:t>
      </w:r>
    </w:p>
    <w:p w14:paraId="1C2C53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7.投标人通过政采云平台电子投标工具制作投标文件，电子投标工具请供应商自行前往浙江省政府采购网下载并安装，（下载网址：http://zfcg.czt.zj.gov.cn/bidClientTemplate/2019-08-30/12975.html），</w:t>
      </w:r>
    </w:p>
    <w:p w14:paraId="2FCF51EE">
      <w:pPr>
        <w:snapToGrid w:val="0"/>
        <w:spacing w:line="360" w:lineRule="auto"/>
        <w:rPr>
          <w:rStyle w:val="32"/>
          <w:rFonts w:ascii="宋体" w:hAnsi="宋体" w:cs="宋体"/>
          <w:color w:val="auto"/>
          <w:sz w:val="24"/>
          <w:highlight w:val="none"/>
        </w:rPr>
      </w:pPr>
      <w:r>
        <w:rPr>
          <w:rFonts w:hint="eastAsia" w:ascii="宋体" w:hAnsi="宋体" w:cs="宋体"/>
          <w:color w:val="auto"/>
          <w:sz w:val="24"/>
          <w:highlight w:val="none"/>
        </w:rPr>
        <w:t xml:space="preserve">（ 电 子 投 标 相 关 学 习 网 址 ： </w:t>
      </w:r>
      <w:r>
        <w:rPr>
          <w:color w:val="auto"/>
          <w:highlight w:val="none"/>
        </w:rPr>
        <w:fldChar w:fldCharType="begin"/>
      </w:r>
      <w:r>
        <w:rPr>
          <w:color w:val="auto"/>
          <w:highlight w:val="none"/>
        </w:rPr>
        <w:instrText xml:space="preserve"> HYPERLINK "https://edu.zcygov.cn/luban/e-biding?utm=a0004.2ef5001f.0001.0109.2d44db10df9111e9b92b0f36d4889416。）" </w:instrText>
      </w:r>
      <w:r>
        <w:rPr>
          <w:color w:val="auto"/>
          <w:highlight w:val="none"/>
        </w:rPr>
        <w:fldChar w:fldCharType="separate"/>
      </w:r>
      <w:r>
        <w:rPr>
          <w:rStyle w:val="32"/>
          <w:rFonts w:hint="eastAsia" w:ascii="宋体" w:hAnsi="宋体" w:cs="宋体"/>
          <w:color w:val="auto"/>
          <w:sz w:val="24"/>
          <w:highlight w:val="none"/>
        </w:rPr>
        <w:t>https://edu.zcygov.cn/luban/e-biding?utm=a0004.2ef5001f.0001.0109.2d44db10df9111e9b92b0f36d4889416。）</w:t>
      </w:r>
      <w:r>
        <w:rPr>
          <w:rStyle w:val="32"/>
          <w:rFonts w:hint="eastAsia" w:ascii="宋体" w:hAnsi="宋体" w:cs="宋体"/>
          <w:color w:val="auto"/>
          <w:sz w:val="24"/>
          <w:highlight w:val="none"/>
        </w:rPr>
        <w:fldChar w:fldCharType="end"/>
      </w:r>
    </w:p>
    <w:p w14:paraId="35F9EA6B">
      <w:pPr>
        <w:spacing w:line="360" w:lineRule="auto"/>
        <w:ind w:firstLine="482" w:firstLineChars="200"/>
        <w:rPr>
          <w:rFonts w:ascii="宋体" w:hAnsi="宋体" w:cs="宋体"/>
          <w:b/>
          <w:bCs/>
          <w:color w:val="auto"/>
          <w:sz w:val="24"/>
          <w:highlight w:val="none"/>
        </w:rPr>
      </w:pPr>
      <w:bookmarkStart w:id="1" w:name="_Toc35393627"/>
      <w:bookmarkStart w:id="2" w:name="_Toc35393796"/>
      <w:bookmarkStart w:id="3" w:name="_Toc28359008"/>
      <w:bookmarkStart w:id="4" w:name="_Toc28359085"/>
      <w:r>
        <w:rPr>
          <w:rFonts w:hint="eastAsia" w:ascii="宋体" w:hAnsi="宋体" w:cs="宋体"/>
          <w:b/>
          <w:bCs/>
          <w:color w:val="auto"/>
          <w:sz w:val="24"/>
          <w:highlight w:val="none"/>
        </w:rPr>
        <w:t xml:space="preserve">8.政府采购金融服务提示：为扩大政府采购金融服务面，除政采云网上金融服务合作银行外，东阳市范围内增加浙商银行金华分行东阳支行作为线下合作银行。   </w:t>
      </w:r>
    </w:p>
    <w:p w14:paraId="7A53781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浙商银行金华东阳支行  联系人：许燕  联系电话：13967983441  0579-86222992</w:t>
      </w:r>
    </w:p>
    <w:p w14:paraId="345B1344">
      <w:pPr>
        <w:spacing w:line="360" w:lineRule="auto"/>
        <w:rPr>
          <w:rFonts w:ascii="宋体" w:hAnsi="宋体" w:cs="宋体"/>
          <w:b/>
          <w:color w:val="auto"/>
          <w:sz w:val="24"/>
          <w:highlight w:val="none"/>
        </w:rPr>
      </w:pPr>
      <w:r>
        <w:rPr>
          <w:rFonts w:hint="eastAsia" w:ascii="宋体" w:hAnsi="宋体" w:cs="宋体"/>
          <w:b/>
          <w:color w:val="auto"/>
          <w:sz w:val="24"/>
          <w:highlight w:val="none"/>
        </w:rPr>
        <w:t>八、</w:t>
      </w:r>
      <w:bookmarkEnd w:id="1"/>
      <w:bookmarkEnd w:id="2"/>
      <w:bookmarkEnd w:id="3"/>
      <w:bookmarkEnd w:id="4"/>
      <w:r>
        <w:rPr>
          <w:rFonts w:hint="eastAsia" w:ascii="宋体" w:hAnsi="宋体" w:cs="宋体"/>
          <w:b/>
          <w:color w:val="auto"/>
          <w:sz w:val="24"/>
          <w:highlight w:val="none"/>
        </w:rPr>
        <w:t>对本次采购提出询问、质疑、投诉，请按以下方式联系。</w:t>
      </w:r>
    </w:p>
    <w:p w14:paraId="37EEC301">
      <w:pPr>
        <w:spacing w:line="360" w:lineRule="auto"/>
        <w:ind w:firstLine="723" w:firstLineChars="300"/>
        <w:rPr>
          <w:rFonts w:ascii="宋体" w:hAnsi="宋体" w:cs="宋体"/>
          <w:b/>
          <w:bCs/>
          <w:color w:val="auto"/>
          <w:sz w:val="24"/>
          <w:highlight w:val="none"/>
        </w:rPr>
      </w:pPr>
      <w:r>
        <w:rPr>
          <w:rFonts w:hint="eastAsia" w:ascii="宋体" w:hAnsi="宋体" w:cs="宋体"/>
          <w:b/>
          <w:bCs/>
          <w:color w:val="auto"/>
          <w:sz w:val="24"/>
          <w:highlight w:val="none"/>
        </w:rPr>
        <w:t xml:space="preserve">1.采购人信息  </w:t>
      </w:r>
    </w:p>
    <w:p w14:paraId="2506B817">
      <w:pPr>
        <w:spacing w:line="360" w:lineRule="auto"/>
        <w:ind w:firstLine="720" w:firstLineChars="300"/>
        <w:rPr>
          <w:rFonts w:hint="eastAsia" w:ascii="宋体" w:hAnsi="宋体" w:eastAsia="宋体" w:cs="宋体"/>
          <w:color w:val="auto"/>
          <w:sz w:val="24"/>
          <w:highlight w:val="none"/>
        </w:rPr>
      </w:pPr>
      <w:bookmarkStart w:id="5" w:name="_Toc28359009"/>
      <w:bookmarkStart w:id="6" w:name="_Toc28359086"/>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 xml:space="preserve">东阳市人民医院 </w:t>
      </w:r>
      <w:r>
        <w:rPr>
          <w:rFonts w:hint="eastAsia" w:ascii="宋体" w:hAnsi="宋体" w:eastAsia="宋体" w:cs="宋体"/>
          <w:color w:val="auto"/>
          <w:sz w:val="24"/>
          <w:highlight w:val="none"/>
        </w:rPr>
        <w:t xml:space="preserve">                  </w:t>
      </w:r>
    </w:p>
    <w:p w14:paraId="064F2C15">
      <w:pPr>
        <w:spacing w:line="360" w:lineRule="auto"/>
        <w:ind w:firstLine="720" w:firstLineChars="30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址：东阳市吴宁西路60号</w:t>
      </w:r>
    </w:p>
    <w:p w14:paraId="2F21420C">
      <w:pPr>
        <w:spacing w:line="360" w:lineRule="auto"/>
        <w:ind w:firstLine="720" w:firstLineChars="3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项目联系人（询问）：赵进</w:t>
      </w:r>
      <w:r>
        <w:rPr>
          <w:rFonts w:hint="default"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项目联系方式（询问）：13655896248</w:t>
      </w:r>
      <w:r>
        <w:rPr>
          <w:rFonts w:hint="default" w:ascii="宋体" w:hAnsi="宋体" w:eastAsia="宋体" w:cs="宋体"/>
          <w:color w:val="auto"/>
          <w:sz w:val="24"/>
          <w:highlight w:val="none"/>
          <w:lang w:val="en-US" w:eastAsia="zh-CN"/>
        </w:rPr>
        <w:t xml:space="preserve">   </w:t>
      </w:r>
    </w:p>
    <w:p w14:paraId="06524B88">
      <w:pPr>
        <w:spacing w:line="360" w:lineRule="auto"/>
        <w:ind w:firstLine="720" w:firstLineChars="30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 xml:space="preserve">质疑联系人：厉亚                    质疑联系方式：0579-86856078  </w:t>
      </w:r>
    </w:p>
    <w:p w14:paraId="5F855232">
      <w:pPr>
        <w:spacing w:line="360" w:lineRule="auto"/>
        <w:ind w:firstLine="723" w:firstLineChars="300"/>
        <w:rPr>
          <w:rFonts w:ascii="宋体" w:hAnsi="宋体" w:cs="宋体"/>
          <w:b/>
          <w:bCs/>
          <w:color w:val="auto"/>
          <w:sz w:val="24"/>
          <w:highlight w:val="none"/>
        </w:rPr>
      </w:pPr>
      <w:r>
        <w:rPr>
          <w:rFonts w:hint="eastAsia" w:ascii="宋体" w:hAnsi="宋体" w:cs="宋体"/>
          <w:b/>
          <w:bCs/>
          <w:color w:val="auto"/>
          <w:sz w:val="24"/>
          <w:highlight w:val="none"/>
        </w:rPr>
        <w:t>2.采购代理机构</w:t>
      </w:r>
      <w:bookmarkEnd w:id="5"/>
      <w:bookmarkEnd w:id="6"/>
      <w:r>
        <w:rPr>
          <w:rFonts w:hint="eastAsia" w:ascii="宋体" w:hAnsi="宋体" w:cs="宋体"/>
          <w:b/>
          <w:bCs/>
          <w:color w:val="auto"/>
          <w:sz w:val="24"/>
          <w:highlight w:val="none"/>
        </w:rPr>
        <w:t>信息</w:t>
      </w:r>
    </w:p>
    <w:p w14:paraId="3BC2D8A0">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 xml:space="preserve">名 称：东阳市鑫盛工程咨询有限公司 </w:t>
      </w:r>
    </w:p>
    <w:p w14:paraId="36CF43B0">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 xml:space="preserve">地 址：东阳市白云街道八华南路63号     传 真：0579-86633123 </w:t>
      </w:r>
    </w:p>
    <w:p w14:paraId="12445BD9">
      <w:pPr>
        <w:spacing w:line="360" w:lineRule="auto"/>
        <w:ind w:left="718" w:leftChars="342" w:firstLine="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王晓菲</w:t>
      </w: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eastAsia="zh-CN"/>
        </w:rPr>
        <w:t>0579-86633</w:t>
      </w:r>
      <w:r>
        <w:rPr>
          <w:rFonts w:hint="eastAsia" w:ascii="宋体" w:hAnsi="宋体" w:cs="宋体"/>
          <w:color w:val="auto"/>
          <w:sz w:val="24"/>
          <w:highlight w:val="none"/>
          <w:lang w:val="en-US" w:eastAsia="zh-CN"/>
        </w:rPr>
        <w:t>123</w:t>
      </w:r>
    </w:p>
    <w:p w14:paraId="13623041">
      <w:pPr>
        <w:spacing w:line="360" w:lineRule="auto"/>
        <w:ind w:left="718" w:leftChars="342" w:firstLine="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胡丹春</w:t>
      </w:r>
      <w:r>
        <w:rPr>
          <w:rFonts w:hint="eastAsia" w:ascii="宋体" w:hAnsi="宋体" w:cs="宋体"/>
          <w:color w:val="auto"/>
          <w:sz w:val="24"/>
          <w:highlight w:val="none"/>
        </w:rPr>
        <w:t xml:space="preserve">               质疑联系方式：</w:t>
      </w:r>
      <w:bookmarkStart w:id="7" w:name="_Toc28359010"/>
      <w:bookmarkStart w:id="8" w:name="_Toc28359087"/>
      <w:r>
        <w:rPr>
          <w:rFonts w:hint="eastAsia" w:ascii="宋体" w:hAnsi="宋体" w:cs="宋体"/>
          <w:color w:val="auto"/>
          <w:sz w:val="24"/>
          <w:highlight w:val="none"/>
          <w:lang w:val="en-US" w:eastAsia="zh-CN"/>
        </w:rPr>
        <w:t>0579-86018280</w:t>
      </w:r>
    </w:p>
    <w:p w14:paraId="7244C792">
      <w:pPr>
        <w:spacing w:line="360" w:lineRule="auto"/>
        <w:ind w:firstLine="723" w:firstLineChars="300"/>
        <w:rPr>
          <w:rFonts w:ascii="宋体" w:hAnsi="宋体" w:cs="宋体"/>
          <w:color w:val="auto"/>
          <w:sz w:val="24"/>
          <w:highlight w:val="none"/>
          <w:u w:val="single"/>
        </w:rPr>
      </w:pPr>
      <w:r>
        <w:rPr>
          <w:rFonts w:hint="eastAsia" w:ascii="宋体" w:hAnsi="宋体" w:cs="宋体"/>
          <w:b/>
          <w:bCs/>
          <w:color w:val="auto"/>
          <w:sz w:val="24"/>
          <w:highlight w:val="none"/>
        </w:rPr>
        <w:t>3.</w:t>
      </w:r>
      <w:bookmarkEnd w:id="7"/>
      <w:bookmarkEnd w:id="8"/>
      <w:r>
        <w:rPr>
          <w:rFonts w:hint="eastAsia" w:ascii="宋体" w:hAnsi="宋体" w:cs="宋体"/>
          <w:b/>
          <w:bCs/>
          <w:color w:val="auto"/>
          <w:sz w:val="24"/>
          <w:highlight w:val="none"/>
        </w:rPr>
        <w:t>同级政府采购监督管理部门</w:t>
      </w:r>
    </w:p>
    <w:p w14:paraId="762F9B21">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名称：东阳市财政局采监科               地址：东阳市人民路8号</w:t>
      </w:r>
    </w:p>
    <w:p w14:paraId="0DAE5596">
      <w:pPr>
        <w:spacing w:line="360" w:lineRule="auto"/>
        <w:ind w:firstLine="720" w:firstLineChars="300"/>
        <w:rPr>
          <w:rFonts w:ascii="宋体" w:hAnsi="宋体" w:cs="宋体"/>
          <w:b/>
          <w:color w:val="auto"/>
          <w:sz w:val="24"/>
          <w:highlight w:val="none"/>
        </w:rPr>
      </w:pPr>
      <w:r>
        <w:rPr>
          <w:rFonts w:hint="eastAsia" w:ascii="宋体" w:hAnsi="宋体" w:cs="宋体"/>
          <w:color w:val="auto"/>
          <w:sz w:val="24"/>
          <w:highlight w:val="none"/>
        </w:rPr>
        <w:t>监督投诉电话：0579-86662677</w:t>
      </w:r>
    </w:p>
    <w:p w14:paraId="1494F43A">
      <w:pPr>
        <w:snapToGrid w:val="0"/>
        <w:spacing w:line="360" w:lineRule="auto"/>
        <w:ind w:left="1441" w:leftChars="342" w:hanging="723" w:hangingChars="300"/>
        <w:rPr>
          <w:color w:val="auto"/>
          <w:highlight w:val="none"/>
        </w:rPr>
      </w:pPr>
      <w:r>
        <w:rPr>
          <w:rFonts w:hint="eastAsia" w:ascii="宋体" w:hAnsi="宋体" w:cs="宋体"/>
          <w:b/>
          <w:color w:val="auto"/>
          <w:sz w:val="24"/>
          <w:highlight w:val="none"/>
        </w:rPr>
        <w:t>附件：</w:t>
      </w:r>
      <w:r>
        <w:rPr>
          <w:rFonts w:hint="eastAsia" w:ascii="宋体" w:hAnsi="宋体" w:cs="宋体"/>
          <w:b/>
          <w:color w:val="auto"/>
          <w:sz w:val="24"/>
          <w:highlight w:val="none"/>
          <w:lang w:eastAsia="zh-CN"/>
        </w:rPr>
        <w:t>东阳市人民医院肾穿刺病理检测外送服务项目</w:t>
      </w:r>
      <w:r>
        <w:rPr>
          <w:rFonts w:hint="eastAsia" w:ascii="宋体" w:hAnsi="宋体" w:cs="宋体"/>
          <w:b/>
          <w:color w:val="auto"/>
          <w:sz w:val="24"/>
          <w:highlight w:val="none"/>
        </w:rPr>
        <w:t>招标文件</w:t>
      </w:r>
    </w:p>
    <w:p w14:paraId="1ABA3EDD">
      <w:pPr>
        <w:snapToGrid w:val="0"/>
        <w:spacing w:line="360" w:lineRule="auto"/>
        <w:ind w:left="5799" w:leftChars="237" w:right="198" w:hanging="5301" w:hangingChars="2200"/>
        <w:jc w:val="center"/>
        <w:rPr>
          <w:rFonts w:ascii="宋体" w:hAnsi="宋体" w:cs="宋体"/>
          <w:b/>
          <w:color w:val="auto"/>
          <w:sz w:val="24"/>
          <w:highlight w:val="none"/>
        </w:rPr>
      </w:pPr>
      <w:r>
        <w:rPr>
          <w:rFonts w:hint="eastAsia" w:ascii="宋体" w:hAnsi="宋体" w:cs="宋体"/>
          <w:b/>
          <w:color w:val="auto"/>
          <w:sz w:val="24"/>
          <w:highlight w:val="none"/>
        </w:rPr>
        <w:t xml:space="preserve">                                    </w:t>
      </w:r>
    </w:p>
    <w:p w14:paraId="657552EB">
      <w:pPr>
        <w:snapToGrid w:val="0"/>
        <w:spacing w:line="360" w:lineRule="auto"/>
        <w:ind w:left="5799" w:leftChars="237" w:right="198" w:hanging="5301" w:hangingChars="2200"/>
        <w:jc w:val="center"/>
        <w:rPr>
          <w:rFonts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b/>
          <w:color w:val="auto"/>
          <w:sz w:val="24"/>
          <w:highlight w:val="none"/>
          <w:lang w:eastAsia="zh-CN"/>
        </w:rPr>
        <w:t xml:space="preserve">东阳市人民医院 </w:t>
      </w:r>
      <w:r>
        <w:rPr>
          <w:rFonts w:hint="eastAsia" w:ascii="宋体" w:hAnsi="宋体" w:cs="宋体"/>
          <w:b/>
          <w:color w:val="auto"/>
          <w:sz w:val="24"/>
          <w:highlight w:val="none"/>
        </w:rPr>
        <w:t xml:space="preserve">                           </w:t>
      </w:r>
    </w:p>
    <w:p w14:paraId="6959C8B8">
      <w:pPr>
        <w:snapToGrid w:val="0"/>
        <w:spacing w:line="360" w:lineRule="auto"/>
        <w:ind w:left="5799" w:leftChars="237" w:right="198" w:hanging="5301" w:hangingChars="2200"/>
        <w:jc w:val="center"/>
        <w:rPr>
          <w:rFonts w:ascii="宋体" w:hAnsi="宋体" w:cs="宋体"/>
          <w:b/>
          <w:color w:val="auto"/>
          <w:sz w:val="24"/>
          <w:highlight w:val="none"/>
        </w:rPr>
      </w:pPr>
      <w:r>
        <w:rPr>
          <w:rFonts w:hint="eastAsia" w:ascii="宋体" w:hAnsi="宋体" w:cs="宋体"/>
          <w:b/>
          <w:color w:val="auto"/>
          <w:sz w:val="24"/>
          <w:highlight w:val="none"/>
        </w:rPr>
        <w:t xml:space="preserve">                                           东阳市鑫盛工程咨询有限公司</w:t>
      </w:r>
    </w:p>
    <w:p w14:paraId="25D2CCC6">
      <w:pPr>
        <w:snapToGrid w:val="0"/>
        <w:spacing w:line="360" w:lineRule="auto"/>
        <w:ind w:right="198" w:firstLine="6505" w:firstLineChars="2700"/>
        <w:rPr>
          <w:rFonts w:ascii="宋体" w:hAnsi="宋体" w:cs="宋体"/>
          <w:color w:val="auto"/>
          <w:kern w:val="0"/>
          <w:sz w:val="24"/>
          <w:highlight w:val="none"/>
          <w:lang w:bidi="ar"/>
        </w:rPr>
      </w:pPr>
      <w:r>
        <w:rPr>
          <w:rFonts w:hint="eastAsia" w:ascii="宋体" w:hAnsi="宋体" w:cs="宋体"/>
          <w:b/>
          <w:color w:val="auto"/>
          <w:sz w:val="24"/>
          <w:highlight w:val="none"/>
          <w:lang w:val="en-US" w:eastAsia="zh-CN"/>
        </w:rPr>
        <w:t>2025</w:t>
      </w:r>
      <w:r>
        <w:rPr>
          <w:rFonts w:hint="eastAsia" w:ascii="宋体" w:hAnsi="宋体" w:cs="宋体"/>
          <w:b/>
          <w:color w:val="auto"/>
          <w:sz w:val="24"/>
          <w:highlight w:val="none"/>
        </w:rPr>
        <w:t>年</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24</w:t>
      </w:r>
      <w:r>
        <w:rPr>
          <w:rFonts w:hint="eastAsia" w:ascii="宋体" w:hAnsi="宋体" w:cs="宋体"/>
          <w:b/>
          <w:color w:val="auto"/>
          <w:sz w:val="24"/>
          <w:highlight w:val="none"/>
        </w:rPr>
        <w:t>日</w:t>
      </w:r>
    </w:p>
    <w:p w14:paraId="317B15C7">
      <w:pPr>
        <w:snapToGrid w:val="0"/>
        <w:spacing w:line="360" w:lineRule="auto"/>
        <w:ind w:right="198"/>
        <w:rPr>
          <w:rFonts w:ascii="宋体" w:hAnsi="宋体" w:cs="宋体"/>
          <w:color w:val="auto"/>
          <w:kern w:val="0"/>
          <w:sz w:val="22"/>
          <w:szCs w:val="22"/>
          <w:highlight w:val="none"/>
          <w:lang w:bidi="ar"/>
        </w:rPr>
      </w:pPr>
    </w:p>
    <w:p w14:paraId="5DFA7CC4">
      <w:pPr>
        <w:snapToGrid w:val="0"/>
        <w:spacing w:line="360" w:lineRule="auto"/>
        <w:ind w:right="198"/>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若对项目采购电子交易系统操作有疑问，可登录政采云（https://www.zcygov.cn/），点击右侧咨询小采，获取采小蜜智能服务管家帮助，或拨打政采云服务热线</w:t>
      </w:r>
      <w:r>
        <w:rPr>
          <w:rFonts w:hint="eastAsia" w:ascii="宋体" w:hAnsi="宋体" w:cs="宋体"/>
          <w:color w:val="auto"/>
          <w:kern w:val="0"/>
          <w:sz w:val="22"/>
          <w:szCs w:val="22"/>
          <w:highlight w:val="none"/>
          <w:lang w:eastAsia="zh-CN" w:bidi="ar"/>
        </w:rPr>
        <w:t>95763</w:t>
      </w:r>
      <w:r>
        <w:rPr>
          <w:rFonts w:hint="eastAsia" w:ascii="宋体" w:hAnsi="宋体" w:cs="宋体"/>
          <w:color w:val="auto"/>
          <w:kern w:val="0"/>
          <w:sz w:val="22"/>
          <w:szCs w:val="22"/>
          <w:highlight w:val="none"/>
          <w:lang w:bidi="ar"/>
        </w:rPr>
        <w:t>获取热线服务帮助。</w:t>
      </w:r>
    </w:p>
    <w:p w14:paraId="023926C0">
      <w:pPr>
        <w:widowControl/>
        <w:spacing w:line="360" w:lineRule="auto"/>
        <w:jc w:val="left"/>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CA问题联系电话（人工）：汇信CA 400-888-4636；天谷CA 400-087-8198。</w:t>
      </w:r>
    </w:p>
    <w:p w14:paraId="0B6B416F">
      <w:pPr>
        <w:pStyle w:val="36"/>
        <w:spacing w:line="360" w:lineRule="auto"/>
        <w:rPr>
          <w:rFonts w:hint="eastAsia" w:ascii="宋体" w:hAnsi="宋体" w:cs="宋体"/>
          <w:color w:val="auto"/>
          <w:kern w:val="0"/>
          <w:sz w:val="22"/>
          <w:szCs w:val="22"/>
          <w:highlight w:val="none"/>
          <w:lang w:bidi="ar"/>
        </w:rPr>
      </w:pPr>
    </w:p>
    <w:p w14:paraId="29217A90">
      <w:pPr>
        <w:rPr>
          <w:rFonts w:hint="eastAsia" w:ascii="宋体" w:hAnsi="宋体" w:cs="宋体"/>
          <w:color w:val="auto"/>
          <w:kern w:val="0"/>
          <w:sz w:val="22"/>
          <w:szCs w:val="22"/>
          <w:highlight w:val="none"/>
          <w:lang w:bidi="ar"/>
        </w:rPr>
      </w:pPr>
    </w:p>
    <w:p w14:paraId="4E877DDC">
      <w:pPr>
        <w:pStyle w:val="36"/>
        <w:rPr>
          <w:rFonts w:hint="eastAsia" w:ascii="宋体" w:hAnsi="宋体" w:cs="宋体"/>
          <w:color w:val="auto"/>
          <w:kern w:val="0"/>
          <w:sz w:val="22"/>
          <w:szCs w:val="22"/>
          <w:highlight w:val="none"/>
          <w:lang w:bidi="ar"/>
        </w:rPr>
      </w:pPr>
    </w:p>
    <w:p w14:paraId="76F9630C">
      <w:pPr>
        <w:rPr>
          <w:color w:val="auto"/>
          <w:highlight w:val="none"/>
        </w:rPr>
      </w:pPr>
    </w:p>
    <w:p w14:paraId="55BC02A3">
      <w:pPr>
        <w:pStyle w:val="6"/>
        <w:pageBreakBefore/>
        <w:snapToGrid w:val="0"/>
        <w:spacing w:before="120" w:after="120" w:line="360" w:lineRule="auto"/>
        <w:jc w:val="center"/>
        <w:outlineLvl w:val="0"/>
        <w:rPr>
          <w:rFonts w:hint="eastAsia" w:ascii="宋体" w:hAnsi="宋体" w:eastAsia="宋体" w:cs="宋体"/>
          <w:b/>
          <w:color w:val="auto"/>
          <w:sz w:val="28"/>
          <w:szCs w:val="28"/>
          <w:highlight w:val="none"/>
          <w:lang w:eastAsia="zh-CN"/>
        </w:rPr>
      </w:pPr>
      <w:bookmarkStart w:id="9" w:name="_Toc18456"/>
      <w:bookmarkStart w:id="10" w:name="_Toc9565"/>
      <w:r>
        <w:rPr>
          <w:rFonts w:hint="eastAsia" w:ascii="宋体" w:hAnsi="宋体" w:cs="宋体"/>
          <w:b/>
          <w:color w:val="auto"/>
          <w:szCs w:val="24"/>
          <w:highlight w:val="none"/>
        </w:rPr>
        <w:t>第二章  招标需求</w:t>
      </w:r>
      <w:bookmarkEnd w:id="9"/>
      <w:bookmarkEnd w:id="10"/>
    </w:p>
    <w:p w14:paraId="3E05AEDD">
      <w:pPr>
        <w:spacing w:line="360" w:lineRule="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一、项目编号：</w:t>
      </w:r>
      <w:r>
        <w:rPr>
          <w:rFonts w:hint="eastAsia" w:ascii="宋体" w:hAnsi="宋体" w:cs="宋体"/>
          <w:b/>
          <w:color w:val="auto"/>
          <w:sz w:val="24"/>
          <w:highlight w:val="none"/>
          <w:lang w:eastAsia="zh-CN"/>
        </w:rPr>
        <w:t>XSZFCGDZ2024-310</w:t>
      </w:r>
      <w:r>
        <w:rPr>
          <w:rFonts w:hint="eastAsia" w:ascii="宋体" w:hAnsi="宋体" w:cs="宋体"/>
          <w:b/>
          <w:color w:val="auto"/>
          <w:sz w:val="24"/>
          <w:highlight w:val="none"/>
          <w:lang w:val="en-US" w:eastAsia="zh-CN"/>
        </w:rPr>
        <w:t>-2</w:t>
      </w:r>
    </w:p>
    <w:p w14:paraId="7F93A1EF">
      <w:pPr>
        <w:spacing w:line="360" w:lineRule="auto"/>
        <w:rPr>
          <w:rFonts w:ascii="宋体" w:hAnsi="宋体" w:cs="宋体"/>
          <w:b/>
          <w:color w:val="auto"/>
          <w:sz w:val="24"/>
          <w:highlight w:val="none"/>
        </w:rPr>
      </w:pPr>
      <w:r>
        <w:rPr>
          <w:rFonts w:hint="eastAsia" w:ascii="宋体" w:hAnsi="宋体" w:cs="宋体"/>
          <w:b/>
          <w:color w:val="auto"/>
          <w:sz w:val="24"/>
          <w:highlight w:val="none"/>
        </w:rPr>
        <w:t>二、采购项目名称：</w:t>
      </w:r>
      <w:bookmarkStart w:id="11" w:name="_Toc495926918"/>
      <w:r>
        <w:rPr>
          <w:rFonts w:hint="eastAsia" w:ascii="宋体" w:hAnsi="宋体" w:cs="宋体"/>
          <w:b/>
          <w:color w:val="auto"/>
          <w:sz w:val="24"/>
          <w:highlight w:val="none"/>
          <w:lang w:eastAsia="zh-CN"/>
        </w:rPr>
        <w:t>东阳市人民医院肾穿刺病理检测外送服务项目</w:t>
      </w:r>
      <w:r>
        <w:rPr>
          <w:rFonts w:hint="eastAsia" w:ascii="宋体" w:hAnsi="宋体" w:cs="宋体"/>
          <w:b/>
          <w:color w:val="auto"/>
          <w:sz w:val="24"/>
          <w:highlight w:val="none"/>
        </w:rPr>
        <w:t xml:space="preserve">   </w:t>
      </w:r>
    </w:p>
    <w:bookmarkEnd w:id="11"/>
    <w:tbl>
      <w:tblPr>
        <w:tblStyle w:val="28"/>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764"/>
        <w:gridCol w:w="1545"/>
        <w:gridCol w:w="3588"/>
      </w:tblGrid>
      <w:tr w14:paraId="0761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60" w:type="dxa"/>
            <w:vAlign w:val="center"/>
          </w:tcPr>
          <w:p w14:paraId="487E4258">
            <w:pPr>
              <w:spacing w:line="360" w:lineRule="auto"/>
              <w:jc w:val="center"/>
              <w:outlineLvl w:val="9"/>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序号</w:t>
            </w:r>
          </w:p>
        </w:tc>
        <w:tc>
          <w:tcPr>
            <w:tcW w:w="3764" w:type="dxa"/>
            <w:vAlign w:val="center"/>
          </w:tcPr>
          <w:p w14:paraId="0A779F8E">
            <w:pPr>
              <w:spacing w:line="360" w:lineRule="auto"/>
              <w:jc w:val="center"/>
              <w:outlineLvl w:val="9"/>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采购内容</w:t>
            </w:r>
          </w:p>
        </w:tc>
        <w:tc>
          <w:tcPr>
            <w:tcW w:w="1545" w:type="dxa"/>
            <w:vAlign w:val="center"/>
          </w:tcPr>
          <w:p w14:paraId="17BB6957">
            <w:pPr>
              <w:spacing w:line="360" w:lineRule="auto"/>
              <w:jc w:val="center"/>
              <w:outlineLvl w:val="9"/>
              <w:rPr>
                <w:rFonts w:hint="eastAsia" w:ascii="宋体" w:hAnsi="宋体" w:cs="宋体"/>
                <w:b w:val="0"/>
                <w:bCs/>
                <w:color w:val="auto"/>
                <w:sz w:val="24"/>
                <w:szCs w:val="24"/>
                <w:highlight w:val="none"/>
                <w:lang w:eastAsia="zh-CN"/>
              </w:rPr>
            </w:pPr>
            <w:r>
              <w:rPr>
                <w:rFonts w:hint="eastAsia" w:ascii="宋体" w:hAnsi="宋体" w:cs="宋体"/>
                <w:b/>
                <w:bCs w:val="0"/>
                <w:color w:val="auto"/>
                <w:sz w:val="24"/>
                <w:szCs w:val="24"/>
                <w:highlight w:val="none"/>
                <w:lang w:eastAsia="zh-CN"/>
              </w:rPr>
              <w:t>预算金额</w:t>
            </w:r>
          </w:p>
        </w:tc>
        <w:tc>
          <w:tcPr>
            <w:tcW w:w="3588" w:type="dxa"/>
            <w:vAlign w:val="center"/>
          </w:tcPr>
          <w:p w14:paraId="19943B2E">
            <w:pPr>
              <w:spacing w:line="360" w:lineRule="auto"/>
              <w:jc w:val="center"/>
              <w:outlineLvl w:val="9"/>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服务期限</w:t>
            </w:r>
          </w:p>
        </w:tc>
      </w:tr>
      <w:tr w14:paraId="5AFD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60" w:type="dxa"/>
            <w:vAlign w:val="center"/>
          </w:tcPr>
          <w:p w14:paraId="5D8BD6DD">
            <w:pPr>
              <w:spacing w:line="240" w:lineRule="auto"/>
              <w:jc w:val="center"/>
              <w:outlineLvl w:val="9"/>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3764" w:type="dxa"/>
            <w:vAlign w:val="center"/>
          </w:tcPr>
          <w:p w14:paraId="0594BFB1">
            <w:pPr>
              <w:spacing w:line="240" w:lineRule="auto"/>
              <w:jc w:val="center"/>
              <w:outlineLvl w:val="9"/>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东阳市人民医院肾穿刺病理检测外送服务项目</w:t>
            </w:r>
          </w:p>
        </w:tc>
        <w:tc>
          <w:tcPr>
            <w:tcW w:w="1545" w:type="dxa"/>
            <w:vAlign w:val="center"/>
          </w:tcPr>
          <w:p w14:paraId="52B8E9EF">
            <w:pPr>
              <w:spacing w:line="240" w:lineRule="auto"/>
              <w:jc w:val="center"/>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90万元</w:t>
            </w:r>
          </w:p>
        </w:tc>
        <w:tc>
          <w:tcPr>
            <w:tcW w:w="3588" w:type="dxa"/>
            <w:vAlign w:val="center"/>
          </w:tcPr>
          <w:p w14:paraId="4A7C564B">
            <w:pPr>
              <w:spacing w:line="240" w:lineRule="auto"/>
              <w:jc w:val="center"/>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3年或者服务金额累计达到90万元（以先到者为准）</w:t>
            </w:r>
          </w:p>
        </w:tc>
      </w:tr>
    </w:tbl>
    <w:p w14:paraId="275EFE9B">
      <w:pPr>
        <w:spacing w:line="360" w:lineRule="auto"/>
        <w:rPr>
          <w:rFonts w:hint="default" w:ascii="宋体" w:hAnsi="宋体" w:cs="宋体"/>
          <w:b/>
          <w:color w:val="auto"/>
          <w:sz w:val="24"/>
          <w:highlight w:val="none"/>
          <w:lang w:val="en-US" w:eastAsia="zh-CN"/>
        </w:rPr>
      </w:pPr>
      <w:bookmarkStart w:id="12" w:name="_Toc427225588"/>
      <w:r>
        <w:rPr>
          <w:rFonts w:hint="eastAsia" w:ascii="宋体" w:hAnsi="宋体" w:cs="宋体"/>
          <w:b/>
          <w:color w:val="auto"/>
          <w:sz w:val="24"/>
          <w:highlight w:val="none"/>
          <w:lang w:val="en-US" w:eastAsia="zh-CN"/>
        </w:rPr>
        <w:t>三、技术参数</w:t>
      </w:r>
    </w:p>
    <w:bookmarkEnd w:id="12"/>
    <w:p w14:paraId="104D53BD">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肾穿刺标本病理诊断</w:t>
      </w:r>
      <w:r>
        <w:rPr>
          <w:rFonts w:hint="eastAsia" w:ascii="宋体" w:hAnsi="宋体" w:eastAsia="宋体" w:cs="宋体"/>
          <w:color w:val="auto"/>
          <w:sz w:val="24"/>
          <w:szCs w:val="24"/>
          <w:highlight w:val="none"/>
        </w:rPr>
        <w:t>外送</w:t>
      </w:r>
      <w:r>
        <w:rPr>
          <w:rFonts w:hint="eastAsia" w:ascii="宋体" w:hAnsi="宋体" w:cs="宋体"/>
          <w:color w:val="auto"/>
          <w:sz w:val="24"/>
          <w:szCs w:val="24"/>
          <w:highlight w:val="none"/>
          <w:lang w:val="en-US" w:eastAsia="zh-CN"/>
        </w:rPr>
        <w:t>检测</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：详见附件1</w:t>
      </w:r>
      <w:r>
        <w:rPr>
          <w:rFonts w:hint="eastAsia" w:ascii="宋体" w:hAnsi="宋体" w:cs="宋体"/>
          <w:color w:val="auto"/>
          <w:sz w:val="24"/>
          <w:szCs w:val="24"/>
          <w:highlight w:val="none"/>
          <w:lang w:eastAsia="zh-CN"/>
        </w:rPr>
        <w:t>。</w:t>
      </w:r>
      <w:r>
        <w:rPr>
          <w:rFonts w:hint="eastAsia" w:ascii="宋体" w:hAnsi="宋体" w:eastAsia="宋体" w:cs="宋体"/>
          <w:sz w:val="24"/>
          <w:szCs w:val="24"/>
          <w:highlight w:val="none"/>
          <w:lang w:val="en-US" w:eastAsia="zh-CN"/>
        </w:rPr>
        <w:t>标注</w:t>
      </w:r>
      <w:r>
        <w:rPr>
          <w:rFonts w:hint="eastAsia" w:ascii="宋体" w:hAnsi="宋体" w:cs="宋体"/>
          <w:b/>
          <w:bCs/>
          <w:sz w:val="24"/>
          <w:highlight w:val="none"/>
        </w:rPr>
        <w:t>★</w:t>
      </w:r>
      <w:r>
        <w:rPr>
          <w:rFonts w:hint="eastAsia" w:ascii="宋体" w:hAnsi="宋体" w:eastAsia="宋体" w:cs="宋体"/>
          <w:color w:val="auto"/>
          <w:sz w:val="24"/>
          <w:szCs w:val="24"/>
          <w:highlight w:val="none"/>
          <w:lang w:val="en-US" w:eastAsia="zh-CN"/>
        </w:rPr>
        <w:t>项目为</w:t>
      </w:r>
      <w:r>
        <w:rPr>
          <w:rFonts w:hint="eastAsia" w:ascii="宋体" w:hAnsi="宋体" w:cs="宋体"/>
          <w:color w:val="auto"/>
          <w:sz w:val="24"/>
          <w:szCs w:val="24"/>
          <w:highlight w:val="none"/>
          <w:lang w:val="en-US" w:eastAsia="zh-CN"/>
        </w:rPr>
        <w:t>重要指标</w:t>
      </w:r>
      <w:r>
        <w:rPr>
          <w:rFonts w:hint="eastAsia" w:ascii="宋体" w:hAnsi="宋体" w:eastAsia="宋体" w:cs="宋体"/>
          <w:sz w:val="24"/>
          <w:szCs w:val="24"/>
          <w:highlight w:val="none"/>
        </w:rPr>
        <w:t>。</w:t>
      </w:r>
    </w:p>
    <w:p w14:paraId="258B401A">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2、样本</w:t>
      </w:r>
    </w:p>
    <w:p w14:paraId="7BE3D346">
      <w:pPr>
        <w:widowControl/>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 xml:space="preserve">2.1 </w:t>
      </w:r>
      <w:r>
        <w:rPr>
          <w:rFonts w:hint="eastAsia" w:ascii="宋体" w:hAnsi="宋体" w:eastAsia="宋体" w:cs="宋体"/>
          <w:sz w:val="24"/>
          <w:szCs w:val="24"/>
          <w:highlight w:val="none"/>
        </w:rPr>
        <w:t>在检测项目要求的规定时间内</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val="en-US" w:eastAsia="zh-CN"/>
        </w:rPr>
        <w:t>医院</w:t>
      </w:r>
      <w:r>
        <w:rPr>
          <w:rFonts w:hint="eastAsia" w:ascii="宋体" w:hAnsi="宋体" w:eastAsia="宋体" w:cs="宋体"/>
          <w:sz w:val="24"/>
          <w:szCs w:val="24"/>
          <w:highlight w:val="none"/>
        </w:rPr>
        <w:t>按照规定的方式对其所采集的样本进行前</w:t>
      </w:r>
      <w:r>
        <w:rPr>
          <w:rFonts w:hint="eastAsia" w:ascii="宋体" w:hAnsi="宋体" w:cs="宋体"/>
          <w:sz w:val="24"/>
          <w:szCs w:val="24"/>
          <w:highlight w:val="none"/>
          <w:lang w:val="en-US" w:eastAsia="zh-CN"/>
        </w:rPr>
        <w:t>期</w:t>
      </w:r>
      <w:r>
        <w:rPr>
          <w:rFonts w:hint="eastAsia" w:ascii="宋体" w:hAnsi="宋体" w:eastAsia="宋体" w:cs="宋体"/>
          <w:sz w:val="24"/>
          <w:szCs w:val="24"/>
          <w:highlight w:val="none"/>
        </w:rPr>
        <w:t>处理和存储</w:t>
      </w:r>
      <w:r>
        <w:rPr>
          <w:rFonts w:hint="eastAsia" w:ascii="宋体" w:hAnsi="宋体" w:eastAsia="宋体" w:cs="宋体"/>
          <w:color w:val="auto"/>
          <w:sz w:val="24"/>
          <w:szCs w:val="24"/>
          <w:highlight w:val="none"/>
        </w:rPr>
        <w:t>，并注明样本的检测信息，如：</w:t>
      </w:r>
      <w:r>
        <w:rPr>
          <w:rFonts w:hint="eastAsia" w:ascii="宋体" w:hAnsi="宋体" w:eastAsia="宋体" w:cs="宋体"/>
          <w:sz w:val="24"/>
          <w:szCs w:val="24"/>
          <w:highlight w:val="none"/>
        </w:rPr>
        <w:t>患者基本信息、</w:t>
      </w:r>
      <w:r>
        <w:rPr>
          <w:rFonts w:hint="eastAsia" w:ascii="宋体" w:hAnsi="宋体" w:cs="宋体"/>
          <w:sz w:val="24"/>
          <w:szCs w:val="24"/>
          <w:highlight w:val="none"/>
          <w:lang w:val="en-US" w:eastAsia="zh-CN"/>
        </w:rPr>
        <w:t>样</w:t>
      </w:r>
      <w:r>
        <w:rPr>
          <w:rFonts w:hint="eastAsia" w:ascii="宋体" w:hAnsi="宋体" w:eastAsia="宋体" w:cs="宋体"/>
          <w:sz w:val="24"/>
          <w:szCs w:val="24"/>
          <w:highlight w:val="none"/>
        </w:rPr>
        <w:t>本类型、项目名称、采样时间、组织病理样品离体时间、样品固定时间、样品数量、与患者和申请项目相关的临床资料等</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val="en-US" w:eastAsia="zh-CN"/>
        </w:rPr>
        <w:t>中标人安排人员对样本接收和分类，有疑问样本进行信息核对。</w:t>
      </w:r>
    </w:p>
    <w:p w14:paraId="51024547">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 </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将样本统一收集存放在指定地点，安排人员与中标人进行样本的交接、签收工作。</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收集样本所需的耗材由中标人提供。</w:t>
      </w:r>
    </w:p>
    <w:p w14:paraId="68CB1F3D">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2.3中标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应</w:t>
      </w:r>
      <w:r>
        <w:rPr>
          <w:rFonts w:hint="eastAsia" w:ascii="宋体" w:hAnsi="宋体" w:cs="宋体"/>
          <w:color w:val="auto"/>
          <w:sz w:val="24"/>
          <w:szCs w:val="24"/>
          <w:highlight w:val="none"/>
          <w:lang w:val="en-US" w:eastAsia="zh-CN"/>
        </w:rPr>
        <w:t>按采购人要求有样本随时</w:t>
      </w:r>
      <w:r>
        <w:rPr>
          <w:rFonts w:hint="eastAsia" w:ascii="宋体" w:hAnsi="宋体" w:eastAsia="宋体" w:cs="宋体"/>
          <w:color w:val="auto"/>
          <w:sz w:val="24"/>
          <w:szCs w:val="24"/>
          <w:highlight w:val="none"/>
        </w:rPr>
        <w:t>安排</w:t>
      </w:r>
      <w:r>
        <w:rPr>
          <w:rFonts w:hint="eastAsia" w:ascii="宋体" w:hAnsi="宋体" w:eastAsia="宋体" w:cs="宋体"/>
          <w:color w:val="auto"/>
          <w:sz w:val="24"/>
          <w:szCs w:val="24"/>
          <w:highlight w:val="none"/>
          <w:lang w:val="en-US" w:eastAsia="zh-CN"/>
        </w:rPr>
        <w:t>人员</w:t>
      </w:r>
      <w:r>
        <w:rPr>
          <w:rFonts w:hint="eastAsia" w:ascii="宋体" w:hAnsi="宋体" w:eastAsia="宋体" w:cs="宋体"/>
          <w:color w:val="auto"/>
          <w:sz w:val="24"/>
          <w:szCs w:val="24"/>
          <w:highlight w:val="none"/>
        </w:rPr>
        <w:t>上门收取，</w:t>
      </w:r>
      <w:r>
        <w:rPr>
          <w:rFonts w:hint="eastAsia" w:ascii="宋体" w:hAnsi="宋体" w:eastAsia="宋体" w:cs="宋体"/>
          <w:color w:val="auto"/>
          <w:sz w:val="24"/>
          <w:szCs w:val="24"/>
          <w:highlight w:val="none"/>
          <w:lang w:val="en-US" w:eastAsia="zh-CN"/>
        </w:rPr>
        <w:t>按</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要求时间送达</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报告单及时送达</w:t>
      </w:r>
      <w:r>
        <w:rPr>
          <w:rFonts w:hint="eastAsia" w:ascii="宋体" w:hAnsi="宋体" w:cs="宋体"/>
          <w:color w:val="auto"/>
          <w:sz w:val="24"/>
          <w:szCs w:val="24"/>
          <w:highlight w:val="none"/>
          <w:lang w:val="en-US" w:eastAsia="zh-CN"/>
        </w:rPr>
        <w:t>东阳市人民医院</w:t>
      </w:r>
      <w:r>
        <w:rPr>
          <w:rFonts w:hint="eastAsia" w:ascii="宋体" w:hAnsi="宋体" w:eastAsia="宋体" w:cs="宋体"/>
          <w:color w:val="auto"/>
          <w:sz w:val="24"/>
          <w:szCs w:val="24"/>
          <w:highlight w:val="none"/>
        </w:rPr>
        <w:t>。</w:t>
      </w:r>
    </w:p>
    <w:p w14:paraId="6EA8BA5D">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样本的保存：中标人应按国家和行业标准对样本进行保存。病理切片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包括免疫荧光、特殊染色、免疫组化、电镜切片）</w:t>
      </w:r>
      <w:r>
        <w:rPr>
          <w:rFonts w:hint="eastAsia" w:ascii="宋体" w:hAnsi="宋体" w:eastAsia="宋体" w:cs="宋体"/>
          <w:color w:val="auto"/>
          <w:sz w:val="24"/>
          <w:szCs w:val="24"/>
          <w:highlight w:val="none"/>
        </w:rPr>
        <w:t>、蜡块保存不少于15年。由于样本本身特性达不到保存期限或保存无意义的，另行约定。</w:t>
      </w:r>
    </w:p>
    <w:p w14:paraId="7355ABCA">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2.5如</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对检测结果有异议，并在样本保存有效期内提出，中标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应无条件重新检测。</w:t>
      </w:r>
    </w:p>
    <w:p w14:paraId="79FC9DCE">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3、运输冷链系统要求</w:t>
      </w:r>
    </w:p>
    <w:p w14:paraId="0B41A1A8">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根据</w:t>
      </w:r>
      <w:r>
        <w:rPr>
          <w:rFonts w:hint="eastAsia" w:ascii="宋体" w:hAnsi="宋体" w:eastAsia="宋体" w:cs="宋体"/>
          <w:color w:val="auto"/>
          <w:sz w:val="24"/>
          <w:szCs w:val="24"/>
          <w:highlight w:val="none"/>
          <w:lang w:val="en-US" w:eastAsia="zh-CN"/>
        </w:rPr>
        <w:t>区域内医疗机构</w:t>
      </w:r>
      <w:r>
        <w:rPr>
          <w:rFonts w:hint="eastAsia" w:ascii="宋体" w:hAnsi="宋体" w:eastAsia="宋体" w:cs="宋体"/>
          <w:color w:val="auto"/>
          <w:sz w:val="24"/>
          <w:szCs w:val="24"/>
          <w:highlight w:val="none"/>
        </w:rPr>
        <w:t>检测项目外送要求，提供详细物流规划方案。</w:t>
      </w:r>
    </w:p>
    <w:p w14:paraId="1C935FAC">
      <w:pPr>
        <w:widowControl/>
        <w:spacing w:line="360" w:lineRule="auto"/>
        <w:ind w:firstLine="241" w:firstLineChars="100"/>
        <w:rPr>
          <w:rFonts w:hint="eastAsia" w:ascii="宋体" w:hAnsi="宋体" w:eastAsia="宋体" w:cs="宋体"/>
          <w:color w:val="auto"/>
          <w:sz w:val="24"/>
          <w:szCs w:val="24"/>
          <w:highlight w:val="none"/>
        </w:rPr>
      </w:pPr>
      <w:r>
        <w:rPr>
          <w:rFonts w:hint="eastAsia" w:ascii="宋体" w:hAnsi="宋体" w:cs="宋体"/>
          <w:b/>
          <w:bCs/>
          <w:sz w:val="24"/>
          <w:highlight w:val="none"/>
        </w:rPr>
        <w:t>★</w:t>
      </w:r>
      <w:r>
        <w:rPr>
          <w:rFonts w:hint="eastAsia" w:ascii="宋体" w:hAnsi="宋体" w:eastAsia="宋体" w:cs="宋体"/>
          <w:color w:val="auto"/>
          <w:sz w:val="24"/>
          <w:szCs w:val="24"/>
          <w:highlight w:val="none"/>
        </w:rPr>
        <w:t>3.2 所有样本的运送必须符合样本温度的管理要求，采用相应的冷链运送技术。</w:t>
      </w:r>
    </w:p>
    <w:p w14:paraId="591EA62E">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3.3所有样本运送必须采用符合相关标准的冷链物流车或转送车辆及冷链物流箱，冷链物流车或转送车辆及冷链物流箱配备数量满足</w:t>
      </w:r>
      <w:r>
        <w:rPr>
          <w:rFonts w:hint="eastAsia" w:ascii="宋体" w:hAnsi="宋体" w:cs="宋体"/>
          <w:color w:val="auto"/>
          <w:sz w:val="24"/>
          <w:szCs w:val="24"/>
          <w:highlight w:val="none"/>
          <w:lang w:val="en-US" w:eastAsia="zh-CN"/>
        </w:rPr>
        <w:t>样</w:t>
      </w:r>
      <w:r>
        <w:rPr>
          <w:rFonts w:hint="eastAsia" w:ascii="宋体" w:hAnsi="宋体" w:eastAsia="宋体" w:cs="宋体"/>
          <w:color w:val="auto"/>
          <w:sz w:val="24"/>
          <w:szCs w:val="24"/>
          <w:highlight w:val="none"/>
        </w:rPr>
        <w:t>本转送要求。</w:t>
      </w:r>
    </w:p>
    <w:p w14:paraId="5F60ED4F">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提供可实时监控物流各个环节的温度的系统和终端设备，能够对物流的全程进行温度监控、报警及记录，能够对整个过程进行溯源管理，并能够提交相关记录的纸质文档，以留档备查。一年3次以上无法进行运送温度溯源，采购人有权终止合同，并追究相关损失。</w:t>
      </w:r>
    </w:p>
    <w:p w14:paraId="1C05C468">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负责全程冷链运送所有</w:t>
      </w:r>
      <w:r>
        <w:rPr>
          <w:rFonts w:hint="eastAsia" w:ascii="宋体" w:hAnsi="宋体" w:cs="宋体"/>
          <w:color w:val="auto"/>
          <w:sz w:val="24"/>
          <w:szCs w:val="24"/>
          <w:highlight w:val="none"/>
          <w:lang w:val="en-US" w:eastAsia="zh-CN"/>
        </w:rPr>
        <w:t>样</w:t>
      </w:r>
      <w:r>
        <w:rPr>
          <w:rFonts w:hint="eastAsia" w:ascii="宋体" w:hAnsi="宋体" w:eastAsia="宋体" w:cs="宋体"/>
          <w:color w:val="auto"/>
          <w:sz w:val="24"/>
          <w:szCs w:val="24"/>
          <w:highlight w:val="none"/>
        </w:rPr>
        <w:t>本。</w:t>
      </w:r>
    </w:p>
    <w:p w14:paraId="534F874D">
      <w:pPr>
        <w:widowControl/>
        <w:spacing w:line="360" w:lineRule="auto"/>
        <w:ind w:firstLine="241" w:firstLineChars="100"/>
        <w:rPr>
          <w:rFonts w:hint="eastAsia" w:ascii="宋体" w:hAnsi="宋体" w:eastAsia="宋体" w:cs="宋体"/>
          <w:color w:val="auto"/>
          <w:sz w:val="24"/>
          <w:szCs w:val="24"/>
          <w:highlight w:val="none"/>
        </w:rPr>
      </w:pPr>
      <w:r>
        <w:rPr>
          <w:rFonts w:hint="eastAsia" w:ascii="宋体" w:hAnsi="宋体" w:cs="宋体"/>
          <w:b/>
          <w:bCs/>
          <w:sz w:val="24"/>
          <w:highlight w:val="none"/>
        </w:rPr>
        <w:t>★</w:t>
      </w:r>
      <w:r>
        <w:rPr>
          <w:rFonts w:hint="eastAsia" w:ascii="宋体" w:hAnsi="宋体" w:eastAsia="宋体" w:cs="宋体"/>
          <w:color w:val="auto"/>
          <w:sz w:val="24"/>
          <w:szCs w:val="24"/>
          <w:highlight w:val="none"/>
        </w:rPr>
        <w:t>4、样本交接及运送过程必须符合样本的安全管理要求。</w:t>
      </w:r>
    </w:p>
    <w:p w14:paraId="36AACA9E">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5、运输车辆</w:t>
      </w:r>
      <w:r>
        <w:rPr>
          <w:rFonts w:hint="eastAsia" w:ascii="宋体" w:hAnsi="宋体" w:cs="宋体"/>
          <w:color w:val="auto"/>
          <w:sz w:val="24"/>
          <w:szCs w:val="24"/>
          <w:highlight w:val="none"/>
          <w:lang w:val="en-US" w:eastAsia="zh-CN"/>
        </w:rPr>
        <w:t>具</w:t>
      </w:r>
      <w:r>
        <w:rPr>
          <w:rFonts w:hint="eastAsia" w:ascii="宋体" w:hAnsi="宋体" w:eastAsia="宋体" w:cs="宋体"/>
          <w:color w:val="auto"/>
          <w:sz w:val="24"/>
          <w:szCs w:val="24"/>
          <w:highlight w:val="none"/>
        </w:rPr>
        <w:t>有运输</w:t>
      </w:r>
      <w:r>
        <w:rPr>
          <w:rFonts w:hint="eastAsia" w:ascii="宋体" w:hAnsi="宋体" w:cs="宋体"/>
          <w:color w:val="auto"/>
          <w:sz w:val="24"/>
          <w:szCs w:val="24"/>
          <w:highlight w:val="none"/>
          <w:lang w:val="en-US" w:eastAsia="zh-CN"/>
        </w:rPr>
        <w:t>样</w:t>
      </w:r>
      <w:r>
        <w:rPr>
          <w:rFonts w:hint="eastAsia" w:ascii="宋体" w:hAnsi="宋体" w:eastAsia="宋体" w:cs="宋体"/>
          <w:color w:val="auto"/>
          <w:sz w:val="24"/>
          <w:szCs w:val="24"/>
          <w:highlight w:val="none"/>
        </w:rPr>
        <w:t>本专业设备，可以应对突发生物安全事件的现场处置。</w:t>
      </w:r>
    </w:p>
    <w:p w14:paraId="67CBFACB">
      <w:pPr>
        <w:spacing w:line="360" w:lineRule="auto"/>
        <w:ind w:firstLine="482" w:firstLineChars="200"/>
        <w:rPr>
          <w:rFonts w:hint="eastAsia" w:ascii="宋体" w:hAnsi="宋体" w:eastAsia="宋体" w:cs="宋体"/>
          <w:b/>
          <w:color w:val="auto"/>
          <w:kern w:val="1"/>
          <w:sz w:val="24"/>
          <w:szCs w:val="24"/>
          <w:highlight w:val="none"/>
        </w:rPr>
      </w:pPr>
      <w:r>
        <w:rPr>
          <w:rFonts w:hint="eastAsia" w:ascii="宋体" w:hAnsi="宋体" w:cs="宋体"/>
          <w:b/>
          <w:color w:val="auto"/>
          <w:kern w:val="1"/>
          <w:sz w:val="24"/>
          <w:szCs w:val="24"/>
          <w:highlight w:val="none"/>
          <w:lang w:val="en-US" w:eastAsia="zh-CN"/>
        </w:rPr>
        <w:t>6</w:t>
      </w:r>
      <w:r>
        <w:rPr>
          <w:rFonts w:hint="eastAsia" w:ascii="宋体" w:hAnsi="宋体" w:eastAsia="宋体" w:cs="宋体"/>
          <w:b/>
          <w:color w:val="auto"/>
          <w:kern w:val="1"/>
          <w:sz w:val="24"/>
          <w:szCs w:val="24"/>
          <w:highlight w:val="none"/>
        </w:rPr>
        <w:t>、其他</w:t>
      </w:r>
    </w:p>
    <w:p w14:paraId="40C07C31">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.1报告时间</w:t>
      </w:r>
      <w:r>
        <w:rPr>
          <w:rFonts w:hint="eastAsia" w:ascii="宋体" w:hAnsi="宋体" w:cs="宋体"/>
          <w:color w:val="auto"/>
          <w:sz w:val="24"/>
          <w:szCs w:val="24"/>
          <w:highlight w:val="none"/>
          <w:lang w:val="en-US" w:eastAsia="zh-CN"/>
        </w:rPr>
        <w:t>按双方约定执行</w:t>
      </w:r>
      <w:r>
        <w:rPr>
          <w:rFonts w:hint="eastAsia" w:ascii="宋体" w:hAnsi="宋体" w:eastAsia="宋体" w:cs="宋体"/>
          <w:color w:val="auto"/>
          <w:sz w:val="24"/>
          <w:szCs w:val="24"/>
          <w:highlight w:val="none"/>
        </w:rPr>
        <w:t>，延迟一天</w:t>
      </w:r>
      <w:r>
        <w:rPr>
          <w:rFonts w:hint="eastAsia" w:ascii="宋体" w:hAnsi="宋体" w:cs="宋体"/>
          <w:color w:val="auto"/>
          <w:sz w:val="24"/>
          <w:szCs w:val="24"/>
          <w:highlight w:val="none"/>
          <w:lang w:val="en-US" w:eastAsia="zh-CN"/>
        </w:rPr>
        <w:t>将扣除该项检测费的50%</w:t>
      </w:r>
      <w:r>
        <w:rPr>
          <w:rFonts w:hint="eastAsia" w:ascii="宋体" w:hAnsi="宋体" w:eastAsia="宋体" w:cs="宋体"/>
          <w:color w:val="auto"/>
          <w:sz w:val="24"/>
          <w:szCs w:val="24"/>
          <w:highlight w:val="none"/>
        </w:rPr>
        <w:t>，如造成投诉纠纷</w:t>
      </w:r>
      <w:r>
        <w:rPr>
          <w:rFonts w:hint="eastAsia" w:ascii="宋体" w:hAnsi="宋体" w:cs="宋体"/>
          <w:color w:val="auto"/>
          <w:sz w:val="24"/>
          <w:szCs w:val="24"/>
          <w:highlight w:val="none"/>
          <w:lang w:val="en-US" w:eastAsia="zh-CN"/>
        </w:rPr>
        <w:t>的中标人</w:t>
      </w:r>
      <w:r>
        <w:rPr>
          <w:rFonts w:hint="eastAsia" w:ascii="宋体" w:hAnsi="宋体" w:eastAsia="宋体" w:cs="宋体"/>
          <w:color w:val="auto"/>
          <w:sz w:val="24"/>
          <w:szCs w:val="24"/>
          <w:highlight w:val="none"/>
        </w:rPr>
        <w:t>需承担相应责任。</w:t>
      </w:r>
      <w:r>
        <w:rPr>
          <w:rFonts w:hint="eastAsia" w:ascii="宋体" w:hAnsi="宋体" w:cs="宋体"/>
          <w:color w:val="auto"/>
          <w:sz w:val="24"/>
          <w:szCs w:val="24"/>
          <w:highlight w:val="none"/>
          <w:lang w:val="en-US" w:eastAsia="zh-CN"/>
        </w:rPr>
        <w:t>若有</w:t>
      </w:r>
      <w:r>
        <w:rPr>
          <w:rFonts w:hint="eastAsia" w:ascii="宋体" w:hAnsi="宋体" w:eastAsia="宋体" w:cs="宋体"/>
          <w:color w:val="auto"/>
          <w:sz w:val="24"/>
          <w:szCs w:val="24"/>
          <w:highlight w:val="none"/>
        </w:rPr>
        <w:t>五次以上延迟</w:t>
      </w:r>
      <w:r>
        <w:rPr>
          <w:rFonts w:hint="eastAsia" w:ascii="宋体" w:hAnsi="宋体" w:cs="宋体"/>
          <w:color w:val="auto"/>
          <w:sz w:val="24"/>
          <w:szCs w:val="24"/>
          <w:highlight w:val="none"/>
          <w:lang w:val="en-US" w:eastAsia="zh-CN"/>
        </w:rPr>
        <w:t>提交检测</w:t>
      </w:r>
      <w:r>
        <w:rPr>
          <w:rFonts w:hint="eastAsia" w:ascii="宋体" w:hAnsi="宋体" w:eastAsia="宋体" w:cs="宋体"/>
          <w:color w:val="auto"/>
          <w:sz w:val="24"/>
          <w:szCs w:val="24"/>
          <w:highlight w:val="none"/>
        </w:rPr>
        <w:t>报告的，采购人有权提前解除合同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w:t>
      </w:r>
      <w:r>
        <w:rPr>
          <w:rFonts w:hint="eastAsia" w:ascii="宋体" w:hAnsi="宋体" w:eastAsia="宋体" w:cs="宋体"/>
          <w:color w:val="auto"/>
          <w:sz w:val="24"/>
          <w:szCs w:val="24"/>
          <w:highlight w:val="none"/>
        </w:rPr>
        <w:t>特殊情况的需</w:t>
      </w:r>
      <w:r>
        <w:rPr>
          <w:rFonts w:hint="eastAsia" w:ascii="宋体" w:hAnsi="宋体" w:cs="宋体"/>
          <w:color w:val="auto"/>
          <w:sz w:val="24"/>
          <w:szCs w:val="24"/>
          <w:highlight w:val="none"/>
          <w:lang w:val="en-US" w:eastAsia="zh-CN"/>
        </w:rPr>
        <w:t>向采购人书面说明，并取</w:t>
      </w:r>
      <w:r>
        <w:rPr>
          <w:rFonts w:hint="eastAsia" w:ascii="宋体" w:hAnsi="宋体" w:eastAsia="宋体" w:cs="宋体"/>
          <w:color w:val="auto"/>
          <w:sz w:val="24"/>
          <w:szCs w:val="24"/>
          <w:highlight w:val="none"/>
        </w:rPr>
        <w:t>得采购人</w:t>
      </w:r>
      <w:r>
        <w:rPr>
          <w:rFonts w:hint="eastAsia" w:ascii="宋体" w:hAnsi="宋体" w:cs="宋体"/>
          <w:color w:val="auto"/>
          <w:sz w:val="24"/>
          <w:szCs w:val="24"/>
          <w:highlight w:val="none"/>
          <w:lang w:val="en-US" w:eastAsia="zh-CN"/>
        </w:rPr>
        <w:t>的同意</w:t>
      </w:r>
      <w:r>
        <w:rPr>
          <w:rFonts w:hint="eastAsia" w:ascii="宋体" w:hAnsi="宋体" w:eastAsia="宋体" w:cs="宋体"/>
          <w:color w:val="auto"/>
          <w:sz w:val="24"/>
          <w:szCs w:val="24"/>
          <w:highlight w:val="none"/>
        </w:rPr>
        <w:t>。</w:t>
      </w:r>
    </w:p>
    <w:p w14:paraId="33C6B95F">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.2检测结果的准确性：对结果明显有差异的，中标人应无条件</w:t>
      </w:r>
      <w:r>
        <w:rPr>
          <w:rFonts w:hint="eastAsia" w:ascii="宋体" w:hAnsi="宋体" w:cs="宋体"/>
          <w:color w:val="auto"/>
          <w:sz w:val="24"/>
          <w:szCs w:val="24"/>
          <w:highlight w:val="none"/>
          <w:lang w:val="en-US" w:eastAsia="zh-CN"/>
        </w:rPr>
        <w:t>重新检测</w:t>
      </w:r>
      <w:r>
        <w:rPr>
          <w:rFonts w:hint="eastAsia" w:ascii="宋体" w:hAnsi="宋体" w:eastAsia="宋体" w:cs="宋体"/>
          <w:color w:val="auto"/>
          <w:sz w:val="24"/>
          <w:szCs w:val="24"/>
          <w:highlight w:val="none"/>
        </w:rPr>
        <w:t>。</w:t>
      </w:r>
    </w:p>
    <w:p w14:paraId="58C8758D">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.3中标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对检验结果负责，因检验结果问题引起的医疗纠纷，对患方的所有赔（补）偿费用完全由</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支付，同时</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应对医院进行相应赔偿。</w:t>
      </w:r>
    </w:p>
    <w:p w14:paraId="08CF709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要做好与医院相关科室的信息双向对接，同时负责提供相应软硬件服务，按相关科室意见加以改进，并需在合同规定期限内完成安装、调试。</w:t>
      </w:r>
    </w:p>
    <w:p w14:paraId="45151AB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.5中标人应根据采购人的要求，为采购人提供分析前样本的质量控制等相关内容的培训服务，按照医院的要求维护所有必需的质量控制项目，每季度提交质量控制数据记录。</w:t>
      </w:r>
    </w:p>
    <w:p w14:paraId="70F9671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.6合同签订后医院有新增加项目，</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应同意并按已签订合同的</w:t>
      </w:r>
      <w:r>
        <w:rPr>
          <w:rFonts w:hint="eastAsia" w:ascii="宋体" w:hAnsi="宋体" w:eastAsia="宋体" w:cs="宋体"/>
          <w:bCs/>
          <w:color w:val="auto"/>
          <w:sz w:val="24"/>
          <w:szCs w:val="24"/>
          <w:highlight w:val="none"/>
          <w:lang w:eastAsia="zh-CN"/>
        </w:rPr>
        <w:t>折扣</w:t>
      </w:r>
      <w:r>
        <w:rPr>
          <w:rFonts w:hint="eastAsia" w:ascii="宋体" w:hAnsi="宋体" w:eastAsia="宋体" w:cs="宋体"/>
          <w:bCs/>
          <w:color w:val="auto"/>
          <w:sz w:val="24"/>
          <w:szCs w:val="24"/>
          <w:highlight w:val="none"/>
        </w:rPr>
        <w:t>执行。</w:t>
      </w:r>
    </w:p>
    <w:p w14:paraId="7F3E9D9D">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.7合同期间，医院因科室发展要求，减少</w:t>
      </w:r>
      <w:r>
        <w:rPr>
          <w:rFonts w:hint="eastAsia" w:ascii="宋体" w:hAnsi="宋体" w:cs="宋体"/>
          <w:color w:val="auto"/>
          <w:sz w:val="24"/>
          <w:szCs w:val="24"/>
          <w:highlight w:val="none"/>
          <w:lang w:eastAsia="zh-CN"/>
        </w:rPr>
        <w:t>肾穿刺标本病理诊断外送检测</w:t>
      </w:r>
      <w:r>
        <w:rPr>
          <w:rFonts w:hint="eastAsia" w:ascii="宋体" w:hAnsi="宋体" w:eastAsia="宋体" w:cs="宋体"/>
          <w:color w:val="auto"/>
          <w:sz w:val="24"/>
          <w:szCs w:val="24"/>
          <w:highlight w:val="none"/>
        </w:rPr>
        <w:t>清单上的项目，</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应同意该项目医院不再委托外送，其余项目按已签订合同的</w:t>
      </w:r>
      <w:r>
        <w:rPr>
          <w:rFonts w:hint="eastAsia" w:ascii="宋体" w:hAnsi="宋体" w:eastAsia="宋体" w:cs="宋体"/>
          <w:bCs/>
          <w:color w:val="auto"/>
          <w:sz w:val="24"/>
          <w:szCs w:val="24"/>
          <w:highlight w:val="none"/>
          <w:lang w:eastAsia="zh-CN"/>
        </w:rPr>
        <w:t>折扣</w:t>
      </w:r>
      <w:r>
        <w:rPr>
          <w:rFonts w:hint="eastAsia" w:ascii="宋体" w:hAnsi="宋体" w:eastAsia="宋体" w:cs="宋体"/>
          <w:bCs/>
          <w:color w:val="auto"/>
          <w:sz w:val="24"/>
          <w:szCs w:val="24"/>
          <w:highlight w:val="none"/>
        </w:rPr>
        <w:t>执行。</w:t>
      </w:r>
    </w:p>
    <w:p w14:paraId="618F0B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trike w:val="0"/>
          <w:dstrike w:val="0"/>
          <w:color w:val="auto"/>
          <w:sz w:val="24"/>
          <w:szCs w:val="24"/>
          <w:highlight w:val="none"/>
        </w:rPr>
      </w:pPr>
      <w:r>
        <w:rPr>
          <w:rFonts w:hint="eastAsia" w:ascii="宋体" w:hAnsi="宋体" w:cs="宋体"/>
          <w:bCs/>
          <w:strike w:val="0"/>
          <w:dstrike w:val="0"/>
          <w:color w:val="auto"/>
          <w:sz w:val="24"/>
          <w:szCs w:val="24"/>
          <w:highlight w:val="none"/>
          <w:lang w:val="en-US" w:eastAsia="zh-CN"/>
        </w:rPr>
        <w:t>6</w:t>
      </w:r>
      <w:r>
        <w:rPr>
          <w:rFonts w:hint="eastAsia" w:ascii="宋体" w:hAnsi="宋体" w:eastAsia="宋体" w:cs="宋体"/>
          <w:bCs/>
          <w:strike w:val="0"/>
          <w:dstrike w:val="0"/>
          <w:color w:val="auto"/>
          <w:sz w:val="24"/>
          <w:szCs w:val="24"/>
          <w:highlight w:val="none"/>
        </w:rPr>
        <w:t>.</w:t>
      </w:r>
      <w:r>
        <w:rPr>
          <w:rFonts w:hint="eastAsia" w:ascii="宋体" w:hAnsi="宋体" w:cs="宋体"/>
          <w:bCs/>
          <w:strike w:val="0"/>
          <w:dstrike w:val="0"/>
          <w:color w:val="auto"/>
          <w:sz w:val="24"/>
          <w:szCs w:val="24"/>
          <w:highlight w:val="none"/>
          <w:lang w:val="en-US" w:eastAsia="zh-CN"/>
        </w:rPr>
        <w:t>8</w:t>
      </w:r>
      <w:r>
        <w:rPr>
          <w:rFonts w:hint="eastAsia" w:ascii="宋体" w:hAnsi="宋体" w:eastAsia="宋体" w:cs="宋体"/>
          <w:bCs/>
          <w:strike w:val="0"/>
          <w:dstrike w:val="0"/>
          <w:color w:val="auto"/>
          <w:sz w:val="24"/>
          <w:szCs w:val="24"/>
          <w:highlight w:val="none"/>
        </w:rPr>
        <w:t>采购人将不定期组织专家至</w:t>
      </w:r>
      <w:r>
        <w:rPr>
          <w:rFonts w:hint="eastAsia" w:ascii="宋体" w:hAnsi="宋体" w:eastAsia="宋体" w:cs="宋体"/>
          <w:bCs/>
          <w:strike w:val="0"/>
          <w:dstrike w:val="0"/>
          <w:color w:val="auto"/>
          <w:sz w:val="24"/>
          <w:szCs w:val="24"/>
          <w:highlight w:val="none"/>
          <w:lang w:eastAsia="zh-CN"/>
        </w:rPr>
        <w:t>中标人</w:t>
      </w:r>
      <w:r>
        <w:rPr>
          <w:rFonts w:hint="eastAsia" w:ascii="宋体" w:hAnsi="宋体" w:eastAsia="宋体" w:cs="宋体"/>
          <w:bCs/>
          <w:strike w:val="0"/>
          <w:dstrike w:val="0"/>
          <w:color w:val="auto"/>
          <w:sz w:val="24"/>
          <w:szCs w:val="24"/>
          <w:highlight w:val="none"/>
        </w:rPr>
        <w:t>现场检查、督导并查看试剂、设备等采购相关台账，如发现</w:t>
      </w:r>
      <w:r>
        <w:rPr>
          <w:rFonts w:hint="eastAsia" w:ascii="宋体" w:hAnsi="宋体" w:eastAsia="宋体" w:cs="宋体"/>
          <w:bCs/>
          <w:strike w:val="0"/>
          <w:dstrike w:val="0"/>
          <w:color w:val="auto"/>
          <w:sz w:val="24"/>
          <w:szCs w:val="24"/>
          <w:highlight w:val="none"/>
          <w:lang w:eastAsia="zh-CN"/>
        </w:rPr>
        <w:t>中标人</w:t>
      </w:r>
      <w:r>
        <w:rPr>
          <w:rFonts w:hint="eastAsia" w:ascii="宋体" w:hAnsi="宋体" w:eastAsia="宋体" w:cs="宋体"/>
          <w:bCs/>
          <w:strike w:val="0"/>
          <w:dstrike w:val="0"/>
          <w:color w:val="auto"/>
          <w:sz w:val="24"/>
          <w:szCs w:val="24"/>
          <w:highlight w:val="none"/>
        </w:rPr>
        <w:t>存在提供虚假信息或未经</w:t>
      </w:r>
      <w:r>
        <w:rPr>
          <w:rFonts w:hint="eastAsia" w:ascii="宋体" w:hAnsi="宋体" w:cs="宋体"/>
          <w:bCs/>
          <w:strike w:val="0"/>
          <w:dstrike w:val="0"/>
          <w:color w:val="auto"/>
          <w:sz w:val="24"/>
          <w:szCs w:val="24"/>
          <w:highlight w:val="none"/>
          <w:lang w:val="en-US" w:eastAsia="zh-CN"/>
        </w:rPr>
        <w:t>采购人</w:t>
      </w:r>
      <w:r>
        <w:rPr>
          <w:rFonts w:hint="eastAsia" w:ascii="宋体" w:hAnsi="宋体" w:eastAsia="宋体" w:cs="宋体"/>
          <w:bCs/>
          <w:strike w:val="0"/>
          <w:dstrike w:val="0"/>
          <w:color w:val="auto"/>
          <w:sz w:val="24"/>
          <w:szCs w:val="24"/>
          <w:highlight w:val="none"/>
        </w:rPr>
        <w:t>同意私自更改使用试剂的品牌和检验项目的方法学等现象，采购人有权立即终止合同，</w:t>
      </w:r>
      <w:r>
        <w:rPr>
          <w:rFonts w:hint="eastAsia" w:ascii="宋体" w:hAnsi="宋体" w:eastAsia="宋体" w:cs="宋体"/>
          <w:bCs/>
          <w:strike w:val="0"/>
          <w:dstrike w:val="0"/>
          <w:color w:val="auto"/>
          <w:sz w:val="24"/>
          <w:szCs w:val="24"/>
          <w:highlight w:val="none"/>
          <w:lang w:eastAsia="zh-CN"/>
        </w:rPr>
        <w:t>中标人</w:t>
      </w:r>
      <w:r>
        <w:rPr>
          <w:rFonts w:hint="eastAsia" w:ascii="宋体" w:hAnsi="宋体" w:eastAsia="宋体" w:cs="宋体"/>
          <w:bCs/>
          <w:strike w:val="0"/>
          <w:dstrike w:val="0"/>
          <w:color w:val="auto"/>
          <w:sz w:val="24"/>
          <w:szCs w:val="24"/>
          <w:highlight w:val="none"/>
        </w:rPr>
        <w:t>需按已做项目的收费金额赔偿</w:t>
      </w:r>
      <w:r>
        <w:rPr>
          <w:rFonts w:hint="eastAsia" w:ascii="宋体" w:hAnsi="宋体" w:cs="宋体"/>
          <w:bCs/>
          <w:strike w:val="0"/>
          <w:dstrike w:val="0"/>
          <w:color w:val="auto"/>
          <w:sz w:val="24"/>
          <w:szCs w:val="24"/>
          <w:highlight w:val="none"/>
          <w:lang w:val="en-US" w:eastAsia="zh-CN"/>
        </w:rPr>
        <w:t>采购人</w:t>
      </w:r>
      <w:r>
        <w:rPr>
          <w:rFonts w:hint="eastAsia" w:ascii="宋体" w:hAnsi="宋体" w:eastAsia="宋体" w:cs="宋体"/>
          <w:bCs/>
          <w:strike w:val="0"/>
          <w:dstrike w:val="0"/>
          <w:color w:val="auto"/>
          <w:sz w:val="24"/>
          <w:szCs w:val="24"/>
          <w:highlight w:val="none"/>
        </w:rPr>
        <w:t>，并承担所有相关违约责任。</w:t>
      </w:r>
    </w:p>
    <w:p w14:paraId="1240DC51">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商务要求</w:t>
      </w:r>
    </w:p>
    <w:p w14:paraId="611E3E56">
      <w:pPr>
        <w:pStyle w:val="6"/>
        <w:spacing w:line="360" w:lineRule="auto"/>
        <w:ind w:firstLine="241" w:firstLineChars="100"/>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1、投标报价</w:t>
      </w:r>
    </w:p>
    <w:p w14:paraId="4F7C28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w:t>
      </w:r>
      <w:r>
        <w:rPr>
          <w:rFonts w:hint="eastAsia" w:ascii="宋体" w:hAnsi="宋体" w:cs="宋体"/>
          <w:color w:val="auto"/>
          <w:sz w:val="24"/>
          <w:highlight w:val="none"/>
          <w:lang w:val="en-US" w:eastAsia="zh-CN"/>
        </w:rPr>
        <w:t>折扣</w:t>
      </w:r>
      <w:r>
        <w:rPr>
          <w:rFonts w:hint="eastAsia" w:ascii="宋体" w:hAnsi="宋体" w:cs="宋体"/>
          <w:color w:val="auto"/>
          <w:sz w:val="24"/>
          <w:highlight w:val="none"/>
        </w:rPr>
        <w:t>报价是履行合同的最终价格，应包括</w:t>
      </w:r>
      <w:r>
        <w:rPr>
          <w:rFonts w:hint="eastAsia" w:eastAsia="宋体" w:cs="Times New Roman"/>
          <w:color w:val="auto"/>
          <w:sz w:val="24"/>
          <w:highlight w:val="none"/>
          <w:lang w:val="en-US" w:eastAsia="zh-CN"/>
        </w:rPr>
        <w:t>运输服务、配套车辆设备、配备服务人员、设备维护保养、微生物消毒、外送标本检验、存储耗材、</w:t>
      </w:r>
      <w:r>
        <w:rPr>
          <w:rFonts w:hint="default" w:eastAsia="宋体" w:cs="Times New Roman"/>
          <w:color w:val="auto"/>
          <w:sz w:val="24"/>
          <w:highlight w:val="none"/>
          <w:lang w:val="en-US" w:eastAsia="zh-CN"/>
        </w:rPr>
        <w:t>运输费、人工费、质量监控信息费、外送</w:t>
      </w:r>
      <w:r>
        <w:rPr>
          <w:rFonts w:hint="eastAsia" w:eastAsia="宋体" w:cs="Times New Roman"/>
          <w:color w:val="auto"/>
          <w:sz w:val="24"/>
          <w:highlight w:val="none"/>
          <w:lang w:val="en-US" w:eastAsia="zh-CN"/>
        </w:rPr>
        <w:t>样</w:t>
      </w:r>
      <w:r>
        <w:rPr>
          <w:rFonts w:hint="default" w:eastAsia="宋体" w:cs="Times New Roman"/>
          <w:color w:val="auto"/>
          <w:sz w:val="24"/>
          <w:highlight w:val="none"/>
          <w:lang w:val="en-US" w:eastAsia="zh-CN"/>
        </w:rPr>
        <w:t>本检测成本费、仓储费、保险费、培训、</w:t>
      </w:r>
      <w:r>
        <w:rPr>
          <w:rFonts w:hint="eastAsia" w:eastAsia="宋体" w:cs="Times New Roman"/>
          <w:color w:val="auto"/>
          <w:sz w:val="24"/>
          <w:highlight w:val="none"/>
          <w:lang w:val="en-US" w:eastAsia="zh-CN"/>
        </w:rPr>
        <w:t>工资、水电费、设备折旧费</w:t>
      </w:r>
      <w:r>
        <w:rPr>
          <w:rFonts w:hint="default" w:eastAsia="宋体" w:cs="Times New Roman"/>
          <w:color w:val="auto"/>
          <w:sz w:val="24"/>
          <w:highlight w:val="none"/>
          <w:lang w:val="en-US" w:eastAsia="zh-CN"/>
        </w:rPr>
        <w:t>售后服务、利润、完</w:t>
      </w:r>
      <w:r>
        <w:rPr>
          <w:rFonts w:hint="default" w:ascii="Times New Roman" w:hAnsi="Times New Roman" w:eastAsia="宋体" w:cs="Times New Roman"/>
          <w:color w:val="auto"/>
          <w:sz w:val="24"/>
          <w:highlight w:val="none"/>
        </w:rPr>
        <w:t>成本项目的其它费用和政策性文件规定及合同包含的所有风险、责任</w:t>
      </w:r>
      <w:r>
        <w:rPr>
          <w:rFonts w:hint="eastAsia" w:ascii="宋体" w:hAnsi="宋体" w:cs="宋体"/>
          <w:color w:val="auto"/>
          <w:sz w:val="24"/>
          <w:highlight w:val="none"/>
        </w:rPr>
        <w:t>等本项目相关的一切费用和税金。投标人投标报价为投标人所能承受的整个项目的一次性最终最低报价，如有漏项，视同已包含在本项目投标</w:t>
      </w:r>
      <w:r>
        <w:rPr>
          <w:rFonts w:hint="eastAsia" w:ascii="宋体" w:hAnsi="宋体" w:cs="宋体"/>
          <w:color w:val="auto"/>
          <w:sz w:val="24"/>
          <w:highlight w:val="none"/>
          <w:lang w:val="en-US" w:eastAsia="zh-CN"/>
        </w:rPr>
        <w:t>折扣</w:t>
      </w:r>
      <w:r>
        <w:rPr>
          <w:rFonts w:hint="eastAsia" w:ascii="宋体" w:hAnsi="宋体" w:cs="宋体"/>
          <w:color w:val="auto"/>
          <w:sz w:val="24"/>
          <w:highlight w:val="none"/>
        </w:rPr>
        <w:t>中，</w:t>
      </w:r>
      <w:r>
        <w:rPr>
          <w:rFonts w:hint="eastAsia" w:ascii="宋体" w:hAnsi="宋体" w:cs="宋体"/>
          <w:color w:val="auto"/>
          <w:sz w:val="24"/>
          <w:highlight w:val="none"/>
          <w:lang w:val="en-US" w:eastAsia="zh-CN"/>
        </w:rPr>
        <w:t>合同折扣</w:t>
      </w:r>
      <w:r>
        <w:rPr>
          <w:rFonts w:hint="eastAsia" w:ascii="宋体" w:hAnsi="宋体" w:cs="宋体"/>
          <w:color w:val="auto"/>
          <w:sz w:val="24"/>
          <w:highlight w:val="none"/>
          <w:lang w:eastAsia="zh-CN"/>
        </w:rPr>
        <w:t>不作调整</w:t>
      </w:r>
      <w:r>
        <w:rPr>
          <w:rFonts w:hint="eastAsia" w:ascii="宋体" w:hAnsi="宋体" w:cs="宋体"/>
          <w:color w:val="auto"/>
          <w:sz w:val="24"/>
          <w:highlight w:val="none"/>
        </w:rPr>
        <w:t>。</w:t>
      </w:r>
    </w:p>
    <w:p w14:paraId="1EB5A5C9">
      <w:pPr>
        <w:spacing w:line="360" w:lineRule="auto"/>
        <w:ind w:firstLine="241" w:firstLineChars="100"/>
        <w:rPr>
          <w:rFonts w:hint="eastAsia" w:ascii="宋体" w:hAnsi="宋体" w:eastAsia="宋体" w:cs="宋体"/>
          <w:b/>
          <w:bCs/>
          <w:color w:val="auto"/>
          <w:kern w:val="24"/>
          <w:sz w:val="24"/>
          <w:szCs w:val="24"/>
          <w:highlight w:val="none"/>
        </w:rPr>
      </w:pPr>
      <w:r>
        <w:rPr>
          <w:rFonts w:hint="eastAsia" w:ascii="宋体" w:hAnsi="宋体" w:eastAsia="宋体" w:cs="宋体"/>
          <w:b/>
          <w:bCs/>
          <w:color w:val="auto"/>
          <w:kern w:val="24"/>
          <w:sz w:val="24"/>
          <w:szCs w:val="24"/>
          <w:highlight w:val="none"/>
        </w:rPr>
        <w:t>2、</w:t>
      </w:r>
      <w:r>
        <w:rPr>
          <w:rFonts w:hint="eastAsia" w:ascii="宋体" w:hAnsi="宋体" w:cs="宋体"/>
          <w:b/>
          <w:bCs/>
          <w:color w:val="auto"/>
          <w:kern w:val="24"/>
          <w:sz w:val="24"/>
          <w:szCs w:val="24"/>
          <w:highlight w:val="none"/>
          <w:lang w:val="en-US" w:eastAsia="zh-CN"/>
        </w:rPr>
        <w:t>结算及</w:t>
      </w:r>
      <w:r>
        <w:rPr>
          <w:rFonts w:hint="eastAsia" w:ascii="宋体" w:hAnsi="宋体" w:eastAsia="宋体" w:cs="宋体"/>
          <w:b/>
          <w:bCs/>
          <w:color w:val="auto"/>
          <w:kern w:val="24"/>
          <w:sz w:val="24"/>
          <w:szCs w:val="24"/>
          <w:highlight w:val="none"/>
        </w:rPr>
        <w:t>付款方式</w:t>
      </w:r>
    </w:p>
    <w:p w14:paraId="73FEB09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2.1结算方式：</w:t>
      </w:r>
      <w:r>
        <w:rPr>
          <w:rFonts w:hint="eastAsia" w:ascii="宋体" w:hAnsi="宋体" w:eastAsia="宋体" w:cs="宋体"/>
          <w:bCs/>
          <w:color w:val="auto"/>
          <w:sz w:val="24"/>
          <w:szCs w:val="24"/>
          <w:highlight w:val="none"/>
        </w:rPr>
        <w:t>检测费用按</w:t>
      </w:r>
      <w:r>
        <w:rPr>
          <w:rFonts w:hint="eastAsia" w:ascii="宋体" w:hAnsi="宋体" w:cs="宋体"/>
          <w:bCs/>
          <w:color w:val="auto"/>
          <w:sz w:val="24"/>
          <w:szCs w:val="24"/>
          <w:highlight w:val="none"/>
          <w:lang w:val="en-US" w:eastAsia="zh-CN"/>
        </w:rPr>
        <w:t>季</w:t>
      </w:r>
      <w:r>
        <w:rPr>
          <w:rFonts w:hint="eastAsia" w:ascii="宋体" w:hAnsi="宋体" w:eastAsia="宋体" w:cs="宋体"/>
          <w:bCs/>
          <w:color w:val="auto"/>
          <w:sz w:val="24"/>
          <w:szCs w:val="24"/>
          <w:highlight w:val="none"/>
        </w:rPr>
        <w:t>结算，业务量的结算以当</w:t>
      </w:r>
      <w:r>
        <w:rPr>
          <w:rFonts w:hint="eastAsia" w:ascii="宋体" w:hAnsi="宋体" w:cs="宋体"/>
          <w:bCs/>
          <w:color w:val="auto"/>
          <w:sz w:val="24"/>
          <w:szCs w:val="24"/>
          <w:highlight w:val="none"/>
          <w:lang w:val="en-US" w:eastAsia="zh-CN"/>
        </w:rPr>
        <w:t>季</w:t>
      </w:r>
      <w:r>
        <w:rPr>
          <w:rFonts w:hint="eastAsia" w:ascii="宋体" w:hAnsi="宋体" w:eastAsia="宋体" w:cs="宋体"/>
          <w:bCs/>
          <w:color w:val="auto"/>
          <w:sz w:val="24"/>
          <w:szCs w:val="24"/>
          <w:highlight w:val="none"/>
        </w:rPr>
        <w:t>外送</w:t>
      </w:r>
      <w:r>
        <w:rPr>
          <w:rFonts w:hint="eastAsia" w:ascii="宋体" w:hAnsi="宋体" w:cs="宋体"/>
          <w:color w:val="auto"/>
          <w:sz w:val="24"/>
          <w:szCs w:val="24"/>
          <w:highlight w:val="none"/>
          <w:lang w:val="en-US" w:eastAsia="zh-CN"/>
        </w:rPr>
        <w:t>样</w:t>
      </w:r>
      <w:r>
        <w:rPr>
          <w:rFonts w:hint="eastAsia" w:ascii="宋体" w:hAnsi="宋体" w:eastAsia="宋体" w:cs="宋体"/>
          <w:bCs/>
          <w:color w:val="auto"/>
          <w:sz w:val="24"/>
          <w:szCs w:val="24"/>
          <w:highlight w:val="none"/>
        </w:rPr>
        <w:t>本登记的签收记录为准。</w:t>
      </w:r>
    </w:p>
    <w:p w14:paraId="2539DFBC">
      <w:pPr>
        <w:spacing w:line="360" w:lineRule="auto"/>
        <w:ind w:firstLine="480" w:firstLineChars="200"/>
        <w:rPr>
          <w:rFonts w:hint="default" w:ascii="宋体" w:hAnsi="宋体" w:eastAsia="宋体" w:cs="宋体"/>
          <w:bCs/>
          <w:strike/>
          <w:dstrike w:val="0"/>
          <w:color w:val="auto"/>
          <w:sz w:val="24"/>
          <w:szCs w:val="24"/>
          <w:highlight w:val="none"/>
          <w:lang w:val="en-US" w:eastAsia="zh-CN"/>
        </w:rPr>
      </w:pPr>
      <w:r>
        <w:rPr>
          <w:rFonts w:hint="eastAsia" w:ascii="宋体" w:hAnsi="宋体" w:cs="宋体"/>
          <w:bCs/>
          <w:color w:val="auto"/>
          <w:sz w:val="24"/>
          <w:szCs w:val="24"/>
          <w:highlight w:val="none"/>
          <w:lang w:val="en-US" w:eastAsia="zh-CN"/>
        </w:rPr>
        <w:t>每季检测费用=</w:t>
      </w:r>
      <w:r>
        <w:rPr>
          <w:rFonts w:hint="eastAsia" w:ascii="宋体" w:hAnsi="宋体" w:eastAsia="宋体" w:cs="宋体"/>
          <w:color w:val="auto"/>
          <w:sz w:val="24"/>
          <w:szCs w:val="24"/>
          <w:highlight w:val="none"/>
          <w:lang w:val="en-US" w:eastAsia="zh-CN"/>
        </w:rPr>
        <w:t>金华市公立医院医疗服务价格手册收费标准（附件2）</w:t>
      </w:r>
      <w:r>
        <w:rPr>
          <w:rFonts w:hint="eastAsia" w:ascii="宋体" w:hAnsi="宋体" w:eastAsia="宋体" w:cs="宋体"/>
          <w:color w:val="auto"/>
          <w:sz w:val="24"/>
          <w:szCs w:val="24"/>
          <w:highlight w:val="none"/>
        </w:rPr>
        <w:t>×</w:t>
      </w:r>
      <w:r>
        <w:rPr>
          <w:rFonts w:hint="eastAsia" w:ascii="宋体" w:hAnsi="宋体" w:cs="宋体"/>
          <w:bCs/>
          <w:color w:val="auto"/>
          <w:sz w:val="24"/>
          <w:szCs w:val="24"/>
          <w:highlight w:val="none"/>
          <w:lang w:val="en-US" w:eastAsia="zh-CN"/>
        </w:rPr>
        <w:t>当季经双方共同确认的本院外送检测服务数量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本院外送检测服务</w:t>
      </w:r>
      <w:r>
        <w:rPr>
          <w:rFonts w:hint="eastAsia" w:ascii="宋体" w:hAnsi="宋体" w:cs="宋体"/>
          <w:bCs/>
          <w:color w:val="auto"/>
          <w:sz w:val="24"/>
          <w:szCs w:val="24"/>
          <w:highlight w:val="none"/>
          <w:lang w:val="en-US" w:eastAsia="zh-CN"/>
        </w:rPr>
        <w:t>中标折扣</w:t>
      </w:r>
    </w:p>
    <w:p w14:paraId="6BBC3695">
      <w:pPr>
        <w:spacing w:line="360" w:lineRule="auto"/>
        <w:ind w:firstLine="480" w:firstLineChars="200"/>
        <w:jc w:val="left"/>
        <w:rPr>
          <w:rFonts w:hint="eastAsia" w:ascii="宋体" w:hAnsi="宋体"/>
          <w:strike/>
          <w:dstrike w:val="0"/>
          <w:color w:val="auto"/>
          <w:sz w:val="24"/>
          <w:highlight w:val="none"/>
        </w:rPr>
      </w:pPr>
      <w:r>
        <w:rPr>
          <w:rFonts w:hint="eastAsia" w:ascii="宋体" w:hAnsi="宋体" w:cs="宋体"/>
          <w:bCs/>
          <w:color w:val="auto"/>
          <w:sz w:val="24"/>
          <w:szCs w:val="24"/>
          <w:highlight w:val="none"/>
          <w:lang w:val="en-US" w:eastAsia="zh-CN"/>
        </w:rPr>
        <w:t>2.2付款方式：</w:t>
      </w:r>
      <w:r>
        <w:rPr>
          <w:rFonts w:hint="eastAsia" w:ascii="宋体" w:hAnsi="宋体" w:eastAsia="宋体" w:cs="Times New Roman"/>
          <w:bCs/>
          <w:color w:val="auto"/>
          <w:sz w:val="24"/>
          <w:highlight w:val="none"/>
          <w:lang w:val="en-US" w:eastAsia="zh-CN"/>
        </w:rPr>
        <w:t>合同生效以及具备实施条件后7个工作日内支付合同价款的40%（采购人根据项目特点、供应商诚信等因素，可以要求中标人提交预付款保函），预付款在后续</w:t>
      </w:r>
      <w:r>
        <w:rPr>
          <w:rFonts w:hint="eastAsia" w:ascii="宋体" w:hAnsi="宋体" w:cs="Times New Roman"/>
          <w:bCs/>
          <w:color w:val="auto"/>
          <w:sz w:val="24"/>
          <w:highlight w:val="none"/>
          <w:lang w:val="en-US" w:eastAsia="zh-CN"/>
        </w:rPr>
        <w:t>服务费</w:t>
      </w:r>
      <w:r>
        <w:rPr>
          <w:rFonts w:hint="eastAsia" w:ascii="宋体" w:hAnsi="宋体" w:eastAsia="宋体" w:cs="Times New Roman"/>
          <w:bCs/>
          <w:color w:val="auto"/>
          <w:sz w:val="24"/>
          <w:highlight w:val="none"/>
          <w:lang w:val="en-US" w:eastAsia="zh-CN"/>
        </w:rPr>
        <w:t>中作相应抵扣。</w:t>
      </w:r>
      <w:r>
        <w:rPr>
          <w:rFonts w:hint="eastAsia" w:ascii="宋体" w:hAnsi="宋体" w:eastAsia="宋体" w:cs="宋体"/>
          <w:bCs/>
          <w:color w:val="auto"/>
          <w:sz w:val="24"/>
          <w:szCs w:val="24"/>
          <w:highlight w:val="none"/>
        </w:rPr>
        <w:t>每</w:t>
      </w:r>
      <w:r>
        <w:rPr>
          <w:rFonts w:hint="eastAsia" w:ascii="宋体" w:hAnsi="宋体" w:cs="宋体"/>
          <w:bCs/>
          <w:color w:val="auto"/>
          <w:sz w:val="24"/>
          <w:szCs w:val="24"/>
          <w:highlight w:val="none"/>
          <w:lang w:val="en-US" w:eastAsia="zh-CN"/>
        </w:rPr>
        <w:t>季度季初</w:t>
      </w:r>
      <w:r>
        <w:rPr>
          <w:rFonts w:hint="eastAsia" w:ascii="宋体" w:hAnsi="宋体" w:eastAsia="宋体" w:cs="宋体"/>
          <w:bCs/>
          <w:color w:val="auto"/>
          <w:sz w:val="24"/>
          <w:szCs w:val="24"/>
          <w:highlight w:val="none"/>
        </w:rPr>
        <w:t>就上</w:t>
      </w:r>
      <w:r>
        <w:rPr>
          <w:rFonts w:hint="eastAsia" w:ascii="宋体" w:hAnsi="宋体" w:cs="宋体"/>
          <w:bCs/>
          <w:color w:val="auto"/>
          <w:sz w:val="24"/>
          <w:szCs w:val="24"/>
          <w:highlight w:val="none"/>
          <w:lang w:val="en-US" w:eastAsia="zh-CN"/>
        </w:rPr>
        <w:t>季度</w:t>
      </w:r>
      <w:r>
        <w:rPr>
          <w:rFonts w:hint="eastAsia" w:ascii="宋体" w:hAnsi="宋体" w:eastAsia="宋体" w:cs="宋体"/>
          <w:bCs/>
          <w:color w:val="auto"/>
          <w:sz w:val="24"/>
          <w:szCs w:val="24"/>
          <w:highlight w:val="none"/>
        </w:rPr>
        <w:t>的检测项目进行结算</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经双方共同确认检测数量</w:t>
      </w:r>
      <w:r>
        <w:rPr>
          <w:rFonts w:hint="eastAsia" w:ascii="宋体" w:hAnsi="宋体" w:eastAsia="宋体" w:cs="宋体"/>
          <w:bCs/>
          <w:color w:val="auto"/>
          <w:sz w:val="24"/>
          <w:szCs w:val="24"/>
          <w:highlight w:val="none"/>
          <w:lang w:val="en-US" w:eastAsia="zh-CN"/>
        </w:rPr>
        <w:t>及费用</w:t>
      </w:r>
      <w:r>
        <w:rPr>
          <w:rFonts w:hint="eastAsia" w:ascii="宋体" w:hAnsi="宋体" w:eastAsia="宋体" w:cs="宋体"/>
          <w:bCs/>
          <w:color w:val="auto"/>
          <w:sz w:val="24"/>
          <w:szCs w:val="24"/>
          <w:highlight w:val="none"/>
        </w:rPr>
        <w:t>无异议后，</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在收到</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val="en-US" w:eastAsia="zh-CN"/>
        </w:rPr>
        <w:t>增值税</w:t>
      </w:r>
      <w:r>
        <w:rPr>
          <w:rFonts w:hint="eastAsia" w:ascii="宋体" w:hAnsi="宋体" w:eastAsia="宋体" w:cs="宋体"/>
          <w:bCs/>
          <w:color w:val="auto"/>
          <w:sz w:val="24"/>
          <w:szCs w:val="24"/>
          <w:highlight w:val="none"/>
        </w:rPr>
        <w:t>发票后</w:t>
      </w:r>
      <w:r>
        <w:rPr>
          <w:rFonts w:hint="eastAsia" w:ascii="宋体" w:hAnsi="宋体" w:eastAsia="宋体" w:cs="宋体"/>
          <w:bCs/>
          <w:color w:val="auto"/>
          <w:sz w:val="24"/>
          <w:szCs w:val="24"/>
          <w:highlight w:val="none"/>
          <w:lang w:val="en-US" w:eastAsia="zh-CN"/>
        </w:rPr>
        <w:t>7个工作</w:t>
      </w:r>
      <w:r>
        <w:rPr>
          <w:rFonts w:hint="eastAsia" w:ascii="宋体" w:hAnsi="宋体" w:eastAsia="宋体" w:cs="宋体"/>
          <w:bCs/>
          <w:color w:val="auto"/>
          <w:sz w:val="24"/>
          <w:szCs w:val="24"/>
          <w:highlight w:val="none"/>
        </w:rPr>
        <w:t>日内支付</w:t>
      </w:r>
      <w:r>
        <w:rPr>
          <w:rFonts w:hint="eastAsia" w:ascii="宋体" w:hAnsi="宋体" w:eastAsia="宋体" w:cs="宋体"/>
          <w:bCs/>
          <w:color w:val="auto"/>
          <w:sz w:val="24"/>
          <w:szCs w:val="24"/>
          <w:highlight w:val="none"/>
          <w:lang w:val="en-US" w:eastAsia="zh-CN"/>
        </w:rPr>
        <w:t>上季度的</w:t>
      </w:r>
      <w:r>
        <w:rPr>
          <w:rFonts w:hint="eastAsia" w:ascii="宋体" w:hAnsi="宋体" w:eastAsia="宋体" w:cs="宋体"/>
          <w:bCs/>
          <w:color w:val="auto"/>
          <w:sz w:val="24"/>
          <w:szCs w:val="24"/>
          <w:highlight w:val="none"/>
        </w:rPr>
        <w:t>检测服务费用。</w:t>
      </w:r>
    </w:p>
    <w:p w14:paraId="24029449">
      <w:pPr>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附件1：</w:t>
      </w:r>
    </w:p>
    <w:tbl>
      <w:tblPr>
        <w:tblStyle w:val="28"/>
        <w:tblW w:w="93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4"/>
        <w:gridCol w:w="5521"/>
        <w:gridCol w:w="1180"/>
        <w:gridCol w:w="1833"/>
      </w:tblGrid>
      <w:tr w14:paraId="6A2E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61F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521"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5A75E2F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18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62C1B45A">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收费单位</w:t>
            </w:r>
          </w:p>
        </w:tc>
        <w:tc>
          <w:tcPr>
            <w:tcW w:w="1833"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752953C">
            <w:pPr>
              <w:keepNext w:val="0"/>
              <w:keepLines w:val="0"/>
              <w:widowControl/>
              <w:suppressLineNumbers w:val="0"/>
              <w:jc w:val="center"/>
              <w:textAlignment w:val="center"/>
              <w:rPr>
                <w:rFonts w:hint="default" w:ascii="宋体" w:hAnsi="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报告时间</w:t>
            </w:r>
          </w:p>
        </w:tc>
      </w:tr>
      <w:tr w14:paraId="709E7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381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521"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top"/>
          </w:tcPr>
          <w:p w14:paraId="654E2741">
            <w:pPr>
              <w:jc w:val="left"/>
              <w:rPr>
                <w:rFonts w:hint="eastAsia" w:ascii="宋体" w:hAnsi="宋体" w:eastAsia="宋体" w:cs="宋体"/>
                <w:i w:val="0"/>
                <w:color w:val="000000"/>
                <w:sz w:val="22"/>
                <w:szCs w:val="22"/>
                <w:u w:val="none"/>
              </w:rPr>
            </w:pPr>
            <w:r>
              <w:rPr>
                <w:rFonts w:hint="default"/>
                <w:vertAlign w:val="baseline"/>
                <w:lang w:val="en-US" w:eastAsia="zh-CN"/>
              </w:rPr>
              <w:t>肾穿刺组织活检检查与诊断</w:t>
            </w:r>
          </w:p>
        </w:tc>
        <w:tc>
          <w:tcPr>
            <w:tcW w:w="118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top"/>
          </w:tcPr>
          <w:p w14:paraId="200C99C3">
            <w:pPr>
              <w:jc w:val="center"/>
              <w:rPr>
                <w:rFonts w:hint="default"/>
                <w:vertAlign w:val="baseline"/>
                <w:lang w:val="en-US" w:eastAsia="zh-CN"/>
              </w:rPr>
            </w:pPr>
            <w:r>
              <w:rPr>
                <w:rFonts w:hint="eastAsia"/>
                <w:vertAlign w:val="baseline"/>
                <w:lang w:val="en-US" w:eastAsia="zh-CN"/>
              </w:rPr>
              <w:t>例</w:t>
            </w:r>
          </w:p>
        </w:tc>
        <w:tc>
          <w:tcPr>
            <w:tcW w:w="1833"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top"/>
          </w:tcPr>
          <w:p w14:paraId="2988C627">
            <w:pPr>
              <w:jc w:val="center"/>
              <w:rPr>
                <w:rFonts w:hint="default"/>
                <w:vertAlign w:val="baseline"/>
                <w:lang w:val="en-US" w:eastAsia="zh-CN"/>
              </w:rPr>
            </w:pPr>
            <w:r>
              <w:rPr>
                <w:rFonts w:hint="eastAsia"/>
                <w:vertAlign w:val="baseline"/>
                <w:lang w:val="en-US" w:eastAsia="zh-CN"/>
              </w:rPr>
              <w:t>5个工作日</w:t>
            </w:r>
          </w:p>
        </w:tc>
      </w:tr>
      <w:tr w14:paraId="42C70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4EF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521"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top"/>
          </w:tcPr>
          <w:p w14:paraId="7F18DD55">
            <w:pPr>
              <w:jc w:val="left"/>
              <w:rPr>
                <w:rFonts w:hint="eastAsia" w:ascii="宋体" w:hAnsi="宋体" w:eastAsia="宋体" w:cs="宋体"/>
                <w:i w:val="0"/>
                <w:color w:val="000000"/>
                <w:sz w:val="22"/>
                <w:szCs w:val="22"/>
                <w:u w:val="none"/>
              </w:rPr>
            </w:pPr>
            <w:r>
              <w:rPr>
                <w:rFonts w:hint="default"/>
                <w:vertAlign w:val="baseline"/>
                <w:lang w:val="en-US" w:eastAsia="zh-CN"/>
              </w:rPr>
              <w:t>免疫荧光染色诊断</w:t>
            </w:r>
          </w:p>
        </w:tc>
        <w:tc>
          <w:tcPr>
            <w:tcW w:w="118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top"/>
          </w:tcPr>
          <w:p w14:paraId="233A4FCC">
            <w:pPr>
              <w:jc w:val="center"/>
              <w:rPr>
                <w:rFonts w:hint="default"/>
                <w:vertAlign w:val="baseline"/>
                <w:lang w:val="en-US" w:eastAsia="zh-CN"/>
              </w:rPr>
            </w:pPr>
            <w:r>
              <w:rPr>
                <w:rFonts w:hint="eastAsia"/>
                <w:vertAlign w:val="baseline"/>
                <w:lang w:val="en-US" w:eastAsia="zh-CN"/>
              </w:rPr>
              <w:t>项</w:t>
            </w:r>
          </w:p>
        </w:tc>
        <w:tc>
          <w:tcPr>
            <w:tcW w:w="1833"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top"/>
          </w:tcPr>
          <w:p w14:paraId="32E2199E">
            <w:pPr>
              <w:jc w:val="center"/>
              <w:rPr>
                <w:rFonts w:hint="eastAsia"/>
                <w:vertAlign w:val="baseline"/>
                <w:lang w:val="en-US" w:eastAsia="zh-CN"/>
              </w:rPr>
            </w:pPr>
            <w:r>
              <w:rPr>
                <w:rFonts w:hint="eastAsia"/>
                <w:vertAlign w:val="baseline"/>
                <w:lang w:val="en-US" w:eastAsia="zh-CN"/>
              </w:rPr>
              <w:t>5个工作日</w:t>
            </w:r>
          </w:p>
        </w:tc>
      </w:tr>
      <w:tr w14:paraId="126C4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2F7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521"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top"/>
          </w:tcPr>
          <w:p w14:paraId="22566544">
            <w:pPr>
              <w:jc w:val="left"/>
              <w:rPr>
                <w:rFonts w:hint="eastAsia" w:ascii="宋体" w:hAnsi="宋体" w:eastAsia="宋体" w:cs="宋体"/>
                <w:i w:val="0"/>
                <w:color w:val="000000"/>
                <w:sz w:val="22"/>
                <w:szCs w:val="22"/>
                <w:u w:val="none"/>
              </w:rPr>
            </w:pPr>
            <w:r>
              <w:rPr>
                <w:rFonts w:hint="default"/>
                <w:vertAlign w:val="baseline"/>
                <w:lang w:val="en-US" w:eastAsia="zh-CN"/>
              </w:rPr>
              <w:t>特殊染色及酶组织化学染色诊断</w:t>
            </w:r>
          </w:p>
        </w:tc>
        <w:tc>
          <w:tcPr>
            <w:tcW w:w="118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top"/>
          </w:tcPr>
          <w:p w14:paraId="783FCDE2">
            <w:pPr>
              <w:jc w:val="center"/>
              <w:rPr>
                <w:rFonts w:hint="default"/>
                <w:vertAlign w:val="baseline"/>
                <w:lang w:val="en-US" w:eastAsia="zh-CN"/>
              </w:rPr>
            </w:pPr>
            <w:r>
              <w:rPr>
                <w:rFonts w:hint="eastAsia"/>
                <w:vertAlign w:val="baseline"/>
                <w:lang w:val="en-US" w:eastAsia="zh-CN"/>
              </w:rPr>
              <w:t>项</w:t>
            </w:r>
          </w:p>
        </w:tc>
        <w:tc>
          <w:tcPr>
            <w:tcW w:w="1833"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top"/>
          </w:tcPr>
          <w:p w14:paraId="7865C165">
            <w:pPr>
              <w:jc w:val="center"/>
              <w:rPr>
                <w:rFonts w:hint="eastAsia"/>
                <w:vertAlign w:val="baseline"/>
                <w:lang w:val="en-US" w:eastAsia="zh-CN"/>
              </w:rPr>
            </w:pPr>
            <w:r>
              <w:rPr>
                <w:rFonts w:hint="eastAsia"/>
                <w:vertAlign w:val="baseline"/>
                <w:lang w:val="en-US" w:eastAsia="zh-CN"/>
              </w:rPr>
              <w:t>5个工作日</w:t>
            </w:r>
          </w:p>
        </w:tc>
      </w:tr>
      <w:tr w14:paraId="02EBD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EC5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521"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top"/>
          </w:tcPr>
          <w:p w14:paraId="6C2687FD">
            <w:pPr>
              <w:jc w:val="left"/>
              <w:rPr>
                <w:rFonts w:hint="eastAsia" w:ascii="宋体" w:hAnsi="宋体" w:eastAsia="宋体" w:cs="宋体"/>
                <w:i w:val="0"/>
                <w:color w:val="000000"/>
                <w:sz w:val="22"/>
                <w:szCs w:val="22"/>
                <w:u w:val="none"/>
              </w:rPr>
            </w:pPr>
            <w:r>
              <w:rPr>
                <w:rFonts w:hint="default"/>
                <w:vertAlign w:val="baseline"/>
                <w:lang w:val="en-US" w:eastAsia="zh-CN"/>
              </w:rPr>
              <w:t>病理单克隆抗体检测</w:t>
            </w:r>
          </w:p>
        </w:tc>
        <w:tc>
          <w:tcPr>
            <w:tcW w:w="118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top"/>
          </w:tcPr>
          <w:p w14:paraId="4D554E15">
            <w:pPr>
              <w:jc w:val="center"/>
              <w:rPr>
                <w:rFonts w:hint="default"/>
                <w:vertAlign w:val="baseline"/>
                <w:lang w:val="en-US" w:eastAsia="zh-CN"/>
              </w:rPr>
            </w:pPr>
            <w:r>
              <w:rPr>
                <w:rFonts w:hint="eastAsia"/>
                <w:vertAlign w:val="baseline"/>
                <w:lang w:val="en-US" w:eastAsia="zh-CN"/>
              </w:rPr>
              <w:t>项</w:t>
            </w:r>
          </w:p>
        </w:tc>
        <w:tc>
          <w:tcPr>
            <w:tcW w:w="1833"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top"/>
          </w:tcPr>
          <w:p w14:paraId="2C9A38D0">
            <w:pPr>
              <w:jc w:val="center"/>
              <w:rPr>
                <w:rFonts w:hint="eastAsia"/>
                <w:vertAlign w:val="baseline"/>
                <w:lang w:val="en-US" w:eastAsia="zh-CN"/>
              </w:rPr>
            </w:pPr>
            <w:r>
              <w:rPr>
                <w:rFonts w:hint="eastAsia"/>
                <w:vertAlign w:val="baseline"/>
                <w:lang w:val="en-US" w:eastAsia="zh-CN"/>
              </w:rPr>
              <w:t>5个工作日</w:t>
            </w:r>
          </w:p>
        </w:tc>
      </w:tr>
      <w:tr w14:paraId="6B996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481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521"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top"/>
          </w:tcPr>
          <w:p w14:paraId="7F977761">
            <w:pPr>
              <w:jc w:val="left"/>
              <w:rPr>
                <w:rFonts w:hint="eastAsia" w:ascii="宋体" w:hAnsi="宋体" w:eastAsia="宋体" w:cs="宋体"/>
                <w:i w:val="0"/>
                <w:color w:val="000000"/>
                <w:sz w:val="22"/>
                <w:szCs w:val="22"/>
                <w:u w:val="none"/>
              </w:rPr>
            </w:pPr>
            <w:r>
              <w:rPr>
                <w:rFonts w:hint="default"/>
                <w:vertAlign w:val="baseline"/>
                <w:lang w:val="en-US" w:eastAsia="zh-CN"/>
              </w:rPr>
              <w:t>病理癌基因蛋白检测</w:t>
            </w:r>
          </w:p>
        </w:tc>
        <w:tc>
          <w:tcPr>
            <w:tcW w:w="118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top"/>
          </w:tcPr>
          <w:p w14:paraId="0933CDF3">
            <w:pPr>
              <w:jc w:val="center"/>
              <w:rPr>
                <w:rFonts w:hint="default"/>
                <w:vertAlign w:val="baseline"/>
                <w:lang w:val="en-US" w:eastAsia="zh-CN"/>
              </w:rPr>
            </w:pPr>
            <w:r>
              <w:rPr>
                <w:rFonts w:hint="eastAsia"/>
                <w:vertAlign w:val="baseline"/>
                <w:lang w:val="en-US" w:eastAsia="zh-CN"/>
              </w:rPr>
              <w:t>项</w:t>
            </w:r>
          </w:p>
        </w:tc>
        <w:tc>
          <w:tcPr>
            <w:tcW w:w="1833"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top"/>
          </w:tcPr>
          <w:p w14:paraId="2B65E716">
            <w:pPr>
              <w:jc w:val="center"/>
              <w:rPr>
                <w:rFonts w:hint="eastAsia"/>
                <w:vertAlign w:val="baseline"/>
                <w:lang w:val="en-US" w:eastAsia="zh-CN"/>
              </w:rPr>
            </w:pPr>
            <w:r>
              <w:rPr>
                <w:rFonts w:hint="eastAsia"/>
                <w:vertAlign w:val="baseline"/>
                <w:lang w:val="en-US" w:eastAsia="zh-CN"/>
              </w:rPr>
              <w:t>5个工作日</w:t>
            </w:r>
          </w:p>
        </w:tc>
      </w:tr>
      <w:tr w14:paraId="7D83C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CE5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521"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top"/>
          </w:tcPr>
          <w:p w14:paraId="6A2862BA">
            <w:pPr>
              <w:jc w:val="left"/>
              <w:rPr>
                <w:rFonts w:hint="eastAsia" w:ascii="宋体" w:hAnsi="宋体" w:eastAsia="宋体" w:cs="宋体"/>
                <w:i w:val="0"/>
                <w:color w:val="000000"/>
                <w:sz w:val="22"/>
                <w:szCs w:val="22"/>
                <w:u w:val="none"/>
              </w:rPr>
            </w:pPr>
            <w:r>
              <w:rPr>
                <w:rFonts w:hint="default"/>
                <w:vertAlign w:val="baseline"/>
                <w:lang w:val="en-US" w:eastAsia="zh-CN"/>
              </w:rPr>
              <w:t>普通透射电镜检查与诊断</w:t>
            </w:r>
          </w:p>
        </w:tc>
        <w:tc>
          <w:tcPr>
            <w:tcW w:w="118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top"/>
          </w:tcPr>
          <w:p w14:paraId="27883814">
            <w:pPr>
              <w:jc w:val="center"/>
              <w:rPr>
                <w:rFonts w:hint="default"/>
                <w:vertAlign w:val="baseline"/>
                <w:lang w:val="en-US" w:eastAsia="zh-CN"/>
              </w:rPr>
            </w:pPr>
            <w:r>
              <w:rPr>
                <w:rFonts w:hint="eastAsia"/>
                <w:vertAlign w:val="baseline"/>
                <w:lang w:val="en-US" w:eastAsia="zh-CN"/>
              </w:rPr>
              <w:t>例</w:t>
            </w:r>
          </w:p>
        </w:tc>
        <w:tc>
          <w:tcPr>
            <w:tcW w:w="1833"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top"/>
          </w:tcPr>
          <w:p w14:paraId="357E2D90">
            <w:pPr>
              <w:jc w:val="center"/>
              <w:rPr>
                <w:rFonts w:hint="eastAsia"/>
                <w:vertAlign w:val="baseline"/>
                <w:lang w:val="en-US" w:eastAsia="zh-CN"/>
              </w:rPr>
            </w:pPr>
            <w:r>
              <w:rPr>
                <w:rFonts w:hint="eastAsia"/>
                <w:vertAlign w:val="baseline"/>
                <w:lang w:val="en-US" w:eastAsia="zh-CN"/>
              </w:rPr>
              <w:t>5个工作日</w:t>
            </w:r>
          </w:p>
        </w:tc>
      </w:tr>
      <w:tr w14:paraId="2E786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9B3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521"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top"/>
          </w:tcPr>
          <w:p w14:paraId="2EA023D2">
            <w:pPr>
              <w:jc w:val="left"/>
              <w:rPr>
                <w:rFonts w:hint="eastAsia" w:ascii="宋体" w:hAnsi="宋体" w:eastAsia="宋体" w:cs="宋体"/>
                <w:i w:val="0"/>
                <w:color w:val="000000"/>
                <w:sz w:val="22"/>
                <w:szCs w:val="22"/>
                <w:u w:val="none"/>
              </w:rPr>
            </w:pPr>
            <w:r>
              <w:rPr>
                <w:rFonts w:hint="default"/>
                <w:vertAlign w:val="baseline"/>
                <w:lang w:val="en-US" w:eastAsia="zh-CN"/>
              </w:rPr>
              <w:t>免疫电镜检查与诊断</w:t>
            </w:r>
          </w:p>
        </w:tc>
        <w:tc>
          <w:tcPr>
            <w:tcW w:w="118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top"/>
          </w:tcPr>
          <w:p w14:paraId="298AD75B">
            <w:pPr>
              <w:jc w:val="center"/>
              <w:rPr>
                <w:rFonts w:hint="default"/>
                <w:vertAlign w:val="baseline"/>
                <w:lang w:val="en-US" w:eastAsia="zh-CN"/>
              </w:rPr>
            </w:pPr>
            <w:r>
              <w:rPr>
                <w:rFonts w:hint="eastAsia"/>
                <w:vertAlign w:val="baseline"/>
                <w:lang w:val="en-US" w:eastAsia="zh-CN"/>
              </w:rPr>
              <w:t>例</w:t>
            </w:r>
          </w:p>
        </w:tc>
        <w:tc>
          <w:tcPr>
            <w:tcW w:w="1833"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top"/>
          </w:tcPr>
          <w:p w14:paraId="0C2D9D62">
            <w:pPr>
              <w:jc w:val="center"/>
              <w:rPr>
                <w:rFonts w:hint="eastAsia"/>
                <w:vertAlign w:val="baseline"/>
                <w:lang w:val="en-US" w:eastAsia="zh-CN"/>
              </w:rPr>
            </w:pPr>
            <w:r>
              <w:rPr>
                <w:rFonts w:hint="eastAsia"/>
                <w:vertAlign w:val="baseline"/>
                <w:lang w:val="en-US" w:eastAsia="zh-CN"/>
              </w:rPr>
              <w:t>5个工作日</w:t>
            </w:r>
          </w:p>
        </w:tc>
      </w:tr>
      <w:tr w14:paraId="1A25F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B82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521"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top"/>
          </w:tcPr>
          <w:p w14:paraId="2F14D694">
            <w:pPr>
              <w:jc w:val="left"/>
              <w:rPr>
                <w:rFonts w:hint="eastAsia" w:ascii="宋体" w:hAnsi="宋体" w:eastAsia="宋体" w:cs="宋体"/>
                <w:i w:val="0"/>
                <w:color w:val="000000"/>
                <w:sz w:val="22"/>
                <w:szCs w:val="22"/>
                <w:u w:val="none"/>
              </w:rPr>
            </w:pPr>
            <w:r>
              <w:rPr>
                <w:rFonts w:hint="default"/>
                <w:vertAlign w:val="baseline"/>
                <w:lang w:val="en-US" w:eastAsia="zh-CN"/>
              </w:rPr>
              <w:t>计算机图文报告</w:t>
            </w:r>
          </w:p>
        </w:tc>
        <w:tc>
          <w:tcPr>
            <w:tcW w:w="118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top"/>
          </w:tcPr>
          <w:p w14:paraId="11993712">
            <w:pPr>
              <w:jc w:val="center"/>
              <w:rPr>
                <w:rFonts w:hint="default"/>
                <w:vertAlign w:val="baseline"/>
                <w:lang w:val="en-US" w:eastAsia="zh-CN"/>
              </w:rPr>
            </w:pPr>
            <w:r>
              <w:rPr>
                <w:rFonts w:hint="eastAsia"/>
                <w:vertAlign w:val="baseline"/>
                <w:lang w:val="en-US" w:eastAsia="zh-CN"/>
              </w:rPr>
              <w:t>例</w:t>
            </w:r>
          </w:p>
        </w:tc>
        <w:tc>
          <w:tcPr>
            <w:tcW w:w="1833"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top"/>
          </w:tcPr>
          <w:p w14:paraId="6C42CCD9">
            <w:pPr>
              <w:jc w:val="center"/>
              <w:rPr>
                <w:rFonts w:hint="eastAsia"/>
                <w:vertAlign w:val="baseline"/>
                <w:lang w:val="en-US" w:eastAsia="zh-CN"/>
              </w:rPr>
            </w:pPr>
            <w:r>
              <w:rPr>
                <w:rFonts w:hint="eastAsia"/>
                <w:vertAlign w:val="baseline"/>
                <w:lang w:val="en-US" w:eastAsia="zh-CN"/>
              </w:rPr>
              <w:t>5个工作日</w:t>
            </w:r>
          </w:p>
        </w:tc>
      </w:tr>
    </w:tbl>
    <w:p w14:paraId="33BE5FFE">
      <w:pPr>
        <w:widowControl w:val="0"/>
        <w:spacing w:line="360" w:lineRule="auto"/>
        <w:jc w:val="both"/>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注：外送项目清单仅供参考，依据临床工作需要及实验室检测能力变化，项目随时会</w:t>
      </w:r>
      <w:r>
        <w:rPr>
          <w:rFonts w:hint="eastAsia" w:ascii="宋体" w:hAnsi="宋体" w:cs="宋体"/>
          <w:i w:val="0"/>
          <w:iCs w:val="0"/>
          <w:color w:val="000000"/>
          <w:kern w:val="0"/>
          <w:sz w:val="24"/>
          <w:szCs w:val="24"/>
          <w:highlight w:val="none"/>
          <w:u w:val="none"/>
          <w:lang w:val="en-US" w:eastAsia="zh-CN" w:bidi="ar"/>
        </w:rPr>
        <w:t>有调</w:t>
      </w:r>
      <w:r>
        <w:rPr>
          <w:rFonts w:hint="eastAsia" w:ascii="宋体" w:hAnsi="宋体" w:eastAsia="宋体" w:cs="宋体"/>
          <w:i w:val="0"/>
          <w:iCs w:val="0"/>
          <w:color w:val="000000"/>
          <w:kern w:val="0"/>
          <w:sz w:val="24"/>
          <w:szCs w:val="24"/>
          <w:highlight w:val="none"/>
          <w:u w:val="none"/>
          <w:lang w:val="en-US" w:eastAsia="zh-CN" w:bidi="ar"/>
        </w:rPr>
        <w:t>整。</w:t>
      </w:r>
    </w:p>
    <w:p w14:paraId="7D825596">
      <w:pPr>
        <w:outlineLvl w:val="9"/>
        <w:rPr>
          <w:rFonts w:hint="eastAsia"/>
          <w:lang w:val="en-US" w:eastAsia="zh-CN"/>
        </w:rPr>
      </w:pPr>
      <w:r>
        <w:rPr>
          <w:rFonts w:hint="eastAsia" w:ascii="宋体" w:hAnsi="宋体" w:eastAsia="宋体" w:cs="宋体"/>
          <w:b/>
          <w:color w:val="auto"/>
          <w:sz w:val="24"/>
          <w:szCs w:val="24"/>
          <w:highlight w:val="none"/>
          <w:lang w:val="en-US" w:eastAsia="zh-CN"/>
        </w:rPr>
        <w:t>附件</w:t>
      </w:r>
      <w:r>
        <w:rPr>
          <w:rFonts w:hint="eastAsia" w:ascii="宋体" w:hAnsi="宋体" w:cs="宋体"/>
          <w:b/>
          <w:color w:val="auto"/>
          <w:sz w:val="24"/>
          <w:szCs w:val="24"/>
          <w:highlight w:val="none"/>
          <w:lang w:val="en-US" w:eastAsia="zh-CN"/>
        </w:rPr>
        <w:t>2：金华市公立医院医疗服务价格手册</w:t>
      </w:r>
    </w:p>
    <w:p w14:paraId="0753A343">
      <w:pPr>
        <w:spacing w:line="360" w:lineRule="auto"/>
        <w:rPr>
          <w:rFonts w:hint="eastAsia"/>
          <w:lang w:val="en-US" w:eastAsia="zh-CN"/>
        </w:rPr>
      </w:pPr>
      <w:r>
        <w:rPr>
          <w:rFonts w:hint="eastAsia" w:ascii="宋体" w:hAnsi="宋体" w:eastAsia="宋体" w:cs="宋体"/>
          <w:b/>
          <w:color w:val="auto"/>
          <w:sz w:val="24"/>
          <w:szCs w:val="24"/>
          <w:highlight w:val="none"/>
          <w:lang w:val="en-US" w:eastAsia="zh-CN"/>
        </w:rPr>
        <w:object>
          <v:shape id="_x0000_i1025" o:spt="75" type="#_x0000_t75" style="height:65.25pt;width:72.4pt;" o:ole="t" filled="f" o:preferrelative="t" stroked="f" coordsize="21600,21600">
            <v:path/>
            <v:fill on="f" focussize="0,0"/>
            <v:stroke on="f"/>
            <v:imagedata r:id="rId22" o:title=""/>
            <o:lock v:ext="edit" aspectratio="t"/>
            <w10:wrap type="none"/>
            <w10:anchorlock/>
          </v:shape>
          <o:OLEObject Type="Embed" ProgID="Excel.Sheet.12" ShapeID="_x0000_i1025" DrawAspect="Icon" ObjectID="_1468075725" r:id="rId21">
            <o:LockedField>false</o:LockedField>
          </o:OLEObject>
        </w:object>
      </w:r>
    </w:p>
    <w:p w14:paraId="330629E5">
      <w:pPr>
        <w:pStyle w:val="2"/>
        <w:keepNext w:val="0"/>
        <w:keepLines w:val="0"/>
        <w:pageBreakBefore/>
        <w:spacing w:line="240" w:lineRule="auto"/>
        <w:jc w:val="center"/>
        <w:rPr>
          <w:rFonts w:ascii="宋体" w:hAnsi="宋体" w:cs="宋体"/>
          <w:color w:val="auto"/>
          <w:kern w:val="0"/>
          <w:sz w:val="24"/>
          <w:szCs w:val="24"/>
          <w:highlight w:val="none"/>
        </w:rPr>
      </w:pPr>
      <w:bookmarkStart w:id="13" w:name="_Toc29839"/>
      <w:r>
        <w:rPr>
          <w:rFonts w:hint="eastAsia" w:ascii="宋体" w:hAnsi="宋体" w:cs="宋体"/>
          <w:color w:val="auto"/>
          <w:sz w:val="24"/>
          <w:szCs w:val="24"/>
          <w:highlight w:val="none"/>
        </w:rPr>
        <w:t>第三章   投标人须知</w:t>
      </w:r>
      <w:bookmarkEnd w:id="13"/>
    </w:p>
    <w:p w14:paraId="339FE11B">
      <w:pPr>
        <w:pStyle w:val="6"/>
        <w:snapToGrid w:val="0"/>
        <w:spacing w:before="120" w:after="120"/>
        <w:ind w:firstLine="472" w:firstLineChars="196"/>
        <w:jc w:val="center"/>
        <w:outlineLvl w:val="1"/>
        <w:rPr>
          <w:rFonts w:ascii="宋体" w:hAnsi="宋体" w:cs="宋体"/>
          <w:b/>
          <w:color w:val="auto"/>
          <w:szCs w:val="24"/>
          <w:highlight w:val="none"/>
        </w:rPr>
      </w:pPr>
      <w:bookmarkStart w:id="14" w:name="_Toc23746"/>
      <w:r>
        <w:rPr>
          <w:rFonts w:hint="eastAsia" w:ascii="宋体" w:hAnsi="宋体" w:cs="宋体"/>
          <w:b/>
          <w:color w:val="auto"/>
          <w:szCs w:val="24"/>
          <w:highlight w:val="none"/>
        </w:rPr>
        <w:t>前附表</w:t>
      </w:r>
      <w:bookmarkEnd w:id="14"/>
    </w:p>
    <w:tbl>
      <w:tblPr>
        <w:tblStyle w:val="28"/>
        <w:tblW w:w="94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8750"/>
      </w:tblGrid>
      <w:tr w14:paraId="19C5C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7CE7C3A">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8750" w:type="dxa"/>
            <w:tcBorders>
              <w:top w:val="single" w:color="auto" w:sz="4" w:space="0"/>
              <w:left w:val="single" w:color="auto" w:sz="4" w:space="0"/>
              <w:bottom w:val="single" w:color="auto" w:sz="4" w:space="0"/>
              <w:right w:val="single" w:color="auto" w:sz="4" w:space="0"/>
            </w:tcBorders>
            <w:vAlign w:val="center"/>
          </w:tcPr>
          <w:p w14:paraId="5B968E0D">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内容、要求</w:t>
            </w:r>
          </w:p>
        </w:tc>
      </w:tr>
      <w:tr w14:paraId="4C76C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F8705A4">
            <w:pPr>
              <w:snapToGrid w:val="0"/>
              <w:spacing w:line="348"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1</w:t>
            </w:r>
          </w:p>
        </w:tc>
        <w:tc>
          <w:tcPr>
            <w:tcW w:w="8750" w:type="dxa"/>
            <w:tcBorders>
              <w:top w:val="single" w:color="auto" w:sz="4" w:space="0"/>
              <w:left w:val="single" w:color="auto" w:sz="4" w:space="0"/>
              <w:bottom w:val="single" w:color="auto" w:sz="4" w:space="0"/>
              <w:right w:val="single" w:color="auto" w:sz="4" w:space="0"/>
            </w:tcBorders>
            <w:vAlign w:val="center"/>
          </w:tcPr>
          <w:p w14:paraId="7C391B4A">
            <w:pPr>
              <w:snapToGrid w:val="0"/>
              <w:spacing w:line="348" w:lineRule="auto"/>
              <w:jc w:val="left"/>
              <w:rPr>
                <w:rFonts w:hint="eastAsia" w:ascii="宋体" w:hAnsi="宋体" w:eastAsia="宋体" w:cs="宋体"/>
                <w:b/>
                <w:bCs/>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东阳市人民医院肾穿刺病理检测外送服务项目</w:t>
            </w:r>
          </w:p>
        </w:tc>
      </w:tr>
      <w:tr w14:paraId="0A506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0848E66">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8750" w:type="dxa"/>
            <w:tcBorders>
              <w:top w:val="single" w:color="auto" w:sz="4" w:space="0"/>
              <w:left w:val="single" w:color="auto" w:sz="4" w:space="0"/>
              <w:bottom w:val="single" w:color="auto" w:sz="4" w:space="0"/>
              <w:right w:val="single" w:color="auto" w:sz="4" w:space="0"/>
            </w:tcBorders>
            <w:vAlign w:val="center"/>
          </w:tcPr>
          <w:p w14:paraId="68F16A60">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投标报价及费用：1、本项目投标应以</w:t>
            </w:r>
            <w:r>
              <w:rPr>
                <w:rFonts w:hint="eastAsia" w:ascii="宋体" w:hAnsi="宋体" w:cs="宋体"/>
                <w:color w:val="auto"/>
                <w:sz w:val="24"/>
                <w:highlight w:val="none"/>
                <w:lang w:val="en-US" w:eastAsia="zh-CN"/>
              </w:rPr>
              <w:t>百分比折扣</w:t>
            </w:r>
            <w:r>
              <w:rPr>
                <w:rFonts w:hint="eastAsia" w:ascii="宋体" w:hAnsi="宋体" w:cs="宋体"/>
                <w:color w:val="auto"/>
                <w:sz w:val="24"/>
                <w:highlight w:val="none"/>
              </w:rPr>
              <w:t>报价；2、不论投标结果如何，投标人均应自行承担所有与投标有关的全部费用；3、投标费用：东阳市鑫盛工程咨询有限公司按照本招标文件总则第（五）条规定向中标人收取中标服务费。</w:t>
            </w:r>
          </w:p>
        </w:tc>
      </w:tr>
      <w:tr w14:paraId="33D14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9BC042A">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8750" w:type="dxa"/>
            <w:tcBorders>
              <w:top w:val="single" w:color="auto" w:sz="4" w:space="0"/>
              <w:left w:val="single" w:color="auto" w:sz="4" w:space="0"/>
              <w:bottom w:val="single" w:color="auto" w:sz="4" w:space="0"/>
              <w:right w:val="single" w:color="auto" w:sz="4" w:space="0"/>
            </w:tcBorders>
            <w:vAlign w:val="center"/>
          </w:tcPr>
          <w:p w14:paraId="348B3807">
            <w:pPr>
              <w:snapToGrid w:val="0"/>
              <w:spacing w:line="348" w:lineRule="auto"/>
              <w:rPr>
                <w:rFonts w:ascii="宋体" w:hAnsi="宋体" w:cs="宋体"/>
                <w:color w:val="auto"/>
                <w:sz w:val="24"/>
                <w:highlight w:val="none"/>
              </w:rPr>
            </w:pPr>
            <w:r>
              <w:rPr>
                <w:rFonts w:hint="eastAsia" w:ascii="宋体" w:hAnsi="宋体" w:cs="宋体"/>
                <w:b/>
                <w:bCs/>
                <w:color w:val="auto"/>
                <w:sz w:val="24"/>
                <w:highlight w:val="none"/>
              </w:rPr>
              <w:t>根据《政府采购促进中小企业管理办法》及《关于印发中小企业划型标准规定的通知工信部联企业》（〔2011〕300号）有关规定，本采购标的对应的所属行业为：其他未列明行业。</w:t>
            </w:r>
          </w:p>
        </w:tc>
      </w:tr>
      <w:tr w14:paraId="54E38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BA3646A">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8750" w:type="dxa"/>
            <w:tcBorders>
              <w:top w:val="single" w:color="auto" w:sz="4" w:space="0"/>
              <w:left w:val="single" w:color="auto" w:sz="4" w:space="0"/>
              <w:bottom w:val="single" w:color="auto" w:sz="4" w:space="0"/>
              <w:right w:val="single" w:color="auto" w:sz="4" w:space="0"/>
            </w:tcBorders>
            <w:vAlign w:val="center"/>
          </w:tcPr>
          <w:p w14:paraId="0A85E559">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根据《关于在政府采购活动中查询及使用信用记录有关问题的通知》财库[2016]125号的规定：</w:t>
            </w:r>
          </w:p>
          <w:p w14:paraId="1407B330">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（1）采购人或采购代理机构将对本项目供应商的信用记录进行查询。查询渠道为信用中国网站（www.creditchina.gov.cn）、中国政府采购网（www.ccgp.gov.cn）；</w:t>
            </w:r>
          </w:p>
          <w:p w14:paraId="17F8470F">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（2）截止时点：提交投标文件（响应文件）截止时间前3年内；</w:t>
            </w:r>
          </w:p>
          <w:p w14:paraId="57FA3217">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（3）查询记录和证据的留存：信用信息查询记录和证据以网页截图等方式留存。</w:t>
            </w:r>
          </w:p>
          <w:p w14:paraId="428D3297">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44943366">
            <w:pPr>
              <w:snapToGrid w:val="0"/>
              <w:spacing w:line="348" w:lineRule="auto"/>
              <w:rPr>
                <w:rFonts w:ascii="宋体" w:hAnsi="宋体" w:cs="宋体"/>
                <w:b/>
                <w:bCs/>
                <w:color w:val="auto"/>
                <w:sz w:val="24"/>
                <w:highlight w:val="none"/>
              </w:rPr>
            </w:pPr>
            <w:r>
              <w:rPr>
                <w:rFonts w:hint="eastAsia" w:ascii="宋体" w:hAnsi="宋体" w:cs="宋体"/>
                <w:color w:val="auto"/>
                <w:sz w:val="24"/>
                <w:highlight w:val="none"/>
              </w:rPr>
              <w:t>（5）联合体成员任意一方存在不良信用记录的，视同联合体存在不良信用记录。</w:t>
            </w:r>
          </w:p>
        </w:tc>
      </w:tr>
      <w:tr w14:paraId="589F3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12C9382">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8750" w:type="dxa"/>
            <w:tcBorders>
              <w:top w:val="single" w:color="auto" w:sz="4" w:space="0"/>
              <w:left w:val="single" w:color="auto" w:sz="4" w:space="0"/>
              <w:bottom w:val="single" w:color="auto" w:sz="4" w:space="0"/>
              <w:right w:val="single" w:color="auto" w:sz="4" w:space="0"/>
            </w:tcBorders>
            <w:vAlign w:val="center"/>
          </w:tcPr>
          <w:p w14:paraId="6885ED0D">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1、节能产品、环境标志产品的强制采购政策</w:t>
            </w:r>
          </w:p>
          <w:p w14:paraId="4945CEA2">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663D9189">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2、节能产品、环境标志产品的优先采购政策</w:t>
            </w:r>
          </w:p>
          <w:p w14:paraId="2F4D6FE8">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7D7E3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5E1F0C2">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8750" w:type="dxa"/>
            <w:tcBorders>
              <w:top w:val="single" w:color="auto" w:sz="4" w:space="0"/>
              <w:left w:val="single" w:color="auto" w:sz="4" w:space="0"/>
              <w:bottom w:val="single" w:color="auto" w:sz="4" w:space="0"/>
              <w:right w:val="single" w:color="auto" w:sz="4" w:space="0"/>
            </w:tcBorders>
            <w:vAlign w:val="center"/>
          </w:tcPr>
          <w:p w14:paraId="5B51D5DE">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答疑与澄清：投标人如认为招标文件表述不清晰、存在歧视性、排他性或者其他违法内容的，应当按照公开招标公告第三、七条规定以书面形式要求招标方作出书面解释、澄清或者向招标方提出书面质疑；</w:t>
            </w:r>
            <w:r>
              <w:rPr>
                <w:rFonts w:hint="eastAsia" w:ascii="宋体" w:hAnsi="宋体" w:cs="宋体"/>
                <w:b/>
                <w:color w:val="auto"/>
                <w:sz w:val="24"/>
                <w:highlight w:val="none"/>
              </w:rPr>
              <w:t>在质疑截止时间前，未对招标文件提出质疑时，视投标人对招标文件的默认；</w:t>
            </w:r>
            <w:r>
              <w:rPr>
                <w:rFonts w:hint="eastAsia" w:ascii="宋体" w:hAnsi="宋体" w:cs="宋体"/>
                <w:color w:val="auto"/>
                <w:sz w:val="24"/>
                <w:highlight w:val="none"/>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60A73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8550AA2">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8750" w:type="dxa"/>
            <w:tcBorders>
              <w:top w:val="single" w:color="auto" w:sz="4" w:space="0"/>
              <w:left w:val="single" w:color="auto" w:sz="4" w:space="0"/>
              <w:bottom w:val="single" w:color="auto" w:sz="4" w:space="0"/>
              <w:right w:val="single" w:color="auto" w:sz="4" w:space="0"/>
            </w:tcBorders>
            <w:vAlign w:val="center"/>
          </w:tcPr>
          <w:p w14:paraId="1F70AA21">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投标文件的递交：</w:t>
            </w:r>
          </w:p>
          <w:p w14:paraId="09C7E358">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本项目投标文件由资格审查文件、商务技术文件和报价文件三部分组成。投标人应按以下方式递交投标文件：</w:t>
            </w:r>
          </w:p>
          <w:p w14:paraId="0899ECF1">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▲1、本项目实行“网上投标、电子评标”，投标人应于投标截止时间前在“政采云”（电子交易平台）上传输、递交电子版投标文件（包括资格审查文件、商务技术文件和报价文件）；</w:t>
            </w:r>
          </w:p>
          <w:p w14:paraId="0731B07F">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东阳市鑫盛工程咨询有限公司邮箱：1816352277@qq.com，逾期发送或发错后缀名的备份投标文件将被视为无效；</w:t>
            </w:r>
          </w:p>
          <w:p w14:paraId="3E103FAC">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3、投标人仅提交电子备份投标文件的，投标无效；</w:t>
            </w:r>
          </w:p>
          <w:p w14:paraId="50B3371E">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46848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EF36FC3">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8750" w:type="dxa"/>
            <w:tcBorders>
              <w:top w:val="single" w:color="auto" w:sz="4" w:space="0"/>
              <w:left w:val="single" w:color="auto" w:sz="4" w:space="0"/>
              <w:bottom w:val="single" w:color="auto" w:sz="4" w:space="0"/>
              <w:right w:val="single" w:color="auto" w:sz="4" w:space="0"/>
            </w:tcBorders>
            <w:vAlign w:val="center"/>
          </w:tcPr>
          <w:p w14:paraId="1B0EC9C5">
            <w:pPr>
              <w:snapToGrid w:val="0"/>
              <w:spacing w:line="348" w:lineRule="auto"/>
              <w:rPr>
                <w:rFonts w:hint="eastAsia" w:ascii="宋体" w:hAnsi="宋体" w:eastAsia="宋体" w:cs="宋体"/>
                <w:bCs/>
                <w:color w:val="auto"/>
                <w:sz w:val="24"/>
                <w:highlight w:val="none"/>
                <w:u w:val="single"/>
                <w:lang w:eastAsia="zh-CN"/>
              </w:rPr>
            </w:pPr>
            <w:r>
              <w:rPr>
                <w:rFonts w:hint="eastAsia" w:ascii="宋体" w:hAnsi="宋体" w:cs="宋体"/>
                <w:bCs/>
                <w:color w:val="auto"/>
                <w:sz w:val="24"/>
                <w:highlight w:val="none"/>
              </w:rPr>
              <w:t>投标截止时间：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13</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p>
          <w:p w14:paraId="33A04AA9">
            <w:pPr>
              <w:pStyle w:val="6"/>
              <w:spacing w:line="348" w:lineRule="auto"/>
              <w:rPr>
                <w:rFonts w:ascii="宋体" w:hAnsi="宋体" w:cs="宋体"/>
                <w:bCs/>
                <w:color w:val="auto"/>
                <w:szCs w:val="24"/>
                <w:highlight w:val="none"/>
              </w:rPr>
            </w:pPr>
            <w:r>
              <w:rPr>
                <w:rFonts w:hint="eastAsia" w:ascii="宋体" w:hAnsi="宋体" w:cs="宋体"/>
                <w:bCs/>
                <w:color w:val="auto"/>
                <w:szCs w:val="24"/>
                <w:highlight w:val="none"/>
              </w:rPr>
              <w:t>1、投标人应当在投标截止时间前在“政采云”（电子交易平台）上自行上传加密的电子投标文件。投标截止时间前未完成传输的，视为撤回电子投标文件。投标截止时间后递交的电子投标文件，将被政采云平台拒收。</w:t>
            </w:r>
          </w:p>
          <w:p w14:paraId="7FEB6776">
            <w:pPr>
              <w:snapToGrid w:val="0"/>
              <w:spacing w:line="348" w:lineRule="auto"/>
              <w:rPr>
                <w:rFonts w:ascii="宋体" w:hAnsi="宋体" w:cs="宋体"/>
                <w:bCs/>
                <w:color w:val="auto"/>
                <w:sz w:val="24"/>
                <w:highlight w:val="none"/>
              </w:rPr>
            </w:pPr>
            <w:r>
              <w:rPr>
                <w:rFonts w:hint="eastAsia" w:ascii="宋体" w:hAnsi="宋体" w:cs="宋体"/>
                <w:bCs/>
                <w:color w:val="auto"/>
                <w:sz w:val="24"/>
                <w:highlight w:val="none"/>
              </w:rPr>
              <w:t>2、电子备份投标文件的递交时间：投标人应当在投标截止时间前，逾期未递交的视为自动放弃。</w:t>
            </w:r>
          </w:p>
          <w:p w14:paraId="48F79497">
            <w:pPr>
              <w:pStyle w:val="6"/>
              <w:spacing w:line="348" w:lineRule="auto"/>
              <w:rPr>
                <w:rFonts w:ascii="宋体" w:hAnsi="宋体" w:cs="宋体"/>
                <w:color w:val="auto"/>
                <w:szCs w:val="24"/>
                <w:highlight w:val="none"/>
              </w:rPr>
            </w:pPr>
            <w:r>
              <w:rPr>
                <w:rFonts w:hint="eastAsia" w:ascii="宋体" w:hAnsi="宋体" w:cs="宋体"/>
                <w:bCs/>
                <w:color w:val="auto"/>
                <w:szCs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5F5FA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232B5C4">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8750" w:type="dxa"/>
            <w:tcBorders>
              <w:top w:val="single" w:color="auto" w:sz="4" w:space="0"/>
              <w:left w:val="single" w:color="auto" w:sz="4" w:space="0"/>
              <w:bottom w:val="single" w:color="auto" w:sz="4" w:space="0"/>
              <w:right w:val="single" w:color="auto" w:sz="4" w:space="0"/>
            </w:tcBorders>
            <w:vAlign w:val="center"/>
          </w:tcPr>
          <w:p w14:paraId="017AF767">
            <w:pPr>
              <w:snapToGrid w:val="0"/>
              <w:spacing w:line="348"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13</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分</w:t>
            </w:r>
          </w:p>
          <w:p w14:paraId="5F4C7767">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14:paraId="38F9DC1C">
            <w:pPr>
              <w:snapToGrid w:val="0"/>
              <w:spacing w:line="348"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14:paraId="73258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A658A3F">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8750" w:type="dxa"/>
            <w:tcBorders>
              <w:top w:val="single" w:color="auto" w:sz="4" w:space="0"/>
              <w:left w:val="single" w:color="auto" w:sz="4" w:space="0"/>
              <w:bottom w:val="single" w:color="auto" w:sz="4" w:space="0"/>
              <w:right w:val="single" w:color="auto" w:sz="4" w:space="0"/>
            </w:tcBorders>
            <w:vAlign w:val="center"/>
          </w:tcPr>
          <w:p w14:paraId="424957DF">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评标办法：综合评分法</w:t>
            </w:r>
          </w:p>
        </w:tc>
      </w:tr>
      <w:tr w14:paraId="14968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D056B9C">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8750" w:type="dxa"/>
            <w:tcBorders>
              <w:top w:val="single" w:color="auto" w:sz="4" w:space="0"/>
              <w:left w:val="single" w:color="auto" w:sz="4" w:space="0"/>
              <w:bottom w:val="single" w:color="auto" w:sz="4" w:space="0"/>
              <w:right w:val="single" w:color="auto" w:sz="4" w:space="0"/>
            </w:tcBorders>
            <w:vAlign w:val="center"/>
          </w:tcPr>
          <w:p w14:paraId="7B3AB847">
            <w:pPr>
              <w:autoSpaceDE w:val="0"/>
              <w:autoSpaceDN w:val="0"/>
              <w:snapToGrid w:val="0"/>
              <w:spacing w:line="348" w:lineRule="auto"/>
              <w:textAlignment w:val="bottom"/>
              <w:rPr>
                <w:rFonts w:ascii="宋体" w:hAnsi="宋体" w:cs="宋体"/>
                <w:color w:val="auto"/>
                <w:sz w:val="24"/>
                <w:highlight w:val="none"/>
              </w:rPr>
            </w:pPr>
            <w:bookmarkStart w:id="15" w:name="_Toc457480905"/>
            <w:r>
              <w:rPr>
                <w:rFonts w:hint="eastAsia" w:ascii="宋体" w:hAnsi="宋体" w:cs="宋体"/>
                <w:color w:val="auto"/>
                <w:sz w:val="24"/>
                <w:highlight w:val="none"/>
              </w:rPr>
              <w:t>中标结果公告：自中标人确定之日起2个工作日内，中标结果公告于浙江省政府采购网(http://zfcg.czt.zj.gov.cn/)、东阳市公共资源交易网(http://www.dongyang.gov.cn/ggzyjy/index.html)，公告1个工作日</w:t>
            </w:r>
            <w:bookmarkEnd w:id="15"/>
            <w:r>
              <w:rPr>
                <w:rFonts w:hint="eastAsia" w:ascii="宋体" w:hAnsi="宋体" w:cs="宋体"/>
                <w:color w:val="auto"/>
                <w:sz w:val="24"/>
                <w:highlight w:val="none"/>
              </w:rPr>
              <w:t>。</w:t>
            </w:r>
          </w:p>
        </w:tc>
      </w:tr>
      <w:tr w14:paraId="3F786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A02C6F9">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8750" w:type="dxa"/>
            <w:tcBorders>
              <w:top w:val="single" w:color="auto" w:sz="4" w:space="0"/>
              <w:left w:val="single" w:color="auto" w:sz="4" w:space="0"/>
              <w:bottom w:val="single" w:color="auto" w:sz="4" w:space="0"/>
              <w:right w:val="single" w:color="auto" w:sz="4" w:space="0"/>
            </w:tcBorders>
            <w:vAlign w:val="center"/>
          </w:tcPr>
          <w:p w14:paraId="0E5CF0DD">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《中标通知书》的领取时间：中标人应自中标结果公告结束日起，在3个工作日内领取，否则按放弃中标资格处理，并因违反诚信原则，提交财政部门列入政府采购黑名单。</w:t>
            </w:r>
          </w:p>
        </w:tc>
      </w:tr>
      <w:tr w14:paraId="5719D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0DC7FFA">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8750" w:type="dxa"/>
            <w:tcBorders>
              <w:top w:val="single" w:color="auto" w:sz="4" w:space="0"/>
              <w:left w:val="single" w:color="auto" w:sz="4" w:space="0"/>
              <w:bottom w:val="single" w:color="auto" w:sz="4" w:space="0"/>
              <w:right w:val="single" w:color="auto" w:sz="4" w:space="0"/>
            </w:tcBorders>
            <w:vAlign w:val="center"/>
          </w:tcPr>
          <w:p w14:paraId="76C0EE60">
            <w:pPr>
              <w:autoSpaceDE w:val="0"/>
              <w:autoSpaceDN w:val="0"/>
              <w:snapToGrid w:val="0"/>
              <w:spacing w:line="348" w:lineRule="auto"/>
              <w:textAlignment w:val="bottom"/>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履约保证金</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本项目不收取履约保证金。</w:t>
            </w:r>
          </w:p>
        </w:tc>
      </w:tr>
      <w:tr w14:paraId="4E558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A026E12">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8750" w:type="dxa"/>
            <w:tcBorders>
              <w:top w:val="single" w:color="auto" w:sz="4" w:space="0"/>
              <w:left w:val="single" w:color="auto" w:sz="4" w:space="0"/>
              <w:bottom w:val="single" w:color="auto" w:sz="4" w:space="0"/>
              <w:right w:val="single" w:color="auto" w:sz="4" w:space="0"/>
            </w:tcBorders>
            <w:vAlign w:val="center"/>
          </w:tcPr>
          <w:p w14:paraId="02DF83F8">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1、企业信用融资: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http://zfcg.czt.zj.gov.cn/)的中小企业信用融资栏目了解相关信息。 供应商可以通过浙江政府采购网(http://zfcg.czt.zj.gov.cn/)首页的“浙江政采贷”模块进入申请，还可以通过政府采购云平台(https://www.zcygov.cn/)首页的“金融服务”模块进入申请。</w:t>
            </w:r>
          </w:p>
          <w:p w14:paraId="1F5461D9">
            <w:pPr>
              <w:snapToGrid w:val="0"/>
              <w:spacing w:line="348" w:lineRule="auto"/>
              <w:jc w:val="left"/>
              <w:rPr>
                <w:rFonts w:ascii="宋体" w:hAnsi="宋体" w:cs="宋体"/>
                <w:color w:val="auto"/>
                <w:sz w:val="24"/>
                <w:highlight w:val="none"/>
              </w:rPr>
            </w:pPr>
            <w:r>
              <w:rPr>
                <w:rFonts w:hint="eastAsia" w:ascii="宋体" w:hAnsi="宋体" w:cs="宋体"/>
                <w:color w:val="auto"/>
                <w:sz w:val="24"/>
                <w:highlight w:val="none"/>
              </w:rPr>
              <w:t xml:space="preserve">2、政府采购金融服务提示：为扩大政府采购金融服务面，除政采云网上金融服务合作银行外，东阳市范围内增加浙商银行金华分行东阳支行作为线下合作银行。   </w:t>
            </w:r>
          </w:p>
          <w:p w14:paraId="29C4BC44">
            <w:pPr>
              <w:snapToGrid w:val="0"/>
              <w:spacing w:line="348" w:lineRule="auto"/>
              <w:jc w:val="left"/>
              <w:rPr>
                <w:rFonts w:ascii="宋体" w:hAnsi="宋体" w:cs="宋体"/>
                <w:color w:val="auto"/>
                <w:highlight w:val="none"/>
              </w:rPr>
            </w:pPr>
            <w:r>
              <w:rPr>
                <w:rFonts w:hint="eastAsia" w:ascii="宋体" w:hAnsi="宋体" w:cs="宋体"/>
                <w:color w:val="auto"/>
                <w:sz w:val="24"/>
                <w:highlight w:val="none"/>
              </w:rPr>
              <w:t>浙商银行金华东阳支行联系人：许燕  联系电话：13967983441  0579-86222992</w:t>
            </w:r>
          </w:p>
        </w:tc>
      </w:tr>
      <w:tr w14:paraId="7753C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9F41D0B">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8750" w:type="dxa"/>
            <w:tcBorders>
              <w:top w:val="single" w:color="auto" w:sz="4" w:space="0"/>
              <w:left w:val="single" w:color="auto" w:sz="4" w:space="0"/>
              <w:bottom w:val="single" w:color="auto" w:sz="4" w:space="0"/>
              <w:right w:val="single" w:color="auto" w:sz="4" w:space="0"/>
            </w:tcBorders>
            <w:vAlign w:val="center"/>
          </w:tcPr>
          <w:p w14:paraId="7EB5DCCF">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签订合同时间：发出《中标通知书》之日起20天内。</w:t>
            </w:r>
          </w:p>
        </w:tc>
      </w:tr>
      <w:tr w14:paraId="5D281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72BBD31">
            <w:pPr>
              <w:snapToGrid w:val="0"/>
              <w:spacing w:line="348" w:lineRule="auto"/>
              <w:jc w:val="center"/>
              <w:rPr>
                <w:rFonts w:ascii="宋体" w:hAnsi="宋体" w:cs="宋体"/>
                <w:bCs/>
                <w:color w:val="auto"/>
                <w:sz w:val="24"/>
                <w:highlight w:val="none"/>
              </w:rPr>
            </w:pPr>
            <w:r>
              <w:rPr>
                <w:rFonts w:hint="eastAsia" w:ascii="宋体" w:hAnsi="宋体" w:cs="宋体"/>
                <w:bCs/>
                <w:color w:val="auto"/>
                <w:sz w:val="24"/>
                <w:highlight w:val="none"/>
              </w:rPr>
              <w:t>16</w:t>
            </w:r>
          </w:p>
        </w:tc>
        <w:tc>
          <w:tcPr>
            <w:tcW w:w="8750" w:type="dxa"/>
            <w:tcBorders>
              <w:top w:val="single" w:color="auto" w:sz="4" w:space="0"/>
              <w:left w:val="single" w:color="auto" w:sz="4" w:space="0"/>
              <w:bottom w:val="single" w:color="auto" w:sz="4" w:space="0"/>
              <w:right w:val="single" w:color="auto" w:sz="4" w:space="0"/>
            </w:tcBorders>
            <w:vAlign w:val="center"/>
          </w:tcPr>
          <w:p w14:paraId="2F8E59C1">
            <w:pPr>
              <w:autoSpaceDE w:val="0"/>
              <w:autoSpaceDN w:val="0"/>
              <w:snapToGrid w:val="0"/>
              <w:spacing w:line="348" w:lineRule="auto"/>
              <w:textAlignment w:val="bottom"/>
              <w:rPr>
                <w:rFonts w:ascii="宋体" w:hAnsi="宋体" w:cs="宋体"/>
                <w:color w:val="auto"/>
                <w:sz w:val="24"/>
                <w:highlight w:val="none"/>
              </w:rPr>
            </w:pPr>
            <w:r>
              <w:rPr>
                <w:rFonts w:hint="eastAsia" w:ascii="宋体" w:hAnsi="宋体" w:cs="宋体"/>
                <w:color w:val="auto"/>
                <w:sz w:val="24"/>
                <w:highlight w:val="none"/>
              </w:rPr>
              <w:t>中标人与</w:t>
            </w:r>
            <w:r>
              <w:rPr>
                <w:rFonts w:hint="eastAsia" w:ascii="宋体" w:hAnsi="宋体" w:cs="宋体"/>
                <w:color w:val="auto"/>
                <w:sz w:val="24"/>
                <w:highlight w:val="none"/>
                <w:lang w:eastAsia="zh-CN"/>
              </w:rPr>
              <w:t>东阳市人民医院</w:t>
            </w:r>
            <w:r>
              <w:rPr>
                <w:rFonts w:hint="eastAsia" w:ascii="宋体" w:hAnsi="宋体" w:cs="宋体"/>
                <w:color w:val="auto"/>
                <w:sz w:val="24"/>
                <w:highlight w:val="none"/>
              </w:rPr>
              <w:t>签订政府采购合同。</w:t>
            </w:r>
          </w:p>
        </w:tc>
      </w:tr>
      <w:tr w14:paraId="6A2A9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8"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8D3DCB9">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8750" w:type="dxa"/>
            <w:tcBorders>
              <w:top w:val="single" w:color="auto" w:sz="4" w:space="0"/>
              <w:left w:val="single" w:color="auto" w:sz="4" w:space="0"/>
              <w:bottom w:val="single" w:color="auto" w:sz="4" w:space="0"/>
              <w:right w:val="single" w:color="auto" w:sz="4" w:space="0"/>
            </w:tcBorders>
            <w:vAlign w:val="center"/>
          </w:tcPr>
          <w:p w14:paraId="13F4E2C2">
            <w:pPr>
              <w:spacing w:line="360" w:lineRule="auto"/>
              <w:jc w:val="left"/>
              <w:rPr>
                <w:rFonts w:ascii="宋体" w:hAnsi="宋体" w:cs="宋体"/>
                <w:color w:val="auto"/>
                <w:sz w:val="24"/>
                <w:highlight w:val="none"/>
              </w:rPr>
            </w:pPr>
            <w:r>
              <w:rPr>
                <w:rFonts w:hint="eastAsia" w:ascii="宋体" w:hAnsi="宋体" w:cs="宋体"/>
                <w:b/>
                <w:bCs/>
                <w:color w:val="auto"/>
                <w:sz w:val="24"/>
                <w:highlight w:val="none"/>
              </w:rPr>
              <w:t>付款方式：</w:t>
            </w:r>
            <w:r>
              <w:rPr>
                <w:rFonts w:hint="eastAsia" w:ascii="宋体" w:hAnsi="宋体" w:eastAsia="宋体" w:cs="Times New Roman"/>
                <w:bCs/>
                <w:color w:val="auto"/>
                <w:sz w:val="24"/>
                <w:highlight w:val="none"/>
                <w:lang w:val="en-US" w:eastAsia="zh-CN"/>
              </w:rPr>
              <w:t>合同生效以及具备实施条件后7个工作日内支付合同价款的40%（采购人根据项目特点、供应商诚信等因素，可以要求中标人提交预付款保函），预付款在后续</w:t>
            </w:r>
            <w:r>
              <w:rPr>
                <w:rFonts w:hint="eastAsia" w:ascii="宋体" w:hAnsi="宋体" w:cs="Times New Roman"/>
                <w:bCs/>
                <w:color w:val="auto"/>
                <w:sz w:val="24"/>
                <w:highlight w:val="none"/>
                <w:lang w:val="en-US" w:eastAsia="zh-CN"/>
              </w:rPr>
              <w:t>服务费</w:t>
            </w:r>
            <w:r>
              <w:rPr>
                <w:rFonts w:hint="eastAsia" w:ascii="宋体" w:hAnsi="宋体" w:eastAsia="宋体" w:cs="Times New Roman"/>
                <w:bCs/>
                <w:color w:val="auto"/>
                <w:sz w:val="24"/>
                <w:highlight w:val="none"/>
                <w:lang w:val="en-US" w:eastAsia="zh-CN"/>
              </w:rPr>
              <w:t>中作相应抵扣。</w:t>
            </w:r>
            <w:r>
              <w:rPr>
                <w:rFonts w:hint="eastAsia" w:ascii="宋体" w:hAnsi="宋体" w:eastAsia="宋体" w:cs="宋体"/>
                <w:bCs/>
                <w:color w:val="auto"/>
                <w:sz w:val="24"/>
                <w:szCs w:val="24"/>
                <w:highlight w:val="none"/>
              </w:rPr>
              <w:t>每</w:t>
            </w:r>
            <w:r>
              <w:rPr>
                <w:rFonts w:hint="eastAsia" w:ascii="宋体" w:hAnsi="宋体" w:cs="宋体"/>
                <w:bCs/>
                <w:color w:val="auto"/>
                <w:sz w:val="24"/>
                <w:szCs w:val="24"/>
                <w:highlight w:val="none"/>
                <w:lang w:val="en-US" w:eastAsia="zh-CN"/>
              </w:rPr>
              <w:t>季度季初</w:t>
            </w:r>
            <w:r>
              <w:rPr>
                <w:rFonts w:hint="eastAsia" w:ascii="宋体" w:hAnsi="宋体" w:eastAsia="宋体" w:cs="宋体"/>
                <w:bCs/>
                <w:color w:val="auto"/>
                <w:sz w:val="24"/>
                <w:szCs w:val="24"/>
                <w:highlight w:val="none"/>
              </w:rPr>
              <w:t>就上</w:t>
            </w:r>
            <w:r>
              <w:rPr>
                <w:rFonts w:hint="eastAsia" w:ascii="宋体" w:hAnsi="宋体" w:cs="宋体"/>
                <w:bCs/>
                <w:color w:val="auto"/>
                <w:sz w:val="24"/>
                <w:szCs w:val="24"/>
                <w:highlight w:val="none"/>
                <w:lang w:val="en-US" w:eastAsia="zh-CN"/>
              </w:rPr>
              <w:t>季度</w:t>
            </w:r>
            <w:r>
              <w:rPr>
                <w:rFonts w:hint="eastAsia" w:ascii="宋体" w:hAnsi="宋体" w:eastAsia="宋体" w:cs="宋体"/>
                <w:bCs/>
                <w:color w:val="auto"/>
                <w:sz w:val="24"/>
                <w:szCs w:val="24"/>
                <w:highlight w:val="none"/>
              </w:rPr>
              <w:t>的检测项目进行结算</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经双方共同确认检测数量</w:t>
            </w:r>
            <w:r>
              <w:rPr>
                <w:rFonts w:hint="eastAsia" w:ascii="宋体" w:hAnsi="宋体" w:eastAsia="宋体" w:cs="宋体"/>
                <w:bCs/>
                <w:color w:val="auto"/>
                <w:sz w:val="24"/>
                <w:szCs w:val="24"/>
                <w:highlight w:val="none"/>
                <w:lang w:val="en-US" w:eastAsia="zh-CN"/>
              </w:rPr>
              <w:t>及费用</w:t>
            </w:r>
            <w:r>
              <w:rPr>
                <w:rFonts w:hint="eastAsia" w:ascii="宋体" w:hAnsi="宋体" w:eastAsia="宋体" w:cs="宋体"/>
                <w:bCs/>
                <w:color w:val="auto"/>
                <w:sz w:val="24"/>
                <w:szCs w:val="24"/>
                <w:highlight w:val="none"/>
              </w:rPr>
              <w:t>无异议后，</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在收到</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val="en-US" w:eastAsia="zh-CN"/>
              </w:rPr>
              <w:t>增值税</w:t>
            </w:r>
            <w:r>
              <w:rPr>
                <w:rFonts w:hint="eastAsia" w:ascii="宋体" w:hAnsi="宋体" w:eastAsia="宋体" w:cs="宋体"/>
                <w:bCs/>
                <w:color w:val="auto"/>
                <w:sz w:val="24"/>
                <w:szCs w:val="24"/>
                <w:highlight w:val="none"/>
              </w:rPr>
              <w:t>发票后</w:t>
            </w:r>
            <w:r>
              <w:rPr>
                <w:rFonts w:hint="eastAsia" w:ascii="宋体" w:hAnsi="宋体" w:eastAsia="宋体" w:cs="宋体"/>
                <w:bCs/>
                <w:color w:val="auto"/>
                <w:sz w:val="24"/>
                <w:szCs w:val="24"/>
                <w:highlight w:val="none"/>
                <w:lang w:val="en-US" w:eastAsia="zh-CN"/>
              </w:rPr>
              <w:t>7个工作</w:t>
            </w:r>
            <w:r>
              <w:rPr>
                <w:rFonts w:hint="eastAsia" w:ascii="宋体" w:hAnsi="宋体" w:eastAsia="宋体" w:cs="宋体"/>
                <w:bCs/>
                <w:color w:val="auto"/>
                <w:sz w:val="24"/>
                <w:szCs w:val="24"/>
                <w:highlight w:val="none"/>
              </w:rPr>
              <w:t>日内支付</w:t>
            </w:r>
            <w:r>
              <w:rPr>
                <w:rFonts w:hint="eastAsia" w:ascii="宋体" w:hAnsi="宋体" w:eastAsia="宋体" w:cs="宋体"/>
                <w:bCs/>
                <w:color w:val="auto"/>
                <w:sz w:val="24"/>
                <w:szCs w:val="24"/>
                <w:highlight w:val="none"/>
                <w:lang w:val="en-US" w:eastAsia="zh-CN"/>
              </w:rPr>
              <w:t>上季度的</w:t>
            </w:r>
            <w:r>
              <w:rPr>
                <w:rFonts w:hint="eastAsia" w:ascii="宋体" w:hAnsi="宋体" w:eastAsia="宋体" w:cs="宋体"/>
                <w:bCs/>
                <w:color w:val="auto"/>
                <w:sz w:val="24"/>
                <w:szCs w:val="24"/>
                <w:highlight w:val="none"/>
              </w:rPr>
              <w:t>检测服务费用。</w:t>
            </w:r>
          </w:p>
        </w:tc>
      </w:tr>
      <w:tr w14:paraId="18E2D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0A1ECE9">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18</w:t>
            </w:r>
          </w:p>
        </w:tc>
        <w:tc>
          <w:tcPr>
            <w:tcW w:w="8750" w:type="dxa"/>
            <w:tcBorders>
              <w:top w:val="single" w:color="auto" w:sz="4" w:space="0"/>
              <w:left w:val="single" w:color="auto" w:sz="4" w:space="0"/>
              <w:bottom w:val="single" w:color="auto" w:sz="4" w:space="0"/>
              <w:right w:val="single" w:color="auto" w:sz="4" w:space="0"/>
            </w:tcBorders>
            <w:vAlign w:val="center"/>
          </w:tcPr>
          <w:p w14:paraId="16800CCE">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货物交付/服务地点：东阳市内，采购人指定的地点。</w:t>
            </w:r>
          </w:p>
          <w:p w14:paraId="4106CBA3">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验收：</w:t>
            </w:r>
          </w:p>
          <w:p w14:paraId="07B57796">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1.采购人组织相关人员对供应商履约的验收，验收费用由中标人承担；采购人出具一式二份验收报告，一份由中标人保管，一份由东阳市鑫盛工程咨询有限公司（原件）存档。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6D25D5">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2.采购人可以邀请参加本项目的其他供应商或者第三方机构参与验收。参与验收的供应商或者第三方机构的意见作为验收书的参考资料一并存档。</w:t>
            </w:r>
          </w:p>
          <w:p w14:paraId="107C6362">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23C2D0D">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4.采购人原则上应当在履约验收之日起2个工作日内，将履约验收结果在浙江政府采购网上公告。</w:t>
            </w:r>
          </w:p>
          <w:p w14:paraId="333C7AF5">
            <w:pPr>
              <w:snapToGrid w:val="0"/>
              <w:spacing w:line="348" w:lineRule="auto"/>
              <w:rPr>
                <w:rFonts w:ascii="宋体" w:hAnsi="宋体" w:cs="宋体"/>
                <w:color w:val="auto"/>
                <w:sz w:val="24"/>
                <w:highlight w:val="none"/>
              </w:rPr>
            </w:pPr>
            <w:r>
              <w:rPr>
                <w:rFonts w:hint="eastAsia" w:ascii="宋体" w:hAnsi="宋体" w:cs="宋体"/>
                <w:color w:val="auto"/>
                <w:sz w:val="24"/>
                <w:highlight w:val="none"/>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tc>
      </w:tr>
      <w:tr w14:paraId="5A5C6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0659302">
            <w:pPr>
              <w:snapToGrid w:val="0"/>
              <w:spacing w:line="348" w:lineRule="auto"/>
              <w:jc w:val="center"/>
              <w:rPr>
                <w:rFonts w:ascii="宋体" w:hAnsi="宋体" w:cs="宋体"/>
                <w:color w:val="auto"/>
                <w:sz w:val="24"/>
                <w:highlight w:val="none"/>
              </w:rPr>
            </w:pPr>
            <w:r>
              <w:rPr>
                <w:rFonts w:hint="eastAsia" w:ascii="宋体" w:hAnsi="宋体" w:cs="宋体"/>
                <w:color w:val="auto"/>
                <w:sz w:val="24"/>
                <w:highlight w:val="none"/>
              </w:rPr>
              <w:t>19</w:t>
            </w:r>
          </w:p>
        </w:tc>
        <w:tc>
          <w:tcPr>
            <w:tcW w:w="8750" w:type="dxa"/>
            <w:tcBorders>
              <w:top w:val="single" w:color="auto" w:sz="4" w:space="0"/>
              <w:left w:val="single" w:color="auto" w:sz="4" w:space="0"/>
              <w:bottom w:val="single" w:color="auto" w:sz="4" w:space="0"/>
              <w:right w:val="single" w:color="auto" w:sz="4" w:space="0"/>
            </w:tcBorders>
            <w:vAlign w:val="center"/>
          </w:tcPr>
          <w:p w14:paraId="7483191D">
            <w:pPr>
              <w:snapToGrid w:val="0"/>
              <w:spacing w:before="120" w:beforeLines="50" w:line="348" w:lineRule="auto"/>
              <w:outlineLvl w:val="2"/>
              <w:rPr>
                <w:rFonts w:ascii="宋体" w:hAnsi="宋体"/>
                <w:b/>
                <w:color w:val="auto"/>
                <w:sz w:val="24"/>
                <w:highlight w:val="none"/>
              </w:rPr>
            </w:pPr>
            <w:r>
              <w:rPr>
                <w:rFonts w:hint="eastAsia" w:ascii="宋体" w:hAnsi="宋体"/>
                <w:b/>
                <w:color w:val="auto"/>
                <w:sz w:val="24"/>
                <w:highlight w:val="none"/>
              </w:rPr>
              <w:t>供应商有下列情形之一的，列入失信名单，同时依照《政府采购法》第七十七条及《中华人民共和国政府采购法实施条例》第七十二条规定处罚并追</w:t>
            </w:r>
            <w:r>
              <w:rPr>
                <w:rFonts w:hint="eastAsia" w:ascii="宋体" w:hAnsi="宋体"/>
                <w:b/>
                <w:color w:val="auto"/>
                <w:sz w:val="24"/>
                <w:highlight w:val="none"/>
                <w:lang w:val="en-US" w:eastAsia="zh-CN"/>
              </w:rPr>
              <w:t>究</w:t>
            </w:r>
            <w:r>
              <w:rPr>
                <w:rFonts w:hint="eastAsia" w:ascii="宋体" w:hAnsi="宋体"/>
                <w:b/>
                <w:color w:val="auto"/>
                <w:sz w:val="24"/>
                <w:highlight w:val="none"/>
              </w:rPr>
              <w:t>法律责任。</w:t>
            </w:r>
          </w:p>
          <w:p w14:paraId="4C9E162A">
            <w:pPr>
              <w:snapToGrid w:val="0"/>
              <w:spacing w:line="348"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1、提供虚假材料谋取中标、成交的； </w:t>
            </w:r>
          </w:p>
          <w:p w14:paraId="4B183798">
            <w:pPr>
              <w:snapToGrid w:val="0"/>
              <w:spacing w:line="348"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2、采取不正当手段诋毁、排挤其他供应商的； </w:t>
            </w:r>
          </w:p>
          <w:p w14:paraId="09B4ABC0">
            <w:pPr>
              <w:snapToGrid w:val="0"/>
              <w:spacing w:line="348"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3、与采购人、其他供应商或者采购代理机构恶意串通的； </w:t>
            </w:r>
          </w:p>
          <w:p w14:paraId="54FECB2E">
            <w:pPr>
              <w:snapToGrid w:val="0"/>
              <w:spacing w:line="348" w:lineRule="auto"/>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4、向采购人、采购代理机构行贿或者提供其他不正当利益的； </w:t>
            </w:r>
          </w:p>
          <w:p w14:paraId="59919D27">
            <w:pPr>
              <w:snapToGrid w:val="0"/>
              <w:spacing w:line="348" w:lineRule="auto"/>
              <w:jc w:val="left"/>
              <w:rPr>
                <w:rFonts w:ascii="宋体" w:hAnsi="宋体"/>
                <w:color w:val="auto"/>
                <w:sz w:val="24"/>
                <w:highlight w:val="none"/>
              </w:rPr>
            </w:pPr>
            <w:r>
              <w:rPr>
                <w:rFonts w:hint="eastAsia" w:ascii="宋体" w:hAnsi="宋体"/>
                <w:color w:val="auto"/>
                <w:sz w:val="24"/>
                <w:highlight w:val="none"/>
              </w:rPr>
              <w:t xml:space="preserve">5、在招标采购过程中与采购人进行协商谈判的； </w:t>
            </w:r>
          </w:p>
          <w:p w14:paraId="4BF596F9">
            <w:pPr>
              <w:snapToGrid w:val="0"/>
              <w:spacing w:line="348" w:lineRule="auto"/>
              <w:jc w:val="left"/>
              <w:rPr>
                <w:rFonts w:ascii="宋体" w:hAnsi="宋体"/>
                <w:color w:val="auto"/>
                <w:sz w:val="24"/>
                <w:highlight w:val="none"/>
              </w:rPr>
            </w:pPr>
            <w:r>
              <w:rPr>
                <w:rFonts w:hint="eastAsia" w:ascii="宋体" w:hAnsi="宋体"/>
                <w:color w:val="auto"/>
                <w:sz w:val="24"/>
                <w:highlight w:val="none"/>
              </w:rPr>
              <w:t>6、向评标委员会、竞争性谈判小组或者询价小组成员行贿或者提供其他不正当利益；</w:t>
            </w:r>
          </w:p>
          <w:p w14:paraId="4CD7A813">
            <w:pPr>
              <w:snapToGrid w:val="0"/>
              <w:spacing w:line="348" w:lineRule="auto"/>
              <w:jc w:val="left"/>
              <w:rPr>
                <w:rFonts w:ascii="宋体" w:hAnsi="宋体"/>
                <w:color w:val="auto"/>
                <w:sz w:val="24"/>
                <w:highlight w:val="none"/>
              </w:rPr>
            </w:pPr>
            <w:r>
              <w:rPr>
                <w:rFonts w:hint="eastAsia" w:ascii="宋体" w:hAnsi="宋体"/>
                <w:color w:val="auto"/>
                <w:sz w:val="24"/>
                <w:highlight w:val="none"/>
              </w:rPr>
              <w:t>7、中标或者成交后无正当理由拒不与采购人签订政府采购合同；</w:t>
            </w:r>
          </w:p>
          <w:p w14:paraId="7EE6F01C">
            <w:pPr>
              <w:snapToGrid w:val="0"/>
              <w:spacing w:line="348" w:lineRule="auto"/>
              <w:jc w:val="left"/>
              <w:rPr>
                <w:rFonts w:ascii="宋体" w:hAnsi="宋体"/>
                <w:color w:val="auto"/>
                <w:sz w:val="24"/>
                <w:highlight w:val="none"/>
              </w:rPr>
            </w:pPr>
            <w:r>
              <w:rPr>
                <w:rFonts w:hint="eastAsia" w:ascii="宋体" w:hAnsi="宋体"/>
                <w:color w:val="auto"/>
                <w:sz w:val="24"/>
                <w:highlight w:val="none"/>
              </w:rPr>
              <w:t>8、未按照采购文件确定的事项签订政府采购合同；</w:t>
            </w:r>
          </w:p>
          <w:p w14:paraId="5233D51D">
            <w:pPr>
              <w:snapToGrid w:val="0"/>
              <w:spacing w:line="348" w:lineRule="auto"/>
              <w:jc w:val="left"/>
              <w:rPr>
                <w:rFonts w:ascii="宋体" w:hAnsi="宋体"/>
                <w:color w:val="auto"/>
                <w:sz w:val="24"/>
                <w:highlight w:val="none"/>
              </w:rPr>
            </w:pPr>
            <w:r>
              <w:rPr>
                <w:rFonts w:hint="eastAsia" w:ascii="宋体" w:hAnsi="宋体"/>
                <w:color w:val="auto"/>
                <w:sz w:val="24"/>
                <w:highlight w:val="none"/>
              </w:rPr>
              <w:t>9、将政府采购合同转包；</w:t>
            </w:r>
          </w:p>
          <w:p w14:paraId="7D5BEE19">
            <w:pPr>
              <w:snapToGrid w:val="0"/>
              <w:spacing w:line="348" w:lineRule="auto"/>
              <w:jc w:val="left"/>
              <w:rPr>
                <w:rFonts w:ascii="宋体" w:hAnsi="宋体"/>
                <w:color w:val="auto"/>
                <w:sz w:val="24"/>
                <w:highlight w:val="none"/>
              </w:rPr>
            </w:pPr>
            <w:r>
              <w:rPr>
                <w:rFonts w:hint="eastAsia" w:ascii="宋体" w:hAnsi="宋体"/>
                <w:color w:val="auto"/>
                <w:sz w:val="24"/>
                <w:highlight w:val="none"/>
              </w:rPr>
              <w:t>10、提供假冒伪劣产品；</w:t>
            </w:r>
          </w:p>
          <w:p w14:paraId="0CF4F224">
            <w:pPr>
              <w:snapToGrid w:val="0"/>
              <w:spacing w:line="348" w:lineRule="auto"/>
              <w:jc w:val="left"/>
              <w:rPr>
                <w:rFonts w:ascii="宋体" w:hAnsi="宋体"/>
                <w:color w:val="auto"/>
                <w:sz w:val="24"/>
                <w:highlight w:val="none"/>
              </w:rPr>
            </w:pPr>
            <w:r>
              <w:rPr>
                <w:rFonts w:hint="eastAsia" w:ascii="宋体" w:hAnsi="宋体"/>
                <w:color w:val="auto"/>
                <w:sz w:val="24"/>
                <w:highlight w:val="none"/>
              </w:rPr>
              <w:t>11、擅自变更、中止或者终止政府采购合同。</w:t>
            </w:r>
          </w:p>
          <w:p w14:paraId="4C49CE24">
            <w:pPr>
              <w:snapToGrid w:val="0"/>
              <w:spacing w:line="348" w:lineRule="auto"/>
              <w:rPr>
                <w:rFonts w:ascii="宋体" w:hAnsi="宋体" w:cs="宋体"/>
                <w:color w:val="auto"/>
                <w:sz w:val="24"/>
                <w:highlight w:val="none"/>
              </w:rPr>
            </w:pPr>
            <w:r>
              <w:rPr>
                <w:rFonts w:hint="eastAsia" w:ascii="宋体" w:hAnsi="宋体"/>
                <w:color w:val="auto"/>
                <w:sz w:val="24"/>
                <w:highlight w:val="none"/>
              </w:rPr>
              <w:t>12、其他严重扰乱招投标程序的。</w:t>
            </w:r>
          </w:p>
        </w:tc>
      </w:tr>
      <w:tr w14:paraId="5AA72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EAF6205">
            <w:pPr>
              <w:snapToGrid w:val="0"/>
              <w:spacing w:line="348" w:lineRule="auto"/>
              <w:jc w:val="both"/>
              <w:rPr>
                <w:rFonts w:ascii="宋体" w:hAnsi="宋体" w:cs="宋体"/>
                <w:color w:val="auto"/>
                <w:sz w:val="24"/>
                <w:highlight w:val="none"/>
              </w:rPr>
            </w:pPr>
            <w:r>
              <w:rPr>
                <w:rFonts w:hint="eastAsia" w:ascii="宋体" w:hAnsi="宋体" w:cs="宋体"/>
                <w:color w:val="auto"/>
                <w:sz w:val="24"/>
                <w:highlight w:val="none"/>
              </w:rPr>
              <w:t>20</w:t>
            </w:r>
          </w:p>
        </w:tc>
        <w:tc>
          <w:tcPr>
            <w:tcW w:w="8750" w:type="dxa"/>
            <w:tcBorders>
              <w:top w:val="single" w:color="auto" w:sz="4" w:space="0"/>
              <w:left w:val="single" w:color="auto" w:sz="4" w:space="0"/>
              <w:bottom w:val="single" w:color="auto" w:sz="4" w:space="0"/>
              <w:right w:val="single" w:color="auto" w:sz="4" w:space="0"/>
            </w:tcBorders>
            <w:vAlign w:val="center"/>
          </w:tcPr>
          <w:p w14:paraId="30D75583">
            <w:pPr>
              <w:snapToGrid w:val="0"/>
              <w:spacing w:line="348" w:lineRule="auto"/>
              <w:jc w:val="both"/>
              <w:rPr>
                <w:rFonts w:ascii="宋体" w:hAnsi="宋体" w:cs="宋体"/>
                <w:color w:val="auto"/>
                <w:sz w:val="24"/>
                <w:highlight w:val="none"/>
              </w:rPr>
            </w:pPr>
            <w:r>
              <w:rPr>
                <w:rFonts w:hint="eastAsia" w:ascii="宋体" w:hAnsi="宋体" w:cs="宋体"/>
                <w:color w:val="auto"/>
                <w:sz w:val="24"/>
                <w:highlight w:val="none"/>
              </w:rPr>
              <w:t>投标文件有效期：</w:t>
            </w:r>
            <w:r>
              <w:rPr>
                <w:rFonts w:hint="eastAsia" w:ascii="宋体" w:hAnsi="宋体" w:cs="宋体"/>
                <w:color w:val="auto"/>
                <w:sz w:val="24"/>
                <w:highlight w:val="none"/>
                <w:u w:val="single"/>
              </w:rPr>
              <w:t>60</w:t>
            </w:r>
            <w:r>
              <w:rPr>
                <w:rFonts w:hint="eastAsia" w:ascii="宋体" w:hAnsi="宋体" w:cs="宋体"/>
                <w:color w:val="auto"/>
                <w:sz w:val="24"/>
                <w:highlight w:val="none"/>
              </w:rPr>
              <w:t>天</w:t>
            </w:r>
          </w:p>
        </w:tc>
      </w:tr>
      <w:tr w14:paraId="165BC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749" w:type="dxa"/>
            <w:tcBorders>
              <w:top w:val="single" w:color="auto" w:sz="4" w:space="0"/>
              <w:bottom w:val="single" w:color="auto" w:sz="4" w:space="0"/>
              <w:right w:val="single" w:color="auto" w:sz="4" w:space="0"/>
            </w:tcBorders>
            <w:vAlign w:val="center"/>
          </w:tcPr>
          <w:p w14:paraId="0434425E">
            <w:pPr>
              <w:spacing w:line="440" w:lineRule="exact"/>
              <w:jc w:val="both"/>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21</w:t>
            </w:r>
          </w:p>
        </w:tc>
        <w:tc>
          <w:tcPr>
            <w:tcW w:w="8750" w:type="dxa"/>
            <w:tcBorders>
              <w:top w:val="single" w:color="auto" w:sz="4" w:space="0"/>
              <w:left w:val="single" w:color="auto" w:sz="4" w:space="0"/>
              <w:bottom w:val="single" w:color="auto" w:sz="4" w:space="0"/>
            </w:tcBorders>
            <w:vAlign w:val="center"/>
          </w:tcPr>
          <w:p w14:paraId="25BF56FE">
            <w:pPr>
              <w:spacing w:line="440" w:lineRule="exact"/>
              <w:jc w:val="both"/>
              <w:rPr>
                <w:rFonts w:hint="eastAsia" w:ascii="宋体" w:hAnsi="宋体" w:cs="宋体"/>
                <w:b/>
                <w:bCs/>
                <w:color w:val="auto"/>
                <w:sz w:val="24"/>
                <w:highlight w:val="none"/>
              </w:rPr>
            </w:pPr>
            <w:r>
              <w:rPr>
                <w:rFonts w:hint="eastAsia" w:ascii="宋体" w:hAnsi="宋体" w:cs="宋体"/>
                <w:b/>
                <w:bCs/>
                <w:color w:val="auto"/>
                <w:sz w:val="24"/>
                <w:highlight w:val="none"/>
              </w:rPr>
              <w:t>本招标文件未尽事宜根据相关法律法规执行。</w:t>
            </w:r>
          </w:p>
        </w:tc>
      </w:tr>
      <w:tr w14:paraId="3BF45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07725B40">
            <w:pPr>
              <w:snapToGrid w:val="0"/>
              <w:spacing w:line="348" w:lineRule="auto"/>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2</w:t>
            </w:r>
          </w:p>
        </w:tc>
        <w:tc>
          <w:tcPr>
            <w:tcW w:w="8750" w:type="dxa"/>
            <w:tcBorders>
              <w:top w:val="single" w:color="auto" w:sz="4" w:space="0"/>
              <w:left w:val="single" w:color="auto" w:sz="4" w:space="0"/>
              <w:bottom w:val="single" w:color="auto" w:sz="4" w:space="0"/>
              <w:right w:val="single" w:color="auto" w:sz="4" w:space="0"/>
            </w:tcBorders>
            <w:vAlign w:val="center"/>
          </w:tcPr>
          <w:p w14:paraId="1A9BCA5D">
            <w:pPr>
              <w:snapToGrid w:val="0"/>
              <w:spacing w:line="348" w:lineRule="auto"/>
              <w:jc w:val="both"/>
              <w:rPr>
                <w:rFonts w:ascii="宋体" w:hAnsi="宋体" w:cs="宋体"/>
                <w:b/>
                <w:color w:val="auto"/>
                <w:sz w:val="24"/>
                <w:highlight w:val="none"/>
              </w:rPr>
            </w:pPr>
            <w:r>
              <w:rPr>
                <w:rFonts w:hint="eastAsia" w:ascii="宋体" w:hAnsi="宋体" w:cs="宋体"/>
                <w:b/>
                <w:color w:val="auto"/>
                <w:sz w:val="24"/>
                <w:highlight w:val="none"/>
              </w:rPr>
              <w:t>招标方对投标人的落选不作出任何解释。</w:t>
            </w:r>
          </w:p>
        </w:tc>
      </w:tr>
      <w:tr w14:paraId="24EB2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0EF6F09">
            <w:pPr>
              <w:snapToGrid w:val="0"/>
              <w:spacing w:line="348" w:lineRule="auto"/>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3</w:t>
            </w:r>
          </w:p>
        </w:tc>
        <w:tc>
          <w:tcPr>
            <w:tcW w:w="8750" w:type="dxa"/>
            <w:tcBorders>
              <w:top w:val="single" w:color="auto" w:sz="4" w:space="0"/>
              <w:left w:val="single" w:color="auto" w:sz="4" w:space="0"/>
              <w:bottom w:val="single" w:color="auto" w:sz="4" w:space="0"/>
              <w:right w:val="single" w:color="auto" w:sz="4" w:space="0"/>
            </w:tcBorders>
            <w:vAlign w:val="center"/>
          </w:tcPr>
          <w:p w14:paraId="1F83C887">
            <w:pPr>
              <w:spacing w:line="348" w:lineRule="auto"/>
              <w:jc w:val="both"/>
              <w:rPr>
                <w:rFonts w:ascii="宋体" w:hAnsi="宋体" w:cs="宋体"/>
                <w:b/>
                <w:color w:val="auto"/>
                <w:sz w:val="24"/>
                <w:highlight w:val="none"/>
              </w:rPr>
            </w:pPr>
            <w:r>
              <w:rPr>
                <w:rFonts w:hint="eastAsia" w:ascii="宋体" w:hAnsi="宋体" w:cs="宋体"/>
                <w:b/>
                <w:color w:val="auto"/>
                <w:kern w:val="0"/>
                <w:sz w:val="24"/>
                <w:highlight w:val="none"/>
              </w:rPr>
              <w:t>采购人和招标代理机构的任何工作人员对投标人所作的任何口头解释、介绍、答复，仅供投标人参考，不作为招标依据，对采购人、招标代理机构和投标人无任何约束力，一切以网上公告及书面形式为准。</w:t>
            </w:r>
          </w:p>
        </w:tc>
      </w:tr>
      <w:tr w14:paraId="25C73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0C92A1B">
            <w:pPr>
              <w:snapToGrid w:val="0"/>
              <w:spacing w:line="348" w:lineRule="auto"/>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p>
        </w:tc>
        <w:tc>
          <w:tcPr>
            <w:tcW w:w="8750" w:type="dxa"/>
            <w:tcBorders>
              <w:top w:val="single" w:color="auto" w:sz="4" w:space="0"/>
              <w:left w:val="single" w:color="auto" w:sz="4" w:space="0"/>
              <w:bottom w:val="single" w:color="auto" w:sz="4" w:space="0"/>
              <w:right w:val="single" w:color="auto" w:sz="4" w:space="0"/>
            </w:tcBorders>
            <w:vAlign w:val="center"/>
          </w:tcPr>
          <w:p w14:paraId="490B8EB2">
            <w:pPr>
              <w:snapToGrid w:val="0"/>
              <w:spacing w:line="348" w:lineRule="auto"/>
              <w:jc w:val="both"/>
              <w:rPr>
                <w:rFonts w:ascii="宋体" w:hAnsi="宋体" w:cs="宋体"/>
                <w:color w:val="auto"/>
                <w:sz w:val="24"/>
                <w:highlight w:val="none"/>
              </w:rPr>
            </w:pPr>
            <w:r>
              <w:rPr>
                <w:rFonts w:hint="eastAsia" w:ascii="宋体" w:hAnsi="宋体" w:cs="宋体"/>
                <w:color w:val="auto"/>
                <w:sz w:val="24"/>
                <w:highlight w:val="none"/>
              </w:rPr>
              <w:t>解释：本招标文件的解释权属于东阳市鑫盛工程咨询有限公司。</w:t>
            </w:r>
          </w:p>
        </w:tc>
      </w:tr>
    </w:tbl>
    <w:p w14:paraId="71FAFFEA">
      <w:pPr>
        <w:pStyle w:val="6"/>
        <w:snapToGrid w:val="0"/>
        <w:spacing w:before="120" w:after="120" w:line="360" w:lineRule="auto"/>
        <w:rPr>
          <w:rFonts w:ascii="宋体" w:hAnsi="宋体" w:cs="宋体"/>
          <w:b/>
          <w:color w:val="auto"/>
          <w:szCs w:val="24"/>
          <w:highlight w:val="none"/>
        </w:rPr>
      </w:pPr>
      <w:r>
        <w:rPr>
          <w:rFonts w:hint="eastAsia" w:ascii="宋体" w:hAnsi="宋体" w:cs="宋体"/>
          <w:b/>
          <w:color w:val="auto"/>
          <w:szCs w:val="24"/>
          <w:highlight w:val="none"/>
        </w:rPr>
        <w:t>注：如本招标文件后面的条款与本表有矛盾的以本表的内容为准。</w:t>
      </w:r>
    </w:p>
    <w:p w14:paraId="305829C1">
      <w:pPr>
        <w:pStyle w:val="6"/>
        <w:pageBreakBefore/>
        <w:numPr>
          <w:ilvl w:val="0"/>
          <w:numId w:val="4"/>
        </w:numPr>
        <w:snapToGrid w:val="0"/>
        <w:spacing w:line="360" w:lineRule="auto"/>
        <w:ind w:left="826" w:hanging="826" w:hangingChars="343"/>
        <w:jc w:val="center"/>
        <w:outlineLvl w:val="1"/>
        <w:rPr>
          <w:rFonts w:ascii="宋体" w:hAnsi="宋体" w:cs="宋体"/>
          <w:b/>
          <w:color w:val="auto"/>
          <w:szCs w:val="24"/>
          <w:highlight w:val="none"/>
        </w:rPr>
      </w:pPr>
      <w:bookmarkStart w:id="16" w:name="_Toc26493"/>
      <w:r>
        <w:rPr>
          <w:rFonts w:hint="eastAsia" w:ascii="宋体" w:hAnsi="宋体" w:cs="宋体"/>
          <w:b/>
          <w:color w:val="auto"/>
          <w:szCs w:val="24"/>
          <w:highlight w:val="none"/>
        </w:rPr>
        <w:t>总则</w:t>
      </w:r>
      <w:bookmarkEnd w:id="16"/>
    </w:p>
    <w:p w14:paraId="32FCE1A0">
      <w:pPr>
        <w:spacing w:line="360" w:lineRule="auto"/>
        <w:rPr>
          <w:rFonts w:ascii="宋体" w:hAnsi="宋体" w:cs="宋体"/>
          <w:b/>
          <w:color w:val="auto"/>
          <w:sz w:val="24"/>
          <w:highlight w:val="none"/>
        </w:rPr>
      </w:pPr>
      <w:bookmarkStart w:id="17" w:name="_Toc407182093"/>
      <w:r>
        <w:rPr>
          <w:rFonts w:hint="eastAsia" w:ascii="宋体" w:hAnsi="宋体" w:cs="宋体"/>
          <w:b/>
          <w:color w:val="auto"/>
          <w:sz w:val="24"/>
          <w:highlight w:val="none"/>
        </w:rPr>
        <w:t>（一） 适用范围</w:t>
      </w:r>
      <w:bookmarkEnd w:id="17"/>
    </w:p>
    <w:p w14:paraId="1288D46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本招标文件适用于</w:t>
      </w:r>
      <w:r>
        <w:rPr>
          <w:rFonts w:hint="eastAsia" w:ascii="宋体" w:hAnsi="宋体" w:cs="宋体"/>
          <w:color w:val="auto"/>
          <w:sz w:val="24"/>
          <w:highlight w:val="none"/>
          <w:lang w:eastAsia="zh-CN"/>
        </w:rPr>
        <w:t>东阳市人民医院肾穿刺病理检测外送服务项目</w:t>
      </w:r>
      <w:r>
        <w:rPr>
          <w:rFonts w:hint="eastAsia" w:ascii="宋体" w:hAnsi="宋体" w:cs="宋体"/>
          <w:color w:val="auto"/>
          <w:sz w:val="24"/>
          <w:highlight w:val="none"/>
        </w:rPr>
        <w:t>的招标、投标、评标、定标、验收、合同履约、付款等行为（法律、法规另有规定的，从其规定）。</w:t>
      </w:r>
    </w:p>
    <w:p w14:paraId="6017F2DB">
      <w:pPr>
        <w:spacing w:line="360" w:lineRule="auto"/>
        <w:rPr>
          <w:rFonts w:ascii="宋体" w:hAnsi="宋体" w:cs="宋体"/>
          <w:b/>
          <w:color w:val="auto"/>
          <w:sz w:val="24"/>
          <w:highlight w:val="none"/>
        </w:rPr>
      </w:pPr>
      <w:bookmarkStart w:id="18" w:name="_Toc407182094"/>
      <w:r>
        <w:rPr>
          <w:rFonts w:hint="eastAsia" w:ascii="宋体" w:hAnsi="宋体" w:cs="宋体"/>
          <w:b/>
          <w:color w:val="auto"/>
          <w:sz w:val="24"/>
          <w:highlight w:val="none"/>
        </w:rPr>
        <w:t>（二）定义</w:t>
      </w:r>
      <w:bookmarkEnd w:id="18"/>
      <w:r>
        <w:rPr>
          <w:rFonts w:hint="eastAsia" w:ascii="宋体" w:hAnsi="宋体" w:cs="宋体"/>
          <w:b/>
          <w:color w:val="auto"/>
          <w:sz w:val="24"/>
          <w:highlight w:val="none"/>
        </w:rPr>
        <w:t>及采购项目需要落实的政府采购政策</w:t>
      </w:r>
    </w:p>
    <w:p w14:paraId="0EF1C25B">
      <w:pPr>
        <w:spacing w:line="360" w:lineRule="auto"/>
        <w:rPr>
          <w:rFonts w:ascii="宋体" w:hAnsi="宋体" w:cs="宋体"/>
          <w:color w:val="auto"/>
          <w:sz w:val="24"/>
          <w:highlight w:val="none"/>
        </w:rPr>
      </w:pPr>
      <w:r>
        <w:rPr>
          <w:rFonts w:hint="eastAsia" w:ascii="宋体" w:hAnsi="宋体" w:cs="宋体"/>
          <w:color w:val="auto"/>
          <w:sz w:val="24"/>
          <w:highlight w:val="none"/>
        </w:rPr>
        <w:t>1.招标采购单位系指组织本次招标的东阳市鑫盛工程咨询有限公司（“招标方”）和</w:t>
      </w:r>
      <w:r>
        <w:rPr>
          <w:rFonts w:hint="eastAsia" w:ascii="宋体" w:hAnsi="宋体" w:cs="宋体"/>
          <w:color w:val="auto"/>
          <w:sz w:val="24"/>
          <w:highlight w:val="none"/>
          <w:lang w:eastAsia="zh-CN"/>
        </w:rPr>
        <w:t>东阳市人民医院</w:t>
      </w:r>
      <w:r>
        <w:rPr>
          <w:rFonts w:hint="eastAsia" w:ascii="宋体" w:hAnsi="宋体" w:cs="宋体"/>
          <w:color w:val="auto"/>
          <w:sz w:val="24"/>
          <w:highlight w:val="none"/>
        </w:rPr>
        <w:t>（“采购人”）。</w:t>
      </w:r>
    </w:p>
    <w:p w14:paraId="7F3183F6">
      <w:pPr>
        <w:spacing w:line="360" w:lineRule="auto"/>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2DF2845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3.“服务”系指招标文件规定投标人须承担的本项目所衍生的一切服务义务。 </w:t>
      </w:r>
    </w:p>
    <w:p w14:paraId="1D9078F0">
      <w:pPr>
        <w:spacing w:line="360" w:lineRule="auto"/>
        <w:rPr>
          <w:rFonts w:ascii="宋体" w:hAnsi="宋体" w:cs="宋体"/>
          <w:color w:val="auto"/>
          <w:sz w:val="24"/>
          <w:highlight w:val="none"/>
        </w:rPr>
      </w:pPr>
      <w:r>
        <w:rPr>
          <w:rFonts w:hint="eastAsia" w:ascii="宋体" w:hAnsi="宋体" w:cs="宋体"/>
          <w:color w:val="auto"/>
          <w:sz w:val="24"/>
          <w:highlight w:val="none"/>
        </w:rPr>
        <w:t>4.“项目”系指投标人按招标文件规定向采购人提供的成果和项目服务。</w:t>
      </w:r>
    </w:p>
    <w:p w14:paraId="4619223C">
      <w:pPr>
        <w:spacing w:line="360" w:lineRule="auto"/>
        <w:rPr>
          <w:rFonts w:ascii="宋体" w:hAnsi="宋体" w:cs="宋体"/>
          <w:color w:val="auto"/>
          <w:sz w:val="24"/>
          <w:highlight w:val="none"/>
        </w:rPr>
      </w:pPr>
      <w:r>
        <w:rPr>
          <w:rFonts w:hint="eastAsia" w:ascii="宋体" w:hAnsi="宋体" w:cs="宋体"/>
          <w:color w:val="auto"/>
          <w:sz w:val="24"/>
          <w:highlight w:val="none"/>
        </w:rPr>
        <w:t>5.“书面形式”包括信函、传真、电报等。</w:t>
      </w:r>
    </w:p>
    <w:p w14:paraId="2C3203FB">
      <w:pPr>
        <w:spacing w:line="360" w:lineRule="auto"/>
        <w:rPr>
          <w:rFonts w:ascii="宋体" w:hAnsi="宋体" w:cs="宋体"/>
          <w:b/>
          <w:bCs/>
          <w:color w:val="auto"/>
          <w:sz w:val="24"/>
          <w:highlight w:val="none"/>
        </w:rPr>
      </w:pPr>
      <w:r>
        <w:rPr>
          <w:rFonts w:hint="eastAsia" w:ascii="宋体" w:hAnsi="宋体" w:cs="宋体"/>
          <w:color w:val="auto"/>
          <w:sz w:val="24"/>
          <w:highlight w:val="none"/>
        </w:rPr>
        <w:t>6.</w:t>
      </w:r>
      <w:r>
        <w:rPr>
          <w:rFonts w:hint="eastAsia" w:ascii="宋体" w:hAnsi="宋体" w:cs="宋体"/>
          <w:b/>
          <w:bCs/>
          <w:color w:val="auto"/>
          <w:sz w:val="24"/>
          <w:highlight w:val="none"/>
        </w:rPr>
        <w:t>“▲”系指实质性要求条款。</w:t>
      </w:r>
      <w:r>
        <w:rPr>
          <w:rFonts w:hint="eastAsia" w:ascii="宋体" w:hAnsi="宋体" w:cs="宋体"/>
          <w:b/>
          <w:bCs/>
          <w:sz w:val="24"/>
          <w:highlight w:val="none"/>
          <w:lang w:eastAsia="zh-CN"/>
        </w:rPr>
        <w:t>“</w:t>
      </w:r>
      <w:r>
        <w:rPr>
          <w:rFonts w:hint="eastAsia" w:ascii="宋体" w:hAnsi="宋体" w:cs="宋体"/>
          <w:b/>
          <w:bCs/>
          <w:sz w:val="24"/>
          <w:highlight w:val="none"/>
        </w:rPr>
        <w:t>★</w:t>
      </w:r>
      <w:r>
        <w:rPr>
          <w:rFonts w:hint="eastAsia" w:ascii="宋体" w:hAnsi="宋体" w:cs="宋体"/>
          <w:b/>
          <w:bCs/>
          <w:sz w:val="24"/>
          <w:highlight w:val="none"/>
          <w:lang w:eastAsia="zh-CN"/>
        </w:rPr>
        <w:t>”</w:t>
      </w:r>
      <w:r>
        <w:rPr>
          <w:rFonts w:hint="eastAsia" w:ascii="宋体" w:hAnsi="宋体" w:cs="宋体"/>
          <w:b/>
          <w:bCs/>
          <w:sz w:val="24"/>
          <w:highlight w:val="none"/>
        </w:rPr>
        <w:t>系指重要指标</w:t>
      </w:r>
    </w:p>
    <w:p w14:paraId="78B02F67">
      <w:pPr>
        <w:spacing w:line="360" w:lineRule="auto"/>
        <w:rPr>
          <w:rFonts w:ascii="宋体" w:hAnsi="宋体" w:cs="宋体"/>
          <w:color w:val="auto"/>
          <w:sz w:val="24"/>
          <w:highlight w:val="none"/>
        </w:rPr>
      </w:pPr>
      <w:r>
        <w:rPr>
          <w:rFonts w:hint="eastAsia" w:ascii="宋体" w:hAnsi="宋体" w:cs="宋体"/>
          <w:color w:val="auto"/>
          <w:sz w:val="24"/>
          <w:highlight w:val="none"/>
        </w:rPr>
        <w:t>7. 采购项目需要落实的政府采购政策</w:t>
      </w:r>
    </w:p>
    <w:p w14:paraId="0D4FBD22">
      <w:pPr>
        <w:spacing w:line="360" w:lineRule="auto"/>
        <w:rPr>
          <w:rFonts w:ascii="宋体" w:hAnsi="宋体" w:cs="宋体"/>
          <w:color w:val="auto"/>
          <w:sz w:val="24"/>
          <w:highlight w:val="none"/>
        </w:rPr>
      </w:pPr>
      <w:r>
        <w:rPr>
          <w:rFonts w:hint="eastAsia" w:ascii="宋体" w:hAnsi="宋体" w:cs="宋体"/>
          <w:color w:val="auto"/>
          <w:sz w:val="24"/>
          <w:highlight w:val="none"/>
        </w:rPr>
        <w:t>7.1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2F9472F3">
      <w:pPr>
        <w:spacing w:line="360" w:lineRule="auto"/>
        <w:rPr>
          <w:rFonts w:ascii="宋体" w:hAnsi="宋体" w:cs="宋体"/>
          <w:color w:val="auto"/>
          <w:sz w:val="24"/>
          <w:highlight w:val="none"/>
        </w:rPr>
      </w:pPr>
      <w:r>
        <w:rPr>
          <w:rFonts w:hint="eastAsia" w:ascii="宋体" w:hAnsi="宋体" w:cs="宋体"/>
          <w:color w:val="auto"/>
          <w:sz w:val="24"/>
          <w:highlight w:val="none"/>
        </w:rPr>
        <w:t>7.2 支持绿色发展</w:t>
      </w:r>
    </w:p>
    <w:p w14:paraId="2F5417C6">
      <w:pPr>
        <w:spacing w:line="360" w:lineRule="auto"/>
        <w:rPr>
          <w:rFonts w:ascii="宋体" w:hAnsi="宋体" w:cs="宋体"/>
          <w:color w:val="auto"/>
          <w:sz w:val="24"/>
          <w:highlight w:val="none"/>
        </w:rPr>
      </w:pPr>
      <w:r>
        <w:rPr>
          <w:rFonts w:hint="eastAsia" w:ascii="宋体" w:hAnsi="宋体" w:cs="宋体"/>
          <w:color w:val="auto"/>
          <w:sz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46881A03">
      <w:pPr>
        <w:spacing w:line="360" w:lineRule="auto"/>
        <w:rPr>
          <w:rFonts w:ascii="宋体" w:hAnsi="宋体" w:cs="宋体"/>
          <w:color w:val="auto"/>
          <w:sz w:val="24"/>
          <w:highlight w:val="none"/>
        </w:rPr>
      </w:pPr>
      <w:r>
        <w:rPr>
          <w:rFonts w:hint="eastAsia" w:ascii="宋体" w:hAnsi="宋体" w:cs="宋体"/>
          <w:color w:val="auto"/>
          <w:sz w:val="24"/>
          <w:highlight w:val="none"/>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F6EF113">
      <w:pPr>
        <w:spacing w:line="360" w:lineRule="auto"/>
        <w:rPr>
          <w:rFonts w:ascii="宋体" w:hAnsi="宋体" w:cs="宋体"/>
          <w:color w:val="auto"/>
          <w:sz w:val="24"/>
          <w:highlight w:val="none"/>
        </w:rPr>
      </w:pPr>
      <w:r>
        <w:rPr>
          <w:rFonts w:hint="eastAsia" w:ascii="宋体" w:hAnsi="宋体" w:cs="宋体"/>
          <w:color w:val="auto"/>
          <w:sz w:val="24"/>
          <w:highlight w:val="none"/>
        </w:rPr>
        <w:t>7.3支持中小企业发展</w:t>
      </w:r>
    </w:p>
    <w:p w14:paraId="1EC3EB6C">
      <w:pPr>
        <w:spacing w:line="360" w:lineRule="auto"/>
        <w:rPr>
          <w:rFonts w:ascii="宋体" w:hAnsi="宋体" w:cs="宋体"/>
          <w:color w:val="auto"/>
          <w:sz w:val="24"/>
          <w:highlight w:val="none"/>
        </w:rPr>
      </w:pPr>
      <w:r>
        <w:rPr>
          <w:rFonts w:hint="eastAsia" w:ascii="宋体" w:hAnsi="宋体" w:cs="宋体"/>
          <w:color w:val="auto"/>
          <w:sz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7B53326B">
      <w:pPr>
        <w:spacing w:line="360" w:lineRule="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0644584">
      <w:pPr>
        <w:spacing w:line="360" w:lineRule="auto"/>
        <w:rPr>
          <w:rFonts w:ascii="宋体" w:hAnsi="宋体" w:cs="宋体"/>
          <w:color w:val="auto"/>
          <w:sz w:val="24"/>
          <w:highlight w:val="none"/>
        </w:rPr>
      </w:pPr>
      <w:r>
        <w:rPr>
          <w:rFonts w:hint="eastAsia" w:ascii="宋体" w:hAnsi="宋体" w:cs="宋体"/>
          <w:color w:val="auto"/>
          <w:sz w:val="24"/>
          <w:highlight w:val="none"/>
        </w:rPr>
        <w:t>7.3.2在政府采购活动中，供应商提供的货物、工程或者服务符合下列情形的，享受中小企业扶持政策：</w:t>
      </w:r>
    </w:p>
    <w:p w14:paraId="5112412C">
      <w:pPr>
        <w:spacing w:line="360" w:lineRule="auto"/>
        <w:rPr>
          <w:rFonts w:ascii="宋体" w:hAnsi="宋体" w:cs="宋体"/>
          <w:color w:val="auto"/>
          <w:sz w:val="24"/>
          <w:highlight w:val="none"/>
        </w:rPr>
      </w:pPr>
      <w:r>
        <w:rPr>
          <w:rFonts w:hint="eastAsia" w:ascii="宋体" w:hAnsi="宋体" w:cs="宋体"/>
          <w:color w:val="auto"/>
          <w:sz w:val="24"/>
          <w:highlight w:val="none"/>
        </w:rPr>
        <w:t>7.3.2.1在货物采购项目中，货物由中小企业制造，即货物由中小企业生产且使用该中小企业商号或者注册商标；</w:t>
      </w:r>
    </w:p>
    <w:p w14:paraId="214C686E">
      <w:pPr>
        <w:spacing w:line="360" w:lineRule="auto"/>
        <w:rPr>
          <w:rFonts w:ascii="宋体" w:hAnsi="宋体" w:cs="宋体"/>
          <w:color w:val="auto"/>
          <w:sz w:val="24"/>
          <w:highlight w:val="none"/>
        </w:rPr>
      </w:pPr>
      <w:r>
        <w:rPr>
          <w:rFonts w:hint="eastAsia" w:ascii="宋体" w:hAnsi="宋体" w:cs="宋体"/>
          <w:color w:val="auto"/>
          <w:sz w:val="24"/>
          <w:highlight w:val="none"/>
        </w:rPr>
        <w:t>7.3.2.2在工程采购项目中，工程由中小企业承建，即工程施工单位为中小企业；</w:t>
      </w:r>
    </w:p>
    <w:p w14:paraId="00BED3FD">
      <w:pPr>
        <w:spacing w:line="360" w:lineRule="auto"/>
        <w:rPr>
          <w:rFonts w:ascii="宋体" w:hAnsi="宋体" w:cs="宋体"/>
          <w:color w:val="auto"/>
          <w:sz w:val="24"/>
          <w:highlight w:val="none"/>
        </w:rPr>
      </w:pPr>
      <w:r>
        <w:rPr>
          <w:rFonts w:hint="eastAsia" w:ascii="宋体" w:hAnsi="宋体" w:cs="宋体"/>
          <w:color w:val="auto"/>
          <w:sz w:val="24"/>
          <w:highlight w:val="none"/>
        </w:rPr>
        <w:t>7.3.2.3在服务采购项目中，服务由中小企业承接，即提供服务的人员为中小企业依照《中华人民共和国劳动合同法》订立劳动合同的从业人员。</w:t>
      </w:r>
    </w:p>
    <w:p w14:paraId="248DD676">
      <w:pPr>
        <w:spacing w:line="360" w:lineRule="auto"/>
        <w:rPr>
          <w:rFonts w:ascii="宋体" w:hAnsi="宋体" w:cs="宋体"/>
          <w:color w:val="auto"/>
          <w:sz w:val="24"/>
          <w:highlight w:val="none"/>
        </w:rPr>
      </w:pPr>
      <w:r>
        <w:rPr>
          <w:rFonts w:hint="eastAsia" w:ascii="宋体" w:hAnsi="宋体" w:cs="宋体"/>
          <w:color w:val="auto"/>
          <w:sz w:val="24"/>
          <w:highlight w:val="none"/>
        </w:rPr>
        <w:t>在货物采购项目中，供应商提供的货物既有中小企业制造货物，也有大型企业制造货物的，不享受中小企业扶持政策。</w:t>
      </w:r>
    </w:p>
    <w:p w14:paraId="10DE9ED5">
      <w:pPr>
        <w:spacing w:line="360" w:lineRule="auto"/>
        <w:rPr>
          <w:rFonts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7539E2C1">
      <w:pPr>
        <w:spacing w:line="440" w:lineRule="exact"/>
        <w:rPr>
          <w:rFonts w:ascii="宋体" w:hAnsi="宋体" w:cs="宋体"/>
          <w:color w:val="auto"/>
          <w:sz w:val="24"/>
          <w:highlight w:val="none"/>
        </w:rPr>
      </w:pPr>
      <w:r>
        <w:rPr>
          <w:rFonts w:hint="eastAsia" w:ascii="宋体" w:hAnsi="宋体" w:cs="宋体"/>
          <w:color w:val="auto"/>
          <w:sz w:val="24"/>
          <w:highlight w:val="none"/>
        </w:rPr>
        <w:t>7.3.3符合《关于促进残疾人就业政府采购政策的通知》（财库〔2017〕141号）规定的条件并提供《残疾人福利性单位声明函》（附件1）的残疾人福利性单位视同小型、微型企业；</w:t>
      </w:r>
    </w:p>
    <w:p w14:paraId="3C996BC6">
      <w:pPr>
        <w:spacing w:line="440" w:lineRule="exact"/>
        <w:rPr>
          <w:rFonts w:ascii="宋体" w:hAnsi="宋体" w:cs="宋体"/>
          <w:color w:val="auto"/>
          <w:sz w:val="24"/>
          <w:highlight w:val="none"/>
        </w:rPr>
      </w:pPr>
      <w:r>
        <w:rPr>
          <w:rFonts w:hint="eastAsia" w:ascii="宋体" w:hAnsi="宋体" w:cs="宋体"/>
          <w:color w:val="auto"/>
          <w:sz w:val="24"/>
          <w:highlight w:val="none"/>
        </w:rPr>
        <w:t>7.3.4符合《关于政府采购支持监狱企业发展有关问题的通知》（财库[2014]68号）规定的监狱企业并提供由省级以上监狱管理局、戒毒管理局（含新疆生产建设兵团）出具的属于监狱企业证明文件的，视同为小型、微型企业。</w:t>
      </w:r>
    </w:p>
    <w:p w14:paraId="49343203">
      <w:pPr>
        <w:spacing w:line="440" w:lineRule="exact"/>
        <w:rPr>
          <w:rFonts w:ascii="宋体" w:hAnsi="宋体" w:cs="宋体"/>
          <w:color w:val="auto"/>
          <w:sz w:val="24"/>
          <w:highlight w:val="none"/>
        </w:rPr>
      </w:pPr>
      <w:r>
        <w:rPr>
          <w:rFonts w:hint="eastAsia" w:ascii="宋体" w:hAnsi="宋体" w:cs="宋体"/>
          <w:color w:val="auto"/>
          <w:sz w:val="24"/>
          <w:highlight w:val="none"/>
        </w:rPr>
        <w:t>7.3.5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6C234A7E">
      <w:pPr>
        <w:spacing w:line="440" w:lineRule="exact"/>
        <w:rPr>
          <w:rFonts w:ascii="宋体" w:hAnsi="宋体" w:cs="宋体"/>
          <w:color w:val="auto"/>
          <w:sz w:val="24"/>
          <w:highlight w:val="none"/>
        </w:rPr>
      </w:pPr>
      <w:r>
        <w:rPr>
          <w:rFonts w:hint="eastAsia" w:ascii="宋体" w:hAnsi="宋体" w:cs="宋体"/>
          <w:color w:val="auto"/>
          <w:sz w:val="24"/>
          <w:highlight w:val="none"/>
        </w:rPr>
        <w:t>7.3.6中小企业享受扶持政策获得政府采购合同的，小微企业不得将合同分包给大中型企业，中型企业不得将合同分包给大型企业。</w:t>
      </w:r>
    </w:p>
    <w:p w14:paraId="58EC6E3D">
      <w:pPr>
        <w:spacing w:line="440" w:lineRule="exact"/>
        <w:rPr>
          <w:rFonts w:ascii="宋体" w:hAnsi="宋体" w:cs="宋体"/>
          <w:color w:val="auto"/>
          <w:sz w:val="24"/>
          <w:highlight w:val="none"/>
        </w:rPr>
      </w:pPr>
      <w:r>
        <w:rPr>
          <w:rFonts w:hint="eastAsia" w:ascii="宋体" w:hAnsi="宋体" w:cs="宋体"/>
          <w:color w:val="auto"/>
          <w:sz w:val="24"/>
          <w:highlight w:val="none"/>
        </w:rPr>
        <w:t>7.4支持创新发展</w:t>
      </w:r>
    </w:p>
    <w:p w14:paraId="100BAC73">
      <w:pPr>
        <w:spacing w:line="440" w:lineRule="exact"/>
        <w:rPr>
          <w:rFonts w:ascii="宋体" w:hAnsi="宋体" w:cs="宋体"/>
          <w:color w:val="auto"/>
          <w:sz w:val="24"/>
          <w:highlight w:val="none"/>
        </w:rPr>
      </w:pPr>
      <w:r>
        <w:rPr>
          <w:rFonts w:hint="eastAsia" w:ascii="宋体" w:hAnsi="宋体" w:cs="宋体"/>
          <w:color w:val="auto"/>
          <w:sz w:val="24"/>
          <w:highlight w:val="none"/>
        </w:rPr>
        <w:t>7.4.1 采购人优先采购被认定为首台套产品和“制造精品”的自主创新产品。</w:t>
      </w:r>
    </w:p>
    <w:p w14:paraId="63E8FFF9">
      <w:pPr>
        <w:spacing w:line="440" w:lineRule="exact"/>
        <w:rPr>
          <w:rFonts w:ascii="宋体" w:hAnsi="宋体" w:cs="宋体"/>
          <w:color w:val="auto"/>
          <w:sz w:val="24"/>
          <w:highlight w:val="none"/>
        </w:rPr>
      </w:pPr>
      <w:r>
        <w:rPr>
          <w:rFonts w:hint="eastAsia" w:ascii="宋体" w:hAnsi="宋体" w:cs="宋体"/>
          <w:color w:val="auto"/>
          <w:sz w:val="24"/>
          <w:highlight w:val="none"/>
        </w:rPr>
        <w:t>7.4.2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55AE51AE">
      <w:pPr>
        <w:spacing w:line="440" w:lineRule="exact"/>
        <w:rPr>
          <w:rFonts w:ascii="宋体" w:hAnsi="宋体" w:cs="宋体"/>
          <w:color w:val="auto"/>
          <w:sz w:val="24"/>
          <w:highlight w:val="none"/>
        </w:rPr>
      </w:pPr>
      <w:r>
        <w:rPr>
          <w:rFonts w:hint="eastAsia" w:ascii="宋体" w:hAnsi="宋体" w:cs="宋体"/>
          <w:color w:val="auto"/>
          <w:sz w:val="24"/>
          <w:highlight w:val="none"/>
        </w:rPr>
        <w:t>7.5中小企业信用融资：为支持和促进中小企业发展，进一步发挥政府采购政策功能，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https://zfcg.czt.zj.gov.cn)的中小企业信用融资栏目了解相关信息。 供应商可以通过浙江政府采购网(https://zfcg. czt.zj. gov.cn/)首页的“浙江政采贷”模块进入申请，还可以通过政府采购云平台(https://www</w:t>
      </w:r>
      <w:r>
        <w:rPr>
          <w:rFonts w:ascii="宋体" w:hAnsi="宋体" w:cs="宋体"/>
          <w:color w:val="auto"/>
          <w:sz w:val="24"/>
          <w:highlight w:val="none"/>
        </w:rPr>
        <w:t>.</w:t>
      </w:r>
      <w:r>
        <w:rPr>
          <w:rFonts w:hint="eastAsia" w:ascii="宋体" w:hAnsi="宋体" w:cs="宋体"/>
          <w:color w:val="auto"/>
          <w:sz w:val="24"/>
          <w:highlight w:val="none"/>
        </w:rPr>
        <w:t>zcygov.cn/)首页的“金融服务”模块进入申请。</w:t>
      </w:r>
    </w:p>
    <w:p w14:paraId="48C27CEE">
      <w:pPr>
        <w:spacing w:line="360" w:lineRule="auto"/>
        <w:rPr>
          <w:rFonts w:ascii="宋体" w:hAnsi="宋体" w:cs="宋体"/>
          <w:b/>
          <w:color w:val="auto"/>
          <w:sz w:val="24"/>
          <w:highlight w:val="none"/>
        </w:rPr>
      </w:pPr>
      <w:r>
        <w:rPr>
          <w:rFonts w:hint="eastAsia" w:ascii="宋体" w:hAnsi="宋体" w:cs="宋体"/>
          <w:b/>
          <w:color w:val="auto"/>
          <w:sz w:val="24"/>
          <w:highlight w:val="none"/>
        </w:rPr>
        <w:t>（三）招标方式</w:t>
      </w:r>
    </w:p>
    <w:p w14:paraId="1FFE69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14:paraId="0262A129">
      <w:pPr>
        <w:spacing w:line="360" w:lineRule="auto"/>
        <w:rPr>
          <w:rFonts w:ascii="宋体" w:hAnsi="宋体" w:cs="宋体"/>
          <w:b/>
          <w:color w:val="auto"/>
          <w:sz w:val="24"/>
          <w:highlight w:val="none"/>
        </w:rPr>
      </w:pPr>
      <w:r>
        <w:rPr>
          <w:rFonts w:hint="eastAsia" w:ascii="宋体" w:hAnsi="宋体" w:cs="宋体"/>
          <w:b/>
          <w:color w:val="auto"/>
          <w:sz w:val="24"/>
          <w:highlight w:val="none"/>
        </w:rPr>
        <w:t>（四）投标委托</w:t>
      </w:r>
    </w:p>
    <w:p w14:paraId="79CEC6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如投标人代表不是法定代表人，须有法定代表人出具的授权委托书，委托代理人必须为投标人的在职正式职工（以投标人本单位缴纳社保花名册为准）。</w:t>
      </w:r>
    </w:p>
    <w:p w14:paraId="1F4FAD35">
      <w:pPr>
        <w:spacing w:line="360" w:lineRule="auto"/>
        <w:rPr>
          <w:rFonts w:ascii="宋体" w:hAnsi="宋体" w:cs="宋体"/>
          <w:b/>
          <w:color w:val="auto"/>
          <w:sz w:val="24"/>
          <w:highlight w:val="none"/>
        </w:rPr>
      </w:pPr>
      <w:r>
        <w:rPr>
          <w:rFonts w:hint="eastAsia" w:ascii="宋体" w:hAnsi="宋体" w:cs="宋体"/>
          <w:b/>
          <w:color w:val="auto"/>
          <w:sz w:val="24"/>
          <w:highlight w:val="none"/>
        </w:rPr>
        <w:t>▲（五）投标费用</w:t>
      </w:r>
    </w:p>
    <w:p w14:paraId="23A030F7">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1.不论投标结果如何，投标人均应自行承担所有与投标有关的全部费用（招标文件有相反规定除外）。</w:t>
      </w:r>
    </w:p>
    <w:p w14:paraId="343560FC">
      <w:pPr>
        <w:spacing w:line="360" w:lineRule="auto"/>
        <w:ind w:firstLine="482" w:firstLineChars="200"/>
        <w:rPr>
          <w:color w:val="auto"/>
          <w:highlight w:val="none"/>
        </w:rPr>
      </w:pPr>
      <w:r>
        <w:rPr>
          <w:rFonts w:hint="eastAsia" w:ascii="宋体" w:hAnsi="宋体" w:cs="宋体"/>
          <w:b/>
          <w:color w:val="auto"/>
          <w:sz w:val="24"/>
          <w:highlight w:val="none"/>
        </w:rPr>
        <w:t>2.东阳市鑫盛工程咨询有限公司</w:t>
      </w:r>
      <w:r>
        <w:rPr>
          <w:rFonts w:hint="eastAsia" w:ascii="宋体" w:hAnsi="宋体" w:cs="宋体"/>
          <w:b/>
          <w:color w:val="auto"/>
          <w:sz w:val="24"/>
          <w:highlight w:val="none"/>
          <w:lang w:val="en-US" w:eastAsia="zh-CN"/>
        </w:rPr>
        <w:t>按预算金额的1.5%</w:t>
      </w:r>
      <w:r>
        <w:rPr>
          <w:rFonts w:hint="eastAsia" w:ascii="宋体" w:hAnsi="宋体" w:cs="宋体"/>
          <w:b/>
          <w:color w:val="auto"/>
          <w:sz w:val="24"/>
          <w:highlight w:val="none"/>
        </w:rPr>
        <w:t>，向中标人收取中标服务费，在中标结果公示结束之日起3天内（领取中标通知书前）交纳。</w:t>
      </w:r>
    </w:p>
    <w:p w14:paraId="51AF172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中标服务费由中标人汇至以下账户：</w:t>
      </w:r>
    </w:p>
    <w:p w14:paraId="35CA411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账户名称：东阳市鑫盛工程咨询有限公司</w:t>
      </w:r>
    </w:p>
    <w:p w14:paraId="1BE78B04">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开户银行：兴业银行股份有限公司金华东阳支行</w:t>
      </w:r>
    </w:p>
    <w:p w14:paraId="7B955304">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账号：356090100100082625</w:t>
      </w:r>
    </w:p>
    <w:p w14:paraId="1AFC89D1">
      <w:pPr>
        <w:spacing w:line="360" w:lineRule="auto"/>
        <w:rPr>
          <w:rFonts w:ascii="宋体" w:hAnsi="宋体" w:cs="宋体"/>
          <w:color w:val="auto"/>
          <w:sz w:val="24"/>
          <w:highlight w:val="none"/>
        </w:rPr>
      </w:pPr>
      <w:r>
        <w:rPr>
          <w:rFonts w:hint="eastAsia" w:ascii="宋体" w:hAnsi="宋体" w:cs="宋体"/>
          <w:b/>
          <w:color w:val="auto"/>
          <w:sz w:val="24"/>
          <w:highlight w:val="none"/>
        </w:rPr>
        <w:t>（六）联合体投标</w:t>
      </w:r>
      <w:r>
        <w:rPr>
          <w:rFonts w:hint="eastAsia" w:ascii="宋体" w:hAnsi="宋体" w:cs="宋体"/>
          <w:b/>
          <w:color w:val="auto"/>
          <w:sz w:val="24"/>
          <w:highlight w:val="none"/>
        </w:rPr>
        <w:tab/>
      </w:r>
    </w:p>
    <w:p w14:paraId="3D7E81A6">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本项目（是）接受联合体投标。</w:t>
      </w:r>
    </w:p>
    <w:p w14:paraId="4C465904">
      <w:pPr>
        <w:spacing w:line="360" w:lineRule="auto"/>
        <w:rPr>
          <w:rFonts w:ascii="宋体" w:hAnsi="宋体" w:cs="宋体"/>
          <w:b/>
          <w:color w:val="auto"/>
          <w:kern w:val="0"/>
          <w:sz w:val="24"/>
          <w:highlight w:val="none"/>
        </w:rPr>
      </w:pPr>
      <w:r>
        <w:rPr>
          <w:rFonts w:hint="eastAsia" w:ascii="宋体" w:hAnsi="宋体" w:cs="宋体"/>
          <w:b/>
          <w:color w:val="auto"/>
          <w:sz w:val="24"/>
          <w:highlight w:val="none"/>
        </w:rPr>
        <w:t>（七）</w:t>
      </w:r>
      <w:r>
        <w:rPr>
          <w:rFonts w:hint="eastAsia" w:ascii="宋体" w:hAnsi="宋体" w:cs="宋体"/>
          <w:b/>
          <w:color w:val="auto"/>
          <w:kern w:val="0"/>
          <w:sz w:val="24"/>
          <w:highlight w:val="none"/>
        </w:rPr>
        <w:t>转包与分包</w:t>
      </w:r>
    </w:p>
    <w:p w14:paraId="1E9D7051">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1C4EC0BA">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2.本项目允许分包。</w:t>
      </w:r>
    </w:p>
    <w:p w14:paraId="670535F7">
      <w:pPr>
        <w:spacing w:line="360" w:lineRule="auto"/>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（八）特别说明：</w:t>
      </w:r>
    </w:p>
    <w:p w14:paraId="5CF20F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1.多个投标人参加投标，如其中两家或两家以上投标人的法定代表人为同一人或相互之间存在投资关系且达到控股的，应当按一个投标人认定。</w:t>
      </w:r>
    </w:p>
    <w:p w14:paraId="7E2F09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2.投标人投标所使用的资格、信誉、荣誉与企业认证必须为本法人所拥有。投标人投标所使用的采购项目实施人员必须为本法人员工（或必须为本法人或控股公司正式员工）。</w:t>
      </w:r>
    </w:p>
    <w:p w14:paraId="058FD7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14:paraId="38C9D5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按中标价双倍赔偿采购人，且民事赔偿并不免除违法投标人的行政与刑事责任。</w:t>
      </w:r>
    </w:p>
    <w:p w14:paraId="11CDC8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评标委员会认为预中标人的投标报价明显低于其他通过符合性审查投标人的报价，有可能影响产品质量或者不能诚信履约的，应当要求其在评标现场合理的时间内提供书面说明，必要时提交相关证明材料，预中标人不能证明其报价合理性的，评标委员会应当将其作为无效投标处理。</w:t>
      </w:r>
    </w:p>
    <w:p w14:paraId="043CA3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招标方不保证最低报价者为中标方。</w:t>
      </w:r>
    </w:p>
    <w:p w14:paraId="0FBC7B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.“政采云”平台运营机构，以及与该机构有直接控股或者管理关系可能影响采购公正性的任何单位和个人，不得在该平台进行的政府采购项目电子交易中投标、响应政府采购项目。</w:t>
      </w:r>
    </w:p>
    <w:p w14:paraId="77E49C7B">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（九）质疑和投诉</w:t>
      </w:r>
    </w:p>
    <w:p w14:paraId="00BF93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认为招标文件、招标过程或中标结果使自己的合法权益受到损害的，应当在知道或者应知其权益受到损害之日起七个工作日内，以书面形式向采购人、招标方提出质疑。投标人对招标方的质疑答复不满意或者招标方未在规定时间内作出答复的，可以在答复期满后十五个工作日内向同级采购监管部门投诉。</w:t>
      </w:r>
    </w:p>
    <w:p w14:paraId="26383D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6452EA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采购人、招标方应当按照《浙江省政府采购供应商质疑处理办法》、中华人民共和国财政部第94号令《政府采购质疑和投诉办法》进行受理与答复质疑。</w:t>
      </w:r>
    </w:p>
    <w:p w14:paraId="53AAABDE">
      <w:pPr>
        <w:pStyle w:val="3"/>
        <w:keepNext w:val="0"/>
        <w:keepLines w:val="0"/>
        <w:pageBreakBefore/>
        <w:spacing w:line="360" w:lineRule="auto"/>
        <w:jc w:val="center"/>
        <w:rPr>
          <w:rFonts w:ascii="宋体" w:hAnsi="宋体" w:eastAsia="宋体" w:cs="宋体"/>
          <w:color w:val="auto"/>
          <w:sz w:val="24"/>
          <w:szCs w:val="24"/>
          <w:highlight w:val="none"/>
        </w:rPr>
      </w:pPr>
      <w:bookmarkStart w:id="19" w:name="_Toc454196066"/>
      <w:bookmarkStart w:id="20" w:name="_Toc458697268"/>
      <w:bookmarkStart w:id="21" w:name="_Toc28481"/>
      <w:r>
        <w:rPr>
          <w:rFonts w:hint="eastAsia" w:ascii="宋体" w:hAnsi="宋体" w:eastAsia="宋体" w:cs="宋体"/>
          <w:color w:val="auto"/>
          <w:sz w:val="24"/>
          <w:szCs w:val="24"/>
          <w:highlight w:val="none"/>
        </w:rPr>
        <w:t>二、招标文件</w:t>
      </w:r>
      <w:bookmarkEnd w:id="19"/>
      <w:bookmarkEnd w:id="20"/>
      <w:bookmarkEnd w:id="21"/>
    </w:p>
    <w:p w14:paraId="0747B797">
      <w:pPr>
        <w:spacing w:line="360" w:lineRule="auto"/>
        <w:rPr>
          <w:rFonts w:ascii="宋体" w:hAnsi="宋体" w:cs="宋体"/>
          <w:b/>
          <w:color w:val="auto"/>
          <w:sz w:val="24"/>
          <w:highlight w:val="none"/>
        </w:rPr>
      </w:pPr>
      <w:r>
        <w:rPr>
          <w:rFonts w:hint="eastAsia" w:ascii="宋体" w:hAnsi="宋体" w:cs="宋体"/>
          <w:b/>
          <w:color w:val="auto"/>
          <w:sz w:val="24"/>
          <w:highlight w:val="none"/>
        </w:rPr>
        <w:t>（一）招标文件的构成。本招标文件由以下部分组成：</w:t>
      </w:r>
    </w:p>
    <w:p w14:paraId="66972318">
      <w:pPr>
        <w:spacing w:line="360" w:lineRule="auto"/>
        <w:rPr>
          <w:rFonts w:ascii="宋体" w:hAnsi="宋体" w:cs="宋体"/>
          <w:color w:val="auto"/>
          <w:sz w:val="24"/>
          <w:highlight w:val="none"/>
        </w:rPr>
      </w:pPr>
      <w:r>
        <w:rPr>
          <w:rFonts w:hint="eastAsia" w:ascii="宋体" w:hAnsi="宋体" w:cs="宋体"/>
          <w:color w:val="auto"/>
          <w:sz w:val="24"/>
          <w:highlight w:val="none"/>
        </w:rPr>
        <w:t>1.招标公告</w:t>
      </w:r>
    </w:p>
    <w:p w14:paraId="3173BDBA">
      <w:pPr>
        <w:spacing w:line="360" w:lineRule="auto"/>
        <w:rPr>
          <w:rFonts w:ascii="宋体" w:hAnsi="宋体" w:cs="宋体"/>
          <w:color w:val="auto"/>
          <w:sz w:val="24"/>
          <w:highlight w:val="none"/>
        </w:rPr>
      </w:pPr>
      <w:r>
        <w:rPr>
          <w:rFonts w:hint="eastAsia" w:ascii="宋体" w:hAnsi="宋体" w:cs="宋体"/>
          <w:color w:val="auto"/>
          <w:sz w:val="24"/>
          <w:highlight w:val="none"/>
        </w:rPr>
        <w:t>2.招标需求</w:t>
      </w:r>
    </w:p>
    <w:p w14:paraId="1CB6679F">
      <w:pPr>
        <w:spacing w:line="360" w:lineRule="auto"/>
        <w:rPr>
          <w:rFonts w:ascii="宋体" w:hAnsi="宋体" w:cs="宋体"/>
          <w:color w:val="auto"/>
          <w:sz w:val="24"/>
          <w:highlight w:val="none"/>
        </w:rPr>
      </w:pPr>
      <w:r>
        <w:rPr>
          <w:rFonts w:hint="eastAsia" w:ascii="宋体" w:hAnsi="宋体" w:cs="宋体"/>
          <w:color w:val="auto"/>
          <w:sz w:val="24"/>
          <w:highlight w:val="none"/>
        </w:rPr>
        <w:t>3.投标人须知</w:t>
      </w:r>
    </w:p>
    <w:p w14:paraId="22AB9C1B">
      <w:pPr>
        <w:spacing w:line="360" w:lineRule="auto"/>
        <w:rPr>
          <w:rFonts w:ascii="宋体" w:hAnsi="宋体" w:cs="宋体"/>
          <w:color w:val="auto"/>
          <w:sz w:val="24"/>
          <w:highlight w:val="none"/>
        </w:rPr>
      </w:pPr>
      <w:r>
        <w:rPr>
          <w:rFonts w:hint="eastAsia" w:ascii="宋体" w:hAnsi="宋体" w:cs="宋体"/>
          <w:color w:val="auto"/>
          <w:sz w:val="24"/>
          <w:highlight w:val="none"/>
        </w:rPr>
        <w:t>4.评标办法及标准</w:t>
      </w:r>
    </w:p>
    <w:p w14:paraId="4A28EBA7">
      <w:pPr>
        <w:spacing w:line="360" w:lineRule="auto"/>
        <w:rPr>
          <w:rFonts w:ascii="宋体" w:hAnsi="宋体" w:cs="宋体"/>
          <w:color w:val="auto"/>
          <w:sz w:val="24"/>
          <w:highlight w:val="none"/>
        </w:rPr>
      </w:pPr>
      <w:r>
        <w:rPr>
          <w:rFonts w:hint="eastAsia" w:ascii="宋体" w:hAnsi="宋体" w:cs="宋体"/>
          <w:color w:val="auto"/>
          <w:sz w:val="24"/>
          <w:highlight w:val="none"/>
        </w:rPr>
        <w:t>5.合同主要条款</w:t>
      </w:r>
    </w:p>
    <w:p w14:paraId="117ADEF2">
      <w:pPr>
        <w:spacing w:line="360" w:lineRule="auto"/>
        <w:rPr>
          <w:rFonts w:ascii="宋体" w:hAnsi="宋体" w:cs="宋体"/>
          <w:color w:val="auto"/>
          <w:sz w:val="24"/>
          <w:highlight w:val="none"/>
        </w:rPr>
      </w:pPr>
      <w:r>
        <w:rPr>
          <w:rFonts w:hint="eastAsia" w:ascii="宋体" w:hAnsi="宋体" w:cs="宋体"/>
          <w:color w:val="auto"/>
          <w:sz w:val="24"/>
          <w:highlight w:val="none"/>
        </w:rPr>
        <w:t>6.投标文件格式</w:t>
      </w:r>
    </w:p>
    <w:p w14:paraId="43F7FC0D">
      <w:pPr>
        <w:spacing w:line="360" w:lineRule="auto"/>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6048FB94">
      <w:pPr>
        <w:spacing w:line="360" w:lineRule="auto"/>
        <w:rPr>
          <w:rFonts w:ascii="宋体" w:hAnsi="宋体" w:cs="宋体"/>
          <w:b/>
          <w:color w:val="auto"/>
          <w:sz w:val="24"/>
          <w:highlight w:val="none"/>
        </w:rPr>
      </w:pPr>
      <w:r>
        <w:rPr>
          <w:rFonts w:hint="eastAsia" w:ascii="宋体" w:hAnsi="宋体" w:cs="宋体"/>
          <w:b/>
          <w:color w:val="auto"/>
          <w:sz w:val="24"/>
          <w:highlight w:val="none"/>
        </w:rPr>
        <w:t>（二）投标人的风险</w:t>
      </w:r>
    </w:p>
    <w:p w14:paraId="423D34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投标人没有按照招标文件要求提供全部资料，或者投标人没有对招标文件在各方面作出实质性响应是投标人的风险，并可能导致其投标被拒绝。</w:t>
      </w:r>
    </w:p>
    <w:p w14:paraId="631D4F6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（三）招标文件的澄清与修改 </w:t>
      </w:r>
    </w:p>
    <w:p w14:paraId="6E25EC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Cs/>
          <w:color w:val="auto"/>
          <w:sz w:val="24"/>
          <w:highlight w:val="none"/>
        </w:rPr>
        <w:t>投标人应认真阅读本招标文件，发现其中有误或有不合理要求的，投标人应当按照公开招标公告第三、七条规定以书面形式要求招标方澄清</w:t>
      </w:r>
      <w:r>
        <w:rPr>
          <w:rFonts w:hint="eastAsia" w:ascii="宋体" w:hAnsi="宋体" w:cs="宋体"/>
          <w:color w:val="auto"/>
          <w:sz w:val="24"/>
          <w:highlight w:val="none"/>
        </w:rPr>
        <w:t>。招标方对已发出的招标文件进行必要澄清、答复、修改或补充的，应当在招标文件要求提交投标文件截止时间15日前，在财政部门指定的政府采购信息发布媒体上发布更正公告，并以书面形式通知所有招标文件收受人。</w:t>
      </w:r>
    </w:p>
    <w:p w14:paraId="5202DE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2.招标方必须以书面形式答复投标人要求澄清的问题，并将不包含问题来源的答复书面通知所有购买招标文件的投标人；除书面答复以外的其他澄清方式及澄清内容均无效。</w:t>
      </w:r>
    </w:p>
    <w:p w14:paraId="4273BC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3.招标文件澄清、答复、修改、补充的内容为招标文件的组成部分。当招标文件与招标文件的答复、澄清、修改、补充通知就同一内容的表述不一致时，以最后发出的书面文件为准。</w:t>
      </w:r>
    </w:p>
    <w:p w14:paraId="3205DBA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4.招标文件的澄清、答复、修改或补充都应该通过本招标机构以法定形式发布，采购人非通过本机构，不得擅自澄清、答复、修改或补充招标文件。</w:t>
      </w:r>
    </w:p>
    <w:p w14:paraId="25E802F3">
      <w:pPr>
        <w:pStyle w:val="3"/>
        <w:keepNext w:val="0"/>
        <w:keepLines w:val="0"/>
        <w:pageBreakBefore/>
        <w:spacing w:line="360" w:lineRule="auto"/>
        <w:jc w:val="center"/>
        <w:rPr>
          <w:rFonts w:ascii="宋体" w:hAnsi="宋体" w:eastAsia="宋体" w:cs="宋体"/>
          <w:color w:val="auto"/>
          <w:sz w:val="24"/>
          <w:szCs w:val="24"/>
          <w:highlight w:val="none"/>
        </w:rPr>
      </w:pPr>
      <w:bookmarkStart w:id="22" w:name="_Toc458697269"/>
      <w:bookmarkStart w:id="23" w:name="_Toc454196067"/>
      <w:bookmarkStart w:id="24" w:name="_Toc19015"/>
      <w:r>
        <w:rPr>
          <w:rFonts w:hint="eastAsia" w:ascii="宋体" w:hAnsi="宋体" w:eastAsia="宋体" w:cs="宋体"/>
          <w:color w:val="auto"/>
          <w:sz w:val="24"/>
          <w:szCs w:val="24"/>
          <w:highlight w:val="none"/>
        </w:rPr>
        <w:t>三、投标文件的编制</w:t>
      </w:r>
      <w:bookmarkEnd w:id="22"/>
      <w:bookmarkEnd w:id="23"/>
      <w:bookmarkEnd w:id="24"/>
    </w:p>
    <w:p w14:paraId="3C8C2A12">
      <w:pPr>
        <w:spacing w:line="360" w:lineRule="auto"/>
        <w:rPr>
          <w:rFonts w:ascii="宋体" w:hAnsi="宋体" w:cs="宋体"/>
          <w:b/>
          <w:color w:val="auto"/>
          <w:sz w:val="24"/>
          <w:highlight w:val="none"/>
        </w:rPr>
      </w:pPr>
      <w:r>
        <w:rPr>
          <w:rFonts w:hint="eastAsia" w:ascii="宋体" w:hAnsi="宋体" w:cs="宋体"/>
          <w:b/>
          <w:color w:val="auto"/>
          <w:sz w:val="24"/>
          <w:highlight w:val="none"/>
        </w:rPr>
        <w:t>▲（一）投标文件的组成</w:t>
      </w:r>
    </w:p>
    <w:p w14:paraId="5412DEA4">
      <w:pPr>
        <w:spacing w:line="360" w:lineRule="auto"/>
        <w:rPr>
          <w:rFonts w:ascii="宋体" w:hAnsi="宋体" w:cs="宋体"/>
          <w:color w:val="auto"/>
          <w:sz w:val="24"/>
          <w:highlight w:val="none"/>
        </w:rPr>
      </w:pPr>
      <w:r>
        <w:rPr>
          <w:rFonts w:hint="eastAsia" w:ascii="宋体" w:hAnsi="宋体" w:cs="宋体"/>
          <w:color w:val="auto"/>
          <w:sz w:val="24"/>
          <w:highlight w:val="none"/>
        </w:rPr>
        <w:t>投标文件由资格审查文件、商务技术文件、报价文件三部分组成。</w:t>
      </w:r>
    </w:p>
    <w:p w14:paraId="740E79DD">
      <w:pPr>
        <w:spacing w:line="360" w:lineRule="auto"/>
        <w:rPr>
          <w:rFonts w:ascii="宋体" w:hAnsi="宋体" w:cs="宋体"/>
          <w:b/>
          <w:color w:val="auto"/>
          <w:sz w:val="24"/>
          <w:highlight w:val="none"/>
        </w:rPr>
      </w:pPr>
      <w:r>
        <w:rPr>
          <w:rFonts w:hint="eastAsia" w:ascii="宋体" w:hAnsi="宋体" w:cs="宋体"/>
          <w:b/>
          <w:color w:val="auto"/>
          <w:sz w:val="24"/>
          <w:highlight w:val="none"/>
        </w:rPr>
        <w:t>1.资格审查文件：</w:t>
      </w:r>
    </w:p>
    <w:p w14:paraId="56052BA4">
      <w:pPr>
        <w:spacing w:line="360" w:lineRule="auto"/>
        <w:rPr>
          <w:rFonts w:ascii="宋体" w:hAnsi="宋体" w:cs="宋体"/>
          <w:color w:val="auto"/>
          <w:sz w:val="24"/>
          <w:highlight w:val="none"/>
        </w:rPr>
      </w:pPr>
      <w:r>
        <w:rPr>
          <w:rFonts w:hint="eastAsia" w:ascii="宋体" w:hAnsi="宋体" w:cs="宋体"/>
          <w:color w:val="auto"/>
          <w:sz w:val="24"/>
          <w:highlight w:val="none"/>
        </w:rPr>
        <w:t>（1）具有独立承担民事责任的能力：投标人须在投标文件中出具符合以下情况的证明材料复印件（五选一）：</w:t>
      </w:r>
    </w:p>
    <w:p w14:paraId="26DD9026">
      <w:pPr>
        <w:spacing w:line="360" w:lineRule="auto"/>
        <w:rPr>
          <w:rFonts w:ascii="宋体" w:hAnsi="宋体" w:cs="宋体"/>
          <w:color w:val="auto"/>
          <w:sz w:val="24"/>
          <w:highlight w:val="none"/>
        </w:rPr>
      </w:pPr>
      <w:r>
        <w:rPr>
          <w:rFonts w:hint="eastAsia" w:ascii="宋体" w:hAnsi="宋体" w:cs="宋体"/>
          <w:color w:val="auto"/>
          <w:sz w:val="24"/>
          <w:highlight w:val="none"/>
        </w:rPr>
        <w:t>①如投标人是企业（包括合伙企业），提供在工商部门注册的有效“企业法人营业执照”或“营业执照”；</w:t>
      </w:r>
    </w:p>
    <w:p w14:paraId="01AB4687">
      <w:pPr>
        <w:spacing w:line="360" w:lineRule="auto"/>
        <w:rPr>
          <w:rFonts w:ascii="宋体" w:hAnsi="宋体" w:cs="宋体"/>
          <w:color w:val="auto"/>
          <w:sz w:val="24"/>
          <w:highlight w:val="none"/>
        </w:rPr>
      </w:pPr>
      <w:r>
        <w:rPr>
          <w:rFonts w:hint="eastAsia" w:ascii="宋体" w:hAnsi="宋体" w:cs="宋体"/>
          <w:color w:val="auto"/>
          <w:sz w:val="24"/>
          <w:highlight w:val="none"/>
        </w:rPr>
        <w:t>②如投标人是事业单位，提供有效的“事业单位法人证书”；</w:t>
      </w:r>
    </w:p>
    <w:p w14:paraId="002ECC20">
      <w:pPr>
        <w:spacing w:line="360" w:lineRule="auto"/>
        <w:rPr>
          <w:rFonts w:ascii="宋体" w:hAnsi="宋体" w:cs="宋体"/>
          <w:color w:val="auto"/>
          <w:sz w:val="24"/>
          <w:highlight w:val="none"/>
        </w:rPr>
      </w:pPr>
      <w:r>
        <w:rPr>
          <w:rFonts w:hint="eastAsia" w:ascii="宋体" w:hAnsi="宋体" w:cs="宋体"/>
          <w:color w:val="auto"/>
          <w:sz w:val="24"/>
          <w:highlight w:val="none"/>
        </w:rPr>
        <w:t>③如投标人是非企业专业服务机构的，提供执业许可证等证明文件；</w:t>
      </w:r>
    </w:p>
    <w:p w14:paraId="05196C09">
      <w:pPr>
        <w:spacing w:line="360" w:lineRule="auto"/>
        <w:rPr>
          <w:rFonts w:ascii="宋体" w:hAnsi="宋体" w:cs="宋体"/>
          <w:color w:val="auto"/>
          <w:sz w:val="24"/>
          <w:highlight w:val="none"/>
        </w:rPr>
      </w:pPr>
      <w:r>
        <w:rPr>
          <w:rFonts w:hint="eastAsia" w:ascii="宋体" w:hAnsi="宋体" w:cs="宋体"/>
          <w:color w:val="auto"/>
          <w:sz w:val="24"/>
          <w:highlight w:val="none"/>
        </w:rPr>
        <w:t>④如投标人是个体工商户，提供有效的“个体工商户营业执照”；</w:t>
      </w:r>
    </w:p>
    <w:p w14:paraId="02CBBE30">
      <w:pPr>
        <w:spacing w:line="360" w:lineRule="auto"/>
        <w:rPr>
          <w:rFonts w:ascii="宋体" w:hAnsi="宋体" w:cs="宋体"/>
          <w:color w:val="auto"/>
          <w:sz w:val="24"/>
          <w:highlight w:val="none"/>
        </w:rPr>
      </w:pPr>
      <w:r>
        <w:rPr>
          <w:rFonts w:hint="eastAsia" w:ascii="宋体" w:hAnsi="宋体" w:cs="宋体"/>
          <w:color w:val="auto"/>
          <w:sz w:val="24"/>
          <w:highlight w:val="none"/>
        </w:rPr>
        <w:t>⑤如投标人是自然人，提供有效的自然人身份证明（居民身份证正反面或公安机关出具的临时居民身份证正反面或港澳台胞证或护照）。</w:t>
      </w:r>
    </w:p>
    <w:p w14:paraId="7C14F575">
      <w:pPr>
        <w:spacing w:line="360" w:lineRule="auto"/>
        <w:rPr>
          <w:rFonts w:ascii="宋体" w:hAnsi="宋体" w:cs="宋体"/>
          <w:color w:val="auto"/>
          <w:sz w:val="24"/>
          <w:highlight w:val="none"/>
        </w:rPr>
      </w:pPr>
      <w:r>
        <w:rPr>
          <w:rFonts w:hint="eastAsia" w:ascii="宋体" w:hAnsi="宋体" w:cs="宋体"/>
          <w:color w:val="auto"/>
          <w:sz w:val="24"/>
          <w:highlight w:val="none"/>
        </w:rPr>
        <w:t>（2）法定代表人身份证复印件或法定代表人授权委托书(格式见附件)；</w:t>
      </w:r>
    </w:p>
    <w:p w14:paraId="49B6092A">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投标人具有</w:t>
      </w:r>
      <w:r>
        <w:rPr>
          <w:rFonts w:hint="eastAsia" w:ascii="宋体" w:hAnsi="宋体" w:cs="宋体"/>
          <w:strike w:val="0"/>
          <w:dstrike w:val="0"/>
          <w:color w:val="auto"/>
          <w:sz w:val="24"/>
          <w:highlight w:val="none"/>
        </w:rPr>
        <w:t>通过卫生行政部门批准</w:t>
      </w:r>
      <w:r>
        <w:rPr>
          <w:rFonts w:hint="eastAsia" w:ascii="宋体" w:hAnsi="宋体" w:cs="宋体"/>
          <w:strike w:val="0"/>
          <w:dstrike w:val="0"/>
          <w:color w:val="auto"/>
          <w:sz w:val="24"/>
          <w:highlight w:val="none"/>
          <w:lang w:val="en-US" w:eastAsia="zh-CN"/>
        </w:rPr>
        <w:t>的</w:t>
      </w:r>
      <w:r>
        <w:rPr>
          <w:rFonts w:hint="eastAsia" w:ascii="宋体" w:hAnsi="宋体" w:cs="宋体"/>
          <w:strike w:val="0"/>
          <w:color w:val="auto"/>
          <w:sz w:val="24"/>
          <w:highlight w:val="none"/>
        </w:rPr>
        <w:t>《</w:t>
      </w:r>
      <w:r>
        <w:rPr>
          <w:rFonts w:hint="eastAsia" w:ascii="宋体" w:hAnsi="宋体" w:cs="宋体"/>
          <w:color w:val="auto"/>
          <w:sz w:val="24"/>
          <w:highlight w:val="none"/>
        </w:rPr>
        <w:t>医疗机构执业许可证》。</w:t>
      </w:r>
    </w:p>
    <w:p w14:paraId="315B4FE2">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）符合参加政府采购活动应当具备的一般条件的承诺函（格式见附件）；</w:t>
      </w:r>
    </w:p>
    <w:p w14:paraId="7402A187">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67182AF">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）浙江政府采购网注册正式供应商的网络截图或承诺中标后30天内注册为浙江政府采购网正式供应商（须提供承诺书）；</w:t>
      </w:r>
    </w:p>
    <w:p w14:paraId="378DE91F">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）东阳市政府采购代理机构社会评价表（格式见附件）；</w:t>
      </w:r>
    </w:p>
    <w:p w14:paraId="17023D5A">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）投标声明书 (格式见附件) ；</w:t>
      </w:r>
    </w:p>
    <w:p w14:paraId="6BAD7410">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）政府采购活动现场确认声明书 (格式见附件) ；</w:t>
      </w:r>
    </w:p>
    <w:p w14:paraId="3282ABB8">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）联合体协议书（联合体投标时提供）/分包意向协议（分包投标时提供）（格式见附件）；</w:t>
      </w:r>
    </w:p>
    <w:p w14:paraId="3DE29B57">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）投标人情况介绍；</w:t>
      </w:r>
    </w:p>
    <w:p w14:paraId="56001E71">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）投标人认为有必要提供的其它文件。</w:t>
      </w:r>
    </w:p>
    <w:p w14:paraId="50156753">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2.商务技术文件</w:t>
      </w:r>
    </w:p>
    <w:p w14:paraId="3B56811A">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（1）投标人资信商务、技术自评得分表（格式见附件）；</w:t>
      </w:r>
    </w:p>
    <w:p w14:paraId="3859942E">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（2）商务响应表（格式见附件）；</w:t>
      </w:r>
    </w:p>
    <w:p w14:paraId="4B83391F">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（3）技术响应表（格式见附件）；</w:t>
      </w:r>
    </w:p>
    <w:p w14:paraId="6D847870">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项目实施方案</w:t>
      </w:r>
      <w:r>
        <w:rPr>
          <w:rFonts w:hint="eastAsia" w:ascii="宋体" w:hAnsi="宋体" w:cs="宋体"/>
          <w:color w:val="auto"/>
          <w:sz w:val="24"/>
          <w:highlight w:val="none"/>
        </w:rPr>
        <w:t>；</w:t>
      </w:r>
    </w:p>
    <w:p w14:paraId="02E3E929">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试剂耗材</w:t>
      </w:r>
      <w:r>
        <w:rPr>
          <w:rFonts w:hint="eastAsia" w:ascii="宋体" w:hAnsi="宋体" w:cs="宋体"/>
          <w:color w:val="auto"/>
          <w:sz w:val="24"/>
          <w:highlight w:val="none"/>
        </w:rPr>
        <w:t>；</w:t>
      </w:r>
    </w:p>
    <w:p w14:paraId="3940492C">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主要仪器设备；</w:t>
      </w:r>
    </w:p>
    <w:p w14:paraId="00482C2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（7）数字扫描切片</w:t>
      </w:r>
    </w:p>
    <w:p w14:paraId="47CABECB">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物流运输方案</w:t>
      </w:r>
      <w:r>
        <w:rPr>
          <w:rFonts w:hint="eastAsia" w:ascii="宋体" w:hAnsi="宋体" w:cs="宋体"/>
          <w:color w:val="auto"/>
          <w:sz w:val="24"/>
          <w:highlight w:val="none"/>
        </w:rPr>
        <w:t>；</w:t>
      </w:r>
    </w:p>
    <w:p w14:paraId="3AAFEDB1">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）报告及时性</w:t>
      </w:r>
    </w:p>
    <w:p w14:paraId="2A3F9FFE">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（10）人员配置；</w:t>
      </w:r>
    </w:p>
    <w:p w14:paraId="6063182D">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（11）培训方案；</w:t>
      </w:r>
    </w:p>
    <w:p w14:paraId="4320872E">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（12）应急预案；</w:t>
      </w:r>
    </w:p>
    <w:p w14:paraId="441BD253">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（13）企业证书及荣誉；</w:t>
      </w:r>
    </w:p>
    <w:p w14:paraId="41B22B8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（14）认可项目数；</w:t>
      </w:r>
    </w:p>
    <w:p w14:paraId="30A854D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r>
        <w:rPr>
          <w:rFonts w:hint="default" w:ascii="宋体" w:hAnsi="宋体" w:eastAsia="宋体" w:cs="宋体"/>
          <w:color w:val="auto"/>
          <w:sz w:val="24"/>
          <w:highlight w:val="none"/>
          <w:lang w:val="en-US" w:eastAsia="zh-CN"/>
        </w:rPr>
        <w:t>冷链物流服务体系</w:t>
      </w:r>
      <w:r>
        <w:rPr>
          <w:rFonts w:hint="eastAsia" w:ascii="宋体" w:hAnsi="宋体" w:cs="宋体"/>
          <w:color w:val="auto"/>
          <w:sz w:val="24"/>
          <w:highlight w:val="none"/>
          <w:lang w:val="en-US" w:eastAsia="zh-CN"/>
        </w:rPr>
        <w:t>；</w:t>
      </w:r>
    </w:p>
    <w:p w14:paraId="08B4197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r>
        <w:rPr>
          <w:rFonts w:hint="default" w:ascii="宋体" w:hAnsi="宋体" w:eastAsia="宋体" w:cs="宋体"/>
          <w:color w:val="auto"/>
          <w:sz w:val="24"/>
          <w:highlight w:val="none"/>
          <w:lang w:val="en-US" w:eastAsia="zh-CN"/>
        </w:rPr>
        <w:t>信息系统安全等级保护</w:t>
      </w:r>
      <w:r>
        <w:rPr>
          <w:rFonts w:hint="eastAsia" w:ascii="宋体" w:hAnsi="宋体" w:cs="宋体"/>
          <w:color w:val="auto"/>
          <w:sz w:val="24"/>
          <w:highlight w:val="none"/>
          <w:lang w:val="en-US" w:eastAsia="zh-CN"/>
        </w:rPr>
        <w:t>；</w:t>
      </w:r>
    </w:p>
    <w:p w14:paraId="6193642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r>
        <w:rPr>
          <w:rFonts w:hint="default" w:ascii="宋体" w:hAnsi="宋体" w:eastAsia="宋体" w:cs="宋体"/>
          <w:color w:val="auto"/>
          <w:sz w:val="24"/>
          <w:highlight w:val="none"/>
          <w:lang w:val="en-US" w:eastAsia="zh-CN"/>
        </w:rPr>
        <w:t>同类业绩</w:t>
      </w:r>
      <w:r>
        <w:rPr>
          <w:rFonts w:hint="eastAsia" w:ascii="宋体" w:hAnsi="宋体" w:cs="宋体"/>
          <w:color w:val="auto"/>
          <w:sz w:val="24"/>
          <w:highlight w:val="none"/>
        </w:rPr>
        <w:t>（格式见附件）</w:t>
      </w:r>
      <w:r>
        <w:rPr>
          <w:rFonts w:hint="eastAsia" w:ascii="宋体" w:hAnsi="宋体" w:cs="宋体"/>
          <w:color w:val="auto"/>
          <w:sz w:val="24"/>
          <w:highlight w:val="none"/>
          <w:lang w:val="en-US" w:eastAsia="zh-CN"/>
        </w:rPr>
        <w:t>；</w:t>
      </w:r>
    </w:p>
    <w:p w14:paraId="4CF29D5D">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（18）后续</w:t>
      </w:r>
      <w:r>
        <w:rPr>
          <w:rFonts w:hint="default" w:ascii="宋体" w:hAnsi="宋体" w:eastAsia="宋体" w:cs="宋体"/>
          <w:color w:val="auto"/>
          <w:sz w:val="24"/>
          <w:highlight w:val="none"/>
          <w:lang w:val="en-US" w:eastAsia="zh-CN"/>
        </w:rPr>
        <w:t>服务承诺</w:t>
      </w:r>
      <w:r>
        <w:rPr>
          <w:rFonts w:hint="eastAsia" w:ascii="宋体" w:hAnsi="宋体" w:cs="宋体"/>
          <w:color w:val="auto"/>
          <w:sz w:val="24"/>
          <w:highlight w:val="none"/>
          <w:lang w:val="en-US" w:eastAsia="zh-CN"/>
        </w:rPr>
        <w:t>；</w:t>
      </w:r>
    </w:p>
    <w:p w14:paraId="4D0E6056">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19</w:t>
      </w:r>
      <w:r>
        <w:rPr>
          <w:rFonts w:hint="eastAsia" w:ascii="宋体" w:hAnsi="宋体" w:cs="宋体"/>
          <w:color w:val="auto"/>
          <w:sz w:val="24"/>
          <w:highlight w:val="none"/>
        </w:rPr>
        <w:t>）服务费承诺书（格式见附件）；</w:t>
      </w:r>
    </w:p>
    <w:p w14:paraId="0DB78490">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）投标人需要说明的其他文件和说明。</w:t>
      </w:r>
    </w:p>
    <w:p w14:paraId="044649F3">
      <w:pPr>
        <w:numPr>
          <w:ilvl w:val="0"/>
          <w:numId w:val="5"/>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报价文件</w:t>
      </w:r>
    </w:p>
    <w:p w14:paraId="179DBAE8">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（1）投标函（格式见附件）；</w:t>
      </w:r>
    </w:p>
    <w:p w14:paraId="7F4C45E3">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（2）中小企业声明函（格式见附件）；</w:t>
      </w:r>
    </w:p>
    <w:p w14:paraId="3CED8BAF">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（3）监狱企业证明文件；</w:t>
      </w:r>
    </w:p>
    <w:p w14:paraId="4398F8AD">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（4）残疾人福利性单位声明函（格式见附件）；</w:t>
      </w:r>
    </w:p>
    <w:p w14:paraId="4F9C320F">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（5）开标一览表（格式见附件）； </w:t>
      </w:r>
    </w:p>
    <w:p w14:paraId="122AD316">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（6）投标人针对报价需要说明的其他文件和说明（格式自拟）</w:t>
      </w:r>
      <w:r>
        <w:rPr>
          <w:rFonts w:hint="default" w:ascii="宋体" w:hAnsi="宋体" w:cs="宋体"/>
          <w:color w:val="auto"/>
          <w:sz w:val="24"/>
          <w:highlight w:val="none"/>
          <w:lang w:val="en-US" w:eastAsia="zh-CN"/>
        </w:rPr>
        <w:t>；</w:t>
      </w:r>
    </w:p>
    <w:p w14:paraId="112BD98E">
      <w:pPr>
        <w:spacing w:line="360" w:lineRule="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（7）联合体协议书/分包意向协议；（联合体投标/分包时提供，格式见附件）。</w:t>
      </w:r>
    </w:p>
    <w:p w14:paraId="77E42C9C">
      <w:pPr>
        <w:spacing w:line="360" w:lineRule="auto"/>
        <w:rPr>
          <w:rFonts w:ascii="宋体" w:hAnsi="宋体" w:cs="宋体"/>
          <w:b/>
          <w:color w:val="auto"/>
          <w:sz w:val="24"/>
          <w:highlight w:val="none"/>
        </w:rPr>
      </w:pPr>
      <w:r>
        <w:rPr>
          <w:rFonts w:hint="eastAsia" w:ascii="宋体" w:hAnsi="宋体" w:cs="宋体"/>
          <w:b/>
          <w:color w:val="auto"/>
          <w:sz w:val="24"/>
          <w:highlight w:val="none"/>
        </w:rPr>
        <w:t>▲（二）投标文件的语言及计量</w:t>
      </w:r>
    </w:p>
    <w:p w14:paraId="724E97D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53B6B5F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2.投标计量单位，应采用中华人民共和国法定计量单位（货币单位：人民币元），否则视同未响应。</w:t>
      </w:r>
    </w:p>
    <w:p w14:paraId="517BCBF3">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▲（三）投标报价</w:t>
      </w:r>
    </w:p>
    <w:p w14:paraId="46D0D2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67F17E7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w:t>
      </w:r>
      <w:r>
        <w:rPr>
          <w:rFonts w:hint="eastAsia" w:ascii="宋体" w:hAnsi="宋体" w:cs="宋体"/>
          <w:color w:val="auto"/>
          <w:sz w:val="24"/>
          <w:highlight w:val="none"/>
          <w:lang w:val="en-US" w:eastAsia="zh-CN"/>
        </w:rPr>
        <w:t>折扣</w:t>
      </w:r>
      <w:r>
        <w:rPr>
          <w:rFonts w:hint="eastAsia" w:ascii="宋体" w:hAnsi="宋体" w:cs="宋体"/>
          <w:color w:val="auto"/>
          <w:sz w:val="24"/>
          <w:highlight w:val="none"/>
        </w:rPr>
        <w:t>报价是履行合同的最终价格，应包括</w:t>
      </w:r>
      <w:r>
        <w:rPr>
          <w:rFonts w:hint="eastAsia" w:eastAsia="宋体" w:cs="Times New Roman"/>
          <w:color w:val="auto"/>
          <w:sz w:val="24"/>
          <w:highlight w:val="none"/>
          <w:lang w:val="en-US" w:eastAsia="zh-CN"/>
        </w:rPr>
        <w:t>运输服务、配套车辆设备、配备服务人员、设备维护保养、微生物消毒、外送标本检验、存储耗材、</w:t>
      </w:r>
      <w:r>
        <w:rPr>
          <w:rFonts w:hint="default" w:eastAsia="宋体" w:cs="Times New Roman"/>
          <w:color w:val="auto"/>
          <w:sz w:val="24"/>
          <w:highlight w:val="none"/>
          <w:lang w:val="en-US" w:eastAsia="zh-CN"/>
        </w:rPr>
        <w:t>运输费、人工费、质量监控信息费、外送</w:t>
      </w:r>
      <w:r>
        <w:rPr>
          <w:rFonts w:hint="eastAsia" w:eastAsia="宋体" w:cs="Times New Roman"/>
          <w:color w:val="auto"/>
          <w:sz w:val="24"/>
          <w:highlight w:val="none"/>
          <w:lang w:val="en-US" w:eastAsia="zh-CN"/>
        </w:rPr>
        <w:t>样</w:t>
      </w:r>
      <w:r>
        <w:rPr>
          <w:rFonts w:hint="default" w:eastAsia="宋体" w:cs="Times New Roman"/>
          <w:color w:val="auto"/>
          <w:sz w:val="24"/>
          <w:highlight w:val="none"/>
          <w:lang w:val="en-US" w:eastAsia="zh-CN"/>
        </w:rPr>
        <w:t>本检测成本费、仓储费、保险费、培训、</w:t>
      </w:r>
      <w:r>
        <w:rPr>
          <w:rFonts w:hint="eastAsia" w:eastAsia="宋体" w:cs="Times New Roman"/>
          <w:color w:val="auto"/>
          <w:sz w:val="24"/>
          <w:highlight w:val="none"/>
          <w:lang w:val="en-US" w:eastAsia="zh-CN"/>
        </w:rPr>
        <w:t>工资、水电费、设备折旧费</w:t>
      </w:r>
      <w:r>
        <w:rPr>
          <w:rFonts w:hint="default" w:eastAsia="宋体" w:cs="Times New Roman"/>
          <w:color w:val="auto"/>
          <w:sz w:val="24"/>
          <w:highlight w:val="none"/>
          <w:lang w:val="en-US" w:eastAsia="zh-CN"/>
        </w:rPr>
        <w:t>售后服务、利润、完</w:t>
      </w:r>
      <w:r>
        <w:rPr>
          <w:rFonts w:hint="default" w:ascii="Times New Roman" w:hAnsi="Times New Roman" w:eastAsia="宋体" w:cs="Times New Roman"/>
          <w:color w:val="auto"/>
          <w:sz w:val="24"/>
          <w:highlight w:val="none"/>
        </w:rPr>
        <w:t>成本项目的其它费用和政策性文件规定及合同包含的所有风险、责任</w:t>
      </w:r>
      <w:r>
        <w:rPr>
          <w:rFonts w:hint="eastAsia" w:ascii="宋体" w:hAnsi="宋体" w:cs="宋体"/>
          <w:color w:val="auto"/>
          <w:sz w:val="24"/>
          <w:highlight w:val="none"/>
        </w:rPr>
        <w:t>等本项目相关的一切费用和税金。投标人投标</w:t>
      </w:r>
      <w:r>
        <w:rPr>
          <w:rFonts w:hint="eastAsia" w:ascii="宋体" w:hAnsi="宋体" w:cs="宋体"/>
          <w:color w:val="auto"/>
          <w:sz w:val="24"/>
          <w:highlight w:val="none"/>
          <w:lang w:val="en-US" w:eastAsia="zh-CN"/>
        </w:rPr>
        <w:t>折扣</w:t>
      </w:r>
      <w:r>
        <w:rPr>
          <w:rFonts w:hint="eastAsia" w:ascii="宋体" w:hAnsi="宋体" w:cs="宋体"/>
          <w:color w:val="auto"/>
          <w:sz w:val="24"/>
          <w:highlight w:val="none"/>
        </w:rPr>
        <w:t>报价为投标人所能承受的整个项目的一次性最终最低报价，如有漏项，视同已包含在本项目投标</w:t>
      </w:r>
      <w:r>
        <w:rPr>
          <w:rFonts w:hint="eastAsia" w:ascii="宋体" w:hAnsi="宋体" w:cs="宋体"/>
          <w:color w:val="auto"/>
          <w:sz w:val="24"/>
          <w:highlight w:val="none"/>
          <w:lang w:val="en-US" w:eastAsia="zh-CN"/>
        </w:rPr>
        <w:t>折扣报价</w:t>
      </w:r>
      <w:r>
        <w:rPr>
          <w:rFonts w:hint="eastAsia" w:ascii="宋体" w:hAnsi="宋体" w:cs="宋体"/>
          <w:color w:val="auto"/>
          <w:sz w:val="24"/>
          <w:highlight w:val="none"/>
        </w:rPr>
        <w:t>中，</w:t>
      </w:r>
      <w:r>
        <w:rPr>
          <w:rFonts w:hint="eastAsia" w:ascii="宋体" w:hAnsi="宋体" w:cs="宋体"/>
          <w:color w:val="auto"/>
          <w:sz w:val="24"/>
          <w:highlight w:val="none"/>
          <w:lang w:val="en-US" w:eastAsia="zh-CN"/>
        </w:rPr>
        <w:t>合同折扣</w:t>
      </w:r>
      <w:r>
        <w:rPr>
          <w:rFonts w:hint="eastAsia" w:ascii="宋体" w:hAnsi="宋体" w:cs="宋体"/>
          <w:color w:val="auto"/>
          <w:sz w:val="24"/>
          <w:highlight w:val="none"/>
          <w:lang w:eastAsia="zh-CN"/>
        </w:rPr>
        <w:t>不作调整</w:t>
      </w:r>
      <w:r>
        <w:rPr>
          <w:rFonts w:hint="eastAsia" w:ascii="宋体" w:hAnsi="宋体" w:cs="宋体"/>
          <w:color w:val="auto"/>
          <w:sz w:val="24"/>
          <w:highlight w:val="none"/>
        </w:rPr>
        <w:t>。</w:t>
      </w:r>
    </w:p>
    <w:p w14:paraId="040A9D12">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（四）投标文件的有效期</w:t>
      </w:r>
    </w:p>
    <w:p w14:paraId="4C9B8B6A">
      <w:pPr>
        <w:spacing w:line="360" w:lineRule="auto"/>
        <w:rPr>
          <w:rFonts w:ascii="宋体" w:hAnsi="宋体" w:cs="宋体"/>
          <w:color w:val="auto"/>
          <w:sz w:val="24"/>
          <w:highlight w:val="none"/>
        </w:rPr>
      </w:pPr>
      <w:bookmarkStart w:id="25" w:name="_Toc450548873"/>
      <w:bookmarkStart w:id="26" w:name="_Toc405368930"/>
      <w:r>
        <w:rPr>
          <w:rFonts w:hint="eastAsia" w:ascii="宋体" w:hAnsi="宋体" w:cs="宋体"/>
          <w:color w:val="auto"/>
          <w:sz w:val="24"/>
          <w:highlight w:val="none"/>
        </w:rPr>
        <w:t>▲1.自投标截止日起</w:t>
      </w:r>
      <w:r>
        <w:rPr>
          <w:rFonts w:hint="eastAsia" w:ascii="宋体" w:hAnsi="宋体" w:cs="宋体"/>
          <w:color w:val="auto"/>
          <w:sz w:val="24"/>
          <w:highlight w:val="none"/>
          <w:u w:val="single"/>
        </w:rPr>
        <w:t>60</w:t>
      </w:r>
      <w:r>
        <w:rPr>
          <w:rFonts w:hint="eastAsia" w:ascii="宋体" w:hAnsi="宋体" w:cs="宋体"/>
          <w:color w:val="auto"/>
          <w:sz w:val="24"/>
          <w:highlight w:val="none"/>
        </w:rPr>
        <w:t>天投标文件应保持有效。有效期不足的投标文件将被拒绝。</w:t>
      </w:r>
    </w:p>
    <w:p w14:paraId="5A2934EF">
      <w:pPr>
        <w:spacing w:line="360" w:lineRule="auto"/>
        <w:rPr>
          <w:rFonts w:ascii="宋体" w:hAnsi="宋体" w:cs="宋体"/>
          <w:color w:val="auto"/>
          <w:sz w:val="24"/>
          <w:highlight w:val="none"/>
        </w:rPr>
      </w:pPr>
      <w:r>
        <w:rPr>
          <w:rFonts w:hint="eastAsia" w:ascii="宋体" w:hAnsi="宋体" w:cs="宋体"/>
          <w:color w:val="auto"/>
          <w:sz w:val="24"/>
          <w:highlight w:val="none"/>
        </w:rPr>
        <w:t>2.在特殊情况下，招标人可与投标人协商延长投标书的有效期，这种要求和答复均以书面形式进行。</w:t>
      </w:r>
    </w:p>
    <w:p w14:paraId="72F4AD76">
      <w:pPr>
        <w:spacing w:line="360" w:lineRule="auto"/>
        <w:rPr>
          <w:rFonts w:ascii="宋体" w:hAnsi="宋体" w:cs="宋体"/>
          <w:color w:val="auto"/>
          <w:sz w:val="24"/>
          <w:highlight w:val="none"/>
        </w:rPr>
      </w:pPr>
      <w:bookmarkStart w:id="27" w:name="_Toc407182105"/>
      <w:r>
        <w:rPr>
          <w:rFonts w:hint="eastAsia" w:ascii="宋体" w:hAnsi="宋体" w:cs="宋体"/>
          <w:color w:val="auto"/>
          <w:sz w:val="24"/>
          <w:highlight w:val="none"/>
        </w:rPr>
        <w:t>3.投标人可拒绝接受延期要求，若同意延长有效期的投标人，则不能修改投标文件。</w:t>
      </w:r>
      <w:bookmarkEnd w:id="27"/>
      <w:r>
        <w:rPr>
          <w:rFonts w:hint="eastAsia" w:ascii="宋体" w:hAnsi="宋体" w:cs="宋体"/>
          <w:color w:val="auto"/>
          <w:sz w:val="24"/>
          <w:highlight w:val="none"/>
        </w:rPr>
        <w:t xml:space="preserve"> </w:t>
      </w:r>
    </w:p>
    <w:p w14:paraId="639E1E43">
      <w:pPr>
        <w:spacing w:line="360" w:lineRule="auto"/>
        <w:rPr>
          <w:rFonts w:ascii="宋体" w:hAnsi="宋体" w:cs="宋体"/>
          <w:color w:val="auto"/>
          <w:sz w:val="24"/>
          <w:highlight w:val="none"/>
        </w:rPr>
      </w:pPr>
      <w:r>
        <w:rPr>
          <w:rFonts w:hint="eastAsia" w:ascii="宋体" w:hAnsi="宋体" w:cs="宋体"/>
          <w:color w:val="auto"/>
          <w:sz w:val="24"/>
          <w:highlight w:val="none"/>
        </w:rPr>
        <w:t>4.中标人的投标文件自开标之日起至合同履行完毕止均应保持有效。</w:t>
      </w:r>
    </w:p>
    <w:p w14:paraId="1A945450">
      <w:pPr>
        <w:spacing w:line="360" w:lineRule="auto"/>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（五）履约保证金：</w:t>
      </w:r>
      <w:bookmarkEnd w:id="25"/>
      <w:bookmarkEnd w:id="26"/>
      <w:r>
        <w:rPr>
          <w:rFonts w:hint="eastAsia" w:ascii="宋体" w:hAnsi="宋体" w:cs="宋体"/>
          <w:b/>
          <w:color w:val="auto"/>
          <w:sz w:val="24"/>
          <w:highlight w:val="none"/>
          <w:lang w:val="en-US" w:eastAsia="zh-CN"/>
        </w:rPr>
        <w:t>本项目不收取履约保证金。</w:t>
      </w:r>
    </w:p>
    <w:p w14:paraId="238E8D96">
      <w:pPr>
        <w:spacing w:line="360" w:lineRule="auto"/>
        <w:rPr>
          <w:rFonts w:ascii="宋体" w:hAnsi="宋体" w:cs="宋体"/>
          <w:b/>
          <w:color w:val="auto"/>
          <w:sz w:val="24"/>
          <w:highlight w:val="none"/>
        </w:rPr>
      </w:pPr>
      <w:r>
        <w:rPr>
          <w:rFonts w:hint="eastAsia" w:ascii="宋体" w:hAnsi="宋体" w:cs="宋体"/>
          <w:b/>
          <w:color w:val="auto"/>
          <w:sz w:val="24"/>
          <w:highlight w:val="none"/>
        </w:rPr>
        <w:t>▲（六）投标文件的签署</w:t>
      </w:r>
    </w:p>
    <w:p w14:paraId="63BB3720">
      <w:pPr>
        <w:numPr>
          <w:ilvl w:val="0"/>
          <w:numId w:val="6"/>
        </w:numPr>
        <w:spacing w:line="360" w:lineRule="auto"/>
        <w:rPr>
          <w:rFonts w:ascii="宋体" w:hAnsi="宋体" w:cs="宋体"/>
          <w:color w:val="auto"/>
          <w:sz w:val="24"/>
          <w:highlight w:val="none"/>
        </w:rPr>
      </w:pPr>
      <w:r>
        <w:rPr>
          <w:rFonts w:hint="eastAsia" w:ascii="宋体" w:hAnsi="宋体" w:cs="宋体"/>
          <w:color w:val="auto"/>
          <w:sz w:val="24"/>
          <w:highlight w:val="none"/>
        </w:rPr>
        <w:t>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679B48C1">
      <w:pPr>
        <w:spacing w:line="360" w:lineRule="auto"/>
        <w:rPr>
          <w:rFonts w:ascii="宋体" w:hAnsi="宋体" w:cs="宋体"/>
          <w:b/>
          <w:color w:val="auto"/>
          <w:sz w:val="24"/>
          <w:highlight w:val="none"/>
        </w:rPr>
      </w:pPr>
      <w:r>
        <w:rPr>
          <w:rFonts w:hint="eastAsia" w:ascii="宋体" w:hAnsi="宋体" w:cs="宋体"/>
          <w:b/>
          <w:color w:val="auto"/>
          <w:sz w:val="24"/>
          <w:highlight w:val="none"/>
        </w:rPr>
        <w:t>2. 投标文件需盖章签字的地方必须由投标人法定代表人或法定代表人的授权委托人签署并加盖单位公章，投标人应写全称。</w:t>
      </w:r>
    </w:p>
    <w:p w14:paraId="6DA5D672">
      <w:pPr>
        <w:spacing w:line="360" w:lineRule="auto"/>
        <w:rPr>
          <w:rFonts w:ascii="宋体" w:hAnsi="宋体" w:cs="宋体"/>
          <w:color w:val="auto"/>
          <w:sz w:val="24"/>
          <w:highlight w:val="none"/>
        </w:rPr>
      </w:pPr>
      <w:r>
        <w:rPr>
          <w:rFonts w:hint="eastAsia" w:ascii="宋体" w:hAnsi="宋体" w:cs="宋体"/>
          <w:color w:val="auto"/>
          <w:sz w:val="24"/>
          <w:highlight w:val="none"/>
        </w:rPr>
        <w:t>3.投标文件不得涂改，若有修改错漏处，须加盖单位公章和由法定代表人或授权委托人签字或盖章。投标文件因字迹潦草或表达不清所引起的后果由投标人负责。</w:t>
      </w:r>
    </w:p>
    <w:p w14:paraId="773F159F">
      <w:pPr>
        <w:spacing w:line="360" w:lineRule="auto"/>
        <w:rPr>
          <w:rFonts w:ascii="宋体" w:hAnsi="宋体" w:cs="宋体"/>
          <w:b/>
          <w:color w:val="auto"/>
          <w:sz w:val="24"/>
          <w:highlight w:val="none"/>
        </w:rPr>
      </w:pPr>
      <w:r>
        <w:rPr>
          <w:rFonts w:hint="eastAsia" w:ascii="宋体" w:hAnsi="宋体" w:cs="宋体"/>
          <w:b/>
          <w:color w:val="auto"/>
          <w:sz w:val="24"/>
          <w:highlight w:val="none"/>
        </w:rPr>
        <w:t>▲（七）投标文件的上传、递交、修改和撤回</w:t>
      </w:r>
    </w:p>
    <w:p w14:paraId="62C6FFD7">
      <w:pPr>
        <w:spacing w:line="360" w:lineRule="auto"/>
        <w:ind w:firstLine="495"/>
        <w:rPr>
          <w:rFonts w:ascii="宋体" w:hAnsi="宋体" w:cs="宋体"/>
          <w:color w:val="auto"/>
          <w:sz w:val="24"/>
          <w:highlight w:val="none"/>
        </w:rPr>
      </w:pPr>
      <w:r>
        <w:rPr>
          <w:rFonts w:hint="eastAsia" w:ascii="宋体" w:hAnsi="宋体" w:cs="宋体"/>
          <w:color w:val="auto"/>
          <w:sz w:val="24"/>
          <w:highlight w:val="none"/>
        </w:rPr>
        <w:t>1. 投标人应当在投标截止时间前在“政采云”（电子交易平台）上自行上传加密的电子投标文件。</w:t>
      </w:r>
    </w:p>
    <w:p w14:paraId="637504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2.未按规定上传的投标文件将被拒绝，由此造成投标文件解密失败或被误投的风险由投标人承担。</w:t>
      </w:r>
    </w:p>
    <w:p w14:paraId="0DCD12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投标人未在“政采云”（电子交易平台）上自行上传加密的电子投标文件，仅提交电子备份投标文件的，投标无效。</w:t>
      </w:r>
    </w:p>
    <w:p w14:paraId="21060D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14:paraId="128776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3273EF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 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14:paraId="4D1972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 电子投标文件无法解密或解密失败时，投标人提供了电子备份投标文件的，以电子备份投标文件作为评审依据，否则视为投标文件撤回。投标文件已按时解密的，电子备份投标文件自动失效。</w:t>
      </w:r>
    </w:p>
    <w:p w14:paraId="48822DE5">
      <w:pPr>
        <w:spacing w:line="360" w:lineRule="auto"/>
        <w:rPr>
          <w:rFonts w:ascii="宋体" w:hAnsi="宋体" w:cs="宋体"/>
          <w:b/>
          <w:color w:val="auto"/>
          <w:sz w:val="24"/>
          <w:highlight w:val="none"/>
        </w:rPr>
      </w:pPr>
      <w:r>
        <w:rPr>
          <w:rFonts w:hint="eastAsia" w:ascii="宋体" w:hAnsi="宋体" w:cs="宋体"/>
          <w:b/>
          <w:color w:val="auto"/>
          <w:sz w:val="24"/>
          <w:highlight w:val="none"/>
        </w:rPr>
        <w:t>（八）投标无效的情形</w:t>
      </w:r>
    </w:p>
    <w:p w14:paraId="3C186E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限期内不补正或经补正后仍不符合招标文件要求的，应认定其投标无效。投标人修改、补正投标文件后，不影响评标委员会对其投标文件所作的评价和评分结果。</w:t>
      </w:r>
    </w:p>
    <w:p w14:paraId="249C747E">
      <w:pPr>
        <w:spacing w:line="360" w:lineRule="auto"/>
        <w:rPr>
          <w:rFonts w:ascii="宋体" w:hAnsi="宋体" w:cs="宋体"/>
          <w:b/>
          <w:color w:val="auto"/>
          <w:sz w:val="24"/>
          <w:highlight w:val="none"/>
        </w:rPr>
      </w:pPr>
      <w:r>
        <w:rPr>
          <w:rFonts w:hint="eastAsia" w:ascii="宋体" w:hAnsi="宋体" w:cs="宋体"/>
          <w:b/>
          <w:color w:val="auto"/>
          <w:sz w:val="24"/>
          <w:highlight w:val="none"/>
        </w:rPr>
        <w:t>1.在符合性审查和商务评审时，如发现下列情形之一的，投标文件将被视为无效：</w:t>
      </w:r>
    </w:p>
    <w:p w14:paraId="2FC91B88">
      <w:pPr>
        <w:spacing w:line="360" w:lineRule="auto"/>
        <w:rPr>
          <w:rFonts w:ascii="宋体" w:hAnsi="宋体" w:cs="宋体"/>
          <w:color w:val="auto"/>
          <w:sz w:val="24"/>
          <w:highlight w:val="none"/>
        </w:rPr>
      </w:pPr>
      <w:r>
        <w:rPr>
          <w:rFonts w:hint="eastAsia" w:ascii="宋体" w:hAnsi="宋体" w:cs="宋体"/>
          <w:color w:val="auto"/>
          <w:sz w:val="24"/>
          <w:highlight w:val="none"/>
        </w:rPr>
        <w:t>（1）投标人仅提交电子备份投标文件的；</w:t>
      </w:r>
    </w:p>
    <w:p w14:paraId="5208CA6A">
      <w:pPr>
        <w:spacing w:line="360" w:lineRule="auto"/>
        <w:rPr>
          <w:rFonts w:ascii="宋体" w:hAnsi="宋体" w:cs="宋体"/>
          <w:color w:val="auto"/>
          <w:sz w:val="24"/>
          <w:highlight w:val="none"/>
        </w:rPr>
      </w:pPr>
      <w:r>
        <w:rPr>
          <w:rFonts w:hint="eastAsia" w:ascii="宋体" w:hAnsi="宋体" w:cs="宋体"/>
          <w:color w:val="auto"/>
          <w:sz w:val="24"/>
          <w:highlight w:val="none"/>
        </w:rPr>
        <w:t>（2）在开评标时出现电子投标文件无法解密或解密失败等情况，投标人未提供电子备份投标文件，无法对投标人继续进行评审的；</w:t>
      </w:r>
    </w:p>
    <w:p w14:paraId="758A7038">
      <w:pPr>
        <w:spacing w:line="360" w:lineRule="auto"/>
        <w:rPr>
          <w:rFonts w:ascii="宋体" w:hAnsi="宋体" w:cs="宋体"/>
          <w:color w:val="auto"/>
          <w:sz w:val="24"/>
          <w:highlight w:val="none"/>
        </w:rPr>
      </w:pPr>
      <w:r>
        <w:rPr>
          <w:rFonts w:hint="eastAsia" w:ascii="宋体" w:hAnsi="宋体" w:cs="宋体"/>
          <w:color w:val="auto"/>
          <w:sz w:val="24"/>
          <w:highlight w:val="none"/>
        </w:rPr>
        <w:t>（3）投标人未在规定的时间内对电子询标函进行澄清回复、拒绝澄清回复或澄清回复的内容改变了投标文件的实质性内容的；</w:t>
      </w:r>
    </w:p>
    <w:p w14:paraId="41F51E5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（4）网上下载的证明文件，不能通过真实性验证的（发现提供虚假资料的，按照提供虚假资料处理）； </w:t>
      </w:r>
    </w:p>
    <w:p w14:paraId="1C499131">
      <w:pPr>
        <w:spacing w:line="360" w:lineRule="auto"/>
        <w:rPr>
          <w:rFonts w:ascii="宋体" w:hAnsi="宋体" w:cs="宋体"/>
          <w:color w:val="auto"/>
          <w:sz w:val="24"/>
          <w:highlight w:val="none"/>
        </w:rPr>
      </w:pPr>
      <w:r>
        <w:rPr>
          <w:rFonts w:hint="eastAsia" w:ascii="宋体" w:hAnsi="宋体" w:cs="宋体"/>
          <w:color w:val="auto"/>
          <w:sz w:val="24"/>
          <w:highlight w:val="none"/>
        </w:rPr>
        <w:t>（5）资格证明文件不全的，或者不符合招标文件标明的资格要求的，及未提供招标文件中标有“▲”特殊符号的证明文件的；</w:t>
      </w:r>
    </w:p>
    <w:p w14:paraId="1E31B046">
      <w:pPr>
        <w:spacing w:line="450" w:lineRule="exact"/>
        <w:rPr>
          <w:rFonts w:ascii="宋体" w:hAnsi="宋体" w:cs="宋体"/>
          <w:color w:val="auto"/>
          <w:sz w:val="24"/>
          <w:highlight w:val="none"/>
        </w:rPr>
      </w:pPr>
      <w:r>
        <w:rPr>
          <w:rFonts w:hint="eastAsia" w:ascii="宋体" w:hAnsi="宋体" w:cs="宋体"/>
          <w:color w:val="auto"/>
          <w:sz w:val="24"/>
          <w:highlight w:val="none"/>
        </w:rPr>
        <w:t>（6）本项目投标截止之日前三年内，相关主体在“信用中国”网站、中国政府采购网有失信行为或被列入受惩黑名单。</w:t>
      </w:r>
    </w:p>
    <w:p w14:paraId="3E726372">
      <w:pPr>
        <w:pStyle w:val="7"/>
        <w:rPr>
          <w:color w:val="auto"/>
          <w:highlight w:val="none"/>
        </w:rPr>
      </w:pPr>
    </w:p>
    <w:p w14:paraId="14E42B44">
      <w:pPr>
        <w:spacing w:line="360" w:lineRule="auto"/>
        <w:rPr>
          <w:rFonts w:ascii="宋体" w:hAnsi="宋体" w:cs="宋体"/>
          <w:color w:val="auto"/>
          <w:sz w:val="24"/>
          <w:highlight w:val="none"/>
        </w:rPr>
      </w:pPr>
      <w:r>
        <w:rPr>
          <w:rFonts w:hint="eastAsia" w:ascii="宋体" w:hAnsi="宋体" w:cs="宋体"/>
          <w:color w:val="auto"/>
          <w:sz w:val="24"/>
          <w:highlight w:val="none"/>
        </w:rPr>
        <w:t>（7）投标文件无法定代表人签字,或未提供法定代表人授权委托书、投标声明书或者填写项目不齐全的；</w:t>
      </w:r>
    </w:p>
    <w:p w14:paraId="68C3656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（8）投标代表人未能出具身份证明或与法定代表人授权委托人身份不符的； </w:t>
      </w:r>
    </w:p>
    <w:p w14:paraId="170EFDDB">
      <w:pPr>
        <w:spacing w:line="360" w:lineRule="auto"/>
        <w:rPr>
          <w:rFonts w:ascii="宋体" w:hAnsi="宋体" w:cs="宋体"/>
          <w:color w:val="auto"/>
          <w:sz w:val="24"/>
          <w:highlight w:val="none"/>
        </w:rPr>
      </w:pPr>
      <w:r>
        <w:rPr>
          <w:rFonts w:hint="eastAsia" w:ascii="宋体" w:hAnsi="宋体" w:cs="宋体"/>
          <w:color w:val="auto"/>
          <w:sz w:val="24"/>
          <w:highlight w:val="none"/>
        </w:rPr>
        <w:t>（9）投标文件格式未按招标文件附件规定的格式、未按招标文件规定的内容编制投标文件的或者内容虚假的、未按规定签字或盖章的；</w:t>
      </w:r>
    </w:p>
    <w:p w14:paraId="438BC4A3">
      <w:pPr>
        <w:spacing w:line="360" w:lineRule="auto"/>
        <w:rPr>
          <w:rFonts w:ascii="宋体" w:hAnsi="宋体" w:cs="宋体"/>
          <w:color w:val="auto"/>
          <w:sz w:val="24"/>
          <w:highlight w:val="none"/>
        </w:rPr>
      </w:pPr>
      <w:r>
        <w:rPr>
          <w:rFonts w:hint="eastAsia" w:ascii="宋体" w:hAnsi="宋体" w:cs="宋体"/>
          <w:color w:val="auto"/>
          <w:sz w:val="24"/>
          <w:highlight w:val="none"/>
        </w:rPr>
        <w:t>（10）投标文件的实质性内容未使用中文表述的或意思表述不明确、前后矛盾的或者使用计量单位不符合招标文件要求的（经评标委员会认定并允许其当场更正的笔误除外）；</w:t>
      </w:r>
    </w:p>
    <w:p w14:paraId="21FFF6EB">
      <w:pPr>
        <w:spacing w:line="360" w:lineRule="auto"/>
        <w:rPr>
          <w:rFonts w:ascii="宋体" w:hAnsi="宋体" w:cs="宋体"/>
          <w:color w:val="auto"/>
          <w:sz w:val="24"/>
          <w:highlight w:val="none"/>
        </w:rPr>
      </w:pPr>
      <w:r>
        <w:rPr>
          <w:rFonts w:hint="eastAsia" w:ascii="宋体" w:hAnsi="宋体" w:cs="宋体"/>
          <w:color w:val="auto"/>
          <w:sz w:val="24"/>
          <w:highlight w:val="none"/>
        </w:rPr>
        <w:t>（11）投标有效期、服务期（交货期）、质保期、付款方式等商务条款不能满足招标文件要求的；</w:t>
      </w:r>
    </w:p>
    <w:p w14:paraId="2AB4332B">
      <w:pPr>
        <w:spacing w:line="360" w:lineRule="auto"/>
        <w:rPr>
          <w:rFonts w:ascii="宋体" w:hAnsi="宋体" w:cs="宋体"/>
          <w:color w:val="auto"/>
          <w:sz w:val="24"/>
          <w:highlight w:val="none"/>
        </w:rPr>
      </w:pPr>
      <w:r>
        <w:rPr>
          <w:rFonts w:hint="eastAsia" w:ascii="宋体" w:hAnsi="宋体" w:cs="宋体"/>
          <w:color w:val="auto"/>
          <w:sz w:val="24"/>
          <w:highlight w:val="none"/>
        </w:rPr>
        <w:t>（12）未实质性响应招标文件要求或者投标文件有招标方不能接受的附加条件的；</w:t>
      </w:r>
    </w:p>
    <w:p w14:paraId="767D402D">
      <w:pPr>
        <w:spacing w:line="360" w:lineRule="auto"/>
        <w:rPr>
          <w:rFonts w:ascii="宋体" w:hAnsi="宋体" w:cs="宋体"/>
          <w:color w:val="auto"/>
          <w:sz w:val="24"/>
          <w:highlight w:val="none"/>
        </w:rPr>
      </w:pPr>
      <w:r>
        <w:rPr>
          <w:rFonts w:hint="eastAsia" w:ascii="宋体" w:hAnsi="宋体" w:cs="宋体"/>
          <w:color w:val="auto"/>
          <w:sz w:val="24"/>
          <w:highlight w:val="none"/>
        </w:rPr>
        <w:t>（13）招标文件规定的其它投标无效的情况；</w:t>
      </w:r>
    </w:p>
    <w:p w14:paraId="680C6EF8">
      <w:pPr>
        <w:tabs>
          <w:tab w:val="left" w:pos="401"/>
        </w:tabs>
        <w:spacing w:line="360" w:lineRule="auto"/>
        <w:rPr>
          <w:rFonts w:ascii="宋体" w:hAnsi="宋体" w:cs="宋体"/>
          <w:color w:val="auto"/>
          <w:sz w:val="24"/>
          <w:highlight w:val="none"/>
        </w:rPr>
      </w:pPr>
      <w:r>
        <w:rPr>
          <w:rFonts w:hint="eastAsia" w:ascii="宋体" w:hAnsi="宋体" w:cs="宋体"/>
          <w:color w:val="auto"/>
          <w:sz w:val="24"/>
          <w:highlight w:val="none"/>
        </w:rPr>
        <w:t>（14）法律、法规规定的其它投标无效情况。</w:t>
      </w:r>
    </w:p>
    <w:p w14:paraId="6FDF0DD9">
      <w:pPr>
        <w:spacing w:line="360" w:lineRule="auto"/>
        <w:rPr>
          <w:rFonts w:ascii="宋体" w:hAnsi="宋体" w:cs="宋体"/>
          <w:b/>
          <w:color w:val="auto"/>
          <w:sz w:val="24"/>
          <w:highlight w:val="none"/>
        </w:rPr>
      </w:pPr>
      <w:r>
        <w:rPr>
          <w:rFonts w:hint="eastAsia" w:ascii="宋体" w:hAnsi="宋体" w:cs="宋体"/>
          <w:b/>
          <w:color w:val="auto"/>
          <w:sz w:val="24"/>
          <w:highlight w:val="none"/>
        </w:rPr>
        <w:t>2.在技术资信评审时，如发现下列情形之一的，投标文件将被视为无效：</w:t>
      </w:r>
    </w:p>
    <w:p w14:paraId="4CEBED5C">
      <w:pPr>
        <w:spacing w:line="360" w:lineRule="auto"/>
        <w:rPr>
          <w:rFonts w:ascii="宋体" w:hAnsi="宋体" w:cs="宋体"/>
          <w:b/>
          <w:color w:val="auto"/>
          <w:sz w:val="24"/>
          <w:highlight w:val="none"/>
        </w:rPr>
      </w:pPr>
      <w:r>
        <w:rPr>
          <w:rFonts w:hint="eastAsia" w:ascii="宋体" w:hAnsi="宋体" w:cs="宋体"/>
          <w:color w:val="auto"/>
          <w:sz w:val="24"/>
          <w:highlight w:val="none"/>
        </w:rPr>
        <w:t>（1）投标人未在规定的时间内对电子询标函进行澄清回复、拒绝澄清回复或澄清回复的内容改变了投标文件的实质性内容的；</w:t>
      </w:r>
    </w:p>
    <w:p w14:paraId="5D4C5A2C">
      <w:pPr>
        <w:spacing w:line="360" w:lineRule="auto"/>
        <w:rPr>
          <w:rFonts w:ascii="宋体" w:hAnsi="宋体" w:cs="宋体"/>
          <w:color w:val="auto"/>
          <w:sz w:val="24"/>
          <w:highlight w:val="none"/>
        </w:rPr>
      </w:pPr>
      <w:r>
        <w:rPr>
          <w:rFonts w:hint="eastAsia" w:ascii="宋体" w:hAnsi="宋体" w:cs="宋体"/>
          <w:color w:val="auto"/>
          <w:sz w:val="24"/>
          <w:highlight w:val="none"/>
        </w:rPr>
        <w:t>（2）投标文件标明的响应或偏离与事实不符的或虚假投标的；</w:t>
      </w:r>
    </w:p>
    <w:p w14:paraId="2F1C7310">
      <w:pPr>
        <w:spacing w:line="360" w:lineRule="auto"/>
        <w:rPr>
          <w:rFonts w:ascii="宋体" w:hAnsi="宋体" w:cs="宋体"/>
          <w:color w:val="auto"/>
          <w:sz w:val="24"/>
          <w:highlight w:val="none"/>
        </w:rPr>
      </w:pPr>
      <w:r>
        <w:rPr>
          <w:rFonts w:hint="eastAsia" w:ascii="宋体" w:hAnsi="宋体" w:cs="宋体"/>
          <w:color w:val="auto"/>
          <w:sz w:val="24"/>
          <w:highlight w:val="none"/>
        </w:rPr>
        <w:t>（3）明显不符合招标文件质量标准的，或者与招标文件中标有“▲”特殊符号的技术指标、主要功能项目发生实质性偏离的；</w:t>
      </w:r>
    </w:p>
    <w:p w14:paraId="3DBAC87D">
      <w:pPr>
        <w:spacing w:line="360" w:lineRule="auto"/>
        <w:rPr>
          <w:rFonts w:ascii="宋体" w:hAnsi="宋体" w:cs="宋体"/>
          <w:color w:val="auto"/>
          <w:sz w:val="24"/>
          <w:highlight w:val="none"/>
        </w:rPr>
      </w:pPr>
      <w:r>
        <w:rPr>
          <w:rFonts w:hint="eastAsia" w:ascii="宋体" w:hAnsi="宋体" w:cs="宋体"/>
          <w:color w:val="auto"/>
          <w:sz w:val="24"/>
          <w:highlight w:val="none"/>
        </w:rPr>
        <w:t>（4）招标文件中允许偏离的技术、性能指标或者辅助功能发生较大负偏离的，经评标委员会认定对项目实际使用造成影响的；</w:t>
      </w:r>
    </w:p>
    <w:p w14:paraId="6010466E">
      <w:pPr>
        <w:spacing w:line="360" w:lineRule="auto"/>
        <w:rPr>
          <w:rFonts w:ascii="宋体" w:hAnsi="宋体" w:cs="宋体"/>
          <w:color w:val="auto"/>
          <w:sz w:val="24"/>
          <w:highlight w:val="none"/>
        </w:rPr>
      </w:pPr>
      <w:r>
        <w:rPr>
          <w:rFonts w:hint="eastAsia" w:ascii="宋体" w:hAnsi="宋体" w:cs="宋体"/>
          <w:color w:val="auto"/>
          <w:sz w:val="24"/>
          <w:highlight w:val="none"/>
        </w:rPr>
        <w:t>（5）投标技术方案不明确，存在一个或一个以上备选（替代）投标方案的；</w:t>
      </w:r>
    </w:p>
    <w:p w14:paraId="4DFB575C">
      <w:pPr>
        <w:spacing w:line="360" w:lineRule="auto"/>
        <w:rPr>
          <w:rFonts w:ascii="宋体" w:hAnsi="宋体" w:cs="宋体"/>
          <w:color w:val="auto"/>
          <w:sz w:val="24"/>
          <w:highlight w:val="none"/>
        </w:rPr>
      </w:pPr>
      <w:r>
        <w:rPr>
          <w:rFonts w:hint="eastAsia" w:ascii="宋体" w:hAnsi="宋体" w:cs="宋体"/>
          <w:color w:val="auto"/>
          <w:sz w:val="24"/>
          <w:highlight w:val="none"/>
        </w:rPr>
        <w:t>（6）与其他参加本次投标供应商的投标文件的文字表述内容相同连续20行以上或者差错相同2处以上的；</w:t>
      </w:r>
    </w:p>
    <w:p w14:paraId="3C4C2338">
      <w:pPr>
        <w:spacing w:line="360" w:lineRule="auto"/>
        <w:rPr>
          <w:rFonts w:ascii="宋体" w:hAnsi="宋体" w:cs="宋体"/>
          <w:color w:val="auto"/>
          <w:sz w:val="24"/>
          <w:highlight w:val="none"/>
        </w:rPr>
      </w:pPr>
      <w:r>
        <w:rPr>
          <w:rFonts w:hint="eastAsia" w:ascii="宋体" w:hAnsi="宋体" w:cs="宋体"/>
          <w:color w:val="auto"/>
          <w:sz w:val="24"/>
          <w:highlight w:val="none"/>
        </w:rPr>
        <w:t>（7）在资信及商务标、技术标内出现商务报价；</w:t>
      </w:r>
    </w:p>
    <w:p w14:paraId="5CA65B56">
      <w:pPr>
        <w:spacing w:line="360" w:lineRule="auto"/>
        <w:rPr>
          <w:rFonts w:ascii="宋体" w:hAnsi="宋体" w:cs="宋体"/>
          <w:color w:val="auto"/>
          <w:sz w:val="24"/>
          <w:highlight w:val="none"/>
        </w:rPr>
      </w:pPr>
      <w:r>
        <w:rPr>
          <w:rFonts w:hint="eastAsia" w:ascii="宋体" w:hAnsi="宋体" w:cs="宋体"/>
          <w:color w:val="auto"/>
          <w:sz w:val="24"/>
          <w:highlight w:val="none"/>
        </w:rPr>
        <w:t>（8）招标文件规定的其它投标无效的情况；</w:t>
      </w:r>
    </w:p>
    <w:p w14:paraId="02CE45CF">
      <w:pPr>
        <w:spacing w:line="360" w:lineRule="auto"/>
        <w:rPr>
          <w:rFonts w:ascii="宋体" w:hAnsi="宋体" w:cs="宋体"/>
          <w:color w:val="auto"/>
          <w:sz w:val="24"/>
          <w:highlight w:val="none"/>
        </w:rPr>
      </w:pPr>
      <w:r>
        <w:rPr>
          <w:rFonts w:hint="eastAsia" w:ascii="宋体" w:hAnsi="宋体" w:cs="宋体"/>
          <w:color w:val="auto"/>
          <w:sz w:val="24"/>
          <w:highlight w:val="none"/>
        </w:rPr>
        <w:t>（9）法律、法规规定的其它投标无效情况。</w:t>
      </w:r>
    </w:p>
    <w:p w14:paraId="517E18E8">
      <w:pPr>
        <w:spacing w:line="360" w:lineRule="auto"/>
        <w:rPr>
          <w:rFonts w:ascii="宋体" w:hAnsi="宋体" w:cs="宋体"/>
          <w:b/>
          <w:color w:val="auto"/>
          <w:sz w:val="24"/>
          <w:highlight w:val="none"/>
        </w:rPr>
      </w:pPr>
      <w:r>
        <w:rPr>
          <w:rFonts w:hint="eastAsia" w:ascii="宋体" w:hAnsi="宋体" w:cs="宋体"/>
          <w:b/>
          <w:color w:val="auto"/>
          <w:sz w:val="24"/>
          <w:highlight w:val="none"/>
        </w:rPr>
        <w:t>3.在报价评审时，如发现下列情形之一的，投标文件将被视为无效：</w:t>
      </w:r>
    </w:p>
    <w:p w14:paraId="7AC5E383">
      <w:pPr>
        <w:spacing w:line="360" w:lineRule="auto"/>
        <w:rPr>
          <w:rFonts w:ascii="宋体" w:hAnsi="宋体" w:cs="宋体"/>
          <w:color w:val="auto"/>
          <w:sz w:val="24"/>
          <w:highlight w:val="none"/>
        </w:rPr>
      </w:pPr>
      <w:r>
        <w:rPr>
          <w:rFonts w:hint="eastAsia" w:ascii="宋体" w:hAnsi="宋体" w:cs="宋体"/>
          <w:color w:val="auto"/>
          <w:sz w:val="24"/>
          <w:highlight w:val="none"/>
        </w:rPr>
        <w:t>（1）投标人未在规定的时间内对电子询标函进行澄清回复、拒绝澄清回复或者澄清回复的内容改变了投标文件的实质性内容的；</w:t>
      </w:r>
    </w:p>
    <w:p w14:paraId="7ADEDE58">
      <w:pPr>
        <w:spacing w:line="360" w:lineRule="auto"/>
        <w:rPr>
          <w:rFonts w:ascii="宋体" w:hAnsi="宋体" w:cs="宋体"/>
          <w:color w:val="auto"/>
          <w:sz w:val="24"/>
          <w:highlight w:val="none"/>
        </w:rPr>
      </w:pPr>
      <w:r>
        <w:rPr>
          <w:rFonts w:hint="eastAsia" w:ascii="宋体" w:hAnsi="宋体" w:cs="宋体"/>
          <w:color w:val="auto"/>
          <w:sz w:val="24"/>
          <w:highlight w:val="none"/>
        </w:rPr>
        <w:t>（2）未填写投标报价或未采用人民币报价或者未按照招标文件标明的币种报价的；</w:t>
      </w:r>
    </w:p>
    <w:p w14:paraId="07AB882C">
      <w:pPr>
        <w:spacing w:line="360" w:lineRule="auto"/>
        <w:rPr>
          <w:rFonts w:ascii="宋体" w:hAnsi="宋体" w:cs="宋体"/>
          <w:color w:val="auto"/>
          <w:sz w:val="24"/>
          <w:highlight w:val="none"/>
        </w:rPr>
      </w:pPr>
      <w:r>
        <w:rPr>
          <w:rFonts w:hint="eastAsia" w:ascii="宋体" w:hAnsi="宋体" w:cs="宋体"/>
          <w:color w:val="auto"/>
          <w:sz w:val="24"/>
          <w:highlight w:val="none"/>
        </w:rPr>
        <w:t>（3）投标报价具有选择性的，或者开标价格与投标文件承诺的优惠（折扣）价格不一致的；</w:t>
      </w:r>
    </w:p>
    <w:p w14:paraId="0D92AEE6">
      <w:pPr>
        <w:spacing w:line="360" w:lineRule="auto"/>
        <w:rPr>
          <w:rFonts w:ascii="宋体" w:hAnsi="宋体" w:cs="宋体"/>
          <w:color w:val="auto"/>
          <w:sz w:val="24"/>
          <w:highlight w:val="none"/>
        </w:rPr>
      </w:pPr>
      <w:r>
        <w:rPr>
          <w:rFonts w:hint="eastAsia" w:ascii="宋体" w:hAnsi="宋体" w:cs="宋体"/>
          <w:color w:val="auto"/>
          <w:sz w:val="24"/>
          <w:highlight w:val="none"/>
        </w:rPr>
        <w:t>（4）报价高于用户设定的最高限价或预算金额的；</w:t>
      </w:r>
    </w:p>
    <w:p w14:paraId="7CE9787B">
      <w:pPr>
        <w:spacing w:line="360" w:lineRule="auto"/>
        <w:rPr>
          <w:rFonts w:ascii="宋体" w:hAnsi="宋体" w:cs="宋体"/>
          <w:color w:val="auto"/>
          <w:sz w:val="24"/>
          <w:highlight w:val="none"/>
        </w:rPr>
      </w:pPr>
      <w:r>
        <w:rPr>
          <w:rFonts w:hint="eastAsia" w:ascii="宋体" w:hAnsi="宋体" w:cs="宋体"/>
          <w:color w:val="auto"/>
          <w:sz w:val="24"/>
          <w:highlight w:val="none"/>
        </w:rPr>
        <w:t>（5）招标文件规定的其它投标无效的情况；</w:t>
      </w:r>
    </w:p>
    <w:p w14:paraId="604A0542">
      <w:pPr>
        <w:spacing w:line="360" w:lineRule="auto"/>
        <w:rPr>
          <w:rFonts w:ascii="宋体" w:hAnsi="宋体" w:cs="宋体"/>
          <w:color w:val="auto"/>
          <w:sz w:val="24"/>
          <w:highlight w:val="none"/>
        </w:rPr>
      </w:pPr>
      <w:r>
        <w:rPr>
          <w:rFonts w:hint="eastAsia" w:ascii="宋体" w:hAnsi="宋体" w:cs="宋体"/>
          <w:color w:val="auto"/>
          <w:sz w:val="24"/>
          <w:highlight w:val="none"/>
        </w:rPr>
        <w:t>（6）法律、法规规定的其它投标无效情况。</w:t>
      </w:r>
    </w:p>
    <w:p w14:paraId="02A5A600">
      <w:pPr>
        <w:spacing w:line="360" w:lineRule="auto"/>
        <w:rPr>
          <w:rFonts w:ascii="宋体" w:hAnsi="宋体" w:cs="宋体"/>
          <w:b/>
          <w:color w:val="auto"/>
          <w:sz w:val="24"/>
          <w:highlight w:val="none"/>
        </w:rPr>
      </w:pPr>
      <w:bookmarkStart w:id="28" w:name="_Toc458697270"/>
      <w:bookmarkStart w:id="29" w:name="_Toc25520"/>
      <w:r>
        <w:rPr>
          <w:rFonts w:hint="eastAsia" w:ascii="宋体" w:hAnsi="宋体" w:cs="宋体"/>
          <w:b/>
          <w:color w:val="auto"/>
          <w:sz w:val="24"/>
          <w:highlight w:val="none"/>
        </w:rPr>
        <w:t>4.被拒绝的投标文件为无效。</w:t>
      </w:r>
    </w:p>
    <w:p w14:paraId="31047BD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5.根据有关法律、法规规定为无效、废标的，按法律、法规规定执行。</w:t>
      </w:r>
    </w:p>
    <w:p w14:paraId="7095DDE3">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除政府采购法律法规规定的恶意串通、视同串通投标情形外，在不影响公平竞争的前提下，采购人、采购代理机构应在采购文件中明确规定参与同一个标段(包)的供应商存在下列情形之一的，其投标(响应)文件无效：</w:t>
      </w:r>
    </w:p>
    <w:p w14:paraId="28201889">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)不同供应商制作电子投标(响应)文件的计算机网卡MAC地址相同的；</w:t>
      </w:r>
    </w:p>
    <w:p w14:paraId="616A8882">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)不同供应商制作电子投标(响应)文件的计算机硬盘序列号相同的；</w:t>
      </w:r>
    </w:p>
    <w:p w14:paraId="149EA7CF">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)不同供应商的投标(响应)文件的内容存在两处以上细节错误一致，且无法合理解释的。</w:t>
      </w:r>
    </w:p>
    <w:p w14:paraId="259C699B">
      <w:pPr>
        <w:pStyle w:val="3"/>
        <w:keepNext w:val="0"/>
        <w:keepLines w:val="0"/>
        <w:pageBreakBefore/>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w:t>
      </w:r>
      <w:bookmarkEnd w:id="28"/>
      <w:bookmarkEnd w:id="29"/>
    </w:p>
    <w:p w14:paraId="3F59B40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（一）开标准备   </w:t>
      </w:r>
    </w:p>
    <w:p w14:paraId="25A0EF92">
      <w:pPr>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74E5E184">
      <w:pPr>
        <w:spacing w:line="360" w:lineRule="auto"/>
        <w:rPr>
          <w:rFonts w:ascii="宋体" w:hAnsi="宋体" w:cs="宋体"/>
          <w:b/>
          <w:color w:val="auto"/>
          <w:sz w:val="24"/>
          <w:highlight w:val="none"/>
        </w:rPr>
      </w:pPr>
      <w:r>
        <w:rPr>
          <w:rFonts w:hint="eastAsia" w:ascii="宋体" w:hAnsi="宋体" w:cs="宋体"/>
          <w:b/>
          <w:color w:val="auto"/>
          <w:sz w:val="24"/>
          <w:highlight w:val="none"/>
        </w:rPr>
        <w:t>（二）电子招投标开标程序</w:t>
      </w:r>
    </w:p>
    <w:p w14:paraId="047C0089">
      <w:pPr>
        <w:spacing w:line="360" w:lineRule="auto"/>
        <w:rPr>
          <w:rFonts w:ascii="宋体" w:hAnsi="宋体" w:cs="宋体"/>
          <w:bCs/>
          <w:color w:val="auto"/>
          <w:sz w:val="24"/>
          <w:highlight w:val="none"/>
        </w:rPr>
      </w:pPr>
      <w:r>
        <w:rPr>
          <w:rFonts w:hint="eastAsia" w:ascii="宋体" w:hAnsi="宋体" w:cs="宋体"/>
          <w:bCs/>
          <w:color w:val="auto"/>
          <w:sz w:val="24"/>
          <w:highlight w:val="none"/>
        </w:rPr>
        <w:t>1.开标会由招标代理机构主持，主持人宣布开标会议开始；</w:t>
      </w:r>
    </w:p>
    <w:p w14:paraId="58341F61">
      <w:pPr>
        <w:spacing w:line="360" w:lineRule="auto"/>
        <w:rPr>
          <w:rFonts w:ascii="宋体" w:hAnsi="宋体" w:cs="宋体"/>
          <w:bCs/>
          <w:color w:val="auto"/>
          <w:sz w:val="24"/>
          <w:highlight w:val="none"/>
        </w:rPr>
      </w:pPr>
      <w:r>
        <w:rPr>
          <w:rFonts w:hint="eastAsia" w:ascii="宋体" w:hAnsi="宋体" w:cs="宋体"/>
          <w:bCs/>
          <w:color w:val="auto"/>
          <w:sz w:val="24"/>
          <w:highlight w:val="none"/>
        </w:rPr>
        <w:t>2.主持人宣布评标室会议纪律及评标期间的有关事项；告知应当回避的情形,提请有关人员回避；</w:t>
      </w:r>
    </w:p>
    <w:p w14:paraId="0C66CE97">
      <w:pPr>
        <w:spacing w:line="360" w:lineRule="auto"/>
        <w:rPr>
          <w:rFonts w:ascii="宋体" w:hAnsi="宋体" w:cs="宋体"/>
          <w:color w:val="auto"/>
          <w:sz w:val="24"/>
          <w:highlight w:val="none"/>
        </w:rPr>
      </w:pPr>
      <w:r>
        <w:rPr>
          <w:rFonts w:hint="eastAsia" w:ascii="宋体" w:hAnsi="宋体" w:cs="宋体"/>
          <w:color w:val="auto"/>
          <w:sz w:val="24"/>
          <w:highlight w:val="none"/>
        </w:rPr>
        <w:t>3.开标及评审程序</w:t>
      </w:r>
    </w:p>
    <w:p w14:paraId="51C18EFB">
      <w:pPr>
        <w:spacing w:line="360" w:lineRule="auto"/>
        <w:rPr>
          <w:rFonts w:ascii="宋体" w:hAnsi="宋体" w:cs="宋体"/>
          <w:color w:val="auto"/>
          <w:sz w:val="24"/>
          <w:highlight w:val="none"/>
        </w:rPr>
      </w:pPr>
      <w:r>
        <w:rPr>
          <w:rFonts w:hint="eastAsia" w:ascii="宋体" w:hAnsi="宋体" w:cs="宋体"/>
          <w:color w:val="auto"/>
          <w:sz w:val="24"/>
          <w:highlight w:val="none"/>
        </w:rPr>
        <w:t>3.1在开标时间截止后30分钟内由各投标人自行对投标文件进行解密；</w:t>
      </w:r>
    </w:p>
    <w:p w14:paraId="75B375B9">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3.2由采购人进行资格审查，通过资格审查的投标人进入商务技术响应文件进行评审；</w:t>
      </w:r>
    </w:p>
    <w:p w14:paraId="25CFB5E5">
      <w:pPr>
        <w:spacing w:line="360" w:lineRule="auto"/>
        <w:rPr>
          <w:rFonts w:ascii="宋体" w:hAnsi="宋体" w:cs="宋体"/>
          <w:color w:val="auto"/>
          <w:sz w:val="24"/>
          <w:highlight w:val="none"/>
        </w:rPr>
      </w:pPr>
      <w:r>
        <w:rPr>
          <w:rFonts w:hint="eastAsia" w:ascii="宋体" w:hAnsi="宋体" w:cs="宋体"/>
          <w:color w:val="auto"/>
          <w:sz w:val="24"/>
          <w:highlight w:val="none"/>
        </w:rPr>
        <w:t>3.3系统对各投标人的商务技术进行汇总并公布商务技术得分；</w:t>
      </w:r>
    </w:p>
    <w:p w14:paraId="32329C84">
      <w:pPr>
        <w:spacing w:line="360" w:lineRule="auto"/>
        <w:rPr>
          <w:rFonts w:ascii="宋体" w:hAnsi="宋体" w:cs="宋体"/>
          <w:color w:val="auto"/>
          <w:sz w:val="24"/>
          <w:highlight w:val="none"/>
        </w:rPr>
      </w:pPr>
      <w:r>
        <w:rPr>
          <w:rFonts w:hint="eastAsia" w:ascii="宋体" w:hAnsi="宋体" w:cs="宋体"/>
          <w:color w:val="auto"/>
          <w:sz w:val="24"/>
          <w:highlight w:val="none"/>
        </w:rPr>
        <w:t>3.4在系统上公开报价开标情况；</w:t>
      </w:r>
    </w:p>
    <w:p w14:paraId="692F59D2">
      <w:pPr>
        <w:spacing w:line="360" w:lineRule="auto"/>
        <w:rPr>
          <w:rFonts w:ascii="宋体" w:hAnsi="宋体" w:cs="宋体"/>
          <w:color w:val="auto"/>
          <w:sz w:val="24"/>
          <w:highlight w:val="none"/>
        </w:rPr>
      </w:pPr>
      <w:r>
        <w:rPr>
          <w:rFonts w:hint="eastAsia" w:ascii="宋体" w:hAnsi="宋体" w:cs="宋体"/>
          <w:color w:val="auto"/>
          <w:sz w:val="24"/>
          <w:highlight w:val="none"/>
        </w:rPr>
        <w:t>3.5评标委员会对报价情况进行评审；</w:t>
      </w:r>
    </w:p>
    <w:p w14:paraId="65CF813C">
      <w:pPr>
        <w:spacing w:line="360" w:lineRule="auto"/>
        <w:rPr>
          <w:rFonts w:ascii="宋体" w:hAnsi="宋体" w:cs="宋体"/>
          <w:color w:val="auto"/>
          <w:sz w:val="24"/>
          <w:highlight w:val="none"/>
        </w:rPr>
      </w:pPr>
      <w:r>
        <w:rPr>
          <w:rFonts w:hint="eastAsia" w:ascii="宋体" w:hAnsi="宋体" w:cs="宋体"/>
          <w:color w:val="auto"/>
          <w:sz w:val="24"/>
          <w:highlight w:val="none"/>
        </w:rPr>
        <w:t>3.6在系统上公布评审结果。</w:t>
      </w:r>
    </w:p>
    <w:p w14:paraId="42554074">
      <w:pPr>
        <w:spacing w:line="360" w:lineRule="auto"/>
        <w:rPr>
          <w:rFonts w:ascii="宋体" w:hAnsi="宋体" w:cs="宋体"/>
          <w:b/>
          <w:color w:val="auto"/>
          <w:sz w:val="24"/>
          <w:highlight w:val="none"/>
        </w:rPr>
      </w:pPr>
      <w:r>
        <w:rPr>
          <w:rFonts w:hint="eastAsia" w:ascii="宋体" w:hAnsi="宋体" w:cs="宋体"/>
          <w:b/>
          <w:color w:val="auto"/>
          <w:sz w:val="24"/>
          <w:highlight w:val="none"/>
        </w:rPr>
        <w:t>特别说明：政采云公司如对电子化开标及评审程序有调整的，按调整后的程序操作。</w:t>
      </w:r>
    </w:p>
    <w:p w14:paraId="5C41E243">
      <w:pPr>
        <w:numPr>
          <w:ilvl w:val="0"/>
          <w:numId w:val="7"/>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本项目采用政采云电子招投标开标及评审程序，开评标时出现电子投标文件无法解密或解密失败等情况时，采购代理机构可上传投标人的电子备份投标文件继续评审。</w:t>
      </w:r>
    </w:p>
    <w:p w14:paraId="324AF89A">
      <w:pPr>
        <w:numPr>
          <w:ilvl w:val="0"/>
          <w:numId w:val="0"/>
        </w:numPr>
        <w:spacing w:line="360" w:lineRule="auto"/>
        <w:rPr>
          <w:rFonts w:hint="eastAsia" w:ascii="宋体" w:hAnsi="宋体" w:cs="宋体"/>
          <w:b/>
          <w:color w:val="auto"/>
          <w:sz w:val="24"/>
        </w:rPr>
      </w:pPr>
      <w:r>
        <w:rPr>
          <w:rFonts w:hint="eastAsia" w:ascii="宋体" w:hAnsi="宋体" w:cs="宋体"/>
          <w:b/>
          <w:color w:val="auto"/>
          <w:sz w:val="24"/>
        </w:rPr>
        <w:t>（三）特殊情况处理</w:t>
      </w:r>
    </w:p>
    <w:p w14:paraId="0B63CBF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采购响应（指投标或谈判、报价，下同）截止时间止及评审期间，出现有效供应商不足3家的，</w:t>
      </w:r>
      <w:r>
        <w:rPr>
          <w:rFonts w:hint="eastAsia" w:ascii="宋体" w:hAnsi="宋体"/>
          <w:color w:val="auto"/>
          <w:sz w:val="24"/>
          <w:highlight w:val="none"/>
          <w:lang w:val="en-US" w:eastAsia="zh-CN"/>
        </w:rPr>
        <w:t>按</w:t>
      </w:r>
      <w:r>
        <w:rPr>
          <w:rFonts w:hint="eastAsia" w:ascii="宋体" w:hAnsi="宋体"/>
          <w:color w:val="auto"/>
          <w:sz w:val="24"/>
          <w:highlight w:val="none"/>
        </w:rPr>
        <w:t>照《政府采购货物和服务招标投标管理办法》</w:t>
      </w:r>
      <w:r>
        <w:rPr>
          <w:rFonts w:hint="eastAsia" w:ascii="宋体" w:hAnsi="宋体"/>
          <w:color w:val="auto"/>
          <w:sz w:val="24"/>
          <w:highlight w:val="none"/>
          <w:lang w:eastAsia="zh-CN"/>
        </w:rPr>
        <w:t>、</w:t>
      </w:r>
      <w:r>
        <w:rPr>
          <w:rFonts w:hint="eastAsia" w:ascii="宋体" w:hAnsi="宋体"/>
          <w:color w:val="auto"/>
          <w:sz w:val="24"/>
          <w:highlight w:val="none"/>
        </w:rPr>
        <w:t>《浙财采监字[2007]2号》文件的相关规定，报请东阳市财政局采监科同意，可以按原采购方式继续进行采购活动，也可以改为竞争性谈判等其他采购方式。</w:t>
      </w:r>
    </w:p>
    <w:p w14:paraId="1AD39F02">
      <w:pPr>
        <w:numPr>
          <w:ilvl w:val="0"/>
          <w:numId w:val="0"/>
        </w:numPr>
        <w:spacing w:line="360" w:lineRule="auto"/>
        <w:rPr>
          <w:rFonts w:hint="eastAsia" w:ascii="宋体" w:hAnsi="宋体" w:cs="宋体"/>
          <w:color w:val="auto"/>
          <w:sz w:val="24"/>
          <w:highlight w:val="none"/>
        </w:rPr>
      </w:pPr>
    </w:p>
    <w:p w14:paraId="0666AE6F">
      <w:pPr>
        <w:pStyle w:val="3"/>
        <w:keepNext w:val="0"/>
        <w:keepLines w:val="0"/>
        <w:pageBreakBefore/>
        <w:spacing w:line="360" w:lineRule="auto"/>
        <w:jc w:val="center"/>
        <w:rPr>
          <w:rFonts w:ascii="宋体" w:hAnsi="宋体" w:eastAsia="宋体" w:cs="宋体"/>
          <w:color w:val="auto"/>
          <w:sz w:val="24"/>
          <w:szCs w:val="24"/>
          <w:highlight w:val="none"/>
        </w:rPr>
      </w:pPr>
      <w:bookmarkStart w:id="30" w:name="_Toc21429"/>
      <w:bookmarkStart w:id="31" w:name="_Toc458697271"/>
      <w:bookmarkStart w:id="32" w:name="_Toc7166"/>
      <w:r>
        <w:rPr>
          <w:rFonts w:hint="eastAsia" w:ascii="宋体" w:hAnsi="宋体" w:eastAsia="宋体" w:cs="宋体"/>
          <w:color w:val="auto"/>
          <w:sz w:val="24"/>
          <w:szCs w:val="24"/>
          <w:highlight w:val="none"/>
        </w:rPr>
        <w:t>五、评标</w:t>
      </w:r>
      <w:bookmarkEnd w:id="30"/>
      <w:bookmarkEnd w:id="31"/>
      <w:bookmarkEnd w:id="32"/>
    </w:p>
    <w:p w14:paraId="05A21AEB">
      <w:pPr>
        <w:spacing w:line="360" w:lineRule="auto"/>
        <w:rPr>
          <w:rFonts w:ascii="宋体" w:hAnsi="宋体" w:cs="宋体"/>
          <w:b/>
          <w:color w:val="auto"/>
          <w:sz w:val="24"/>
          <w:highlight w:val="none"/>
        </w:rPr>
      </w:pPr>
      <w:r>
        <w:rPr>
          <w:rFonts w:hint="eastAsia" w:ascii="宋体" w:hAnsi="宋体" w:cs="宋体"/>
          <w:b/>
          <w:color w:val="auto"/>
          <w:sz w:val="24"/>
          <w:highlight w:val="none"/>
        </w:rPr>
        <w:t>（一）组建评标委员会</w:t>
      </w:r>
    </w:p>
    <w:p w14:paraId="53114BD5">
      <w:pPr>
        <w:spacing w:line="360" w:lineRule="auto"/>
        <w:rPr>
          <w:rFonts w:ascii="宋体" w:hAnsi="宋体" w:cs="宋体"/>
          <w:color w:val="auto"/>
          <w:sz w:val="24"/>
          <w:highlight w:val="none"/>
        </w:rPr>
      </w:pPr>
      <w:r>
        <w:rPr>
          <w:rFonts w:hint="eastAsia" w:ascii="宋体" w:hAnsi="宋体" w:cs="宋体"/>
          <w:color w:val="auto"/>
          <w:sz w:val="24"/>
          <w:highlight w:val="none"/>
        </w:rPr>
        <w:t>本项目评标委员会由政府采购评审专家</w:t>
      </w:r>
      <w:r>
        <w:rPr>
          <w:rFonts w:hint="eastAsia" w:ascii="宋体" w:hAnsi="宋体" w:cs="宋体"/>
          <w:color w:val="auto"/>
          <w:sz w:val="24"/>
          <w:highlight w:val="none"/>
          <w:u w:val="single"/>
        </w:rPr>
        <w:t>4</w:t>
      </w:r>
      <w:r>
        <w:rPr>
          <w:rFonts w:hint="eastAsia" w:ascii="宋体" w:hAnsi="宋体" w:cs="宋体"/>
          <w:color w:val="auto"/>
          <w:sz w:val="24"/>
          <w:highlight w:val="none"/>
        </w:rPr>
        <w:t>人和采购人代表</w:t>
      </w:r>
      <w:r>
        <w:rPr>
          <w:rFonts w:hint="eastAsia" w:ascii="宋体" w:hAnsi="宋体" w:cs="宋体"/>
          <w:color w:val="auto"/>
          <w:sz w:val="24"/>
          <w:highlight w:val="none"/>
          <w:u w:val="single"/>
        </w:rPr>
        <w:t>1</w:t>
      </w:r>
      <w:r>
        <w:rPr>
          <w:rFonts w:hint="eastAsia" w:ascii="宋体" w:hAnsi="宋体" w:cs="宋体"/>
          <w:color w:val="auto"/>
          <w:sz w:val="24"/>
          <w:highlight w:val="none"/>
        </w:rPr>
        <w:t>人,共</w:t>
      </w:r>
      <w:r>
        <w:rPr>
          <w:rFonts w:hint="eastAsia" w:ascii="宋体" w:hAnsi="宋体" w:cs="宋体"/>
          <w:color w:val="auto"/>
          <w:sz w:val="24"/>
          <w:highlight w:val="none"/>
          <w:u w:val="single"/>
        </w:rPr>
        <w:t>5</w:t>
      </w:r>
      <w:r>
        <w:rPr>
          <w:rFonts w:hint="eastAsia" w:ascii="宋体" w:hAnsi="宋体" w:cs="宋体"/>
          <w:color w:val="auto"/>
          <w:sz w:val="24"/>
          <w:highlight w:val="none"/>
        </w:rPr>
        <w:t>人组成</w:t>
      </w:r>
      <w:r>
        <w:rPr>
          <w:rFonts w:hint="eastAsia" w:ascii="宋体" w:hAnsi="宋体" w:cs="宋体"/>
          <w:color w:val="auto"/>
          <w:sz w:val="24"/>
          <w:highlight w:val="none"/>
          <w:lang w:eastAsia="zh-CN"/>
        </w:rPr>
        <w:t>，</w:t>
      </w:r>
      <w:r>
        <w:rPr>
          <w:rFonts w:hint="eastAsia" w:ascii="宋体" w:hAnsi="宋体" w:cs="宋体"/>
          <w:color w:val="auto"/>
          <w:sz w:val="24"/>
          <w:highlight w:val="none"/>
        </w:rPr>
        <w:t>评审专家从评标专家库中抽取。</w:t>
      </w:r>
    </w:p>
    <w:p w14:paraId="31103065">
      <w:pPr>
        <w:spacing w:line="360" w:lineRule="auto"/>
        <w:rPr>
          <w:rFonts w:ascii="宋体" w:hAnsi="宋体" w:cs="宋体"/>
          <w:b/>
          <w:color w:val="auto"/>
          <w:sz w:val="24"/>
          <w:highlight w:val="none"/>
        </w:rPr>
      </w:pPr>
      <w:r>
        <w:rPr>
          <w:rFonts w:hint="eastAsia" w:ascii="宋体" w:hAnsi="宋体" w:cs="宋体"/>
          <w:b/>
          <w:color w:val="auto"/>
          <w:sz w:val="24"/>
          <w:highlight w:val="none"/>
        </w:rPr>
        <w:t>（二）评标的方式</w:t>
      </w:r>
    </w:p>
    <w:p w14:paraId="72416E52">
      <w:pPr>
        <w:spacing w:line="360" w:lineRule="auto"/>
        <w:rPr>
          <w:rFonts w:ascii="宋体" w:hAnsi="宋体" w:cs="宋体"/>
          <w:color w:val="auto"/>
          <w:sz w:val="24"/>
          <w:highlight w:val="none"/>
        </w:rPr>
      </w:pPr>
      <w:r>
        <w:rPr>
          <w:rFonts w:hint="eastAsia" w:ascii="宋体" w:hAnsi="宋体" w:cs="宋体"/>
          <w:color w:val="auto"/>
          <w:sz w:val="24"/>
          <w:highlight w:val="none"/>
        </w:rPr>
        <w:t>本项目采用不公开方式评标，评标的依据为招标文件和投标文件。</w:t>
      </w:r>
    </w:p>
    <w:p w14:paraId="05645805">
      <w:pPr>
        <w:spacing w:line="360" w:lineRule="auto"/>
        <w:rPr>
          <w:rFonts w:ascii="宋体" w:hAnsi="宋体" w:cs="宋体"/>
          <w:b/>
          <w:color w:val="auto"/>
          <w:sz w:val="24"/>
          <w:highlight w:val="none"/>
        </w:rPr>
      </w:pPr>
      <w:r>
        <w:rPr>
          <w:rFonts w:hint="eastAsia" w:ascii="宋体" w:hAnsi="宋体" w:cs="宋体"/>
          <w:b/>
          <w:color w:val="auto"/>
          <w:sz w:val="24"/>
          <w:highlight w:val="none"/>
        </w:rPr>
        <w:t>（三）评标程序</w:t>
      </w:r>
    </w:p>
    <w:p w14:paraId="74FB2500">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1.形式审查</w:t>
      </w:r>
    </w:p>
    <w:p w14:paraId="69A16609">
      <w:pPr>
        <w:spacing w:line="360" w:lineRule="auto"/>
        <w:rPr>
          <w:rFonts w:ascii="宋体" w:hAnsi="宋体" w:cs="宋体"/>
          <w:b/>
          <w:color w:val="auto"/>
          <w:sz w:val="24"/>
          <w:highlight w:val="none"/>
        </w:rPr>
      </w:pPr>
      <w:r>
        <w:rPr>
          <w:rFonts w:hint="eastAsia" w:ascii="宋体" w:hAnsi="宋体" w:cs="宋体"/>
          <w:color w:val="auto"/>
          <w:sz w:val="24"/>
          <w:highlight w:val="none"/>
        </w:rPr>
        <w:t>招标方工作人员协助评标委员会对投标人的商务技术文件、报价投标文件的完整性、合法性等进行审查。</w:t>
      </w:r>
    </w:p>
    <w:p w14:paraId="759CD68D">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4E30687B">
      <w:pPr>
        <w:spacing w:line="360" w:lineRule="auto"/>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5EB016F5">
      <w:pPr>
        <w:spacing w:line="360" w:lineRule="auto"/>
        <w:rPr>
          <w:rFonts w:ascii="宋体" w:hAnsi="宋体" w:cs="宋体"/>
          <w:color w:val="auto"/>
          <w:sz w:val="24"/>
          <w:highlight w:val="none"/>
        </w:rPr>
      </w:pPr>
      <w:r>
        <w:rPr>
          <w:rFonts w:hint="eastAsia" w:ascii="宋体" w:hAnsi="宋体" w:cs="宋体"/>
          <w:color w:val="auto"/>
          <w:sz w:val="24"/>
          <w:highlight w:val="none"/>
        </w:rPr>
        <w:t>（2）评标委员会将对投标人的投标文件进行审查、核对,如有疑问,将对投标人进行电子询标,投标人须在规定的时间内向评标委员会澄清有关问题,并在政采云上进行询标答复。</w:t>
      </w:r>
    </w:p>
    <w:p w14:paraId="653A3D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投标人代表未在规定的时间内进行澄清、拒绝澄清或者澄清的内容改变了投标文件的实质性内容的，评标委员会有权对该投标文件作出不利于投标人的评判。</w:t>
      </w:r>
    </w:p>
    <w:p w14:paraId="68AF6173">
      <w:pPr>
        <w:spacing w:line="360" w:lineRule="auto"/>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14:paraId="46C6F588">
      <w:pPr>
        <w:spacing w:line="360" w:lineRule="auto"/>
        <w:rPr>
          <w:rFonts w:ascii="宋体" w:hAnsi="宋体" w:cs="宋体"/>
          <w:color w:val="auto"/>
          <w:sz w:val="24"/>
          <w:highlight w:val="none"/>
        </w:rPr>
      </w:pPr>
      <w:r>
        <w:rPr>
          <w:rFonts w:hint="eastAsia" w:ascii="宋体" w:hAnsi="宋体" w:cs="宋体"/>
          <w:color w:val="auto"/>
          <w:sz w:val="24"/>
          <w:highlight w:val="none"/>
        </w:rPr>
        <w:t>（4）招标方工作人员协助评标委员会审核商务报价有无计算错误，并根据本项目的评分标准计算各投标人的商务报价得分。</w:t>
      </w:r>
    </w:p>
    <w:p w14:paraId="6E087315">
      <w:pPr>
        <w:spacing w:line="360" w:lineRule="auto"/>
        <w:rPr>
          <w:rFonts w:ascii="宋体" w:hAnsi="宋体" w:cs="宋体"/>
          <w:color w:val="auto"/>
          <w:sz w:val="24"/>
          <w:highlight w:val="none"/>
        </w:rPr>
      </w:pPr>
      <w:r>
        <w:rPr>
          <w:rFonts w:hint="eastAsia" w:ascii="宋体" w:hAnsi="宋体" w:cs="宋体"/>
          <w:color w:val="auto"/>
          <w:sz w:val="24"/>
          <w:highlight w:val="none"/>
        </w:rPr>
        <w:t>（5）评标委员会完成评标后, 招标方工作人员对系统中的得分汇总进行复核,计算出本项目最终得分，评标委员会按评标原则推荐中标候选人并起草评标报告。</w:t>
      </w:r>
    </w:p>
    <w:p w14:paraId="5045A638">
      <w:pPr>
        <w:spacing w:line="360" w:lineRule="auto"/>
        <w:rPr>
          <w:rFonts w:ascii="宋体" w:hAnsi="宋体" w:cs="宋体"/>
          <w:b/>
          <w:color w:val="auto"/>
          <w:sz w:val="24"/>
          <w:highlight w:val="none"/>
        </w:rPr>
      </w:pPr>
      <w:r>
        <w:rPr>
          <w:rFonts w:hint="eastAsia" w:ascii="宋体" w:hAnsi="宋体" w:cs="宋体"/>
          <w:b/>
          <w:color w:val="auto"/>
          <w:sz w:val="24"/>
          <w:highlight w:val="none"/>
        </w:rPr>
        <w:t>（四）澄清问题的形式</w:t>
      </w:r>
    </w:p>
    <w:p w14:paraId="4847896D">
      <w:pPr>
        <w:spacing w:line="360" w:lineRule="auto"/>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6E195FA7">
      <w:pPr>
        <w:spacing w:line="360" w:lineRule="auto"/>
        <w:rPr>
          <w:rFonts w:ascii="宋体" w:hAnsi="宋体" w:cs="宋体"/>
          <w:b/>
          <w:color w:val="auto"/>
          <w:sz w:val="24"/>
          <w:highlight w:val="none"/>
        </w:rPr>
      </w:pPr>
      <w:r>
        <w:rPr>
          <w:rFonts w:hint="eastAsia" w:ascii="宋体" w:hAnsi="宋体" w:cs="宋体"/>
          <w:b/>
          <w:color w:val="auto"/>
          <w:sz w:val="24"/>
          <w:highlight w:val="none"/>
        </w:rPr>
        <w:t>（五）错误修正</w:t>
      </w:r>
    </w:p>
    <w:p w14:paraId="30FF4B9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14:paraId="6281001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1.投标文件中开标一览表（报价表）内容与与投标文件中相应内容不一致的，以开标一览表（报价表）为准；</w:t>
      </w:r>
    </w:p>
    <w:p w14:paraId="3EB45FB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50A94F1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5866CF4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4DB319A6">
      <w:pPr>
        <w:pStyle w:val="27"/>
        <w:spacing w:line="360" w:lineRule="auto"/>
        <w:ind w:left="0" w:leftChars="0" w:firstLine="240" w:firstLineChars="100"/>
        <w:rPr>
          <w:rFonts w:ascii="宋体" w:hAnsi="宋体" w:cs="宋体"/>
          <w:color w:val="auto"/>
          <w:sz w:val="24"/>
          <w:highlight w:val="none"/>
        </w:rPr>
      </w:pPr>
      <w:r>
        <w:rPr>
          <w:rFonts w:hint="eastAsia" w:ascii="宋体" w:hAnsi="宋体" w:cs="宋体"/>
          <w:color w:val="auto"/>
          <w:sz w:val="24"/>
          <w:highlight w:val="none"/>
        </w:rPr>
        <w:t>5.政采云系统投标报价与投标文件中开标一览表（报价表）相应内容不一致的，以开标一览表（报价表）为准。</w:t>
      </w:r>
    </w:p>
    <w:p w14:paraId="0888046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6.对不同文字文本投标文件的解释发生异议的，以中文文本为准。</w:t>
      </w:r>
    </w:p>
    <w:p w14:paraId="73F17D4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4B22DF71">
      <w:pPr>
        <w:spacing w:line="360" w:lineRule="auto"/>
        <w:rPr>
          <w:rFonts w:ascii="宋体" w:hAnsi="宋体" w:cs="宋体"/>
          <w:b/>
          <w:bCs/>
          <w:color w:val="auto"/>
          <w:sz w:val="24"/>
          <w:highlight w:val="none"/>
        </w:rPr>
      </w:pPr>
      <w:r>
        <w:rPr>
          <w:rFonts w:hint="eastAsia" w:ascii="宋体" w:hAnsi="宋体" w:cs="宋体"/>
          <w:b/>
          <w:color w:val="auto"/>
          <w:sz w:val="24"/>
          <w:highlight w:val="none"/>
        </w:rPr>
        <w:t>（六）评标原则和评标办法</w:t>
      </w:r>
    </w:p>
    <w:p w14:paraId="7B1F1CB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1.评审专家必须公平、公正评审，遵纪守法，客观、廉洁地履行职责。</w:t>
      </w:r>
    </w:p>
    <w:p w14:paraId="71EDDFF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2.评审专家在评审开始前，应关闭并上交随身携带的各种通信工具。</w:t>
      </w:r>
    </w:p>
    <w:p w14:paraId="490990C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3.评审专家在评审过程中，未经许可不得中途离开评审现场，不得迟到早退。</w:t>
      </w:r>
    </w:p>
    <w:p w14:paraId="08C6BA5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4.评审专家和工作人员不得透露评审过程中的讨论情况和评审结果。</w:t>
      </w:r>
    </w:p>
    <w:p w14:paraId="3B7A3C2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E28E0D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6.采购人、采购代理机构不得向评审委员会的评审专家作倾向性、误导性的解释或者说明。</w:t>
      </w:r>
    </w:p>
    <w:p w14:paraId="73E2118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6210EA1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8.评审专家在评审过程中不得将自己的观点强加给其他评审专家，评审专家应自主发表见解，对评审意见承担个人责任。</w:t>
      </w:r>
    </w:p>
    <w:p w14:paraId="2D98E4C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310F26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3E314EB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11.评审专家应当遵守评审工作纪律，不得泄露评审文件、评审情况和评审中获悉的商业秘密。</w:t>
      </w:r>
    </w:p>
    <w:p w14:paraId="4AD211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评审委员会在评审过程中发现投标人有行贿、提供虚假材料或者串通等违法行为的，应当及时向财政部门报告。</w:t>
      </w:r>
    </w:p>
    <w:p w14:paraId="3DFDA6B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12.招标文件内容违反国家有关强制性规定的，评审委员会应当停止评审并向采购代理机构说明情况。</w:t>
      </w:r>
    </w:p>
    <w:p w14:paraId="60AA783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13.评审专家应当配合采购代理机构答复投标人提出的质疑。</w:t>
      </w:r>
    </w:p>
    <w:p w14:paraId="3F2523C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14.评审专家应当配合财政部门的投诉处理工作。</w:t>
      </w:r>
    </w:p>
    <w:p w14:paraId="6B0B689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15.评审专家有如下行为之一的，责令改正，给予警告，可以并处一千元以下的罚款：</w:t>
      </w:r>
    </w:p>
    <w:p w14:paraId="6E4DBDA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①明知应当回避而未主动回避的；</w:t>
      </w:r>
    </w:p>
    <w:p w14:paraId="7DA748C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②在得知自己为评审专家身份后至评审结束前时段内私下接触投标人的；</w:t>
      </w:r>
    </w:p>
    <w:p w14:paraId="4ADB5E6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③在评审过程中擅离职守，影响评审程序正常进行的；</w:t>
      </w:r>
    </w:p>
    <w:p w14:paraId="7DC7E42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④在评审过程有明显不合理或者不正当倾向性的；</w:t>
      </w:r>
    </w:p>
    <w:p w14:paraId="19457AE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⑤未按招标文件规定的评审方法和标准进行评审的。</w:t>
      </w:r>
    </w:p>
    <w:p w14:paraId="019BE4A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⑥上述①至⑤行为影响中标结果的，中标结果无效。</w:t>
      </w:r>
    </w:p>
    <w:p w14:paraId="37F07E4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BB3B75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政府采购评审专家与投标人存在利害关系未回避的，处2万元以上5万元以下的罚款，禁止其参加政府采购评审活动。</w:t>
      </w:r>
    </w:p>
    <w:p w14:paraId="6D671B8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104921A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政府采购评审专家有上述违法行为的，其评审意见无效，不得获取评审费；有违法所得的，没收违法所得；给他人造成损失的，依法承担民事责任。</w:t>
      </w:r>
    </w:p>
    <w:p w14:paraId="314F307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17.评标办法。</w:t>
      </w:r>
    </w:p>
    <w:p w14:paraId="6035B40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本项目评标办法是：综合评分法，具体评标内容及评分标准等详见《第四章：评标办法及评分标准》。</w:t>
      </w:r>
    </w:p>
    <w:p w14:paraId="095DFE64">
      <w:pPr>
        <w:spacing w:line="360" w:lineRule="auto"/>
        <w:rPr>
          <w:rFonts w:ascii="宋体" w:hAnsi="宋体" w:cs="宋体"/>
          <w:b/>
          <w:color w:val="auto"/>
          <w:sz w:val="24"/>
          <w:highlight w:val="none"/>
        </w:rPr>
      </w:pPr>
      <w:r>
        <w:rPr>
          <w:rFonts w:hint="eastAsia" w:ascii="宋体" w:hAnsi="宋体" w:cs="宋体"/>
          <w:b/>
          <w:color w:val="auto"/>
          <w:sz w:val="24"/>
          <w:highlight w:val="none"/>
        </w:rPr>
        <w:t>（七）评标过程的监控</w:t>
      </w:r>
    </w:p>
    <w:p w14:paraId="3517AC5A">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本项目评标过程实行全程录音、录像监控，投标人在评标过程中所进行的试图影响评标结果的不公正活动，可能导致其投标被拒绝。</w:t>
      </w:r>
    </w:p>
    <w:p w14:paraId="0C409B03">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14:paraId="43D93F70">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6BFCEC9B">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18FDFD52">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5E3F9BD0">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4B44AE3A">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0E8CD979">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0C6C05CC">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7B5250A2">
      <w:pPr>
        <w:pStyle w:val="3"/>
        <w:keepNext w:val="0"/>
        <w:keepLines w:val="0"/>
        <w:pageBreakBefore/>
        <w:spacing w:line="360" w:lineRule="auto"/>
        <w:jc w:val="center"/>
        <w:rPr>
          <w:rFonts w:ascii="宋体" w:hAnsi="宋体" w:eastAsia="宋体" w:cs="宋体"/>
          <w:color w:val="auto"/>
          <w:sz w:val="24"/>
          <w:szCs w:val="24"/>
          <w:highlight w:val="none"/>
        </w:rPr>
      </w:pPr>
      <w:bookmarkStart w:id="33" w:name="_Toc3516"/>
      <w:bookmarkStart w:id="34" w:name="_Toc458697272"/>
      <w:bookmarkStart w:id="35" w:name="_Toc23515"/>
      <w:r>
        <w:rPr>
          <w:rFonts w:hint="eastAsia" w:ascii="宋体" w:hAnsi="宋体" w:eastAsia="宋体" w:cs="宋体"/>
          <w:color w:val="auto"/>
          <w:sz w:val="24"/>
          <w:szCs w:val="24"/>
          <w:highlight w:val="none"/>
        </w:rPr>
        <w:t>六、定标</w:t>
      </w:r>
      <w:bookmarkEnd w:id="33"/>
      <w:bookmarkEnd w:id="34"/>
      <w:bookmarkEnd w:id="35"/>
    </w:p>
    <w:p w14:paraId="7C623FD8">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（一）确定中标人 </w:t>
      </w:r>
      <w:r>
        <w:rPr>
          <w:rFonts w:hint="eastAsia" w:ascii="宋体" w:hAnsi="宋体" w:cs="宋体"/>
          <w:color w:val="auto"/>
          <w:sz w:val="24"/>
          <w:highlight w:val="none"/>
          <w:lang w:val="en-US" w:eastAsia="zh-CN"/>
        </w:rPr>
        <w:t xml:space="preserve"> </w:t>
      </w:r>
      <w:r>
        <w:rPr>
          <w:rFonts w:hint="eastAsia" w:ascii="宋体" w:hAnsi="宋体" w:cs="宋体"/>
          <w:b/>
          <w:bCs/>
          <w:color w:val="auto"/>
          <w:sz w:val="24"/>
          <w:highlight w:val="none"/>
        </w:rPr>
        <w:t>本项目由采购人授权评标委员会确定中标人</w:t>
      </w:r>
      <w:r>
        <w:rPr>
          <w:rFonts w:hint="eastAsia" w:ascii="宋体" w:hAnsi="宋体" w:cs="宋体"/>
          <w:b/>
          <w:bCs/>
          <w:color w:val="auto"/>
          <w:sz w:val="24"/>
          <w:highlight w:val="none"/>
          <w:lang w:val="en-US" w:eastAsia="zh-CN"/>
        </w:rPr>
        <w:t xml:space="preserve"> </w:t>
      </w:r>
    </w:p>
    <w:p w14:paraId="0E1708F4">
      <w:pPr>
        <w:spacing w:line="360" w:lineRule="auto"/>
        <w:rPr>
          <w:rFonts w:ascii="宋体" w:hAnsi="宋体" w:cs="宋体"/>
          <w:color w:val="auto"/>
          <w:sz w:val="24"/>
          <w:highlight w:val="none"/>
        </w:rPr>
      </w:pPr>
      <w:bookmarkStart w:id="36" w:name="_Toc458697273"/>
      <w:r>
        <w:rPr>
          <w:rFonts w:hint="eastAsia" w:ascii="宋体" w:hAnsi="宋体" w:cs="宋体"/>
          <w:color w:val="auto"/>
          <w:sz w:val="24"/>
          <w:highlight w:val="none"/>
        </w:rPr>
        <w:t>1.招标方在评标结束后2个工作日内将评标报告交采购人确认。</w:t>
      </w:r>
    </w:p>
    <w:p w14:paraId="1E985928">
      <w:pPr>
        <w:spacing w:line="360" w:lineRule="auto"/>
        <w:rPr>
          <w:rFonts w:ascii="宋体" w:hAnsi="宋体" w:cs="宋体"/>
          <w:color w:val="auto"/>
          <w:sz w:val="24"/>
          <w:highlight w:val="none"/>
        </w:rPr>
      </w:pPr>
      <w:r>
        <w:rPr>
          <w:rFonts w:hint="eastAsia" w:ascii="宋体" w:hAnsi="宋体" w:cs="宋体"/>
          <w:color w:val="auto"/>
          <w:sz w:val="24"/>
          <w:highlight w:val="none"/>
        </w:rPr>
        <w:t>2.采购人应在收到评标报告后5个工作日内对评标结果进行确认。如有投标人对评标结果提出质疑的，采购人可在质疑处理完毕后确定中标人。</w:t>
      </w:r>
    </w:p>
    <w:p w14:paraId="3D2C6CE7">
      <w:pPr>
        <w:spacing w:line="360" w:lineRule="auto"/>
        <w:rPr>
          <w:rFonts w:ascii="宋体" w:hAnsi="宋体" w:cs="宋体"/>
          <w:color w:val="auto"/>
          <w:sz w:val="24"/>
          <w:highlight w:val="none"/>
        </w:rPr>
      </w:pPr>
      <w:r>
        <w:rPr>
          <w:rFonts w:hint="eastAsia" w:ascii="宋体" w:hAnsi="宋体" w:cs="宋体"/>
          <w:color w:val="auto"/>
          <w:sz w:val="24"/>
          <w:highlight w:val="none"/>
        </w:rPr>
        <w:t>3.采购人依法确定中标人后2个工作日内，招标方以书面形式发出《中标通知书》,并同时在相关网站上发布中标公告。</w:t>
      </w:r>
    </w:p>
    <w:p w14:paraId="3B8BC9B1">
      <w:pPr>
        <w:spacing w:line="360" w:lineRule="auto"/>
        <w:rPr>
          <w:rFonts w:ascii="宋体" w:hAnsi="宋体" w:cs="宋体"/>
          <w:color w:val="auto"/>
          <w:sz w:val="24"/>
          <w:highlight w:val="none"/>
        </w:rPr>
      </w:pPr>
      <w:r>
        <w:rPr>
          <w:rFonts w:hint="eastAsia" w:ascii="宋体" w:hAnsi="宋体" w:cs="宋体"/>
          <w:color w:val="auto"/>
          <w:sz w:val="24"/>
          <w:highlight w:val="none"/>
        </w:rPr>
        <w:t>4. 确定中标人后，中标人应在三个工作日内，向招标方领取《中标通知书》，否则按放弃中标资格处理，并因违反诚信原则，提交财政部门列入政府采购黑名单。</w:t>
      </w:r>
    </w:p>
    <w:p w14:paraId="69F4A757">
      <w:pPr>
        <w:pStyle w:val="3"/>
        <w:keepNext w:val="0"/>
        <w:keepLines w:val="0"/>
        <w:pageBreakBefore/>
        <w:spacing w:line="360" w:lineRule="auto"/>
        <w:jc w:val="center"/>
        <w:rPr>
          <w:rFonts w:ascii="宋体" w:hAnsi="宋体" w:eastAsia="宋体" w:cs="宋体"/>
          <w:color w:val="auto"/>
          <w:sz w:val="24"/>
          <w:szCs w:val="24"/>
          <w:highlight w:val="none"/>
        </w:rPr>
      </w:pPr>
      <w:bookmarkStart w:id="37" w:name="_Toc27700"/>
      <w:bookmarkStart w:id="38" w:name="_Toc21497"/>
      <w:r>
        <w:rPr>
          <w:rFonts w:hint="eastAsia" w:ascii="宋体" w:hAnsi="宋体" w:eastAsia="宋体" w:cs="宋体"/>
          <w:color w:val="auto"/>
          <w:sz w:val="24"/>
          <w:szCs w:val="24"/>
          <w:highlight w:val="none"/>
        </w:rPr>
        <w:t>七、合同授予</w:t>
      </w:r>
      <w:bookmarkEnd w:id="36"/>
      <w:bookmarkEnd w:id="37"/>
      <w:bookmarkEnd w:id="38"/>
    </w:p>
    <w:p w14:paraId="2A1F55D5">
      <w:pPr>
        <w:spacing w:line="360" w:lineRule="auto"/>
        <w:rPr>
          <w:rFonts w:ascii="宋体" w:hAnsi="宋体" w:cs="宋体"/>
          <w:b/>
          <w:color w:val="auto"/>
          <w:sz w:val="24"/>
          <w:highlight w:val="none"/>
        </w:rPr>
      </w:pPr>
      <w:r>
        <w:rPr>
          <w:rFonts w:hint="eastAsia" w:ascii="宋体" w:hAnsi="宋体" w:cs="宋体"/>
          <w:b/>
          <w:color w:val="auto"/>
          <w:sz w:val="24"/>
          <w:highlight w:val="none"/>
        </w:rPr>
        <w:t>（一）签订合同</w:t>
      </w:r>
    </w:p>
    <w:p w14:paraId="300ECE27">
      <w:pPr>
        <w:spacing w:line="360" w:lineRule="auto"/>
        <w:rPr>
          <w:rFonts w:ascii="宋体" w:hAnsi="宋体" w:cs="宋体"/>
          <w:color w:val="auto"/>
          <w:sz w:val="24"/>
          <w:highlight w:val="none"/>
        </w:rPr>
      </w:pPr>
      <w:r>
        <w:rPr>
          <w:rFonts w:hint="eastAsia" w:ascii="宋体" w:hAnsi="宋体" w:cs="宋体"/>
          <w:color w:val="auto"/>
          <w:sz w:val="24"/>
          <w:highlight w:val="none"/>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75FCB54F">
      <w:pPr>
        <w:spacing w:line="360" w:lineRule="auto"/>
        <w:rPr>
          <w:rFonts w:ascii="宋体" w:hAnsi="宋体" w:cs="宋体"/>
          <w:color w:val="auto"/>
          <w:sz w:val="24"/>
          <w:highlight w:val="none"/>
        </w:rPr>
      </w:pPr>
      <w:r>
        <w:rPr>
          <w:rFonts w:hint="eastAsia" w:ascii="宋体" w:hAnsi="宋体" w:cs="宋体"/>
          <w:color w:val="auto"/>
          <w:sz w:val="24"/>
          <w:highlight w:val="none"/>
        </w:rPr>
        <w:t>2.成交人按规定的日期、时间、地点，由法定代表人或其授权代表与采购人代表签订合同。如成交人为联合体的，由联合体成员各方法定代表人或其授权代表与采购人代表签订合同。</w:t>
      </w:r>
    </w:p>
    <w:p w14:paraId="55B418A2">
      <w:pPr>
        <w:spacing w:line="360" w:lineRule="auto"/>
        <w:rPr>
          <w:rFonts w:ascii="宋体" w:hAnsi="宋体" w:cs="宋体"/>
          <w:color w:val="auto"/>
          <w:sz w:val="24"/>
          <w:highlight w:val="none"/>
        </w:rPr>
      </w:pPr>
      <w:r>
        <w:rPr>
          <w:rFonts w:hint="eastAsia" w:ascii="宋体" w:hAnsi="宋体" w:cs="宋体"/>
          <w:color w:val="auto"/>
          <w:sz w:val="24"/>
          <w:highlight w:val="none"/>
        </w:rPr>
        <w:t>3.如签订合同并生效后，供应商无故拒绝或延期，除按照合同条款处理外，列入不良行为记录一次，并给予通报。</w:t>
      </w:r>
    </w:p>
    <w:p w14:paraId="2A3681B0">
      <w:pPr>
        <w:spacing w:line="360" w:lineRule="auto"/>
        <w:rPr>
          <w:rFonts w:ascii="宋体" w:hAnsi="宋体" w:cs="宋体"/>
          <w:color w:val="auto"/>
          <w:sz w:val="24"/>
          <w:highlight w:val="none"/>
        </w:rPr>
      </w:pPr>
      <w:r>
        <w:rPr>
          <w:rFonts w:hint="eastAsia" w:ascii="宋体" w:hAnsi="宋体" w:cs="宋体"/>
          <w:color w:val="auto"/>
          <w:sz w:val="24"/>
          <w:highlight w:val="none"/>
        </w:rPr>
        <w:t>4.成交人拒绝与采购人签订合同的，采购人可以按照评审报告推荐的中标或者成交候选人名单排序，确定下一候选人为成交人，也可以重新开展政府采购活动。</w:t>
      </w:r>
    </w:p>
    <w:p w14:paraId="174936F1">
      <w:pPr>
        <w:spacing w:line="360" w:lineRule="auto"/>
        <w:rPr>
          <w:rFonts w:ascii="宋体" w:hAnsi="宋体" w:cs="宋体"/>
          <w:color w:val="auto"/>
          <w:sz w:val="24"/>
          <w:highlight w:val="none"/>
        </w:rPr>
      </w:pPr>
      <w:r>
        <w:rPr>
          <w:rFonts w:hint="eastAsia" w:ascii="宋体" w:hAnsi="宋体" w:cs="宋体"/>
          <w:color w:val="auto"/>
          <w:sz w:val="24"/>
          <w:highlight w:val="none"/>
        </w:rPr>
        <w:t>5.采购合同由采购人与成交人根据采购文件、</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响应文件等内容通过政府采购电子交易平台在线签订，自动备案。</w:t>
      </w:r>
    </w:p>
    <w:p w14:paraId="58DD484E">
      <w:pPr>
        <w:spacing w:line="360" w:lineRule="auto"/>
        <w:rPr>
          <w:rFonts w:ascii="宋体" w:hAnsi="宋体" w:cs="宋体"/>
          <w:bCs/>
          <w:color w:val="auto"/>
          <w:sz w:val="24"/>
          <w:highlight w:val="none"/>
        </w:rPr>
      </w:pPr>
      <w:r>
        <w:rPr>
          <w:rFonts w:hint="eastAsia" w:ascii="宋体" w:hAnsi="宋体" w:cs="宋体"/>
          <w:bCs/>
          <w:color w:val="auto"/>
          <w:sz w:val="24"/>
          <w:highlight w:val="none"/>
        </w:rPr>
        <w:t>6.政府采购货物和服务项目不得收取质量保证金。政府采购工程以及与工程建设有关的货物、服务，采用招标方式采购的，按国家和省有关规定执行。</w:t>
      </w:r>
    </w:p>
    <w:p w14:paraId="4633F128">
      <w:pPr>
        <w:rPr>
          <w:rFonts w:ascii="宋体" w:hAnsi="宋体" w:cs="宋体"/>
          <w:color w:val="auto"/>
          <w:sz w:val="24"/>
          <w:highlight w:val="none"/>
        </w:rPr>
      </w:pPr>
    </w:p>
    <w:p w14:paraId="652E57DB">
      <w:pPr>
        <w:pStyle w:val="6"/>
        <w:pageBreakBefore/>
        <w:snapToGrid w:val="0"/>
        <w:spacing w:before="120" w:after="120" w:line="360" w:lineRule="auto"/>
        <w:jc w:val="center"/>
        <w:outlineLvl w:val="0"/>
        <w:rPr>
          <w:rFonts w:ascii="宋体" w:hAnsi="宋体" w:cs="宋体"/>
          <w:b/>
          <w:color w:val="auto"/>
          <w:szCs w:val="24"/>
          <w:highlight w:val="none"/>
        </w:rPr>
      </w:pPr>
      <w:bookmarkStart w:id="39" w:name="_Toc24049"/>
      <w:bookmarkStart w:id="40" w:name="_Toc11865"/>
      <w:bookmarkStart w:id="41" w:name="_Toc502652282"/>
      <w:bookmarkStart w:id="42" w:name="_Hlt452359758"/>
      <w:bookmarkStart w:id="43" w:name="_Hlt452359757"/>
      <w:r>
        <w:rPr>
          <w:rFonts w:hint="eastAsia" w:ascii="宋体" w:hAnsi="宋体" w:cs="宋体"/>
          <w:b/>
          <w:color w:val="auto"/>
          <w:szCs w:val="24"/>
          <w:highlight w:val="none"/>
        </w:rPr>
        <w:t>第四章  评标办法及评分标准</w:t>
      </w:r>
      <w:bookmarkEnd w:id="39"/>
      <w:bookmarkEnd w:id="40"/>
    </w:p>
    <w:p w14:paraId="71965FA1">
      <w:pPr>
        <w:spacing w:line="5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746EB10A">
      <w:pPr>
        <w:spacing w:line="5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东阳市人民医院肾穿刺病理检测外送服务项目</w:t>
      </w:r>
      <w:r>
        <w:rPr>
          <w:rFonts w:hint="eastAsia" w:ascii="宋体" w:hAnsi="宋体" w:cs="宋体"/>
          <w:color w:val="auto"/>
          <w:sz w:val="24"/>
          <w:highlight w:val="none"/>
        </w:rPr>
        <w:t>的评标。</w:t>
      </w:r>
    </w:p>
    <w:p w14:paraId="1A0B22F1">
      <w:pPr>
        <w:spacing w:line="580" w:lineRule="exact"/>
        <w:rPr>
          <w:rFonts w:ascii="宋体" w:hAnsi="宋体" w:cs="宋体"/>
          <w:b/>
          <w:color w:val="auto"/>
          <w:sz w:val="24"/>
          <w:highlight w:val="none"/>
        </w:rPr>
      </w:pPr>
      <w:bookmarkStart w:id="44" w:name="_Toc26574"/>
      <w:bookmarkStart w:id="45" w:name="_Toc452728219"/>
      <w:bookmarkStart w:id="46" w:name="_Toc12525"/>
      <w:bookmarkStart w:id="47" w:name="_Toc31315"/>
      <w:r>
        <w:rPr>
          <w:rFonts w:hint="eastAsia" w:ascii="宋体" w:hAnsi="宋体" w:cs="宋体"/>
          <w:b/>
          <w:color w:val="auto"/>
          <w:sz w:val="24"/>
          <w:highlight w:val="none"/>
        </w:rPr>
        <w:t>一、总则</w:t>
      </w:r>
      <w:bookmarkEnd w:id="44"/>
      <w:bookmarkEnd w:id="45"/>
      <w:bookmarkEnd w:id="46"/>
      <w:bookmarkEnd w:id="47"/>
    </w:p>
    <w:p w14:paraId="2A5D66D7">
      <w:pPr>
        <w:spacing w:line="5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本次评标采用综合评分法，总分为100分，其中价格分</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分，技术、商务、资信及其他分</w:t>
      </w:r>
      <w:r>
        <w:rPr>
          <w:rFonts w:hint="eastAsia" w:ascii="宋体" w:hAnsi="宋体" w:cs="宋体"/>
          <w:color w:val="auto"/>
          <w:sz w:val="24"/>
          <w:highlight w:val="none"/>
          <w:lang w:val="en-US" w:eastAsia="zh-CN"/>
        </w:rPr>
        <w:t>70</w:t>
      </w:r>
      <w:r>
        <w:rPr>
          <w:rFonts w:hint="eastAsia" w:ascii="宋体" w:hAnsi="宋体" w:cs="宋体"/>
          <w:color w:val="auto"/>
          <w:sz w:val="24"/>
          <w:highlight w:val="none"/>
        </w:rPr>
        <w:t>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有效投标人为 3家时推荐2名中标候选人，有效投标人大于3家时，推荐3名中标候选人)……其他投标人中标候选资格依此类推。评分过程中采用四舍五入法，并保留小数2位。</w:t>
      </w:r>
    </w:p>
    <w:p w14:paraId="3A3E97B0">
      <w:pPr>
        <w:spacing w:line="5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投标人评标综合得分=价格分+(技术分+商务分+资信及其他分)</w:t>
      </w:r>
    </w:p>
    <w:p w14:paraId="5BB0B655">
      <w:pPr>
        <w:numPr>
          <w:ilvl w:val="0"/>
          <w:numId w:val="4"/>
        </w:numPr>
        <w:spacing w:line="580" w:lineRule="exact"/>
        <w:rPr>
          <w:rFonts w:ascii="宋体" w:hAnsi="宋体" w:cs="宋体"/>
          <w:b/>
          <w:color w:val="auto"/>
          <w:sz w:val="24"/>
          <w:highlight w:val="none"/>
        </w:rPr>
      </w:pPr>
      <w:bookmarkStart w:id="48" w:name="_Toc16785"/>
      <w:bookmarkStart w:id="49" w:name="_Toc452728220"/>
      <w:bookmarkStart w:id="50" w:name="_Toc12387"/>
      <w:bookmarkStart w:id="51" w:name="_Toc6122"/>
      <w:r>
        <w:rPr>
          <w:rFonts w:hint="eastAsia" w:ascii="宋体" w:hAnsi="宋体" w:cs="宋体"/>
          <w:b/>
          <w:color w:val="auto"/>
          <w:sz w:val="24"/>
          <w:highlight w:val="none"/>
        </w:rPr>
        <w:t>评标内容及标准</w:t>
      </w:r>
      <w:bookmarkEnd w:id="48"/>
      <w:bookmarkEnd w:id="49"/>
      <w:bookmarkEnd w:id="50"/>
      <w:bookmarkEnd w:id="51"/>
    </w:p>
    <w:p w14:paraId="1172AA9D">
      <w:pPr>
        <w:pStyle w:val="6"/>
        <w:spacing w:before="120" w:after="120" w:line="580" w:lineRule="exact"/>
        <w:rPr>
          <w:rFonts w:ascii="宋体" w:hAnsi="宋体" w:cs="宋体"/>
          <w:b/>
          <w:bCs/>
          <w:color w:val="auto"/>
          <w:szCs w:val="24"/>
          <w:highlight w:val="none"/>
        </w:rPr>
      </w:pPr>
      <w:r>
        <w:rPr>
          <w:rFonts w:hint="eastAsia" w:ascii="宋体" w:hAnsi="宋体" w:cs="宋体"/>
          <w:b/>
          <w:bCs/>
          <w:color w:val="auto"/>
          <w:szCs w:val="24"/>
          <w:highlight w:val="none"/>
        </w:rPr>
        <w:t>（一）技术、商务、资信及其他分（</w:t>
      </w:r>
      <w:r>
        <w:rPr>
          <w:rFonts w:hint="eastAsia" w:ascii="宋体" w:hAnsi="宋体" w:cs="宋体"/>
          <w:b/>
          <w:bCs/>
          <w:color w:val="auto"/>
          <w:szCs w:val="24"/>
          <w:highlight w:val="none"/>
          <w:lang w:val="en-US" w:eastAsia="zh-CN"/>
        </w:rPr>
        <w:t>70</w:t>
      </w:r>
      <w:r>
        <w:rPr>
          <w:rFonts w:hint="eastAsia" w:ascii="宋体" w:hAnsi="宋体" w:cs="宋体"/>
          <w:b/>
          <w:bCs/>
          <w:color w:val="auto"/>
          <w:szCs w:val="24"/>
          <w:highlight w:val="none"/>
        </w:rPr>
        <w:t>分）</w:t>
      </w:r>
    </w:p>
    <w:p w14:paraId="6C9D5589">
      <w:pPr>
        <w:spacing w:line="5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技术、商务资信及其他分响应标书要求的投标单位全部进入商务报价评审。</w:t>
      </w:r>
    </w:p>
    <w:p w14:paraId="5DA7106D">
      <w:pPr>
        <w:pStyle w:val="8"/>
        <w:spacing w:line="580" w:lineRule="exact"/>
        <w:ind w:left="0" w:leftChars="0"/>
        <w:rPr>
          <w:rFonts w:ascii="宋体" w:hAnsi="宋体" w:cs="宋体"/>
          <w:b/>
          <w:bCs/>
          <w:color w:val="auto"/>
          <w:sz w:val="24"/>
          <w:highlight w:val="none"/>
        </w:rPr>
      </w:pPr>
      <w:r>
        <w:rPr>
          <w:rFonts w:hint="eastAsia" w:ascii="宋体" w:hAnsi="宋体" w:cs="宋体"/>
          <w:b/>
          <w:color w:val="auto"/>
          <w:sz w:val="24"/>
          <w:highlight w:val="none"/>
        </w:rPr>
        <w:t>（二）</w:t>
      </w:r>
      <w:r>
        <w:rPr>
          <w:rFonts w:hint="eastAsia" w:ascii="宋体" w:hAnsi="宋体" w:cs="宋体"/>
          <w:b/>
          <w:bCs/>
          <w:color w:val="auto"/>
          <w:sz w:val="24"/>
          <w:highlight w:val="none"/>
        </w:rPr>
        <w:t>价格分（</w:t>
      </w:r>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rPr>
        <w:t xml:space="preserve">分） </w:t>
      </w:r>
    </w:p>
    <w:p w14:paraId="5AAA95AC">
      <w:pPr>
        <w:spacing w:before="120" w:beforeLines="50" w:after="120" w:afterLines="50" w:line="360" w:lineRule="auto"/>
        <w:ind w:firstLine="464" w:firstLineChars="200"/>
        <w:rPr>
          <w:rFonts w:ascii="宋体" w:hAnsi="宋体" w:cs="宋体"/>
          <w:bCs/>
          <w:color w:val="auto"/>
          <w:sz w:val="24"/>
          <w:highlight w:val="none"/>
        </w:rPr>
      </w:pPr>
      <w:r>
        <w:rPr>
          <w:rFonts w:hint="eastAsia" w:ascii="宋体" w:hAnsi="宋体" w:cs="宋体"/>
          <w:bCs/>
          <w:color w:val="auto"/>
          <w:spacing w:val="-4"/>
          <w:sz w:val="24"/>
          <w:szCs w:val="20"/>
          <w:highlight w:val="none"/>
        </w:rPr>
        <w:t>（1）</w:t>
      </w:r>
      <w:r>
        <w:rPr>
          <w:rFonts w:hint="eastAsia" w:ascii="宋体" w:hAnsi="宋体" w:cs="宋体"/>
          <w:bCs/>
          <w:color w:val="auto"/>
          <w:sz w:val="24"/>
          <w:highlight w:val="none"/>
        </w:rPr>
        <w:t>价格分采用低价优先法计算，取所有技术、资信商务得分入围投标人中，投标价格最低的投标报价为评标基准价（</w:t>
      </w:r>
      <w:r>
        <w:rPr>
          <w:rFonts w:hint="eastAsia" w:ascii="宋体" w:hAnsi="宋体" w:cs="宋体"/>
          <w:color w:val="auto"/>
          <w:sz w:val="24"/>
          <w:highlight w:val="none"/>
        </w:rPr>
        <w:t>小型、微型企业待遇报价</w:t>
      </w:r>
      <w:r>
        <w:rPr>
          <w:rFonts w:hint="eastAsia" w:ascii="宋体" w:hAnsi="宋体" w:cs="宋体"/>
          <w:bCs/>
          <w:color w:val="auto"/>
          <w:spacing w:val="-4"/>
          <w:sz w:val="24"/>
          <w:szCs w:val="20"/>
          <w:highlight w:val="none"/>
        </w:rPr>
        <w:t>或监狱企业待遇报价或残疾人福利企业待遇报价</w:t>
      </w:r>
      <w:r>
        <w:rPr>
          <w:rFonts w:hint="eastAsia" w:ascii="宋体" w:hAnsi="宋体" w:cs="宋体"/>
          <w:color w:val="auto"/>
          <w:sz w:val="24"/>
          <w:highlight w:val="none"/>
        </w:rPr>
        <w:t>低于最低投标报价时，小型、微型企业待遇报价</w:t>
      </w:r>
      <w:r>
        <w:rPr>
          <w:rFonts w:hint="eastAsia" w:ascii="宋体" w:hAnsi="宋体" w:cs="宋体"/>
          <w:bCs/>
          <w:color w:val="auto"/>
          <w:spacing w:val="-4"/>
          <w:sz w:val="24"/>
          <w:szCs w:val="20"/>
          <w:highlight w:val="none"/>
        </w:rPr>
        <w:t>或监狱企业待遇报价或残疾人福利企业待遇报价</w:t>
      </w:r>
      <w:r>
        <w:rPr>
          <w:rFonts w:hint="eastAsia" w:ascii="宋体" w:hAnsi="宋体" w:cs="宋体"/>
          <w:color w:val="auto"/>
          <w:sz w:val="24"/>
          <w:highlight w:val="none"/>
        </w:rPr>
        <w:t>为评标基准价</w:t>
      </w:r>
      <w:r>
        <w:rPr>
          <w:rFonts w:hint="eastAsia" w:ascii="宋体" w:hAnsi="宋体" w:cs="宋体"/>
          <w:bCs/>
          <w:color w:val="auto"/>
          <w:sz w:val="24"/>
          <w:highlight w:val="none"/>
        </w:rPr>
        <w:t>），其他投标人的价格分按照下列公式计算：</w:t>
      </w:r>
    </w:p>
    <w:p w14:paraId="281EA253">
      <w:pPr>
        <w:spacing w:before="120" w:beforeLines="50" w:after="120" w:afterLines="50" w:line="360" w:lineRule="auto"/>
        <w:ind w:firstLine="464" w:firstLineChars="200"/>
        <w:rPr>
          <w:rFonts w:ascii="宋体" w:hAnsi="宋体" w:cs="宋体"/>
          <w:bCs/>
          <w:color w:val="auto"/>
          <w:spacing w:val="-4"/>
          <w:sz w:val="24"/>
          <w:szCs w:val="20"/>
          <w:highlight w:val="none"/>
        </w:rPr>
      </w:pPr>
      <w:r>
        <w:rPr>
          <w:rFonts w:hint="eastAsia" w:ascii="宋体" w:hAnsi="宋体" w:cs="宋体"/>
          <w:bCs/>
          <w:color w:val="auto"/>
          <w:spacing w:val="-4"/>
          <w:sz w:val="24"/>
          <w:szCs w:val="20"/>
          <w:highlight w:val="none"/>
        </w:rPr>
        <w:t>价格分=评标基准价/投标报价（或小型、微型企业待遇报价或监狱企业待遇报价或残疾人福利企业待遇报价）×</w:t>
      </w:r>
      <w:r>
        <w:rPr>
          <w:rFonts w:hint="eastAsia" w:ascii="宋体" w:hAnsi="宋体" w:cs="宋体"/>
          <w:bCs/>
          <w:color w:val="auto"/>
          <w:spacing w:val="-4"/>
          <w:sz w:val="24"/>
          <w:szCs w:val="20"/>
          <w:highlight w:val="none"/>
          <w:lang w:val="en-US" w:eastAsia="zh-CN"/>
        </w:rPr>
        <w:t>3</w:t>
      </w:r>
      <w:r>
        <w:rPr>
          <w:rFonts w:hint="eastAsia" w:ascii="宋体" w:hAnsi="宋体" w:cs="宋体"/>
          <w:bCs/>
          <w:color w:val="auto"/>
          <w:spacing w:val="-4"/>
          <w:sz w:val="24"/>
          <w:szCs w:val="20"/>
          <w:highlight w:val="none"/>
        </w:rPr>
        <w:t>0</w:t>
      </w:r>
    </w:p>
    <w:p w14:paraId="4DFD1AED">
      <w:pPr>
        <w:numPr>
          <w:ilvl w:val="0"/>
          <w:numId w:val="8"/>
        </w:numPr>
        <w:tabs>
          <w:tab w:val="left" w:pos="982"/>
        </w:tabs>
        <w:snapToGrid w:val="0"/>
        <w:spacing w:line="360" w:lineRule="auto"/>
        <w:ind w:left="-2" w:leftChars="-1" w:firstLine="528" w:firstLineChars="220"/>
        <w:rPr>
          <w:rFonts w:ascii="宋体" w:hAnsi="宋体" w:cs="宋体"/>
          <w:bCs/>
          <w:color w:val="auto"/>
          <w:spacing w:val="-4"/>
          <w:sz w:val="24"/>
          <w:highlight w:val="none"/>
        </w:rPr>
      </w:pPr>
      <w:r>
        <w:rPr>
          <w:rFonts w:hint="eastAsia" w:ascii="宋体" w:hAnsi="宋体" w:cs="宋体"/>
          <w:color w:val="auto"/>
          <w:sz w:val="24"/>
          <w:highlight w:val="none"/>
        </w:rPr>
        <w:t>根据</w:t>
      </w:r>
      <w:r>
        <w:rPr>
          <w:rFonts w:hint="eastAsia" w:ascii="宋体" w:hAnsi="宋体" w:cs="宋体"/>
          <w:bCs/>
          <w:color w:val="auto"/>
          <w:spacing w:val="-4"/>
          <w:sz w:val="24"/>
          <w:highlight w:val="none"/>
        </w:rPr>
        <w:t>《关于印发&lt;政府采购促进中小企业发展管理办法&gt;的通知》(财库〔2020〕46号)文件、《财政部、司法部关于政府采购支持监狱企业发展有关问题的通知》（财库〔2014〕68号）文件及《财政部、民政部、中国残疾人联合会关于促进残疾人就业政府采购政策的通知》（财库〔2017〕141号）的规定，本项目对小型和微型企业、监狱企业、残疾人福利性单位价格给予20%扣除，用扣除后的价格参与评审，但不重复享受价格扣除。</w:t>
      </w:r>
    </w:p>
    <w:p w14:paraId="0E8DC928">
      <w:pPr>
        <w:tabs>
          <w:tab w:val="left" w:pos="982"/>
        </w:tabs>
        <w:snapToGrid w:val="0"/>
        <w:spacing w:line="360" w:lineRule="auto"/>
        <w:ind w:firstLine="464" w:firstLineChars="200"/>
        <w:rPr>
          <w:color w:val="auto"/>
          <w:highlight w:val="none"/>
        </w:rPr>
      </w:pPr>
      <w:r>
        <w:rPr>
          <w:rFonts w:hint="eastAsia" w:ascii="宋体" w:hAnsi="宋体" w:cs="宋体"/>
          <w:bCs/>
          <w:color w:val="auto"/>
          <w:spacing w:val="-4"/>
          <w:sz w:val="24"/>
          <w:highlight w:val="none"/>
        </w:rPr>
        <w:t>大中型企业与小微企业组成联合体或者允许大中型企业向一家或者多家小微企业分包的政府采购货物或服务项目，对于联合体协议或者分包意向协议约定小微企业的合同份额占到合同总金额</w:t>
      </w:r>
      <w:r>
        <w:rPr>
          <w:rFonts w:hint="eastAsia" w:ascii="宋体" w:hAnsi="宋体" w:cs="宋体"/>
          <w:bCs/>
          <w:color w:val="auto"/>
          <w:spacing w:val="-4"/>
          <w:sz w:val="24"/>
          <w:highlight w:val="none"/>
          <w:lang w:val="en-US" w:eastAsia="zh-CN"/>
        </w:rPr>
        <w:t>4</w:t>
      </w:r>
      <w:r>
        <w:rPr>
          <w:rFonts w:hint="eastAsia" w:ascii="宋体" w:hAnsi="宋体" w:cs="宋体"/>
          <w:bCs/>
          <w:color w:val="auto"/>
          <w:spacing w:val="-4"/>
          <w:sz w:val="24"/>
          <w:highlight w:val="none"/>
        </w:rPr>
        <w:t>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B001B61">
      <w:pPr>
        <w:tabs>
          <w:tab w:val="left" w:pos="982"/>
        </w:tabs>
        <w:snapToGrid w:val="0"/>
        <w:spacing w:line="360" w:lineRule="auto"/>
        <w:ind w:firstLine="464" w:firstLineChars="200"/>
        <w:rPr>
          <w:color w:val="auto"/>
          <w:highlight w:val="none"/>
        </w:rPr>
      </w:pPr>
      <w:r>
        <w:rPr>
          <w:rFonts w:hint="eastAsia" w:ascii="宋体" w:hAnsi="宋体" w:cs="宋体"/>
          <w:bCs/>
          <w:color w:val="auto"/>
          <w:spacing w:val="-4"/>
          <w:sz w:val="24"/>
          <w:highlight w:val="none"/>
        </w:rPr>
        <w:t>小型和微型企业是指投标文件中提供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p w14:paraId="34DF0732">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（三）技术、商务、资信及其他分的计算</w:t>
      </w:r>
    </w:p>
    <w:p w14:paraId="57656E65">
      <w:pPr>
        <w:spacing w:before="120" w:beforeLines="50" w:after="12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技术、商务、资信及其他分按照评标委员会成员的独立评分结果的算术平均分计算，计算公式为：</w:t>
      </w:r>
    </w:p>
    <w:p w14:paraId="3734F8CC">
      <w:pPr>
        <w:spacing w:before="120" w:beforeLines="50" w:after="120" w:afterLines="50" w:line="58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技术商务资信及其他分=评标委员会所有成员有效评分合计数/5</w:t>
      </w:r>
    </w:p>
    <w:p w14:paraId="458259C5">
      <w:pPr>
        <w:pStyle w:val="6"/>
        <w:numPr>
          <w:ilvl w:val="0"/>
          <w:numId w:val="9"/>
        </w:numPr>
        <w:spacing w:before="120" w:after="120" w:line="580" w:lineRule="exact"/>
        <w:rPr>
          <w:rFonts w:ascii="宋体" w:hAnsi="宋体" w:cs="宋体"/>
          <w:b/>
          <w:bCs/>
          <w:color w:val="auto"/>
          <w:szCs w:val="24"/>
          <w:highlight w:val="none"/>
        </w:rPr>
      </w:pPr>
      <w:r>
        <w:rPr>
          <w:rFonts w:hint="eastAsia" w:ascii="宋体" w:hAnsi="宋体" w:cs="宋体"/>
          <w:b/>
          <w:bCs/>
          <w:color w:val="auto"/>
          <w:szCs w:val="24"/>
          <w:highlight w:val="none"/>
        </w:rPr>
        <w:t>技术分、商务分、资信及其他分评分标准，共</w:t>
      </w:r>
      <w:r>
        <w:rPr>
          <w:rFonts w:hint="eastAsia" w:ascii="宋体" w:hAnsi="宋体" w:cs="宋体"/>
          <w:b/>
          <w:bCs/>
          <w:color w:val="auto"/>
          <w:szCs w:val="24"/>
          <w:highlight w:val="none"/>
          <w:lang w:val="en-US" w:eastAsia="zh-CN"/>
        </w:rPr>
        <w:t>70</w:t>
      </w:r>
      <w:r>
        <w:rPr>
          <w:rFonts w:hint="eastAsia" w:ascii="宋体" w:hAnsi="宋体" w:cs="宋体"/>
          <w:b/>
          <w:bCs/>
          <w:color w:val="auto"/>
          <w:szCs w:val="24"/>
          <w:highlight w:val="none"/>
        </w:rPr>
        <w:t xml:space="preserve">分  </w:t>
      </w:r>
    </w:p>
    <w:tbl>
      <w:tblPr>
        <w:tblStyle w:val="28"/>
        <w:tblpPr w:leftFromText="180" w:rightFromText="180" w:vertAnchor="text" w:horzAnchor="page" w:tblpX="1072" w:tblpY="453"/>
        <w:tblOverlap w:val="never"/>
        <w:tblW w:w="1018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0"/>
        <w:gridCol w:w="382"/>
        <w:gridCol w:w="1354"/>
        <w:gridCol w:w="6837"/>
        <w:gridCol w:w="832"/>
      </w:tblGrid>
      <w:tr w14:paraId="5E029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0" w:type="dxa"/>
            <w:tcBorders>
              <w:top w:val="single" w:color="auto" w:sz="4" w:space="0"/>
              <w:bottom w:val="single" w:color="auto" w:sz="4" w:space="0"/>
              <w:right w:val="single" w:color="auto" w:sz="4" w:space="0"/>
            </w:tcBorders>
            <w:vAlign w:val="center"/>
          </w:tcPr>
          <w:p w14:paraId="5D203A54">
            <w:pPr>
              <w:pStyle w:val="22"/>
              <w:spacing w:line="360" w:lineRule="auto"/>
              <w:ind w:firstLine="0"/>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736" w:type="dxa"/>
            <w:gridSpan w:val="2"/>
            <w:tcBorders>
              <w:top w:val="single" w:color="auto" w:sz="4" w:space="0"/>
              <w:left w:val="single" w:color="auto" w:sz="4" w:space="0"/>
              <w:bottom w:val="single" w:color="auto" w:sz="4" w:space="0"/>
              <w:right w:val="single" w:color="auto" w:sz="4" w:space="0"/>
            </w:tcBorders>
            <w:vAlign w:val="center"/>
          </w:tcPr>
          <w:p w14:paraId="287EB01B">
            <w:pPr>
              <w:pStyle w:val="22"/>
              <w:spacing w:line="360" w:lineRule="auto"/>
              <w:ind w:firstLine="0"/>
              <w:jc w:val="center"/>
              <w:rPr>
                <w:rFonts w:ascii="宋体" w:hAnsi="宋体" w:cs="宋体"/>
                <w:b/>
                <w:bCs/>
                <w:color w:val="auto"/>
                <w:sz w:val="24"/>
                <w:highlight w:val="none"/>
              </w:rPr>
            </w:pPr>
            <w:r>
              <w:rPr>
                <w:rFonts w:hint="eastAsia" w:ascii="宋体" w:hAnsi="宋体" w:cs="宋体"/>
                <w:b/>
                <w:bCs/>
                <w:color w:val="auto"/>
                <w:sz w:val="24"/>
                <w:highlight w:val="none"/>
              </w:rPr>
              <w:t>评审内容</w:t>
            </w:r>
          </w:p>
        </w:tc>
        <w:tc>
          <w:tcPr>
            <w:tcW w:w="6837" w:type="dxa"/>
            <w:tcBorders>
              <w:top w:val="single" w:color="auto" w:sz="4" w:space="0"/>
              <w:left w:val="single" w:color="auto" w:sz="4" w:space="0"/>
              <w:bottom w:val="single" w:color="auto" w:sz="4" w:space="0"/>
              <w:right w:val="single" w:color="auto" w:sz="4" w:space="0"/>
            </w:tcBorders>
            <w:vAlign w:val="center"/>
          </w:tcPr>
          <w:p w14:paraId="0651771C">
            <w:pPr>
              <w:pStyle w:val="22"/>
              <w:spacing w:line="360" w:lineRule="auto"/>
              <w:ind w:firstLine="482"/>
              <w:jc w:val="center"/>
              <w:rPr>
                <w:rFonts w:ascii="宋体" w:hAnsi="宋体" w:cs="宋体"/>
                <w:b/>
                <w:bCs/>
                <w:color w:val="auto"/>
                <w:sz w:val="24"/>
                <w:highlight w:val="none"/>
              </w:rPr>
            </w:pPr>
            <w:r>
              <w:rPr>
                <w:rFonts w:hint="eastAsia" w:ascii="宋体" w:hAnsi="宋体" w:cs="宋体"/>
                <w:b/>
                <w:bCs/>
                <w:color w:val="auto"/>
                <w:sz w:val="24"/>
                <w:highlight w:val="none"/>
              </w:rPr>
              <w:t>评分标准</w:t>
            </w:r>
          </w:p>
        </w:tc>
        <w:tc>
          <w:tcPr>
            <w:tcW w:w="832" w:type="dxa"/>
            <w:tcBorders>
              <w:top w:val="single" w:color="auto" w:sz="4" w:space="0"/>
              <w:left w:val="single" w:color="auto" w:sz="4" w:space="0"/>
              <w:bottom w:val="single" w:color="auto" w:sz="4" w:space="0"/>
            </w:tcBorders>
            <w:vAlign w:val="center"/>
          </w:tcPr>
          <w:p w14:paraId="6DDC6C83">
            <w:pPr>
              <w:pStyle w:val="22"/>
              <w:spacing w:line="360" w:lineRule="auto"/>
              <w:ind w:firstLine="0"/>
              <w:jc w:val="center"/>
              <w:rPr>
                <w:rFonts w:ascii="宋体" w:hAnsi="宋体" w:cs="宋体"/>
                <w:b/>
                <w:bCs/>
                <w:color w:val="auto"/>
                <w:sz w:val="24"/>
                <w:highlight w:val="none"/>
              </w:rPr>
            </w:pPr>
            <w:r>
              <w:rPr>
                <w:rFonts w:hint="eastAsia" w:ascii="宋体" w:hAnsi="宋体" w:cs="宋体"/>
                <w:b/>
                <w:bCs/>
                <w:color w:val="auto"/>
                <w:sz w:val="24"/>
                <w:highlight w:val="none"/>
              </w:rPr>
              <w:t>分值</w:t>
            </w:r>
          </w:p>
        </w:tc>
      </w:tr>
      <w:tr w14:paraId="59108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780" w:type="dxa"/>
            <w:tcBorders>
              <w:top w:val="single" w:color="auto" w:sz="4" w:space="0"/>
              <w:bottom w:val="single" w:color="auto" w:sz="4" w:space="0"/>
              <w:right w:val="single" w:color="auto" w:sz="4" w:space="0"/>
            </w:tcBorders>
            <w:vAlign w:val="center"/>
          </w:tcPr>
          <w:p w14:paraId="0916DB79">
            <w:pPr>
              <w:pStyle w:val="22"/>
              <w:spacing w:line="360" w:lineRule="auto"/>
              <w:ind w:firstLine="0"/>
              <w:jc w:val="center"/>
              <w:rPr>
                <w:rFonts w:ascii="宋体" w:hAnsi="宋体" w:cs="宋体"/>
                <w:b/>
                <w:bCs/>
                <w:color w:val="auto"/>
                <w:sz w:val="24"/>
                <w:highlight w:val="none"/>
              </w:rPr>
            </w:pPr>
            <w:r>
              <w:rPr>
                <w:rFonts w:hint="eastAsia" w:ascii="宋体" w:hAnsi="宋体" w:cs="宋体"/>
                <w:b/>
                <w:bCs/>
                <w:color w:val="auto"/>
                <w:sz w:val="24"/>
                <w:highlight w:val="none"/>
              </w:rPr>
              <w:t>一</w:t>
            </w:r>
          </w:p>
        </w:tc>
        <w:tc>
          <w:tcPr>
            <w:tcW w:w="8573" w:type="dxa"/>
            <w:gridSpan w:val="3"/>
            <w:tcBorders>
              <w:top w:val="single" w:color="auto" w:sz="4" w:space="0"/>
              <w:left w:val="single" w:color="auto" w:sz="4" w:space="0"/>
              <w:bottom w:val="single" w:color="auto" w:sz="4" w:space="0"/>
              <w:right w:val="single" w:color="auto" w:sz="4" w:space="0"/>
            </w:tcBorders>
            <w:vAlign w:val="center"/>
          </w:tcPr>
          <w:p w14:paraId="31DE9C16">
            <w:pPr>
              <w:pStyle w:val="22"/>
              <w:spacing w:line="360" w:lineRule="auto"/>
              <w:ind w:firstLine="482"/>
              <w:jc w:val="center"/>
              <w:rPr>
                <w:rFonts w:ascii="宋体" w:hAnsi="宋体" w:cs="宋体"/>
                <w:b/>
                <w:bCs/>
                <w:color w:val="auto"/>
                <w:sz w:val="24"/>
                <w:highlight w:val="none"/>
              </w:rPr>
            </w:pPr>
            <w:r>
              <w:rPr>
                <w:rFonts w:hint="eastAsia" w:ascii="宋体" w:hAnsi="宋体" w:cs="宋体"/>
                <w:b/>
                <w:bCs/>
                <w:color w:val="auto"/>
                <w:sz w:val="24"/>
                <w:highlight w:val="none"/>
              </w:rPr>
              <w:t>技术分</w:t>
            </w:r>
          </w:p>
        </w:tc>
        <w:tc>
          <w:tcPr>
            <w:tcW w:w="832" w:type="dxa"/>
            <w:tcBorders>
              <w:top w:val="single" w:color="auto" w:sz="4" w:space="0"/>
              <w:left w:val="single" w:color="auto" w:sz="4" w:space="0"/>
              <w:bottom w:val="single" w:color="auto" w:sz="4" w:space="0"/>
            </w:tcBorders>
            <w:vAlign w:val="center"/>
          </w:tcPr>
          <w:p w14:paraId="2CFAC717">
            <w:pPr>
              <w:pStyle w:val="22"/>
              <w:spacing w:line="360" w:lineRule="auto"/>
              <w:ind w:firstLine="0"/>
              <w:jc w:val="center"/>
              <w:rPr>
                <w:rFonts w:ascii="宋体" w:hAnsi="宋体" w:cs="宋体"/>
                <w:b/>
                <w:bCs/>
                <w:color w:val="auto"/>
                <w:sz w:val="24"/>
                <w:highlight w:val="none"/>
              </w:rPr>
            </w:pPr>
            <w:r>
              <w:rPr>
                <w:rFonts w:hint="eastAsia" w:ascii="宋体" w:hAnsi="宋体" w:cs="宋体"/>
                <w:b/>
                <w:bCs/>
                <w:color w:val="auto"/>
                <w:sz w:val="24"/>
                <w:highlight w:val="none"/>
                <w:lang w:val="en-US" w:eastAsia="zh-CN"/>
              </w:rPr>
              <w:t>47</w:t>
            </w:r>
            <w:r>
              <w:rPr>
                <w:rFonts w:hint="eastAsia" w:ascii="宋体" w:hAnsi="宋体" w:cs="宋体"/>
                <w:b/>
                <w:bCs/>
                <w:color w:val="auto"/>
                <w:sz w:val="24"/>
                <w:highlight w:val="none"/>
              </w:rPr>
              <w:t>分</w:t>
            </w:r>
          </w:p>
        </w:tc>
      </w:tr>
      <w:tr w14:paraId="69CCB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80" w:type="dxa"/>
            <w:tcBorders>
              <w:top w:val="single" w:color="auto" w:sz="4" w:space="0"/>
              <w:bottom w:val="single" w:color="auto" w:sz="4" w:space="0"/>
              <w:right w:val="single" w:color="auto" w:sz="4" w:space="0"/>
            </w:tcBorders>
            <w:vAlign w:val="center"/>
          </w:tcPr>
          <w:p w14:paraId="69F7C3ED">
            <w:pPr>
              <w:pStyle w:val="22"/>
              <w:spacing w:line="360" w:lineRule="auto"/>
              <w:ind w:firstLine="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82" w:type="dxa"/>
            <w:vMerge w:val="restart"/>
            <w:tcBorders>
              <w:left w:val="single" w:color="auto" w:sz="4" w:space="0"/>
              <w:right w:val="single" w:color="auto" w:sz="4" w:space="0"/>
            </w:tcBorders>
            <w:vAlign w:val="center"/>
          </w:tcPr>
          <w:p w14:paraId="57AC3D17">
            <w:pPr>
              <w:spacing w:line="360" w:lineRule="auto"/>
              <w:jc w:val="center"/>
              <w:rPr>
                <w:rFonts w:hint="eastAsia" w:ascii="宋体" w:hAnsi="宋体" w:cs="宋体"/>
                <w:color w:val="auto"/>
                <w:sz w:val="24"/>
                <w:highlight w:val="none"/>
                <w:lang w:val="en-US" w:eastAsia="zh-CN"/>
              </w:rPr>
            </w:pPr>
          </w:p>
          <w:p w14:paraId="3A3FB88E">
            <w:pPr>
              <w:spacing w:line="360" w:lineRule="auto"/>
              <w:jc w:val="center"/>
              <w:rPr>
                <w:rFonts w:hint="eastAsia" w:ascii="宋体" w:hAnsi="宋体" w:cs="宋体"/>
                <w:color w:val="auto"/>
                <w:sz w:val="24"/>
                <w:highlight w:val="none"/>
                <w:lang w:val="en-US" w:eastAsia="zh-CN"/>
              </w:rPr>
            </w:pPr>
          </w:p>
          <w:p w14:paraId="1C3180B9">
            <w:pPr>
              <w:spacing w:line="360" w:lineRule="auto"/>
              <w:jc w:val="center"/>
              <w:rPr>
                <w:rFonts w:hint="eastAsia" w:ascii="宋体" w:hAnsi="宋体" w:cs="宋体"/>
                <w:color w:val="auto"/>
                <w:sz w:val="24"/>
                <w:highlight w:val="none"/>
                <w:lang w:val="en-US" w:eastAsia="zh-CN"/>
              </w:rPr>
            </w:pPr>
          </w:p>
          <w:p w14:paraId="4B47E342">
            <w:pPr>
              <w:spacing w:line="360" w:lineRule="auto"/>
              <w:jc w:val="center"/>
              <w:rPr>
                <w:rFonts w:hint="eastAsia" w:ascii="宋体" w:hAnsi="宋体" w:cs="宋体"/>
                <w:color w:val="auto"/>
                <w:sz w:val="24"/>
                <w:highlight w:val="none"/>
                <w:lang w:val="en-US" w:eastAsia="zh-CN"/>
              </w:rPr>
            </w:pPr>
          </w:p>
          <w:p w14:paraId="0E0946CF">
            <w:pPr>
              <w:spacing w:line="360" w:lineRule="auto"/>
              <w:jc w:val="center"/>
              <w:rPr>
                <w:rFonts w:hint="eastAsia" w:ascii="宋体" w:hAnsi="宋体" w:cs="宋体"/>
                <w:color w:val="auto"/>
                <w:sz w:val="24"/>
                <w:highlight w:val="none"/>
                <w:lang w:val="en-US" w:eastAsia="zh-CN"/>
              </w:rPr>
            </w:pPr>
          </w:p>
          <w:p w14:paraId="6530674A">
            <w:pPr>
              <w:spacing w:line="360" w:lineRule="auto"/>
              <w:jc w:val="center"/>
              <w:rPr>
                <w:rFonts w:hint="eastAsia" w:ascii="宋体" w:hAnsi="宋体" w:cs="宋体"/>
                <w:color w:val="auto"/>
                <w:sz w:val="24"/>
                <w:highlight w:val="none"/>
                <w:lang w:val="en-US" w:eastAsia="zh-CN"/>
              </w:rPr>
            </w:pPr>
          </w:p>
          <w:p w14:paraId="3010D573">
            <w:pPr>
              <w:spacing w:line="360" w:lineRule="auto"/>
              <w:jc w:val="center"/>
              <w:rPr>
                <w:rFonts w:hint="eastAsia" w:ascii="宋体" w:hAnsi="宋体" w:cs="宋体"/>
                <w:color w:val="auto"/>
                <w:sz w:val="24"/>
                <w:highlight w:val="none"/>
                <w:lang w:val="en-US" w:eastAsia="zh-CN"/>
              </w:rPr>
            </w:pPr>
          </w:p>
          <w:p w14:paraId="4E207C0B">
            <w:pPr>
              <w:spacing w:line="360" w:lineRule="auto"/>
              <w:jc w:val="center"/>
              <w:rPr>
                <w:rFonts w:hint="eastAsia" w:ascii="宋体" w:hAnsi="宋体" w:cs="宋体"/>
                <w:color w:val="auto"/>
                <w:sz w:val="24"/>
                <w:highlight w:val="none"/>
                <w:lang w:val="en-US" w:eastAsia="zh-CN"/>
              </w:rPr>
            </w:pPr>
          </w:p>
          <w:p w14:paraId="2EF43A78">
            <w:pPr>
              <w:spacing w:line="360" w:lineRule="auto"/>
              <w:jc w:val="center"/>
              <w:rPr>
                <w:rFonts w:hint="eastAsia" w:ascii="宋体" w:hAnsi="宋体" w:cs="宋体"/>
                <w:color w:val="auto"/>
                <w:sz w:val="24"/>
                <w:highlight w:val="none"/>
                <w:lang w:val="en-US" w:eastAsia="zh-CN"/>
              </w:rPr>
            </w:pPr>
          </w:p>
          <w:p w14:paraId="24FDF784">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技术服务水平</w:t>
            </w:r>
          </w:p>
        </w:tc>
        <w:tc>
          <w:tcPr>
            <w:tcW w:w="1354" w:type="dxa"/>
            <w:vMerge w:val="restart"/>
            <w:tcBorders>
              <w:top w:val="single" w:color="auto" w:sz="4" w:space="0"/>
              <w:left w:val="single" w:color="auto" w:sz="4" w:space="0"/>
              <w:right w:val="single" w:color="auto" w:sz="4" w:space="0"/>
            </w:tcBorders>
            <w:vAlign w:val="center"/>
          </w:tcPr>
          <w:p w14:paraId="24B869A7">
            <w:pPr>
              <w:widowControl/>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项目实施方案</w:t>
            </w:r>
          </w:p>
        </w:tc>
        <w:tc>
          <w:tcPr>
            <w:tcW w:w="6837" w:type="dxa"/>
            <w:tcBorders>
              <w:top w:val="single" w:color="auto" w:sz="4" w:space="0"/>
              <w:left w:val="single" w:color="auto" w:sz="4" w:space="0"/>
              <w:bottom w:val="single" w:color="auto" w:sz="4" w:space="0"/>
              <w:right w:val="single" w:color="auto" w:sz="4" w:space="0"/>
            </w:tcBorders>
            <w:vAlign w:val="center"/>
          </w:tcPr>
          <w:p w14:paraId="31A0FD2F">
            <w:pPr>
              <w:adjustRightInd w:val="0"/>
              <w:snapToGrid w:val="0"/>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根据各投标人拟投入本项目检验检测的方</w:t>
            </w:r>
            <w:r>
              <w:rPr>
                <w:rFonts w:hint="eastAsia" w:ascii="宋体" w:hAnsi="宋体" w:cs="宋体"/>
                <w:color w:val="auto"/>
                <w:sz w:val="24"/>
                <w:highlight w:val="none"/>
                <w:lang w:val="en-US" w:eastAsia="zh-CN"/>
              </w:rPr>
              <w:t>案（0-3分）、套餐的制定情况（0-2分）</w:t>
            </w:r>
            <w:r>
              <w:rPr>
                <w:rFonts w:hint="eastAsia" w:ascii="宋体" w:hAnsi="宋体" w:eastAsia="宋体" w:cs="宋体"/>
                <w:color w:val="auto"/>
                <w:sz w:val="24"/>
                <w:highlight w:val="none"/>
                <w:lang w:val="en-US" w:eastAsia="zh-CN"/>
              </w:rPr>
              <w:t>进行打分。</w:t>
            </w:r>
          </w:p>
        </w:tc>
        <w:tc>
          <w:tcPr>
            <w:tcW w:w="832" w:type="dxa"/>
            <w:tcBorders>
              <w:top w:val="single" w:color="auto" w:sz="4" w:space="0"/>
              <w:left w:val="single" w:color="auto" w:sz="4" w:space="0"/>
              <w:bottom w:val="single" w:color="auto" w:sz="4" w:space="0"/>
            </w:tcBorders>
            <w:vAlign w:val="center"/>
          </w:tcPr>
          <w:p w14:paraId="0552F71A">
            <w:pPr>
              <w:adjustRightInd w:val="0"/>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r>
      <w:tr w14:paraId="07BE5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780" w:type="dxa"/>
            <w:tcBorders>
              <w:top w:val="single" w:color="auto" w:sz="4" w:space="0"/>
              <w:bottom w:val="single" w:color="auto" w:sz="4" w:space="0"/>
              <w:right w:val="single" w:color="auto" w:sz="4" w:space="0"/>
            </w:tcBorders>
            <w:vAlign w:val="center"/>
          </w:tcPr>
          <w:p w14:paraId="208A697B">
            <w:pPr>
              <w:pStyle w:val="22"/>
              <w:spacing w:line="360" w:lineRule="auto"/>
              <w:ind w:firstLine="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382" w:type="dxa"/>
            <w:vMerge w:val="continue"/>
            <w:tcBorders>
              <w:left w:val="single" w:color="auto" w:sz="4" w:space="0"/>
              <w:right w:val="single" w:color="auto" w:sz="4" w:space="0"/>
            </w:tcBorders>
            <w:vAlign w:val="center"/>
          </w:tcPr>
          <w:p w14:paraId="3FCE9E52">
            <w:pPr>
              <w:spacing w:line="360" w:lineRule="auto"/>
              <w:jc w:val="center"/>
              <w:rPr>
                <w:rFonts w:ascii="宋体" w:hAnsi="宋体" w:cs="宋体"/>
                <w:color w:val="auto"/>
                <w:sz w:val="24"/>
                <w:highlight w:val="none"/>
              </w:rPr>
            </w:pPr>
          </w:p>
        </w:tc>
        <w:tc>
          <w:tcPr>
            <w:tcW w:w="1354" w:type="dxa"/>
            <w:vMerge w:val="continue"/>
            <w:tcBorders>
              <w:left w:val="single" w:color="auto" w:sz="4" w:space="0"/>
              <w:right w:val="single" w:color="auto" w:sz="4" w:space="0"/>
            </w:tcBorders>
            <w:vAlign w:val="center"/>
          </w:tcPr>
          <w:p w14:paraId="4BD93B31">
            <w:pPr>
              <w:widowControl/>
              <w:spacing w:line="360" w:lineRule="auto"/>
              <w:jc w:val="center"/>
              <w:rPr>
                <w:rFonts w:hint="eastAsia" w:ascii="宋体" w:hAnsi="宋体" w:cs="宋体"/>
                <w:color w:val="auto"/>
                <w:sz w:val="24"/>
                <w:highlight w:val="none"/>
                <w:lang w:val="en-US" w:eastAsia="zh-CN"/>
              </w:rPr>
            </w:pPr>
          </w:p>
        </w:tc>
        <w:tc>
          <w:tcPr>
            <w:tcW w:w="6837" w:type="dxa"/>
            <w:tcBorders>
              <w:top w:val="single" w:color="auto" w:sz="4" w:space="0"/>
              <w:left w:val="single" w:color="auto" w:sz="4" w:space="0"/>
              <w:bottom w:val="single" w:color="auto" w:sz="4" w:space="0"/>
              <w:right w:val="single" w:color="auto" w:sz="4" w:space="0"/>
            </w:tcBorders>
            <w:vAlign w:val="center"/>
          </w:tcPr>
          <w:p w14:paraId="19C397C4">
            <w:pPr>
              <w:adjustRightInd w:val="0"/>
              <w:snapToGrid w:val="0"/>
              <w:spacing w:line="360" w:lineRule="auto"/>
              <w:jc w:val="lef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w:t>
            </w:r>
            <w:r>
              <w:rPr>
                <w:rFonts w:hint="eastAsia" w:ascii="宋体" w:hAnsi="宋体" w:cs="宋体"/>
                <w:color w:val="auto"/>
                <w:sz w:val="24"/>
                <w:highlight w:val="none"/>
                <w:lang w:val="en-US" w:eastAsia="zh-CN"/>
              </w:rPr>
              <w:t>投标人实验室质量控制体系（0-3分）、检验前中后期</w:t>
            </w:r>
            <w:r>
              <w:rPr>
                <w:rFonts w:hint="eastAsia" w:ascii="宋体" w:hAnsi="宋体" w:eastAsia="宋体" w:cs="宋体"/>
                <w:color w:val="auto"/>
                <w:sz w:val="24"/>
                <w:highlight w:val="none"/>
                <w:lang w:val="en-US" w:eastAsia="zh-CN"/>
              </w:rPr>
              <w:t>处理流程</w:t>
            </w:r>
            <w:r>
              <w:rPr>
                <w:rFonts w:hint="eastAsia" w:ascii="宋体" w:hAnsi="宋体" w:cs="宋体"/>
                <w:color w:val="auto"/>
                <w:sz w:val="24"/>
                <w:highlight w:val="none"/>
                <w:lang w:val="en-US" w:eastAsia="zh-CN"/>
              </w:rPr>
              <w:t>（0-3分）、方法验证报告</w:t>
            </w:r>
            <w:r>
              <w:rPr>
                <w:rFonts w:hint="eastAsia" w:ascii="宋体" w:hAnsi="宋体" w:eastAsia="宋体" w:cs="宋体"/>
                <w:color w:val="auto"/>
                <w:sz w:val="24"/>
                <w:highlight w:val="none"/>
                <w:lang w:val="en-US" w:eastAsia="zh-CN"/>
              </w:rPr>
              <w:t>的完整性</w:t>
            </w:r>
            <w:r>
              <w:rPr>
                <w:rFonts w:hint="eastAsia" w:ascii="宋体" w:hAnsi="宋体" w:cs="宋体"/>
                <w:color w:val="auto"/>
                <w:sz w:val="24"/>
                <w:highlight w:val="none"/>
                <w:lang w:val="en-US" w:eastAsia="zh-CN"/>
              </w:rPr>
              <w:t>（0-1分）</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科学</w:t>
            </w:r>
            <w:r>
              <w:rPr>
                <w:rFonts w:hint="eastAsia" w:ascii="宋体" w:hAnsi="宋体" w:eastAsia="宋体" w:cs="宋体"/>
                <w:color w:val="auto"/>
                <w:sz w:val="24"/>
                <w:highlight w:val="none"/>
                <w:lang w:val="en-US" w:eastAsia="zh-CN"/>
              </w:rPr>
              <w:t>性</w:t>
            </w:r>
            <w:r>
              <w:rPr>
                <w:rFonts w:hint="eastAsia" w:ascii="宋体" w:hAnsi="宋体" w:cs="宋体"/>
                <w:color w:val="auto"/>
                <w:sz w:val="24"/>
                <w:highlight w:val="none"/>
                <w:lang w:val="en-US" w:eastAsia="zh-CN"/>
              </w:rPr>
              <w:t>（0-1分）、全面性（0-1分）</w:t>
            </w:r>
            <w:r>
              <w:rPr>
                <w:rFonts w:hint="eastAsia" w:ascii="宋体" w:hAnsi="宋体" w:eastAsia="宋体" w:cs="宋体"/>
                <w:color w:val="auto"/>
                <w:sz w:val="24"/>
                <w:highlight w:val="none"/>
                <w:lang w:val="en-US" w:eastAsia="zh-CN"/>
              </w:rPr>
              <w:t>进行打分。</w:t>
            </w:r>
          </w:p>
        </w:tc>
        <w:tc>
          <w:tcPr>
            <w:tcW w:w="832" w:type="dxa"/>
            <w:tcBorders>
              <w:top w:val="single" w:color="auto" w:sz="4" w:space="0"/>
              <w:left w:val="single" w:color="auto" w:sz="4" w:space="0"/>
              <w:bottom w:val="single" w:color="auto" w:sz="4" w:space="0"/>
            </w:tcBorders>
            <w:vAlign w:val="center"/>
          </w:tcPr>
          <w:p w14:paraId="7194058B">
            <w:pPr>
              <w:adjustRightInd w:val="0"/>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r>
      <w:tr w14:paraId="0ED3C7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780" w:type="dxa"/>
            <w:tcBorders>
              <w:top w:val="single" w:color="auto" w:sz="4" w:space="0"/>
              <w:bottom w:val="single" w:color="auto" w:sz="4" w:space="0"/>
              <w:right w:val="single" w:color="auto" w:sz="4" w:space="0"/>
            </w:tcBorders>
            <w:vAlign w:val="center"/>
          </w:tcPr>
          <w:p w14:paraId="2B8D5DA3">
            <w:pPr>
              <w:pStyle w:val="22"/>
              <w:spacing w:line="360" w:lineRule="auto"/>
              <w:ind w:firstLine="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382" w:type="dxa"/>
            <w:vMerge w:val="continue"/>
            <w:tcBorders>
              <w:left w:val="single" w:color="auto" w:sz="4" w:space="0"/>
              <w:right w:val="single" w:color="auto" w:sz="4" w:space="0"/>
            </w:tcBorders>
            <w:vAlign w:val="center"/>
          </w:tcPr>
          <w:p w14:paraId="06C4F7D7">
            <w:pPr>
              <w:spacing w:line="360" w:lineRule="auto"/>
              <w:jc w:val="center"/>
              <w:rPr>
                <w:rFonts w:ascii="宋体" w:hAnsi="宋体" w:cs="宋体"/>
                <w:color w:val="auto"/>
                <w:sz w:val="24"/>
                <w:highlight w:val="none"/>
              </w:rPr>
            </w:pPr>
          </w:p>
        </w:tc>
        <w:tc>
          <w:tcPr>
            <w:tcW w:w="1354" w:type="dxa"/>
            <w:tcBorders>
              <w:top w:val="single" w:color="auto" w:sz="4" w:space="0"/>
              <w:left w:val="single" w:color="auto" w:sz="4" w:space="0"/>
              <w:right w:val="single" w:color="auto" w:sz="4" w:space="0"/>
            </w:tcBorders>
            <w:vAlign w:val="center"/>
          </w:tcPr>
          <w:p w14:paraId="16D53C6B">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试剂耗材</w:t>
            </w:r>
          </w:p>
        </w:tc>
        <w:tc>
          <w:tcPr>
            <w:tcW w:w="6837" w:type="dxa"/>
            <w:tcBorders>
              <w:top w:val="single" w:color="auto" w:sz="4" w:space="0"/>
              <w:left w:val="single" w:color="auto" w:sz="4" w:space="0"/>
              <w:bottom w:val="single" w:color="auto" w:sz="4" w:space="0"/>
              <w:right w:val="single" w:color="auto" w:sz="4" w:space="0"/>
            </w:tcBorders>
            <w:vAlign w:val="center"/>
          </w:tcPr>
          <w:p w14:paraId="6FB5B5B1">
            <w:pPr>
              <w:widowControl/>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根据各投标人拟投入本项目的试剂耗材的性能</w:t>
            </w:r>
            <w:r>
              <w:rPr>
                <w:rFonts w:hint="eastAsia" w:ascii="宋体" w:hAnsi="宋体" w:cs="宋体"/>
                <w:color w:val="auto"/>
                <w:sz w:val="24"/>
                <w:highlight w:val="none"/>
                <w:lang w:val="en-US" w:eastAsia="zh-CN"/>
              </w:rPr>
              <w:t>（0-3分）</w:t>
            </w:r>
            <w:r>
              <w:rPr>
                <w:rFonts w:hint="eastAsia" w:ascii="宋体" w:hAnsi="宋体" w:eastAsia="宋体" w:cs="宋体"/>
                <w:color w:val="auto"/>
                <w:sz w:val="24"/>
                <w:highlight w:val="none"/>
                <w:lang w:val="en-US" w:eastAsia="zh-CN"/>
              </w:rPr>
              <w:t>、稳定性</w:t>
            </w:r>
            <w:r>
              <w:rPr>
                <w:rFonts w:hint="eastAsia" w:ascii="宋体" w:hAnsi="宋体" w:cs="宋体"/>
                <w:color w:val="auto"/>
                <w:sz w:val="24"/>
                <w:highlight w:val="none"/>
                <w:lang w:val="en-US" w:eastAsia="zh-CN"/>
              </w:rPr>
              <w:t>（0-3分）</w:t>
            </w:r>
            <w:r>
              <w:rPr>
                <w:rFonts w:hint="eastAsia" w:ascii="宋体" w:hAnsi="宋体" w:eastAsia="宋体" w:cs="宋体"/>
                <w:color w:val="auto"/>
                <w:sz w:val="24"/>
                <w:highlight w:val="none"/>
                <w:lang w:val="en-US" w:eastAsia="zh-CN"/>
              </w:rPr>
              <w:t>进行打分。</w:t>
            </w:r>
          </w:p>
        </w:tc>
        <w:tc>
          <w:tcPr>
            <w:tcW w:w="832" w:type="dxa"/>
            <w:tcBorders>
              <w:top w:val="single" w:color="auto" w:sz="4" w:space="0"/>
              <w:left w:val="single" w:color="auto" w:sz="4" w:space="0"/>
              <w:bottom w:val="single" w:color="auto" w:sz="4" w:space="0"/>
            </w:tcBorders>
            <w:vAlign w:val="center"/>
          </w:tcPr>
          <w:p w14:paraId="4AC0488F">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r>
      <w:tr w14:paraId="4917A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80" w:type="dxa"/>
            <w:tcBorders>
              <w:top w:val="single" w:color="auto" w:sz="4" w:space="0"/>
              <w:bottom w:val="single" w:color="auto" w:sz="4" w:space="0"/>
              <w:right w:val="single" w:color="auto" w:sz="4" w:space="0"/>
            </w:tcBorders>
            <w:vAlign w:val="center"/>
          </w:tcPr>
          <w:p w14:paraId="14755914">
            <w:pPr>
              <w:pStyle w:val="22"/>
              <w:spacing w:line="360" w:lineRule="auto"/>
              <w:ind w:firstLine="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382" w:type="dxa"/>
            <w:vMerge w:val="continue"/>
            <w:tcBorders>
              <w:left w:val="single" w:color="auto" w:sz="4" w:space="0"/>
              <w:right w:val="single" w:color="auto" w:sz="4" w:space="0"/>
            </w:tcBorders>
            <w:vAlign w:val="center"/>
          </w:tcPr>
          <w:p w14:paraId="395549C2">
            <w:pPr>
              <w:spacing w:line="360" w:lineRule="auto"/>
              <w:jc w:val="center"/>
              <w:rPr>
                <w:rFonts w:ascii="宋体" w:hAnsi="宋体" w:cs="宋体"/>
                <w:color w:val="auto"/>
                <w:sz w:val="24"/>
                <w:highlight w:val="none"/>
              </w:rPr>
            </w:pPr>
          </w:p>
        </w:tc>
        <w:tc>
          <w:tcPr>
            <w:tcW w:w="1354" w:type="dxa"/>
            <w:tcBorders>
              <w:top w:val="single" w:color="auto" w:sz="4" w:space="0"/>
              <w:left w:val="single" w:color="auto" w:sz="4" w:space="0"/>
              <w:right w:val="single" w:color="auto" w:sz="4" w:space="0"/>
            </w:tcBorders>
            <w:vAlign w:val="center"/>
          </w:tcPr>
          <w:p w14:paraId="195B02BB">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主要仪器设备</w:t>
            </w:r>
          </w:p>
        </w:tc>
        <w:tc>
          <w:tcPr>
            <w:tcW w:w="6837" w:type="dxa"/>
            <w:tcBorders>
              <w:top w:val="single" w:color="auto" w:sz="4" w:space="0"/>
              <w:left w:val="single" w:color="auto" w:sz="4" w:space="0"/>
              <w:bottom w:val="single" w:color="auto" w:sz="4" w:space="0"/>
              <w:right w:val="single" w:color="auto" w:sz="4" w:space="0"/>
            </w:tcBorders>
            <w:vAlign w:val="center"/>
          </w:tcPr>
          <w:p w14:paraId="31B91349">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投标人实验室开展电镜、免疫电镜项目，每提供一台投标人自有的电子显微镜设备图片和采购发票复印件得1分，最高得5分。</w:t>
            </w:r>
          </w:p>
        </w:tc>
        <w:tc>
          <w:tcPr>
            <w:tcW w:w="832" w:type="dxa"/>
            <w:tcBorders>
              <w:top w:val="single" w:color="auto" w:sz="4" w:space="0"/>
              <w:left w:val="single" w:color="auto" w:sz="4" w:space="0"/>
              <w:bottom w:val="single" w:color="auto" w:sz="4" w:space="0"/>
            </w:tcBorders>
            <w:vAlign w:val="center"/>
          </w:tcPr>
          <w:p w14:paraId="74FC944B">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r>
      <w:tr w14:paraId="06E71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80" w:type="dxa"/>
            <w:tcBorders>
              <w:top w:val="single" w:color="auto" w:sz="4" w:space="0"/>
              <w:bottom w:val="single" w:color="auto" w:sz="4" w:space="0"/>
              <w:right w:val="single" w:color="auto" w:sz="4" w:space="0"/>
            </w:tcBorders>
            <w:vAlign w:val="center"/>
          </w:tcPr>
          <w:p w14:paraId="345CFBBE">
            <w:pPr>
              <w:pStyle w:val="22"/>
              <w:spacing w:line="360" w:lineRule="auto"/>
              <w:ind w:firstLine="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382" w:type="dxa"/>
            <w:vMerge w:val="continue"/>
            <w:tcBorders>
              <w:left w:val="single" w:color="auto" w:sz="4" w:space="0"/>
              <w:right w:val="single" w:color="auto" w:sz="4" w:space="0"/>
            </w:tcBorders>
            <w:vAlign w:val="center"/>
          </w:tcPr>
          <w:p w14:paraId="4D0E7BF9">
            <w:pPr>
              <w:spacing w:line="360" w:lineRule="auto"/>
              <w:jc w:val="center"/>
              <w:rPr>
                <w:rFonts w:ascii="宋体" w:hAnsi="宋体" w:cs="宋体"/>
                <w:color w:val="auto"/>
                <w:sz w:val="24"/>
                <w:highlight w:val="none"/>
              </w:rPr>
            </w:pPr>
          </w:p>
        </w:tc>
        <w:tc>
          <w:tcPr>
            <w:tcW w:w="1354" w:type="dxa"/>
            <w:tcBorders>
              <w:top w:val="single" w:color="auto" w:sz="4" w:space="0"/>
              <w:left w:val="single" w:color="auto" w:sz="4" w:space="0"/>
              <w:right w:val="single" w:color="auto" w:sz="4" w:space="0"/>
            </w:tcBorders>
            <w:vAlign w:val="center"/>
          </w:tcPr>
          <w:p w14:paraId="1B326166">
            <w:pPr>
              <w:widowControl/>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数字扫描切片</w:t>
            </w:r>
          </w:p>
        </w:tc>
        <w:tc>
          <w:tcPr>
            <w:tcW w:w="6837" w:type="dxa"/>
            <w:tcBorders>
              <w:top w:val="single" w:color="auto" w:sz="4" w:space="0"/>
              <w:left w:val="single" w:color="auto" w:sz="4" w:space="0"/>
              <w:bottom w:val="single" w:color="auto" w:sz="4" w:space="0"/>
              <w:right w:val="single" w:color="auto" w:sz="4" w:space="0"/>
            </w:tcBorders>
            <w:vAlign w:val="center"/>
          </w:tcPr>
          <w:p w14:paraId="2559C7A6">
            <w:pPr>
              <w:widowControl/>
              <w:spacing w:line="360" w:lineRule="auto"/>
              <w:jc w:val="both"/>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lang w:val="en-US" w:eastAsia="zh-CN"/>
              </w:rPr>
              <w:t>能提供数字扫描切片的得3分。</w:t>
            </w:r>
          </w:p>
          <w:p w14:paraId="28A27626">
            <w:pPr>
              <w:widowControl/>
              <w:spacing w:line="360" w:lineRule="auto"/>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注：须提供相关证明材料，否则不得分。</w:t>
            </w:r>
          </w:p>
        </w:tc>
        <w:tc>
          <w:tcPr>
            <w:tcW w:w="832" w:type="dxa"/>
            <w:tcBorders>
              <w:top w:val="single" w:color="auto" w:sz="4" w:space="0"/>
              <w:left w:val="single" w:color="auto" w:sz="4" w:space="0"/>
              <w:bottom w:val="single" w:color="auto" w:sz="4" w:space="0"/>
            </w:tcBorders>
            <w:vAlign w:val="center"/>
          </w:tcPr>
          <w:p w14:paraId="7CB928FE">
            <w:pPr>
              <w:widowControl/>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r>
      <w:tr w14:paraId="44968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80" w:type="dxa"/>
            <w:tcBorders>
              <w:top w:val="single" w:color="auto" w:sz="4" w:space="0"/>
              <w:bottom w:val="single" w:color="auto" w:sz="4" w:space="0"/>
              <w:right w:val="single" w:color="auto" w:sz="4" w:space="0"/>
            </w:tcBorders>
            <w:vAlign w:val="center"/>
          </w:tcPr>
          <w:p w14:paraId="3A0E16AA">
            <w:pPr>
              <w:pStyle w:val="22"/>
              <w:spacing w:line="360" w:lineRule="auto"/>
              <w:ind w:firstLine="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382" w:type="dxa"/>
            <w:vMerge w:val="continue"/>
            <w:tcBorders>
              <w:left w:val="single" w:color="auto" w:sz="4" w:space="0"/>
              <w:right w:val="single" w:color="auto" w:sz="4" w:space="0"/>
            </w:tcBorders>
            <w:vAlign w:val="center"/>
          </w:tcPr>
          <w:p w14:paraId="1A364D8F">
            <w:pPr>
              <w:spacing w:line="360" w:lineRule="auto"/>
              <w:jc w:val="center"/>
              <w:rPr>
                <w:rFonts w:ascii="宋体" w:hAnsi="宋体" w:cs="宋体"/>
                <w:color w:val="auto"/>
                <w:sz w:val="24"/>
                <w:highlight w:val="none"/>
              </w:rPr>
            </w:pPr>
          </w:p>
        </w:tc>
        <w:tc>
          <w:tcPr>
            <w:tcW w:w="1354" w:type="dxa"/>
            <w:tcBorders>
              <w:top w:val="single" w:color="auto" w:sz="4" w:space="0"/>
              <w:left w:val="single" w:color="auto" w:sz="4" w:space="0"/>
              <w:right w:val="single" w:color="auto" w:sz="4" w:space="0"/>
            </w:tcBorders>
            <w:vAlign w:val="center"/>
          </w:tcPr>
          <w:p w14:paraId="00BE150F">
            <w:pPr>
              <w:widowControl/>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物流运输方案</w:t>
            </w:r>
          </w:p>
        </w:tc>
        <w:tc>
          <w:tcPr>
            <w:tcW w:w="6837" w:type="dxa"/>
            <w:tcBorders>
              <w:top w:val="single" w:color="auto" w:sz="4" w:space="0"/>
              <w:left w:val="single" w:color="auto" w:sz="4" w:space="0"/>
              <w:bottom w:val="single" w:color="auto" w:sz="4" w:space="0"/>
              <w:right w:val="single" w:color="auto" w:sz="4" w:space="0"/>
            </w:tcBorders>
            <w:vAlign w:val="center"/>
          </w:tcPr>
          <w:p w14:paraId="773E09B9">
            <w:pPr>
              <w:adjustRightInd w:val="0"/>
              <w:snapToGrid w:val="0"/>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根据配置车辆的数量、性能、冷链设施，车辆上配有专业设备情况，每天物流运送的路线安排的合理性进行打分。</w:t>
            </w:r>
          </w:p>
        </w:tc>
        <w:tc>
          <w:tcPr>
            <w:tcW w:w="832" w:type="dxa"/>
            <w:tcBorders>
              <w:top w:val="single" w:color="auto" w:sz="4" w:space="0"/>
              <w:left w:val="single" w:color="auto" w:sz="4" w:space="0"/>
              <w:bottom w:val="single" w:color="auto" w:sz="4" w:space="0"/>
            </w:tcBorders>
            <w:vAlign w:val="center"/>
          </w:tcPr>
          <w:p w14:paraId="7CD477A7">
            <w:pPr>
              <w:adjustRightInd w:val="0"/>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r>
      <w:tr w14:paraId="40680B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80" w:type="dxa"/>
            <w:tcBorders>
              <w:top w:val="single" w:color="auto" w:sz="4" w:space="0"/>
              <w:bottom w:val="single" w:color="auto" w:sz="4" w:space="0"/>
              <w:right w:val="single" w:color="auto" w:sz="4" w:space="0"/>
            </w:tcBorders>
            <w:vAlign w:val="center"/>
          </w:tcPr>
          <w:p w14:paraId="3D2D8A5E">
            <w:pPr>
              <w:pStyle w:val="22"/>
              <w:spacing w:line="360" w:lineRule="auto"/>
              <w:ind w:firstLine="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382" w:type="dxa"/>
            <w:vMerge w:val="continue"/>
            <w:tcBorders>
              <w:left w:val="single" w:color="auto" w:sz="4" w:space="0"/>
              <w:right w:val="single" w:color="auto" w:sz="4" w:space="0"/>
            </w:tcBorders>
            <w:vAlign w:val="center"/>
          </w:tcPr>
          <w:p w14:paraId="02291D87">
            <w:pPr>
              <w:spacing w:line="360" w:lineRule="auto"/>
              <w:jc w:val="center"/>
              <w:rPr>
                <w:rFonts w:ascii="宋体" w:hAnsi="宋体" w:cs="宋体"/>
                <w:color w:val="auto"/>
                <w:sz w:val="24"/>
                <w:highlight w:val="none"/>
              </w:rPr>
            </w:pPr>
          </w:p>
        </w:tc>
        <w:tc>
          <w:tcPr>
            <w:tcW w:w="1354" w:type="dxa"/>
            <w:tcBorders>
              <w:top w:val="single" w:color="auto" w:sz="4" w:space="0"/>
              <w:left w:val="single" w:color="auto" w:sz="4" w:space="0"/>
              <w:right w:val="single" w:color="auto" w:sz="4" w:space="0"/>
            </w:tcBorders>
            <w:vAlign w:val="center"/>
          </w:tcPr>
          <w:p w14:paraId="28E7CB80">
            <w:pPr>
              <w:widowControl/>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报告</w:t>
            </w:r>
          </w:p>
          <w:p w14:paraId="715861D1">
            <w:pPr>
              <w:widowControl/>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及时性</w:t>
            </w:r>
          </w:p>
        </w:tc>
        <w:tc>
          <w:tcPr>
            <w:tcW w:w="6837" w:type="dxa"/>
            <w:tcBorders>
              <w:top w:val="single" w:color="auto" w:sz="4" w:space="0"/>
              <w:left w:val="single" w:color="auto" w:sz="4" w:space="0"/>
              <w:bottom w:val="single" w:color="auto" w:sz="4" w:space="0"/>
              <w:right w:val="single" w:color="auto" w:sz="4" w:space="0"/>
            </w:tcBorders>
            <w:vAlign w:val="center"/>
          </w:tcPr>
          <w:p w14:paraId="71C92AE6">
            <w:pPr>
              <w:adjustRightInd w:val="0"/>
              <w:snapToGrid w:val="0"/>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投标人承诺综合病理诊断报告（招标需求附件1中全部内容）出报告时间≤3个工作日得3分，出报告时间≤4个工作日得1分。注：须提供承诺函（格式自拟）</w:t>
            </w:r>
          </w:p>
        </w:tc>
        <w:tc>
          <w:tcPr>
            <w:tcW w:w="832" w:type="dxa"/>
            <w:tcBorders>
              <w:top w:val="single" w:color="auto" w:sz="4" w:space="0"/>
              <w:left w:val="single" w:color="auto" w:sz="4" w:space="0"/>
              <w:bottom w:val="single" w:color="auto" w:sz="4" w:space="0"/>
            </w:tcBorders>
            <w:vAlign w:val="center"/>
          </w:tcPr>
          <w:p w14:paraId="1DAFFCEA">
            <w:pPr>
              <w:adjustRightInd w:val="0"/>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r>
      <w:tr w14:paraId="54142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80" w:type="dxa"/>
            <w:tcBorders>
              <w:top w:val="single" w:color="auto" w:sz="4" w:space="0"/>
              <w:bottom w:val="single" w:color="auto" w:sz="4" w:space="0"/>
              <w:right w:val="single" w:color="auto" w:sz="4" w:space="0"/>
            </w:tcBorders>
            <w:vAlign w:val="center"/>
          </w:tcPr>
          <w:p w14:paraId="72456CAE">
            <w:pPr>
              <w:pStyle w:val="22"/>
              <w:spacing w:line="360" w:lineRule="auto"/>
              <w:ind w:firstLine="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382" w:type="dxa"/>
            <w:vMerge w:val="continue"/>
            <w:tcBorders>
              <w:left w:val="single" w:color="auto" w:sz="4" w:space="0"/>
              <w:right w:val="single" w:color="auto" w:sz="4" w:space="0"/>
            </w:tcBorders>
            <w:vAlign w:val="center"/>
          </w:tcPr>
          <w:p w14:paraId="1BF07B64">
            <w:pPr>
              <w:spacing w:line="360" w:lineRule="auto"/>
              <w:jc w:val="center"/>
              <w:rPr>
                <w:rFonts w:ascii="宋体" w:hAnsi="宋体" w:cs="宋体"/>
                <w:color w:val="auto"/>
                <w:sz w:val="24"/>
                <w:highlight w:val="none"/>
              </w:rPr>
            </w:pPr>
          </w:p>
        </w:tc>
        <w:tc>
          <w:tcPr>
            <w:tcW w:w="1354" w:type="dxa"/>
            <w:tcBorders>
              <w:top w:val="single" w:color="auto" w:sz="4" w:space="0"/>
              <w:left w:val="single" w:color="auto" w:sz="4" w:space="0"/>
              <w:right w:val="single" w:color="auto" w:sz="4" w:space="0"/>
            </w:tcBorders>
            <w:vAlign w:val="center"/>
          </w:tcPr>
          <w:p w14:paraId="3CF0035C">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人员配置</w:t>
            </w:r>
          </w:p>
        </w:tc>
        <w:tc>
          <w:tcPr>
            <w:tcW w:w="6837" w:type="dxa"/>
            <w:tcBorders>
              <w:top w:val="single" w:color="auto" w:sz="4" w:space="0"/>
              <w:left w:val="single" w:color="auto" w:sz="4" w:space="0"/>
              <w:bottom w:val="single" w:color="auto" w:sz="4" w:space="0"/>
              <w:right w:val="single" w:color="auto" w:sz="4" w:space="0"/>
            </w:tcBorders>
            <w:vAlign w:val="center"/>
          </w:tcPr>
          <w:p w14:paraId="0039C6B8">
            <w:pPr>
              <w:adjustRightInd w:val="0"/>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根据投标人</w:t>
            </w:r>
            <w:r>
              <w:rPr>
                <w:rFonts w:hint="eastAsia" w:ascii="宋体" w:hAnsi="宋体" w:eastAsia="宋体" w:cs="宋体"/>
                <w:color w:val="auto"/>
                <w:sz w:val="24"/>
                <w:highlight w:val="none"/>
              </w:rPr>
              <w:t>提供团队中病理诊断专家、技术专家人员名单及相关资质证明材料、从业经历，团队病理诊断能力</w:t>
            </w:r>
            <w:r>
              <w:rPr>
                <w:rFonts w:hint="eastAsia" w:ascii="宋体" w:hAnsi="宋体" w:cs="宋体"/>
                <w:color w:val="auto"/>
                <w:sz w:val="24"/>
                <w:highlight w:val="none"/>
                <w:lang w:val="en-US" w:eastAsia="zh-CN"/>
              </w:rPr>
              <w:t>进行打分</w:t>
            </w:r>
            <w:r>
              <w:rPr>
                <w:rFonts w:hint="eastAsia" w:ascii="宋体" w:hAnsi="宋体" w:eastAsia="宋体" w:cs="宋体"/>
                <w:color w:val="auto"/>
                <w:sz w:val="24"/>
                <w:highlight w:val="none"/>
              </w:rPr>
              <w:t>。</w:t>
            </w:r>
          </w:p>
          <w:p w14:paraId="670C96C4">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注：提供以上人员有效期内的相关证书</w:t>
            </w:r>
            <w:r>
              <w:rPr>
                <w:rFonts w:hint="eastAsia" w:ascii="宋体" w:hAnsi="宋体" w:cs="宋体"/>
                <w:color w:val="auto"/>
                <w:sz w:val="24"/>
                <w:highlight w:val="none"/>
                <w:lang w:val="en-US" w:eastAsia="zh-CN"/>
              </w:rPr>
              <w:t>或证明材料</w:t>
            </w:r>
            <w:r>
              <w:rPr>
                <w:rFonts w:hint="eastAsia" w:ascii="宋体" w:hAnsi="宋体" w:eastAsia="宋体" w:cs="宋体"/>
                <w:color w:val="auto"/>
                <w:sz w:val="24"/>
                <w:highlight w:val="none"/>
              </w:rPr>
              <w:t>复印件，且须为投标人本单位在职员工，提供已在本单位缴纳社保的承诺书并加盖投标人公章，否则不得分。</w:t>
            </w:r>
          </w:p>
        </w:tc>
        <w:tc>
          <w:tcPr>
            <w:tcW w:w="832" w:type="dxa"/>
            <w:tcBorders>
              <w:top w:val="single" w:color="auto" w:sz="4" w:space="0"/>
              <w:left w:val="single" w:color="auto" w:sz="4" w:space="0"/>
              <w:bottom w:val="single" w:color="auto" w:sz="4" w:space="0"/>
            </w:tcBorders>
            <w:vAlign w:val="center"/>
          </w:tcPr>
          <w:p w14:paraId="02726FC1">
            <w:pPr>
              <w:adjustRightInd w:val="0"/>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r>
      <w:tr w14:paraId="33BEC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780" w:type="dxa"/>
            <w:tcBorders>
              <w:top w:val="single" w:color="auto" w:sz="4" w:space="0"/>
              <w:bottom w:val="single" w:color="auto" w:sz="4" w:space="0"/>
              <w:right w:val="single" w:color="auto" w:sz="4" w:space="0"/>
            </w:tcBorders>
            <w:vAlign w:val="center"/>
          </w:tcPr>
          <w:p w14:paraId="109749AF">
            <w:pPr>
              <w:pStyle w:val="22"/>
              <w:spacing w:line="360" w:lineRule="auto"/>
              <w:ind w:firstLine="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382" w:type="dxa"/>
            <w:vMerge w:val="continue"/>
            <w:tcBorders>
              <w:left w:val="single" w:color="auto" w:sz="4" w:space="0"/>
              <w:right w:val="single" w:color="auto" w:sz="4" w:space="0"/>
            </w:tcBorders>
            <w:vAlign w:val="center"/>
          </w:tcPr>
          <w:p w14:paraId="78B9F5F7">
            <w:pPr>
              <w:spacing w:line="360" w:lineRule="auto"/>
              <w:jc w:val="center"/>
              <w:rPr>
                <w:rFonts w:ascii="宋体" w:hAnsi="宋体" w:cs="宋体"/>
                <w:color w:val="auto"/>
                <w:sz w:val="24"/>
                <w:highlight w:val="none"/>
              </w:rPr>
            </w:pPr>
          </w:p>
        </w:tc>
        <w:tc>
          <w:tcPr>
            <w:tcW w:w="1354" w:type="dxa"/>
            <w:tcBorders>
              <w:top w:val="single" w:color="auto" w:sz="4" w:space="0"/>
              <w:left w:val="single" w:color="auto" w:sz="4" w:space="0"/>
              <w:right w:val="single" w:color="auto" w:sz="4" w:space="0"/>
            </w:tcBorders>
            <w:vAlign w:val="center"/>
          </w:tcPr>
          <w:p w14:paraId="7AFDFC31">
            <w:pPr>
              <w:widowControl/>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培训方案</w:t>
            </w:r>
          </w:p>
        </w:tc>
        <w:tc>
          <w:tcPr>
            <w:tcW w:w="6837" w:type="dxa"/>
            <w:tcBorders>
              <w:top w:val="single" w:color="auto" w:sz="4" w:space="0"/>
              <w:left w:val="single" w:color="auto" w:sz="4" w:space="0"/>
              <w:bottom w:val="single" w:color="auto" w:sz="4" w:space="0"/>
              <w:right w:val="single" w:color="auto" w:sz="4" w:space="0"/>
            </w:tcBorders>
            <w:vAlign w:val="center"/>
          </w:tcPr>
          <w:p w14:paraId="60A21CE1">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根据投标人</w:t>
            </w:r>
            <w:r>
              <w:rPr>
                <w:rFonts w:hint="eastAsia" w:ascii="宋体" w:hAnsi="宋体" w:cs="宋体"/>
                <w:color w:val="auto"/>
                <w:sz w:val="24"/>
                <w:highlight w:val="none"/>
                <w:lang w:val="en-US" w:eastAsia="zh-CN"/>
              </w:rPr>
              <w:t>提供</w:t>
            </w:r>
            <w:r>
              <w:rPr>
                <w:rFonts w:hint="eastAsia" w:ascii="宋体" w:hAnsi="宋体" w:eastAsia="宋体" w:cs="宋体"/>
                <w:color w:val="auto"/>
                <w:sz w:val="24"/>
                <w:highlight w:val="none"/>
              </w:rPr>
              <w:t>的</w:t>
            </w:r>
            <w:r>
              <w:rPr>
                <w:rFonts w:hint="eastAsia" w:ascii="宋体" w:hAnsi="宋体" w:cs="宋体"/>
                <w:color w:val="auto"/>
                <w:sz w:val="24"/>
                <w:highlight w:val="none"/>
                <w:lang w:val="en-US" w:eastAsia="zh-CN"/>
              </w:rPr>
              <w:t>人员</w:t>
            </w:r>
            <w:r>
              <w:rPr>
                <w:rFonts w:hint="eastAsia" w:ascii="宋体" w:hAnsi="宋体" w:eastAsia="宋体" w:cs="宋体"/>
                <w:color w:val="auto"/>
                <w:sz w:val="24"/>
                <w:highlight w:val="none"/>
              </w:rPr>
              <w:t>技术培训及技术支持承诺、人员培训计划的合理性、培训时间、师资及方式进行</w:t>
            </w:r>
            <w:r>
              <w:rPr>
                <w:rFonts w:hint="eastAsia" w:ascii="宋体" w:hAnsi="宋体" w:cs="宋体"/>
                <w:color w:val="auto"/>
                <w:sz w:val="24"/>
                <w:highlight w:val="none"/>
                <w:lang w:val="en-US" w:eastAsia="zh-CN"/>
              </w:rPr>
              <w:t>打</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w:t>
            </w:r>
          </w:p>
        </w:tc>
        <w:tc>
          <w:tcPr>
            <w:tcW w:w="832" w:type="dxa"/>
            <w:tcBorders>
              <w:top w:val="single" w:color="auto" w:sz="4" w:space="0"/>
              <w:left w:val="single" w:color="auto" w:sz="4" w:space="0"/>
              <w:bottom w:val="single" w:color="auto" w:sz="4" w:space="0"/>
            </w:tcBorders>
            <w:vAlign w:val="center"/>
          </w:tcPr>
          <w:p w14:paraId="444BE901">
            <w:pPr>
              <w:adjustRightInd w:val="0"/>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r>
      <w:tr w14:paraId="521DF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780" w:type="dxa"/>
            <w:tcBorders>
              <w:top w:val="single" w:color="auto" w:sz="4" w:space="0"/>
              <w:bottom w:val="single" w:color="auto" w:sz="4" w:space="0"/>
              <w:right w:val="single" w:color="auto" w:sz="4" w:space="0"/>
            </w:tcBorders>
            <w:vAlign w:val="center"/>
          </w:tcPr>
          <w:p w14:paraId="64C3E0CA">
            <w:pPr>
              <w:pStyle w:val="22"/>
              <w:spacing w:line="360" w:lineRule="auto"/>
              <w:ind w:firstLine="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382" w:type="dxa"/>
            <w:vMerge w:val="continue"/>
            <w:tcBorders>
              <w:left w:val="single" w:color="auto" w:sz="4" w:space="0"/>
              <w:right w:val="single" w:color="auto" w:sz="4" w:space="0"/>
            </w:tcBorders>
            <w:vAlign w:val="center"/>
          </w:tcPr>
          <w:p w14:paraId="06F50D5B">
            <w:pPr>
              <w:spacing w:line="360" w:lineRule="auto"/>
              <w:jc w:val="center"/>
              <w:rPr>
                <w:rFonts w:ascii="宋体" w:hAnsi="宋体" w:cs="宋体"/>
                <w:color w:val="auto"/>
                <w:sz w:val="24"/>
                <w:highlight w:val="none"/>
              </w:rPr>
            </w:pPr>
          </w:p>
        </w:tc>
        <w:tc>
          <w:tcPr>
            <w:tcW w:w="1354" w:type="dxa"/>
            <w:tcBorders>
              <w:top w:val="single" w:color="auto" w:sz="4" w:space="0"/>
              <w:left w:val="single" w:color="auto" w:sz="4" w:space="0"/>
              <w:bottom w:val="single" w:color="auto" w:sz="4" w:space="0"/>
              <w:right w:val="single" w:color="auto" w:sz="4" w:space="0"/>
            </w:tcBorders>
            <w:vAlign w:val="center"/>
          </w:tcPr>
          <w:p w14:paraId="64F2FB74">
            <w:pPr>
              <w:adjustRightInd w:val="0"/>
              <w:snapToGrid w:val="0"/>
              <w:spacing w:line="360" w:lineRule="auto"/>
              <w:jc w:val="center"/>
              <w:rPr>
                <w:rFonts w:ascii="宋体" w:hAnsi="宋体" w:cs="宋体"/>
                <w:color w:val="auto"/>
                <w:sz w:val="24"/>
                <w:highlight w:val="none"/>
              </w:rPr>
            </w:pPr>
            <w:r>
              <w:rPr>
                <w:rFonts w:hint="eastAsia" w:ascii="宋体" w:hAnsi="宋体" w:cs="宋体"/>
                <w:bCs/>
                <w:color w:val="auto"/>
                <w:kern w:val="0"/>
                <w:sz w:val="24"/>
                <w:highlight w:val="none"/>
                <w:lang w:val="en-US" w:eastAsia="zh-CN"/>
              </w:rPr>
              <w:t>应急预案</w:t>
            </w:r>
          </w:p>
        </w:tc>
        <w:tc>
          <w:tcPr>
            <w:tcW w:w="6837" w:type="dxa"/>
            <w:tcBorders>
              <w:top w:val="single" w:color="auto" w:sz="4" w:space="0"/>
              <w:left w:val="single" w:color="auto" w:sz="4" w:space="0"/>
              <w:bottom w:val="single" w:color="auto" w:sz="4" w:space="0"/>
              <w:right w:val="single" w:color="auto" w:sz="4" w:space="0"/>
            </w:tcBorders>
            <w:vAlign w:val="center"/>
          </w:tcPr>
          <w:p w14:paraId="4DB91FC4">
            <w:pPr>
              <w:snapToGrid w:val="0"/>
              <w:spacing w:line="360" w:lineRule="auto"/>
              <w:ind w:left="-63" w:leftChars="-30" w:right="-88" w:rightChars="-42"/>
              <w:textAlignment w:val="baseline"/>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根据投标人对本项目特点，制定各种紧急防范预案的全面性、科学性、可操作性等进行打分。</w:t>
            </w:r>
          </w:p>
        </w:tc>
        <w:tc>
          <w:tcPr>
            <w:tcW w:w="832" w:type="dxa"/>
            <w:tcBorders>
              <w:top w:val="single" w:color="auto" w:sz="4" w:space="0"/>
              <w:left w:val="single" w:color="auto" w:sz="4" w:space="0"/>
              <w:bottom w:val="single" w:color="auto" w:sz="4" w:space="0"/>
            </w:tcBorders>
            <w:vAlign w:val="center"/>
          </w:tcPr>
          <w:p w14:paraId="23388326">
            <w:pPr>
              <w:adjustRightInd w:val="0"/>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r>
      <w:tr w14:paraId="4025A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6" w:hRule="atLeast"/>
        </w:trPr>
        <w:tc>
          <w:tcPr>
            <w:tcW w:w="780" w:type="dxa"/>
            <w:tcBorders>
              <w:top w:val="single" w:color="auto" w:sz="4" w:space="0"/>
              <w:bottom w:val="single" w:color="auto" w:sz="4" w:space="0"/>
              <w:right w:val="single" w:color="auto" w:sz="4" w:space="0"/>
            </w:tcBorders>
            <w:vAlign w:val="center"/>
          </w:tcPr>
          <w:p w14:paraId="7D504749">
            <w:pPr>
              <w:pStyle w:val="22"/>
              <w:spacing w:line="360" w:lineRule="auto"/>
              <w:ind w:firstLine="0"/>
              <w:jc w:val="center"/>
              <w:rPr>
                <w:rFonts w:ascii="宋体" w:hAnsi="宋体" w:cs="宋体"/>
                <w:b/>
                <w:bCs/>
                <w:color w:val="auto"/>
                <w:sz w:val="24"/>
                <w:highlight w:val="none"/>
              </w:rPr>
            </w:pPr>
            <w:r>
              <w:rPr>
                <w:rFonts w:hint="eastAsia" w:ascii="宋体" w:hAnsi="宋体" w:cs="宋体"/>
                <w:b/>
                <w:bCs/>
                <w:color w:val="auto"/>
                <w:sz w:val="24"/>
                <w:highlight w:val="none"/>
              </w:rPr>
              <w:t>二</w:t>
            </w:r>
          </w:p>
        </w:tc>
        <w:tc>
          <w:tcPr>
            <w:tcW w:w="8573" w:type="dxa"/>
            <w:gridSpan w:val="3"/>
            <w:tcBorders>
              <w:top w:val="single" w:color="auto" w:sz="4" w:space="0"/>
              <w:left w:val="single" w:color="auto" w:sz="4" w:space="0"/>
              <w:bottom w:val="single" w:color="auto" w:sz="4" w:space="0"/>
              <w:right w:val="single" w:color="auto" w:sz="4" w:space="0"/>
            </w:tcBorders>
            <w:vAlign w:val="center"/>
          </w:tcPr>
          <w:p w14:paraId="10482119">
            <w:pPr>
              <w:pStyle w:val="22"/>
              <w:spacing w:line="360" w:lineRule="auto"/>
              <w:ind w:firstLine="0"/>
              <w:jc w:val="center"/>
              <w:rPr>
                <w:rFonts w:ascii="宋体" w:hAnsi="宋体" w:cs="宋体"/>
                <w:b/>
                <w:bCs/>
                <w:color w:val="auto"/>
                <w:sz w:val="24"/>
                <w:highlight w:val="none"/>
              </w:rPr>
            </w:pPr>
            <w:r>
              <w:rPr>
                <w:rFonts w:hint="eastAsia" w:ascii="宋体" w:hAnsi="宋体" w:cs="宋体"/>
                <w:b/>
                <w:bCs/>
                <w:color w:val="auto"/>
                <w:sz w:val="24"/>
                <w:highlight w:val="none"/>
              </w:rPr>
              <w:t>商务资信及其他分</w:t>
            </w:r>
          </w:p>
        </w:tc>
        <w:tc>
          <w:tcPr>
            <w:tcW w:w="832" w:type="dxa"/>
            <w:tcBorders>
              <w:top w:val="single" w:color="auto" w:sz="4" w:space="0"/>
              <w:left w:val="single" w:color="auto" w:sz="4" w:space="0"/>
              <w:bottom w:val="single" w:color="auto" w:sz="4" w:space="0"/>
            </w:tcBorders>
            <w:vAlign w:val="center"/>
          </w:tcPr>
          <w:p w14:paraId="27351A97">
            <w:pPr>
              <w:pStyle w:val="22"/>
              <w:spacing w:line="360" w:lineRule="auto"/>
              <w:ind w:firstLine="0"/>
              <w:jc w:val="center"/>
              <w:rPr>
                <w:rFonts w:ascii="宋体" w:hAnsi="宋体" w:cs="宋体"/>
                <w:b/>
                <w:bCs/>
                <w:color w:val="auto"/>
                <w:sz w:val="24"/>
                <w:highlight w:val="none"/>
              </w:rPr>
            </w:pPr>
            <w:r>
              <w:rPr>
                <w:rFonts w:hint="eastAsia" w:ascii="宋体" w:hAnsi="宋体" w:cs="宋体"/>
                <w:b/>
                <w:bCs/>
                <w:color w:val="auto"/>
                <w:sz w:val="24"/>
                <w:highlight w:val="none"/>
                <w:lang w:val="en-US" w:eastAsia="zh-CN"/>
              </w:rPr>
              <w:t>23</w:t>
            </w:r>
            <w:r>
              <w:rPr>
                <w:rFonts w:hint="eastAsia" w:ascii="宋体" w:hAnsi="宋体" w:cs="宋体"/>
                <w:b/>
                <w:bCs/>
                <w:color w:val="auto"/>
                <w:sz w:val="24"/>
                <w:highlight w:val="none"/>
              </w:rPr>
              <w:t>分</w:t>
            </w:r>
          </w:p>
        </w:tc>
      </w:tr>
      <w:tr w14:paraId="25748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67" w:hRule="atLeast"/>
        </w:trPr>
        <w:tc>
          <w:tcPr>
            <w:tcW w:w="780" w:type="dxa"/>
            <w:tcBorders>
              <w:bottom w:val="single" w:color="auto" w:sz="4" w:space="0"/>
              <w:right w:val="single" w:color="auto" w:sz="4" w:space="0"/>
            </w:tcBorders>
            <w:vAlign w:val="center"/>
          </w:tcPr>
          <w:p w14:paraId="3674659B">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382" w:type="dxa"/>
            <w:vMerge w:val="restart"/>
            <w:tcBorders>
              <w:left w:val="single" w:color="auto" w:sz="4" w:space="0"/>
              <w:right w:val="single" w:color="auto" w:sz="4" w:space="0"/>
            </w:tcBorders>
            <w:vAlign w:val="center"/>
          </w:tcPr>
          <w:p w14:paraId="122F73DD">
            <w:pPr>
              <w:spacing w:line="360" w:lineRule="auto"/>
              <w:jc w:val="center"/>
              <w:rPr>
                <w:rFonts w:hint="eastAsia" w:ascii="宋体" w:hAnsi="宋体" w:cs="宋体"/>
                <w:color w:val="auto"/>
                <w:sz w:val="24"/>
                <w:highlight w:val="none"/>
                <w:lang w:val="en-US" w:eastAsia="zh-CN"/>
              </w:rPr>
            </w:pPr>
          </w:p>
          <w:p w14:paraId="084CCA90">
            <w:pPr>
              <w:spacing w:line="360" w:lineRule="auto"/>
              <w:jc w:val="center"/>
              <w:rPr>
                <w:rFonts w:hint="eastAsia" w:ascii="宋体" w:hAnsi="宋体" w:cs="宋体"/>
                <w:color w:val="auto"/>
                <w:sz w:val="24"/>
                <w:highlight w:val="none"/>
                <w:lang w:val="en-US" w:eastAsia="zh-CN"/>
              </w:rPr>
            </w:pPr>
          </w:p>
          <w:p w14:paraId="275EEEE4">
            <w:pPr>
              <w:spacing w:line="360" w:lineRule="auto"/>
              <w:jc w:val="center"/>
              <w:rPr>
                <w:rFonts w:hint="eastAsia" w:ascii="宋体" w:hAnsi="宋体" w:cs="宋体"/>
                <w:color w:val="auto"/>
                <w:sz w:val="24"/>
                <w:highlight w:val="none"/>
                <w:lang w:val="en-US" w:eastAsia="zh-CN"/>
              </w:rPr>
            </w:pPr>
          </w:p>
          <w:p w14:paraId="0E565C97">
            <w:pPr>
              <w:spacing w:line="360" w:lineRule="auto"/>
              <w:jc w:val="center"/>
              <w:rPr>
                <w:rFonts w:hint="eastAsia" w:ascii="宋体" w:hAnsi="宋体" w:cs="宋体"/>
                <w:color w:val="auto"/>
                <w:sz w:val="24"/>
                <w:highlight w:val="none"/>
                <w:lang w:val="en-US" w:eastAsia="zh-CN"/>
              </w:rPr>
            </w:pPr>
          </w:p>
          <w:p w14:paraId="311F85E9">
            <w:pPr>
              <w:spacing w:line="360" w:lineRule="auto"/>
              <w:jc w:val="center"/>
              <w:rPr>
                <w:rFonts w:hint="eastAsia" w:ascii="宋体" w:hAnsi="宋体" w:cs="宋体"/>
                <w:color w:val="auto"/>
                <w:sz w:val="24"/>
                <w:highlight w:val="none"/>
                <w:lang w:val="en-US" w:eastAsia="zh-CN"/>
              </w:rPr>
            </w:pPr>
          </w:p>
          <w:p w14:paraId="60AF9631">
            <w:pPr>
              <w:spacing w:line="360" w:lineRule="auto"/>
              <w:jc w:val="center"/>
              <w:rPr>
                <w:rFonts w:hint="eastAsia" w:ascii="宋体" w:hAnsi="宋体" w:cs="宋体"/>
                <w:color w:val="auto"/>
                <w:sz w:val="24"/>
                <w:highlight w:val="none"/>
                <w:lang w:val="en-US" w:eastAsia="zh-CN"/>
              </w:rPr>
            </w:pPr>
          </w:p>
          <w:p w14:paraId="40346A92">
            <w:pPr>
              <w:spacing w:line="360" w:lineRule="auto"/>
              <w:jc w:val="center"/>
              <w:rPr>
                <w:rFonts w:hint="eastAsia" w:ascii="宋体" w:hAnsi="宋体" w:cs="宋体"/>
                <w:color w:val="auto"/>
                <w:sz w:val="24"/>
                <w:highlight w:val="none"/>
                <w:lang w:val="en-US" w:eastAsia="zh-CN"/>
              </w:rPr>
            </w:pPr>
          </w:p>
          <w:p w14:paraId="05BEF771">
            <w:pPr>
              <w:spacing w:line="360" w:lineRule="auto"/>
              <w:jc w:val="center"/>
              <w:rPr>
                <w:rFonts w:hint="eastAsia" w:ascii="宋体" w:hAnsi="宋体" w:cs="宋体"/>
                <w:color w:val="auto"/>
                <w:sz w:val="24"/>
                <w:highlight w:val="none"/>
                <w:lang w:val="en-US" w:eastAsia="zh-CN"/>
              </w:rPr>
            </w:pPr>
          </w:p>
          <w:p w14:paraId="0DA8C977">
            <w:pPr>
              <w:spacing w:line="360" w:lineRule="auto"/>
              <w:jc w:val="center"/>
              <w:rPr>
                <w:rFonts w:hint="eastAsia" w:ascii="宋体" w:hAnsi="宋体" w:cs="宋体"/>
                <w:color w:val="auto"/>
                <w:sz w:val="24"/>
                <w:highlight w:val="none"/>
                <w:lang w:val="en-US" w:eastAsia="zh-CN"/>
              </w:rPr>
            </w:pPr>
          </w:p>
          <w:p w14:paraId="30892D90">
            <w:pPr>
              <w:spacing w:line="360" w:lineRule="auto"/>
              <w:jc w:val="center"/>
              <w:rPr>
                <w:rFonts w:hint="eastAsia" w:ascii="宋体" w:hAnsi="宋体" w:cs="宋体"/>
                <w:color w:val="auto"/>
                <w:sz w:val="24"/>
                <w:highlight w:val="none"/>
                <w:lang w:val="en-US" w:eastAsia="zh-CN"/>
              </w:rPr>
            </w:pPr>
          </w:p>
          <w:p w14:paraId="7094BB10">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履约及服务能力</w:t>
            </w:r>
          </w:p>
        </w:tc>
        <w:tc>
          <w:tcPr>
            <w:tcW w:w="1354" w:type="dxa"/>
            <w:vMerge w:val="restart"/>
            <w:tcBorders>
              <w:left w:val="single" w:color="auto" w:sz="4" w:space="0"/>
              <w:right w:val="single" w:color="auto" w:sz="4" w:space="0"/>
            </w:tcBorders>
            <w:vAlign w:val="center"/>
          </w:tcPr>
          <w:p w14:paraId="57BC00ED">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企业证书</w:t>
            </w:r>
          </w:p>
          <w:p w14:paraId="563B5B34">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及荣誉</w:t>
            </w:r>
          </w:p>
        </w:tc>
        <w:tc>
          <w:tcPr>
            <w:tcW w:w="6837" w:type="dxa"/>
            <w:tcBorders>
              <w:top w:val="single" w:color="auto" w:sz="4" w:space="0"/>
              <w:left w:val="single" w:color="auto" w:sz="4" w:space="0"/>
              <w:bottom w:val="single" w:color="auto" w:sz="4" w:space="0"/>
              <w:right w:val="single" w:color="auto" w:sz="4" w:space="0"/>
            </w:tcBorders>
            <w:vAlign w:val="center"/>
          </w:tcPr>
          <w:p w14:paraId="61F6E7BF">
            <w:pPr>
              <w:widowControl/>
              <w:numPr>
                <w:ilvl w:val="0"/>
                <w:numId w:val="0"/>
              </w:numPr>
              <w:adjustRightInd w:val="0"/>
              <w:spacing w:line="360" w:lineRule="auto"/>
              <w:ind w:left="0" w:leftChars="0" w:firstLine="0" w:firstLineChars="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投标人具有有效的环境管理体系认证证书、职业健康安全管理体系认证证书、质量管理体系认证证书、CNAS实验室认可证书，每提供一个得1分，共4分。</w:t>
            </w:r>
            <w:r>
              <w:rPr>
                <w:rFonts w:hint="eastAsia" w:asciiTheme="minorEastAsia" w:hAnsiTheme="minorEastAsia" w:eastAsiaTheme="minorEastAsia" w:cstheme="minorEastAsia"/>
                <w:b w:val="0"/>
                <w:i w:val="0"/>
                <w:caps w:val="0"/>
                <w:strike w:val="0"/>
                <w:dstrike w:val="0"/>
                <w:color w:val="auto"/>
                <w:spacing w:val="0"/>
                <w:w w:val="100"/>
                <w:position w:val="-2"/>
                <w:sz w:val="24"/>
                <w:szCs w:val="24"/>
                <w:highlight w:val="none"/>
                <w:lang w:val="en-US" w:eastAsia="zh-CN" w:bidi="ar"/>
              </w:rPr>
              <w:t>（须提供相关证书复印件及www.cnca.gov.cn认监委官方网站截图，未提供不得分）</w:t>
            </w:r>
          </w:p>
        </w:tc>
        <w:tc>
          <w:tcPr>
            <w:tcW w:w="832" w:type="dxa"/>
            <w:tcBorders>
              <w:top w:val="single" w:color="auto" w:sz="4" w:space="0"/>
              <w:left w:val="single" w:color="auto" w:sz="4" w:space="0"/>
              <w:bottom w:val="single" w:color="auto" w:sz="4" w:space="0"/>
            </w:tcBorders>
            <w:vAlign w:val="center"/>
          </w:tcPr>
          <w:p w14:paraId="17628EF0">
            <w:pPr>
              <w:adjustRightInd w:val="0"/>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r>
      <w:tr w14:paraId="09AEE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52" w:hRule="atLeast"/>
        </w:trPr>
        <w:tc>
          <w:tcPr>
            <w:tcW w:w="780" w:type="dxa"/>
            <w:tcBorders>
              <w:bottom w:val="single" w:color="auto" w:sz="4" w:space="0"/>
              <w:right w:val="single" w:color="auto" w:sz="4" w:space="0"/>
            </w:tcBorders>
            <w:vAlign w:val="center"/>
          </w:tcPr>
          <w:p w14:paraId="7789C2FF">
            <w:pPr>
              <w:widowControl/>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382" w:type="dxa"/>
            <w:vMerge w:val="continue"/>
            <w:tcBorders>
              <w:left w:val="single" w:color="auto" w:sz="4" w:space="0"/>
              <w:right w:val="single" w:color="auto" w:sz="4" w:space="0"/>
            </w:tcBorders>
            <w:vAlign w:val="center"/>
          </w:tcPr>
          <w:p w14:paraId="50BBF6CA">
            <w:pPr>
              <w:spacing w:line="360" w:lineRule="auto"/>
              <w:jc w:val="center"/>
              <w:rPr>
                <w:rFonts w:hint="eastAsia" w:ascii="宋体" w:hAnsi="宋体" w:cs="宋体"/>
                <w:color w:val="auto"/>
                <w:sz w:val="24"/>
                <w:highlight w:val="none"/>
                <w:lang w:val="en-US" w:eastAsia="zh-CN"/>
              </w:rPr>
            </w:pPr>
          </w:p>
        </w:tc>
        <w:tc>
          <w:tcPr>
            <w:tcW w:w="1354" w:type="dxa"/>
            <w:vMerge w:val="continue"/>
            <w:tcBorders>
              <w:left w:val="single" w:color="auto" w:sz="4" w:space="0"/>
              <w:bottom w:val="single" w:color="auto" w:sz="4" w:space="0"/>
              <w:right w:val="single" w:color="auto" w:sz="4" w:space="0"/>
            </w:tcBorders>
            <w:vAlign w:val="center"/>
          </w:tcPr>
          <w:p w14:paraId="38EBB424">
            <w:pPr>
              <w:spacing w:line="360" w:lineRule="auto"/>
              <w:jc w:val="center"/>
              <w:rPr>
                <w:rFonts w:hint="eastAsia" w:ascii="宋体" w:hAnsi="宋体" w:cs="宋体"/>
                <w:color w:val="auto"/>
                <w:sz w:val="24"/>
                <w:highlight w:val="none"/>
                <w:lang w:val="en-US" w:eastAsia="zh-CN"/>
              </w:rPr>
            </w:pPr>
          </w:p>
        </w:tc>
        <w:tc>
          <w:tcPr>
            <w:tcW w:w="6837" w:type="dxa"/>
            <w:tcBorders>
              <w:top w:val="single" w:color="auto" w:sz="4" w:space="0"/>
              <w:left w:val="single" w:color="auto" w:sz="4" w:space="0"/>
              <w:bottom w:val="single" w:color="auto" w:sz="4" w:space="0"/>
              <w:right w:val="single" w:color="auto" w:sz="4" w:space="0"/>
            </w:tcBorders>
            <w:vAlign w:val="center"/>
          </w:tcPr>
          <w:p w14:paraId="3B573817">
            <w:pPr>
              <w:widowControl/>
              <w:numPr>
                <w:ilvl w:val="0"/>
                <w:numId w:val="0"/>
              </w:numPr>
              <w:adjustRightInd w:val="0"/>
              <w:spacing w:line="360" w:lineRule="auto"/>
              <w:ind w:leftChars="0"/>
              <w:jc w:val="left"/>
              <w:rPr>
                <w:rFonts w:hint="eastAsia" w:ascii="宋体" w:hAnsi="宋体" w:eastAsia="宋体" w:cs="宋体"/>
                <w:strike w:val="0"/>
                <w:dstrike w:val="0"/>
                <w:color w:val="auto"/>
                <w:sz w:val="24"/>
                <w:highlight w:val="none"/>
                <w:lang w:val="en-US" w:eastAsia="zh-CN"/>
              </w:rPr>
            </w:pPr>
            <w:r>
              <w:rPr>
                <w:rFonts w:hint="eastAsia" w:ascii="宋体" w:hAnsi="宋体" w:eastAsia="宋体" w:cs="宋体"/>
                <w:strike w:val="0"/>
                <w:dstrike w:val="0"/>
                <w:color w:val="auto"/>
                <w:sz w:val="24"/>
                <w:highlight w:val="none"/>
                <w:lang w:val="en-US" w:eastAsia="zh-CN"/>
              </w:rPr>
              <w:t>投标人检测实验室获得国家级质量奖（提名奖）的得2分，获得省级质量奖（提名奖）的得1分；</w:t>
            </w:r>
          </w:p>
          <w:p w14:paraId="371A44C5">
            <w:pPr>
              <w:widowControl/>
              <w:numPr>
                <w:ilvl w:val="0"/>
                <w:numId w:val="0"/>
              </w:numPr>
              <w:adjustRightInd w:val="0"/>
              <w:spacing w:line="360" w:lineRule="auto"/>
              <w:ind w:left="0" w:leftChars="0"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注：须提供相关证明材料，否则不得分。</w:t>
            </w:r>
          </w:p>
        </w:tc>
        <w:tc>
          <w:tcPr>
            <w:tcW w:w="832" w:type="dxa"/>
            <w:tcBorders>
              <w:top w:val="single" w:color="auto" w:sz="4" w:space="0"/>
              <w:left w:val="single" w:color="auto" w:sz="4" w:space="0"/>
              <w:bottom w:val="single" w:color="auto" w:sz="4" w:space="0"/>
            </w:tcBorders>
            <w:vAlign w:val="center"/>
          </w:tcPr>
          <w:p w14:paraId="3BA304DB">
            <w:pPr>
              <w:adjustRightInd w:val="0"/>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r>
      <w:tr w14:paraId="249CF7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87" w:hRule="atLeast"/>
        </w:trPr>
        <w:tc>
          <w:tcPr>
            <w:tcW w:w="780" w:type="dxa"/>
            <w:tcBorders>
              <w:bottom w:val="single" w:color="auto" w:sz="4" w:space="0"/>
              <w:right w:val="single" w:color="auto" w:sz="4" w:space="0"/>
            </w:tcBorders>
            <w:vAlign w:val="center"/>
          </w:tcPr>
          <w:p w14:paraId="3472053A">
            <w:pPr>
              <w:widowControl/>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382" w:type="dxa"/>
            <w:vMerge w:val="continue"/>
            <w:tcBorders>
              <w:left w:val="single" w:color="auto" w:sz="4" w:space="0"/>
              <w:right w:val="single" w:color="auto" w:sz="4" w:space="0"/>
            </w:tcBorders>
            <w:vAlign w:val="center"/>
          </w:tcPr>
          <w:p w14:paraId="52C33996">
            <w:pPr>
              <w:spacing w:line="360" w:lineRule="auto"/>
              <w:jc w:val="center"/>
              <w:rPr>
                <w:rFonts w:hint="eastAsia" w:ascii="宋体" w:hAnsi="宋体" w:cs="宋体"/>
                <w:color w:val="auto"/>
                <w:sz w:val="24"/>
                <w:highlight w:val="none"/>
                <w:lang w:val="en-US" w:eastAsia="zh-CN"/>
              </w:rPr>
            </w:pPr>
          </w:p>
        </w:tc>
        <w:tc>
          <w:tcPr>
            <w:tcW w:w="1354" w:type="dxa"/>
            <w:tcBorders>
              <w:top w:val="single" w:color="auto" w:sz="4" w:space="0"/>
              <w:left w:val="single" w:color="auto" w:sz="4" w:space="0"/>
              <w:right w:val="single" w:color="auto" w:sz="4" w:space="0"/>
            </w:tcBorders>
            <w:vAlign w:val="center"/>
          </w:tcPr>
          <w:p w14:paraId="2787308B">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认可</w:t>
            </w:r>
          </w:p>
          <w:p w14:paraId="0E90384A">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项目数</w:t>
            </w:r>
          </w:p>
        </w:tc>
        <w:tc>
          <w:tcPr>
            <w:tcW w:w="6837" w:type="dxa"/>
            <w:tcBorders>
              <w:top w:val="single" w:color="auto" w:sz="4" w:space="0"/>
              <w:left w:val="single" w:color="auto" w:sz="4" w:space="0"/>
              <w:bottom w:val="single" w:color="auto" w:sz="4" w:space="0"/>
              <w:right w:val="single" w:color="auto" w:sz="4" w:space="0"/>
            </w:tcBorders>
            <w:vAlign w:val="center"/>
          </w:tcPr>
          <w:p w14:paraId="7BDCBF94">
            <w:pPr>
              <w:widowControl/>
              <w:numPr>
                <w:ilvl w:val="0"/>
                <w:numId w:val="0"/>
              </w:numPr>
              <w:adjustRightInd w:val="0"/>
              <w:spacing w:line="360" w:lineRule="auto"/>
              <w:ind w:left="0" w:leftChars="0" w:firstLine="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投标人实验室ISO15189认可项目数&gt;350项得3分，认可项目数在350和250之间得2分，认可项目数&lt;250项得1分。</w:t>
            </w:r>
          </w:p>
          <w:p w14:paraId="72FC53C4">
            <w:pPr>
              <w:widowControl/>
              <w:numPr>
                <w:ilvl w:val="0"/>
                <w:numId w:val="0"/>
              </w:numPr>
              <w:adjustRightInd w:val="0"/>
              <w:spacing w:line="360" w:lineRule="auto"/>
              <w:ind w:left="0" w:leftChars="0" w:firstLine="0" w:firstLineChars="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注：提供证明材料否则不得分。</w:t>
            </w:r>
          </w:p>
        </w:tc>
        <w:tc>
          <w:tcPr>
            <w:tcW w:w="832" w:type="dxa"/>
            <w:tcBorders>
              <w:top w:val="single" w:color="auto" w:sz="4" w:space="0"/>
              <w:left w:val="single" w:color="auto" w:sz="4" w:space="0"/>
              <w:bottom w:val="single" w:color="auto" w:sz="4" w:space="0"/>
            </w:tcBorders>
            <w:vAlign w:val="center"/>
          </w:tcPr>
          <w:p w14:paraId="3C5ECE99">
            <w:pPr>
              <w:adjustRightInd w:val="0"/>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r>
      <w:tr w14:paraId="3E162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atLeast"/>
        </w:trPr>
        <w:tc>
          <w:tcPr>
            <w:tcW w:w="780" w:type="dxa"/>
            <w:tcBorders>
              <w:bottom w:val="single" w:color="auto" w:sz="4" w:space="0"/>
              <w:right w:val="single" w:color="auto" w:sz="4" w:space="0"/>
            </w:tcBorders>
            <w:vAlign w:val="center"/>
          </w:tcPr>
          <w:p w14:paraId="6BFD9323">
            <w:pPr>
              <w:widowControl/>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382" w:type="dxa"/>
            <w:vMerge w:val="continue"/>
            <w:tcBorders>
              <w:left w:val="single" w:color="auto" w:sz="4" w:space="0"/>
              <w:right w:val="single" w:color="auto" w:sz="4" w:space="0"/>
            </w:tcBorders>
            <w:vAlign w:val="center"/>
          </w:tcPr>
          <w:p w14:paraId="765DF445">
            <w:pPr>
              <w:spacing w:line="360" w:lineRule="auto"/>
              <w:jc w:val="center"/>
              <w:rPr>
                <w:rFonts w:hint="eastAsia" w:ascii="宋体" w:hAnsi="宋体" w:cs="宋体"/>
                <w:color w:val="auto"/>
                <w:sz w:val="24"/>
                <w:highlight w:val="none"/>
                <w:lang w:val="en-US" w:eastAsia="zh-CN"/>
              </w:rPr>
            </w:pPr>
          </w:p>
        </w:tc>
        <w:tc>
          <w:tcPr>
            <w:tcW w:w="1354" w:type="dxa"/>
            <w:tcBorders>
              <w:top w:val="single" w:color="auto" w:sz="4" w:space="0"/>
              <w:left w:val="single" w:color="auto" w:sz="4" w:space="0"/>
              <w:bottom w:val="single" w:color="auto" w:sz="4" w:space="0"/>
              <w:right w:val="single" w:color="auto" w:sz="4" w:space="0"/>
            </w:tcBorders>
            <w:vAlign w:val="center"/>
          </w:tcPr>
          <w:p w14:paraId="1D5B1A74">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冷链物流服务体系</w:t>
            </w:r>
          </w:p>
        </w:tc>
        <w:tc>
          <w:tcPr>
            <w:tcW w:w="6837" w:type="dxa"/>
            <w:tcBorders>
              <w:top w:val="single" w:color="auto" w:sz="4" w:space="0"/>
              <w:left w:val="single" w:color="auto" w:sz="4" w:space="0"/>
              <w:bottom w:val="single" w:color="auto" w:sz="4" w:space="0"/>
              <w:right w:val="single" w:color="auto" w:sz="4" w:space="0"/>
            </w:tcBorders>
            <w:vAlign w:val="center"/>
          </w:tcPr>
          <w:p w14:paraId="4F4E0AB7">
            <w:pPr>
              <w:widowControl/>
              <w:numPr>
                <w:ilvl w:val="0"/>
                <w:numId w:val="0"/>
              </w:numPr>
              <w:adjustRightInd w:val="0"/>
              <w:spacing w:line="360" w:lineRule="auto"/>
              <w:ind w:leftChars="0"/>
              <w:jc w:val="left"/>
              <w:rPr>
                <w:rFonts w:hint="default"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投标人具有冷链物流服务</w:t>
            </w:r>
            <w:r>
              <w:rPr>
                <w:rFonts w:hint="eastAsia" w:ascii="宋体" w:hAnsi="宋体" w:cs="宋体"/>
                <w:color w:val="auto"/>
                <w:sz w:val="24"/>
                <w:highlight w:val="none"/>
                <w:lang w:val="en-US" w:eastAsia="zh-CN"/>
              </w:rPr>
              <w:t>能力</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提供</w:t>
            </w:r>
            <w:r>
              <w:rPr>
                <w:rFonts w:hint="eastAsia" w:ascii="宋体" w:hAnsi="宋体" w:eastAsia="宋体" w:cs="宋体"/>
                <w:color w:val="auto"/>
                <w:sz w:val="24"/>
                <w:highlight w:val="none"/>
                <w:lang w:val="en-US" w:eastAsia="zh-CN"/>
              </w:rPr>
              <w:t>《营业执照》及《道路运输经营许可证》作为证明材料得3分；委托第三方物流公司负责接收</w:t>
            </w:r>
            <w:r>
              <w:rPr>
                <w:rFonts w:hint="eastAsia" w:ascii="宋体" w:hAnsi="宋体" w:cs="宋体"/>
                <w:color w:val="auto"/>
                <w:sz w:val="24"/>
                <w:szCs w:val="24"/>
                <w:highlight w:val="none"/>
                <w:lang w:val="en-US" w:eastAsia="zh-CN"/>
              </w:rPr>
              <w:t>样</w:t>
            </w:r>
            <w:r>
              <w:rPr>
                <w:rFonts w:hint="eastAsia" w:ascii="宋体" w:hAnsi="宋体" w:eastAsia="宋体" w:cs="宋体"/>
                <w:color w:val="auto"/>
                <w:sz w:val="24"/>
                <w:highlight w:val="none"/>
                <w:lang w:val="en-US" w:eastAsia="zh-CN"/>
              </w:rPr>
              <w:t>本者，提供委托协议、《营业执照》及《道路运输经营许可证》作为证明材料，</w:t>
            </w:r>
            <w:r>
              <w:rPr>
                <w:rFonts w:hint="eastAsia" w:ascii="宋体" w:hAnsi="宋体" w:cs="宋体"/>
                <w:color w:val="auto"/>
                <w:sz w:val="24"/>
                <w:highlight w:val="none"/>
                <w:lang w:val="en-US" w:eastAsia="zh-CN"/>
              </w:rPr>
              <w:t>得2分。本项最高得3分。</w:t>
            </w:r>
          </w:p>
          <w:p w14:paraId="1876E304">
            <w:pPr>
              <w:widowControl/>
              <w:numPr>
                <w:ilvl w:val="0"/>
                <w:numId w:val="0"/>
              </w:numPr>
              <w:adjustRightInd w:val="0"/>
              <w:spacing w:line="360" w:lineRule="auto"/>
              <w:ind w:left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注:</w:t>
            </w:r>
            <w:r>
              <w:rPr>
                <w:rFonts w:hint="eastAsia" w:ascii="宋体" w:hAnsi="宋体" w:eastAsia="宋体" w:cs="宋体"/>
                <w:color w:val="auto"/>
                <w:sz w:val="24"/>
                <w:highlight w:val="none"/>
                <w:lang w:val="en-US" w:eastAsia="zh-CN"/>
              </w:rPr>
              <w:t>未提供证明资料和提供证明资料不全不得分。</w:t>
            </w:r>
          </w:p>
        </w:tc>
        <w:tc>
          <w:tcPr>
            <w:tcW w:w="832" w:type="dxa"/>
            <w:tcBorders>
              <w:top w:val="single" w:color="auto" w:sz="4" w:space="0"/>
              <w:left w:val="single" w:color="auto" w:sz="4" w:space="0"/>
              <w:bottom w:val="single" w:color="auto" w:sz="4" w:space="0"/>
            </w:tcBorders>
            <w:vAlign w:val="center"/>
          </w:tcPr>
          <w:p w14:paraId="1F51193F">
            <w:pPr>
              <w:adjustRightInd w:val="0"/>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r>
      <w:tr w14:paraId="457E6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atLeast"/>
        </w:trPr>
        <w:tc>
          <w:tcPr>
            <w:tcW w:w="780" w:type="dxa"/>
            <w:tcBorders>
              <w:bottom w:val="single" w:color="auto" w:sz="4" w:space="0"/>
              <w:right w:val="single" w:color="auto" w:sz="4" w:space="0"/>
            </w:tcBorders>
            <w:vAlign w:val="center"/>
          </w:tcPr>
          <w:p w14:paraId="30E28667">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382" w:type="dxa"/>
            <w:vMerge w:val="continue"/>
            <w:tcBorders>
              <w:left w:val="single" w:color="auto" w:sz="4" w:space="0"/>
              <w:right w:val="single" w:color="auto" w:sz="4" w:space="0"/>
            </w:tcBorders>
            <w:vAlign w:val="center"/>
          </w:tcPr>
          <w:p w14:paraId="46B28BC1">
            <w:pPr>
              <w:spacing w:line="360" w:lineRule="auto"/>
              <w:jc w:val="center"/>
              <w:rPr>
                <w:rFonts w:hint="eastAsia" w:ascii="宋体" w:hAnsi="宋体" w:cs="宋体"/>
                <w:color w:val="auto"/>
                <w:sz w:val="24"/>
                <w:highlight w:val="none"/>
                <w:lang w:val="en-US" w:eastAsia="zh-CN"/>
              </w:rPr>
            </w:pPr>
          </w:p>
        </w:tc>
        <w:tc>
          <w:tcPr>
            <w:tcW w:w="1354" w:type="dxa"/>
            <w:tcBorders>
              <w:left w:val="single" w:color="auto" w:sz="4" w:space="0"/>
              <w:bottom w:val="single" w:color="auto" w:sz="4" w:space="0"/>
              <w:right w:val="single" w:color="auto" w:sz="4" w:space="0"/>
            </w:tcBorders>
            <w:vAlign w:val="center"/>
          </w:tcPr>
          <w:p w14:paraId="1AC309E7">
            <w:pPr>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信息系统安全等级保护</w:t>
            </w:r>
          </w:p>
        </w:tc>
        <w:tc>
          <w:tcPr>
            <w:tcW w:w="6837" w:type="dxa"/>
            <w:tcBorders>
              <w:top w:val="single" w:color="auto" w:sz="4" w:space="0"/>
              <w:left w:val="single" w:color="auto" w:sz="4" w:space="0"/>
              <w:bottom w:val="single" w:color="auto" w:sz="4" w:space="0"/>
              <w:right w:val="single" w:color="auto" w:sz="4" w:space="0"/>
            </w:tcBorders>
            <w:vAlign w:val="center"/>
          </w:tcPr>
          <w:p w14:paraId="19D8A206">
            <w:pPr>
              <w:widowControl/>
              <w:numPr>
                <w:ilvl w:val="0"/>
                <w:numId w:val="0"/>
              </w:numPr>
              <w:adjustRightInd w:val="0"/>
              <w:spacing w:line="360" w:lineRule="auto"/>
              <w:ind w:leftChars="0"/>
              <w:jc w:val="left"/>
              <w:rPr>
                <w:rFonts w:hint="eastAsia" w:ascii="宋体" w:hAnsi="宋体" w:eastAsia="宋体" w:cs="宋体"/>
                <w:strike w:val="0"/>
                <w:dstrike w:val="0"/>
                <w:color w:val="auto"/>
                <w:sz w:val="24"/>
                <w:highlight w:val="none"/>
                <w:lang w:val="en-US" w:eastAsia="zh-CN"/>
              </w:rPr>
            </w:pPr>
            <w:r>
              <w:rPr>
                <w:rFonts w:hint="eastAsia" w:ascii="宋体" w:hAnsi="宋体" w:eastAsia="宋体" w:cs="宋体"/>
                <w:color w:val="auto"/>
                <w:sz w:val="24"/>
                <w:highlight w:val="none"/>
                <w:lang w:val="en-US" w:eastAsia="zh-CN"/>
              </w:rPr>
              <w:t>为保证医院检测数据的信息安全</w:t>
            </w:r>
            <w:r>
              <w:rPr>
                <w:rFonts w:hint="eastAsia" w:ascii="宋体" w:hAnsi="宋体" w:cs="宋体"/>
                <w:color w:val="auto"/>
                <w:sz w:val="24"/>
                <w:highlight w:val="none"/>
                <w:lang w:val="en-US" w:eastAsia="zh-CN"/>
              </w:rPr>
              <w:t>，</w:t>
            </w:r>
            <w:r>
              <w:rPr>
                <w:rFonts w:hint="eastAsia" w:ascii="宋体" w:hAnsi="宋体" w:eastAsia="宋体" w:cs="宋体"/>
                <w:strike w:val="0"/>
                <w:dstrike w:val="0"/>
                <w:color w:val="auto"/>
                <w:sz w:val="24"/>
                <w:highlight w:val="none"/>
                <w:lang w:val="en-US" w:eastAsia="zh-CN"/>
              </w:rPr>
              <w:t>投标人</w:t>
            </w:r>
            <w:r>
              <w:rPr>
                <w:rFonts w:hint="eastAsia" w:ascii="宋体" w:hAnsi="宋体" w:cs="宋体"/>
                <w:strike w:val="0"/>
                <w:dstrike w:val="0"/>
                <w:color w:val="auto"/>
                <w:sz w:val="24"/>
                <w:highlight w:val="none"/>
                <w:lang w:val="en-US" w:eastAsia="zh-CN"/>
              </w:rPr>
              <w:t>（</w:t>
            </w:r>
            <w:r>
              <w:rPr>
                <w:rFonts w:hint="eastAsia" w:ascii="宋体" w:hAnsi="宋体" w:eastAsia="宋体" w:cs="宋体"/>
                <w:strike w:val="0"/>
                <w:dstrike w:val="0"/>
                <w:color w:val="auto"/>
                <w:sz w:val="24"/>
                <w:highlight w:val="none"/>
                <w:lang w:val="en-US" w:eastAsia="zh-CN"/>
              </w:rPr>
              <w:t>或其母公司</w:t>
            </w:r>
            <w:r>
              <w:rPr>
                <w:rFonts w:hint="eastAsia" w:ascii="宋体" w:hAnsi="宋体" w:cs="宋体"/>
                <w:strike w:val="0"/>
                <w:dstrike w:val="0"/>
                <w:color w:val="auto"/>
                <w:sz w:val="24"/>
                <w:highlight w:val="none"/>
                <w:lang w:val="en-US" w:eastAsia="zh-CN"/>
              </w:rPr>
              <w:t>、或其子公司）</w:t>
            </w:r>
            <w:r>
              <w:rPr>
                <w:rFonts w:hint="eastAsia" w:ascii="宋体" w:hAnsi="宋体" w:eastAsia="宋体" w:cs="宋体"/>
                <w:strike w:val="0"/>
                <w:dstrike w:val="0"/>
                <w:color w:val="auto"/>
                <w:sz w:val="24"/>
                <w:highlight w:val="none"/>
                <w:lang w:val="en-US" w:eastAsia="zh-CN"/>
              </w:rPr>
              <w:t>至少有3个及以上端口提供公安机关备案三级</w:t>
            </w:r>
            <w:r>
              <w:rPr>
                <w:rFonts w:hint="eastAsia" w:ascii="宋体" w:hAnsi="宋体" w:cs="宋体"/>
                <w:strike w:val="0"/>
                <w:dstrike w:val="0"/>
                <w:color w:val="auto"/>
                <w:sz w:val="24"/>
                <w:highlight w:val="none"/>
                <w:lang w:val="en-US" w:eastAsia="zh-CN"/>
              </w:rPr>
              <w:t>及以上</w:t>
            </w:r>
            <w:r>
              <w:rPr>
                <w:rFonts w:hint="eastAsia" w:ascii="宋体" w:hAnsi="宋体" w:eastAsia="宋体" w:cs="宋体"/>
                <w:strike w:val="0"/>
                <w:dstrike w:val="0"/>
                <w:color w:val="auto"/>
                <w:sz w:val="24"/>
                <w:highlight w:val="none"/>
                <w:lang w:val="en-US" w:eastAsia="zh-CN"/>
              </w:rPr>
              <w:t>信息系统安全等级保护备案证明</w:t>
            </w:r>
            <w:r>
              <w:rPr>
                <w:rFonts w:hint="eastAsia" w:ascii="宋体" w:hAnsi="宋体" w:cs="宋体"/>
                <w:strike w:val="0"/>
                <w:dstrike w:val="0"/>
                <w:color w:val="auto"/>
                <w:sz w:val="24"/>
                <w:highlight w:val="none"/>
                <w:lang w:val="en-US" w:eastAsia="zh-CN"/>
              </w:rPr>
              <w:t>的</w:t>
            </w:r>
            <w:r>
              <w:rPr>
                <w:rFonts w:hint="eastAsia" w:ascii="宋体" w:hAnsi="宋体" w:eastAsia="宋体" w:cs="宋体"/>
                <w:strike w:val="0"/>
                <w:dstrike w:val="0"/>
                <w:color w:val="auto"/>
                <w:sz w:val="24"/>
                <w:highlight w:val="none"/>
                <w:lang w:val="en-US" w:eastAsia="zh-CN"/>
              </w:rPr>
              <w:t>得3分。</w:t>
            </w:r>
          </w:p>
          <w:p w14:paraId="6062FA3C">
            <w:pPr>
              <w:widowControl/>
              <w:numPr>
                <w:ilvl w:val="0"/>
                <w:numId w:val="0"/>
              </w:numPr>
              <w:adjustRightInd w:val="0"/>
              <w:spacing w:line="360" w:lineRule="auto"/>
              <w:ind w:left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注:需提供相关</w:t>
            </w:r>
            <w:r>
              <w:rPr>
                <w:rFonts w:hint="eastAsia" w:ascii="宋体" w:hAnsi="宋体" w:cs="宋体"/>
                <w:color w:val="auto"/>
                <w:sz w:val="24"/>
                <w:highlight w:val="none"/>
                <w:lang w:val="en-US" w:eastAsia="zh-CN"/>
              </w:rPr>
              <w:t>证明材料</w:t>
            </w:r>
            <w:r>
              <w:rPr>
                <w:rFonts w:hint="eastAsia" w:ascii="宋体" w:hAnsi="宋体" w:eastAsia="宋体" w:cs="宋体"/>
                <w:color w:val="auto"/>
                <w:sz w:val="24"/>
                <w:highlight w:val="none"/>
                <w:lang w:val="en-US" w:eastAsia="zh-CN"/>
              </w:rPr>
              <w:t>扫描件，否则不得分</w:t>
            </w:r>
            <w:r>
              <w:rPr>
                <w:rFonts w:hint="eastAsia" w:ascii="宋体" w:hAnsi="宋体" w:cs="宋体"/>
                <w:color w:val="auto"/>
                <w:sz w:val="24"/>
                <w:highlight w:val="none"/>
                <w:lang w:val="en-US" w:eastAsia="zh-CN"/>
              </w:rPr>
              <w:t>。</w:t>
            </w:r>
          </w:p>
        </w:tc>
        <w:tc>
          <w:tcPr>
            <w:tcW w:w="832" w:type="dxa"/>
            <w:tcBorders>
              <w:top w:val="single" w:color="auto" w:sz="4" w:space="0"/>
              <w:left w:val="single" w:color="auto" w:sz="4" w:space="0"/>
              <w:bottom w:val="single" w:color="auto" w:sz="4" w:space="0"/>
            </w:tcBorders>
            <w:vAlign w:val="center"/>
          </w:tcPr>
          <w:p w14:paraId="58F828E4">
            <w:pPr>
              <w:adjustRightInd w:val="0"/>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r>
      <w:tr w14:paraId="3C907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5" w:hRule="atLeast"/>
        </w:trPr>
        <w:tc>
          <w:tcPr>
            <w:tcW w:w="780" w:type="dxa"/>
            <w:tcBorders>
              <w:top w:val="single" w:color="auto" w:sz="4" w:space="0"/>
              <w:bottom w:val="single" w:color="auto" w:sz="4" w:space="0"/>
              <w:right w:val="single" w:color="auto" w:sz="4" w:space="0"/>
            </w:tcBorders>
            <w:vAlign w:val="center"/>
          </w:tcPr>
          <w:p w14:paraId="5F11D6C1">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382" w:type="dxa"/>
            <w:vMerge w:val="continue"/>
            <w:tcBorders>
              <w:left w:val="single" w:color="auto" w:sz="4" w:space="0"/>
              <w:right w:val="single" w:color="auto" w:sz="4" w:space="0"/>
            </w:tcBorders>
            <w:vAlign w:val="center"/>
          </w:tcPr>
          <w:p w14:paraId="761ED07B">
            <w:pPr>
              <w:spacing w:line="360" w:lineRule="auto"/>
              <w:jc w:val="center"/>
              <w:rPr>
                <w:rFonts w:ascii="宋体" w:hAnsi="宋体" w:cs="宋体"/>
                <w:color w:val="auto"/>
                <w:sz w:val="24"/>
                <w:highlight w:val="none"/>
              </w:rPr>
            </w:pPr>
          </w:p>
        </w:tc>
        <w:tc>
          <w:tcPr>
            <w:tcW w:w="1354" w:type="dxa"/>
            <w:tcBorders>
              <w:top w:val="single" w:color="auto" w:sz="4" w:space="0"/>
              <w:left w:val="single" w:color="auto" w:sz="4" w:space="0"/>
              <w:bottom w:val="single" w:color="auto" w:sz="4" w:space="0"/>
              <w:right w:val="single" w:color="auto" w:sz="4" w:space="0"/>
            </w:tcBorders>
            <w:vAlign w:val="center"/>
          </w:tcPr>
          <w:p w14:paraId="689B7F94">
            <w:pPr>
              <w:adjustRightIn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同类</w:t>
            </w:r>
            <w:r>
              <w:rPr>
                <w:rFonts w:hint="eastAsia" w:ascii="宋体" w:hAnsi="宋体" w:cs="宋体"/>
                <w:color w:val="auto"/>
                <w:sz w:val="24"/>
                <w:highlight w:val="none"/>
              </w:rPr>
              <w:t>业绩</w:t>
            </w:r>
          </w:p>
        </w:tc>
        <w:tc>
          <w:tcPr>
            <w:tcW w:w="6837" w:type="dxa"/>
            <w:tcBorders>
              <w:top w:val="single" w:color="auto" w:sz="4" w:space="0"/>
              <w:left w:val="single" w:color="auto" w:sz="4" w:space="0"/>
              <w:bottom w:val="single" w:color="auto" w:sz="4" w:space="0"/>
              <w:right w:val="single" w:color="auto" w:sz="4" w:space="0"/>
            </w:tcBorders>
            <w:vAlign w:val="center"/>
          </w:tcPr>
          <w:p w14:paraId="5230F0AE">
            <w:pPr>
              <w:widowControl/>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自202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年1月（合同以签订时间为准）以来，投标人承担过</w:t>
            </w:r>
            <w:r>
              <w:rPr>
                <w:rFonts w:hint="eastAsia" w:ascii="宋体" w:hAnsi="宋体" w:cs="宋体"/>
                <w:color w:val="auto"/>
                <w:sz w:val="24"/>
                <w:highlight w:val="none"/>
                <w:lang w:val="en-US" w:eastAsia="zh-CN"/>
              </w:rPr>
              <w:t>同</w:t>
            </w:r>
            <w:r>
              <w:rPr>
                <w:rFonts w:hint="eastAsia" w:ascii="宋体" w:hAnsi="宋体" w:cs="宋体"/>
                <w:color w:val="auto"/>
                <w:sz w:val="24"/>
                <w:highlight w:val="none"/>
              </w:rPr>
              <w:t>类项目业绩的每个得0.5分，本项最高得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407CDA05">
            <w:pPr>
              <w:widowControl/>
              <w:adjustRightInd w:val="0"/>
              <w:spacing w:line="360" w:lineRule="auto"/>
              <w:jc w:val="left"/>
              <w:rPr>
                <w:rFonts w:ascii="宋体" w:hAnsi="宋体" w:cs="宋体"/>
                <w:bCs/>
                <w:color w:val="auto"/>
                <w:sz w:val="24"/>
                <w:highlight w:val="none"/>
              </w:rPr>
            </w:pPr>
            <w:r>
              <w:rPr>
                <w:rFonts w:hint="eastAsia" w:ascii="宋体" w:hAnsi="宋体" w:cs="宋体"/>
                <w:color w:val="auto"/>
                <w:sz w:val="24"/>
                <w:highlight w:val="none"/>
              </w:rPr>
              <w:t>注：须提供业绩合同复印件加盖投标人公章，未提供的不得分。</w:t>
            </w:r>
          </w:p>
        </w:tc>
        <w:tc>
          <w:tcPr>
            <w:tcW w:w="832" w:type="dxa"/>
            <w:tcBorders>
              <w:top w:val="single" w:color="auto" w:sz="4" w:space="0"/>
              <w:left w:val="single" w:color="auto" w:sz="4" w:space="0"/>
              <w:bottom w:val="single" w:color="auto" w:sz="4" w:space="0"/>
            </w:tcBorders>
            <w:vAlign w:val="center"/>
          </w:tcPr>
          <w:p w14:paraId="090D6CD2">
            <w:pPr>
              <w:adjustRightInd w:val="0"/>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r>
      <w:tr w14:paraId="56854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5" w:hRule="atLeast"/>
        </w:trPr>
        <w:tc>
          <w:tcPr>
            <w:tcW w:w="780" w:type="dxa"/>
            <w:tcBorders>
              <w:top w:val="single" w:color="auto" w:sz="4" w:space="0"/>
              <w:bottom w:val="single" w:color="auto" w:sz="4" w:space="0"/>
              <w:right w:val="single" w:color="auto" w:sz="4" w:space="0"/>
            </w:tcBorders>
            <w:vAlign w:val="center"/>
          </w:tcPr>
          <w:p w14:paraId="5F392A2F">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382" w:type="dxa"/>
            <w:vMerge w:val="continue"/>
            <w:tcBorders>
              <w:left w:val="single" w:color="auto" w:sz="4" w:space="0"/>
              <w:right w:val="single" w:color="auto" w:sz="4" w:space="0"/>
            </w:tcBorders>
            <w:vAlign w:val="center"/>
          </w:tcPr>
          <w:p w14:paraId="790C4CD5">
            <w:pPr>
              <w:spacing w:line="360" w:lineRule="auto"/>
              <w:jc w:val="center"/>
              <w:rPr>
                <w:rFonts w:ascii="宋体" w:hAnsi="宋体" w:cs="宋体"/>
                <w:color w:val="auto"/>
                <w:sz w:val="24"/>
                <w:highlight w:val="none"/>
              </w:rPr>
            </w:pPr>
          </w:p>
        </w:tc>
        <w:tc>
          <w:tcPr>
            <w:tcW w:w="1354" w:type="dxa"/>
            <w:vMerge w:val="restart"/>
            <w:tcBorders>
              <w:top w:val="single" w:color="auto" w:sz="4" w:space="0"/>
              <w:left w:val="single" w:color="auto" w:sz="4" w:space="0"/>
              <w:right w:val="single" w:color="auto" w:sz="4" w:space="0"/>
            </w:tcBorders>
            <w:vAlign w:val="center"/>
          </w:tcPr>
          <w:p w14:paraId="56145A71">
            <w:pPr>
              <w:adjustRightIn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后续服务承诺</w:t>
            </w:r>
          </w:p>
        </w:tc>
        <w:tc>
          <w:tcPr>
            <w:tcW w:w="6837" w:type="dxa"/>
            <w:tcBorders>
              <w:top w:val="single" w:color="auto" w:sz="4" w:space="0"/>
              <w:left w:val="single" w:color="auto" w:sz="4" w:space="0"/>
              <w:bottom w:val="single" w:color="auto" w:sz="4" w:space="0"/>
              <w:right w:val="single" w:color="auto" w:sz="4" w:space="0"/>
            </w:tcBorders>
            <w:vAlign w:val="center"/>
          </w:tcPr>
          <w:p w14:paraId="2DCF8B08">
            <w:pPr>
              <w:widowControl/>
              <w:adjustRightIn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根据投标人</w:t>
            </w:r>
            <w:r>
              <w:rPr>
                <w:rFonts w:hint="eastAsia" w:ascii="宋体" w:hAnsi="宋体" w:cs="宋体"/>
                <w:color w:val="auto"/>
                <w:sz w:val="24"/>
                <w:highlight w:val="none"/>
              </w:rPr>
              <w:t>提供的</w:t>
            </w:r>
            <w:r>
              <w:rPr>
                <w:rFonts w:hint="eastAsia" w:ascii="宋体" w:hAnsi="宋体" w:cs="宋体"/>
                <w:color w:val="auto"/>
                <w:sz w:val="24"/>
                <w:highlight w:val="none"/>
                <w:lang w:val="en-US" w:eastAsia="zh-CN"/>
              </w:rPr>
              <w:t>对本项目提供的服务承诺、后续服务的承诺，以及给予采购人的其他服务承诺等情况进行打分</w:t>
            </w:r>
            <w:r>
              <w:rPr>
                <w:rFonts w:hint="eastAsia" w:ascii="宋体" w:hAnsi="宋体" w:cs="宋体"/>
                <w:color w:val="auto"/>
                <w:sz w:val="24"/>
                <w:highlight w:val="none"/>
              </w:rPr>
              <w:t>。</w:t>
            </w:r>
          </w:p>
        </w:tc>
        <w:tc>
          <w:tcPr>
            <w:tcW w:w="832" w:type="dxa"/>
            <w:tcBorders>
              <w:top w:val="single" w:color="auto" w:sz="4" w:space="0"/>
              <w:left w:val="single" w:color="auto" w:sz="4" w:space="0"/>
              <w:bottom w:val="single" w:color="auto" w:sz="4" w:space="0"/>
            </w:tcBorders>
            <w:vAlign w:val="center"/>
          </w:tcPr>
          <w:p w14:paraId="55AB6797">
            <w:pPr>
              <w:adjustRightInd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r>
      <w:tr w14:paraId="5570B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780" w:type="dxa"/>
            <w:tcBorders>
              <w:top w:val="single" w:color="auto" w:sz="4" w:space="0"/>
              <w:bottom w:val="single" w:color="auto" w:sz="4" w:space="0"/>
              <w:right w:val="single" w:color="auto" w:sz="4" w:space="0"/>
            </w:tcBorders>
            <w:vAlign w:val="center"/>
          </w:tcPr>
          <w:p w14:paraId="18F18EFA">
            <w:pPr>
              <w:widowControl/>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382" w:type="dxa"/>
            <w:vMerge w:val="continue"/>
            <w:tcBorders>
              <w:left w:val="single" w:color="auto" w:sz="4" w:space="0"/>
              <w:right w:val="single" w:color="auto" w:sz="4" w:space="0"/>
            </w:tcBorders>
            <w:vAlign w:val="center"/>
          </w:tcPr>
          <w:p w14:paraId="099A8B7A">
            <w:pPr>
              <w:spacing w:line="360" w:lineRule="auto"/>
              <w:jc w:val="center"/>
              <w:rPr>
                <w:rFonts w:ascii="宋体" w:hAnsi="宋体" w:cs="宋体"/>
                <w:color w:val="auto"/>
                <w:sz w:val="24"/>
                <w:highlight w:val="none"/>
              </w:rPr>
            </w:pPr>
          </w:p>
        </w:tc>
        <w:tc>
          <w:tcPr>
            <w:tcW w:w="1354" w:type="dxa"/>
            <w:vMerge w:val="continue"/>
            <w:tcBorders>
              <w:left w:val="single" w:color="auto" w:sz="4" w:space="0"/>
              <w:bottom w:val="single" w:color="auto" w:sz="4" w:space="0"/>
              <w:right w:val="single" w:color="auto" w:sz="4" w:space="0"/>
            </w:tcBorders>
            <w:vAlign w:val="center"/>
          </w:tcPr>
          <w:p w14:paraId="1159964E">
            <w:pPr>
              <w:adjustRightInd w:val="0"/>
              <w:spacing w:line="360" w:lineRule="auto"/>
              <w:jc w:val="center"/>
              <w:rPr>
                <w:rFonts w:hint="eastAsia" w:ascii="宋体" w:hAnsi="宋体" w:cs="宋体"/>
                <w:color w:val="auto"/>
                <w:sz w:val="24"/>
                <w:highlight w:val="none"/>
                <w:lang w:val="en-US" w:eastAsia="zh-CN"/>
              </w:rPr>
            </w:pPr>
          </w:p>
        </w:tc>
        <w:tc>
          <w:tcPr>
            <w:tcW w:w="6837" w:type="dxa"/>
            <w:tcBorders>
              <w:top w:val="single" w:color="auto" w:sz="4" w:space="0"/>
              <w:left w:val="single" w:color="auto" w:sz="4" w:space="0"/>
              <w:bottom w:val="single" w:color="auto" w:sz="4" w:space="0"/>
              <w:right w:val="single" w:color="auto" w:sz="4" w:space="0"/>
            </w:tcBorders>
            <w:vAlign w:val="center"/>
          </w:tcPr>
          <w:p w14:paraId="54723ABD">
            <w:pPr>
              <w:widowControl/>
              <w:adjustRightInd w:val="0"/>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根据投标人提供有利于医院长足发展的增值服务方案进行打分。</w:t>
            </w:r>
          </w:p>
        </w:tc>
        <w:tc>
          <w:tcPr>
            <w:tcW w:w="832" w:type="dxa"/>
            <w:tcBorders>
              <w:top w:val="single" w:color="auto" w:sz="4" w:space="0"/>
              <w:left w:val="single" w:color="auto" w:sz="4" w:space="0"/>
              <w:bottom w:val="single" w:color="auto" w:sz="4" w:space="0"/>
            </w:tcBorders>
            <w:vAlign w:val="center"/>
          </w:tcPr>
          <w:p w14:paraId="7B4C5BB1">
            <w:pPr>
              <w:adjustRightInd w:val="0"/>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r>
    </w:tbl>
    <w:p w14:paraId="4BC134BF">
      <w:pPr>
        <w:rPr>
          <w:color w:val="auto"/>
          <w:highlight w:val="none"/>
        </w:rPr>
      </w:pPr>
    </w:p>
    <w:p w14:paraId="122420D6">
      <w:pPr>
        <w:pStyle w:val="2"/>
        <w:keepNext w:val="0"/>
        <w:keepLines w:val="0"/>
        <w:pageBreakBefore/>
        <w:numPr>
          <w:ilvl w:val="0"/>
          <w:numId w:val="10"/>
        </w:numPr>
        <w:spacing w:line="240" w:lineRule="auto"/>
        <w:jc w:val="center"/>
        <w:rPr>
          <w:rFonts w:ascii="宋体" w:hAnsi="宋体" w:cs="宋体"/>
          <w:bCs w:val="0"/>
          <w:color w:val="auto"/>
          <w:sz w:val="32"/>
          <w:szCs w:val="32"/>
          <w:highlight w:val="none"/>
        </w:rPr>
      </w:pPr>
      <w:bookmarkStart w:id="52" w:name="_Toc14782"/>
      <w:r>
        <w:rPr>
          <w:rFonts w:hint="eastAsia" w:ascii="宋体" w:hAnsi="宋体" w:cs="宋体"/>
          <w:bCs w:val="0"/>
          <w:color w:val="auto"/>
          <w:sz w:val="32"/>
          <w:szCs w:val="32"/>
          <w:highlight w:val="none"/>
        </w:rPr>
        <w:t>合同主要条款</w:t>
      </w:r>
      <w:bookmarkEnd w:id="41"/>
      <w:bookmarkEnd w:id="52"/>
    </w:p>
    <w:p w14:paraId="0567D49A">
      <w:pPr>
        <w:spacing w:line="480" w:lineRule="auto"/>
        <w:jc w:val="center"/>
        <w:outlineLvl w:val="1"/>
        <w:rPr>
          <w:rFonts w:ascii="宋体" w:hAnsi="宋体"/>
          <w:b/>
          <w:color w:val="auto"/>
          <w:sz w:val="36"/>
          <w:szCs w:val="32"/>
          <w:highlight w:val="none"/>
        </w:rPr>
      </w:pPr>
      <w:bookmarkStart w:id="53" w:name="_Toc6142"/>
      <w:bookmarkStart w:id="54" w:name="_Toc9779"/>
      <w:bookmarkStart w:id="55" w:name="_Toc26013"/>
      <w:bookmarkStart w:id="56" w:name="_Toc24559"/>
      <w:r>
        <w:rPr>
          <w:rFonts w:hint="eastAsia" w:ascii="宋体" w:hAnsi="宋体"/>
          <w:b/>
          <w:color w:val="auto"/>
          <w:sz w:val="36"/>
          <w:szCs w:val="32"/>
          <w:highlight w:val="none"/>
        </w:rPr>
        <w:t>东阳市政府采购合同（样本）</w:t>
      </w:r>
      <w:bookmarkEnd w:id="53"/>
      <w:bookmarkEnd w:id="54"/>
      <w:bookmarkEnd w:id="55"/>
      <w:bookmarkEnd w:id="56"/>
    </w:p>
    <w:p w14:paraId="0C6D2192">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项目名称：                   项目编号：               合同号：</w:t>
      </w:r>
    </w:p>
    <w:p w14:paraId="51DBB955">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甲方（买方）：</w:t>
      </w:r>
    </w:p>
    <w:p w14:paraId="7F7C3A32">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乙方（卖方）：</w:t>
      </w:r>
    </w:p>
    <w:p w14:paraId="1ECC963B">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鉴证方（招标方）：</w:t>
      </w:r>
    </w:p>
    <w:p w14:paraId="1327E40D">
      <w:pPr>
        <w:snapToGrid w:val="0"/>
        <w:spacing w:before="120" w:after="120" w:line="400" w:lineRule="exact"/>
        <w:ind w:firstLine="495"/>
        <w:rPr>
          <w:rFonts w:ascii="宋体" w:hAnsi="宋体" w:cs="宋体"/>
          <w:color w:val="auto"/>
          <w:sz w:val="24"/>
          <w:highlight w:val="none"/>
          <w:u w:val="single"/>
        </w:rPr>
      </w:pPr>
      <w:r>
        <w:rPr>
          <w:rFonts w:hint="eastAsia" w:ascii="宋体" w:hAnsi="宋体" w:cs="宋体"/>
          <w:color w:val="auto"/>
          <w:sz w:val="24"/>
          <w:highlight w:val="none"/>
        </w:rPr>
        <w:t>甲、乙双方根据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日东阳市鑫盛工程咨询有限公司关于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项目公开招标的结果，签署本合同。</w:t>
      </w:r>
    </w:p>
    <w:p w14:paraId="56A469C0">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一、服务内容：</w:t>
      </w:r>
    </w:p>
    <w:p w14:paraId="1403F8FA">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二、合同金额：</w:t>
      </w:r>
    </w:p>
    <w:p w14:paraId="19F15AA3">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三、技术资料</w:t>
      </w:r>
    </w:p>
    <w:p w14:paraId="57EE62CD">
      <w:pPr>
        <w:snapToGrid w:val="0"/>
        <w:spacing w:before="120" w:after="120" w:line="400" w:lineRule="exact"/>
        <w:ind w:left="410" w:hanging="410"/>
        <w:rPr>
          <w:rFonts w:ascii="宋体" w:hAnsi="宋体" w:cs="宋体"/>
          <w:color w:val="auto"/>
          <w:sz w:val="24"/>
          <w:highlight w:val="none"/>
        </w:rPr>
      </w:pPr>
      <w:r>
        <w:rPr>
          <w:rFonts w:hint="eastAsia" w:ascii="宋体" w:hAnsi="宋体" w:cs="宋体"/>
          <w:color w:val="auto"/>
          <w:sz w:val="24"/>
          <w:highlight w:val="none"/>
        </w:rPr>
        <w:t>1. 乙方应按招标文件规定的时间向甲方提供有关技术资料。</w:t>
      </w:r>
    </w:p>
    <w:p w14:paraId="26B0CB89">
      <w:pPr>
        <w:snapToGrid w:val="0"/>
        <w:spacing w:before="120" w:after="120" w:line="400" w:lineRule="exact"/>
        <w:ind w:left="410" w:hanging="410"/>
        <w:rPr>
          <w:rFonts w:ascii="宋体" w:hAnsi="宋体" w:cs="宋体"/>
          <w:color w:val="auto"/>
          <w:sz w:val="24"/>
          <w:highlight w:val="none"/>
        </w:rPr>
      </w:pPr>
      <w:r>
        <w:rPr>
          <w:rFonts w:hint="eastAsia" w:ascii="宋体" w:hAnsi="宋体" w:cs="宋体"/>
          <w:color w:val="auto"/>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FA663A8">
      <w:pPr>
        <w:snapToGrid w:val="0"/>
        <w:spacing w:before="120" w:after="120" w:line="400" w:lineRule="exact"/>
        <w:ind w:left="410" w:hanging="410"/>
        <w:rPr>
          <w:rFonts w:ascii="宋体" w:hAnsi="宋体" w:cs="宋体"/>
          <w:b/>
          <w:color w:val="auto"/>
          <w:sz w:val="24"/>
          <w:highlight w:val="none"/>
        </w:rPr>
      </w:pPr>
      <w:r>
        <w:rPr>
          <w:rFonts w:hint="eastAsia" w:ascii="宋体" w:hAnsi="宋体" w:cs="宋体"/>
          <w:b/>
          <w:color w:val="auto"/>
          <w:sz w:val="24"/>
          <w:highlight w:val="none"/>
        </w:rPr>
        <w:t>四、知识产权</w:t>
      </w:r>
    </w:p>
    <w:p w14:paraId="77EA2104">
      <w:pPr>
        <w:snapToGrid w:val="0"/>
        <w:spacing w:before="120" w:after="120" w:line="400" w:lineRule="exact"/>
        <w:ind w:left="410" w:hanging="410"/>
        <w:rPr>
          <w:rFonts w:ascii="宋体" w:hAnsi="宋体" w:cs="宋体"/>
          <w:color w:val="auto"/>
          <w:sz w:val="24"/>
          <w:highlight w:val="none"/>
        </w:rPr>
      </w:pPr>
      <w:r>
        <w:rPr>
          <w:rFonts w:hint="eastAsia" w:ascii="宋体" w:hAnsi="宋体" w:cs="宋体"/>
          <w:color w:val="auto"/>
          <w:sz w:val="24"/>
          <w:highlight w:val="none"/>
        </w:rPr>
        <w:t>乙方应保证提供服务过程中不会侵犯任何第三方的知识产权。</w:t>
      </w:r>
    </w:p>
    <w:p w14:paraId="22326D2B">
      <w:pPr>
        <w:snapToGrid w:val="0"/>
        <w:spacing w:before="120" w:after="120" w:line="400" w:lineRule="exact"/>
        <w:ind w:left="410" w:hanging="410"/>
        <w:rPr>
          <w:rFonts w:ascii="宋体" w:hAnsi="宋体" w:cs="宋体"/>
          <w:color w:val="auto"/>
          <w:sz w:val="24"/>
          <w:highlight w:val="none"/>
        </w:rPr>
      </w:pPr>
      <w:r>
        <w:rPr>
          <w:rFonts w:hint="eastAsia" w:ascii="宋体" w:hAnsi="宋体" w:cs="宋体"/>
          <w:color w:val="auto"/>
          <w:sz w:val="24"/>
          <w:highlight w:val="none"/>
        </w:rPr>
        <w:t>若乙方提供的服务或资料侵犯他人知识产权的，则乙方承担相应赔偿责任。</w:t>
      </w:r>
    </w:p>
    <w:p w14:paraId="40E55A2B">
      <w:pPr>
        <w:snapToGrid w:val="0"/>
        <w:spacing w:before="120" w:after="120" w:line="400" w:lineRule="exact"/>
        <w:ind w:left="408" w:hanging="408"/>
        <w:rPr>
          <w:rFonts w:hint="eastAsia" w:ascii="宋体" w:hAnsi="宋体" w:eastAsia="宋体"/>
          <w:b/>
          <w:color w:val="auto"/>
          <w:sz w:val="24"/>
          <w:highlight w:val="none"/>
          <w:lang w:val="en-US" w:eastAsia="zh-CN"/>
        </w:rPr>
      </w:pPr>
      <w:r>
        <w:rPr>
          <w:rFonts w:hint="eastAsia" w:ascii="宋体" w:hAnsi="宋体"/>
          <w:b/>
          <w:color w:val="auto"/>
          <w:sz w:val="24"/>
          <w:highlight w:val="none"/>
        </w:rPr>
        <w:t>五</w:t>
      </w:r>
      <w:r>
        <w:rPr>
          <w:rFonts w:ascii="宋体" w:hAnsi="宋体"/>
          <w:b/>
          <w:color w:val="auto"/>
          <w:sz w:val="24"/>
          <w:highlight w:val="none"/>
        </w:rPr>
        <w:t>、履约保证金</w:t>
      </w:r>
      <w:r>
        <w:rPr>
          <w:rFonts w:hint="eastAsia" w:ascii="宋体" w:hAnsi="宋体"/>
          <w:b/>
          <w:color w:val="auto"/>
          <w:sz w:val="24"/>
          <w:highlight w:val="none"/>
        </w:rPr>
        <w:t>：</w:t>
      </w:r>
      <w:r>
        <w:rPr>
          <w:rFonts w:hint="eastAsia" w:ascii="宋体" w:hAnsi="宋体"/>
          <w:b/>
          <w:color w:val="auto"/>
          <w:sz w:val="24"/>
          <w:highlight w:val="none"/>
          <w:lang w:val="en-US" w:eastAsia="zh-CN"/>
        </w:rPr>
        <w:t>/</w:t>
      </w:r>
    </w:p>
    <w:p w14:paraId="5CC9C330">
      <w:pPr>
        <w:snapToGrid w:val="0"/>
        <w:spacing w:before="120" w:after="120" w:line="400" w:lineRule="exact"/>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、转包</w:t>
      </w:r>
      <w:r>
        <w:rPr>
          <w:rFonts w:hint="eastAsia" w:ascii="宋体" w:hAnsi="宋体" w:cs="宋体"/>
          <w:b/>
          <w:color w:val="auto"/>
          <w:sz w:val="24"/>
          <w:highlight w:val="none"/>
          <w:lang w:val="en-US" w:eastAsia="zh-CN"/>
        </w:rPr>
        <w:t>或分包</w:t>
      </w:r>
    </w:p>
    <w:p w14:paraId="5A7027BE">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1.本合同范围的服务，应由乙方直接供应，不得转让他人供应；</w:t>
      </w:r>
    </w:p>
    <w:p w14:paraId="77BB5480">
      <w:pPr>
        <w:snapToGrid w:val="0"/>
        <w:spacing w:before="120" w:after="120" w:line="400" w:lineRule="exact"/>
        <w:ind w:left="410" w:hanging="410"/>
        <w:rPr>
          <w:rFonts w:ascii="宋体" w:hAnsi="宋体" w:cs="宋体"/>
          <w:color w:val="auto"/>
          <w:sz w:val="24"/>
          <w:highlight w:val="none"/>
        </w:rPr>
      </w:pPr>
      <w:r>
        <w:rPr>
          <w:rFonts w:hint="eastAsia" w:ascii="宋体" w:hAnsi="宋体" w:cs="宋体"/>
          <w:color w:val="auto"/>
          <w:sz w:val="24"/>
          <w:highlight w:val="none"/>
        </w:rPr>
        <w:t>2. 如发现转包行为，甲方有权解除合同，并追究乙方的违约责任。</w:t>
      </w:r>
    </w:p>
    <w:p w14:paraId="68038CB2">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、合同履行时间、履行方式及履行地点</w:t>
      </w:r>
    </w:p>
    <w:p w14:paraId="01F8C2AE">
      <w:pPr>
        <w:snapToGrid w:val="0"/>
        <w:spacing w:before="120" w:after="120" w:line="400" w:lineRule="exact"/>
        <w:rPr>
          <w:rFonts w:ascii="宋体" w:hAnsi="宋体" w:cs="宋体"/>
          <w:bCs/>
          <w:color w:val="auto"/>
          <w:sz w:val="24"/>
          <w:highlight w:val="none"/>
        </w:rPr>
      </w:pPr>
      <w:r>
        <w:rPr>
          <w:rFonts w:hint="eastAsia" w:ascii="宋体" w:hAnsi="宋体" w:cs="宋体"/>
          <w:bCs/>
          <w:color w:val="auto"/>
          <w:sz w:val="24"/>
          <w:highlight w:val="none"/>
        </w:rPr>
        <w:t xml:space="preserve">1. </w:t>
      </w:r>
      <w:r>
        <w:rPr>
          <w:rFonts w:hint="eastAsia" w:ascii="宋体" w:hAnsi="宋体" w:cs="宋体"/>
          <w:color w:val="auto"/>
          <w:sz w:val="24"/>
          <w:highlight w:val="none"/>
        </w:rPr>
        <w:t>履行时间</w:t>
      </w:r>
      <w:r>
        <w:rPr>
          <w:rFonts w:hint="eastAsia" w:ascii="宋体" w:hAnsi="宋体" w:cs="宋体"/>
          <w:bCs/>
          <w:color w:val="auto"/>
          <w:sz w:val="24"/>
          <w:highlight w:val="none"/>
        </w:rPr>
        <w:t>：</w:t>
      </w:r>
    </w:p>
    <w:p w14:paraId="3D4D3B3B">
      <w:pPr>
        <w:snapToGrid w:val="0"/>
        <w:spacing w:before="120" w:after="120" w:line="400" w:lineRule="exact"/>
        <w:rPr>
          <w:rFonts w:ascii="宋体" w:hAnsi="宋体" w:cs="宋体"/>
          <w:bCs/>
          <w:color w:val="auto"/>
          <w:sz w:val="24"/>
          <w:highlight w:val="none"/>
        </w:rPr>
      </w:pPr>
      <w:r>
        <w:rPr>
          <w:rFonts w:hint="eastAsia" w:ascii="宋体" w:hAnsi="宋体" w:cs="宋体"/>
          <w:bCs/>
          <w:color w:val="auto"/>
          <w:sz w:val="24"/>
          <w:highlight w:val="none"/>
        </w:rPr>
        <w:t xml:space="preserve">2. </w:t>
      </w:r>
      <w:r>
        <w:rPr>
          <w:rFonts w:hint="eastAsia" w:ascii="宋体" w:hAnsi="宋体" w:cs="宋体"/>
          <w:color w:val="auto"/>
          <w:sz w:val="24"/>
          <w:highlight w:val="none"/>
        </w:rPr>
        <w:t>履行方式</w:t>
      </w:r>
      <w:r>
        <w:rPr>
          <w:rFonts w:hint="eastAsia" w:ascii="宋体" w:hAnsi="宋体" w:cs="宋体"/>
          <w:bCs/>
          <w:color w:val="auto"/>
          <w:sz w:val="24"/>
          <w:highlight w:val="none"/>
        </w:rPr>
        <w:t>：</w:t>
      </w:r>
    </w:p>
    <w:p w14:paraId="2E607BC2">
      <w:pPr>
        <w:snapToGrid w:val="0"/>
        <w:spacing w:before="120" w:after="120" w:line="400" w:lineRule="exact"/>
        <w:rPr>
          <w:rFonts w:ascii="宋体" w:hAnsi="宋体" w:cs="宋体"/>
          <w:color w:val="auto"/>
          <w:sz w:val="24"/>
          <w:highlight w:val="none"/>
        </w:rPr>
      </w:pPr>
      <w:r>
        <w:rPr>
          <w:rFonts w:hint="eastAsia" w:ascii="宋体" w:hAnsi="宋体" w:cs="宋体"/>
          <w:bCs/>
          <w:color w:val="auto"/>
          <w:sz w:val="24"/>
          <w:highlight w:val="none"/>
        </w:rPr>
        <w:t xml:space="preserve">3. </w:t>
      </w:r>
      <w:r>
        <w:rPr>
          <w:rFonts w:hint="eastAsia" w:ascii="宋体" w:hAnsi="宋体" w:cs="宋体"/>
          <w:color w:val="auto"/>
          <w:sz w:val="24"/>
          <w:highlight w:val="none"/>
        </w:rPr>
        <w:t>履行地点</w:t>
      </w:r>
      <w:r>
        <w:rPr>
          <w:rFonts w:hint="eastAsia" w:ascii="宋体" w:hAnsi="宋体" w:cs="宋体"/>
          <w:bCs/>
          <w:color w:val="auto"/>
          <w:sz w:val="24"/>
          <w:highlight w:val="none"/>
        </w:rPr>
        <w:t>：</w:t>
      </w:r>
    </w:p>
    <w:p w14:paraId="7C40826C">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、付款方式：</w:t>
      </w:r>
    </w:p>
    <w:p w14:paraId="70EAFC09">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、税费</w:t>
      </w:r>
    </w:p>
    <w:p w14:paraId="6C00E6EE">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519749E2">
      <w:pPr>
        <w:snapToGrid w:val="0"/>
        <w:spacing w:before="120" w:after="120" w:line="400" w:lineRule="exact"/>
        <w:ind w:left="410" w:hanging="410"/>
        <w:rPr>
          <w:rFonts w:ascii="宋体" w:hAnsi="宋体" w:cs="宋体"/>
          <w:color w:val="auto"/>
          <w:sz w:val="24"/>
          <w:highlight w:val="none"/>
        </w:rPr>
      </w:pPr>
      <w:r>
        <w:rPr>
          <w:rFonts w:hint="eastAsia" w:ascii="宋体" w:hAnsi="宋体" w:cs="宋体"/>
          <w:b/>
          <w:color w:val="auto"/>
          <w:sz w:val="24"/>
          <w:highlight w:val="none"/>
          <w:lang w:val="en-US" w:eastAsia="zh-CN"/>
        </w:rPr>
        <w:t>十</w:t>
      </w:r>
      <w:r>
        <w:rPr>
          <w:rFonts w:hint="eastAsia" w:ascii="宋体" w:hAnsi="宋体" w:cs="宋体"/>
          <w:b/>
          <w:color w:val="auto"/>
          <w:sz w:val="24"/>
          <w:highlight w:val="none"/>
        </w:rPr>
        <w:t>、质量保证及后续服务</w:t>
      </w:r>
    </w:p>
    <w:p w14:paraId="6B221C89">
      <w:pPr>
        <w:snapToGrid w:val="0"/>
        <w:spacing w:before="120" w:after="120" w:line="400" w:lineRule="exact"/>
        <w:ind w:left="410" w:hanging="410"/>
        <w:rPr>
          <w:rFonts w:ascii="宋体" w:hAnsi="宋体" w:cs="宋体"/>
          <w:color w:val="auto"/>
          <w:sz w:val="24"/>
          <w:highlight w:val="none"/>
        </w:rPr>
      </w:pPr>
      <w:r>
        <w:rPr>
          <w:rFonts w:hint="eastAsia" w:ascii="宋体" w:hAnsi="宋体" w:cs="宋体"/>
          <w:color w:val="auto"/>
          <w:sz w:val="24"/>
          <w:highlight w:val="none"/>
        </w:rPr>
        <w:t>1． 乙方应按招标文件规定向甲方提供服务。</w:t>
      </w:r>
    </w:p>
    <w:p w14:paraId="6A0EDB50">
      <w:pPr>
        <w:snapToGrid w:val="0"/>
        <w:spacing w:before="120" w:after="120" w:line="400" w:lineRule="exact"/>
        <w:ind w:left="480" w:hanging="480"/>
        <w:rPr>
          <w:rFonts w:ascii="宋体" w:hAnsi="宋体" w:cs="宋体"/>
          <w:color w:val="auto"/>
          <w:sz w:val="24"/>
          <w:highlight w:val="none"/>
        </w:rPr>
      </w:pPr>
      <w:r>
        <w:rPr>
          <w:rFonts w:hint="eastAsia" w:ascii="宋体" w:hAnsi="宋体" w:cs="宋体"/>
          <w:color w:val="auto"/>
          <w:sz w:val="24"/>
          <w:highlight w:val="none"/>
        </w:rPr>
        <w:t>2． 乙方提供的服务成果在服务质量保证期内发生故障，乙方应负责免费提供后续服务。对达不到要求者，根据实际情况，经双方协商，可按以下办法处理：</w:t>
      </w:r>
    </w:p>
    <w:p w14:paraId="40E09B14">
      <w:pPr>
        <w:snapToGrid w:val="0"/>
        <w:spacing w:before="120" w:after="120" w:line="400" w:lineRule="exact"/>
        <w:ind w:firstLine="420"/>
        <w:rPr>
          <w:rFonts w:ascii="宋体" w:hAnsi="宋体" w:cs="宋体"/>
          <w:color w:val="auto"/>
          <w:sz w:val="24"/>
          <w:highlight w:val="none"/>
        </w:rPr>
      </w:pPr>
      <w:r>
        <w:rPr>
          <w:rFonts w:hint="eastAsia" w:ascii="宋体" w:hAnsi="宋体" w:cs="宋体"/>
          <w:color w:val="auto"/>
          <w:sz w:val="24"/>
          <w:highlight w:val="none"/>
        </w:rPr>
        <w:t>⑴重做：由乙方承担所发生的全部费用。</w:t>
      </w:r>
    </w:p>
    <w:p w14:paraId="7F133793">
      <w:pPr>
        <w:snapToGrid w:val="0"/>
        <w:spacing w:before="120" w:after="120" w:line="400" w:lineRule="exact"/>
        <w:ind w:firstLine="420"/>
        <w:rPr>
          <w:rFonts w:ascii="宋体" w:hAnsi="宋体" w:cs="宋体"/>
          <w:color w:val="auto"/>
          <w:sz w:val="24"/>
          <w:highlight w:val="none"/>
        </w:rPr>
      </w:pPr>
      <w:r>
        <w:rPr>
          <w:rFonts w:hint="eastAsia" w:ascii="宋体" w:hAnsi="宋体" w:cs="宋体"/>
          <w:color w:val="auto"/>
          <w:sz w:val="24"/>
          <w:highlight w:val="none"/>
        </w:rPr>
        <w:t>⑵贬值处理：由甲乙双方合议定价。</w:t>
      </w:r>
    </w:p>
    <w:p w14:paraId="6B4ED0AE">
      <w:pPr>
        <w:snapToGrid w:val="0"/>
        <w:spacing w:before="120" w:after="120" w:line="400" w:lineRule="exact"/>
        <w:ind w:left="420" w:leftChars="200"/>
        <w:rPr>
          <w:rFonts w:ascii="宋体" w:hAnsi="宋体" w:cs="宋体"/>
          <w:color w:val="auto"/>
          <w:sz w:val="24"/>
          <w:highlight w:val="none"/>
        </w:rPr>
      </w:pPr>
      <w:r>
        <w:rPr>
          <w:rFonts w:hint="eastAsia" w:ascii="宋体" w:hAnsi="宋体" w:cs="宋体"/>
          <w:color w:val="auto"/>
          <w:sz w:val="24"/>
          <w:highlight w:val="none"/>
        </w:rPr>
        <w:t>⑶解除合同。</w:t>
      </w:r>
    </w:p>
    <w:p w14:paraId="38FD29D5">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3．如在使用过程中发生问题，乙方在接到甲方通知后</w:t>
      </w:r>
      <w:r>
        <w:rPr>
          <w:rFonts w:hint="eastAsia" w:ascii="宋体" w:hAnsi="宋体" w:cs="宋体"/>
          <w:color w:val="auto"/>
          <w:sz w:val="24"/>
          <w:highlight w:val="none"/>
          <w:u w:val="single"/>
        </w:rPr>
        <w:t>48</w:t>
      </w:r>
      <w:r>
        <w:rPr>
          <w:rFonts w:hint="eastAsia" w:ascii="宋体" w:hAnsi="宋体" w:cs="宋体"/>
          <w:color w:val="auto"/>
          <w:sz w:val="24"/>
          <w:highlight w:val="none"/>
        </w:rPr>
        <w:t>小时内到达甲方现场。</w:t>
      </w:r>
    </w:p>
    <w:p w14:paraId="467CE6B6">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4．在服务质量保证期内，乙方应对出现的质量及安全问题负责处理解决并承担一切费用。</w:t>
      </w:r>
    </w:p>
    <w:p w14:paraId="73F155E4">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一</w:t>
      </w:r>
      <w:r>
        <w:rPr>
          <w:rFonts w:hint="eastAsia" w:ascii="宋体" w:hAnsi="宋体" w:cs="宋体"/>
          <w:b/>
          <w:color w:val="auto"/>
          <w:sz w:val="24"/>
          <w:highlight w:val="none"/>
        </w:rPr>
        <w:t>、违约责任</w:t>
      </w:r>
    </w:p>
    <w:p w14:paraId="58931156">
      <w:pPr>
        <w:snapToGrid w:val="0"/>
        <w:spacing w:before="120" w:after="120" w:line="400" w:lineRule="exact"/>
        <w:ind w:left="410" w:hanging="410"/>
        <w:rPr>
          <w:rFonts w:ascii="宋体" w:hAnsi="宋体" w:cs="宋体"/>
          <w:color w:val="auto"/>
          <w:sz w:val="24"/>
          <w:highlight w:val="none"/>
        </w:rPr>
      </w:pPr>
      <w:r>
        <w:rPr>
          <w:rFonts w:hint="eastAsia" w:ascii="宋体" w:hAnsi="宋体" w:cs="宋体"/>
          <w:color w:val="auto"/>
          <w:sz w:val="24"/>
          <w:highlight w:val="none"/>
        </w:rPr>
        <w:t>1．甲方无正当理由拒收接受服务的，甲方向乙方偿付合同款项百分之五作为违约金。</w:t>
      </w:r>
    </w:p>
    <w:p w14:paraId="1FB08EAB">
      <w:pPr>
        <w:snapToGrid w:val="0"/>
        <w:spacing w:before="120" w:after="120" w:line="400" w:lineRule="exact"/>
        <w:ind w:left="410" w:hanging="410"/>
        <w:rPr>
          <w:rFonts w:ascii="宋体" w:hAnsi="宋体" w:cs="宋体"/>
          <w:color w:val="auto"/>
          <w:sz w:val="24"/>
          <w:highlight w:val="none"/>
        </w:rPr>
      </w:pPr>
      <w:r>
        <w:rPr>
          <w:rFonts w:hint="eastAsia" w:ascii="宋体" w:hAnsi="宋体" w:cs="宋体"/>
          <w:color w:val="auto"/>
          <w:sz w:val="24"/>
          <w:highlight w:val="none"/>
        </w:rPr>
        <w:t>2．甲方无故逾期验收和办理款项支付手续的,甲方应按逾期付款总额每日万分之五向乙方支付违约金。</w:t>
      </w:r>
    </w:p>
    <w:p w14:paraId="033F195E">
      <w:pPr>
        <w:snapToGrid w:val="0"/>
        <w:spacing w:before="120" w:after="120" w:line="400" w:lineRule="exact"/>
        <w:ind w:left="410" w:hanging="410"/>
        <w:rPr>
          <w:rFonts w:ascii="宋体" w:hAnsi="宋体" w:cs="宋体"/>
          <w:color w:val="auto"/>
          <w:sz w:val="24"/>
          <w:highlight w:val="none"/>
        </w:rPr>
      </w:pPr>
      <w:r>
        <w:rPr>
          <w:rFonts w:hint="eastAsia" w:ascii="宋体" w:hAnsi="宋体" w:cs="宋体"/>
          <w:color w:val="auto"/>
          <w:sz w:val="24"/>
          <w:highlight w:val="none"/>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6D129763">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二</w:t>
      </w:r>
      <w:r>
        <w:rPr>
          <w:rFonts w:hint="eastAsia" w:ascii="宋体" w:hAnsi="宋体" w:cs="宋体"/>
          <w:b/>
          <w:color w:val="auto"/>
          <w:sz w:val="24"/>
          <w:highlight w:val="none"/>
        </w:rPr>
        <w:t>、不可抗力事件处理</w:t>
      </w:r>
    </w:p>
    <w:p w14:paraId="1D724BA6">
      <w:pPr>
        <w:snapToGrid w:val="0"/>
        <w:spacing w:before="120" w:after="120" w:line="400" w:lineRule="exact"/>
        <w:ind w:left="480" w:hanging="480"/>
        <w:rPr>
          <w:rFonts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14:paraId="12A63AC1">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14:paraId="690A9BB2">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3．不可抗力事件延续120天以上，双方应通过友好协商，确定是否继续履行合同。</w:t>
      </w:r>
    </w:p>
    <w:p w14:paraId="1424BC92">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、诉讼</w:t>
      </w:r>
    </w:p>
    <w:p w14:paraId="0304DB6A">
      <w:pPr>
        <w:snapToGrid w:val="0"/>
        <w:spacing w:before="120" w:after="120" w:line="400" w:lineRule="exact"/>
        <w:ind w:firstLine="120"/>
        <w:jc w:val="left"/>
        <w:rPr>
          <w:rFonts w:ascii="宋体" w:hAnsi="宋体" w:cs="宋体"/>
          <w:color w:val="auto"/>
          <w:sz w:val="24"/>
          <w:highlight w:val="none"/>
        </w:rPr>
      </w:pPr>
      <w:r>
        <w:rPr>
          <w:rFonts w:hint="eastAsia" w:ascii="宋体" w:hAnsi="宋体" w:cs="宋体"/>
          <w:color w:val="auto"/>
          <w:sz w:val="24"/>
          <w:highlight w:val="none"/>
        </w:rPr>
        <w:t>双方在执行合同中所发生的一切争议，应通过协商解决。如协商不成，可向甲方所在地法院起诉。</w:t>
      </w:r>
    </w:p>
    <w:p w14:paraId="347BB6EA">
      <w:pPr>
        <w:snapToGrid w:val="0"/>
        <w:spacing w:before="120" w:after="120" w:line="400" w:lineRule="exact"/>
        <w:rPr>
          <w:rFonts w:ascii="宋体" w:hAnsi="宋体" w:cs="宋体"/>
          <w:b/>
          <w:color w:val="auto"/>
          <w:sz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四</w:t>
      </w:r>
      <w:r>
        <w:rPr>
          <w:rFonts w:hint="eastAsia" w:ascii="宋体" w:hAnsi="宋体" w:cs="宋体"/>
          <w:b/>
          <w:color w:val="auto"/>
          <w:sz w:val="24"/>
          <w:highlight w:val="none"/>
        </w:rPr>
        <w:t>、合同生效及其它</w:t>
      </w:r>
    </w:p>
    <w:p w14:paraId="41C90F77">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1. 合同经三方法定代表人或授权代表签字并加盖单位公章后，报东阳市财政局采监科备案后生效。</w:t>
      </w:r>
    </w:p>
    <w:p w14:paraId="408BBAAC">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2.合同执行中涉及采购资金和采购内容修改或补充的，须经财政部门审批，并签书面补充协议报政府采购监督管理部门备案，方可作为主合同不可分割的一部分。</w:t>
      </w:r>
    </w:p>
    <w:p w14:paraId="61A0E495">
      <w:pPr>
        <w:snapToGrid w:val="0"/>
        <w:spacing w:before="120" w:after="120" w:line="400" w:lineRule="exact"/>
        <w:rPr>
          <w:rFonts w:ascii="宋体" w:hAnsi="宋体" w:cs="宋体"/>
          <w:color w:val="auto"/>
          <w:sz w:val="24"/>
          <w:highlight w:val="none"/>
        </w:rPr>
      </w:pPr>
      <w:r>
        <w:rPr>
          <w:rFonts w:hint="eastAsia" w:ascii="宋体" w:hAnsi="宋体" w:cs="宋体"/>
          <w:color w:val="auto"/>
          <w:sz w:val="24"/>
          <w:highlight w:val="none"/>
        </w:rPr>
        <w:t>3.本合同未尽事宜，遵照《中华人民共和国民法典》有关条文执行。</w:t>
      </w:r>
    </w:p>
    <w:p w14:paraId="745589EB">
      <w:pPr>
        <w:spacing w:line="400" w:lineRule="exact"/>
        <w:rPr>
          <w:rFonts w:ascii="宋体" w:hAnsi="宋体" w:cs="宋体"/>
          <w:color w:val="auto"/>
          <w:sz w:val="24"/>
          <w:highlight w:val="none"/>
        </w:rPr>
      </w:pPr>
      <w:r>
        <w:rPr>
          <w:rFonts w:hint="eastAsia" w:ascii="宋体" w:hAnsi="宋体" w:cs="宋体"/>
          <w:color w:val="auto"/>
          <w:sz w:val="24"/>
          <w:highlight w:val="none"/>
        </w:rPr>
        <w:t>4.本合同一式六份，东阳市财政局采监科、招标代理机构各执一份，甲、乙双方各执二份，其都具有同等法律效力。</w:t>
      </w:r>
    </w:p>
    <w:p w14:paraId="611BBEA2">
      <w:pPr>
        <w:spacing w:line="400" w:lineRule="exact"/>
        <w:rPr>
          <w:rFonts w:ascii="宋体" w:hAnsi="宋体" w:cs="宋体"/>
          <w:color w:val="auto"/>
          <w:sz w:val="24"/>
          <w:highlight w:val="none"/>
        </w:rPr>
      </w:pPr>
      <w:r>
        <w:rPr>
          <w:rFonts w:hint="eastAsia" w:ascii="宋体" w:hAnsi="宋体" w:cs="宋体"/>
          <w:b/>
          <w:color w:val="auto"/>
          <w:sz w:val="24"/>
          <w:highlight w:val="none"/>
        </w:rPr>
        <w:t>5.后附政府采购廉洁承诺书。</w:t>
      </w:r>
    </w:p>
    <w:p w14:paraId="06B8F53D">
      <w:pPr>
        <w:spacing w:before="120" w:after="120" w:line="400" w:lineRule="exact"/>
        <w:rPr>
          <w:rFonts w:ascii="宋体" w:hAnsi="宋体" w:cs="宋体"/>
          <w:b/>
          <w:bCs/>
          <w:color w:val="auto"/>
          <w:sz w:val="24"/>
          <w:highlight w:val="none"/>
        </w:rPr>
      </w:pPr>
    </w:p>
    <w:p w14:paraId="76C4C610">
      <w:pPr>
        <w:spacing w:before="120" w:after="120" w:line="400" w:lineRule="exact"/>
        <w:rPr>
          <w:rFonts w:ascii="宋体" w:hAnsi="宋体" w:cs="宋体"/>
          <w:color w:val="auto"/>
          <w:sz w:val="24"/>
          <w:highlight w:val="none"/>
        </w:rPr>
      </w:pPr>
      <w:r>
        <w:rPr>
          <w:rFonts w:hint="eastAsia" w:ascii="宋体" w:hAnsi="宋体" w:cs="宋体"/>
          <w:b/>
          <w:bCs/>
          <w:color w:val="auto"/>
          <w:sz w:val="24"/>
          <w:highlight w:val="none"/>
        </w:rPr>
        <w:t>甲方（盖公章）：                       乙方（盖公章）：</w:t>
      </w:r>
    </w:p>
    <w:p w14:paraId="617488C8">
      <w:pPr>
        <w:snapToGrid w:val="0"/>
        <w:spacing w:before="120" w:after="120" w:line="400" w:lineRule="exact"/>
        <w:ind w:leftChars="-1" w:hanging="2"/>
        <w:rPr>
          <w:rFonts w:ascii="宋体" w:hAnsi="宋体" w:cs="宋体"/>
          <w:color w:val="auto"/>
          <w:sz w:val="24"/>
          <w:highlight w:val="none"/>
        </w:rPr>
      </w:pPr>
      <w:r>
        <w:rPr>
          <w:rFonts w:hint="eastAsia" w:ascii="宋体" w:hAnsi="宋体" w:cs="宋体"/>
          <w:color w:val="auto"/>
          <w:sz w:val="24"/>
          <w:highlight w:val="none"/>
        </w:rPr>
        <w:t>法定代表人或受委托人                 法定代表人或受委托人</w:t>
      </w:r>
    </w:p>
    <w:p w14:paraId="5A351B93">
      <w:pPr>
        <w:snapToGrid w:val="0"/>
        <w:spacing w:before="120" w:after="120" w:line="400" w:lineRule="exact"/>
        <w:ind w:left="1" w:leftChars="-28" w:hanging="60"/>
        <w:rPr>
          <w:rFonts w:ascii="宋体" w:hAnsi="宋体" w:cs="宋体"/>
          <w:color w:val="auto"/>
          <w:sz w:val="24"/>
          <w:highlight w:val="none"/>
        </w:rPr>
      </w:pPr>
      <w:r>
        <w:rPr>
          <w:rFonts w:hint="eastAsia" w:ascii="宋体" w:hAnsi="宋体" w:cs="宋体"/>
          <w:color w:val="auto"/>
          <w:sz w:val="24"/>
          <w:highlight w:val="none"/>
        </w:rPr>
        <w:t>（签字）                             （签字）</w:t>
      </w:r>
    </w:p>
    <w:p w14:paraId="43927BDF">
      <w:pPr>
        <w:snapToGrid w:val="0"/>
        <w:spacing w:before="120" w:after="120" w:line="400" w:lineRule="exact"/>
        <w:ind w:leftChars="-1" w:hanging="2"/>
        <w:rPr>
          <w:rFonts w:ascii="宋体" w:hAnsi="宋体" w:cs="宋体"/>
          <w:color w:val="auto"/>
          <w:sz w:val="24"/>
          <w:highlight w:val="none"/>
        </w:rPr>
      </w:pPr>
      <w:r>
        <w:rPr>
          <w:rFonts w:hint="eastAsia" w:ascii="宋体" w:hAnsi="宋体" w:cs="宋体"/>
          <w:color w:val="auto"/>
          <w:sz w:val="24"/>
          <w:highlight w:val="none"/>
        </w:rPr>
        <w:t xml:space="preserve">地址：                               地址： </w:t>
      </w:r>
    </w:p>
    <w:p w14:paraId="17A8C538">
      <w:pPr>
        <w:snapToGrid w:val="0"/>
        <w:spacing w:before="120" w:after="120" w:line="400" w:lineRule="exact"/>
        <w:ind w:leftChars="-1" w:hanging="2"/>
        <w:rPr>
          <w:rFonts w:ascii="宋体" w:hAnsi="宋体" w:cs="宋体"/>
          <w:color w:val="auto"/>
          <w:sz w:val="24"/>
          <w:highlight w:val="none"/>
        </w:rPr>
      </w:pPr>
      <w:r>
        <w:rPr>
          <w:rFonts w:hint="eastAsia" w:ascii="宋体" w:hAnsi="宋体" w:cs="宋体"/>
          <w:color w:val="auto"/>
          <w:sz w:val="24"/>
          <w:highlight w:val="none"/>
        </w:rPr>
        <w:t>邮编：                               邮编：</w:t>
      </w:r>
    </w:p>
    <w:p w14:paraId="2EEE9931">
      <w:pPr>
        <w:snapToGrid w:val="0"/>
        <w:spacing w:before="120" w:after="120" w:line="400" w:lineRule="exact"/>
        <w:ind w:leftChars="-1" w:hanging="2"/>
        <w:rPr>
          <w:rFonts w:ascii="宋体" w:hAnsi="宋体" w:cs="宋体"/>
          <w:color w:val="auto"/>
          <w:sz w:val="24"/>
          <w:highlight w:val="none"/>
        </w:rPr>
      </w:pPr>
      <w:r>
        <w:rPr>
          <w:rFonts w:hint="eastAsia" w:ascii="宋体" w:hAnsi="宋体" w:cs="宋体"/>
          <w:color w:val="auto"/>
          <w:sz w:val="24"/>
          <w:highlight w:val="none"/>
        </w:rPr>
        <w:t>电话：                               电话：</w:t>
      </w:r>
    </w:p>
    <w:p w14:paraId="58624F89">
      <w:pPr>
        <w:snapToGrid w:val="0"/>
        <w:spacing w:before="120" w:after="120" w:line="400" w:lineRule="exact"/>
        <w:ind w:leftChars="-1" w:hanging="2"/>
        <w:rPr>
          <w:rFonts w:ascii="宋体" w:hAnsi="宋体" w:cs="宋体"/>
          <w:color w:val="auto"/>
          <w:sz w:val="24"/>
          <w:highlight w:val="none"/>
        </w:rPr>
      </w:pPr>
      <w:r>
        <w:rPr>
          <w:rFonts w:hint="eastAsia" w:ascii="宋体" w:hAnsi="宋体" w:cs="宋体"/>
          <w:color w:val="auto"/>
          <w:sz w:val="24"/>
          <w:highlight w:val="none"/>
        </w:rPr>
        <w:t>传真：                               传真：</w:t>
      </w:r>
    </w:p>
    <w:p w14:paraId="2DAD57F4">
      <w:pPr>
        <w:snapToGrid w:val="0"/>
        <w:spacing w:before="120" w:after="120" w:line="400" w:lineRule="exact"/>
        <w:ind w:leftChars="-1" w:hanging="2"/>
        <w:rPr>
          <w:rFonts w:ascii="宋体" w:hAnsi="宋体" w:cs="宋体"/>
          <w:color w:val="auto"/>
          <w:sz w:val="24"/>
          <w:highlight w:val="none"/>
        </w:rPr>
      </w:pPr>
      <w:r>
        <w:rPr>
          <w:rFonts w:hint="eastAsia" w:ascii="宋体" w:hAnsi="宋体" w:cs="宋体"/>
          <w:color w:val="auto"/>
          <w:sz w:val="24"/>
          <w:highlight w:val="none"/>
        </w:rPr>
        <w:t>开户银行：                           开户银行：</w:t>
      </w:r>
    </w:p>
    <w:p w14:paraId="48F772E5">
      <w:pPr>
        <w:snapToGrid w:val="0"/>
        <w:spacing w:before="120" w:after="120" w:line="400" w:lineRule="exact"/>
        <w:ind w:leftChars="-1" w:hanging="2"/>
        <w:rPr>
          <w:rFonts w:ascii="宋体" w:hAnsi="宋体" w:cs="宋体"/>
          <w:color w:val="auto"/>
          <w:sz w:val="24"/>
          <w:highlight w:val="none"/>
        </w:rPr>
      </w:pPr>
      <w:r>
        <w:rPr>
          <w:rFonts w:hint="eastAsia" w:ascii="宋体" w:hAnsi="宋体" w:cs="宋体"/>
          <w:color w:val="auto"/>
          <w:sz w:val="24"/>
          <w:highlight w:val="none"/>
        </w:rPr>
        <w:t>账号：                               账号：</w:t>
      </w:r>
    </w:p>
    <w:p w14:paraId="06620581">
      <w:pPr>
        <w:snapToGrid w:val="0"/>
        <w:spacing w:before="156" w:after="156" w:line="400" w:lineRule="exact"/>
        <w:rPr>
          <w:rFonts w:ascii="宋体" w:hAnsi="宋体" w:cs="宋体"/>
          <w:color w:val="auto"/>
          <w:sz w:val="24"/>
          <w:highlight w:val="none"/>
        </w:rPr>
      </w:pPr>
    </w:p>
    <w:p w14:paraId="6AF10CB6">
      <w:pPr>
        <w:snapToGrid w:val="0"/>
        <w:spacing w:before="156" w:after="156" w:line="400" w:lineRule="exact"/>
        <w:rPr>
          <w:rFonts w:hint="eastAsia" w:ascii="宋体" w:hAnsi="宋体" w:cs="宋体"/>
          <w:color w:val="auto"/>
          <w:sz w:val="24"/>
          <w:highlight w:val="none"/>
        </w:rPr>
      </w:pPr>
      <w:r>
        <w:rPr>
          <w:rFonts w:hint="eastAsia" w:ascii="宋体" w:hAnsi="宋体" w:cs="宋体"/>
          <w:color w:val="auto"/>
          <w:sz w:val="24"/>
          <w:highlight w:val="none"/>
        </w:rPr>
        <w:t>鉴证方:</w:t>
      </w:r>
    </w:p>
    <w:p w14:paraId="782937C4">
      <w:pPr>
        <w:snapToGrid w:val="0"/>
        <w:spacing w:before="156" w:after="156" w:line="400" w:lineRule="exact"/>
        <w:rPr>
          <w:rFonts w:hint="eastAsia" w:ascii="宋体" w:hAnsi="宋体" w:cs="宋体"/>
          <w:color w:val="auto"/>
          <w:sz w:val="24"/>
          <w:highlight w:val="none"/>
        </w:rPr>
      </w:pPr>
      <w:r>
        <w:rPr>
          <w:rFonts w:hint="eastAsia" w:ascii="宋体" w:hAnsi="宋体" w:cs="宋体"/>
          <w:color w:val="auto"/>
          <w:sz w:val="24"/>
          <w:highlight w:val="none"/>
        </w:rPr>
        <w:t>法定代表人或受委托人:</w:t>
      </w:r>
    </w:p>
    <w:p w14:paraId="11A2F870">
      <w:pPr>
        <w:spacing w:line="400" w:lineRule="exact"/>
        <w:rPr>
          <w:rFonts w:ascii="宋体" w:hAnsi="宋体" w:cs="宋体"/>
          <w:b/>
          <w:color w:val="auto"/>
          <w:sz w:val="24"/>
          <w:highlight w:val="none"/>
        </w:rPr>
      </w:pPr>
      <w:r>
        <w:rPr>
          <w:rFonts w:hint="eastAsia" w:ascii="宋体" w:hAnsi="宋体" w:cs="宋体"/>
          <w:color w:val="auto"/>
          <w:sz w:val="24"/>
          <w:highlight w:val="none"/>
        </w:rPr>
        <w:t>签约地点：                            签约时间：</w:t>
      </w:r>
    </w:p>
    <w:p w14:paraId="78C8066E">
      <w:pPr>
        <w:spacing w:line="400" w:lineRule="exact"/>
        <w:rPr>
          <w:rFonts w:ascii="宋体" w:hAnsi="宋体" w:cs="宋体"/>
          <w:color w:val="auto"/>
          <w:sz w:val="24"/>
          <w:highlight w:val="none"/>
        </w:rPr>
      </w:pPr>
    </w:p>
    <w:p w14:paraId="4BE4D807">
      <w:pPr>
        <w:pStyle w:val="41"/>
        <w:rPr>
          <w:rFonts w:ascii="宋体" w:hAnsi="宋体" w:cs="宋体"/>
          <w:color w:val="auto"/>
          <w:szCs w:val="24"/>
          <w:highlight w:val="none"/>
        </w:rPr>
      </w:pPr>
    </w:p>
    <w:p w14:paraId="6311A236">
      <w:pPr>
        <w:spacing w:line="420" w:lineRule="exact"/>
        <w:jc w:val="center"/>
        <w:rPr>
          <w:rFonts w:ascii="宋体" w:hAnsi="宋体" w:cs="宋体"/>
          <w:color w:val="auto"/>
          <w:sz w:val="24"/>
          <w:highlight w:val="none"/>
        </w:rPr>
      </w:pPr>
      <w:r>
        <w:rPr>
          <w:rFonts w:hint="eastAsia" w:ascii="宋体" w:hAnsi="宋体" w:cs="宋体"/>
          <w:b/>
          <w:color w:val="auto"/>
          <w:sz w:val="24"/>
          <w:highlight w:val="none"/>
        </w:rPr>
        <w:t>注：签订合同时，可以使用项目相关国家标准合同文本。</w:t>
      </w:r>
    </w:p>
    <w:p w14:paraId="520D195C">
      <w:pPr>
        <w:rPr>
          <w:rFonts w:ascii="宋体" w:hAnsi="宋体"/>
          <w:b/>
          <w:color w:val="auto"/>
          <w:sz w:val="24"/>
          <w:highlight w:val="none"/>
        </w:rPr>
      </w:pPr>
    </w:p>
    <w:p w14:paraId="67C50B94">
      <w:pPr>
        <w:spacing w:line="420" w:lineRule="exact"/>
        <w:jc w:val="center"/>
        <w:rPr>
          <w:rFonts w:ascii="宋体" w:hAnsi="宋体"/>
          <w:b/>
          <w:bCs/>
          <w:color w:val="auto"/>
          <w:sz w:val="24"/>
          <w:highlight w:val="none"/>
        </w:rPr>
      </w:pPr>
    </w:p>
    <w:p w14:paraId="3B9A7581">
      <w:pPr>
        <w:pageBreakBefore/>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政府采购廉洁承诺书</w:t>
      </w:r>
    </w:p>
    <w:p w14:paraId="5AEFEA4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（中标人须将此表附在合同后）</w:t>
      </w:r>
    </w:p>
    <w:p w14:paraId="3D54563E">
      <w:pPr>
        <w:spacing w:line="360" w:lineRule="auto"/>
        <w:jc w:val="center"/>
        <w:rPr>
          <w:rFonts w:ascii="宋体" w:hAnsi="宋体" w:cs="宋体"/>
          <w:b/>
          <w:color w:val="auto"/>
          <w:sz w:val="24"/>
          <w:highlight w:val="none"/>
        </w:rPr>
      </w:pPr>
    </w:p>
    <w:p w14:paraId="2618F8D4">
      <w:pPr>
        <w:spacing w:line="360" w:lineRule="auto"/>
        <w:rPr>
          <w:rFonts w:ascii="宋体" w:hAnsi="宋体" w:cs="宋体"/>
          <w:color w:val="auto"/>
          <w:sz w:val="24"/>
          <w:highlight w:val="none"/>
        </w:rPr>
      </w:pPr>
      <w:r>
        <w:rPr>
          <w:rFonts w:hint="eastAsia" w:ascii="宋体" w:hAnsi="宋体" w:cs="宋体"/>
          <w:color w:val="auto"/>
          <w:sz w:val="24"/>
          <w:highlight w:val="none"/>
        </w:rPr>
        <w:t>项目名称：                                     项目编号：</w:t>
      </w:r>
    </w:p>
    <w:p w14:paraId="65141176">
      <w:pPr>
        <w:spacing w:line="360" w:lineRule="auto"/>
        <w:rPr>
          <w:rFonts w:ascii="宋体" w:hAnsi="宋体" w:cs="宋体"/>
          <w:color w:val="auto"/>
          <w:sz w:val="24"/>
          <w:highlight w:val="none"/>
        </w:rPr>
      </w:pPr>
      <w:r>
        <w:rPr>
          <w:rFonts w:hint="eastAsia" w:ascii="宋体" w:hAnsi="宋体" w:cs="宋体"/>
          <w:color w:val="auto"/>
          <w:sz w:val="24"/>
          <w:highlight w:val="none"/>
        </w:rPr>
        <w:t>中标人：</w:t>
      </w:r>
    </w:p>
    <w:p w14:paraId="0C3EADE8">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14:paraId="2F59EF59">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第一条参与政府采购活动时，除具备采购文件规定的资格、资质要求外，我方还将严格遵守有关法律、法规、政策以及国家、地方关于廉政建设的各项规定。</w:t>
      </w:r>
    </w:p>
    <w:p w14:paraId="79B4FBE7">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第二条遵循公开、公平、公正、诚实信用原则，不发生损害上述原则及各方当事人合法权益得不正当竞争行为。</w:t>
      </w:r>
    </w:p>
    <w:p w14:paraId="271B218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第三条与政府采购各方当事人保持正常的业务交往，不向采购人、采购代理机构、监督机构、评审专家、工作人员及其他参与采购活动的人员提供不正当利益。主要有：</w:t>
      </w:r>
    </w:p>
    <w:p w14:paraId="77305DA4">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（一）向上述人员赠送礼金、有价证券、贵重物品及回扣、好处费、感谢费等。</w:t>
      </w:r>
    </w:p>
    <w:p w14:paraId="5878B04B">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（二）为上述人员或单位报销应由对方支付的费用。</w:t>
      </w:r>
    </w:p>
    <w:p w14:paraId="6A6E6F8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（三）暗示为上述人员装修住房、婚丧嫁娶、配偶子女的工作安排以及出国（境）、旅游等提供方便。</w:t>
      </w:r>
    </w:p>
    <w:p w14:paraId="3444BEF6">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（四）为上述人员或单位提供可能影响采购活动开展的宴请、健身、娱乐等活动。</w:t>
      </w:r>
    </w:p>
    <w:p w14:paraId="045C0DBD">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第四条严格执行采购合同，自觉按合同办事；在合同执行过程中，不发生本承诺书第三条中所列不良行为。    </w:t>
      </w:r>
    </w:p>
    <w:p w14:paraId="34AE46D2">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第五条 发现采购活动各方当事人有违规、违纪、违法行为的，及时提醒对方，情节严重的，主动向其主管部门或纪检监察、司法等机关举报。</w:t>
      </w:r>
    </w:p>
    <w:p w14:paraId="740A1F1A">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第六条 自觉接受政府采购管理部门的监管。在采购活动中出现违反本承诺书规定行为的，自觉接受政府采购管理部门的处罚，因违法违规行为给其他当事人造成经济损失的，按规定予以赔偿。</w:t>
      </w:r>
    </w:p>
    <w:p w14:paraId="47F55BAE">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第七条 本承诺书自签署之日起生效。</w:t>
      </w:r>
    </w:p>
    <w:p w14:paraId="1838E236">
      <w:pPr>
        <w:spacing w:line="360" w:lineRule="auto"/>
        <w:ind w:left="840" w:hanging="840" w:hangingChars="350"/>
        <w:jc w:val="center"/>
        <w:rPr>
          <w:rFonts w:ascii="宋体" w:hAnsi="宋体" w:cs="宋体"/>
          <w:color w:val="auto"/>
          <w:sz w:val="24"/>
          <w:highlight w:val="none"/>
        </w:rPr>
      </w:pPr>
    </w:p>
    <w:p w14:paraId="43E3E1E6">
      <w:pPr>
        <w:spacing w:line="360" w:lineRule="auto"/>
        <w:ind w:left="840" w:hanging="840" w:hangingChars="350"/>
        <w:jc w:val="center"/>
        <w:rPr>
          <w:rFonts w:ascii="宋体" w:hAnsi="宋体" w:cs="宋体"/>
          <w:color w:val="auto"/>
          <w:sz w:val="24"/>
          <w:highlight w:val="none"/>
        </w:rPr>
      </w:pPr>
      <w:r>
        <w:rPr>
          <w:rFonts w:hint="eastAsia" w:ascii="宋体" w:hAnsi="宋体" w:cs="宋体"/>
          <w:color w:val="auto"/>
          <w:sz w:val="24"/>
          <w:highlight w:val="none"/>
        </w:rPr>
        <w:t xml:space="preserve"> 投标人（盖章）：</w:t>
      </w:r>
    </w:p>
    <w:p w14:paraId="04E071DC">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法定代表人：</w:t>
      </w:r>
    </w:p>
    <w:p w14:paraId="1D77550B">
      <w:pPr>
        <w:spacing w:line="360" w:lineRule="auto"/>
        <w:ind w:left="840" w:hanging="840" w:hangingChars="350"/>
        <w:rPr>
          <w:rFonts w:ascii="宋体" w:hAnsi="宋体" w:cs="宋体"/>
          <w:color w:val="auto"/>
          <w:sz w:val="24"/>
          <w:highlight w:val="none"/>
        </w:rPr>
      </w:pPr>
      <w:r>
        <w:rPr>
          <w:rFonts w:hint="eastAsia" w:ascii="宋体" w:hAnsi="宋体" w:cs="宋体"/>
          <w:color w:val="auto"/>
          <w:sz w:val="24"/>
          <w:highlight w:val="none"/>
        </w:rPr>
        <w:t xml:space="preserve">                                                    年    月   日</w:t>
      </w:r>
    </w:p>
    <w:p w14:paraId="2211D01B">
      <w:pPr>
        <w:spacing w:line="360" w:lineRule="auto"/>
        <w:ind w:left="840" w:hanging="840" w:hangingChars="350"/>
        <w:rPr>
          <w:rFonts w:ascii="宋体" w:hAnsi="宋体" w:cs="宋体"/>
          <w:color w:val="auto"/>
          <w:sz w:val="24"/>
          <w:highlight w:val="none"/>
        </w:rPr>
      </w:pPr>
    </w:p>
    <w:p w14:paraId="5C254210">
      <w:pPr>
        <w:pStyle w:val="2"/>
        <w:jc w:val="center"/>
        <w:rPr>
          <w:rFonts w:ascii="宋体" w:hAnsi="宋体" w:cs="宋体"/>
          <w:color w:val="auto"/>
          <w:sz w:val="24"/>
          <w:szCs w:val="24"/>
          <w:highlight w:val="none"/>
        </w:rPr>
      </w:pPr>
      <w:bookmarkStart w:id="57" w:name="_Toc3180"/>
      <w:r>
        <w:rPr>
          <w:rFonts w:hint="eastAsia" w:ascii="宋体" w:hAnsi="宋体" w:cs="宋体"/>
          <w:color w:val="auto"/>
          <w:sz w:val="24"/>
          <w:szCs w:val="24"/>
          <w:highlight w:val="none"/>
        </w:rPr>
        <w:t>第六章　投标文件组成内容及格式</w:t>
      </w:r>
      <w:bookmarkEnd w:id="57"/>
    </w:p>
    <w:bookmarkEnd w:id="42"/>
    <w:bookmarkEnd w:id="43"/>
    <w:p w14:paraId="78FD555F">
      <w:pPr>
        <w:pStyle w:val="6"/>
        <w:spacing w:before="120" w:after="120" w:line="360" w:lineRule="auto"/>
        <w:rPr>
          <w:rFonts w:ascii="宋体" w:hAnsi="宋体" w:cs="宋体"/>
          <w:color w:val="auto"/>
          <w:szCs w:val="24"/>
          <w:highlight w:val="none"/>
          <w:u w:val="single"/>
        </w:rPr>
      </w:pPr>
    </w:p>
    <w:p w14:paraId="27EBBF8C">
      <w:pPr>
        <w:jc w:val="center"/>
        <w:rPr>
          <w:color w:val="auto"/>
          <w:sz w:val="24"/>
          <w:highlight w:val="none"/>
        </w:rPr>
      </w:pPr>
      <w:bookmarkStart w:id="58" w:name="_Toc405368940"/>
      <w:r>
        <w:rPr>
          <w:rFonts w:hint="eastAsia"/>
          <w:color w:val="auto"/>
          <w:sz w:val="24"/>
          <w:highlight w:val="none"/>
        </w:rPr>
        <w:t>一、投标文件封面格式</w:t>
      </w:r>
      <w:bookmarkEnd w:id="58"/>
    </w:p>
    <w:p w14:paraId="1F386354">
      <w:pPr>
        <w:rPr>
          <w:rFonts w:ascii="宋体" w:hAnsi="宋体" w:cs="宋体"/>
          <w:color w:val="auto"/>
          <w:sz w:val="24"/>
          <w:highlight w:val="none"/>
        </w:rPr>
      </w:pPr>
    </w:p>
    <w:p w14:paraId="61883A5B">
      <w:pPr>
        <w:rPr>
          <w:rFonts w:ascii="宋体" w:hAnsi="宋体" w:cs="宋体"/>
          <w:color w:val="auto"/>
          <w:sz w:val="24"/>
          <w:highlight w:val="none"/>
        </w:rPr>
      </w:pPr>
    </w:p>
    <w:p w14:paraId="19F34048">
      <w:pPr>
        <w:rPr>
          <w:rFonts w:ascii="宋体" w:hAnsi="宋体" w:cs="宋体"/>
          <w:color w:val="auto"/>
          <w:sz w:val="24"/>
          <w:highlight w:val="none"/>
        </w:rPr>
      </w:pPr>
    </w:p>
    <w:p w14:paraId="5266DB4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1.投标文件封面格式： </w:t>
      </w:r>
    </w:p>
    <w:p w14:paraId="3E0E44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正本/或副本</w:t>
      </w:r>
    </w:p>
    <w:p w14:paraId="54A06474">
      <w:pPr>
        <w:spacing w:line="360" w:lineRule="auto"/>
        <w:rPr>
          <w:rFonts w:ascii="宋体" w:hAnsi="宋体" w:cs="宋体"/>
          <w:color w:val="auto"/>
          <w:sz w:val="24"/>
          <w:highlight w:val="none"/>
        </w:rPr>
      </w:pPr>
    </w:p>
    <w:p w14:paraId="22178034">
      <w:pPr>
        <w:spacing w:line="360" w:lineRule="auto"/>
        <w:rPr>
          <w:rFonts w:ascii="宋体" w:hAnsi="宋体" w:cs="宋体"/>
          <w:color w:val="auto"/>
          <w:sz w:val="24"/>
          <w:highlight w:val="none"/>
        </w:rPr>
      </w:pPr>
    </w:p>
    <w:p w14:paraId="11CBB256">
      <w:pPr>
        <w:spacing w:line="360" w:lineRule="auto"/>
        <w:rPr>
          <w:rFonts w:ascii="宋体" w:hAnsi="宋体" w:cs="宋体"/>
          <w:color w:val="auto"/>
          <w:sz w:val="24"/>
          <w:highlight w:val="none"/>
        </w:rPr>
      </w:pPr>
    </w:p>
    <w:p w14:paraId="09866309">
      <w:pPr>
        <w:spacing w:line="360" w:lineRule="auto"/>
        <w:rPr>
          <w:rFonts w:ascii="宋体" w:hAnsi="宋体" w:cs="宋体"/>
          <w:color w:val="auto"/>
          <w:sz w:val="24"/>
          <w:highlight w:val="none"/>
        </w:rPr>
      </w:pPr>
    </w:p>
    <w:p w14:paraId="10DE1673">
      <w:pPr>
        <w:spacing w:line="360" w:lineRule="auto"/>
        <w:rPr>
          <w:rFonts w:ascii="宋体" w:hAnsi="宋体" w:cs="宋体"/>
          <w:color w:val="auto"/>
          <w:sz w:val="24"/>
          <w:highlight w:val="none"/>
        </w:rPr>
      </w:pPr>
    </w:p>
    <w:p w14:paraId="62D515EA">
      <w:pPr>
        <w:spacing w:line="480" w:lineRule="auto"/>
        <w:rPr>
          <w:rFonts w:ascii="宋体" w:hAnsi="宋体" w:cs="宋体"/>
          <w:color w:val="auto"/>
          <w:sz w:val="24"/>
          <w:highlight w:val="none"/>
        </w:rPr>
      </w:pPr>
      <w:r>
        <w:rPr>
          <w:rFonts w:hint="eastAsia" w:ascii="宋体" w:hAnsi="宋体" w:cs="宋体"/>
          <w:color w:val="auto"/>
          <w:sz w:val="24"/>
          <w:highlight w:val="none"/>
        </w:rPr>
        <w:t>资格审查文件、商务技术文件、报价文件（相应选择一个投标文件封面外包装名称）</w:t>
      </w:r>
    </w:p>
    <w:p w14:paraId="60FCB9EB">
      <w:pPr>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东阳市人民医院肾穿刺病理检测外送服务项目</w:t>
      </w:r>
    </w:p>
    <w:p w14:paraId="3E45D43D">
      <w:pPr>
        <w:spacing w:line="48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XSZFCGDZ2024-310</w:t>
      </w:r>
      <w:r>
        <w:rPr>
          <w:rFonts w:hint="eastAsia" w:ascii="宋体" w:hAnsi="宋体" w:cs="宋体"/>
          <w:color w:val="auto"/>
          <w:sz w:val="24"/>
          <w:highlight w:val="none"/>
          <w:lang w:val="en-US" w:eastAsia="zh-CN"/>
        </w:rPr>
        <w:t>-2</w:t>
      </w:r>
    </w:p>
    <w:p w14:paraId="4D202161">
      <w:pPr>
        <w:spacing w:line="480" w:lineRule="auto"/>
        <w:rPr>
          <w:rFonts w:ascii="宋体" w:hAnsi="宋体" w:cs="宋体"/>
          <w:color w:val="auto"/>
          <w:sz w:val="24"/>
          <w:highlight w:val="none"/>
        </w:rPr>
      </w:pPr>
      <w:r>
        <w:rPr>
          <w:rFonts w:hint="eastAsia" w:ascii="宋体" w:hAnsi="宋体" w:cs="宋体"/>
          <w:color w:val="auto"/>
          <w:sz w:val="24"/>
          <w:highlight w:val="none"/>
        </w:rPr>
        <w:t>标项：</w:t>
      </w:r>
    </w:p>
    <w:p w14:paraId="3BC0B0B5">
      <w:pPr>
        <w:spacing w:line="480" w:lineRule="auto"/>
        <w:rPr>
          <w:rFonts w:ascii="宋体" w:hAnsi="宋体" w:cs="宋体"/>
          <w:color w:val="auto"/>
          <w:sz w:val="24"/>
          <w:highlight w:val="none"/>
        </w:rPr>
      </w:pPr>
      <w:r>
        <w:rPr>
          <w:rFonts w:hint="eastAsia" w:ascii="宋体" w:hAnsi="宋体" w:cs="宋体"/>
          <w:color w:val="auto"/>
          <w:sz w:val="24"/>
          <w:highlight w:val="none"/>
        </w:rPr>
        <w:t>投标人名称：</w:t>
      </w:r>
    </w:p>
    <w:p w14:paraId="77D454F3">
      <w:pPr>
        <w:spacing w:line="480" w:lineRule="auto"/>
        <w:rPr>
          <w:rFonts w:ascii="宋体" w:hAnsi="宋体" w:cs="宋体"/>
          <w:color w:val="auto"/>
          <w:sz w:val="24"/>
          <w:highlight w:val="none"/>
        </w:rPr>
      </w:pPr>
      <w:r>
        <w:rPr>
          <w:rFonts w:hint="eastAsia" w:ascii="宋体" w:hAnsi="宋体" w:cs="宋体"/>
          <w:color w:val="auto"/>
          <w:sz w:val="24"/>
          <w:highlight w:val="none"/>
        </w:rPr>
        <w:t>投标人地址：</w:t>
      </w:r>
    </w:p>
    <w:p w14:paraId="38D64962">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E9A14BE">
      <w:pPr>
        <w:spacing w:line="48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7734C073">
      <w:pPr>
        <w:spacing w:line="360" w:lineRule="auto"/>
        <w:rPr>
          <w:rFonts w:ascii="宋体" w:hAnsi="宋体" w:cs="宋体"/>
          <w:color w:val="auto"/>
          <w:sz w:val="24"/>
          <w:highlight w:val="none"/>
        </w:rPr>
      </w:pPr>
    </w:p>
    <w:p w14:paraId="306774F1">
      <w:pPr>
        <w:rPr>
          <w:rFonts w:ascii="宋体" w:hAnsi="宋体" w:cs="宋体"/>
          <w:color w:val="auto"/>
          <w:sz w:val="24"/>
          <w:highlight w:val="none"/>
        </w:rPr>
      </w:pPr>
    </w:p>
    <w:p w14:paraId="550C752A">
      <w:pPr>
        <w:pStyle w:val="7"/>
        <w:rPr>
          <w:rFonts w:ascii="宋体" w:hAnsi="宋体" w:cs="宋体"/>
          <w:color w:val="auto"/>
          <w:sz w:val="24"/>
          <w:highlight w:val="none"/>
        </w:rPr>
      </w:pPr>
    </w:p>
    <w:p w14:paraId="4E3A7BFE">
      <w:pPr>
        <w:pStyle w:val="8"/>
        <w:rPr>
          <w:rFonts w:ascii="宋体" w:hAnsi="宋体" w:cs="宋体"/>
          <w:color w:val="auto"/>
          <w:sz w:val="24"/>
          <w:highlight w:val="none"/>
        </w:rPr>
      </w:pPr>
    </w:p>
    <w:p w14:paraId="7F9E62E2">
      <w:pPr>
        <w:pStyle w:val="7"/>
        <w:rPr>
          <w:rFonts w:ascii="宋体" w:hAnsi="宋体" w:cs="宋体"/>
          <w:color w:val="auto"/>
          <w:sz w:val="24"/>
          <w:highlight w:val="none"/>
        </w:rPr>
      </w:pPr>
    </w:p>
    <w:p w14:paraId="6643E7C0">
      <w:pPr>
        <w:pStyle w:val="8"/>
        <w:rPr>
          <w:color w:val="auto"/>
          <w:highlight w:val="none"/>
        </w:rPr>
      </w:pPr>
    </w:p>
    <w:p w14:paraId="5EA805E3">
      <w:pPr>
        <w:rPr>
          <w:color w:val="auto"/>
          <w:highlight w:val="none"/>
        </w:rPr>
      </w:pPr>
    </w:p>
    <w:p w14:paraId="1D7CC41E">
      <w:pPr>
        <w:spacing w:line="360" w:lineRule="auto"/>
        <w:rPr>
          <w:rFonts w:ascii="宋体" w:hAnsi="宋体" w:cs="宋体"/>
          <w:b/>
          <w:color w:val="auto"/>
          <w:sz w:val="24"/>
          <w:highlight w:val="none"/>
        </w:rPr>
      </w:pPr>
    </w:p>
    <w:p w14:paraId="19EC9651">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.资格审查文件：</w:t>
      </w:r>
    </w:p>
    <w:p w14:paraId="53E4E664">
      <w:pPr>
        <w:spacing w:line="360" w:lineRule="auto"/>
        <w:rPr>
          <w:rFonts w:ascii="宋体" w:hAnsi="宋体" w:cs="宋体"/>
          <w:color w:val="auto"/>
          <w:sz w:val="24"/>
          <w:highlight w:val="none"/>
        </w:rPr>
      </w:pPr>
      <w:r>
        <w:rPr>
          <w:rFonts w:hint="eastAsia" w:ascii="宋体" w:hAnsi="宋体" w:cs="宋体"/>
          <w:color w:val="auto"/>
          <w:sz w:val="24"/>
          <w:highlight w:val="none"/>
        </w:rPr>
        <w:t>（1）具有独立承担民事责任的能力：投标人须在投标文件中出具符合以下情况的证明材料复印件（五选一）：</w:t>
      </w:r>
    </w:p>
    <w:p w14:paraId="17C6B46B">
      <w:pPr>
        <w:spacing w:line="360" w:lineRule="auto"/>
        <w:rPr>
          <w:rFonts w:ascii="宋体" w:hAnsi="宋体" w:cs="宋体"/>
          <w:color w:val="auto"/>
          <w:sz w:val="24"/>
          <w:highlight w:val="none"/>
        </w:rPr>
      </w:pPr>
      <w:r>
        <w:rPr>
          <w:rFonts w:hint="eastAsia" w:ascii="宋体" w:hAnsi="宋体" w:cs="宋体"/>
          <w:color w:val="auto"/>
          <w:sz w:val="24"/>
          <w:highlight w:val="none"/>
        </w:rPr>
        <w:t>①如投标人是企业（包括合伙企业），提供在工商部门注册的有效“企业法人营业执照”或“营业执照”；</w:t>
      </w:r>
    </w:p>
    <w:p w14:paraId="26EE5986">
      <w:pPr>
        <w:spacing w:line="360" w:lineRule="auto"/>
        <w:rPr>
          <w:rFonts w:ascii="宋体" w:hAnsi="宋体" w:cs="宋体"/>
          <w:color w:val="auto"/>
          <w:sz w:val="24"/>
          <w:highlight w:val="none"/>
        </w:rPr>
      </w:pPr>
      <w:r>
        <w:rPr>
          <w:rFonts w:hint="eastAsia" w:ascii="宋体" w:hAnsi="宋体" w:cs="宋体"/>
          <w:color w:val="auto"/>
          <w:sz w:val="24"/>
          <w:highlight w:val="none"/>
        </w:rPr>
        <w:t>②如投标人是事业单位，提供有效的“事业单位法人证书”；</w:t>
      </w:r>
    </w:p>
    <w:p w14:paraId="6B1362F1">
      <w:pPr>
        <w:spacing w:line="360" w:lineRule="auto"/>
        <w:rPr>
          <w:rFonts w:ascii="宋体" w:hAnsi="宋体" w:cs="宋体"/>
          <w:color w:val="auto"/>
          <w:sz w:val="24"/>
          <w:highlight w:val="none"/>
        </w:rPr>
      </w:pPr>
      <w:r>
        <w:rPr>
          <w:rFonts w:hint="eastAsia" w:ascii="宋体" w:hAnsi="宋体" w:cs="宋体"/>
          <w:color w:val="auto"/>
          <w:sz w:val="24"/>
          <w:highlight w:val="none"/>
        </w:rPr>
        <w:t>③如投标人是非企业专业服务机构的，提供执业许可证等证明文件；</w:t>
      </w:r>
    </w:p>
    <w:p w14:paraId="6607F08F">
      <w:pPr>
        <w:spacing w:line="360" w:lineRule="auto"/>
        <w:rPr>
          <w:rFonts w:ascii="宋体" w:hAnsi="宋体" w:cs="宋体"/>
          <w:color w:val="auto"/>
          <w:sz w:val="24"/>
          <w:highlight w:val="none"/>
        </w:rPr>
      </w:pPr>
      <w:r>
        <w:rPr>
          <w:rFonts w:hint="eastAsia" w:ascii="宋体" w:hAnsi="宋体" w:cs="宋体"/>
          <w:color w:val="auto"/>
          <w:sz w:val="24"/>
          <w:highlight w:val="none"/>
        </w:rPr>
        <w:t>④如投标人是个体工商户，提供有效的“个体工商户营业执照”；</w:t>
      </w:r>
    </w:p>
    <w:p w14:paraId="04A60FC7">
      <w:pPr>
        <w:spacing w:line="360" w:lineRule="auto"/>
        <w:rPr>
          <w:rFonts w:ascii="宋体" w:hAnsi="宋体" w:cs="宋体"/>
          <w:color w:val="auto"/>
          <w:sz w:val="24"/>
          <w:highlight w:val="none"/>
        </w:rPr>
      </w:pPr>
      <w:r>
        <w:rPr>
          <w:rFonts w:hint="eastAsia" w:ascii="宋体" w:hAnsi="宋体" w:cs="宋体"/>
          <w:color w:val="auto"/>
          <w:sz w:val="24"/>
          <w:highlight w:val="none"/>
        </w:rPr>
        <w:t>⑤如投标人是自然人，提供有效的自然人身份证明（居民身份证正反面或公安机关出具的临时居民身份证正反面或港澳台胞证或护照）。</w:t>
      </w:r>
    </w:p>
    <w:p w14:paraId="06B6B3BE">
      <w:pPr>
        <w:spacing w:line="360" w:lineRule="auto"/>
        <w:rPr>
          <w:rFonts w:ascii="宋体" w:hAnsi="宋体" w:cs="宋体"/>
          <w:color w:val="auto"/>
          <w:sz w:val="24"/>
          <w:highlight w:val="none"/>
        </w:rPr>
      </w:pPr>
      <w:r>
        <w:rPr>
          <w:rFonts w:hint="eastAsia" w:ascii="宋体" w:hAnsi="宋体" w:cs="宋体"/>
          <w:color w:val="auto"/>
          <w:sz w:val="24"/>
          <w:highlight w:val="none"/>
        </w:rPr>
        <w:t>（2）法定代表人身份证复印件或法定代表人授权委托书(格式见附件)；</w:t>
      </w:r>
    </w:p>
    <w:p w14:paraId="299D47DA">
      <w:pPr>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投标人具有通过卫生行政部门批准《医疗机构执业许可证》。</w:t>
      </w:r>
    </w:p>
    <w:p w14:paraId="10BF3D2C">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）符合参加政府采购活动应当具备的一般条件的承诺函（格式见附件）；</w:t>
      </w:r>
    </w:p>
    <w:p w14:paraId="4B9AB09E">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信用记录网络查询页面截图（信用中国与中国政府采购网）；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0C5F29D">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）浙江政府采购网注册正式供应商的网络截图或承诺中标后30天内注册为浙江政府采购网正式供应商（须提供承诺书）；</w:t>
      </w:r>
    </w:p>
    <w:p w14:paraId="10E936B4">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）东阳市政府采购代理机构社会评价表（格式见附件）；</w:t>
      </w:r>
    </w:p>
    <w:p w14:paraId="58F9A29C">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）投标声明书 (格式见附件) ；</w:t>
      </w:r>
    </w:p>
    <w:p w14:paraId="68C69838">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）政府采购活动现场确认声明书 (格式见附件) ；</w:t>
      </w:r>
    </w:p>
    <w:p w14:paraId="28B21169">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）联合体协议书（联合体投标时提供）/分包意向协议（分包投标时提供）（格式见附件）；</w:t>
      </w:r>
    </w:p>
    <w:p w14:paraId="2303E048">
      <w:pPr>
        <w:spacing w:line="360" w:lineRule="auto"/>
        <w:rPr>
          <w:rFonts w:ascii="宋体" w:hAnsi="宋体" w:cs="宋体"/>
          <w:color w:val="auto"/>
          <w:sz w:val="24"/>
          <w:highlight w:val="none"/>
        </w:rPr>
      </w:pPr>
      <w:r>
        <w:rPr>
          <w:rFonts w:hint="eastAsia" w:ascii="宋体" w:hAnsi="宋体" w:cs="宋体"/>
          <w:strike w:val="0"/>
          <w:dstrike w:val="0"/>
          <w:color w:val="auto"/>
          <w:sz w:val="24"/>
          <w:highlight w:val="none"/>
        </w:rPr>
        <w:t>（</w:t>
      </w:r>
      <w:r>
        <w:rPr>
          <w:rFonts w:hint="eastAsia" w:ascii="宋体" w:hAnsi="宋体" w:cs="宋体"/>
          <w:strike w:val="0"/>
          <w:dstrike w:val="0"/>
          <w:color w:val="auto"/>
          <w:sz w:val="24"/>
          <w:highlight w:val="none"/>
          <w:lang w:val="en-US" w:eastAsia="zh-CN"/>
        </w:rPr>
        <w:t>11</w:t>
      </w:r>
      <w:r>
        <w:rPr>
          <w:rFonts w:hint="eastAsia" w:ascii="宋体" w:hAnsi="宋体" w:cs="宋体"/>
          <w:strike w:val="0"/>
          <w:dstrike w:val="0"/>
          <w:color w:val="auto"/>
          <w:sz w:val="24"/>
          <w:highlight w:val="none"/>
        </w:rPr>
        <w:t>）</w:t>
      </w:r>
      <w:r>
        <w:rPr>
          <w:rFonts w:hint="eastAsia" w:ascii="宋体" w:hAnsi="宋体" w:cs="宋体"/>
          <w:color w:val="auto"/>
          <w:sz w:val="24"/>
          <w:highlight w:val="none"/>
        </w:rPr>
        <w:t>投标人情况介绍；</w:t>
      </w:r>
    </w:p>
    <w:p w14:paraId="12388657">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）投标人认为有必要提供的其它文件。</w:t>
      </w:r>
    </w:p>
    <w:p w14:paraId="1D67EE65">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.商务技术文件</w:t>
      </w:r>
    </w:p>
    <w:p w14:paraId="210B74E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（1）投标人资信商务、技术自评得分表（格式见附件）；</w:t>
      </w:r>
    </w:p>
    <w:p w14:paraId="16AEC998">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（2）商务响应表（格式见附件）；</w:t>
      </w:r>
    </w:p>
    <w:p w14:paraId="24DDC5B1">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（3）技术响应表（格式见附件）；</w:t>
      </w:r>
    </w:p>
    <w:p w14:paraId="1668F31E">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项目实施方案</w:t>
      </w:r>
      <w:r>
        <w:rPr>
          <w:rFonts w:hint="eastAsia" w:ascii="宋体" w:hAnsi="宋体" w:cs="宋体"/>
          <w:color w:val="auto"/>
          <w:sz w:val="24"/>
          <w:highlight w:val="none"/>
        </w:rPr>
        <w:t>；</w:t>
      </w:r>
    </w:p>
    <w:p w14:paraId="3DD90C35">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试剂耗材</w:t>
      </w:r>
      <w:r>
        <w:rPr>
          <w:rFonts w:hint="eastAsia" w:ascii="宋体" w:hAnsi="宋体" w:cs="宋体"/>
          <w:color w:val="auto"/>
          <w:sz w:val="24"/>
          <w:highlight w:val="none"/>
        </w:rPr>
        <w:t>；</w:t>
      </w:r>
    </w:p>
    <w:p w14:paraId="779CA763">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主要仪器设备；</w:t>
      </w:r>
    </w:p>
    <w:p w14:paraId="01D701C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（7）数字扫描切片</w:t>
      </w:r>
    </w:p>
    <w:p w14:paraId="6A506CA9">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物流运输方案</w:t>
      </w:r>
      <w:r>
        <w:rPr>
          <w:rFonts w:hint="eastAsia" w:ascii="宋体" w:hAnsi="宋体" w:cs="宋体"/>
          <w:color w:val="auto"/>
          <w:sz w:val="24"/>
          <w:highlight w:val="none"/>
        </w:rPr>
        <w:t>；</w:t>
      </w:r>
    </w:p>
    <w:p w14:paraId="2FD61FDA">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）报告及时性</w:t>
      </w:r>
    </w:p>
    <w:p w14:paraId="02918236">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（10）人员配置；</w:t>
      </w:r>
    </w:p>
    <w:p w14:paraId="6049E85A">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（11）培训方案；</w:t>
      </w:r>
    </w:p>
    <w:p w14:paraId="7887FC14">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（12）应急预案；</w:t>
      </w:r>
    </w:p>
    <w:p w14:paraId="7E0FCC43">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（13）企业证书及荣誉；</w:t>
      </w:r>
    </w:p>
    <w:p w14:paraId="73B169D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（14）认可项目数；</w:t>
      </w:r>
    </w:p>
    <w:p w14:paraId="1C41664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r>
        <w:rPr>
          <w:rFonts w:hint="default" w:ascii="宋体" w:hAnsi="宋体" w:eastAsia="宋体" w:cs="宋体"/>
          <w:color w:val="auto"/>
          <w:sz w:val="24"/>
          <w:highlight w:val="none"/>
          <w:lang w:val="en-US" w:eastAsia="zh-CN"/>
        </w:rPr>
        <w:t>冷链物流服务体系</w:t>
      </w:r>
      <w:r>
        <w:rPr>
          <w:rFonts w:hint="eastAsia" w:ascii="宋体" w:hAnsi="宋体" w:cs="宋体"/>
          <w:color w:val="auto"/>
          <w:sz w:val="24"/>
          <w:highlight w:val="none"/>
          <w:lang w:val="en-US" w:eastAsia="zh-CN"/>
        </w:rPr>
        <w:t>；</w:t>
      </w:r>
    </w:p>
    <w:p w14:paraId="6A82AD1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r>
        <w:rPr>
          <w:rFonts w:hint="default" w:ascii="宋体" w:hAnsi="宋体" w:eastAsia="宋体" w:cs="宋体"/>
          <w:color w:val="auto"/>
          <w:sz w:val="24"/>
          <w:highlight w:val="none"/>
          <w:lang w:val="en-US" w:eastAsia="zh-CN"/>
        </w:rPr>
        <w:t>信息系统安全等级保护</w:t>
      </w:r>
      <w:r>
        <w:rPr>
          <w:rFonts w:hint="eastAsia" w:ascii="宋体" w:hAnsi="宋体" w:cs="宋体"/>
          <w:color w:val="auto"/>
          <w:sz w:val="24"/>
          <w:highlight w:val="none"/>
          <w:lang w:val="en-US" w:eastAsia="zh-CN"/>
        </w:rPr>
        <w:t>；</w:t>
      </w:r>
    </w:p>
    <w:p w14:paraId="0773F91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r>
        <w:rPr>
          <w:rFonts w:hint="default" w:ascii="宋体" w:hAnsi="宋体" w:eastAsia="宋体" w:cs="宋体"/>
          <w:color w:val="auto"/>
          <w:sz w:val="24"/>
          <w:highlight w:val="none"/>
          <w:lang w:val="en-US" w:eastAsia="zh-CN"/>
        </w:rPr>
        <w:t>同类业绩</w:t>
      </w:r>
      <w:r>
        <w:rPr>
          <w:rFonts w:hint="eastAsia" w:ascii="宋体" w:hAnsi="宋体" w:cs="宋体"/>
          <w:color w:val="auto"/>
          <w:sz w:val="24"/>
          <w:highlight w:val="none"/>
        </w:rPr>
        <w:t>（格式见附件）</w:t>
      </w:r>
      <w:r>
        <w:rPr>
          <w:rFonts w:hint="eastAsia" w:ascii="宋体" w:hAnsi="宋体" w:cs="宋体"/>
          <w:color w:val="auto"/>
          <w:sz w:val="24"/>
          <w:highlight w:val="none"/>
          <w:lang w:val="en-US" w:eastAsia="zh-CN"/>
        </w:rPr>
        <w:t>；</w:t>
      </w:r>
    </w:p>
    <w:p w14:paraId="7CF612D1">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（18）后续</w:t>
      </w:r>
      <w:r>
        <w:rPr>
          <w:rFonts w:hint="default" w:ascii="宋体" w:hAnsi="宋体" w:eastAsia="宋体" w:cs="宋体"/>
          <w:color w:val="auto"/>
          <w:sz w:val="24"/>
          <w:highlight w:val="none"/>
          <w:lang w:val="en-US" w:eastAsia="zh-CN"/>
        </w:rPr>
        <w:t>服务承诺</w:t>
      </w:r>
      <w:r>
        <w:rPr>
          <w:rFonts w:hint="eastAsia" w:ascii="宋体" w:hAnsi="宋体" w:cs="宋体"/>
          <w:color w:val="auto"/>
          <w:sz w:val="24"/>
          <w:highlight w:val="none"/>
          <w:lang w:val="en-US" w:eastAsia="zh-CN"/>
        </w:rPr>
        <w:t>；</w:t>
      </w:r>
    </w:p>
    <w:p w14:paraId="688915A2">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19</w:t>
      </w:r>
      <w:r>
        <w:rPr>
          <w:rFonts w:hint="eastAsia" w:ascii="宋体" w:hAnsi="宋体" w:cs="宋体"/>
          <w:color w:val="auto"/>
          <w:sz w:val="24"/>
          <w:highlight w:val="none"/>
        </w:rPr>
        <w:t>）服务费承诺书（格式见附件）；</w:t>
      </w:r>
    </w:p>
    <w:p w14:paraId="350BD3F4">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）投标人需要说明的其他文件和说明。</w:t>
      </w:r>
    </w:p>
    <w:p w14:paraId="00E5FCC8">
      <w:pPr>
        <w:numPr>
          <w:ilvl w:val="0"/>
          <w:numId w:val="5"/>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报价文件</w:t>
      </w:r>
    </w:p>
    <w:p w14:paraId="5919DFFC">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（1）投标函（格式见附件）；</w:t>
      </w:r>
    </w:p>
    <w:p w14:paraId="3F627BFB">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（2）中小企业声明函（格式见附件）；</w:t>
      </w:r>
    </w:p>
    <w:p w14:paraId="1A34ABF4">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（3）监狱企业证明文件；</w:t>
      </w:r>
    </w:p>
    <w:p w14:paraId="6D0FDB28">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（4）残疾人福利性单位声明函（格式见附件）；</w:t>
      </w:r>
    </w:p>
    <w:p w14:paraId="55C09937">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（5）开标一览表（格式见附件）； </w:t>
      </w:r>
    </w:p>
    <w:p w14:paraId="7EF0F6C4">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（6）投标人针对报价需要说明的其他文件和说明（格式自拟）</w:t>
      </w:r>
      <w:r>
        <w:rPr>
          <w:rFonts w:hint="default" w:ascii="宋体" w:hAnsi="宋体" w:cs="宋体"/>
          <w:color w:val="auto"/>
          <w:sz w:val="24"/>
          <w:highlight w:val="none"/>
          <w:lang w:val="en-US" w:eastAsia="zh-CN"/>
        </w:rPr>
        <w:t>；</w:t>
      </w:r>
    </w:p>
    <w:p w14:paraId="072AE11D">
      <w:pPr>
        <w:spacing w:line="360" w:lineRule="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（7）联合体协议书/分包意向协议；（联合体投标/分包时提供，格式见附件）。</w:t>
      </w:r>
    </w:p>
    <w:p w14:paraId="0900368F">
      <w:pPr>
        <w:spacing w:line="360" w:lineRule="auto"/>
        <w:rPr>
          <w:rFonts w:ascii="宋体" w:hAnsi="宋体" w:cs="宋体"/>
          <w:b/>
          <w:bCs/>
          <w:color w:val="auto"/>
          <w:sz w:val="24"/>
          <w:highlight w:val="none"/>
        </w:rPr>
      </w:pPr>
    </w:p>
    <w:p w14:paraId="5F4C5086">
      <w:pPr>
        <w:pStyle w:val="3"/>
        <w:keepNext w:val="0"/>
        <w:keepLines w:val="0"/>
        <w:pageBreakBefore/>
        <w:spacing w:line="360" w:lineRule="auto"/>
        <w:rPr>
          <w:rFonts w:ascii="宋体" w:hAnsi="宋体" w:eastAsia="宋体" w:cs="宋体"/>
          <w:b w:val="0"/>
          <w:color w:val="auto"/>
          <w:sz w:val="24"/>
          <w:szCs w:val="24"/>
          <w:highlight w:val="none"/>
        </w:rPr>
      </w:pPr>
      <w:bookmarkStart w:id="59" w:name="_Toc313"/>
      <w:r>
        <w:rPr>
          <w:rFonts w:hint="eastAsia" w:ascii="宋体" w:hAnsi="宋体" w:eastAsia="宋体" w:cs="宋体"/>
          <w:b w:val="0"/>
          <w:color w:val="auto"/>
          <w:sz w:val="24"/>
          <w:szCs w:val="24"/>
          <w:highlight w:val="none"/>
        </w:rPr>
        <w:t>附件一：投标声明书</w:t>
      </w:r>
      <w:bookmarkEnd w:id="59"/>
    </w:p>
    <w:p w14:paraId="453942B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投标声明书</w:t>
      </w:r>
    </w:p>
    <w:p w14:paraId="434A7EFD">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3A1D3C5A">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99D9B6">
      <w:pPr>
        <w:snapToGrid w:val="0"/>
        <w:spacing w:before="120" w:beforeLines="50" w:after="50" w:line="276" w:lineRule="auto"/>
        <w:ind w:firstLine="645"/>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（投标人名称）的法定代表人，我方愿意参加贵方组织的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项目的投标，为便于贵方公正、择优地确定中标人及其投标服务，我方就本次投标有关事项郑重声明如下：</w:t>
      </w:r>
    </w:p>
    <w:p w14:paraId="4DC85E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1.我方向贵方提交的所有投标文件、资料都是准确的和真实的。若有违背，我公司愿为由此而产生的一切后果负责。</w:t>
      </w:r>
    </w:p>
    <w:p w14:paraId="72DB9A71">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05A7ADAF">
      <w:pPr>
        <w:snapToGrid w:val="0"/>
        <w:spacing w:before="120"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我方诚意提请贵方关注：近期有</w:t>
      </w:r>
      <w:r>
        <w:rPr>
          <w:rFonts w:hint="eastAsia" w:ascii="宋体" w:hAnsi="宋体" w:cs="宋体"/>
          <w:color w:val="auto"/>
          <w:sz w:val="24"/>
          <w:highlight w:val="none"/>
          <w:u w:val="single"/>
        </w:rPr>
        <w:t xml:space="preserve">                   （采购内容）</w:t>
      </w:r>
      <w:r>
        <w:rPr>
          <w:rFonts w:hint="eastAsia" w:ascii="宋体" w:hAnsi="宋体" w:cs="宋体"/>
          <w:color w:val="auto"/>
          <w:sz w:val="24"/>
          <w:highlight w:val="none"/>
        </w:rPr>
        <w:t>等方面的重大决策和事项有：</w:t>
      </w:r>
    </w:p>
    <w:p w14:paraId="2C3188E6">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09947C9F">
      <w:pPr>
        <w:snapToGrid w:val="0"/>
        <w:spacing w:before="120" w:beforeLines="50"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w:t>
      </w:r>
    </w:p>
    <w:p w14:paraId="22E35DCA">
      <w:pPr>
        <w:pStyle w:val="8"/>
        <w:snapToGrid w:val="0"/>
        <w:spacing w:line="276" w:lineRule="auto"/>
        <w:rPr>
          <w:rFonts w:ascii="宋体" w:hAnsi="宋体" w:cs="宋体"/>
          <w:color w:val="auto"/>
          <w:sz w:val="24"/>
          <w:highlight w:val="none"/>
        </w:rPr>
      </w:pPr>
      <w:r>
        <w:rPr>
          <w:rFonts w:hint="eastAsia" w:ascii="宋体" w:hAnsi="宋体" w:cs="宋体"/>
          <w:color w:val="auto"/>
          <w:sz w:val="24"/>
          <w:highlight w:val="none"/>
        </w:rPr>
        <w:t>4.我方及由本人担任法定代表人的其他机构最近三年内被通报或者被处罚的违法行为有：</w:t>
      </w:r>
    </w:p>
    <w:p w14:paraId="50278BD4">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4EE667C5">
      <w:pPr>
        <w:snapToGrid w:val="0"/>
        <w:spacing w:before="120" w:beforeLines="50" w:line="276"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w:t>
      </w:r>
    </w:p>
    <w:p w14:paraId="6CD3FD76">
      <w:pPr>
        <w:snapToGrid w:val="0"/>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5.以上事项如有虚假或隐瞒，我方愿意承担一切后果，并不再寻求任何旨在减轻或免除法律责任的辩解。</w:t>
      </w:r>
    </w:p>
    <w:p w14:paraId="290E2C18">
      <w:pPr>
        <w:pStyle w:val="13"/>
        <w:tabs>
          <w:tab w:val="left" w:pos="939"/>
        </w:tabs>
        <w:snapToGrid w:val="0"/>
        <w:spacing w:line="276" w:lineRule="auto"/>
        <w:ind w:left="773" w:leftChars="150" w:hanging="458" w:hangingChars="191"/>
        <w:rPr>
          <w:rFonts w:ascii="宋体" w:hAnsi="宋体" w:cs="宋体"/>
          <w:color w:val="auto"/>
          <w:sz w:val="24"/>
          <w:highlight w:val="none"/>
        </w:rPr>
      </w:pPr>
    </w:p>
    <w:p w14:paraId="3EF068E0">
      <w:pPr>
        <w:pStyle w:val="43"/>
        <w:snapToGrid w:val="0"/>
        <w:spacing w:before="120" w:beforeLines="50" w:line="276" w:lineRule="auto"/>
        <w:ind w:firstLine="200"/>
        <w:rPr>
          <w:rFonts w:ascii="宋体" w:hAnsi="宋体" w:cs="宋体"/>
          <w:color w:val="auto"/>
          <w:szCs w:val="24"/>
          <w:highlight w:val="none"/>
        </w:rPr>
      </w:pPr>
    </w:p>
    <w:p w14:paraId="08EB2D35">
      <w:pPr>
        <w:snapToGrid w:val="0"/>
        <w:spacing w:before="120" w:beforeLines="50" w:line="276" w:lineRule="auto"/>
        <w:ind w:firstLine="319" w:firstLineChars="133"/>
        <w:rPr>
          <w:rFonts w:ascii="宋体" w:hAnsi="宋体" w:cs="宋体"/>
          <w:color w:val="auto"/>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z w:val="24"/>
          <w:highlight w:val="none"/>
          <w:u w:val="single"/>
        </w:rPr>
        <w:t xml:space="preserve">             </w:t>
      </w:r>
    </w:p>
    <w:p w14:paraId="2D55F17C">
      <w:pPr>
        <w:snapToGrid w:val="0"/>
        <w:spacing w:before="120" w:beforeLines="50" w:after="50" w:line="276"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投标人公章：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8234C1F">
      <w:pPr>
        <w:snapToGrid w:val="0"/>
        <w:spacing w:before="120" w:beforeLines="50" w:after="50" w:line="276"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年    月    日</w:t>
      </w:r>
    </w:p>
    <w:p w14:paraId="1FD93DFD">
      <w:pPr>
        <w:snapToGrid w:val="0"/>
        <w:spacing w:before="120" w:beforeLines="50" w:after="50" w:line="276" w:lineRule="auto"/>
        <w:ind w:firstLine="6240" w:firstLineChars="2600"/>
        <w:rPr>
          <w:rFonts w:ascii="宋体" w:hAnsi="宋体" w:cs="宋体"/>
          <w:color w:val="auto"/>
          <w:sz w:val="24"/>
          <w:highlight w:val="none"/>
        </w:rPr>
      </w:pPr>
    </w:p>
    <w:p w14:paraId="0E7DCC00">
      <w:pPr>
        <w:snapToGrid w:val="0"/>
        <w:spacing w:before="120" w:beforeLines="50" w:after="50" w:line="276" w:lineRule="auto"/>
        <w:ind w:firstLine="6240" w:firstLineChars="2600"/>
        <w:rPr>
          <w:rFonts w:ascii="宋体" w:hAnsi="宋体" w:cs="宋体"/>
          <w:color w:val="auto"/>
          <w:sz w:val="24"/>
          <w:highlight w:val="none"/>
        </w:rPr>
      </w:pPr>
    </w:p>
    <w:p w14:paraId="4AC073C0">
      <w:pPr>
        <w:snapToGrid w:val="0"/>
        <w:spacing w:before="120" w:beforeLines="50" w:after="50" w:line="276" w:lineRule="auto"/>
        <w:rPr>
          <w:rFonts w:ascii="宋体" w:hAnsi="宋体" w:cs="宋体"/>
          <w:color w:val="auto"/>
          <w:sz w:val="24"/>
          <w:highlight w:val="none"/>
        </w:rPr>
      </w:pPr>
    </w:p>
    <w:p w14:paraId="2573BD81">
      <w:pPr>
        <w:pStyle w:val="3"/>
        <w:keepNext w:val="0"/>
        <w:keepLines w:val="0"/>
        <w:pageBreakBefore/>
        <w:spacing w:line="360" w:lineRule="auto"/>
        <w:rPr>
          <w:rFonts w:ascii="宋体" w:hAnsi="宋体" w:eastAsia="宋体" w:cs="宋体"/>
          <w:b w:val="0"/>
          <w:bCs w:val="0"/>
          <w:color w:val="auto"/>
          <w:sz w:val="24"/>
          <w:szCs w:val="24"/>
          <w:highlight w:val="none"/>
        </w:rPr>
      </w:pPr>
      <w:bookmarkStart w:id="60" w:name="_Toc30843"/>
      <w:bookmarkStart w:id="61" w:name="_Toc24340"/>
      <w:bookmarkStart w:id="62" w:name="_Toc28089"/>
      <w:bookmarkStart w:id="63" w:name="_Toc23315"/>
      <w:bookmarkStart w:id="64" w:name="_Toc10320"/>
      <w:r>
        <w:rPr>
          <w:rFonts w:hint="eastAsia" w:ascii="宋体" w:hAnsi="宋体" w:eastAsia="宋体" w:cs="宋体"/>
          <w:b w:val="0"/>
          <w:bCs w:val="0"/>
          <w:color w:val="auto"/>
          <w:sz w:val="24"/>
          <w:szCs w:val="24"/>
          <w:highlight w:val="none"/>
        </w:rPr>
        <w:t>附件二：</w:t>
      </w:r>
      <w:bookmarkEnd w:id="60"/>
      <w:bookmarkEnd w:id="61"/>
      <w:r>
        <w:rPr>
          <w:rFonts w:hint="eastAsia" w:ascii="宋体" w:hAnsi="宋体" w:eastAsia="宋体" w:cs="宋体"/>
          <w:b w:val="0"/>
          <w:bCs w:val="0"/>
          <w:color w:val="auto"/>
          <w:sz w:val="24"/>
          <w:szCs w:val="24"/>
          <w:highlight w:val="none"/>
        </w:rPr>
        <w:t>符合参加政府采购活动应当具备的一般条件的承诺函</w:t>
      </w:r>
      <w:bookmarkEnd w:id="62"/>
      <w:bookmarkEnd w:id="63"/>
    </w:p>
    <w:p w14:paraId="0E92DBE2">
      <w:pPr>
        <w:pStyle w:val="24"/>
        <w:spacing w:before="100" w:after="100" w:line="360" w:lineRule="auto"/>
        <w:jc w:val="center"/>
        <w:rPr>
          <w:color w:val="auto"/>
          <w:highlight w:val="none"/>
        </w:rPr>
      </w:pPr>
      <w:r>
        <w:rPr>
          <w:rFonts w:hint="eastAsia"/>
          <w:b/>
          <w:bCs/>
          <w:color w:val="auto"/>
          <w:sz w:val="27"/>
          <w:szCs w:val="27"/>
          <w:highlight w:val="none"/>
        </w:rPr>
        <w:t>符合参加政府采购活动应当具备的一般条件的承诺函</w:t>
      </w:r>
    </w:p>
    <w:p w14:paraId="703AD3D3">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5DDE986D">
      <w:pPr>
        <w:pStyle w:val="24"/>
        <w:spacing w:before="0" w:after="0" w:line="360" w:lineRule="auto"/>
        <w:ind w:left="480"/>
        <w:jc w:val="both"/>
        <w:rPr>
          <w:color w:val="auto"/>
          <w:kern w:val="2"/>
          <w:highlight w:val="none"/>
        </w:rPr>
      </w:pPr>
      <w:r>
        <w:rPr>
          <w:rFonts w:hint="eastAsia"/>
          <w:color w:val="auto"/>
          <w:kern w:val="2"/>
          <w:highlight w:val="none"/>
        </w:rPr>
        <w:t>我方参与</w:t>
      </w:r>
      <w:r>
        <w:rPr>
          <w:rFonts w:hint="eastAsia"/>
          <w:color w:val="auto"/>
          <w:highlight w:val="none"/>
          <w:u w:val="single"/>
        </w:rPr>
        <w:t xml:space="preserve">              </w:t>
      </w:r>
      <w:r>
        <w:rPr>
          <w:rFonts w:hint="eastAsia"/>
          <w:color w:val="auto"/>
          <w:kern w:val="2"/>
          <w:highlight w:val="none"/>
        </w:rPr>
        <w:t>项目【项目编号：</w:t>
      </w:r>
      <w:r>
        <w:rPr>
          <w:rFonts w:hint="eastAsia"/>
          <w:color w:val="auto"/>
          <w:highlight w:val="none"/>
          <w:u w:val="single"/>
        </w:rPr>
        <w:t xml:space="preserve">             </w:t>
      </w:r>
      <w:r>
        <w:rPr>
          <w:rFonts w:hint="eastAsia"/>
          <w:color w:val="auto"/>
          <w:kern w:val="2"/>
          <w:highlight w:val="none"/>
        </w:rPr>
        <w:t>】政府采购活动，郑重承诺：</w:t>
      </w:r>
    </w:p>
    <w:p w14:paraId="72D7A648">
      <w:pPr>
        <w:pStyle w:val="24"/>
        <w:spacing w:before="0" w:after="0" w:line="360" w:lineRule="auto"/>
        <w:ind w:left="480"/>
        <w:jc w:val="both"/>
        <w:rPr>
          <w:color w:val="auto"/>
          <w:kern w:val="2"/>
          <w:highlight w:val="none"/>
        </w:rPr>
      </w:pPr>
      <w:r>
        <w:rPr>
          <w:rFonts w:hint="eastAsia"/>
          <w:color w:val="auto"/>
          <w:kern w:val="2"/>
          <w:highlight w:val="none"/>
        </w:rPr>
        <w:t>（一）具备《中华人民共和国政府采购法》第二十二条第一款规定的条件：</w:t>
      </w:r>
    </w:p>
    <w:p w14:paraId="63D3AC8C">
      <w:pPr>
        <w:pStyle w:val="24"/>
        <w:spacing w:before="0" w:after="0" w:line="360" w:lineRule="auto"/>
        <w:ind w:left="480"/>
        <w:jc w:val="both"/>
        <w:rPr>
          <w:color w:val="auto"/>
          <w:kern w:val="2"/>
          <w:highlight w:val="none"/>
        </w:rPr>
      </w:pPr>
      <w:r>
        <w:rPr>
          <w:rFonts w:hint="eastAsia"/>
          <w:color w:val="auto"/>
          <w:kern w:val="2"/>
          <w:highlight w:val="none"/>
        </w:rPr>
        <w:t>1、具有独立承担民事责任的能力；</w:t>
      </w:r>
    </w:p>
    <w:p w14:paraId="35D7C6B7">
      <w:pPr>
        <w:pStyle w:val="24"/>
        <w:spacing w:before="0" w:after="0" w:line="360" w:lineRule="auto"/>
        <w:ind w:left="480"/>
        <w:jc w:val="both"/>
        <w:rPr>
          <w:color w:val="auto"/>
          <w:kern w:val="2"/>
          <w:highlight w:val="none"/>
        </w:rPr>
      </w:pPr>
      <w:r>
        <w:rPr>
          <w:rFonts w:hint="eastAsia"/>
          <w:color w:val="auto"/>
          <w:kern w:val="2"/>
          <w:highlight w:val="none"/>
        </w:rPr>
        <w:t xml:space="preserve">2、具有良好的商业信誉和健全的财务会计制度； </w:t>
      </w:r>
    </w:p>
    <w:p w14:paraId="1B746FFD">
      <w:pPr>
        <w:pStyle w:val="24"/>
        <w:spacing w:before="0" w:after="0" w:line="360" w:lineRule="auto"/>
        <w:ind w:left="480"/>
        <w:jc w:val="both"/>
        <w:rPr>
          <w:color w:val="auto"/>
          <w:kern w:val="2"/>
          <w:highlight w:val="none"/>
        </w:rPr>
      </w:pPr>
      <w:r>
        <w:rPr>
          <w:rFonts w:hint="eastAsia"/>
          <w:color w:val="auto"/>
          <w:kern w:val="2"/>
          <w:highlight w:val="none"/>
        </w:rPr>
        <w:t>3、具有履行合同所必需的设备和专业技术能力；</w:t>
      </w:r>
    </w:p>
    <w:p w14:paraId="7D718476">
      <w:pPr>
        <w:pStyle w:val="24"/>
        <w:spacing w:before="0" w:after="0" w:line="360" w:lineRule="auto"/>
        <w:ind w:left="480"/>
        <w:jc w:val="both"/>
        <w:rPr>
          <w:color w:val="auto"/>
          <w:kern w:val="2"/>
          <w:highlight w:val="none"/>
        </w:rPr>
      </w:pPr>
      <w:r>
        <w:rPr>
          <w:rFonts w:hint="eastAsia"/>
          <w:color w:val="auto"/>
          <w:kern w:val="2"/>
          <w:highlight w:val="none"/>
        </w:rPr>
        <w:t>4、有依法缴纳税收和社会保障资金的良好记录；</w:t>
      </w:r>
    </w:p>
    <w:p w14:paraId="7B377CF6">
      <w:pPr>
        <w:pStyle w:val="24"/>
        <w:spacing w:before="0" w:after="0" w:line="360" w:lineRule="auto"/>
        <w:ind w:left="480"/>
        <w:jc w:val="both"/>
        <w:rPr>
          <w:color w:val="auto"/>
          <w:kern w:val="2"/>
          <w:highlight w:val="none"/>
        </w:rPr>
      </w:pPr>
      <w:r>
        <w:rPr>
          <w:rFonts w:hint="eastAsia"/>
          <w:color w:val="auto"/>
          <w:kern w:val="2"/>
          <w:highlight w:val="none"/>
        </w:rPr>
        <w:t>5、参加政府采购活动前三年内，在经营活动中没有重大违法记录；</w:t>
      </w:r>
    </w:p>
    <w:p w14:paraId="31412532">
      <w:pPr>
        <w:pStyle w:val="24"/>
        <w:spacing w:before="0" w:after="0" w:line="360" w:lineRule="auto"/>
        <w:ind w:left="480"/>
        <w:jc w:val="both"/>
        <w:rPr>
          <w:color w:val="auto"/>
          <w:kern w:val="2"/>
          <w:highlight w:val="none"/>
        </w:rPr>
      </w:pPr>
      <w:r>
        <w:rPr>
          <w:rFonts w:hint="eastAsia"/>
          <w:color w:val="auto"/>
          <w:kern w:val="2"/>
          <w:highlight w:val="none"/>
        </w:rPr>
        <w:t>6、具有法律、行政法规规定的其他条件。</w:t>
      </w:r>
    </w:p>
    <w:p w14:paraId="776FC2F1">
      <w:pPr>
        <w:pStyle w:val="24"/>
        <w:spacing w:before="0" w:after="0" w:line="360" w:lineRule="auto"/>
        <w:ind w:left="480"/>
        <w:jc w:val="both"/>
        <w:rPr>
          <w:color w:val="auto"/>
          <w:kern w:val="2"/>
          <w:highlight w:val="none"/>
        </w:rPr>
      </w:pPr>
      <w:r>
        <w:rPr>
          <w:rFonts w:hint="eastAsia"/>
          <w:color w:val="auto"/>
          <w:kern w:val="2"/>
          <w:highlight w:val="none"/>
        </w:rPr>
        <w:t>（二）未被信用中国（www.creditchina.gov.cn)、中国政府采购网（www.ccgp.gov.cn）列入失信被执行人、重大税收违法案件当事人名单、政府采购严重违法失信行为记录名单。</w:t>
      </w:r>
    </w:p>
    <w:p w14:paraId="398E2674">
      <w:pPr>
        <w:pStyle w:val="24"/>
        <w:spacing w:before="0" w:after="0" w:line="360" w:lineRule="auto"/>
        <w:ind w:left="480"/>
        <w:jc w:val="both"/>
        <w:rPr>
          <w:color w:val="auto"/>
          <w:kern w:val="2"/>
          <w:highlight w:val="none"/>
        </w:rPr>
      </w:pPr>
      <w:r>
        <w:rPr>
          <w:rFonts w:hint="eastAsia"/>
          <w:color w:val="auto"/>
          <w:kern w:val="2"/>
          <w:highlight w:val="none"/>
        </w:rPr>
        <w:t>（三）不存在以下情况：</w:t>
      </w:r>
    </w:p>
    <w:p w14:paraId="3D8C9468">
      <w:pPr>
        <w:pStyle w:val="24"/>
        <w:spacing w:before="0" w:after="0" w:line="360" w:lineRule="auto"/>
        <w:ind w:left="480"/>
        <w:jc w:val="both"/>
        <w:rPr>
          <w:color w:val="auto"/>
          <w:kern w:val="2"/>
          <w:highlight w:val="none"/>
        </w:rPr>
      </w:pPr>
      <w:r>
        <w:rPr>
          <w:rFonts w:hint="eastAsia"/>
          <w:color w:val="auto"/>
          <w:kern w:val="2"/>
          <w:highlight w:val="none"/>
        </w:rPr>
        <w:t>1、单位负责人为同一人或者存在直接控股、管理关系的不同供应商参加同一合同项下的政府采购活动的；</w:t>
      </w:r>
    </w:p>
    <w:p w14:paraId="5C7A1D4A">
      <w:pPr>
        <w:pStyle w:val="24"/>
        <w:spacing w:before="0" w:after="0" w:line="360" w:lineRule="auto"/>
        <w:ind w:left="480"/>
        <w:jc w:val="both"/>
        <w:rPr>
          <w:color w:val="auto"/>
          <w:kern w:val="2"/>
          <w:highlight w:val="none"/>
        </w:rPr>
      </w:pPr>
      <w:r>
        <w:rPr>
          <w:rFonts w:hint="eastAsia"/>
          <w:color w:val="auto"/>
          <w:kern w:val="2"/>
          <w:highlight w:val="none"/>
        </w:rPr>
        <w:t>2、为采购项目提供整体设计、规范编制或者项目管理、监理、检测等服务后再参加该采购项目的其他采购活动的。</w:t>
      </w:r>
    </w:p>
    <w:p w14:paraId="4ADCCD57">
      <w:pPr>
        <w:pStyle w:val="24"/>
        <w:spacing w:before="0" w:after="0" w:line="360" w:lineRule="auto"/>
        <w:ind w:left="480"/>
        <w:jc w:val="both"/>
        <w:rPr>
          <w:color w:val="auto"/>
          <w:kern w:val="2"/>
          <w:highlight w:val="none"/>
        </w:rPr>
      </w:pPr>
    </w:p>
    <w:p w14:paraId="5EE56F8D">
      <w:pPr>
        <w:pStyle w:val="24"/>
        <w:spacing w:before="0" w:after="0" w:line="360" w:lineRule="auto"/>
        <w:ind w:left="480"/>
        <w:jc w:val="both"/>
        <w:rPr>
          <w:color w:val="auto"/>
          <w:kern w:val="2"/>
          <w:highlight w:val="none"/>
        </w:rPr>
      </w:pPr>
    </w:p>
    <w:p w14:paraId="4017977F">
      <w:pPr>
        <w:pStyle w:val="24"/>
        <w:spacing w:before="0" w:after="0" w:line="360" w:lineRule="auto"/>
        <w:ind w:left="480"/>
        <w:jc w:val="both"/>
        <w:rPr>
          <w:color w:val="auto"/>
          <w:kern w:val="2"/>
          <w:highlight w:val="none"/>
        </w:rPr>
      </w:pPr>
    </w:p>
    <w:p w14:paraId="4EA3B190">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28D167C4">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22F618FF">
      <w:pPr>
        <w:rPr>
          <w:rFonts w:ascii="宋体" w:hAnsi="宋体" w:cs="宋体"/>
          <w:color w:val="auto"/>
          <w:sz w:val="24"/>
          <w:highlight w:val="none"/>
        </w:rPr>
      </w:pPr>
    </w:p>
    <w:p w14:paraId="081E442B">
      <w:pPr>
        <w:pStyle w:val="3"/>
        <w:keepNext w:val="0"/>
        <w:keepLines w:val="0"/>
        <w:pageBreakBefore/>
        <w:spacing w:line="360" w:lineRule="auto"/>
        <w:rPr>
          <w:rFonts w:ascii="宋体" w:hAnsi="宋体" w:eastAsia="宋体" w:cs="宋体"/>
          <w:b w:val="0"/>
          <w:bCs w:val="0"/>
          <w:color w:val="auto"/>
          <w:sz w:val="24"/>
          <w:szCs w:val="24"/>
          <w:highlight w:val="none"/>
        </w:rPr>
      </w:pPr>
      <w:bookmarkStart w:id="65" w:name="_Toc23153"/>
      <w:r>
        <w:rPr>
          <w:rFonts w:hint="eastAsia" w:ascii="宋体" w:hAnsi="宋体" w:eastAsia="宋体" w:cs="宋体"/>
          <w:b w:val="0"/>
          <w:bCs w:val="0"/>
          <w:color w:val="auto"/>
          <w:sz w:val="24"/>
          <w:szCs w:val="24"/>
          <w:highlight w:val="none"/>
        </w:rPr>
        <w:t>附件三：政府采购活动现场确认声明书</w:t>
      </w:r>
      <w:bookmarkEnd w:id="64"/>
      <w:bookmarkEnd w:id="65"/>
    </w:p>
    <w:p w14:paraId="15323D75">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政府采购活动现场确认声明书</w:t>
      </w:r>
    </w:p>
    <w:p w14:paraId="2268D5EE">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东阳市鑫盛工程咨询有限公司 :</w:t>
      </w:r>
    </w:p>
    <w:p w14:paraId="0573A137">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（授权代表姓名），经由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w:t>
      </w:r>
    </w:p>
    <w:p w14:paraId="373D00D1">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（法定代表人姓名）合法授权参加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）政府采购活动．经与本单位法人代表（负责人）联系确认，现就有关公平竞争事项郑重声明如下:</w:t>
      </w:r>
    </w:p>
    <w:p w14:paraId="51B67590">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一、本单位与采购人之间口不存在利害关系口存在下列利害关系:</w:t>
      </w:r>
    </w:p>
    <w:p w14:paraId="7361F539">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A．投资关系</w:t>
      </w:r>
      <w:r>
        <w:rPr>
          <w:rFonts w:hint="eastAsia" w:ascii="宋体" w:hAnsi="宋体" w:cs="宋体"/>
          <w:color w:val="auto"/>
          <w:sz w:val="24"/>
          <w:highlight w:val="none"/>
        </w:rPr>
        <w:tab/>
      </w:r>
      <w:r>
        <w:rPr>
          <w:rFonts w:hint="eastAsia" w:ascii="宋体" w:hAnsi="宋体" w:cs="宋体"/>
          <w:color w:val="auto"/>
          <w:sz w:val="24"/>
          <w:highlight w:val="none"/>
        </w:rPr>
        <w:t>B．行政隶属关系</w:t>
      </w:r>
      <w:r>
        <w:rPr>
          <w:rFonts w:hint="eastAsia" w:ascii="宋体" w:hAnsi="宋体" w:cs="宋体"/>
          <w:color w:val="auto"/>
          <w:sz w:val="24"/>
          <w:highlight w:val="none"/>
        </w:rPr>
        <w:tab/>
      </w:r>
      <w:r>
        <w:rPr>
          <w:rFonts w:hint="eastAsia" w:ascii="宋体" w:hAnsi="宋体" w:cs="宋体"/>
          <w:color w:val="auto"/>
          <w:sz w:val="24"/>
          <w:highlight w:val="none"/>
        </w:rPr>
        <w:t>C．业务指导关系  D．其他可能影响采购公正的利害关系（如有，请如实说明）。</w:t>
      </w:r>
    </w:p>
    <w:p w14:paraId="0AE962F1">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二、现己清楚知道参加本项目采购活动的其他所有供应商名称，本单位 口与其他所有供应商之间均不存在利害关系 口与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p>
    <w:p w14:paraId="1C44DB0C">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A．法定代表人或负责人或实际控制人是同一人B．法定代表人或负责人或实际控制人是夫妻关系</w:t>
      </w:r>
    </w:p>
    <w:p w14:paraId="4A8C1ABE">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5DE625C0">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4B1B999E">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08ED7769">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3FCC5CCD">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739490EA">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H.存在分级代理或代销关系、同一生产制造商关系、管理关系、重要业务（占主昔业务收入 50 ％以上）或重要财务往来关系（如融资）等其他实质性控制关系</w:t>
      </w:r>
    </w:p>
    <w:p w14:paraId="38615830">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00855908">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三、现己清楚知道并严格遵守政府采购法律法规和现场纪律。</w:t>
      </w:r>
    </w:p>
    <w:p w14:paraId="6C8BAAB9">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658D9B44">
      <w:pPr>
        <w:snapToGrid w:val="0"/>
        <w:spacing w:before="120" w:beforeLines="50" w:after="50" w:line="276" w:lineRule="auto"/>
        <w:rPr>
          <w:rFonts w:ascii="宋体" w:hAnsi="宋体" w:cs="宋体"/>
          <w:color w:val="auto"/>
          <w:sz w:val="24"/>
          <w:highlight w:val="none"/>
        </w:rPr>
      </w:pPr>
    </w:p>
    <w:p w14:paraId="481C4EE7">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（供应商代表签名）: </w:t>
      </w:r>
    </w:p>
    <w:p w14:paraId="6AB15265">
      <w:pPr>
        <w:snapToGrid w:val="0"/>
        <w:spacing w:before="120" w:beforeLines="50" w:after="50" w:line="276" w:lineRule="auto"/>
        <w:jc w:val="center"/>
        <w:rPr>
          <w:rFonts w:ascii="宋体" w:hAnsi="宋体" w:cs="宋体"/>
          <w:b/>
          <w:color w:val="auto"/>
          <w:sz w:val="24"/>
          <w:highlight w:val="none"/>
        </w:rPr>
      </w:pPr>
      <w:r>
        <w:rPr>
          <w:rFonts w:hint="eastAsia" w:ascii="宋体" w:hAnsi="宋体" w:cs="宋体"/>
          <w:color w:val="auto"/>
          <w:sz w:val="24"/>
          <w:highlight w:val="none"/>
        </w:rPr>
        <w:t xml:space="preserve">                                                     年   月   日</w:t>
      </w:r>
    </w:p>
    <w:p w14:paraId="4BCAC859">
      <w:pPr>
        <w:pStyle w:val="3"/>
        <w:keepNext w:val="0"/>
        <w:keepLines w:val="0"/>
        <w:pageBreakBefore/>
        <w:spacing w:line="276" w:lineRule="auto"/>
        <w:rPr>
          <w:rFonts w:ascii="宋体" w:hAnsi="宋体" w:eastAsia="宋体" w:cs="宋体"/>
          <w:b w:val="0"/>
          <w:color w:val="auto"/>
          <w:sz w:val="24"/>
          <w:szCs w:val="24"/>
          <w:highlight w:val="none"/>
        </w:rPr>
      </w:pPr>
      <w:bookmarkStart w:id="66" w:name="_Toc1234"/>
      <w:r>
        <w:rPr>
          <w:rFonts w:hint="eastAsia" w:ascii="宋体" w:hAnsi="宋体" w:eastAsia="宋体" w:cs="宋体"/>
          <w:b w:val="0"/>
          <w:color w:val="auto"/>
          <w:sz w:val="24"/>
          <w:szCs w:val="24"/>
          <w:highlight w:val="none"/>
        </w:rPr>
        <w:t>附件四：法定代表人授权委托书</w:t>
      </w:r>
      <w:bookmarkEnd w:id="66"/>
    </w:p>
    <w:p w14:paraId="630B911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法定代表人授权委托书</w:t>
      </w:r>
    </w:p>
    <w:p w14:paraId="0745BEC9">
      <w:pPr>
        <w:snapToGrid w:val="0"/>
        <w:spacing w:before="120" w:beforeLines="50" w:after="50" w:line="276" w:lineRule="auto"/>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683D6E40">
      <w:pPr>
        <w:snapToGrid w:val="0"/>
        <w:spacing w:before="120" w:beforeLines="50" w:after="50" w:line="276"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（投标人名称）的法定代表人，现授权委托本单位在职职工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lang w:eastAsia="zh-CN"/>
        </w:rPr>
        <w:t>东阳市人民医院肾穿刺病理检测外送服务项目</w:t>
      </w:r>
      <w:r>
        <w:rPr>
          <w:rFonts w:hint="eastAsia" w:ascii="宋体" w:hAnsi="宋体" w:cs="宋体"/>
          <w:color w:val="auto"/>
          <w:sz w:val="24"/>
          <w:highlight w:val="none"/>
        </w:rPr>
        <w:t>的投标活动，并代表我方全权办理针对上述项目的投标、开标、评标、签约等具体事务和签署相关文件。</w:t>
      </w:r>
    </w:p>
    <w:p w14:paraId="1AC94A05">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我方对委托代理人的签名事项负全部责任。</w:t>
      </w:r>
    </w:p>
    <w:p w14:paraId="0106609E">
      <w:pPr>
        <w:snapToGrid w:val="0"/>
        <w:spacing w:before="120"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委托代理人在授权书有效期内签署的所有文件不因授权的撤销而失效。</w:t>
      </w:r>
    </w:p>
    <w:p w14:paraId="223FC1E4">
      <w:pPr>
        <w:snapToGrid w:val="0"/>
        <w:spacing w:before="120" w:beforeLines="50" w:after="50" w:line="276" w:lineRule="auto"/>
        <w:ind w:firstLine="48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1843DC02">
      <w:pPr>
        <w:snapToGrid w:val="0"/>
        <w:spacing w:before="120" w:beforeLines="50" w:after="50" w:line="276" w:lineRule="auto"/>
        <w:rPr>
          <w:rFonts w:ascii="宋体" w:hAnsi="宋体" w:cs="宋体"/>
          <w:color w:val="auto"/>
          <w:sz w:val="24"/>
          <w:highlight w:val="none"/>
          <w:u w:val="single"/>
        </w:rPr>
      </w:pPr>
      <w:r>
        <w:rPr>
          <w:rFonts w:hint="eastAsia" w:ascii="宋体" w:hAnsi="宋体" w:cs="宋体"/>
          <w:color w:val="auto"/>
          <w:sz w:val="24"/>
          <w:highlight w:val="none"/>
        </w:rPr>
        <w:t>委托代理人签名：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法定代表人签名：</w:t>
      </w:r>
      <w:r>
        <w:rPr>
          <w:rFonts w:hint="eastAsia" w:ascii="宋体" w:hAnsi="宋体" w:cs="宋体"/>
          <w:color w:val="auto"/>
          <w:sz w:val="24"/>
          <w:highlight w:val="none"/>
          <w:u w:val="single"/>
        </w:rPr>
        <w:t xml:space="preserve">          </w:t>
      </w:r>
    </w:p>
    <w:p w14:paraId="3B8BF05D">
      <w:pPr>
        <w:snapToGrid w:val="0"/>
        <w:spacing w:before="120" w:beforeLines="50" w:after="50" w:line="276" w:lineRule="auto"/>
        <w:ind w:firstLine="960" w:firstLineChars="400"/>
        <w:rPr>
          <w:rFonts w:ascii="宋体" w:hAnsi="宋体" w:cs="宋体"/>
          <w:color w:val="auto"/>
          <w:sz w:val="24"/>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72AC27AC">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委托代理人身份证复印件（正反双面）：</w:t>
      </w:r>
    </w:p>
    <w:tbl>
      <w:tblPr>
        <w:tblStyle w:val="28"/>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14:paraId="2CDE75B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232" w:hRule="atLeast"/>
        </w:trPr>
        <w:tc>
          <w:tcPr>
            <w:tcW w:w="5328" w:type="dxa"/>
          </w:tcPr>
          <w:p w14:paraId="5A37F32F">
            <w:pPr>
              <w:snapToGrid w:val="0"/>
              <w:spacing w:before="120" w:beforeLines="50" w:after="50" w:line="276" w:lineRule="auto"/>
              <w:rPr>
                <w:rFonts w:ascii="宋体" w:hAnsi="宋体" w:cs="宋体"/>
                <w:color w:val="auto"/>
                <w:sz w:val="24"/>
                <w:highlight w:val="none"/>
              </w:rPr>
            </w:pPr>
          </w:p>
          <w:p w14:paraId="5DC75D13">
            <w:pPr>
              <w:snapToGrid w:val="0"/>
              <w:spacing w:before="120" w:beforeLines="50" w:after="50" w:line="276" w:lineRule="auto"/>
              <w:rPr>
                <w:rFonts w:ascii="宋体" w:hAnsi="宋体" w:cs="宋体"/>
                <w:color w:val="auto"/>
                <w:sz w:val="24"/>
                <w:highlight w:val="none"/>
              </w:rPr>
            </w:pPr>
          </w:p>
          <w:p w14:paraId="7B681A15">
            <w:pPr>
              <w:snapToGrid w:val="0"/>
              <w:spacing w:before="120" w:beforeLines="50" w:after="50" w:line="276" w:lineRule="auto"/>
              <w:rPr>
                <w:rFonts w:ascii="宋体" w:hAnsi="宋体" w:cs="宋体"/>
                <w:color w:val="auto"/>
                <w:sz w:val="24"/>
                <w:highlight w:val="none"/>
              </w:rPr>
            </w:pPr>
          </w:p>
          <w:p w14:paraId="39AD50AC">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粘</w:t>
            </w:r>
          </w:p>
          <w:p w14:paraId="29C303EF">
            <w:pPr>
              <w:snapToGrid w:val="0"/>
              <w:spacing w:before="120" w:beforeLines="50" w:after="50" w:line="276" w:lineRule="auto"/>
              <w:jc w:val="center"/>
              <w:rPr>
                <w:rFonts w:ascii="宋体" w:hAnsi="宋体" w:cs="宋体"/>
                <w:color w:val="auto"/>
                <w:sz w:val="24"/>
                <w:highlight w:val="none"/>
              </w:rPr>
            </w:pPr>
          </w:p>
          <w:p w14:paraId="2A8DF176">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贴</w:t>
            </w:r>
          </w:p>
          <w:p w14:paraId="22B07F51">
            <w:pPr>
              <w:snapToGrid w:val="0"/>
              <w:spacing w:before="120" w:beforeLines="50" w:after="50" w:line="276" w:lineRule="auto"/>
              <w:jc w:val="center"/>
              <w:rPr>
                <w:rFonts w:ascii="宋体" w:hAnsi="宋体" w:cs="宋体"/>
                <w:color w:val="auto"/>
                <w:sz w:val="24"/>
                <w:highlight w:val="none"/>
              </w:rPr>
            </w:pPr>
          </w:p>
          <w:p w14:paraId="63E1420D">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处</w:t>
            </w:r>
          </w:p>
        </w:tc>
      </w:tr>
    </w:tbl>
    <w:p w14:paraId="28D3B1E0">
      <w:pPr>
        <w:snapToGrid w:val="0"/>
        <w:spacing w:before="120" w:beforeLines="50" w:after="50" w:line="276" w:lineRule="auto"/>
        <w:rPr>
          <w:rFonts w:ascii="宋体" w:hAnsi="宋体" w:cs="宋体"/>
          <w:color w:val="auto"/>
          <w:sz w:val="24"/>
          <w:highlight w:val="none"/>
        </w:rPr>
      </w:pPr>
    </w:p>
    <w:p w14:paraId="47A6F53B">
      <w:pPr>
        <w:snapToGrid w:val="0"/>
        <w:spacing w:before="120" w:beforeLines="50" w:after="50" w:line="276" w:lineRule="auto"/>
        <w:rPr>
          <w:rFonts w:ascii="宋体" w:hAnsi="宋体" w:cs="宋体"/>
          <w:color w:val="auto"/>
          <w:sz w:val="24"/>
          <w:highlight w:val="none"/>
        </w:rPr>
      </w:pPr>
    </w:p>
    <w:p w14:paraId="5EF48C3E">
      <w:pPr>
        <w:snapToGrid w:val="0"/>
        <w:spacing w:before="120" w:beforeLines="50" w:after="50" w:line="276" w:lineRule="auto"/>
        <w:rPr>
          <w:rFonts w:ascii="宋体" w:hAnsi="宋体" w:cs="宋体"/>
          <w:color w:val="auto"/>
          <w:sz w:val="24"/>
          <w:highlight w:val="none"/>
        </w:rPr>
      </w:pPr>
    </w:p>
    <w:p w14:paraId="35F7A4A3">
      <w:pPr>
        <w:snapToGrid w:val="0"/>
        <w:spacing w:before="120" w:beforeLines="50" w:after="50" w:line="276" w:lineRule="auto"/>
        <w:rPr>
          <w:rFonts w:ascii="宋体" w:hAnsi="宋体" w:cs="宋体"/>
          <w:color w:val="auto"/>
          <w:sz w:val="24"/>
          <w:highlight w:val="none"/>
        </w:rPr>
      </w:pPr>
    </w:p>
    <w:p w14:paraId="00ABD3AA">
      <w:pPr>
        <w:snapToGrid w:val="0"/>
        <w:spacing w:before="120" w:beforeLines="50" w:after="50" w:line="276" w:lineRule="auto"/>
        <w:rPr>
          <w:rFonts w:ascii="宋体" w:hAnsi="宋体" w:cs="宋体"/>
          <w:color w:val="auto"/>
          <w:sz w:val="24"/>
          <w:highlight w:val="none"/>
        </w:rPr>
      </w:pPr>
    </w:p>
    <w:p w14:paraId="1EF026B7">
      <w:pPr>
        <w:snapToGrid w:val="0"/>
        <w:spacing w:before="120" w:beforeLines="50" w:after="50" w:line="276" w:lineRule="auto"/>
        <w:rPr>
          <w:rFonts w:ascii="宋体" w:hAnsi="宋体" w:cs="宋体"/>
          <w:color w:val="auto"/>
          <w:sz w:val="24"/>
          <w:highlight w:val="none"/>
        </w:rPr>
      </w:pPr>
    </w:p>
    <w:p w14:paraId="5A5CE009">
      <w:pPr>
        <w:snapToGrid w:val="0"/>
        <w:spacing w:before="120" w:beforeLines="50" w:after="50" w:line="276" w:lineRule="auto"/>
        <w:rPr>
          <w:rFonts w:ascii="宋体" w:hAnsi="宋体" w:cs="宋体"/>
          <w:color w:val="auto"/>
          <w:sz w:val="24"/>
          <w:highlight w:val="none"/>
        </w:rPr>
      </w:pPr>
    </w:p>
    <w:p w14:paraId="3E577EA9">
      <w:pPr>
        <w:snapToGrid w:val="0"/>
        <w:spacing w:before="120" w:beforeLines="50" w:after="50" w:line="276" w:lineRule="auto"/>
        <w:rPr>
          <w:rFonts w:ascii="宋体" w:hAnsi="宋体" w:cs="宋体"/>
          <w:color w:val="auto"/>
          <w:sz w:val="24"/>
          <w:highlight w:val="none"/>
        </w:rPr>
      </w:pPr>
    </w:p>
    <w:p w14:paraId="6F970A97">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18A4939">
      <w:pPr>
        <w:snapToGrid w:val="0"/>
        <w:spacing w:before="120" w:beforeLines="50" w:after="50" w:line="276" w:lineRule="auto"/>
        <w:rPr>
          <w:rFonts w:ascii="宋体" w:hAnsi="宋体" w:cs="宋体"/>
          <w:color w:val="auto"/>
          <w:sz w:val="24"/>
          <w:highlight w:val="none"/>
        </w:rPr>
      </w:pPr>
    </w:p>
    <w:p w14:paraId="05EE056B">
      <w:pPr>
        <w:snapToGrid w:val="0"/>
        <w:spacing w:before="120" w:beforeLines="50" w:after="50" w:line="276" w:lineRule="auto"/>
        <w:rPr>
          <w:rFonts w:ascii="宋体" w:hAnsi="宋体" w:cs="宋体"/>
          <w:color w:val="auto"/>
          <w:sz w:val="24"/>
          <w:highlight w:val="none"/>
        </w:rPr>
      </w:pPr>
      <w:r>
        <w:rPr>
          <w:rFonts w:hint="eastAsia" w:ascii="宋体" w:hAnsi="宋体" w:cs="宋体"/>
          <w:color w:val="auto"/>
          <w:sz w:val="24"/>
          <w:highlight w:val="none"/>
        </w:rPr>
        <w:t xml:space="preserve">                                             投标人公章：</w:t>
      </w:r>
    </w:p>
    <w:p w14:paraId="5B78AADD">
      <w:pPr>
        <w:snapToGrid w:val="0"/>
        <w:spacing w:before="120" w:beforeLines="50" w:after="50" w:line="276" w:lineRule="auto"/>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492CB602">
      <w:pPr>
        <w:snapToGrid w:val="0"/>
        <w:spacing w:before="120" w:beforeLines="50" w:after="50" w:line="276"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▲注；此表格格式不得修改。</w:t>
      </w:r>
    </w:p>
    <w:p w14:paraId="27C404DA">
      <w:pPr>
        <w:snapToGrid w:val="0"/>
        <w:spacing w:before="120" w:beforeLines="50" w:after="50" w:line="276" w:lineRule="auto"/>
        <w:jc w:val="left"/>
        <w:rPr>
          <w:rFonts w:ascii="宋体" w:hAnsi="宋体" w:cs="宋体"/>
          <w:color w:val="auto"/>
          <w:sz w:val="24"/>
          <w:highlight w:val="none"/>
        </w:rPr>
      </w:pPr>
      <w:r>
        <w:rPr>
          <w:rFonts w:hint="eastAsia" w:ascii="宋体" w:hAnsi="宋体" w:cs="宋体"/>
          <w:color w:val="auto"/>
          <w:sz w:val="24"/>
          <w:highlight w:val="none"/>
        </w:rPr>
        <w:br w:type="page"/>
      </w:r>
    </w:p>
    <w:p w14:paraId="4FBB8FEB">
      <w:pPr>
        <w:pStyle w:val="3"/>
        <w:keepNext w:val="0"/>
        <w:keepLines w:val="0"/>
        <w:pageBreakBefore/>
        <w:spacing w:line="276" w:lineRule="auto"/>
        <w:rPr>
          <w:rFonts w:ascii="宋体" w:hAnsi="宋体" w:eastAsia="宋体" w:cs="宋体"/>
          <w:b w:val="0"/>
          <w:color w:val="auto"/>
          <w:sz w:val="24"/>
          <w:szCs w:val="24"/>
          <w:highlight w:val="none"/>
        </w:rPr>
      </w:pPr>
      <w:bookmarkStart w:id="67" w:name="_Toc25167"/>
      <w:bookmarkStart w:id="68" w:name="_Toc24198"/>
      <w:r>
        <w:rPr>
          <w:rFonts w:hint="eastAsia" w:ascii="宋体" w:hAnsi="宋体" w:eastAsia="宋体" w:cs="宋体"/>
          <w:b w:val="0"/>
          <w:color w:val="auto"/>
          <w:sz w:val="24"/>
          <w:szCs w:val="24"/>
          <w:highlight w:val="none"/>
        </w:rPr>
        <w:t>附件五：联合体协议</w:t>
      </w:r>
      <w:bookmarkEnd w:id="67"/>
      <w:bookmarkEnd w:id="68"/>
    </w:p>
    <w:p w14:paraId="034DD4E5">
      <w:pPr>
        <w:jc w:val="center"/>
        <w:rPr>
          <w:b/>
          <w:bCs/>
          <w:color w:val="auto"/>
          <w:sz w:val="32"/>
          <w:szCs w:val="32"/>
          <w:highlight w:val="none"/>
        </w:rPr>
      </w:pPr>
      <w:r>
        <w:rPr>
          <w:rFonts w:hint="eastAsia" w:ascii="宋体" w:hAnsi="宋体" w:cs="宋体"/>
          <w:b/>
          <w:bCs/>
          <w:color w:val="auto"/>
          <w:sz w:val="32"/>
          <w:szCs w:val="32"/>
          <w:highlight w:val="none"/>
        </w:rPr>
        <w:t>联合体协议</w:t>
      </w:r>
    </w:p>
    <w:p w14:paraId="41A904E3">
      <w:pPr>
        <w:snapToGrid w:val="0"/>
        <w:spacing w:line="360" w:lineRule="auto"/>
        <w:ind w:firstLine="576"/>
        <w:rPr>
          <w:rFonts w:ascii="仿宋_GB2312" w:hAnsi="仿宋" w:eastAsia="仿宋_GB2312" w:cs="仿宋_GB2312"/>
          <w:b/>
          <w:bCs/>
          <w:color w:val="auto"/>
          <w:kern w:val="0"/>
          <w:sz w:val="24"/>
          <w:highlight w:val="none"/>
          <w:u w:val="single"/>
        </w:rPr>
      </w:pPr>
      <w:r>
        <w:rPr>
          <w:rFonts w:hint="eastAsia" w:ascii="仿宋_GB2312" w:hAnsi="仿宋" w:eastAsia="仿宋_GB2312" w:cs="仿宋_GB2312"/>
          <w:b/>
          <w:bCs/>
          <w:color w:val="auto"/>
          <w:kern w:val="0"/>
          <w:sz w:val="24"/>
          <w:highlight w:val="none"/>
          <w:u w:val="single"/>
        </w:rPr>
        <w:t>（以联合体形式投标的，提供联合协议；本项目不接受联合体投标或者投标人不以联合体形式投标的，则不需要提供）</w:t>
      </w:r>
    </w:p>
    <w:p w14:paraId="7E83E803">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 xml:space="preserve">投标。 </w:t>
      </w:r>
    </w:p>
    <w:p w14:paraId="59CD2898">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77B70D01">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授权代表根据招标文件规定及投标内容而对采购人、采购机构所作的任何合法承诺，包括书面澄清及相应等均对联合投标各方产生约束力。</w:t>
      </w:r>
    </w:p>
    <w:p w14:paraId="1F0E3D58">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4D477B0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w:t>
      </w:r>
      <w:r>
        <w:rPr>
          <w:rFonts w:hint="eastAsia" w:asciiTheme="minorEastAsia" w:hAnsiTheme="minorEastAsia" w:eastAsiaTheme="minorEastAsia" w:cstheme="minorEastAsia"/>
          <w:color w:val="auto"/>
          <w:kern w:val="0"/>
          <w:sz w:val="24"/>
          <w:highlight w:val="none"/>
          <w:u w:val="single"/>
        </w:rPr>
        <w:t>（联合体其中一方成员名称）</w:t>
      </w:r>
      <w:r>
        <w:rPr>
          <w:rFonts w:hint="eastAsia" w:asciiTheme="minorEastAsia" w:hAnsiTheme="minorEastAsia" w:eastAsiaTheme="minorEastAsia" w:cstheme="minorEastAsia"/>
          <w:color w:val="auto"/>
          <w:kern w:val="0"/>
          <w:sz w:val="24"/>
          <w:highlight w:val="none"/>
        </w:rPr>
        <w:t>提供的全部货物/服务由小</w:t>
      </w:r>
      <w:r>
        <w:rPr>
          <w:rFonts w:hint="eastAsia" w:asciiTheme="minorEastAsia" w:hAnsiTheme="minorEastAsia" w:eastAsiaTheme="minorEastAsia" w:cstheme="minorEastAsia"/>
          <w:color w:val="auto"/>
          <w:kern w:val="0"/>
          <w:sz w:val="24"/>
          <w:highlight w:val="none"/>
          <w:lang w:val="en-US" w:eastAsia="zh-CN"/>
        </w:rPr>
        <w:t>微</w:t>
      </w:r>
      <w:r>
        <w:rPr>
          <w:rFonts w:hint="eastAsia" w:asciiTheme="minorEastAsia" w:hAnsiTheme="minorEastAsia" w:eastAsiaTheme="minorEastAsia" w:cstheme="minorEastAsia"/>
          <w:color w:val="auto"/>
          <w:kern w:val="0"/>
          <w:sz w:val="24"/>
          <w:highlight w:val="none"/>
        </w:rPr>
        <w:t>企业制造/服务，其合同份额占到合同总金额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p>
    <w:p w14:paraId="5BA8061A">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109ADCC0">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7CD394ED">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567F9527">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545476A1">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3、本协议提交采购人、采购机构后，联合体各方不得以任何形式对上述内容进行修改或撤销。</w:t>
      </w:r>
    </w:p>
    <w:p w14:paraId="754AA92B">
      <w:pPr>
        <w:snapToGrid w:val="0"/>
        <w:spacing w:line="360" w:lineRule="auto"/>
        <w:ind w:firstLine="5040" w:firstLineChars="21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联合体成员名称(公章)：</w:t>
      </w:r>
    </w:p>
    <w:p w14:paraId="33516E51">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1EBA32B6">
      <w:pPr>
        <w:snapToGrid w:val="0"/>
        <w:spacing w:line="360" w:lineRule="auto"/>
        <w:ind w:right="480"/>
        <w:rPr>
          <w:rFonts w:asciiTheme="minorEastAsia" w:hAnsiTheme="minorEastAsia" w:eastAsiaTheme="minorEastAsia" w:cstheme="minorEastAsia"/>
          <w:b/>
          <w:color w:val="auto"/>
          <w:kern w:val="0"/>
          <w:sz w:val="32"/>
          <w:szCs w:val="32"/>
          <w:highlight w:val="none"/>
          <w:lang w:val="zh-CN"/>
        </w:rPr>
        <w:sectPr>
          <w:headerReference r:id="rId5" w:type="first"/>
          <w:footerReference r:id="rId7" w:type="first"/>
          <w:headerReference r:id="rId4" w:type="default"/>
          <w:footerReference r:id="rId6" w:type="default"/>
          <w:pgSz w:w="11906" w:h="16838"/>
          <w:pgMar w:top="1276" w:right="1361" w:bottom="1247" w:left="1418" w:header="851" w:footer="992" w:gutter="0"/>
          <w:pgNumType w:fmt="decimal"/>
          <w:cols w:space="720" w:num="1"/>
          <w:docGrid w:linePitch="312" w:charSpace="0"/>
        </w:sectPr>
      </w:pPr>
    </w:p>
    <w:p w14:paraId="5A39FD1D">
      <w:pPr>
        <w:pStyle w:val="3"/>
        <w:keepNext w:val="0"/>
        <w:keepLines w:val="0"/>
        <w:pageBreakBefore/>
        <w:spacing w:line="276" w:lineRule="auto"/>
        <w:rPr>
          <w:rFonts w:ascii="宋体" w:hAnsi="宋体" w:eastAsia="宋体" w:cs="宋体"/>
          <w:b w:val="0"/>
          <w:color w:val="auto"/>
          <w:sz w:val="24"/>
          <w:szCs w:val="24"/>
          <w:highlight w:val="none"/>
        </w:rPr>
      </w:pPr>
      <w:bookmarkStart w:id="69" w:name="_Toc2319"/>
      <w:bookmarkStart w:id="70" w:name="_Toc1938"/>
      <w:r>
        <w:rPr>
          <w:rFonts w:hint="eastAsia" w:ascii="宋体" w:hAnsi="宋体" w:eastAsia="宋体" w:cs="宋体"/>
          <w:b w:val="0"/>
          <w:color w:val="auto"/>
          <w:sz w:val="24"/>
          <w:szCs w:val="24"/>
          <w:highlight w:val="none"/>
        </w:rPr>
        <w:t>附件六：分包意向协议</w:t>
      </w:r>
      <w:bookmarkEnd w:id="69"/>
      <w:bookmarkEnd w:id="70"/>
    </w:p>
    <w:p w14:paraId="3543B2E5">
      <w:pPr>
        <w:snapToGrid w:val="0"/>
        <w:spacing w:line="360" w:lineRule="auto"/>
        <w:ind w:firstLine="3534" w:firstLineChars="110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分包意向协议</w:t>
      </w:r>
    </w:p>
    <w:p w14:paraId="5D9FC737">
      <w:pPr>
        <w:widowControl/>
        <w:spacing w:line="360" w:lineRule="auto"/>
        <w:ind w:firstLine="120" w:firstLineChars="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20D8914A">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rPr>
        <w:t>（项目名称）【招标编号：（采购编号）】</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4E472D21">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61E8DAF2">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（某分包供应商名称），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4BDDBA7F">
      <w:pPr>
        <w:snapToGrid w:val="0"/>
        <w:spacing w:line="360" w:lineRule="auto"/>
        <w:ind w:firstLine="576"/>
        <w:rPr>
          <w:rFonts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kern w:val="0"/>
          <w:sz w:val="24"/>
          <w:highlight w:val="none"/>
          <w:u w:val="single"/>
        </w:rPr>
        <w:t>……</w:t>
      </w:r>
    </w:p>
    <w:p w14:paraId="02771449">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二、分包工作履行期限、地点、方式</w:t>
      </w:r>
    </w:p>
    <w:p w14:paraId="3A6B9CFC">
      <w:pPr>
        <w:snapToGrid w:val="0"/>
        <w:spacing w:line="360" w:lineRule="auto"/>
        <w:ind w:firstLine="576"/>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w:t>
      </w:r>
    </w:p>
    <w:p w14:paraId="1ECDFAF6">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三、质量</w:t>
      </w:r>
    </w:p>
    <w:p w14:paraId="76D49DDF">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0D4357C8">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四、价款或者报酬</w:t>
      </w:r>
    </w:p>
    <w:p w14:paraId="60FC33F6">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6CBED7E0">
      <w:pPr>
        <w:snapToGrid w:val="0"/>
        <w:spacing w:line="360" w:lineRule="auto"/>
        <w:ind w:left="573" w:leftChars="273"/>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五、违约责任</w:t>
      </w:r>
    </w:p>
    <w:p w14:paraId="5B060584">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3B3F67E6">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六、争议解决的办法</w:t>
      </w:r>
    </w:p>
    <w:p w14:paraId="69489DEC">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u w:val="single"/>
        </w:rPr>
        <w:t xml:space="preserve">                                                                                  </w:t>
      </w:r>
    </w:p>
    <w:p w14:paraId="4A854631">
      <w:pPr>
        <w:snapToGrid w:val="0"/>
        <w:spacing w:line="360" w:lineRule="auto"/>
        <w:ind w:firstLine="576"/>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七、其他</w:t>
      </w:r>
    </w:p>
    <w:p w14:paraId="5638F7AE">
      <w:pPr>
        <w:snapToGrid w:val="0"/>
        <w:spacing w:line="360" w:lineRule="auto"/>
        <w:ind w:firstLine="576"/>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（分包供应商名称）提供的货物/服务全部由小微企业制造/服务，</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sz w:val="24"/>
          <w:highlight w:val="none"/>
        </w:rPr>
        <w:t>。</w:t>
      </w:r>
    </w:p>
    <w:p w14:paraId="7A6928C8">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投标人名称(盖章)：</w:t>
      </w:r>
    </w:p>
    <w:p w14:paraId="6C0D2A43">
      <w:pPr>
        <w:snapToGrid w:val="0"/>
        <w:spacing w:line="360" w:lineRule="auto"/>
        <w:ind w:firstLine="5640" w:firstLineChars="23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w:t>
      </w:r>
    </w:p>
    <w:p w14:paraId="525ABF1C">
      <w:pPr>
        <w:snapToGrid w:val="0"/>
        <w:spacing w:line="360" w:lineRule="auto"/>
        <w:ind w:firstLine="5760" w:firstLineChars="2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w:t>
      </w:r>
    </w:p>
    <w:p w14:paraId="10BB8AB1">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7F76F27B">
      <w:pPr>
        <w:snapToGrid w:val="0"/>
        <w:spacing w:before="120" w:beforeLines="50" w:after="50" w:line="276" w:lineRule="auto"/>
        <w:jc w:val="left"/>
        <w:rPr>
          <w:rFonts w:ascii="宋体" w:hAnsi="宋体" w:cs="宋体"/>
          <w:color w:val="auto"/>
          <w:sz w:val="24"/>
          <w:highlight w:val="none"/>
        </w:rPr>
      </w:pPr>
      <w:r>
        <w:rPr>
          <w:rFonts w:hint="eastAsia" w:ascii="宋体" w:hAnsi="宋体" w:cs="宋体"/>
          <w:color w:val="auto"/>
          <w:sz w:val="24"/>
          <w:highlight w:val="none"/>
        </w:rPr>
        <w:br w:type="page"/>
      </w:r>
    </w:p>
    <w:p w14:paraId="6924AF1D">
      <w:pPr>
        <w:pStyle w:val="3"/>
        <w:pageBreakBefore/>
        <w:rPr>
          <w:rFonts w:ascii="宋体" w:hAnsi="宋体" w:eastAsia="宋体" w:cs="宋体"/>
          <w:b w:val="0"/>
          <w:color w:val="auto"/>
          <w:sz w:val="24"/>
          <w:szCs w:val="24"/>
          <w:highlight w:val="none"/>
        </w:rPr>
      </w:pPr>
      <w:bookmarkStart w:id="71" w:name="_Toc26601"/>
      <w:r>
        <w:rPr>
          <w:rFonts w:hint="eastAsia" w:ascii="宋体" w:hAnsi="宋体" w:eastAsia="宋体" w:cs="宋体"/>
          <w:b w:val="0"/>
          <w:color w:val="auto"/>
          <w:sz w:val="24"/>
          <w:szCs w:val="24"/>
          <w:highlight w:val="none"/>
        </w:rPr>
        <w:t>附件七：投标人资信商务、技术自评得分表</w:t>
      </w:r>
      <w:bookmarkEnd w:id="71"/>
    </w:p>
    <w:p w14:paraId="13A7397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投标人资信商务、技术自评得分表</w:t>
      </w:r>
    </w:p>
    <w:tbl>
      <w:tblPr>
        <w:tblStyle w:val="28"/>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50"/>
        <w:gridCol w:w="3200"/>
        <w:gridCol w:w="916"/>
        <w:gridCol w:w="1219"/>
      </w:tblGrid>
      <w:tr w14:paraId="58D4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34" w:type="dxa"/>
            <w:vAlign w:val="center"/>
          </w:tcPr>
          <w:p w14:paraId="3DA3DFD5">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3550" w:type="dxa"/>
            <w:vAlign w:val="center"/>
          </w:tcPr>
          <w:p w14:paraId="5D001B0C">
            <w:pPr>
              <w:jc w:val="center"/>
              <w:rPr>
                <w:rFonts w:ascii="宋体" w:hAnsi="宋体" w:cs="宋体"/>
                <w:color w:val="auto"/>
                <w:sz w:val="24"/>
                <w:highlight w:val="none"/>
              </w:rPr>
            </w:pPr>
            <w:r>
              <w:rPr>
                <w:rFonts w:hint="eastAsia" w:ascii="宋体" w:hAnsi="宋体" w:cs="宋体"/>
                <w:color w:val="auto"/>
                <w:sz w:val="24"/>
                <w:highlight w:val="none"/>
              </w:rPr>
              <w:t>评分标准</w:t>
            </w:r>
          </w:p>
        </w:tc>
        <w:tc>
          <w:tcPr>
            <w:tcW w:w="3200" w:type="dxa"/>
            <w:vAlign w:val="center"/>
          </w:tcPr>
          <w:p w14:paraId="483B8265">
            <w:pPr>
              <w:jc w:val="center"/>
              <w:rPr>
                <w:rFonts w:ascii="宋体" w:hAnsi="宋体" w:cs="宋体"/>
                <w:color w:val="auto"/>
                <w:sz w:val="24"/>
                <w:highlight w:val="none"/>
              </w:rPr>
            </w:pPr>
            <w:r>
              <w:rPr>
                <w:rFonts w:hint="eastAsia" w:ascii="宋体" w:hAnsi="宋体" w:cs="宋体"/>
                <w:color w:val="auto"/>
                <w:sz w:val="24"/>
                <w:highlight w:val="none"/>
              </w:rPr>
              <w:t>得分内容</w:t>
            </w:r>
          </w:p>
        </w:tc>
        <w:tc>
          <w:tcPr>
            <w:tcW w:w="916" w:type="dxa"/>
            <w:vAlign w:val="center"/>
          </w:tcPr>
          <w:p w14:paraId="48BBFD8D">
            <w:pPr>
              <w:jc w:val="center"/>
              <w:rPr>
                <w:rFonts w:ascii="宋体" w:hAnsi="宋体" w:cs="宋体"/>
                <w:color w:val="auto"/>
                <w:sz w:val="24"/>
                <w:highlight w:val="none"/>
              </w:rPr>
            </w:pPr>
            <w:r>
              <w:rPr>
                <w:rFonts w:hint="eastAsia" w:ascii="宋体" w:hAnsi="宋体" w:cs="宋体"/>
                <w:color w:val="auto"/>
                <w:sz w:val="24"/>
                <w:highlight w:val="none"/>
              </w:rPr>
              <w:t>自评</w:t>
            </w:r>
          </w:p>
          <w:p w14:paraId="5C6CA78E">
            <w:pPr>
              <w:jc w:val="center"/>
              <w:rPr>
                <w:rFonts w:ascii="宋体" w:hAnsi="宋体" w:cs="宋体"/>
                <w:color w:val="auto"/>
                <w:sz w:val="24"/>
                <w:highlight w:val="none"/>
              </w:rPr>
            </w:pPr>
            <w:r>
              <w:rPr>
                <w:rFonts w:hint="eastAsia" w:ascii="宋体" w:hAnsi="宋体" w:cs="宋体"/>
                <w:color w:val="auto"/>
                <w:sz w:val="24"/>
                <w:highlight w:val="none"/>
              </w:rPr>
              <w:t>得分</w:t>
            </w:r>
          </w:p>
        </w:tc>
        <w:tc>
          <w:tcPr>
            <w:tcW w:w="1219" w:type="dxa"/>
            <w:vAlign w:val="center"/>
          </w:tcPr>
          <w:p w14:paraId="4FE79B6B">
            <w:pPr>
              <w:jc w:val="center"/>
              <w:rPr>
                <w:rFonts w:ascii="宋体" w:hAnsi="宋体" w:cs="宋体"/>
                <w:color w:val="auto"/>
                <w:sz w:val="24"/>
                <w:highlight w:val="none"/>
              </w:rPr>
            </w:pPr>
            <w:r>
              <w:rPr>
                <w:rFonts w:hint="eastAsia" w:ascii="宋体" w:hAnsi="宋体" w:cs="宋体"/>
                <w:color w:val="auto"/>
                <w:sz w:val="24"/>
                <w:highlight w:val="none"/>
              </w:rPr>
              <w:t>页码</w:t>
            </w:r>
          </w:p>
        </w:tc>
      </w:tr>
      <w:tr w14:paraId="52D3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7EAEECC7">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50" w:type="dxa"/>
            <w:vAlign w:val="center"/>
          </w:tcPr>
          <w:p w14:paraId="39399513">
            <w:pPr>
              <w:jc w:val="center"/>
              <w:rPr>
                <w:rFonts w:ascii="宋体" w:hAnsi="宋体" w:cs="宋体"/>
                <w:color w:val="auto"/>
                <w:sz w:val="24"/>
                <w:highlight w:val="none"/>
              </w:rPr>
            </w:pPr>
          </w:p>
        </w:tc>
        <w:tc>
          <w:tcPr>
            <w:tcW w:w="3200" w:type="dxa"/>
            <w:vAlign w:val="center"/>
          </w:tcPr>
          <w:p w14:paraId="6B437FAE">
            <w:pPr>
              <w:jc w:val="center"/>
              <w:rPr>
                <w:rFonts w:ascii="宋体" w:hAnsi="宋体" w:cs="宋体"/>
                <w:color w:val="auto"/>
                <w:sz w:val="24"/>
                <w:highlight w:val="none"/>
              </w:rPr>
            </w:pPr>
          </w:p>
        </w:tc>
        <w:tc>
          <w:tcPr>
            <w:tcW w:w="916" w:type="dxa"/>
            <w:vAlign w:val="center"/>
          </w:tcPr>
          <w:p w14:paraId="58C25A67">
            <w:pPr>
              <w:jc w:val="center"/>
              <w:rPr>
                <w:rFonts w:ascii="宋体" w:hAnsi="宋体" w:cs="宋体"/>
                <w:color w:val="auto"/>
                <w:sz w:val="24"/>
                <w:highlight w:val="none"/>
              </w:rPr>
            </w:pPr>
          </w:p>
        </w:tc>
        <w:tc>
          <w:tcPr>
            <w:tcW w:w="1219" w:type="dxa"/>
            <w:vAlign w:val="center"/>
          </w:tcPr>
          <w:p w14:paraId="0DBF28C1">
            <w:pPr>
              <w:jc w:val="center"/>
              <w:rPr>
                <w:rFonts w:ascii="宋体" w:hAnsi="宋体" w:cs="宋体"/>
                <w:color w:val="auto"/>
                <w:sz w:val="24"/>
                <w:highlight w:val="none"/>
              </w:rPr>
            </w:pPr>
          </w:p>
        </w:tc>
      </w:tr>
      <w:tr w14:paraId="1DA0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3D7F1289">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50" w:type="dxa"/>
            <w:vAlign w:val="center"/>
          </w:tcPr>
          <w:p w14:paraId="25C2CAC8">
            <w:pPr>
              <w:jc w:val="center"/>
              <w:rPr>
                <w:rFonts w:ascii="宋体" w:hAnsi="宋体" w:cs="宋体"/>
                <w:color w:val="auto"/>
                <w:sz w:val="24"/>
                <w:highlight w:val="none"/>
              </w:rPr>
            </w:pPr>
          </w:p>
        </w:tc>
        <w:tc>
          <w:tcPr>
            <w:tcW w:w="3200" w:type="dxa"/>
            <w:vAlign w:val="center"/>
          </w:tcPr>
          <w:p w14:paraId="09243265">
            <w:pPr>
              <w:jc w:val="center"/>
              <w:rPr>
                <w:rFonts w:ascii="宋体" w:hAnsi="宋体" w:cs="宋体"/>
                <w:color w:val="auto"/>
                <w:sz w:val="24"/>
                <w:highlight w:val="none"/>
              </w:rPr>
            </w:pPr>
          </w:p>
        </w:tc>
        <w:tc>
          <w:tcPr>
            <w:tcW w:w="916" w:type="dxa"/>
            <w:vAlign w:val="center"/>
          </w:tcPr>
          <w:p w14:paraId="189AAFC4">
            <w:pPr>
              <w:jc w:val="center"/>
              <w:rPr>
                <w:rFonts w:ascii="宋体" w:hAnsi="宋体" w:cs="宋体"/>
                <w:color w:val="auto"/>
                <w:sz w:val="24"/>
                <w:highlight w:val="none"/>
              </w:rPr>
            </w:pPr>
          </w:p>
        </w:tc>
        <w:tc>
          <w:tcPr>
            <w:tcW w:w="1219" w:type="dxa"/>
            <w:vAlign w:val="center"/>
          </w:tcPr>
          <w:p w14:paraId="1FAF97AF">
            <w:pPr>
              <w:jc w:val="center"/>
              <w:rPr>
                <w:rFonts w:ascii="宋体" w:hAnsi="宋体" w:cs="宋体"/>
                <w:color w:val="auto"/>
                <w:sz w:val="24"/>
                <w:highlight w:val="none"/>
              </w:rPr>
            </w:pPr>
          </w:p>
        </w:tc>
      </w:tr>
      <w:tr w14:paraId="08C5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39A82098">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50" w:type="dxa"/>
            <w:vAlign w:val="center"/>
          </w:tcPr>
          <w:p w14:paraId="2497219C">
            <w:pPr>
              <w:jc w:val="center"/>
              <w:rPr>
                <w:rFonts w:ascii="宋体" w:hAnsi="宋体" w:cs="宋体"/>
                <w:color w:val="auto"/>
                <w:sz w:val="24"/>
                <w:highlight w:val="none"/>
              </w:rPr>
            </w:pPr>
          </w:p>
        </w:tc>
        <w:tc>
          <w:tcPr>
            <w:tcW w:w="3200" w:type="dxa"/>
            <w:vAlign w:val="center"/>
          </w:tcPr>
          <w:p w14:paraId="1782891C">
            <w:pPr>
              <w:jc w:val="center"/>
              <w:rPr>
                <w:rFonts w:ascii="宋体" w:hAnsi="宋体" w:cs="宋体"/>
                <w:color w:val="auto"/>
                <w:sz w:val="24"/>
                <w:highlight w:val="none"/>
              </w:rPr>
            </w:pPr>
          </w:p>
        </w:tc>
        <w:tc>
          <w:tcPr>
            <w:tcW w:w="916" w:type="dxa"/>
            <w:vAlign w:val="center"/>
          </w:tcPr>
          <w:p w14:paraId="3328C147">
            <w:pPr>
              <w:jc w:val="center"/>
              <w:rPr>
                <w:rFonts w:ascii="宋体" w:hAnsi="宋体" w:cs="宋体"/>
                <w:color w:val="auto"/>
                <w:sz w:val="24"/>
                <w:highlight w:val="none"/>
              </w:rPr>
            </w:pPr>
          </w:p>
        </w:tc>
        <w:tc>
          <w:tcPr>
            <w:tcW w:w="1219" w:type="dxa"/>
            <w:vAlign w:val="center"/>
          </w:tcPr>
          <w:p w14:paraId="18914097">
            <w:pPr>
              <w:jc w:val="center"/>
              <w:rPr>
                <w:rFonts w:ascii="宋体" w:hAnsi="宋体" w:cs="宋体"/>
                <w:color w:val="auto"/>
                <w:sz w:val="24"/>
                <w:highlight w:val="none"/>
              </w:rPr>
            </w:pPr>
          </w:p>
        </w:tc>
      </w:tr>
      <w:tr w14:paraId="2DE3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5F86DEC4">
            <w:pPr>
              <w:jc w:val="center"/>
              <w:rPr>
                <w:rFonts w:ascii="宋体" w:hAnsi="宋体" w:cs="宋体"/>
                <w:color w:val="auto"/>
                <w:sz w:val="24"/>
                <w:highlight w:val="none"/>
              </w:rPr>
            </w:pPr>
            <w:r>
              <w:rPr>
                <w:rFonts w:hint="eastAsia" w:ascii="宋体" w:hAnsi="宋体" w:cs="宋体"/>
                <w:color w:val="auto"/>
                <w:sz w:val="24"/>
                <w:highlight w:val="none"/>
              </w:rPr>
              <w:t>4</w:t>
            </w:r>
          </w:p>
        </w:tc>
        <w:tc>
          <w:tcPr>
            <w:tcW w:w="3550" w:type="dxa"/>
            <w:vAlign w:val="center"/>
          </w:tcPr>
          <w:p w14:paraId="29007746">
            <w:pPr>
              <w:jc w:val="center"/>
              <w:rPr>
                <w:rFonts w:ascii="宋体" w:hAnsi="宋体" w:cs="宋体"/>
                <w:color w:val="auto"/>
                <w:sz w:val="24"/>
                <w:highlight w:val="none"/>
              </w:rPr>
            </w:pPr>
          </w:p>
        </w:tc>
        <w:tc>
          <w:tcPr>
            <w:tcW w:w="3200" w:type="dxa"/>
            <w:vAlign w:val="center"/>
          </w:tcPr>
          <w:p w14:paraId="4340D573">
            <w:pPr>
              <w:jc w:val="center"/>
              <w:rPr>
                <w:rFonts w:ascii="宋体" w:hAnsi="宋体" w:cs="宋体"/>
                <w:color w:val="auto"/>
                <w:sz w:val="24"/>
                <w:highlight w:val="none"/>
              </w:rPr>
            </w:pPr>
          </w:p>
        </w:tc>
        <w:tc>
          <w:tcPr>
            <w:tcW w:w="916" w:type="dxa"/>
            <w:vAlign w:val="center"/>
          </w:tcPr>
          <w:p w14:paraId="36041B7B">
            <w:pPr>
              <w:jc w:val="center"/>
              <w:rPr>
                <w:rFonts w:ascii="宋体" w:hAnsi="宋体" w:cs="宋体"/>
                <w:color w:val="auto"/>
                <w:sz w:val="24"/>
                <w:highlight w:val="none"/>
              </w:rPr>
            </w:pPr>
          </w:p>
        </w:tc>
        <w:tc>
          <w:tcPr>
            <w:tcW w:w="1219" w:type="dxa"/>
            <w:vAlign w:val="center"/>
          </w:tcPr>
          <w:p w14:paraId="3AE70CA8">
            <w:pPr>
              <w:jc w:val="center"/>
              <w:rPr>
                <w:rFonts w:ascii="宋体" w:hAnsi="宋体" w:cs="宋体"/>
                <w:color w:val="auto"/>
                <w:sz w:val="24"/>
                <w:highlight w:val="none"/>
              </w:rPr>
            </w:pPr>
          </w:p>
        </w:tc>
      </w:tr>
      <w:tr w14:paraId="3D49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70E4ECA0">
            <w:pPr>
              <w:jc w:val="center"/>
              <w:rPr>
                <w:rFonts w:ascii="宋体" w:hAnsi="宋体" w:cs="宋体"/>
                <w:color w:val="auto"/>
                <w:sz w:val="24"/>
                <w:highlight w:val="none"/>
              </w:rPr>
            </w:pPr>
            <w:r>
              <w:rPr>
                <w:rFonts w:hint="eastAsia" w:ascii="宋体" w:hAnsi="宋体" w:cs="宋体"/>
                <w:color w:val="auto"/>
                <w:sz w:val="24"/>
                <w:highlight w:val="none"/>
              </w:rPr>
              <w:t>5</w:t>
            </w:r>
          </w:p>
        </w:tc>
        <w:tc>
          <w:tcPr>
            <w:tcW w:w="3550" w:type="dxa"/>
            <w:vAlign w:val="center"/>
          </w:tcPr>
          <w:p w14:paraId="009956B8">
            <w:pPr>
              <w:jc w:val="center"/>
              <w:rPr>
                <w:rFonts w:ascii="宋体" w:hAnsi="宋体" w:cs="宋体"/>
                <w:color w:val="auto"/>
                <w:sz w:val="24"/>
                <w:highlight w:val="none"/>
              </w:rPr>
            </w:pPr>
          </w:p>
        </w:tc>
        <w:tc>
          <w:tcPr>
            <w:tcW w:w="3200" w:type="dxa"/>
            <w:vAlign w:val="center"/>
          </w:tcPr>
          <w:p w14:paraId="0973A132">
            <w:pPr>
              <w:jc w:val="center"/>
              <w:rPr>
                <w:rFonts w:ascii="宋体" w:hAnsi="宋体" w:cs="宋体"/>
                <w:color w:val="auto"/>
                <w:sz w:val="24"/>
                <w:highlight w:val="none"/>
              </w:rPr>
            </w:pPr>
          </w:p>
        </w:tc>
        <w:tc>
          <w:tcPr>
            <w:tcW w:w="916" w:type="dxa"/>
            <w:vAlign w:val="center"/>
          </w:tcPr>
          <w:p w14:paraId="45350275">
            <w:pPr>
              <w:jc w:val="center"/>
              <w:rPr>
                <w:rFonts w:ascii="宋体" w:hAnsi="宋体" w:cs="宋体"/>
                <w:color w:val="auto"/>
                <w:sz w:val="24"/>
                <w:highlight w:val="none"/>
              </w:rPr>
            </w:pPr>
          </w:p>
        </w:tc>
        <w:tc>
          <w:tcPr>
            <w:tcW w:w="1219" w:type="dxa"/>
            <w:vAlign w:val="center"/>
          </w:tcPr>
          <w:p w14:paraId="2DF31738">
            <w:pPr>
              <w:jc w:val="center"/>
              <w:rPr>
                <w:rFonts w:ascii="宋体" w:hAnsi="宋体" w:cs="宋体"/>
                <w:color w:val="auto"/>
                <w:sz w:val="24"/>
                <w:highlight w:val="none"/>
              </w:rPr>
            </w:pPr>
          </w:p>
        </w:tc>
      </w:tr>
      <w:tr w14:paraId="2620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1281355F">
            <w:pPr>
              <w:jc w:val="center"/>
              <w:rPr>
                <w:rFonts w:ascii="宋体" w:hAnsi="宋体" w:cs="宋体"/>
                <w:color w:val="auto"/>
                <w:sz w:val="24"/>
                <w:highlight w:val="none"/>
              </w:rPr>
            </w:pPr>
            <w:r>
              <w:rPr>
                <w:rFonts w:hint="eastAsia" w:ascii="宋体" w:hAnsi="宋体" w:cs="宋体"/>
                <w:color w:val="auto"/>
                <w:sz w:val="24"/>
                <w:highlight w:val="none"/>
              </w:rPr>
              <w:t>6</w:t>
            </w:r>
          </w:p>
        </w:tc>
        <w:tc>
          <w:tcPr>
            <w:tcW w:w="3550" w:type="dxa"/>
            <w:vAlign w:val="center"/>
          </w:tcPr>
          <w:p w14:paraId="29C28497">
            <w:pPr>
              <w:jc w:val="center"/>
              <w:rPr>
                <w:rFonts w:ascii="宋体" w:hAnsi="宋体" w:cs="宋体"/>
                <w:color w:val="auto"/>
                <w:sz w:val="24"/>
                <w:highlight w:val="none"/>
              </w:rPr>
            </w:pPr>
          </w:p>
        </w:tc>
        <w:tc>
          <w:tcPr>
            <w:tcW w:w="3200" w:type="dxa"/>
            <w:vAlign w:val="center"/>
          </w:tcPr>
          <w:p w14:paraId="39131847">
            <w:pPr>
              <w:jc w:val="center"/>
              <w:rPr>
                <w:rFonts w:ascii="宋体" w:hAnsi="宋体" w:cs="宋体"/>
                <w:color w:val="auto"/>
                <w:sz w:val="24"/>
                <w:highlight w:val="none"/>
              </w:rPr>
            </w:pPr>
          </w:p>
        </w:tc>
        <w:tc>
          <w:tcPr>
            <w:tcW w:w="916" w:type="dxa"/>
            <w:vAlign w:val="center"/>
          </w:tcPr>
          <w:p w14:paraId="59F04621">
            <w:pPr>
              <w:jc w:val="center"/>
              <w:rPr>
                <w:rFonts w:ascii="宋体" w:hAnsi="宋体" w:cs="宋体"/>
                <w:color w:val="auto"/>
                <w:sz w:val="24"/>
                <w:highlight w:val="none"/>
              </w:rPr>
            </w:pPr>
          </w:p>
        </w:tc>
        <w:tc>
          <w:tcPr>
            <w:tcW w:w="1219" w:type="dxa"/>
            <w:vAlign w:val="center"/>
          </w:tcPr>
          <w:p w14:paraId="78DB1C22">
            <w:pPr>
              <w:jc w:val="center"/>
              <w:rPr>
                <w:rFonts w:ascii="宋体" w:hAnsi="宋体" w:cs="宋体"/>
                <w:color w:val="auto"/>
                <w:sz w:val="24"/>
                <w:highlight w:val="none"/>
              </w:rPr>
            </w:pPr>
          </w:p>
        </w:tc>
      </w:tr>
      <w:tr w14:paraId="6442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77533582">
            <w:pPr>
              <w:jc w:val="center"/>
              <w:rPr>
                <w:rFonts w:ascii="宋体" w:hAnsi="宋体" w:cs="宋体"/>
                <w:color w:val="auto"/>
                <w:sz w:val="24"/>
                <w:highlight w:val="none"/>
              </w:rPr>
            </w:pPr>
            <w:r>
              <w:rPr>
                <w:rFonts w:hint="eastAsia" w:ascii="宋体" w:hAnsi="宋体" w:cs="宋体"/>
                <w:color w:val="auto"/>
                <w:sz w:val="24"/>
                <w:highlight w:val="none"/>
              </w:rPr>
              <w:t>7</w:t>
            </w:r>
          </w:p>
        </w:tc>
        <w:tc>
          <w:tcPr>
            <w:tcW w:w="3550" w:type="dxa"/>
            <w:vAlign w:val="center"/>
          </w:tcPr>
          <w:p w14:paraId="577E8DA7">
            <w:pPr>
              <w:jc w:val="center"/>
              <w:rPr>
                <w:rFonts w:ascii="宋体" w:hAnsi="宋体" w:cs="宋体"/>
                <w:color w:val="auto"/>
                <w:sz w:val="24"/>
                <w:highlight w:val="none"/>
              </w:rPr>
            </w:pPr>
          </w:p>
        </w:tc>
        <w:tc>
          <w:tcPr>
            <w:tcW w:w="3200" w:type="dxa"/>
            <w:vAlign w:val="center"/>
          </w:tcPr>
          <w:p w14:paraId="5E6AB66F">
            <w:pPr>
              <w:jc w:val="center"/>
              <w:rPr>
                <w:rFonts w:ascii="宋体" w:hAnsi="宋体" w:cs="宋体"/>
                <w:color w:val="auto"/>
                <w:sz w:val="24"/>
                <w:highlight w:val="none"/>
              </w:rPr>
            </w:pPr>
          </w:p>
        </w:tc>
        <w:tc>
          <w:tcPr>
            <w:tcW w:w="916" w:type="dxa"/>
            <w:vAlign w:val="center"/>
          </w:tcPr>
          <w:p w14:paraId="62AEAF79">
            <w:pPr>
              <w:jc w:val="center"/>
              <w:rPr>
                <w:rFonts w:ascii="宋体" w:hAnsi="宋体" w:cs="宋体"/>
                <w:color w:val="auto"/>
                <w:sz w:val="24"/>
                <w:highlight w:val="none"/>
              </w:rPr>
            </w:pPr>
          </w:p>
        </w:tc>
        <w:tc>
          <w:tcPr>
            <w:tcW w:w="1219" w:type="dxa"/>
            <w:vAlign w:val="center"/>
          </w:tcPr>
          <w:p w14:paraId="72BCFB9F">
            <w:pPr>
              <w:jc w:val="center"/>
              <w:rPr>
                <w:rFonts w:ascii="宋体" w:hAnsi="宋体" w:cs="宋体"/>
                <w:color w:val="auto"/>
                <w:sz w:val="24"/>
                <w:highlight w:val="none"/>
              </w:rPr>
            </w:pPr>
          </w:p>
        </w:tc>
      </w:tr>
      <w:tr w14:paraId="5D84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6AD02586">
            <w:pPr>
              <w:jc w:val="center"/>
              <w:rPr>
                <w:rFonts w:ascii="宋体" w:hAnsi="宋体" w:cs="宋体"/>
                <w:color w:val="auto"/>
                <w:sz w:val="24"/>
                <w:highlight w:val="none"/>
              </w:rPr>
            </w:pPr>
            <w:r>
              <w:rPr>
                <w:rFonts w:hint="eastAsia" w:ascii="宋体" w:hAnsi="宋体" w:cs="宋体"/>
                <w:color w:val="auto"/>
                <w:sz w:val="24"/>
                <w:highlight w:val="none"/>
              </w:rPr>
              <w:t>8</w:t>
            </w:r>
          </w:p>
        </w:tc>
        <w:tc>
          <w:tcPr>
            <w:tcW w:w="3550" w:type="dxa"/>
            <w:vAlign w:val="center"/>
          </w:tcPr>
          <w:p w14:paraId="29A0BD88">
            <w:pPr>
              <w:jc w:val="center"/>
              <w:rPr>
                <w:rFonts w:ascii="宋体" w:hAnsi="宋体" w:cs="宋体"/>
                <w:color w:val="auto"/>
                <w:sz w:val="24"/>
                <w:highlight w:val="none"/>
              </w:rPr>
            </w:pPr>
          </w:p>
        </w:tc>
        <w:tc>
          <w:tcPr>
            <w:tcW w:w="3200" w:type="dxa"/>
            <w:vAlign w:val="center"/>
          </w:tcPr>
          <w:p w14:paraId="4538ECC8">
            <w:pPr>
              <w:jc w:val="center"/>
              <w:rPr>
                <w:rFonts w:ascii="宋体" w:hAnsi="宋体" w:cs="宋体"/>
                <w:color w:val="auto"/>
                <w:sz w:val="24"/>
                <w:highlight w:val="none"/>
              </w:rPr>
            </w:pPr>
          </w:p>
        </w:tc>
        <w:tc>
          <w:tcPr>
            <w:tcW w:w="916" w:type="dxa"/>
            <w:vAlign w:val="center"/>
          </w:tcPr>
          <w:p w14:paraId="4731F22E">
            <w:pPr>
              <w:jc w:val="center"/>
              <w:rPr>
                <w:rFonts w:ascii="宋体" w:hAnsi="宋体" w:cs="宋体"/>
                <w:color w:val="auto"/>
                <w:sz w:val="24"/>
                <w:highlight w:val="none"/>
              </w:rPr>
            </w:pPr>
          </w:p>
        </w:tc>
        <w:tc>
          <w:tcPr>
            <w:tcW w:w="1219" w:type="dxa"/>
            <w:vAlign w:val="center"/>
          </w:tcPr>
          <w:p w14:paraId="5F883043">
            <w:pPr>
              <w:jc w:val="center"/>
              <w:rPr>
                <w:rFonts w:ascii="宋体" w:hAnsi="宋体" w:cs="宋体"/>
                <w:color w:val="auto"/>
                <w:sz w:val="24"/>
                <w:highlight w:val="none"/>
              </w:rPr>
            </w:pPr>
          </w:p>
        </w:tc>
      </w:tr>
      <w:tr w14:paraId="00BE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4" w:type="dxa"/>
            <w:vAlign w:val="center"/>
          </w:tcPr>
          <w:p w14:paraId="1CF4F558">
            <w:pPr>
              <w:jc w:val="center"/>
              <w:rPr>
                <w:rFonts w:ascii="宋体" w:hAnsi="宋体" w:cs="宋体"/>
                <w:color w:val="auto"/>
                <w:sz w:val="24"/>
                <w:highlight w:val="none"/>
              </w:rPr>
            </w:pPr>
            <w:r>
              <w:rPr>
                <w:rFonts w:hint="eastAsia" w:ascii="宋体" w:hAnsi="宋体" w:cs="宋体"/>
                <w:color w:val="auto"/>
                <w:sz w:val="24"/>
                <w:highlight w:val="none"/>
              </w:rPr>
              <w:t>9</w:t>
            </w:r>
          </w:p>
        </w:tc>
        <w:tc>
          <w:tcPr>
            <w:tcW w:w="3550" w:type="dxa"/>
            <w:vAlign w:val="center"/>
          </w:tcPr>
          <w:p w14:paraId="0B325514">
            <w:pPr>
              <w:jc w:val="center"/>
              <w:rPr>
                <w:rFonts w:ascii="宋体" w:hAnsi="宋体" w:cs="宋体"/>
                <w:color w:val="auto"/>
                <w:sz w:val="24"/>
                <w:highlight w:val="none"/>
              </w:rPr>
            </w:pPr>
          </w:p>
        </w:tc>
        <w:tc>
          <w:tcPr>
            <w:tcW w:w="3200" w:type="dxa"/>
            <w:vAlign w:val="center"/>
          </w:tcPr>
          <w:p w14:paraId="63E1A44A">
            <w:pPr>
              <w:jc w:val="center"/>
              <w:rPr>
                <w:rFonts w:ascii="宋体" w:hAnsi="宋体" w:cs="宋体"/>
                <w:color w:val="auto"/>
                <w:sz w:val="24"/>
                <w:highlight w:val="none"/>
              </w:rPr>
            </w:pPr>
          </w:p>
        </w:tc>
        <w:tc>
          <w:tcPr>
            <w:tcW w:w="916" w:type="dxa"/>
            <w:vAlign w:val="center"/>
          </w:tcPr>
          <w:p w14:paraId="4C09AC39">
            <w:pPr>
              <w:jc w:val="center"/>
              <w:rPr>
                <w:rFonts w:ascii="宋体" w:hAnsi="宋体" w:cs="宋体"/>
                <w:color w:val="auto"/>
                <w:sz w:val="24"/>
                <w:highlight w:val="none"/>
              </w:rPr>
            </w:pPr>
          </w:p>
        </w:tc>
        <w:tc>
          <w:tcPr>
            <w:tcW w:w="1219" w:type="dxa"/>
            <w:vAlign w:val="center"/>
          </w:tcPr>
          <w:p w14:paraId="0945D7E8">
            <w:pPr>
              <w:jc w:val="center"/>
              <w:rPr>
                <w:rFonts w:ascii="宋体" w:hAnsi="宋体" w:cs="宋体"/>
                <w:color w:val="auto"/>
                <w:sz w:val="24"/>
                <w:highlight w:val="none"/>
              </w:rPr>
            </w:pPr>
          </w:p>
        </w:tc>
      </w:tr>
      <w:tr w14:paraId="72EC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34" w:type="dxa"/>
            <w:vAlign w:val="center"/>
          </w:tcPr>
          <w:p w14:paraId="4FAB6C4E">
            <w:pPr>
              <w:jc w:val="center"/>
              <w:rPr>
                <w:rFonts w:ascii="宋体" w:hAnsi="宋体" w:cs="宋体"/>
                <w:color w:val="auto"/>
                <w:sz w:val="24"/>
                <w:highlight w:val="none"/>
              </w:rPr>
            </w:pPr>
            <w:r>
              <w:rPr>
                <w:rFonts w:hint="eastAsia" w:ascii="宋体" w:hAnsi="宋体" w:cs="宋体"/>
                <w:color w:val="auto"/>
                <w:sz w:val="24"/>
                <w:highlight w:val="none"/>
              </w:rPr>
              <w:t>10</w:t>
            </w:r>
          </w:p>
        </w:tc>
        <w:tc>
          <w:tcPr>
            <w:tcW w:w="3550" w:type="dxa"/>
            <w:vAlign w:val="center"/>
          </w:tcPr>
          <w:p w14:paraId="5560FF8E">
            <w:pPr>
              <w:jc w:val="center"/>
              <w:rPr>
                <w:rFonts w:ascii="宋体" w:hAnsi="宋体" w:cs="宋体"/>
                <w:color w:val="auto"/>
                <w:sz w:val="24"/>
                <w:highlight w:val="none"/>
              </w:rPr>
            </w:pPr>
          </w:p>
        </w:tc>
        <w:tc>
          <w:tcPr>
            <w:tcW w:w="3200" w:type="dxa"/>
            <w:vAlign w:val="center"/>
          </w:tcPr>
          <w:p w14:paraId="69156942">
            <w:pPr>
              <w:jc w:val="center"/>
              <w:rPr>
                <w:rFonts w:ascii="宋体" w:hAnsi="宋体" w:cs="宋体"/>
                <w:color w:val="auto"/>
                <w:sz w:val="24"/>
                <w:highlight w:val="none"/>
              </w:rPr>
            </w:pPr>
          </w:p>
        </w:tc>
        <w:tc>
          <w:tcPr>
            <w:tcW w:w="916" w:type="dxa"/>
            <w:vAlign w:val="center"/>
          </w:tcPr>
          <w:p w14:paraId="148366FD">
            <w:pPr>
              <w:jc w:val="center"/>
              <w:rPr>
                <w:rFonts w:ascii="宋体" w:hAnsi="宋体" w:cs="宋体"/>
                <w:color w:val="auto"/>
                <w:sz w:val="24"/>
                <w:highlight w:val="none"/>
              </w:rPr>
            </w:pPr>
          </w:p>
        </w:tc>
        <w:tc>
          <w:tcPr>
            <w:tcW w:w="1219" w:type="dxa"/>
            <w:vAlign w:val="center"/>
          </w:tcPr>
          <w:p w14:paraId="3893181C">
            <w:pPr>
              <w:jc w:val="center"/>
              <w:rPr>
                <w:rFonts w:ascii="宋体" w:hAnsi="宋体" w:cs="宋体"/>
                <w:color w:val="auto"/>
                <w:sz w:val="24"/>
                <w:highlight w:val="none"/>
              </w:rPr>
            </w:pPr>
          </w:p>
        </w:tc>
      </w:tr>
      <w:tr w14:paraId="094C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4" w:type="dxa"/>
            <w:vAlign w:val="center"/>
          </w:tcPr>
          <w:p w14:paraId="0FC6C6B1">
            <w:pPr>
              <w:jc w:val="center"/>
              <w:rPr>
                <w:rFonts w:ascii="宋体" w:hAnsi="宋体" w:cs="宋体"/>
                <w:color w:val="auto"/>
                <w:sz w:val="24"/>
                <w:highlight w:val="none"/>
              </w:rPr>
            </w:pPr>
            <w:r>
              <w:rPr>
                <w:rFonts w:hint="eastAsia" w:ascii="宋体" w:hAnsi="宋体" w:cs="宋体"/>
                <w:color w:val="auto"/>
                <w:sz w:val="24"/>
                <w:highlight w:val="none"/>
              </w:rPr>
              <w:t>11</w:t>
            </w:r>
          </w:p>
        </w:tc>
        <w:tc>
          <w:tcPr>
            <w:tcW w:w="3550" w:type="dxa"/>
            <w:vAlign w:val="center"/>
          </w:tcPr>
          <w:p w14:paraId="1879C3E5">
            <w:pPr>
              <w:jc w:val="center"/>
              <w:rPr>
                <w:rFonts w:ascii="宋体" w:hAnsi="宋体" w:cs="宋体"/>
                <w:color w:val="auto"/>
                <w:sz w:val="24"/>
                <w:highlight w:val="none"/>
              </w:rPr>
            </w:pPr>
          </w:p>
        </w:tc>
        <w:tc>
          <w:tcPr>
            <w:tcW w:w="3200" w:type="dxa"/>
            <w:vAlign w:val="center"/>
          </w:tcPr>
          <w:p w14:paraId="35DD5AD8">
            <w:pPr>
              <w:jc w:val="center"/>
              <w:rPr>
                <w:rFonts w:ascii="宋体" w:hAnsi="宋体" w:cs="宋体"/>
                <w:color w:val="auto"/>
                <w:sz w:val="24"/>
                <w:highlight w:val="none"/>
              </w:rPr>
            </w:pPr>
          </w:p>
        </w:tc>
        <w:tc>
          <w:tcPr>
            <w:tcW w:w="916" w:type="dxa"/>
            <w:vAlign w:val="center"/>
          </w:tcPr>
          <w:p w14:paraId="7ADFF69F">
            <w:pPr>
              <w:jc w:val="center"/>
              <w:rPr>
                <w:rFonts w:ascii="宋体" w:hAnsi="宋体" w:cs="宋体"/>
                <w:color w:val="auto"/>
                <w:sz w:val="24"/>
                <w:highlight w:val="none"/>
              </w:rPr>
            </w:pPr>
          </w:p>
        </w:tc>
        <w:tc>
          <w:tcPr>
            <w:tcW w:w="1219" w:type="dxa"/>
            <w:vAlign w:val="center"/>
          </w:tcPr>
          <w:p w14:paraId="0AB46025">
            <w:pPr>
              <w:jc w:val="center"/>
              <w:rPr>
                <w:rFonts w:ascii="宋体" w:hAnsi="宋体" w:cs="宋体"/>
                <w:color w:val="auto"/>
                <w:sz w:val="24"/>
                <w:highlight w:val="none"/>
              </w:rPr>
            </w:pPr>
          </w:p>
        </w:tc>
      </w:tr>
      <w:tr w14:paraId="2363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34" w:type="dxa"/>
            <w:vAlign w:val="center"/>
          </w:tcPr>
          <w:p w14:paraId="238D1C21">
            <w:pPr>
              <w:jc w:val="center"/>
              <w:rPr>
                <w:rFonts w:ascii="宋体" w:hAnsi="宋体" w:cs="宋体"/>
                <w:color w:val="auto"/>
                <w:sz w:val="24"/>
                <w:highlight w:val="none"/>
              </w:rPr>
            </w:pPr>
            <w:r>
              <w:rPr>
                <w:rFonts w:hint="eastAsia" w:ascii="宋体" w:hAnsi="宋体" w:cs="宋体"/>
                <w:color w:val="auto"/>
                <w:sz w:val="24"/>
                <w:highlight w:val="none"/>
              </w:rPr>
              <w:t>……</w:t>
            </w:r>
          </w:p>
        </w:tc>
        <w:tc>
          <w:tcPr>
            <w:tcW w:w="3550" w:type="dxa"/>
            <w:vAlign w:val="center"/>
          </w:tcPr>
          <w:p w14:paraId="63A0683B">
            <w:pPr>
              <w:jc w:val="center"/>
              <w:rPr>
                <w:rFonts w:ascii="宋体" w:hAnsi="宋体" w:cs="宋体"/>
                <w:color w:val="auto"/>
                <w:sz w:val="24"/>
                <w:highlight w:val="none"/>
              </w:rPr>
            </w:pPr>
          </w:p>
        </w:tc>
        <w:tc>
          <w:tcPr>
            <w:tcW w:w="3200" w:type="dxa"/>
            <w:vAlign w:val="center"/>
          </w:tcPr>
          <w:p w14:paraId="673E6DF9">
            <w:pPr>
              <w:jc w:val="center"/>
              <w:rPr>
                <w:rFonts w:ascii="宋体" w:hAnsi="宋体" w:cs="宋体"/>
                <w:color w:val="auto"/>
                <w:sz w:val="24"/>
                <w:highlight w:val="none"/>
              </w:rPr>
            </w:pPr>
          </w:p>
        </w:tc>
        <w:tc>
          <w:tcPr>
            <w:tcW w:w="916" w:type="dxa"/>
            <w:vAlign w:val="center"/>
          </w:tcPr>
          <w:p w14:paraId="75AAB55F">
            <w:pPr>
              <w:jc w:val="center"/>
              <w:rPr>
                <w:rFonts w:ascii="宋体" w:hAnsi="宋体" w:cs="宋体"/>
                <w:color w:val="auto"/>
                <w:sz w:val="24"/>
                <w:highlight w:val="none"/>
              </w:rPr>
            </w:pPr>
          </w:p>
        </w:tc>
        <w:tc>
          <w:tcPr>
            <w:tcW w:w="1219" w:type="dxa"/>
            <w:vAlign w:val="center"/>
          </w:tcPr>
          <w:p w14:paraId="5E033229">
            <w:pPr>
              <w:jc w:val="center"/>
              <w:rPr>
                <w:rFonts w:ascii="宋体" w:hAnsi="宋体" w:cs="宋体"/>
                <w:color w:val="auto"/>
                <w:sz w:val="24"/>
                <w:highlight w:val="none"/>
              </w:rPr>
            </w:pPr>
          </w:p>
        </w:tc>
      </w:tr>
    </w:tbl>
    <w:p w14:paraId="54CF2E7E">
      <w:pPr>
        <w:rPr>
          <w:rFonts w:ascii="宋体" w:hAnsi="宋体" w:cs="宋体"/>
          <w:color w:val="auto"/>
          <w:sz w:val="24"/>
          <w:highlight w:val="none"/>
        </w:rPr>
      </w:pPr>
    </w:p>
    <w:p w14:paraId="051F267E">
      <w:pPr>
        <w:rPr>
          <w:rFonts w:ascii="宋体" w:hAnsi="宋体" w:cs="宋体"/>
          <w:color w:val="auto"/>
          <w:sz w:val="24"/>
          <w:highlight w:val="none"/>
        </w:rPr>
      </w:pPr>
    </w:p>
    <w:p w14:paraId="6D31F774">
      <w:pPr>
        <w:rPr>
          <w:rFonts w:ascii="宋体" w:hAnsi="宋体" w:cs="宋体"/>
          <w:color w:val="auto"/>
          <w:sz w:val="24"/>
          <w:highlight w:val="none"/>
        </w:rPr>
      </w:pPr>
    </w:p>
    <w:p w14:paraId="099AC895">
      <w:pPr>
        <w:rPr>
          <w:rFonts w:ascii="宋体" w:hAnsi="宋体" w:cs="宋体"/>
          <w:color w:val="auto"/>
          <w:sz w:val="24"/>
          <w:highlight w:val="none"/>
        </w:rPr>
      </w:pPr>
      <w:r>
        <w:rPr>
          <w:rFonts w:hint="eastAsia" w:ascii="宋体" w:hAnsi="宋体" w:cs="宋体"/>
          <w:color w:val="auto"/>
          <w:sz w:val="24"/>
          <w:highlight w:val="none"/>
        </w:rPr>
        <w:t>投标人名称（盖章）：                         年   月    日</w:t>
      </w:r>
    </w:p>
    <w:p w14:paraId="0A9C2A9D">
      <w:pPr>
        <w:pStyle w:val="3"/>
        <w:keepNext w:val="0"/>
        <w:keepLines w:val="0"/>
        <w:pageBreakBefore/>
        <w:rPr>
          <w:rFonts w:ascii="宋体" w:hAnsi="宋体" w:eastAsia="宋体" w:cs="宋体"/>
          <w:b w:val="0"/>
          <w:color w:val="auto"/>
          <w:sz w:val="24"/>
          <w:szCs w:val="24"/>
          <w:highlight w:val="none"/>
        </w:rPr>
      </w:pPr>
      <w:bookmarkStart w:id="72" w:name="_Toc31392"/>
      <w:r>
        <w:rPr>
          <w:rFonts w:hint="eastAsia" w:ascii="宋体" w:hAnsi="宋体" w:eastAsia="宋体" w:cs="宋体"/>
          <w:b w:val="0"/>
          <w:color w:val="auto"/>
          <w:sz w:val="24"/>
          <w:szCs w:val="24"/>
          <w:highlight w:val="none"/>
        </w:rPr>
        <w:t>附件八：商务响应表</w:t>
      </w:r>
      <w:bookmarkEnd w:id="72"/>
    </w:p>
    <w:p w14:paraId="68585040">
      <w:pPr>
        <w:snapToGrid w:val="0"/>
        <w:spacing w:line="360" w:lineRule="auto"/>
        <w:jc w:val="center"/>
        <w:rPr>
          <w:rFonts w:ascii="宋体" w:hAnsi="宋体" w:cs="宋体"/>
          <w:b/>
          <w:color w:val="auto"/>
          <w:kern w:val="0"/>
          <w:sz w:val="32"/>
          <w:szCs w:val="32"/>
          <w:highlight w:val="none"/>
        </w:rPr>
      </w:pPr>
      <w:bookmarkStart w:id="73" w:name="_Toc496598991"/>
      <w:r>
        <w:rPr>
          <w:rFonts w:hint="eastAsia" w:ascii="宋体" w:hAnsi="宋体" w:cs="宋体"/>
          <w:b/>
          <w:color w:val="auto"/>
          <w:kern w:val="0"/>
          <w:sz w:val="32"/>
          <w:szCs w:val="32"/>
          <w:highlight w:val="none"/>
        </w:rPr>
        <w:t>商务响应表</w:t>
      </w:r>
    </w:p>
    <w:p w14:paraId="700D6DC2">
      <w:pPr>
        <w:snapToGrid w:val="0"/>
        <w:spacing w:before="50" w:after="120" w:afterLines="50"/>
        <w:jc w:val="left"/>
        <w:rPr>
          <w:rFonts w:ascii="宋体" w:hAnsi="宋体" w:cs="宋体"/>
          <w:color w:val="auto"/>
          <w:sz w:val="24"/>
          <w:highlight w:val="none"/>
          <w:u w:val="single"/>
        </w:rPr>
      </w:pPr>
    </w:p>
    <w:tbl>
      <w:tblPr>
        <w:tblStyle w:val="2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3"/>
        <w:gridCol w:w="2969"/>
        <w:gridCol w:w="1386"/>
        <w:gridCol w:w="3321"/>
      </w:tblGrid>
      <w:tr w14:paraId="3107D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16531AD5">
            <w:pPr>
              <w:jc w:val="center"/>
              <w:rPr>
                <w:rFonts w:ascii="宋体" w:hAnsi="宋体" w:cs="宋体"/>
                <w:color w:val="auto"/>
                <w:sz w:val="24"/>
                <w:highlight w:val="none"/>
              </w:rPr>
            </w:pPr>
            <w:r>
              <w:rPr>
                <w:rFonts w:hint="eastAsia" w:ascii="宋体" w:hAnsi="宋体" w:cs="宋体"/>
                <w:color w:val="auto"/>
                <w:sz w:val="24"/>
                <w:highlight w:val="none"/>
              </w:rPr>
              <w:t>项目</w:t>
            </w:r>
          </w:p>
        </w:tc>
        <w:tc>
          <w:tcPr>
            <w:tcW w:w="2969" w:type="dxa"/>
            <w:tcBorders>
              <w:top w:val="single" w:color="auto" w:sz="4" w:space="0"/>
              <w:left w:val="single" w:color="auto" w:sz="4" w:space="0"/>
              <w:bottom w:val="single" w:color="auto" w:sz="4" w:space="0"/>
              <w:right w:val="single" w:color="auto" w:sz="4" w:space="0"/>
            </w:tcBorders>
            <w:vAlign w:val="center"/>
          </w:tcPr>
          <w:p w14:paraId="18FB6372">
            <w:pPr>
              <w:jc w:val="center"/>
              <w:rPr>
                <w:rFonts w:ascii="宋体" w:hAnsi="宋体" w:cs="宋体"/>
                <w:color w:val="auto"/>
                <w:sz w:val="24"/>
                <w:highlight w:val="none"/>
              </w:rPr>
            </w:pPr>
            <w:r>
              <w:rPr>
                <w:rFonts w:hint="eastAsia" w:ascii="宋体" w:hAnsi="宋体" w:cs="宋体"/>
                <w:color w:val="auto"/>
                <w:sz w:val="24"/>
                <w:highlight w:val="none"/>
              </w:rPr>
              <w:t>招标文件要求</w:t>
            </w:r>
          </w:p>
        </w:tc>
        <w:tc>
          <w:tcPr>
            <w:tcW w:w="1386" w:type="dxa"/>
            <w:tcBorders>
              <w:top w:val="single" w:color="auto" w:sz="4" w:space="0"/>
              <w:left w:val="single" w:color="auto" w:sz="4" w:space="0"/>
              <w:bottom w:val="single" w:color="auto" w:sz="4" w:space="0"/>
              <w:right w:val="single" w:color="auto" w:sz="4" w:space="0"/>
            </w:tcBorders>
            <w:vAlign w:val="center"/>
          </w:tcPr>
          <w:p w14:paraId="139C827F">
            <w:pPr>
              <w:jc w:val="center"/>
              <w:rPr>
                <w:rFonts w:ascii="宋体" w:hAnsi="宋体" w:cs="宋体"/>
                <w:color w:val="auto"/>
                <w:sz w:val="24"/>
                <w:highlight w:val="none"/>
              </w:rPr>
            </w:pPr>
            <w:r>
              <w:rPr>
                <w:rFonts w:hint="eastAsia" w:ascii="宋体" w:hAnsi="宋体" w:cs="宋体"/>
                <w:color w:val="auto"/>
                <w:sz w:val="24"/>
                <w:highlight w:val="none"/>
              </w:rPr>
              <w:t>响应及偏离情况</w:t>
            </w:r>
          </w:p>
        </w:tc>
        <w:tc>
          <w:tcPr>
            <w:tcW w:w="3321" w:type="dxa"/>
            <w:tcBorders>
              <w:top w:val="single" w:color="auto" w:sz="4" w:space="0"/>
              <w:left w:val="single" w:color="auto" w:sz="4" w:space="0"/>
              <w:bottom w:val="single" w:color="auto" w:sz="4" w:space="0"/>
              <w:right w:val="single" w:color="auto" w:sz="4" w:space="0"/>
            </w:tcBorders>
            <w:vAlign w:val="center"/>
          </w:tcPr>
          <w:p w14:paraId="31712C1A">
            <w:pPr>
              <w:jc w:val="center"/>
              <w:rPr>
                <w:rFonts w:ascii="宋体" w:hAnsi="宋体" w:cs="宋体"/>
                <w:color w:val="auto"/>
                <w:sz w:val="24"/>
                <w:highlight w:val="none"/>
              </w:rPr>
            </w:pPr>
            <w:r>
              <w:rPr>
                <w:rFonts w:hint="eastAsia" w:ascii="宋体" w:hAnsi="宋体" w:cs="宋体"/>
                <w:color w:val="auto"/>
                <w:sz w:val="24"/>
                <w:highlight w:val="none"/>
              </w:rPr>
              <w:t>投标人的承诺或说明</w:t>
            </w:r>
          </w:p>
        </w:tc>
      </w:tr>
      <w:tr w14:paraId="25134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37AFF855">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87ACFC1">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176DBE0">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E32CA9E">
            <w:pPr>
              <w:rPr>
                <w:rFonts w:ascii="宋体" w:hAnsi="宋体" w:cs="宋体"/>
                <w:color w:val="auto"/>
                <w:sz w:val="24"/>
                <w:highlight w:val="none"/>
              </w:rPr>
            </w:pPr>
          </w:p>
        </w:tc>
      </w:tr>
      <w:tr w14:paraId="443BF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045B4164">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9E75D4E">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08DF8706">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C4AB09D">
            <w:pPr>
              <w:rPr>
                <w:rFonts w:ascii="宋体" w:hAnsi="宋体" w:cs="宋体"/>
                <w:color w:val="auto"/>
                <w:sz w:val="24"/>
                <w:highlight w:val="none"/>
              </w:rPr>
            </w:pPr>
          </w:p>
        </w:tc>
      </w:tr>
      <w:tr w14:paraId="08D5E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2D9619C">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5FDE07BE">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4EA98432">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0CBBA60">
            <w:pPr>
              <w:rPr>
                <w:rFonts w:ascii="宋体" w:hAnsi="宋体" w:cs="宋体"/>
                <w:color w:val="auto"/>
                <w:sz w:val="24"/>
                <w:highlight w:val="none"/>
              </w:rPr>
            </w:pPr>
          </w:p>
        </w:tc>
      </w:tr>
      <w:tr w14:paraId="0412F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F7F0BE3">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0A644AA3">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0D7AA3D1">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85545DF">
            <w:pPr>
              <w:rPr>
                <w:rFonts w:ascii="宋体" w:hAnsi="宋体" w:cs="宋体"/>
                <w:color w:val="auto"/>
                <w:sz w:val="24"/>
                <w:highlight w:val="none"/>
              </w:rPr>
            </w:pPr>
          </w:p>
        </w:tc>
      </w:tr>
      <w:tr w14:paraId="450BE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703" w:type="dxa"/>
            <w:tcBorders>
              <w:top w:val="single" w:color="auto" w:sz="4" w:space="0"/>
              <w:left w:val="single" w:color="auto" w:sz="4" w:space="0"/>
              <w:bottom w:val="single" w:color="auto" w:sz="4" w:space="0"/>
              <w:right w:val="single" w:color="auto" w:sz="4" w:space="0"/>
            </w:tcBorders>
            <w:vAlign w:val="center"/>
          </w:tcPr>
          <w:p w14:paraId="2B08D924">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F0F9C7B">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C2E2519">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19588DA4">
            <w:pPr>
              <w:rPr>
                <w:rFonts w:ascii="宋体" w:hAnsi="宋体" w:cs="宋体"/>
                <w:color w:val="auto"/>
                <w:sz w:val="24"/>
                <w:highlight w:val="none"/>
              </w:rPr>
            </w:pPr>
          </w:p>
        </w:tc>
      </w:tr>
      <w:tr w14:paraId="0E6FC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F0BDC91">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0FFBC192">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F1081AE">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3EA52F34">
            <w:pPr>
              <w:rPr>
                <w:rFonts w:ascii="宋体" w:hAnsi="宋体" w:cs="宋体"/>
                <w:color w:val="auto"/>
                <w:sz w:val="24"/>
                <w:highlight w:val="none"/>
              </w:rPr>
            </w:pPr>
          </w:p>
        </w:tc>
      </w:tr>
      <w:tr w14:paraId="2270D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77E5E30F">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2E34FCAE">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27246655">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6C1FD70F">
            <w:pPr>
              <w:rPr>
                <w:rFonts w:ascii="宋体" w:hAnsi="宋体" w:cs="宋体"/>
                <w:color w:val="auto"/>
                <w:sz w:val="24"/>
                <w:highlight w:val="none"/>
              </w:rPr>
            </w:pPr>
          </w:p>
        </w:tc>
      </w:tr>
      <w:tr w14:paraId="195CD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40A19AC9">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62A53C8E">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7AE09FED">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737CCF39">
            <w:pPr>
              <w:rPr>
                <w:rFonts w:ascii="宋体" w:hAnsi="宋体" w:cs="宋体"/>
                <w:color w:val="auto"/>
                <w:sz w:val="24"/>
                <w:highlight w:val="none"/>
              </w:rPr>
            </w:pPr>
          </w:p>
        </w:tc>
      </w:tr>
      <w:tr w14:paraId="0C29A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68317C36">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403A09F4">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53C3EC8B">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2716930C">
            <w:pPr>
              <w:rPr>
                <w:rFonts w:ascii="宋体" w:hAnsi="宋体" w:cs="宋体"/>
                <w:color w:val="auto"/>
                <w:sz w:val="24"/>
                <w:highlight w:val="none"/>
              </w:rPr>
            </w:pPr>
          </w:p>
        </w:tc>
      </w:tr>
      <w:tr w14:paraId="2E69B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03" w:type="dxa"/>
            <w:tcBorders>
              <w:top w:val="single" w:color="auto" w:sz="4" w:space="0"/>
              <w:left w:val="single" w:color="auto" w:sz="4" w:space="0"/>
              <w:bottom w:val="single" w:color="auto" w:sz="4" w:space="0"/>
              <w:right w:val="single" w:color="auto" w:sz="4" w:space="0"/>
            </w:tcBorders>
            <w:vAlign w:val="center"/>
          </w:tcPr>
          <w:p w14:paraId="221DD848">
            <w:pPr>
              <w:rPr>
                <w:rFonts w:ascii="宋体" w:hAnsi="宋体" w:cs="宋体"/>
                <w:color w:val="auto"/>
                <w:sz w:val="24"/>
                <w:highlight w:val="none"/>
              </w:rPr>
            </w:pPr>
          </w:p>
        </w:tc>
        <w:tc>
          <w:tcPr>
            <w:tcW w:w="2969" w:type="dxa"/>
            <w:tcBorders>
              <w:top w:val="single" w:color="auto" w:sz="4" w:space="0"/>
              <w:left w:val="single" w:color="auto" w:sz="4" w:space="0"/>
              <w:bottom w:val="single" w:color="auto" w:sz="4" w:space="0"/>
              <w:right w:val="single" w:color="auto" w:sz="4" w:space="0"/>
            </w:tcBorders>
          </w:tcPr>
          <w:p w14:paraId="107FD5C5">
            <w:pPr>
              <w:rPr>
                <w:rFonts w:ascii="宋体" w:hAnsi="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tcPr>
          <w:p w14:paraId="6D4A180F">
            <w:pPr>
              <w:rPr>
                <w:rFonts w:ascii="宋体" w:hAnsi="宋体" w:cs="宋体"/>
                <w:color w:val="auto"/>
                <w:sz w:val="24"/>
                <w:highlight w:val="none"/>
              </w:rPr>
            </w:pPr>
          </w:p>
        </w:tc>
        <w:tc>
          <w:tcPr>
            <w:tcW w:w="3321" w:type="dxa"/>
            <w:tcBorders>
              <w:top w:val="single" w:color="auto" w:sz="4" w:space="0"/>
              <w:left w:val="single" w:color="auto" w:sz="4" w:space="0"/>
              <w:bottom w:val="single" w:color="auto" w:sz="4" w:space="0"/>
              <w:right w:val="single" w:color="auto" w:sz="4" w:space="0"/>
            </w:tcBorders>
          </w:tcPr>
          <w:p w14:paraId="0DF53058">
            <w:pPr>
              <w:rPr>
                <w:rFonts w:ascii="宋体" w:hAnsi="宋体" w:cs="宋体"/>
                <w:color w:val="auto"/>
                <w:sz w:val="24"/>
                <w:highlight w:val="none"/>
              </w:rPr>
            </w:pPr>
          </w:p>
        </w:tc>
      </w:tr>
    </w:tbl>
    <w:p w14:paraId="63A9F2FD">
      <w:pPr>
        <w:snapToGrid w:val="0"/>
        <w:spacing w:before="120" w:beforeLines="50"/>
        <w:rPr>
          <w:rFonts w:ascii="宋体" w:hAnsi="宋体" w:cs="宋体"/>
          <w:color w:val="auto"/>
          <w:sz w:val="24"/>
          <w:highlight w:val="none"/>
        </w:rPr>
      </w:pPr>
    </w:p>
    <w:p w14:paraId="2DF1680C">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6E6A7F09">
      <w:pPr>
        <w:snapToGrid w:val="0"/>
        <w:spacing w:before="120" w:beforeLines="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3EA22428">
      <w:pPr>
        <w:rPr>
          <w:rFonts w:ascii="宋体" w:hAnsi="宋体" w:cs="宋体"/>
          <w:color w:val="auto"/>
          <w:sz w:val="24"/>
          <w:highlight w:val="none"/>
        </w:rPr>
      </w:pPr>
    </w:p>
    <w:p w14:paraId="3D16CBCC">
      <w:pPr>
        <w:pStyle w:val="3"/>
        <w:keepNext w:val="0"/>
        <w:keepLines w:val="0"/>
        <w:pageBreakBefore/>
        <w:spacing w:line="415" w:lineRule="auto"/>
        <w:rPr>
          <w:rFonts w:ascii="宋体" w:hAnsi="宋体" w:eastAsia="宋体" w:cs="宋体"/>
          <w:b w:val="0"/>
          <w:bCs w:val="0"/>
          <w:color w:val="auto"/>
          <w:sz w:val="24"/>
          <w:szCs w:val="24"/>
          <w:highlight w:val="none"/>
        </w:rPr>
      </w:pPr>
      <w:bookmarkStart w:id="74" w:name="_Toc5301"/>
      <w:r>
        <w:rPr>
          <w:rFonts w:hint="eastAsia" w:ascii="宋体" w:hAnsi="宋体" w:eastAsia="宋体" w:cs="宋体"/>
          <w:b w:val="0"/>
          <w:bCs w:val="0"/>
          <w:color w:val="auto"/>
          <w:sz w:val="24"/>
          <w:szCs w:val="24"/>
          <w:highlight w:val="none"/>
        </w:rPr>
        <w:t>附件九：</w:t>
      </w:r>
      <w:bookmarkEnd w:id="73"/>
      <w:r>
        <w:rPr>
          <w:rFonts w:hint="eastAsia" w:ascii="宋体" w:hAnsi="宋体" w:eastAsia="宋体" w:cs="宋体"/>
          <w:b w:val="0"/>
          <w:bCs w:val="0"/>
          <w:color w:val="auto"/>
          <w:sz w:val="24"/>
          <w:szCs w:val="24"/>
          <w:highlight w:val="none"/>
        </w:rPr>
        <w:t>技术响应表</w:t>
      </w:r>
      <w:bookmarkEnd w:id="74"/>
    </w:p>
    <w:p w14:paraId="289B2B89">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技术响应表</w:t>
      </w:r>
    </w:p>
    <w:p w14:paraId="71F2FFB0">
      <w:pPr>
        <w:snapToGrid w:val="0"/>
        <w:spacing w:before="50" w:after="120" w:afterLines="50"/>
        <w:jc w:val="left"/>
        <w:rPr>
          <w:rFonts w:ascii="宋体" w:hAnsi="宋体" w:cs="宋体"/>
          <w:color w:val="auto"/>
          <w:sz w:val="24"/>
          <w:highlight w:val="none"/>
        </w:rPr>
      </w:pPr>
      <w:r>
        <w:rPr>
          <w:rFonts w:hint="eastAsia" w:ascii="宋体" w:hAnsi="宋体" w:cs="宋体"/>
          <w:color w:val="auto"/>
          <w:sz w:val="24"/>
          <w:highlight w:val="none"/>
        </w:rPr>
        <w:t>招标编号：</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14:paraId="021B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3BC4894">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004" w:type="dxa"/>
            <w:tcBorders>
              <w:top w:val="single" w:color="auto" w:sz="4" w:space="0"/>
              <w:left w:val="single" w:color="auto" w:sz="4" w:space="0"/>
              <w:bottom w:val="single" w:color="auto" w:sz="4" w:space="0"/>
              <w:right w:val="single" w:color="auto" w:sz="4" w:space="0"/>
            </w:tcBorders>
            <w:vAlign w:val="center"/>
          </w:tcPr>
          <w:p w14:paraId="50ECE126">
            <w:pPr>
              <w:jc w:val="center"/>
              <w:rPr>
                <w:rFonts w:ascii="宋体" w:hAnsi="宋体" w:cs="宋体"/>
                <w:color w:val="auto"/>
                <w:sz w:val="24"/>
                <w:highlight w:val="none"/>
              </w:rPr>
            </w:pPr>
            <w:r>
              <w:rPr>
                <w:rFonts w:hint="eastAsia" w:ascii="宋体" w:hAnsi="宋体" w:cs="宋体"/>
                <w:color w:val="auto"/>
                <w:sz w:val="24"/>
                <w:highlight w:val="none"/>
              </w:rPr>
              <w:t>内  容</w:t>
            </w:r>
          </w:p>
        </w:tc>
        <w:tc>
          <w:tcPr>
            <w:tcW w:w="2113" w:type="dxa"/>
            <w:tcBorders>
              <w:top w:val="single" w:color="auto" w:sz="4" w:space="0"/>
              <w:left w:val="single" w:color="auto" w:sz="4" w:space="0"/>
              <w:bottom w:val="single" w:color="auto" w:sz="4" w:space="0"/>
              <w:right w:val="single" w:color="auto" w:sz="4" w:space="0"/>
            </w:tcBorders>
            <w:vAlign w:val="center"/>
          </w:tcPr>
          <w:p w14:paraId="64693B98">
            <w:pPr>
              <w:jc w:val="center"/>
              <w:rPr>
                <w:rFonts w:ascii="宋体" w:hAnsi="宋体" w:cs="宋体"/>
                <w:color w:val="auto"/>
                <w:sz w:val="24"/>
                <w:highlight w:val="none"/>
              </w:rPr>
            </w:pPr>
            <w:r>
              <w:rPr>
                <w:rFonts w:hint="eastAsia" w:ascii="宋体" w:hAnsi="宋体" w:cs="宋体"/>
                <w:color w:val="auto"/>
                <w:sz w:val="24"/>
                <w:highlight w:val="none"/>
              </w:rPr>
              <w:t>招标文件</w:t>
            </w:r>
          </w:p>
          <w:p w14:paraId="5E4880BD">
            <w:pPr>
              <w:jc w:val="center"/>
              <w:rPr>
                <w:rFonts w:ascii="宋体" w:hAnsi="宋体" w:cs="宋体"/>
                <w:color w:val="auto"/>
                <w:sz w:val="24"/>
                <w:highlight w:val="none"/>
              </w:rPr>
            </w:pPr>
            <w:r>
              <w:rPr>
                <w:rFonts w:hint="eastAsia" w:ascii="宋体" w:hAnsi="宋体" w:cs="宋体"/>
                <w:color w:val="auto"/>
                <w:sz w:val="24"/>
                <w:highlight w:val="none"/>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14:paraId="26D9E7C1">
            <w:pPr>
              <w:jc w:val="center"/>
              <w:rPr>
                <w:rFonts w:ascii="宋体" w:hAnsi="宋体" w:cs="宋体"/>
                <w:color w:val="auto"/>
                <w:sz w:val="24"/>
                <w:highlight w:val="none"/>
              </w:rPr>
            </w:pPr>
            <w:r>
              <w:rPr>
                <w:rFonts w:hint="eastAsia" w:ascii="宋体" w:hAnsi="宋体" w:cs="宋体"/>
                <w:color w:val="auto"/>
                <w:sz w:val="24"/>
                <w:highlight w:val="none"/>
              </w:rPr>
              <w:t>投标文件</w:t>
            </w:r>
          </w:p>
          <w:p w14:paraId="063C1F81">
            <w:pPr>
              <w:jc w:val="center"/>
              <w:rPr>
                <w:rFonts w:ascii="宋体" w:hAnsi="宋体" w:cs="宋体"/>
                <w:color w:val="auto"/>
                <w:sz w:val="24"/>
                <w:highlight w:val="none"/>
              </w:rPr>
            </w:pPr>
            <w:r>
              <w:rPr>
                <w:rFonts w:hint="eastAsia" w:ascii="宋体" w:hAnsi="宋体" w:cs="宋体"/>
                <w:color w:val="auto"/>
                <w:sz w:val="24"/>
                <w:highlight w:val="none"/>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14:paraId="2B2CC7C3">
            <w:pPr>
              <w:jc w:val="center"/>
              <w:rPr>
                <w:rFonts w:ascii="宋体" w:hAnsi="宋体" w:cs="宋体"/>
                <w:color w:val="auto"/>
                <w:sz w:val="24"/>
                <w:highlight w:val="none"/>
              </w:rPr>
            </w:pPr>
            <w:r>
              <w:rPr>
                <w:rFonts w:hint="eastAsia" w:ascii="宋体" w:hAnsi="宋体" w:cs="宋体"/>
                <w:color w:val="auto"/>
                <w:sz w:val="24"/>
                <w:highlight w:val="none"/>
              </w:rPr>
              <w:t>偏离情况</w:t>
            </w:r>
          </w:p>
          <w:p w14:paraId="12E6909F">
            <w:pPr>
              <w:jc w:val="center"/>
              <w:rPr>
                <w:rFonts w:ascii="宋体" w:hAnsi="宋体" w:cs="宋体"/>
                <w:color w:val="auto"/>
                <w:sz w:val="24"/>
                <w:highlight w:val="none"/>
              </w:rPr>
            </w:pPr>
            <w:r>
              <w:rPr>
                <w:rFonts w:hint="eastAsia" w:ascii="宋体" w:hAnsi="宋体" w:cs="宋体"/>
                <w:color w:val="auto"/>
                <w:sz w:val="24"/>
                <w:highlight w:val="none"/>
              </w:rPr>
              <w:t>（注明正偏离、负偏离或无偏离）</w:t>
            </w:r>
          </w:p>
        </w:tc>
      </w:tr>
      <w:tr w14:paraId="7AA4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77A37EA1">
            <w:pPr>
              <w:jc w:val="cente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E904704">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B2BE902">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22E7CCFA">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7EE6C6B9">
            <w:pPr>
              <w:rPr>
                <w:rFonts w:ascii="宋体" w:hAnsi="宋体" w:cs="宋体"/>
                <w:color w:val="auto"/>
                <w:sz w:val="24"/>
                <w:highlight w:val="none"/>
              </w:rPr>
            </w:pPr>
          </w:p>
        </w:tc>
      </w:tr>
      <w:tr w14:paraId="3B6E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A7162A2">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219BF33">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6536E9E">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3D12A9D6">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0BEE2E4">
            <w:pPr>
              <w:rPr>
                <w:rFonts w:ascii="宋体" w:hAnsi="宋体" w:cs="宋体"/>
                <w:color w:val="auto"/>
                <w:sz w:val="24"/>
                <w:highlight w:val="none"/>
              </w:rPr>
            </w:pPr>
          </w:p>
        </w:tc>
      </w:tr>
      <w:tr w14:paraId="2780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0B850177">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CD54577">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56A7E377">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74C97408">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75B4E86">
            <w:pPr>
              <w:rPr>
                <w:rFonts w:ascii="宋体" w:hAnsi="宋体" w:cs="宋体"/>
                <w:color w:val="auto"/>
                <w:sz w:val="24"/>
                <w:highlight w:val="none"/>
              </w:rPr>
            </w:pPr>
          </w:p>
        </w:tc>
      </w:tr>
      <w:tr w14:paraId="1880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14:paraId="24FDC7F8">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F40A0FD">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ADA2920">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15AFF72">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73B64661">
            <w:pPr>
              <w:rPr>
                <w:rFonts w:ascii="宋体" w:hAnsi="宋体" w:cs="宋体"/>
                <w:color w:val="auto"/>
                <w:sz w:val="24"/>
                <w:highlight w:val="none"/>
              </w:rPr>
            </w:pPr>
          </w:p>
        </w:tc>
      </w:tr>
      <w:tr w14:paraId="1B8E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84EE69D">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8CAB041">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791B20DE">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BE07756">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7A0275B2">
            <w:pPr>
              <w:rPr>
                <w:rFonts w:ascii="宋体" w:hAnsi="宋体" w:cs="宋体"/>
                <w:color w:val="auto"/>
                <w:sz w:val="24"/>
                <w:highlight w:val="none"/>
              </w:rPr>
            </w:pPr>
          </w:p>
        </w:tc>
      </w:tr>
      <w:tr w14:paraId="1DDF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E55ADF6">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1F690A2C">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2F809235">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5D9186D0">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89DAA25">
            <w:pPr>
              <w:rPr>
                <w:rFonts w:ascii="宋体" w:hAnsi="宋体" w:cs="宋体"/>
                <w:color w:val="auto"/>
                <w:sz w:val="24"/>
                <w:highlight w:val="none"/>
              </w:rPr>
            </w:pPr>
          </w:p>
        </w:tc>
      </w:tr>
      <w:tr w14:paraId="5712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09DDB31">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7046AB8">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4C51C128">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091D4923">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292C6DB4">
            <w:pPr>
              <w:rPr>
                <w:rFonts w:ascii="宋体" w:hAnsi="宋体" w:cs="宋体"/>
                <w:color w:val="auto"/>
                <w:sz w:val="24"/>
                <w:highlight w:val="none"/>
              </w:rPr>
            </w:pPr>
          </w:p>
        </w:tc>
      </w:tr>
      <w:tr w14:paraId="3F8E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565C750D">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67B4CE9E">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044F9583">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64467955">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7DD47525">
            <w:pPr>
              <w:rPr>
                <w:rFonts w:ascii="宋体" w:hAnsi="宋体" w:cs="宋体"/>
                <w:color w:val="auto"/>
                <w:sz w:val="24"/>
                <w:highlight w:val="none"/>
              </w:rPr>
            </w:pPr>
          </w:p>
        </w:tc>
      </w:tr>
      <w:tr w14:paraId="4B5C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1DD8DBF">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5097824">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190614E">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5C723584">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71A2013">
            <w:pPr>
              <w:rPr>
                <w:rFonts w:ascii="宋体" w:hAnsi="宋体" w:cs="宋体"/>
                <w:color w:val="auto"/>
                <w:sz w:val="24"/>
                <w:highlight w:val="none"/>
              </w:rPr>
            </w:pPr>
          </w:p>
        </w:tc>
      </w:tr>
      <w:tr w14:paraId="04C4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17E2FBB6">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3744EC3">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165C51F5">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4F4D1925">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53619C7E">
            <w:pPr>
              <w:rPr>
                <w:rFonts w:ascii="宋体" w:hAnsi="宋体" w:cs="宋体"/>
                <w:color w:val="auto"/>
                <w:sz w:val="24"/>
                <w:highlight w:val="none"/>
              </w:rPr>
            </w:pPr>
          </w:p>
        </w:tc>
      </w:tr>
      <w:tr w14:paraId="32C5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649894FD">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7CB6B980">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3DC06058">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5AADEC0A">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3090605B">
            <w:pPr>
              <w:rPr>
                <w:rFonts w:ascii="宋体" w:hAnsi="宋体" w:cs="宋体"/>
                <w:color w:val="auto"/>
                <w:sz w:val="24"/>
                <w:highlight w:val="none"/>
              </w:rPr>
            </w:pPr>
          </w:p>
        </w:tc>
      </w:tr>
      <w:tr w14:paraId="6304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14:paraId="23A1BF85">
            <w:pPr>
              <w:rPr>
                <w:rFonts w:ascii="宋体" w:hAnsi="宋体" w:cs="宋体"/>
                <w:color w:val="auto"/>
                <w:sz w:val="24"/>
                <w:highlight w:val="none"/>
              </w:rPr>
            </w:pPr>
          </w:p>
        </w:tc>
        <w:tc>
          <w:tcPr>
            <w:tcW w:w="2004" w:type="dxa"/>
            <w:tcBorders>
              <w:top w:val="single" w:color="auto" w:sz="4" w:space="0"/>
              <w:left w:val="single" w:color="auto" w:sz="4" w:space="0"/>
              <w:bottom w:val="single" w:color="auto" w:sz="4" w:space="0"/>
              <w:right w:val="single" w:color="auto" w:sz="4" w:space="0"/>
            </w:tcBorders>
          </w:tcPr>
          <w:p w14:paraId="584496ED">
            <w:pPr>
              <w:rPr>
                <w:rFonts w:ascii="宋体" w:hAnsi="宋体" w:cs="宋体"/>
                <w:color w:val="auto"/>
                <w:sz w:val="24"/>
                <w:highlight w:val="none"/>
              </w:rPr>
            </w:pPr>
          </w:p>
        </w:tc>
        <w:tc>
          <w:tcPr>
            <w:tcW w:w="2113" w:type="dxa"/>
            <w:tcBorders>
              <w:top w:val="single" w:color="auto" w:sz="4" w:space="0"/>
              <w:left w:val="single" w:color="auto" w:sz="4" w:space="0"/>
              <w:bottom w:val="single" w:color="auto" w:sz="4" w:space="0"/>
              <w:right w:val="single" w:color="auto" w:sz="4" w:space="0"/>
            </w:tcBorders>
          </w:tcPr>
          <w:p w14:paraId="69B9F117">
            <w:pPr>
              <w:rPr>
                <w:rFonts w:ascii="宋体" w:hAnsi="宋体" w:cs="宋体"/>
                <w:color w:val="auto"/>
                <w:sz w:val="24"/>
                <w:highlight w:val="none"/>
              </w:rPr>
            </w:pPr>
          </w:p>
        </w:tc>
        <w:tc>
          <w:tcPr>
            <w:tcW w:w="1750" w:type="dxa"/>
            <w:tcBorders>
              <w:top w:val="single" w:color="auto" w:sz="4" w:space="0"/>
              <w:left w:val="single" w:color="auto" w:sz="4" w:space="0"/>
              <w:bottom w:val="single" w:color="auto" w:sz="4" w:space="0"/>
              <w:right w:val="single" w:color="auto" w:sz="4" w:space="0"/>
            </w:tcBorders>
          </w:tcPr>
          <w:p w14:paraId="59E37957">
            <w:pPr>
              <w:rPr>
                <w:rFonts w:ascii="宋体" w:hAnsi="宋体" w:cs="宋体"/>
                <w:color w:val="auto"/>
                <w:sz w:val="24"/>
                <w:highlight w:val="none"/>
              </w:rPr>
            </w:pPr>
          </w:p>
        </w:tc>
        <w:tc>
          <w:tcPr>
            <w:tcW w:w="2514" w:type="dxa"/>
            <w:tcBorders>
              <w:top w:val="single" w:color="auto" w:sz="4" w:space="0"/>
              <w:left w:val="single" w:color="auto" w:sz="4" w:space="0"/>
              <w:bottom w:val="single" w:color="auto" w:sz="4" w:space="0"/>
              <w:right w:val="single" w:color="auto" w:sz="4" w:space="0"/>
            </w:tcBorders>
          </w:tcPr>
          <w:p w14:paraId="1D6BE7E7">
            <w:pPr>
              <w:rPr>
                <w:rFonts w:ascii="宋体" w:hAnsi="宋体" w:cs="宋体"/>
                <w:color w:val="auto"/>
                <w:sz w:val="24"/>
                <w:highlight w:val="none"/>
              </w:rPr>
            </w:pPr>
          </w:p>
        </w:tc>
      </w:tr>
    </w:tbl>
    <w:p w14:paraId="13EE91A3">
      <w:pPr>
        <w:snapToGrid w:val="0"/>
        <w:spacing w:before="50" w:after="50"/>
        <w:rPr>
          <w:rFonts w:ascii="宋体" w:hAnsi="宋体" w:cs="宋体"/>
          <w:b/>
          <w:bCs/>
          <w:color w:val="auto"/>
          <w:sz w:val="24"/>
          <w:highlight w:val="none"/>
        </w:rPr>
      </w:pPr>
    </w:p>
    <w:p w14:paraId="708E35AD">
      <w:pPr>
        <w:snapToGrid w:val="0"/>
        <w:spacing w:before="50" w:after="50"/>
        <w:rPr>
          <w:rFonts w:ascii="宋体" w:hAnsi="宋体" w:cs="宋体"/>
          <w:b/>
          <w:bCs/>
          <w:color w:val="auto"/>
          <w:spacing w:val="20"/>
          <w:sz w:val="24"/>
          <w:highlight w:val="none"/>
        </w:rPr>
      </w:pPr>
      <w:r>
        <w:rPr>
          <w:rFonts w:hint="eastAsia" w:ascii="宋体" w:hAnsi="宋体" w:cs="宋体"/>
          <w:b/>
          <w:bCs/>
          <w:color w:val="auto"/>
          <w:sz w:val="24"/>
          <w:highlight w:val="none"/>
        </w:rPr>
        <w:t>注：投标人应根据投</w:t>
      </w:r>
      <w:r>
        <w:rPr>
          <w:rFonts w:hint="eastAsia" w:ascii="宋体" w:hAnsi="宋体" w:cs="宋体"/>
          <w:b/>
          <w:bCs/>
          <w:color w:val="auto"/>
          <w:sz w:val="24"/>
          <w:highlight w:val="none"/>
          <w:lang w:val="en-US" w:eastAsia="zh-CN"/>
        </w:rPr>
        <w:t>标服务</w:t>
      </w:r>
      <w:r>
        <w:rPr>
          <w:rFonts w:hint="eastAsia" w:ascii="宋体" w:hAnsi="宋体" w:cs="宋体"/>
          <w:b/>
          <w:bCs/>
          <w:color w:val="auto"/>
          <w:sz w:val="24"/>
          <w:highlight w:val="none"/>
        </w:rPr>
        <w:t>的性能指标、对照招标文件要求在“偏离情况”栏注明“正偏离”、“负偏离”或“无偏离”。</w:t>
      </w:r>
    </w:p>
    <w:p w14:paraId="58F32D0A">
      <w:pPr>
        <w:snapToGrid w:val="0"/>
        <w:spacing w:before="50" w:after="50"/>
        <w:rPr>
          <w:rFonts w:ascii="宋体" w:hAnsi="宋体" w:cs="宋体"/>
          <w:color w:val="auto"/>
          <w:spacing w:val="20"/>
          <w:sz w:val="24"/>
          <w:highlight w:val="none"/>
        </w:rPr>
      </w:pPr>
    </w:p>
    <w:p w14:paraId="4B1C2EC7">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p>
    <w:p w14:paraId="112EA3C5">
      <w:pPr>
        <w:snapToGrid w:val="0"/>
        <w:spacing w:before="50" w:after="50"/>
        <w:rPr>
          <w:rFonts w:ascii="宋体" w:hAnsi="宋体" w:cs="宋体"/>
          <w:color w:val="auto"/>
          <w:sz w:val="24"/>
          <w:highlight w:val="none"/>
        </w:rPr>
      </w:pPr>
      <w:r>
        <w:rPr>
          <w:rFonts w:hint="eastAsia" w:ascii="宋体" w:hAnsi="宋体" w:cs="宋体"/>
          <w:color w:val="auto"/>
          <w:spacing w:val="20"/>
          <w:sz w:val="24"/>
          <w:highlight w:val="none"/>
        </w:rPr>
        <w:t>投标人盖章：</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日 期：</w:t>
      </w:r>
      <w:r>
        <w:rPr>
          <w:rFonts w:hint="eastAsia" w:ascii="宋体" w:hAnsi="宋体" w:cs="宋体"/>
          <w:color w:val="auto"/>
          <w:spacing w:val="20"/>
          <w:sz w:val="24"/>
          <w:highlight w:val="none"/>
          <w:u w:val="single"/>
        </w:rPr>
        <w:t xml:space="preserve">            </w:t>
      </w:r>
    </w:p>
    <w:p w14:paraId="7B5AA20D">
      <w:pPr>
        <w:snapToGrid w:val="0"/>
        <w:spacing w:before="50" w:after="120" w:afterLines="50"/>
        <w:jc w:val="left"/>
        <w:rPr>
          <w:rFonts w:ascii="宋体" w:hAnsi="宋体" w:cs="宋体"/>
          <w:color w:val="auto"/>
          <w:sz w:val="24"/>
          <w:highlight w:val="none"/>
        </w:rPr>
      </w:pPr>
    </w:p>
    <w:p w14:paraId="6CDD967D">
      <w:pPr>
        <w:spacing w:before="260" w:after="260" w:line="415" w:lineRule="auto"/>
        <w:rPr>
          <w:rFonts w:ascii="宋体" w:hAnsi="宋体" w:cs="宋体"/>
          <w:bCs/>
          <w:color w:val="auto"/>
          <w:sz w:val="24"/>
          <w:highlight w:val="none"/>
        </w:rPr>
      </w:pPr>
    </w:p>
    <w:p w14:paraId="7EA24DFA">
      <w:pPr>
        <w:spacing w:before="260" w:after="260" w:line="415" w:lineRule="auto"/>
        <w:rPr>
          <w:rFonts w:ascii="宋体" w:hAnsi="宋体" w:cs="宋体"/>
          <w:bCs/>
          <w:color w:val="auto"/>
          <w:sz w:val="24"/>
          <w:highlight w:val="none"/>
        </w:rPr>
      </w:pPr>
    </w:p>
    <w:p w14:paraId="4931AE57">
      <w:pPr>
        <w:spacing w:before="260" w:after="260" w:line="415" w:lineRule="auto"/>
        <w:rPr>
          <w:rFonts w:ascii="宋体" w:hAnsi="宋体" w:cs="宋体"/>
          <w:bCs/>
          <w:color w:val="auto"/>
          <w:sz w:val="24"/>
          <w:highlight w:val="none"/>
        </w:rPr>
      </w:pPr>
    </w:p>
    <w:p w14:paraId="61D223E1">
      <w:pPr>
        <w:pStyle w:val="3"/>
        <w:keepNext w:val="0"/>
        <w:keepLines w:val="0"/>
        <w:pageBreakBefore/>
        <w:spacing w:line="415" w:lineRule="auto"/>
        <w:rPr>
          <w:rFonts w:ascii="宋体" w:hAnsi="宋体" w:eastAsia="宋体" w:cs="宋体"/>
          <w:b w:val="0"/>
          <w:bCs w:val="0"/>
          <w:color w:val="auto"/>
          <w:sz w:val="24"/>
          <w:szCs w:val="24"/>
          <w:highlight w:val="none"/>
        </w:rPr>
      </w:pPr>
      <w:bookmarkStart w:id="75" w:name="_Toc13037828"/>
      <w:bookmarkStart w:id="76" w:name="_Toc14644"/>
      <w:bookmarkStart w:id="77" w:name="_Toc14942615"/>
      <w:bookmarkStart w:id="78" w:name="_Toc15716"/>
      <w:bookmarkStart w:id="79" w:name="_Toc18296"/>
      <w:bookmarkStart w:id="80" w:name="_Toc14790"/>
      <w:bookmarkStart w:id="81" w:name="_Toc29497"/>
      <w:r>
        <w:rPr>
          <w:rFonts w:hint="eastAsia" w:ascii="宋体" w:hAnsi="宋体" w:eastAsia="宋体" w:cs="宋体"/>
          <w:b w:val="0"/>
          <w:bCs w:val="0"/>
          <w:color w:val="auto"/>
          <w:sz w:val="24"/>
          <w:szCs w:val="24"/>
          <w:highlight w:val="none"/>
        </w:rPr>
        <w:t>附件十：</w:t>
      </w:r>
      <w:bookmarkEnd w:id="75"/>
      <w:bookmarkEnd w:id="76"/>
      <w:bookmarkEnd w:id="77"/>
      <w:bookmarkEnd w:id="78"/>
      <w:r>
        <w:rPr>
          <w:rFonts w:hint="eastAsia" w:ascii="宋体" w:hAnsi="宋体" w:eastAsia="宋体" w:cs="宋体"/>
          <w:b w:val="0"/>
          <w:bCs w:val="0"/>
          <w:color w:val="auto"/>
          <w:sz w:val="24"/>
          <w:szCs w:val="24"/>
          <w:highlight w:val="none"/>
        </w:rPr>
        <w:t>服务项目组成员及简介</w:t>
      </w:r>
      <w:bookmarkEnd w:id="79"/>
      <w:bookmarkEnd w:id="80"/>
    </w:p>
    <w:p w14:paraId="465123F2">
      <w:pPr>
        <w:jc w:val="center"/>
        <w:rPr>
          <w:rFonts w:ascii="宋体" w:hAnsi="宋体"/>
          <w:b/>
          <w:color w:val="auto"/>
          <w:sz w:val="28"/>
          <w:highlight w:val="none"/>
        </w:rPr>
      </w:pPr>
      <w:r>
        <w:rPr>
          <w:rFonts w:hint="eastAsia" w:ascii="宋体" w:hAnsi="宋体"/>
          <w:b/>
          <w:color w:val="auto"/>
          <w:sz w:val="28"/>
          <w:highlight w:val="none"/>
        </w:rPr>
        <w:t>服务项目组成员及简介</w:t>
      </w:r>
    </w:p>
    <w:p w14:paraId="72821D5E">
      <w:pPr>
        <w:rPr>
          <w:rFonts w:ascii="宋体" w:hAnsi="宋体"/>
          <w:color w:val="auto"/>
          <w:sz w:val="24"/>
          <w:highlight w:val="none"/>
          <w:u w:val="single"/>
        </w:rPr>
      </w:pPr>
      <w:r>
        <w:rPr>
          <w:rFonts w:hint="eastAsia" w:ascii="宋体" w:hAnsi="宋体"/>
          <w:color w:val="auto"/>
          <w:sz w:val="24"/>
          <w:highlight w:val="none"/>
        </w:rPr>
        <w:t>项目名称：                                                  招标编号：</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081"/>
        <w:gridCol w:w="1081"/>
        <w:gridCol w:w="1442"/>
        <w:gridCol w:w="1622"/>
        <w:gridCol w:w="1462"/>
        <w:gridCol w:w="1507"/>
      </w:tblGrid>
      <w:tr w14:paraId="0AE8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62" w:type="dxa"/>
            <w:vMerge w:val="restart"/>
            <w:vAlign w:val="center"/>
          </w:tcPr>
          <w:p w14:paraId="05E1C6AA">
            <w:pPr>
              <w:jc w:val="center"/>
              <w:rPr>
                <w:rFonts w:ascii="宋体" w:hAnsi="宋体"/>
                <w:color w:val="auto"/>
                <w:szCs w:val="21"/>
                <w:highlight w:val="none"/>
              </w:rPr>
            </w:pPr>
            <w:r>
              <w:rPr>
                <w:rFonts w:hint="eastAsia" w:ascii="宋体" w:hAnsi="宋体"/>
                <w:color w:val="auto"/>
                <w:szCs w:val="21"/>
                <w:highlight w:val="none"/>
              </w:rPr>
              <w:t>在本项目任职岗位</w:t>
            </w:r>
          </w:p>
        </w:tc>
        <w:tc>
          <w:tcPr>
            <w:tcW w:w="1081" w:type="dxa"/>
            <w:vMerge w:val="restart"/>
            <w:vAlign w:val="center"/>
          </w:tcPr>
          <w:p w14:paraId="0EE7F49B">
            <w:pPr>
              <w:jc w:val="center"/>
              <w:rPr>
                <w:rFonts w:ascii="宋体" w:hAnsi="宋体"/>
                <w:color w:val="auto"/>
                <w:szCs w:val="21"/>
                <w:highlight w:val="none"/>
              </w:rPr>
            </w:pPr>
            <w:r>
              <w:rPr>
                <w:rFonts w:hint="eastAsia" w:ascii="宋体" w:hAnsi="宋体"/>
                <w:color w:val="auto"/>
                <w:szCs w:val="21"/>
                <w:highlight w:val="none"/>
              </w:rPr>
              <w:t>姓名</w:t>
            </w:r>
          </w:p>
        </w:tc>
        <w:tc>
          <w:tcPr>
            <w:tcW w:w="1081" w:type="dxa"/>
            <w:vMerge w:val="restart"/>
            <w:vAlign w:val="center"/>
          </w:tcPr>
          <w:p w14:paraId="42DD31CE">
            <w:pPr>
              <w:jc w:val="center"/>
              <w:rPr>
                <w:rFonts w:ascii="宋体" w:hAnsi="宋体"/>
                <w:color w:val="auto"/>
                <w:szCs w:val="21"/>
                <w:highlight w:val="none"/>
              </w:rPr>
            </w:pPr>
            <w:r>
              <w:rPr>
                <w:rFonts w:hint="eastAsia" w:ascii="宋体" w:hAnsi="宋体"/>
                <w:color w:val="auto"/>
                <w:szCs w:val="21"/>
                <w:highlight w:val="none"/>
              </w:rPr>
              <w:t>职称</w:t>
            </w:r>
          </w:p>
        </w:tc>
        <w:tc>
          <w:tcPr>
            <w:tcW w:w="4526" w:type="dxa"/>
            <w:gridSpan w:val="3"/>
            <w:vAlign w:val="center"/>
          </w:tcPr>
          <w:p w14:paraId="44872618">
            <w:pPr>
              <w:jc w:val="center"/>
              <w:rPr>
                <w:rFonts w:ascii="宋体" w:hAnsi="宋体"/>
                <w:color w:val="auto"/>
                <w:szCs w:val="21"/>
                <w:highlight w:val="none"/>
              </w:rPr>
            </w:pPr>
            <w:r>
              <w:rPr>
                <w:rFonts w:hint="eastAsia" w:ascii="宋体" w:hAnsi="宋体"/>
                <w:color w:val="auto"/>
                <w:szCs w:val="21"/>
                <w:highlight w:val="none"/>
              </w:rPr>
              <w:t>执业或职业资格证明</w:t>
            </w:r>
          </w:p>
        </w:tc>
        <w:tc>
          <w:tcPr>
            <w:tcW w:w="1507" w:type="dxa"/>
            <w:vMerge w:val="restart"/>
            <w:vAlign w:val="center"/>
          </w:tcPr>
          <w:p w14:paraId="670C42DA">
            <w:pPr>
              <w:jc w:val="center"/>
              <w:rPr>
                <w:rFonts w:ascii="宋体" w:hAnsi="宋体"/>
                <w:color w:val="auto"/>
                <w:szCs w:val="21"/>
                <w:highlight w:val="none"/>
              </w:rPr>
            </w:pPr>
            <w:r>
              <w:rPr>
                <w:rFonts w:hint="eastAsia" w:ascii="宋体" w:hAnsi="宋体"/>
                <w:color w:val="auto"/>
                <w:szCs w:val="21"/>
                <w:highlight w:val="none"/>
              </w:rPr>
              <w:t>备注</w:t>
            </w:r>
          </w:p>
        </w:tc>
      </w:tr>
      <w:tr w14:paraId="3B0B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3" w:hRule="atLeast"/>
        </w:trPr>
        <w:tc>
          <w:tcPr>
            <w:tcW w:w="1262" w:type="dxa"/>
            <w:vMerge w:val="continue"/>
          </w:tcPr>
          <w:p w14:paraId="06D368CB">
            <w:pPr>
              <w:rPr>
                <w:rFonts w:ascii="宋体" w:hAnsi="宋体"/>
                <w:color w:val="auto"/>
                <w:szCs w:val="21"/>
                <w:highlight w:val="none"/>
              </w:rPr>
            </w:pPr>
          </w:p>
        </w:tc>
        <w:tc>
          <w:tcPr>
            <w:tcW w:w="1081" w:type="dxa"/>
            <w:vMerge w:val="continue"/>
          </w:tcPr>
          <w:p w14:paraId="0145D8AF">
            <w:pPr>
              <w:rPr>
                <w:rFonts w:ascii="宋体" w:hAnsi="宋体"/>
                <w:color w:val="auto"/>
                <w:szCs w:val="21"/>
                <w:highlight w:val="none"/>
              </w:rPr>
            </w:pPr>
          </w:p>
        </w:tc>
        <w:tc>
          <w:tcPr>
            <w:tcW w:w="1081" w:type="dxa"/>
            <w:vMerge w:val="continue"/>
          </w:tcPr>
          <w:p w14:paraId="662682F3">
            <w:pPr>
              <w:rPr>
                <w:rFonts w:ascii="宋体" w:hAnsi="宋体"/>
                <w:color w:val="auto"/>
                <w:szCs w:val="21"/>
                <w:highlight w:val="none"/>
              </w:rPr>
            </w:pPr>
          </w:p>
        </w:tc>
        <w:tc>
          <w:tcPr>
            <w:tcW w:w="1442" w:type="dxa"/>
            <w:vAlign w:val="center"/>
          </w:tcPr>
          <w:p w14:paraId="519D42D5">
            <w:pPr>
              <w:jc w:val="center"/>
              <w:rPr>
                <w:rFonts w:ascii="宋体" w:hAnsi="宋体"/>
                <w:color w:val="auto"/>
                <w:szCs w:val="21"/>
                <w:highlight w:val="none"/>
              </w:rPr>
            </w:pPr>
            <w:r>
              <w:rPr>
                <w:rFonts w:hint="eastAsia" w:ascii="宋体" w:hAnsi="宋体"/>
                <w:color w:val="auto"/>
                <w:szCs w:val="21"/>
                <w:highlight w:val="none"/>
              </w:rPr>
              <w:t>证书名称</w:t>
            </w:r>
          </w:p>
        </w:tc>
        <w:tc>
          <w:tcPr>
            <w:tcW w:w="1622" w:type="dxa"/>
            <w:vAlign w:val="center"/>
          </w:tcPr>
          <w:p w14:paraId="0A151077">
            <w:pPr>
              <w:jc w:val="center"/>
              <w:rPr>
                <w:rFonts w:ascii="宋体" w:hAnsi="宋体"/>
                <w:color w:val="auto"/>
                <w:szCs w:val="21"/>
                <w:highlight w:val="none"/>
              </w:rPr>
            </w:pPr>
            <w:r>
              <w:rPr>
                <w:rFonts w:hint="eastAsia" w:ascii="宋体" w:hAnsi="宋体"/>
                <w:color w:val="auto"/>
                <w:szCs w:val="21"/>
                <w:highlight w:val="none"/>
              </w:rPr>
              <w:t>级别</w:t>
            </w:r>
          </w:p>
        </w:tc>
        <w:tc>
          <w:tcPr>
            <w:tcW w:w="1462" w:type="dxa"/>
            <w:vAlign w:val="center"/>
          </w:tcPr>
          <w:p w14:paraId="2C5BFF74">
            <w:pPr>
              <w:jc w:val="center"/>
              <w:rPr>
                <w:rFonts w:ascii="宋体" w:hAnsi="宋体"/>
                <w:color w:val="auto"/>
                <w:szCs w:val="21"/>
                <w:highlight w:val="none"/>
              </w:rPr>
            </w:pPr>
            <w:r>
              <w:rPr>
                <w:rFonts w:hint="eastAsia" w:ascii="宋体" w:hAnsi="宋体"/>
                <w:color w:val="auto"/>
                <w:szCs w:val="21"/>
                <w:highlight w:val="none"/>
              </w:rPr>
              <w:t>证号</w:t>
            </w:r>
          </w:p>
        </w:tc>
        <w:tc>
          <w:tcPr>
            <w:tcW w:w="1507" w:type="dxa"/>
            <w:vMerge w:val="continue"/>
          </w:tcPr>
          <w:p w14:paraId="6C2639D0">
            <w:pPr>
              <w:rPr>
                <w:rFonts w:ascii="宋体" w:hAnsi="宋体"/>
                <w:color w:val="auto"/>
                <w:szCs w:val="21"/>
                <w:highlight w:val="none"/>
              </w:rPr>
            </w:pPr>
          </w:p>
        </w:tc>
      </w:tr>
      <w:tr w14:paraId="3579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2" w:type="dxa"/>
          </w:tcPr>
          <w:p w14:paraId="09D768BC">
            <w:pPr>
              <w:rPr>
                <w:rFonts w:ascii="宋体" w:hAnsi="宋体"/>
                <w:color w:val="auto"/>
                <w:szCs w:val="21"/>
                <w:highlight w:val="none"/>
              </w:rPr>
            </w:pPr>
          </w:p>
        </w:tc>
        <w:tc>
          <w:tcPr>
            <w:tcW w:w="1081" w:type="dxa"/>
          </w:tcPr>
          <w:p w14:paraId="72FA6853">
            <w:pPr>
              <w:rPr>
                <w:rFonts w:ascii="宋体" w:hAnsi="宋体"/>
                <w:color w:val="auto"/>
                <w:szCs w:val="21"/>
                <w:highlight w:val="none"/>
              </w:rPr>
            </w:pPr>
          </w:p>
        </w:tc>
        <w:tc>
          <w:tcPr>
            <w:tcW w:w="1081" w:type="dxa"/>
          </w:tcPr>
          <w:p w14:paraId="3FB18E1F">
            <w:pPr>
              <w:rPr>
                <w:rFonts w:ascii="宋体" w:hAnsi="宋体"/>
                <w:color w:val="auto"/>
                <w:szCs w:val="21"/>
                <w:highlight w:val="none"/>
              </w:rPr>
            </w:pPr>
          </w:p>
        </w:tc>
        <w:tc>
          <w:tcPr>
            <w:tcW w:w="1442" w:type="dxa"/>
          </w:tcPr>
          <w:p w14:paraId="10937549">
            <w:pPr>
              <w:rPr>
                <w:rFonts w:ascii="宋体" w:hAnsi="宋体"/>
                <w:color w:val="auto"/>
                <w:szCs w:val="21"/>
                <w:highlight w:val="none"/>
              </w:rPr>
            </w:pPr>
          </w:p>
        </w:tc>
        <w:tc>
          <w:tcPr>
            <w:tcW w:w="1622" w:type="dxa"/>
          </w:tcPr>
          <w:p w14:paraId="41C89C7B">
            <w:pPr>
              <w:rPr>
                <w:rFonts w:ascii="宋体" w:hAnsi="宋体"/>
                <w:color w:val="auto"/>
                <w:szCs w:val="21"/>
                <w:highlight w:val="none"/>
              </w:rPr>
            </w:pPr>
          </w:p>
        </w:tc>
        <w:tc>
          <w:tcPr>
            <w:tcW w:w="1462" w:type="dxa"/>
          </w:tcPr>
          <w:p w14:paraId="5E4D7998">
            <w:pPr>
              <w:rPr>
                <w:rFonts w:ascii="宋体" w:hAnsi="宋体"/>
                <w:color w:val="auto"/>
                <w:szCs w:val="21"/>
                <w:highlight w:val="none"/>
              </w:rPr>
            </w:pPr>
          </w:p>
        </w:tc>
        <w:tc>
          <w:tcPr>
            <w:tcW w:w="1507" w:type="dxa"/>
          </w:tcPr>
          <w:p w14:paraId="68AC9F64">
            <w:pPr>
              <w:rPr>
                <w:rFonts w:ascii="宋体" w:hAnsi="宋体"/>
                <w:color w:val="auto"/>
                <w:szCs w:val="21"/>
                <w:highlight w:val="none"/>
              </w:rPr>
            </w:pPr>
          </w:p>
        </w:tc>
      </w:tr>
      <w:tr w14:paraId="07D9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2D9831A8">
            <w:pPr>
              <w:rPr>
                <w:rFonts w:ascii="宋体" w:hAnsi="宋体"/>
                <w:color w:val="auto"/>
                <w:szCs w:val="21"/>
                <w:highlight w:val="none"/>
              </w:rPr>
            </w:pPr>
          </w:p>
        </w:tc>
        <w:tc>
          <w:tcPr>
            <w:tcW w:w="1081" w:type="dxa"/>
          </w:tcPr>
          <w:p w14:paraId="150333C4">
            <w:pPr>
              <w:rPr>
                <w:rFonts w:ascii="宋体" w:hAnsi="宋体"/>
                <w:color w:val="auto"/>
                <w:szCs w:val="21"/>
                <w:highlight w:val="none"/>
              </w:rPr>
            </w:pPr>
          </w:p>
        </w:tc>
        <w:tc>
          <w:tcPr>
            <w:tcW w:w="1081" w:type="dxa"/>
          </w:tcPr>
          <w:p w14:paraId="21515F3F">
            <w:pPr>
              <w:rPr>
                <w:rFonts w:ascii="宋体" w:hAnsi="宋体"/>
                <w:color w:val="auto"/>
                <w:szCs w:val="21"/>
                <w:highlight w:val="none"/>
              </w:rPr>
            </w:pPr>
          </w:p>
        </w:tc>
        <w:tc>
          <w:tcPr>
            <w:tcW w:w="1442" w:type="dxa"/>
          </w:tcPr>
          <w:p w14:paraId="2771B2BF">
            <w:pPr>
              <w:rPr>
                <w:rFonts w:ascii="宋体" w:hAnsi="宋体"/>
                <w:color w:val="auto"/>
                <w:szCs w:val="21"/>
                <w:highlight w:val="none"/>
              </w:rPr>
            </w:pPr>
          </w:p>
        </w:tc>
        <w:tc>
          <w:tcPr>
            <w:tcW w:w="1622" w:type="dxa"/>
          </w:tcPr>
          <w:p w14:paraId="067A1C13">
            <w:pPr>
              <w:rPr>
                <w:rFonts w:ascii="宋体" w:hAnsi="宋体"/>
                <w:color w:val="auto"/>
                <w:szCs w:val="21"/>
                <w:highlight w:val="none"/>
              </w:rPr>
            </w:pPr>
          </w:p>
        </w:tc>
        <w:tc>
          <w:tcPr>
            <w:tcW w:w="1462" w:type="dxa"/>
          </w:tcPr>
          <w:p w14:paraId="445BB05F">
            <w:pPr>
              <w:rPr>
                <w:rFonts w:ascii="宋体" w:hAnsi="宋体"/>
                <w:color w:val="auto"/>
                <w:szCs w:val="21"/>
                <w:highlight w:val="none"/>
              </w:rPr>
            </w:pPr>
          </w:p>
        </w:tc>
        <w:tc>
          <w:tcPr>
            <w:tcW w:w="1507" w:type="dxa"/>
          </w:tcPr>
          <w:p w14:paraId="024D4B29">
            <w:pPr>
              <w:rPr>
                <w:rFonts w:ascii="宋体" w:hAnsi="宋体"/>
                <w:color w:val="auto"/>
                <w:szCs w:val="21"/>
                <w:highlight w:val="none"/>
              </w:rPr>
            </w:pPr>
          </w:p>
        </w:tc>
      </w:tr>
      <w:tr w14:paraId="4CF1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5D1D4720">
            <w:pPr>
              <w:rPr>
                <w:rFonts w:ascii="宋体" w:hAnsi="宋体"/>
                <w:color w:val="auto"/>
                <w:szCs w:val="21"/>
                <w:highlight w:val="none"/>
              </w:rPr>
            </w:pPr>
          </w:p>
        </w:tc>
        <w:tc>
          <w:tcPr>
            <w:tcW w:w="1081" w:type="dxa"/>
          </w:tcPr>
          <w:p w14:paraId="59D3B939">
            <w:pPr>
              <w:rPr>
                <w:rFonts w:ascii="宋体" w:hAnsi="宋体"/>
                <w:color w:val="auto"/>
                <w:szCs w:val="21"/>
                <w:highlight w:val="none"/>
              </w:rPr>
            </w:pPr>
          </w:p>
        </w:tc>
        <w:tc>
          <w:tcPr>
            <w:tcW w:w="1081" w:type="dxa"/>
          </w:tcPr>
          <w:p w14:paraId="43315A4D">
            <w:pPr>
              <w:rPr>
                <w:rFonts w:ascii="宋体" w:hAnsi="宋体"/>
                <w:color w:val="auto"/>
                <w:szCs w:val="21"/>
                <w:highlight w:val="none"/>
              </w:rPr>
            </w:pPr>
          </w:p>
        </w:tc>
        <w:tc>
          <w:tcPr>
            <w:tcW w:w="1442" w:type="dxa"/>
          </w:tcPr>
          <w:p w14:paraId="643273BF">
            <w:pPr>
              <w:rPr>
                <w:rFonts w:ascii="宋体" w:hAnsi="宋体"/>
                <w:color w:val="auto"/>
                <w:szCs w:val="21"/>
                <w:highlight w:val="none"/>
              </w:rPr>
            </w:pPr>
          </w:p>
        </w:tc>
        <w:tc>
          <w:tcPr>
            <w:tcW w:w="1622" w:type="dxa"/>
          </w:tcPr>
          <w:p w14:paraId="42527D3B">
            <w:pPr>
              <w:rPr>
                <w:rFonts w:ascii="宋体" w:hAnsi="宋体"/>
                <w:color w:val="auto"/>
                <w:szCs w:val="21"/>
                <w:highlight w:val="none"/>
              </w:rPr>
            </w:pPr>
          </w:p>
        </w:tc>
        <w:tc>
          <w:tcPr>
            <w:tcW w:w="1462" w:type="dxa"/>
          </w:tcPr>
          <w:p w14:paraId="348A3EAB">
            <w:pPr>
              <w:rPr>
                <w:rFonts w:ascii="宋体" w:hAnsi="宋体"/>
                <w:color w:val="auto"/>
                <w:szCs w:val="21"/>
                <w:highlight w:val="none"/>
              </w:rPr>
            </w:pPr>
          </w:p>
        </w:tc>
        <w:tc>
          <w:tcPr>
            <w:tcW w:w="1507" w:type="dxa"/>
          </w:tcPr>
          <w:p w14:paraId="25C27886">
            <w:pPr>
              <w:rPr>
                <w:rFonts w:ascii="宋体" w:hAnsi="宋体"/>
                <w:color w:val="auto"/>
                <w:szCs w:val="21"/>
                <w:highlight w:val="none"/>
              </w:rPr>
            </w:pPr>
          </w:p>
        </w:tc>
      </w:tr>
      <w:tr w14:paraId="531C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2" w:type="dxa"/>
          </w:tcPr>
          <w:p w14:paraId="0CCF12D7">
            <w:pPr>
              <w:rPr>
                <w:rFonts w:ascii="宋体" w:hAnsi="宋体"/>
                <w:color w:val="auto"/>
                <w:szCs w:val="21"/>
                <w:highlight w:val="none"/>
              </w:rPr>
            </w:pPr>
          </w:p>
        </w:tc>
        <w:tc>
          <w:tcPr>
            <w:tcW w:w="1081" w:type="dxa"/>
          </w:tcPr>
          <w:p w14:paraId="5569167A">
            <w:pPr>
              <w:rPr>
                <w:rFonts w:ascii="宋体" w:hAnsi="宋体"/>
                <w:color w:val="auto"/>
                <w:szCs w:val="21"/>
                <w:highlight w:val="none"/>
              </w:rPr>
            </w:pPr>
          </w:p>
        </w:tc>
        <w:tc>
          <w:tcPr>
            <w:tcW w:w="1081" w:type="dxa"/>
          </w:tcPr>
          <w:p w14:paraId="311F614B">
            <w:pPr>
              <w:rPr>
                <w:rFonts w:ascii="宋体" w:hAnsi="宋体"/>
                <w:color w:val="auto"/>
                <w:szCs w:val="21"/>
                <w:highlight w:val="none"/>
              </w:rPr>
            </w:pPr>
          </w:p>
        </w:tc>
        <w:tc>
          <w:tcPr>
            <w:tcW w:w="1442" w:type="dxa"/>
          </w:tcPr>
          <w:p w14:paraId="6DF945D5">
            <w:pPr>
              <w:rPr>
                <w:rFonts w:ascii="宋体" w:hAnsi="宋体"/>
                <w:color w:val="auto"/>
                <w:szCs w:val="21"/>
                <w:highlight w:val="none"/>
              </w:rPr>
            </w:pPr>
          </w:p>
        </w:tc>
        <w:tc>
          <w:tcPr>
            <w:tcW w:w="1622" w:type="dxa"/>
          </w:tcPr>
          <w:p w14:paraId="1D4CCA4C">
            <w:pPr>
              <w:rPr>
                <w:rFonts w:ascii="宋体" w:hAnsi="宋体"/>
                <w:color w:val="auto"/>
                <w:szCs w:val="21"/>
                <w:highlight w:val="none"/>
              </w:rPr>
            </w:pPr>
          </w:p>
        </w:tc>
        <w:tc>
          <w:tcPr>
            <w:tcW w:w="1462" w:type="dxa"/>
          </w:tcPr>
          <w:p w14:paraId="3A3D5785">
            <w:pPr>
              <w:rPr>
                <w:rFonts w:ascii="宋体" w:hAnsi="宋体"/>
                <w:color w:val="auto"/>
                <w:szCs w:val="21"/>
                <w:highlight w:val="none"/>
              </w:rPr>
            </w:pPr>
          </w:p>
        </w:tc>
        <w:tc>
          <w:tcPr>
            <w:tcW w:w="1507" w:type="dxa"/>
          </w:tcPr>
          <w:p w14:paraId="7732274E">
            <w:pPr>
              <w:rPr>
                <w:rFonts w:ascii="宋体" w:hAnsi="宋体"/>
                <w:color w:val="auto"/>
                <w:szCs w:val="21"/>
                <w:highlight w:val="none"/>
              </w:rPr>
            </w:pPr>
          </w:p>
        </w:tc>
      </w:tr>
      <w:tr w14:paraId="62EF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2" w:type="dxa"/>
          </w:tcPr>
          <w:p w14:paraId="6AF8E80D">
            <w:pPr>
              <w:rPr>
                <w:rFonts w:ascii="宋体" w:hAnsi="宋体"/>
                <w:color w:val="auto"/>
                <w:szCs w:val="21"/>
                <w:highlight w:val="none"/>
              </w:rPr>
            </w:pPr>
          </w:p>
        </w:tc>
        <w:tc>
          <w:tcPr>
            <w:tcW w:w="1081" w:type="dxa"/>
          </w:tcPr>
          <w:p w14:paraId="62BB4932">
            <w:pPr>
              <w:rPr>
                <w:rFonts w:ascii="宋体" w:hAnsi="宋体"/>
                <w:color w:val="auto"/>
                <w:szCs w:val="21"/>
                <w:highlight w:val="none"/>
              </w:rPr>
            </w:pPr>
          </w:p>
        </w:tc>
        <w:tc>
          <w:tcPr>
            <w:tcW w:w="1081" w:type="dxa"/>
          </w:tcPr>
          <w:p w14:paraId="382D6E5C">
            <w:pPr>
              <w:rPr>
                <w:rFonts w:ascii="宋体" w:hAnsi="宋体"/>
                <w:color w:val="auto"/>
                <w:szCs w:val="21"/>
                <w:highlight w:val="none"/>
              </w:rPr>
            </w:pPr>
          </w:p>
        </w:tc>
        <w:tc>
          <w:tcPr>
            <w:tcW w:w="1442" w:type="dxa"/>
          </w:tcPr>
          <w:p w14:paraId="085A9B32">
            <w:pPr>
              <w:rPr>
                <w:rFonts w:ascii="宋体" w:hAnsi="宋体"/>
                <w:color w:val="auto"/>
                <w:szCs w:val="21"/>
                <w:highlight w:val="none"/>
              </w:rPr>
            </w:pPr>
          </w:p>
        </w:tc>
        <w:tc>
          <w:tcPr>
            <w:tcW w:w="1622" w:type="dxa"/>
          </w:tcPr>
          <w:p w14:paraId="45749D8D">
            <w:pPr>
              <w:rPr>
                <w:rFonts w:ascii="宋体" w:hAnsi="宋体"/>
                <w:color w:val="auto"/>
                <w:szCs w:val="21"/>
                <w:highlight w:val="none"/>
              </w:rPr>
            </w:pPr>
          </w:p>
        </w:tc>
        <w:tc>
          <w:tcPr>
            <w:tcW w:w="1462" w:type="dxa"/>
          </w:tcPr>
          <w:p w14:paraId="1047C7CB">
            <w:pPr>
              <w:rPr>
                <w:rFonts w:ascii="宋体" w:hAnsi="宋体"/>
                <w:color w:val="auto"/>
                <w:szCs w:val="21"/>
                <w:highlight w:val="none"/>
              </w:rPr>
            </w:pPr>
          </w:p>
        </w:tc>
        <w:tc>
          <w:tcPr>
            <w:tcW w:w="1507" w:type="dxa"/>
          </w:tcPr>
          <w:p w14:paraId="00D0039C">
            <w:pPr>
              <w:rPr>
                <w:rFonts w:ascii="宋体" w:hAnsi="宋体"/>
                <w:color w:val="auto"/>
                <w:szCs w:val="21"/>
                <w:highlight w:val="none"/>
              </w:rPr>
            </w:pPr>
          </w:p>
        </w:tc>
      </w:tr>
      <w:tr w14:paraId="0490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087F0BA0">
            <w:pPr>
              <w:rPr>
                <w:rFonts w:ascii="宋体" w:hAnsi="宋体"/>
                <w:color w:val="auto"/>
                <w:szCs w:val="21"/>
                <w:highlight w:val="none"/>
              </w:rPr>
            </w:pPr>
          </w:p>
        </w:tc>
        <w:tc>
          <w:tcPr>
            <w:tcW w:w="1081" w:type="dxa"/>
          </w:tcPr>
          <w:p w14:paraId="144998A7">
            <w:pPr>
              <w:rPr>
                <w:rFonts w:ascii="宋体" w:hAnsi="宋体"/>
                <w:color w:val="auto"/>
                <w:szCs w:val="21"/>
                <w:highlight w:val="none"/>
              </w:rPr>
            </w:pPr>
          </w:p>
        </w:tc>
        <w:tc>
          <w:tcPr>
            <w:tcW w:w="1081" w:type="dxa"/>
          </w:tcPr>
          <w:p w14:paraId="350ACA00">
            <w:pPr>
              <w:rPr>
                <w:rFonts w:ascii="宋体" w:hAnsi="宋体"/>
                <w:color w:val="auto"/>
                <w:szCs w:val="21"/>
                <w:highlight w:val="none"/>
              </w:rPr>
            </w:pPr>
          </w:p>
        </w:tc>
        <w:tc>
          <w:tcPr>
            <w:tcW w:w="1442" w:type="dxa"/>
          </w:tcPr>
          <w:p w14:paraId="5FFB9145">
            <w:pPr>
              <w:rPr>
                <w:rFonts w:ascii="宋体" w:hAnsi="宋体"/>
                <w:color w:val="auto"/>
                <w:szCs w:val="21"/>
                <w:highlight w:val="none"/>
              </w:rPr>
            </w:pPr>
          </w:p>
        </w:tc>
        <w:tc>
          <w:tcPr>
            <w:tcW w:w="1622" w:type="dxa"/>
          </w:tcPr>
          <w:p w14:paraId="75F0E454">
            <w:pPr>
              <w:rPr>
                <w:rFonts w:ascii="宋体" w:hAnsi="宋体"/>
                <w:color w:val="auto"/>
                <w:szCs w:val="21"/>
                <w:highlight w:val="none"/>
              </w:rPr>
            </w:pPr>
          </w:p>
        </w:tc>
        <w:tc>
          <w:tcPr>
            <w:tcW w:w="1462" w:type="dxa"/>
          </w:tcPr>
          <w:p w14:paraId="34699496">
            <w:pPr>
              <w:rPr>
                <w:rFonts w:ascii="宋体" w:hAnsi="宋体"/>
                <w:color w:val="auto"/>
                <w:szCs w:val="21"/>
                <w:highlight w:val="none"/>
              </w:rPr>
            </w:pPr>
          </w:p>
        </w:tc>
        <w:tc>
          <w:tcPr>
            <w:tcW w:w="1507" w:type="dxa"/>
          </w:tcPr>
          <w:p w14:paraId="3678C60A">
            <w:pPr>
              <w:rPr>
                <w:rFonts w:ascii="宋体" w:hAnsi="宋体"/>
                <w:color w:val="auto"/>
                <w:szCs w:val="21"/>
                <w:highlight w:val="none"/>
              </w:rPr>
            </w:pPr>
          </w:p>
        </w:tc>
      </w:tr>
      <w:tr w14:paraId="7D5B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59F5907D">
            <w:pPr>
              <w:rPr>
                <w:rFonts w:ascii="宋体" w:hAnsi="宋体"/>
                <w:color w:val="auto"/>
                <w:szCs w:val="21"/>
                <w:highlight w:val="none"/>
              </w:rPr>
            </w:pPr>
          </w:p>
        </w:tc>
        <w:tc>
          <w:tcPr>
            <w:tcW w:w="1081" w:type="dxa"/>
          </w:tcPr>
          <w:p w14:paraId="44E478A6">
            <w:pPr>
              <w:rPr>
                <w:rFonts w:ascii="宋体" w:hAnsi="宋体"/>
                <w:color w:val="auto"/>
                <w:szCs w:val="21"/>
                <w:highlight w:val="none"/>
              </w:rPr>
            </w:pPr>
          </w:p>
        </w:tc>
        <w:tc>
          <w:tcPr>
            <w:tcW w:w="1081" w:type="dxa"/>
          </w:tcPr>
          <w:p w14:paraId="73D01FD9">
            <w:pPr>
              <w:rPr>
                <w:rFonts w:ascii="宋体" w:hAnsi="宋体"/>
                <w:color w:val="auto"/>
                <w:szCs w:val="21"/>
                <w:highlight w:val="none"/>
              </w:rPr>
            </w:pPr>
          </w:p>
        </w:tc>
        <w:tc>
          <w:tcPr>
            <w:tcW w:w="1442" w:type="dxa"/>
          </w:tcPr>
          <w:p w14:paraId="6A1BB76A">
            <w:pPr>
              <w:rPr>
                <w:rFonts w:ascii="宋体" w:hAnsi="宋体"/>
                <w:color w:val="auto"/>
                <w:szCs w:val="21"/>
                <w:highlight w:val="none"/>
              </w:rPr>
            </w:pPr>
          </w:p>
        </w:tc>
        <w:tc>
          <w:tcPr>
            <w:tcW w:w="1622" w:type="dxa"/>
          </w:tcPr>
          <w:p w14:paraId="2A74AB94">
            <w:pPr>
              <w:rPr>
                <w:rFonts w:ascii="宋体" w:hAnsi="宋体"/>
                <w:color w:val="auto"/>
                <w:szCs w:val="21"/>
                <w:highlight w:val="none"/>
              </w:rPr>
            </w:pPr>
          </w:p>
        </w:tc>
        <w:tc>
          <w:tcPr>
            <w:tcW w:w="1462" w:type="dxa"/>
          </w:tcPr>
          <w:p w14:paraId="57622B33">
            <w:pPr>
              <w:rPr>
                <w:rFonts w:ascii="宋体" w:hAnsi="宋体"/>
                <w:color w:val="auto"/>
                <w:szCs w:val="21"/>
                <w:highlight w:val="none"/>
              </w:rPr>
            </w:pPr>
          </w:p>
        </w:tc>
        <w:tc>
          <w:tcPr>
            <w:tcW w:w="1507" w:type="dxa"/>
          </w:tcPr>
          <w:p w14:paraId="751B7493">
            <w:pPr>
              <w:rPr>
                <w:rFonts w:ascii="宋体" w:hAnsi="宋体"/>
                <w:color w:val="auto"/>
                <w:szCs w:val="21"/>
                <w:highlight w:val="none"/>
              </w:rPr>
            </w:pPr>
          </w:p>
        </w:tc>
      </w:tr>
      <w:tr w14:paraId="685B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2" w:type="dxa"/>
          </w:tcPr>
          <w:p w14:paraId="16C15EFF">
            <w:pPr>
              <w:rPr>
                <w:rFonts w:ascii="宋体" w:hAnsi="宋体"/>
                <w:color w:val="auto"/>
                <w:szCs w:val="21"/>
                <w:highlight w:val="none"/>
              </w:rPr>
            </w:pPr>
          </w:p>
        </w:tc>
        <w:tc>
          <w:tcPr>
            <w:tcW w:w="1081" w:type="dxa"/>
          </w:tcPr>
          <w:p w14:paraId="5017873C">
            <w:pPr>
              <w:rPr>
                <w:rFonts w:ascii="宋体" w:hAnsi="宋体"/>
                <w:color w:val="auto"/>
                <w:szCs w:val="21"/>
                <w:highlight w:val="none"/>
              </w:rPr>
            </w:pPr>
          </w:p>
        </w:tc>
        <w:tc>
          <w:tcPr>
            <w:tcW w:w="1081" w:type="dxa"/>
          </w:tcPr>
          <w:p w14:paraId="74D9DF34">
            <w:pPr>
              <w:rPr>
                <w:rFonts w:ascii="宋体" w:hAnsi="宋体"/>
                <w:color w:val="auto"/>
                <w:szCs w:val="21"/>
                <w:highlight w:val="none"/>
              </w:rPr>
            </w:pPr>
          </w:p>
        </w:tc>
        <w:tc>
          <w:tcPr>
            <w:tcW w:w="1442" w:type="dxa"/>
          </w:tcPr>
          <w:p w14:paraId="6E1BD811">
            <w:pPr>
              <w:rPr>
                <w:rFonts w:ascii="宋体" w:hAnsi="宋体"/>
                <w:color w:val="auto"/>
                <w:szCs w:val="21"/>
                <w:highlight w:val="none"/>
              </w:rPr>
            </w:pPr>
          </w:p>
        </w:tc>
        <w:tc>
          <w:tcPr>
            <w:tcW w:w="1622" w:type="dxa"/>
          </w:tcPr>
          <w:p w14:paraId="005D791F">
            <w:pPr>
              <w:rPr>
                <w:rFonts w:ascii="宋体" w:hAnsi="宋体"/>
                <w:color w:val="auto"/>
                <w:szCs w:val="21"/>
                <w:highlight w:val="none"/>
              </w:rPr>
            </w:pPr>
          </w:p>
        </w:tc>
        <w:tc>
          <w:tcPr>
            <w:tcW w:w="1462" w:type="dxa"/>
          </w:tcPr>
          <w:p w14:paraId="04C2A95A">
            <w:pPr>
              <w:rPr>
                <w:rFonts w:ascii="宋体" w:hAnsi="宋体"/>
                <w:color w:val="auto"/>
                <w:szCs w:val="21"/>
                <w:highlight w:val="none"/>
              </w:rPr>
            </w:pPr>
          </w:p>
        </w:tc>
        <w:tc>
          <w:tcPr>
            <w:tcW w:w="1507" w:type="dxa"/>
          </w:tcPr>
          <w:p w14:paraId="78DF6B14">
            <w:pPr>
              <w:rPr>
                <w:rFonts w:ascii="宋体" w:hAnsi="宋体"/>
                <w:color w:val="auto"/>
                <w:szCs w:val="21"/>
                <w:highlight w:val="none"/>
              </w:rPr>
            </w:pPr>
          </w:p>
        </w:tc>
      </w:tr>
      <w:tr w14:paraId="46A4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1B1BE8DF">
            <w:pPr>
              <w:rPr>
                <w:rFonts w:ascii="宋体" w:hAnsi="宋体"/>
                <w:color w:val="auto"/>
                <w:szCs w:val="21"/>
                <w:highlight w:val="none"/>
              </w:rPr>
            </w:pPr>
          </w:p>
        </w:tc>
        <w:tc>
          <w:tcPr>
            <w:tcW w:w="1081" w:type="dxa"/>
          </w:tcPr>
          <w:p w14:paraId="61B0CF6C">
            <w:pPr>
              <w:rPr>
                <w:rFonts w:ascii="宋体" w:hAnsi="宋体"/>
                <w:color w:val="auto"/>
                <w:szCs w:val="21"/>
                <w:highlight w:val="none"/>
              </w:rPr>
            </w:pPr>
          </w:p>
        </w:tc>
        <w:tc>
          <w:tcPr>
            <w:tcW w:w="1081" w:type="dxa"/>
          </w:tcPr>
          <w:p w14:paraId="56601CA2">
            <w:pPr>
              <w:rPr>
                <w:rFonts w:ascii="宋体" w:hAnsi="宋体"/>
                <w:color w:val="auto"/>
                <w:szCs w:val="21"/>
                <w:highlight w:val="none"/>
              </w:rPr>
            </w:pPr>
          </w:p>
        </w:tc>
        <w:tc>
          <w:tcPr>
            <w:tcW w:w="1442" w:type="dxa"/>
          </w:tcPr>
          <w:p w14:paraId="119EDB75">
            <w:pPr>
              <w:rPr>
                <w:rFonts w:ascii="宋体" w:hAnsi="宋体"/>
                <w:color w:val="auto"/>
                <w:szCs w:val="21"/>
                <w:highlight w:val="none"/>
              </w:rPr>
            </w:pPr>
          </w:p>
        </w:tc>
        <w:tc>
          <w:tcPr>
            <w:tcW w:w="1622" w:type="dxa"/>
          </w:tcPr>
          <w:p w14:paraId="13D0B335">
            <w:pPr>
              <w:rPr>
                <w:rFonts w:ascii="宋体" w:hAnsi="宋体"/>
                <w:color w:val="auto"/>
                <w:szCs w:val="21"/>
                <w:highlight w:val="none"/>
              </w:rPr>
            </w:pPr>
          </w:p>
        </w:tc>
        <w:tc>
          <w:tcPr>
            <w:tcW w:w="1462" w:type="dxa"/>
          </w:tcPr>
          <w:p w14:paraId="274D4581">
            <w:pPr>
              <w:rPr>
                <w:rFonts w:ascii="宋体" w:hAnsi="宋体"/>
                <w:color w:val="auto"/>
                <w:szCs w:val="21"/>
                <w:highlight w:val="none"/>
              </w:rPr>
            </w:pPr>
          </w:p>
        </w:tc>
        <w:tc>
          <w:tcPr>
            <w:tcW w:w="1507" w:type="dxa"/>
          </w:tcPr>
          <w:p w14:paraId="1829A1F0">
            <w:pPr>
              <w:rPr>
                <w:rFonts w:ascii="宋体" w:hAnsi="宋体"/>
                <w:color w:val="auto"/>
                <w:szCs w:val="21"/>
                <w:highlight w:val="none"/>
              </w:rPr>
            </w:pPr>
          </w:p>
        </w:tc>
      </w:tr>
      <w:tr w14:paraId="2B08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3EB9EF89">
            <w:pPr>
              <w:rPr>
                <w:rFonts w:ascii="宋体" w:hAnsi="宋体"/>
                <w:color w:val="auto"/>
                <w:szCs w:val="21"/>
                <w:highlight w:val="none"/>
              </w:rPr>
            </w:pPr>
          </w:p>
        </w:tc>
        <w:tc>
          <w:tcPr>
            <w:tcW w:w="1081" w:type="dxa"/>
          </w:tcPr>
          <w:p w14:paraId="46759DDB">
            <w:pPr>
              <w:rPr>
                <w:rFonts w:ascii="宋体" w:hAnsi="宋体"/>
                <w:color w:val="auto"/>
                <w:szCs w:val="21"/>
                <w:highlight w:val="none"/>
              </w:rPr>
            </w:pPr>
          </w:p>
        </w:tc>
        <w:tc>
          <w:tcPr>
            <w:tcW w:w="1081" w:type="dxa"/>
          </w:tcPr>
          <w:p w14:paraId="73AC6807">
            <w:pPr>
              <w:rPr>
                <w:rFonts w:ascii="宋体" w:hAnsi="宋体"/>
                <w:color w:val="auto"/>
                <w:szCs w:val="21"/>
                <w:highlight w:val="none"/>
              </w:rPr>
            </w:pPr>
          </w:p>
        </w:tc>
        <w:tc>
          <w:tcPr>
            <w:tcW w:w="1442" w:type="dxa"/>
          </w:tcPr>
          <w:p w14:paraId="43B969B6">
            <w:pPr>
              <w:rPr>
                <w:rFonts w:ascii="宋体" w:hAnsi="宋体"/>
                <w:color w:val="auto"/>
                <w:szCs w:val="21"/>
                <w:highlight w:val="none"/>
              </w:rPr>
            </w:pPr>
          </w:p>
        </w:tc>
        <w:tc>
          <w:tcPr>
            <w:tcW w:w="1622" w:type="dxa"/>
          </w:tcPr>
          <w:p w14:paraId="6977B7EE">
            <w:pPr>
              <w:rPr>
                <w:rFonts w:ascii="宋体" w:hAnsi="宋体"/>
                <w:color w:val="auto"/>
                <w:szCs w:val="21"/>
                <w:highlight w:val="none"/>
              </w:rPr>
            </w:pPr>
          </w:p>
        </w:tc>
        <w:tc>
          <w:tcPr>
            <w:tcW w:w="1462" w:type="dxa"/>
          </w:tcPr>
          <w:p w14:paraId="7D6AF4ED">
            <w:pPr>
              <w:rPr>
                <w:rFonts w:ascii="宋体" w:hAnsi="宋体"/>
                <w:color w:val="auto"/>
                <w:szCs w:val="21"/>
                <w:highlight w:val="none"/>
              </w:rPr>
            </w:pPr>
          </w:p>
        </w:tc>
        <w:tc>
          <w:tcPr>
            <w:tcW w:w="1507" w:type="dxa"/>
          </w:tcPr>
          <w:p w14:paraId="79A7A553">
            <w:pPr>
              <w:rPr>
                <w:rFonts w:ascii="宋体" w:hAnsi="宋体"/>
                <w:color w:val="auto"/>
                <w:szCs w:val="21"/>
                <w:highlight w:val="none"/>
              </w:rPr>
            </w:pPr>
          </w:p>
        </w:tc>
      </w:tr>
      <w:tr w14:paraId="232E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2" w:type="dxa"/>
          </w:tcPr>
          <w:p w14:paraId="794A8CA7">
            <w:pPr>
              <w:rPr>
                <w:rFonts w:ascii="宋体" w:hAnsi="宋体"/>
                <w:color w:val="auto"/>
                <w:szCs w:val="21"/>
                <w:highlight w:val="none"/>
              </w:rPr>
            </w:pPr>
          </w:p>
        </w:tc>
        <w:tc>
          <w:tcPr>
            <w:tcW w:w="1081" w:type="dxa"/>
          </w:tcPr>
          <w:p w14:paraId="1E0407A0">
            <w:pPr>
              <w:rPr>
                <w:rFonts w:ascii="宋体" w:hAnsi="宋体"/>
                <w:color w:val="auto"/>
                <w:szCs w:val="21"/>
                <w:highlight w:val="none"/>
              </w:rPr>
            </w:pPr>
          </w:p>
        </w:tc>
        <w:tc>
          <w:tcPr>
            <w:tcW w:w="1081" w:type="dxa"/>
          </w:tcPr>
          <w:p w14:paraId="5485C08F">
            <w:pPr>
              <w:rPr>
                <w:rFonts w:ascii="宋体" w:hAnsi="宋体"/>
                <w:color w:val="auto"/>
                <w:szCs w:val="21"/>
                <w:highlight w:val="none"/>
              </w:rPr>
            </w:pPr>
          </w:p>
        </w:tc>
        <w:tc>
          <w:tcPr>
            <w:tcW w:w="1442" w:type="dxa"/>
          </w:tcPr>
          <w:p w14:paraId="10DE1AF3">
            <w:pPr>
              <w:rPr>
                <w:rFonts w:ascii="宋体" w:hAnsi="宋体"/>
                <w:color w:val="auto"/>
                <w:szCs w:val="21"/>
                <w:highlight w:val="none"/>
              </w:rPr>
            </w:pPr>
          </w:p>
        </w:tc>
        <w:tc>
          <w:tcPr>
            <w:tcW w:w="1622" w:type="dxa"/>
          </w:tcPr>
          <w:p w14:paraId="0546FBEE">
            <w:pPr>
              <w:rPr>
                <w:rFonts w:ascii="宋体" w:hAnsi="宋体"/>
                <w:color w:val="auto"/>
                <w:szCs w:val="21"/>
                <w:highlight w:val="none"/>
              </w:rPr>
            </w:pPr>
          </w:p>
        </w:tc>
        <w:tc>
          <w:tcPr>
            <w:tcW w:w="1462" w:type="dxa"/>
          </w:tcPr>
          <w:p w14:paraId="5F59E232">
            <w:pPr>
              <w:rPr>
                <w:rFonts w:ascii="宋体" w:hAnsi="宋体"/>
                <w:color w:val="auto"/>
                <w:szCs w:val="21"/>
                <w:highlight w:val="none"/>
              </w:rPr>
            </w:pPr>
          </w:p>
        </w:tc>
        <w:tc>
          <w:tcPr>
            <w:tcW w:w="1507" w:type="dxa"/>
          </w:tcPr>
          <w:p w14:paraId="3E2DAA08">
            <w:pPr>
              <w:rPr>
                <w:rFonts w:ascii="宋体" w:hAnsi="宋体"/>
                <w:color w:val="auto"/>
                <w:szCs w:val="21"/>
                <w:highlight w:val="none"/>
              </w:rPr>
            </w:pPr>
          </w:p>
        </w:tc>
      </w:tr>
      <w:tr w14:paraId="02AE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62" w:type="dxa"/>
          </w:tcPr>
          <w:p w14:paraId="3E6F2350">
            <w:pPr>
              <w:rPr>
                <w:rFonts w:ascii="宋体" w:hAnsi="宋体"/>
                <w:color w:val="auto"/>
                <w:szCs w:val="21"/>
                <w:highlight w:val="none"/>
              </w:rPr>
            </w:pPr>
          </w:p>
        </w:tc>
        <w:tc>
          <w:tcPr>
            <w:tcW w:w="1081" w:type="dxa"/>
          </w:tcPr>
          <w:p w14:paraId="69F5C2BE">
            <w:pPr>
              <w:rPr>
                <w:rFonts w:ascii="宋体" w:hAnsi="宋体"/>
                <w:color w:val="auto"/>
                <w:szCs w:val="21"/>
                <w:highlight w:val="none"/>
              </w:rPr>
            </w:pPr>
          </w:p>
        </w:tc>
        <w:tc>
          <w:tcPr>
            <w:tcW w:w="1081" w:type="dxa"/>
          </w:tcPr>
          <w:p w14:paraId="5982AC8F">
            <w:pPr>
              <w:rPr>
                <w:rFonts w:ascii="宋体" w:hAnsi="宋体"/>
                <w:color w:val="auto"/>
                <w:szCs w:val="21"/>
                <w:highlight w:val="none"/>
              </w:rPr>
            </w:pPr>
          </w:p>
        </w:tc>
        <w:tc>
          <w:tcPr>
            <w:tcW w:w="1442" w:type="dxa"/>
          </w:tcPr>
          <w:p w14:paraId="1A91A2E6">
            <w:pPr>
              <w:rPr>
                <w:rFonts w:ascii="宋体" w:hAnsi="宋体"/>
                <w:color w:val="auto"/>
                <w:szCs w:val="21"/>
                <w:highlight w:val="none"/>
              </w:rPr>
            </w:pPr>
          </w:p>
        </w:tc>
        <w:tc>
          <w:tcPr>
            <w:tcW w:w="1622" w:type="dxa"/>
          </w:tcPr>
          <w:p w14:paraId="16106C50">
            <w:pPr>
              <w:rPr>
                <w:rFonts w:ascii="宋体" w:hAnsi="宋体"/>
                <w:color w:val="auto"/>
                <w:szCs w:val="21"/>
                <w:highlight w:val="none"/>
              </w:rPr>
            </w:pPr>
          </w:p>
        </w:tc>
        <w:tc>
          <w:tcPr>
            <w:tcW w:w="1462" w:type="dxa"/>
          </w:tcPr>
          <w:p w14:paraId="075286C2">
            <w:pPr>
              <w:rPr>
                <w:rFonts w:ascii="宋体" w:hAnsi="宋体"/>
                <w:color w:val="auto"/>
                <w:szCs w:val="21"/>
                <w:highlight w:val="none"/>
              </w:rPr>
            </w:pPr>
          </w:p>
        </w:tc>
        <w:tc>
          <w:tcPr>
            <w:tcW w:w="1507" w:type="dxa"/>
          </w:tcPr>
          <w:p w14:paraId="1FDD4204">
            <w:pPr>
              <w:rPr>
                <w:rFonts w:ascii="宋体" w:hAnsi="宋体"/>
                <w:color w:val="auto"/>
                <w:szCs w:val="21"/>
                <w:highlight w:val="none"/>
              </w:rPr>
            </w:pPr>
          </w:p>
        </w:tc>
      </w:tr>
    </w:tbl>
    <w:p w14:paraId="41E1AFCF">
      <w:pPr>
        <w:rPr>
          <w:rFonts w:ascii="宋体" w:hAnsi="宋体"/>
          <w:color w:val="auto"/>
          <w:sz w:val="24"/>
          <w:szCs w:val="20"/>
          <w:highlight w:val="none"/>
        </w:rPr>
      </w:pPr>
      <w:r>
        <w:rPr>
          <w:rFonts w:hint="eastAsia" w:ascii="宋体" w:hAnsi="宋体"/>
          <w:color w:val="auto"/>
          <w:szCs w:val="21"/>
          <w:highlight w:val="none"/>
        </w:rPr>
        <w:t>注：本表后附</w:t>
      </w:r>
      <w:r>
        <w:rPr>
          <w:rFonts w:hint="eastAsia"/>
          <w:color w:val="auto"/>
          <w:szCs w:val="21"/>
          <w:highlight w:val="none"/>
        </w:rPr>
        <w:t>相关证明材料</w:t>
      </w:r>
      <w:r>
        <w:rPr>
          <w:rFonts w:hint="eastAsia" w:ascii="宋体" w:hAnsi="宋体"/>
          <w:color w:val="auto"/>
          <w:szCs w:val="21"/>
          <w:highlight w:val="none"/>
        </w:rPr>
        <w:t>。</w:t>
      </w:r>
    </w:p>
    <w:p w14:paraId="66DE514C">
      <w:pPr>
        <w:snapToGrid w:val="0"/>
        <w:spacing w:line="360" w:lineRule="auto"/>
        <w:ind w:firstLine="480"/>
        <w:rPr>
          <w:rFonts w:ascii="宋体" w:hAnsi="宋体"/>
          <w:color w:val="auto"/>
          <w:sz w:val="24"/>
          <w:highlight w:val="none"/>
        </w:rPr>
      </w:pPr>
    </w:p>
    <w:p w14:paraId="6C93E265">
      <w:pPr>
        <w:snapToGrid w:val="0"/>
        <w:spacing w:line="360" w:lineRule="auto"/>
        <w:rPr>
          <w:rFonts w:ascii="宋体" w:hAnsi="宋体"/>
          <w:color w:val="auto"/>
          <w:sz w:val="24"/>
          <w:highlight w:val="none"/>
        </w:rPr>
      </w:pPr>
      <w:r>
        <w:rPr>
          <w:rFonts w:hint="eastAsia" w:ascii="宋体" w:hAnsi="宋体"/>
          <w:color w:val="auto"/>
          <w:sz w:val="24"/>
          <w:highlight w:val="none"/>
        </w:rPr>
        <w:t>法定代表人或授权委托人签名：</w:t>
      </w:r>
    </w:p>
    <w:p w14:paraId="04CD0FFA">
      <w:pPr>
        <w:snapToGrid w:val="0"/>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投标人全称（盖章）：</w:t>
      </w:r>
    </w:p>
    <w:p w14:paraId="597AA215">
      <w:pPr>
        <w:snapToGrid w:val="0"/>
        <w:spacing w:line="360" w:lineRule="auto"/>
        <w:jc w:val="left"/>
        <w:rPr>
          <w:rFonts w:ascii="宋体" w:hAnsi="宋体"/>
          <w:color w:val="auto"/>
          <w:spacing w:val="20"/>
          <w:sz w:val="24"/>
          <w:highlight w:val="none"/>
          <w:u w:val="single"/>
        </w:rPr>
      </w:pPr>
      <w:r>
        <w:rPr>
          <w:rFonts w:hint="eastAsia" w:ascii="宋体" w:hAnsi="宋体"/>
          <w:color w:val="auto"/>
          <w:spacing w:val="20"/>
          <w:sz w:val="24"/>
          <w:highlight w:val="none"/>
        </w:rPr>
        <w:t>日期：</w:t>
      </w:r>
    </w:p>
    <w:p w14:paraId="426BC31C">
      <w:pPr>
        <w:spacing w:line="360" w:lineRule="auto"/>
        <w:rPr>
          <w:rFonts w:ascii="宋体" w:hAnsi="宋体"/>
          <w:color w:val="auto"/>
          <w:sz w:val="24"/>
          <w:highlight w:val="none"/>
        </w:rPr>
      </w:pPr>
    </w:p>
    <w:p w14:paraId="04B23D77">
      <w:pPr>
        <w:pStyle w:val="3"/>
        <w:keepNext w:val="0"/>
        <w:keepLines w:val="0"/>
        <w:pageBreakBefore/>
        <w:rPr>
          <w:rFonts w:ascii="宋体" w:hAnsi="宋体" w:eastAsia="宋体" w:cs="宋体"/>
          <w:b w:val="0"/>
          <w:color w:val="auto"/>
          <w:kern w:val="0"/>
          <w:sz w:val="24"/>
          <w:szCs w:val="24"/>
          <w:highlight w:val="none"/>
        </w:rPr>
      </w:pPr>
      <w:bookmarkStart w:id="82" w:name="_Toc1308"/>
      <w:r>
        <w:rPr>
          <w:rFonts w:hint="eastAsia" w:ascii="宋体" w:hAnsi="宋体" w:eastAsia="宋体" w:cs="宋体"/>
          <w:b w:val="0"/>
          <w:color w:val="auto"/>
          <w:kern w:val="0"/>
          <w:sz w:val="24"/>
          <w:szCs w:val="24"/>
          <w:highlight w:val="none"/>
        </w:rPr>
        <w:t>附件十一：同类项目业绩一览表</w:t>
      </w:r>
      <w:bookmarkEnd w:id="81"/>
      <w:bookmarkEnd w:id="82"/>
    </w:p>
    <w:p w14:paraId="215AA571">
      <w:pPr>
        <w:widowControl/>
        <w:jc w:val="left"/>
        <w:rPr>
          <w:rFonts w:ascii="宋体" w:hAnsi="宋体" w:cs="宋体"/>
          <w:color w:val="auto"/>
          <w:kern w:val="0"/>
          <w:sz w:val="24"/>
          <w:highlight w:val="none"/>
        </w:rPr>
      </w:pPr>
    </w:p>
    <w:p w14:paraId="2413467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同类项目业绩一览表</w:t>
      </w:r>
    </w:p>
    <w:p w14:paraId="264FF5E1">
      <w:pPr>
        <w:widowControl/>
        <w:jc w:val="left"/>
        <w:rPr>
          <w:rFonts w:ascii="宋体" w:hAnsi="宋体" w:cs="宋体"/>
          <w:color w:val="auto"/>
          <w:kern w:val="0"/>
          <w:sz w:val="24"/>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2"/>
        <w:gridCol w:w="1312"/>
        <w:gridCol w:w="1312"/>
        <w:gridCol w:w="1312"/>
        <w:gridCol w:w="1313"/>
      </w:tblGrid>
      <w:tr w14:paraId="4613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312" w:type="dxa"/>
            <w:vAlign w:val="center"/>
          </w:tcPr>
          <w:p w14:paraId="39D31CA9">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项目名称</w:t>
            </w:r>
          </w:p>
        </w:tc>
        <w:tc>
          <w:tcPr>
            <w:tcW w:w="1312" w:type="dxa"/>
            <w:vAlign w:val="center"/>
          </w:tcPr>
          <w:p w14:paraId="25F55FD1">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31BB0FCF">
            <w:pPr>
              <w:jc w:val="center"/>
              <w:rPr>
                <w:rFonts w:ascii="宋体" w:hAnsi="宋体" w:cs="宋体"/>
                <w:color w:val="auto"/>
                <w:sz w:val="24"/>
                <w:highlight w:val="none"/>
                <w:lang w:val="zh-CN"/>
              </w:rPr>
            </w:pPr>
            <w:r>
              <w:rPr>
                <w:rFonts w:hint="eastAsia" w:ascii="宋体" w:hAnsi="宋体" w:cs="宋体"/>
                <w:color w:val="auto"/>
                <w:sz w:val="24"/>
                <w:highlight w:val="none"/>
                <w:lang w:val="zh-CN"/>
              </w:rPr>
              <w:t>类型</w:t>
            </w:r>
          </w:p>
        </w:tc>
        <w:tc>
          <w:tcPr>
            <w:tcW w:w="1312" w:type="dxa"/>
            <w:vAlign w:val="center"/>
          </w:tcPr>
          <w:p w14:paraId="67562C11">
            <w:pPr>
              <w:jc w:val="center"/>
              <w:rPr>
                <w:rFonts w:ascii="宋体" w:hAnsi="宋体" w:cs="宋体"/>
                <w:color w:val="auto"/>
                <w:sz w:val="24"/>
                <w:highlight w:val="none"/>
                <w:lang w:val="zh-CN"/>
              </w:rPr>
            </w:pPr>
            <w:r>
              <w:rPr>
                <w:rFonts w:hint="eastAsia" w:ascii="宋体" w:hAnsi="宋体" w:cs="宋体"/>
                <w:color w:val="auto"/>
                <w:sz w:val="24"/>
                <w:highlight w:val="none"/>
                <w:lang w:val="zh-CN"/>
              </w:rPr>
              <w:t>简要描述</w:t>
            </w:r>
          </w:p>
        </w:tc>
        <w:tc>
          <w:tcPr>
            <w:tcW w:w="1312" w:type="dxa"/>
            <w:vAlign w:val="center"/>
          </w:tcPr>
          <w:p w14:paraId="60FC54E2">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w:t>
            </w:r>
          </w:p>
          <w:p w14:paraId="61304CC2">
            <w:pPr>
              <w:jc w:val="center"/>
              <w:rPr>
                <w:rFonts w:ascii="宋体" w:hAnsi="宋体" w:cs="宋体"/>
                <w:color w:val="auto"/>
                <w:sz w:val="24"/>
                <w:highlight w:val="none"/>
                <w:lang w:val="zh-CN"/>
              </w:rPr>
            </w:pPr>
            <w:r>
              <w:rPr>
                <w:rFonts w:hint="eastAsia" w:ascii="宋体" w:hAnsi="宋体" w:cs="宋体"/>
                <w:color w:val="auto"/>
                <w:sz w:val="24"/>
                <w:highlight w:val="none"/>
                <w:lang w:val="zh-CN"/>
              </w:rPr>
              <w:t>金额</w:t>
            </w:r>
          </w:p>
          <w:p w14:paraId="087E3D5B">
            <w:pPr>
              <w:jc w:val="center"/>
              <w:rPr>
                <w:rFonts w:ascii="宋体" w:hAnsi="宋体" w:cs="宋体"/>
                <w:color w:val="auto"/>
                <w:sz w:val="24"/>
                <w:highlight w:val="none"/>
                <w:lang w:val="zh-CN"/>
              </w:rPr>
            </w:pPr>
            <w:r>
              <w:rPr>
                <w:rFonts w:hint="eastAsia" w:ascii="宋体" w:hAnsi="宋体" w:cs="宋体"/>
                <w:color w:val="auto"/>
                <w:sz w:val="24"/>
                <w:highlight w:val="none"/>
                <w:lang w:val="zh-CN"/>
              </w:rPr>
              <w:t>（万元）</w:t>
            </w:r>
          </w:p>
        </w:tc>
        <w:tc>
          <w:tcPr>
            <w:tcW w:w="1312" w:type="dxa"/>
            <w:vAlign w:val="center"/>
          </w:tcPr>
          <w:p w14:paraId="367646A9">
            <w:pPr>
              <w:jc w:val="center"/>
              <w:rPr>
                <w:rFonts w:ascii="宋体" w:hAnsi="宋体" w:cs="宋体"/>
                <w:color w:val="auto"/>
                <w:sz w:val="24"/>
                <w:highlight w:val="none"/>
                <w:lang w:val="zh-CN"/>
              </w:rPr>
            </w:pPr>
            <w:r>
              <w:rPr>
                <w:rFonts w:hint="eastAsia" w:ascii="宋体" w:hAnsi="宋体" w:cs="宋体"/>
                <w:color w:val="auto"/>
                <w:sz w:val="24"/>
                <w:highlight w:val="none"/>
                <w:lang w:val="zh-CN"/>
              </w:rPr>
              <w:t>实施时间</w:t>
            </w:r>
          </w:p>
        </w:tc>
        <w:tc>
          <w:tcPr>
            <w:tcW w:w="1312" w:type="dxa"/>
            <w:vAlign w:val="center"/>
          </w:tcPr>
          <w:p w14:paraId="3B3134F6">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项目单位、联系人及电话</w:t>
            </w:r>
          </w:p>
        </w:tc>
        <w:tc>
          <w:tcPr>
            <w:tcW w:w="1313" w:type="dxa"/>
            <w:vAlign w:val="center"/>
          </w:tcPr>
          <w:p w14:paraId="18ABBB20">
            <w:pPr>
              <w:jc w:val="center"/>
              <w:rPr>
                <w:rFonts w:ascii="宋体" w:hAnsi="宋体" w:cs="宋体"/>
                <w:color w:val="auto"/>
                <w:sz w:val="24"/>
                <w:highlight w:val="none"/>
                <w:lang w:val="zh-CN"/>
              </w:rPr>
            </w:pPr>
            <w:r>
              <w:rPr>
                <w:rFonts w:hint="eastAsia" w:ascii="宋体" w:hAnsi="宋体" w:cs="宋体"/>
                <w:color w:val="auto"/>
                <w:sz w:val="24"/>
                <w:highlight w:val="none"/>
                <w:lang w:val="zh-CN"/>
              </w:rPr>
              <w:t>项目完成情况</w:t>
            </w:r>
          </w:p>
        </w:tc>
      </w:tr>
      <w:tr w14:paraId="0C82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2" w:type="dxa"/>
            <w:vAlign w:val="center"/>
          </w:tcPr>
          <w:p w14:paraId="07F769F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DA335B5">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EF9FF1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FED059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469DE0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2E49E81">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2E629249">
            <w:pPr>
              <w:autoSpaceDE w:val="0"/>
              <w:autoSpaceDN w:val="0"/>
              <w:adjustRightInd w:val="0"/>
              <w:spacing w:line="360" w:lineRule="auto"/>
              <w:jc w:val="center"/>
              <w:rPr>
                <w:rFonts w:ascii="宋体" w:hAnsi="宋体" w:cs="宋体"/>
                <w:color w:val="auto"/>
                <w:sz w:val="24"/>
                <w:highlight w:val="none"/>
                <w:lang w:val="zh-CN"/>
              </w:rPr>
            </w:pPr>
          </w:p>
        </w:tc>
      </w:tr>
      <w:tr w14:paraId="03A7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12" w:type="dxa"/>
            <w:vAlign w:val="center"/>
          </w:tcPr>
          <w:p w14:paraId="5112810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44AFB53">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0A156D4">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0E665D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D55AB03">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CBC320D">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19B1E520">
            <w:pPr>
              <w:autoSpaceDE w:val="0"/>
              <w:autoSpaceDN w:val="0"/>
              <w:adjustRightInd w:val="0"/>
              <w:spacing w:line="360" w:lineRule="auto"/>
              <w:jc w:val="center"/>
              <w:rPr>
                <w:rFonts w:ascii="宋体" w:hAnsi="宋体" w:cs="宋体"/>
                <w:color w:val="auto"/>
                <w:sz w:val="24"/>
                <w:highlight w:val="none"/>
                <w:lang w:val="zh-CN"/>
              </w:rPr>
            </w:pPr>
          </w:p>
        </w:tc>
      </w:tr>
      <w:tr w14:paraId="6C15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312" w:type="dxa"/>
            <w:vAlign w:val="center"/>
          </w:tcPr>
          <w:p w14:paraId="0314100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3A4E6C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BF90CB8">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4A0205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FC9434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9072514">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69AA7ED8">
            <w:pPr>
              <w:autoSpaceDE w:val="0"/>
              <w:autoSpaceDN w:val="0"/>
              <w:adjustRightInd w:val="0"/>
              <w:spacing w:line="360" w:lineRule="auto"/>
              <w:jc w:val="center"/>
              <w:rPr>
                <w:rFonts w:ascii="宋体" w:hAnsi="宋体" w:cs="宋体"/>
                <w:color w:val="auto"/>
                <w:sz w:val="24"/>
                <w:highlight w:val="none"/>
                <w:lang w:val="zh-CN"/>
              </w:rPr>
            </w:pPr>
          </w:p>
        </w:tc>
      </w:tr>
      <w:tr w14:paraId="58A3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12" w:type="dxa"/>
            <w:vAlign w:val="center"/>
          </w:tcPr>
          <w:p w14:paraId="0AA0B89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AA6DA3F">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5626D54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8230C99">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DB2AB36">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3BD58344">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2CFB5C47">
            <w:pPr>
              <w:autoSpaceDE w:val="0"/>
              <w:autoSpaceDN w:val="0"/>
              <w:adjustRightInd w:val="0"/>
              <w:spacing w:line="360" w:lineRule="auto"/>
              <w:jc w:val="center"/>
              <w:rPr>
                <w:rFonts w:ascii="宋体" w:hAnsi="宋体" w:cs="宋体"/>
                <w:color w:val="auto"/>
                <w:sz w:val="24"/>
                <w:highlight w:val="none"/>
                <w:lang w:val="zh-CN"/>
              </w:rPr>
            </w:pPr>
          </w:p>
        </w:tc>
      </w:tr>
      <w:tr w14:paraId="3B66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312" w:type="dxa"/>
            <w:vAlign w:val="center"/>
          </w:tcPr>
          <w:p w14:paraId="4621CEC0">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6A04D2A8">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7C8381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5E912BD">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D7C0EFB">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F2343E5">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3F92DF6A">
            <w:pPr>
              <w:autoSpaceDE w:val="0"/>
              <w:autoSpaceDN w:val="0"/>
              <w:adjustRightInd w:val="0"/>
              <w:spacing w:line="360" w:lineRule="auto"/>
              <w:jc w:val="center"/>
              <w:rPr>
                <w:rFonts w:ascii="宋体" w:hAnsi="宋体" w:cs="宋体"/>
                <w:color w:val="auto"/>
                <w:sz w:val="24"/>
                <w:highlight w:val="none"/>
                <w:lang w:val="zh-CN"/>
              </w:rPr>
            </w:pPr>
          </w:p>
        </w:tc>
      </w:tr>
      <w:tr w14:paraId="597E2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312" w:type="dxa"/>
            <w:vAlign w:val="center"/>
          </w:tcPr>
          <w:p w14:paraId="1DA4E1A7">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11271AE2">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28521603">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76FAD541">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06DBC673">
            <w:pPr>
              <w:autoSpaceDE w:val="0"/>
              <w:autoSpaceDN w:val="0"/>
              <w:adjustRightInd w:val="0"/>
              <w:spacing w:line="360" w:lineRule="auto"/>
              <w:jc w:val="center"/>
              <w:rPr>
                <w:rFonts w:ascii="宋体" w:hAnsi="宋体" w:cs="宋体"/>
                <w:color w:val="auto"/>
                <w:sz w:val="24"/>
                <w:highlight w:val="none"/>
                <w:lang w:val="zh-CN"/>
              </w:rPr>
            </w:pPr>
          </w:p>
        </w:tc>
        <w:tc>
          <w:tcPr>
            <w:tcW w:w="1312" w:type="dxa"/>
            <w:vAlign w:val="center"/>
          </w:tcPr>
          <w:p w14:paraId="447FADD3">
            <w:pPr>
              <w:autoSpaceDE w:val="0"/>
              <w:autoSpaceDN w:val="0"/>
              <w:adjustRightInd w:val="0"/>
              <w:spacing w:line="360" w:lineRule="auto"/>
              <w:jc w:val="center"/>
              <w:rPr>
                <w:rFonts w:ascii="宋体" w:hAnsi="宋体" w:cs="宋体"/>
                <w:color w:val="auto"/>
                <w:sz w:val="24"/>
                <w:highlight w:val="none"/>
                <w:lang w:val="zh-CN"/>
              </w:rPr>
            </w:pPr>
          </w:p>
        </w:tc>
        <w:tc>
          <w:tcPr>
            <w:tcW w:w="1313" w:type="dxa"/>
            <w:vAlign w:val="center"/>
          </w:tcPr>
          <w:p w14:paraId="0DC9684D">
            <w:pPr>
              <w:autoSpaceDE w:val="0"/>
              <w:autoSpaceDN w:val="0"/>
              <w:adjustRightInd w:val="0"/>
              <w:spacing w:line="360" w:lineRule="auto"/>
              <w:jc w:val="center"/>
              <w:rPr>
                <w:rFonts w:ascii="宋体" w:hAnsi="宋体" w:cs="宋体"/>
                <w:color w:val="auto"/>
                <w:sz w:val="24"/>
                <w:highlight w:val="none"/>
                <w:lang w:val="zh-CN"/>
              </w:rPr>
            </w:pPr>
          </w:p>
        </w:tc>
      </w:tr>
    </w:tbl>
    <w:p w14:paraId="73A7AB12">
      <w:pPr>
        <w:snapToGrid w:val="0"/>
        <w:spacing w:line="360" w:lineRule="auto"/>
        <w:rPr>
          <w:rFonts w:ascii="宋体" w:hAnsi="宋体" w:cs="宋体"/>
          <w:b/>
          <w:color w:val="auto"/>
          <w:sz w:val="24"/>
          <w:highlight w:val="none"/>
        </w:rPr>
      </w:pPr>
    </w:p>
    <w:p w14:paraId="17D6A6BA">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注：1、各投标人可以根据各自业绩量准备充分的表格，此页后须附证明材料。</w:t>
      </w:r>
    </w:p>
    <w:p w14:paraId="65934E5A">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2、投标人须真实仔细地填写本表格。</w:t>
      </w:r>
    </w:p>
    <w:p w14:paraId="0F592DCE">
      <w:pPr>
        <w:widowControl/>
        <w:jc w:val="left"/>
        <w:rPr>
          <w:rFonts w:ascii="宋体" w:hAnsi="宋体" w:cs="宋体"/>
          <w:color w:val="auto"/>
          <w:kern w:val="0"/>
          <w:sz w:val="24"/>
          <w:highlight w:val="none"/>
        </w:rPr>
      </w:pPr>
    </w:p>
    <w:p w14:paraId="2666AC87">
      <w:pPr>
        <w:widowControl/>
        <w:jc w:val="left"/>
        <w:rPr>
          <w:rFonts w:ascii="宋体" w:hAnsi="宋体" w:cs="宋体"/>
          <w:color w:val="auto"/>
          <w:kern w:val="0"/>
          <w:sz w:val="24"/>
          <w:highlight w:val="none"/>
        </w:rPr>
      </w:pPr>
    </w:p>
    <w:p w14:paraId="4C18819C">
      <w:pPr>
        <w:widowControl/>
        <w:jc w:val="left"/>
        <w:rPr>
          <w:rFonts w:ascii="宋体" w:hAnsi="宋体" w:cs="宋体"/>
          <w:color w:val="auto"/>
          <w:kern w:val="0"/>
          <w:sz w:val="24"/>
          <w:highlight w:val="none"/>
        </w:rPr>
      </w:pPr>
    </w:p>
    <w:p w14:paraId="13580AA6">
      <w:pPr>
        <w:pStyle w:val="7"/>
        <w:overflowPunct w:val="0"/>
        <w:spacing w:line="360" w:lineRule="auto"/>
        <w:ind w:right="420" w:firstLine="3300" w:firstLineChars="1375"/>
        <w:rPr>
          <w:rFonts w:ascii="宋体" w:hAnsi="宋体" w:cs="宋体"/>
          <w:color w:val="auto"/>
          <w:sz w:val="24"/>
          <w:szCs w:val="24"/>
          <w:highlight w:val="none"/>
        </w:rPr>
      </w:pPr>
      <w:r>
        <w:rPr>
          <w:rFonts w:hint="eastAsia" w:ascii="宋体" w:hAnsi="宋体" w:cs="宋体"/>
          <w:color w:val="auto"/>
          <w:sz w:val="24"/>
          <w:szCs w:val="24"/>
          <w:highlight w:val="none"/>
        </w:rPr>
        <w:t>投标人（单位盖章）：</w:t>
      </w:r>
    </w:p>
    <w:p w14:paraId="602E816E">
      <w:pPr>
        <w:pStyle w:val="7"/>
        <w:overflowPunct w:val="0"/>
        <w:spacing w:line="360" w:lineRule="auto"/>
        <w:ind w:right="420" w:firstLine="3360" w:firstLineChars="1400"/>
        <w:rPr>
          <w:rFonts w:ascii="宋体" w:hAnsi="宋体" w:cs="宋体"/>
          <w:color w:val="auto"/>
          <w:sz w:val="24"/>
          <w:szCs w:val="24"/>
          <w:highlight w:val="none"/>
        </w:rPr>
      </w:pPr>
      <w:r>
        <w:rPr>
          <w:rFonts w:hint="eastAsia" w:ascii="宋体" w:hAnsi="宋体" w:cs="宋体"/>
          <w:color w:val="auto"/>
          <w:sz w:val="24"/>
          <w:szCs w:val="24"/>
          <w:highlight w:val="none"/>
        </w:rPr>
        <w:t xml:space="preserve">法定代表人或委托代理人（签字或盖章）：                         </w:t>
      </w:r>
    </w:p>
    <w:p w14:paraId="5944A186">
      <w:pPr>
        <w:spacing w:before="120" w:beforeLines="50" w:line="360" w:lineRule="auto"/>
        <w:ind w:right="-21" w:rightChars="-1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7D69384B">
      <w:pPr>
        <w:rPr>
          <w:rFonts w:ascii="宋体" w:hAnsi="宋体" w:cs="宋体"/>
          <w:bCs/>
          <w:color w:val="auto"/>
          <w:sz w:val="24"/>
          <w:highlight w:val="none"/>
        </w:rPr>
      </w:pPr>
    </w:p>
    <w:p w14:paraId="48751F23">
      <w:pPr>
        <w:pageBreakBefore/>
        <w:spacing w:before="260" w:after="260" w:line="415" w:lineRule="auto"/>
        <w:outlineLvl w:val="1"/>
        <w:rPr>
          <w:rFonts w:ascii="宋体" w:hAnsi="宋体" w:cs="宋体"/>
          <w:bCs/>
          <w:color w:val="auto"/>
          <w:sz w:val="24"/>
          <w:highlight w:val="none"/>
        </w:rPr>
      </w:pPr>
      <w:bookmarkStart w:id="83" w:name="_Toc32669"/>
      <w:r>
        <w:rPr>
          <w:rFonts w:hint="eastAsia" w:ascii="宋体" w:hAnsi="宋体" w:cs="宋体"/>
          <w:bCs/>
          <w:color w:val="auto"/>
          <w:sz w:val="24"/>
          <w:highlight w:val="none"/>
        </w:rPr>
        <w:t>附件十二：服务费承诺书</w:t>
      </w:r>
      <w:bookmarkEnd w:id="83"/>
    </w:p>
    <w:p w14:paraId="71F4B97C">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承 诺 书</w:t>
      </w:r>
    </w:p>
    <w:p w14:paraId="3596C124">
      <w:pPr>
        <w:snapToGrid w:val="0"/>
        <w:spacing w:before="50" w:after="120" w:afterLines="50"/>
        <w:jc w:val="left"/>
        <w:rPr>
          <w:rFonts w:ascii="宋体" w:hAnsi="宋体" w:cs="宋体"/>
          <w:b/>
          <w:color w:val="auto"/>
          <w:sz w:val="24"/>
          <w:highlight w:val="none"/>
        </w:rPr>
      </w:pPr>
    </w:p>
    <w:p w14:paraId="7EA5946A">
      <w:pPr>
        <w:snapToGrid w:val="0"/>
        <w:spacing w:before="50" w:after="120" w:afterLines="50" w:line="360" w:lineRule="auto"/>
        <w:jc w:val="left"/>
        <w:rPr>
          <w:rFonts w:ascii="宋体" w:hAnsi="宋体" w:cs="宋体"/>
          <w:b/>
          <w:bCs/>
          <w:color w:val="auto"/>
          <w:sz w:val="24"/>
          <w:highlight w:val="none"/>
        </w:rPr>
      </w:pPr>
      <w:r>
        <w:rPr>
          <w:rFonts w:hint="eastAsia" w:ascii="宋体" w:hAnsi="宋体" w:cs="宋体"/>
          <w:b/>
          <w:color w:val="auto"/>
          <w:sz w:val="24"/>
          <w:highlight w:val="none"/>
        </w:rPr>
        <w:t>东阳市鑫盛工程咨询有限公司</w:t>
      </w:r>
      <w:r>
        <w:rPr>
          <w:rFonts w:hint="eastAsia" w:ascii="宋体" w:hAnsi="宋体" w:cs="宋体"/>
          <w:b/>
          <w:bCs/>
          <w:color w:val="auto"/>
          <w:sz w:val="24"/>
          <w:highlight w:val="none"/>
        </w:rPr>
        <w:t>：</w:t>
      </w:r>
    </w:p>
    <w:p w14:paraId="5175367A">
      <w:pPr>
        <w:snapToGrid w:val="0"/>
        <w:spacing w:before="50" w:after="120" w:afterLines="50" w:line="360" w:lineRule="auto"/>
        <w:ind w:firstLine="472" w:firstLineChars="196"/>
        <w:jc w:val="left"/>
        <w:rPr>
          <w:rFonts w:ascii="宋体" w:hAnsi="宋体" w:cs="宋体"/>
          <w:b/>
          <w:color w:val="auto"/>
          <w:sz w:val="24"/>
          <w:highlight w:val="none"/>
        </w:rPr>
      </w:pPr>
      <w:r>
        <w:rPr>
          <w:rFonts w:hint="eastAsia" w:ascii="宋体" w:hAnsi="宋体" w:cs="宋体"/>
          <w:b/>
          <w:color w:val="auto"/>
          <w:sz w:val="24"/>
          <w:highlight w:val="none"/>
        </w:rPr>
        <w:t xml:space="preserve">若我公司中标时，在中标结果公示结束之日起3天内，愿按本招标文件总则第（五）条规定向东阳市鑫盛工程咨询有限公司支付中标服务费。    </w:t>
      </w:r>
    </w:p>
    <w:p w14:paraId="575A0ABB">
      <w:pPr>
        <w:snapToGrid w:val="0"/>
        <w:spacing w:before="50" w:after="120" w:afterLines="50" w:line="360" w:lineRule="auto"/>
        <w:jc w:val="left"/>
        <w:rPr>
          <w:rFonts w:ascii="宋体" w:hAnsi="宋体" w:cs="宋体"/>
          <w:b/>
          <w:color w:val="auto"/>
          <w:sz w:val="24"/>
          <w:highlight w:val="none"/>
        </w:rPr>
      </w:pPr>
      <w:r>
        <w:rPr>
          <w:rFonts w:hint="eastAsia" w:ascii="宋体" w:hAnsi="宋体" w:cs="宋体"/>
          <w:b/>
          <w:color w:val="auto"/>
          <w:sz w:val="24"/>
          <w:highlight w:val="none"/>
        </w:rPr>
        <w:t>特此承诺！</w:t>
      </w:r>
    </w:p>
    <w:p w14:paraId="7F0ABCDC">
      <w:pPr>
        <w:snapToGrid w:val="0"/>
        <w:spacing w:before="50" w:after="120" w:afterLines="50" w:line="360" w:lineRule="auto"/>
        <w:jc w:val="left"/>
        <w:rPr>
          <w:rFonts w:ascii="宋体" w:hAnsi="宋体" w:cs="宋体"/>
          <w:b/>
          <w:color w:val="auto"/>
          <w:sz w:val="24"/>
          <w:highlight w:val="none"/>
        </w:rPr>
      </w:pPr>
    </w:p>
    <w:p w14:paraId="21E28069">
      <w:pPr>
        <w:snapToGrid w:val="0"/>
        <w:spacing w:before="50" w:after="120" w:afterLines="50"/>
        <w:jc w:val="left"/>
        <w:rPr>
          <w:rFonts w:ascii="宋体" w:hAnsi="宋体" w:cs="宋体"/>
          <w:b/>
          <w:color w:val="auto"/>
          <w:sz w:val="24"/>
          <w:highlight w:val="none"/>
        </w:rPr>
      </w:pPr>
    </w:p>
    <w:p w14:paraId="0730D38E">
      <w:pPr>
        <w:snapToGrid w:val="0"/>
        <w:spacing w:before="50" w:after="120" w:afterLines="50"/>
        <w:jc w:val="left"/>
        <w:rPr>
          <w:rFonts w:ascii="宋体" w:hAnsi="宋体" w:cs="宋体"/>
          <w:b/>
          <w:color w:val="auto"/>
          <w:sz w:val="24"/>
          <w:highlight w:val="none"/>
        </w:rPr>
      </w:pPr>
    </w:p>
    <w:p w14:paraId="6DD95670">
      <w:pPr>
        <w:snapToGrid w:val="0"/>
        <w:spacing w:before="50" w:after="120" w:afterLines="50"/>
        <w:jc w:val="left"/>
        <w:rPr>
          <w:rFonts w:ascii="宋体" w:hAnsi="宋体" w:cs="宋体"/>
          <w:b/>
          <w:color w:val="auto"/>
          <w:sz w:val="24"/>
          <w:highlight w:val="none"/>
        </w:rPr>
      </w:pPr>
    </w:p>
    <w:p w14:paraId="60A3B542">
      <w:pPr>
        <w:snapToGrid w:val="0"/>
        <w:spacing w:before="50" w:after="120" w:afterLines="50"/>
        <w:jc w:val="left"/>
        <w:rPr>
          <w:rFonts w:ascii="宋体" w:hAnsi="宋体" w:cs="宋体"/>
          <w:b/>
          <w:color w:val="auto"/>
          <w:sz w:val="24"/>
          <w:highlight w:val="none"/>
        </w:rPr>
      </w:pPr>
    </w:p>
    <w:p w14:paraId="2AB0BCE8">
      <w:pPr>
        <w:snapToGrid w:val="0"/>
        <w:spacing w:before="50" w:after="120" w:afterLines="50"/>
        <w:jc w:val="left"/>
        <w:rPr>
          <w:rFonts w:ascii="宋体" w:hAnsi="宋体" w:cs="宋体"/>
          <w:b/>
          <w:color w:val="auto"/>
          <w:sz w:val="24"/>
          <w:highlight w:val="none"/>
        </w:rPr>
      </w:pPr>
    </w:p>
    <w:p w14:paraId="68BE0C73">
      <w:pPr>
        <w:snapToGrid w:val="0"/>
        <w:spacing w:before="50" w:after="12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承诺单位(盖章)：</w:t>
      </w:r>
    </w:p>
    <w:p w14:paraId="2246B773">
      <w:pPr>
        <w:snapToGrid w:val="0"/>
        <w:spacing w:before="50" w:after="120" w:afterLines="50"/>
        <w:jc w:val="left"/>
        <w:rPr>
          <w:rFonts w:ascii="宋体" w:hAnsi="宋体" w:cs="宋体"/>
          <w:b/>
          <w:color w:val="auto"/>
          <w:sz w:val="24"/>
          <w:highlight w:val="none"/>
        </w:rPr>
      </w:pPr>
    </w:p>
    <w:p w14:paraId="3A870FCC">
      <w:pPr>
        <w:snapToGrid w:val="0"/>
        <w:spacing w:before="50" w:after="120" w:afterLines="50"/>
        <w:jc w:val="left"/>
        <w:rPr>
          <w:rFonts w:ascii="宋体" w:hAnsi="宋体" w:cs="宋体"/>
          <w:b/>
          <w:color w:val="auto"/>
          <w:sz w:val="24"/>
          <w:highlight w:val="none"/>
        </w:rPr>
      </w:pPr>
    </w:p>
    <w:p w14:paraId="317D3807">
      <w:pPr>
        <w:snapToGrid w:val="0"/>
        <w:spacing w:before="50" w:after="120" w:afterLines="50"/>
        <w:ind w:firstLine="236" w:firstLineChars="98"/>
        <w:jc w:val="left"/>
        <w:rPr>
          <w:rFonts w:ascii="宋体" w:hAnsi="宋体" w:cs="宋体"/>
          <w:b/>
          <w:color w:val="auto"/>
          <w:sz w:val="24"/>
          <w:highlight w:val="none"/>
        </w:rPr>
      </w:pPr>
      <w:r>
        <w:rPr>
          <w:rFonts w:hint="eastAsia" w:ascii="宋体" w:hAnsi="宋体" w:cs="宋体"/>
          <w:b/>
          <w:color w:val="auto"/>
          <w:sz w:val="24"/>
          <w:highlight w:val="none"/>
        </w:rPr>
        <w:t>法定代表人或委托代理人(签字)：</w:t>
      </w:r>
    </w:p>
    <w:p w14:paraId="7A36279F">
      <w:pPr>
        <w:snapToGrid w:val="0"/>
        <w:spacing w:before="50" w:after="120" w:afterLines="50"/>
        <w:jc w:val="left"/>
        <w:rPr>
          <w:rFonts w:ascii="宋体" w:hAnsi="宋体" w:cs="宋体"/>
          <w:b/>
          <w:bCs/>
          <w:color w:val="auto"/>
          <w:sz w:val="24"/>
          <w:highlight w:val="none"/>
        </w:rPr>
      </w:pPr>
    </w:p>
    <w:p w14:paraId="365194D9">
      <w:pPr>
        <w:snapToGrid w:val="0"/>
        <w:spacing w:before="50" w:after="120" w:afterLines="50"/>
        <w:jc w:val="left"/>
        <w:rPr>
          <w:rFonts w:ascii="宋体" w:hAnsi="宋体" w:cs="宋体"/>
          <w:b/>
          <w:bCs/>
          <w:color w:val="auto"/>
          <w:sz w:val="24"/>
          <w:highlight w:val="none"/>
        </w:rPr>
      </w:pPr>
    </w:p>
    <w:p w14:paraId="0AC5403B">
      <w:pPr>
        <w:snapToGrid w:val="0"/>
        <w:spacing w:before="50" w:after="120" w:afterLines="50"/>
        <w:ind w:firstLine="5980" w:firstLineChars="2482"/>
        <w:jc w:val="left"/>
        <w:rPr>
          <w:rFonts w:ascii="宋体" w:hAnsi="宋体" w:cs="宋体"/>
          <w:b/>
          <w:bCs/>
          <w:color w:val="auto"/>
          <w:sz w:val="24"/>
          <w:highlight w:val="none"/>
        </w:rPr>
      </w:pPr>
      <w:r>
        <w:rPr>
          <w:rFonts w:hint="eastAsia" w:ascii="宋体" w:hAnsi="宋体" w:cs="宋体"/>
          <w:b/>
          <w:bCs/>
          <w:color w:val="auto"/>
          <w:sz w:val="24"/>
          <w:highlight w:val="none"/>
        </w:rPr>
        <w:t>年     月    日</w:t>
      </w:r>
    </w:p>
    <w:p w14:paraId="16388C29">
      <w:pPr>
        <w:snapToGrid w:val="0"/>
        <w:spacing w:before="50" w:after="120" w:afterLines="50"/>
        <w:jc w:val="left"/>
        <w:rPr>
          <w:rFonts w:ascii="宋体" w:hAnsi="宋体" w:cs="宋体"/>
          <w:b/>
          <w:color w:val="auto"/>
          <w:sz w:val="24"/>
          <w:highlight w:val="none"/>
        </w:rPr>
      </w:pPr>
    </w:p>
    <w:p w14:paraId="7A804132">
      <w:pPr>
        <w:snapToGrid w:val="0"/>
        <w:spacing w:before="120" w:beforeLines="50" w:after="50" w:line="276" w:lineRule="auto"/>
        <w:jc w:val="left"/>
        <w:rPr>
          <w:rFonts w:ascii="宋体" w:hAnsi="宋体" w:cs="宋体"/>
          <w:color w:val="auto"/>
          <w:sz w:val="24"/>
          <w:highlight w:val="none"/>
        </w:rPr>
      </w:pPr>
    </w:p>
    <w:p w14:paraId="1D4AD4CB">
      <w:pPr>
        <w:snapToGrid w:val="0"/>
        <w:spacing w:before="120" w:beforeLines="50" w:after="50" w:line="276" w:lineRule="auto"/>
        <w:jc w:val="left"/>
        <w:rPr>
          <w:rFonts w:ascii="宋体" w:hAnsi="宋体" w:cs="宋体"/>
          <w:color w:val="auto"/>
          <w:sz w:val="24"/>
          <w:highlight w:val="none"/>
        </w:rPr>
      </w:pPr>
    </w:p>
    <w:p w14:paraId="14A28B7D">
      <w:pPr>
        <w:snapToGrid w:val="0"/>
        <w:spacing w:before="120" w:beforeLines="50" w:after="50" w:line="276" w:lineRule="auto"/>
        <w:jc w:val="left"/>
        <w:rPr>
          <w:rFonts w:ascii="宋体" w:hAnsi="宋体" w:cs="宋体"/>
          <w:color w:val="auto"/>
          <w:sz w:val="24"/>
          <w:highlight w:val="none"/>
        </w:rPr>
      </w:pPr>
    </w:p>
    <w:p w14:paraId="4F30B326">
      <w:pPr>
        <w:rPr>
          <w:rFonts w:ascii="宋体" w:hAnsi="宋体" w:cs="宋体"/>
          <w:bCs/>
          <w:color w:val="auto"/>
          <w:sz w:val="24"/>
          <w:highlight w:val="none"/>
        </w:rPr>
      </w:pPr>
      <w:bookmarkStart w:id="84" w:name="_Toc7166659"/>
      <w:bookmarkStart w:id="85" w:name="_Toc514425251"/>
    </w:p>
    <w:bookmarkEnd w:id="84"/>
    <w:bookmarkEnd w:id="85"/>
    <w:p w14:paraId="503194A6">
      <w:pPr>
        <w:rPr>
          <w:rFonts w:ascii="宋体" w:hAnsi="宋体" w:cs="宋体"/>
          <w:b/>
          <w:color w:val="auto"/>
          <w:sz w:val="24"/>
          <w:highlight w:val="none"/>
        </w:rPr>
      </w:pPr>
    </w:p>
    <w:p w14:paraId="52609085">
      <w:pPr>
        <w:pageBreakBefore/>
        <w:spacing w:before="260" w:after="260" w:line="415" w:lineRule="auto"/>
        <w:outlineLvl w:val="1"/>
        <w:rPr>
          <w:rFonts w:ascii="宋体" w:hAnsi="宋体" w:cs="宋体"/>
          <w:bCs/>
          <w:color w:val="auto"/>
          <w:sz w:val="24"/>
          <w:highlight w:val="none"/>
        </w:rPr>
      </w:pPr>
      <w:bookmarkStart w:id="86" w:name="_Toc496598995"/>
      <w:bookmarkStart w:id="87" w:name="_Toc5696"/>
      <w:r>
        <w:rPr>
          <w:rFonts w:hint="eastAsia" w:ascii="宋体" w:hAnsi="宋体" w:cs="宋体"/>
          <w:bCs/>
          <w:color w:val="auto"/>
          <w:sz w:val="24"/>
          <w:highlight w:val="none"/>
        </w:rPr>
        <w:t>附件十三:</w:t>
      </w:r>
      <w:bookmarkEnd w:id="86"/>
      <w:r>
        <w:rPr>
          <w:rFonts w:hint="eastAsia" w:ascii="宋体" w:hAnsi="宋体" w:cs="宋体"/>
          <w:bCs/>
          <w:color w:val="auto"/>
          <w:sz w:val="24"/>
          <w:highlight w:val="none"/>
        </w:rPr>
        <w:t xml:space="preserve"> 投标函</w:t>
      </w:r>
      <w:bookmarkEnd w:id="87"/>
    </w:p>
    <w:p w14:paraId="1FAC5E70">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投 标 函</w:t>
      </w:r>
    </w:p>
    <w:p w14:paraId="27EBC0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50038CC0">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根据贵方为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项目的招标公告/投标邀请书</w:t>
      </w:r>
    </w:p>
    <w:p w14:paraId="178BAE3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（投标人名称）提交电子投标文件。</w:t>
      </w:r>
    </w:p>
    <w:p w14:paraId="2E91E5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据此函，签字代表宣布同意如下：</w:t>
      </w:r>
    </w:p>
    <w:p w14:paraId="2C3AD8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4B2D233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793EF8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3.本投标有效期自开标日起 ______天。</w:t>
      </w:r>
    </w:p>
    <w:p w14:paraId="59875B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4F7E9C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5.投标人同意按照贵方要求提供与投标有关的一切数据或资料。</w:t>
      </w:r>
    </w:p>
    <w:p w14:paraId="39FAC5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6.与本投标有关的一切正式往来信函请寄：</w:t>
      </w:r>
    </w:p>
    <w:p w14:paraId="02B1B0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地址：__________</w:t>
      </w:r>
      <w:r>
        <w:rPr>
          <w:rFonts w:hint="eastAsia" w:ascii="宋体" w:hAnsi="宋体" w:cs="宋体"/>
          <w:color w:val="auto"/>
          <w:sz w:val="24"/>
          <w:highlight w:val="none"/>
          <w:u w:val="single"/>
        </w:rPr>
        <w:t xml:space="preserve">        _</w:t>
      </w:r>
      <w:r>
        <w:rPr>
          <w:rFonts w:hint="eastAsia" w:ascii="宋体" w:hAnsi="宋体" w:cs="宋体"/>
          <w:color w:val="auto"/>
          <w:sz w:val="24"/>
          <w:highlight w:val="none"/>
        </w:rPr>
        <w:t>____邮编：__________   电话：______________</w:t>
      </w:r>
    </w:p>
    <w:p w14:paraId="0EF338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传真：______________投标人代表姓名 ___________  职务：______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_______</w:t>
      </w:r>
    </w:p>
    <w:p w14:paraId="2D029B70">
      <w:pPr>
        <w:snapToGrid w:val="0"/>
        <w:spacing w:line="360" w:lineRule="auto"/>
        <w:rPr>
          <w:rFonts w:ascii="宋体" w:hAnsi="宋体" w:cs="宋体"/>
          <w:color w:val="auto"/>
          <w:sz w:val="24"/>
          <w:highlight w:val="none"/>
        </w:rPr>
      </w:pPr>
    </w:p>
    <w:p w14:paraId="7E506BA8">
      <w:pPr>
        <w:snapToGrid w:val="0"/>
        <w:spacing w:line="360" w:lineRule="auto"/>
        <w:rPr>
          <w:rFonts w:ascii="宋体" w:hAnsi="宋体" w:cs="宋体"/>
          <w:color w:val="auto"/>
          <w:sz w:val="24"/>
          <w:highlight w:val="none"/>
        </w:rPr>
      </w:pPr>
    </w:p>
    <w:p w14:paraId="1DE62F8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投标人名称(公章):___________________</w:t>
      </w:r>
    </w:p>
    <w:p w14:paraId="6CF9B4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委托代理人签字:___________ </w:t>
      </w:r>
    </w:p>
    <w:p w14:paraId="1DA4BF0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日期:_____年___月___日</w:t>
      </w:r>
    </w:p>
    <w:p w14:paraId="0D4A1261">
      <w:pPr>
        <w:snapToGrid w:val="0"/>
        <w:spacing w:before="156" w:after="156" w:line="360" w:lineRule="auto"/>
        <w:rPr>
          <w:rFonts w:ascii="宋体" w:hAnsi="宋体" w:cs="宋体"/>
          <w:color w:val="auto"/>
          <w:sz w:val="24"/>
          <w:highlight w:val="none"/>
        </w:rPr>
      </w:pPr>
    </w:p>
    <w:p w14:paraId="556FFC5E">
      <w:pPr>
        <w:snapToGrid w:val="0"/>
        <w:spacing w:before="50" w:after="120" w:afterLines="50"/>
        <w:jc w:val="left"/>
        <w:rPr>
          <w:rFonts w:ascii="宋体" w:hAnsi="宋体" w:cs="宋体"/>
          <w:b/>
          <w:color w:val="auto"/>
          <w:sz w:val="24"/>
          <w:highlight w:val="none"/>
        </w:rPr>
      </w:pPr>
    </w:p>
    <w:p w14:paraId="7CC153D3">
      <w:pPr>
        <w:snapToGrid w:val="0"/>
        <w:spacing w:before="50" w:after="120" w:afterLines="50"/>
        <w:jc w:val="left"/>
        <w:rPr>
          <w:rFonts w:ascii="宋体" w:hAnsi="宋体" w:cs="宋体"/>
          <w:b/>
          <w:color w:val="auto"/>
          <w:sz w:val="24"/>
          <w:highlight w:val="none"/>
        </w:rPr>
      </w:pPr>
    </w:p>
    <w:p w14:paraId="013A6A31">
      <w:pPr>
        <w:keepNext/>
        <w:keepLines/>
        <w:pageBreakBefore w:val="0"/>
        <w:widowControl w:val="0"/>
        <w:kinsoku/>
        <w:wordWrap/>
        <w:overflowPunct/>
        <w:topLinePunct w:val="0"/>
        <w:autoSpaceDE/>
        <w:autoSpaceDN/>
        <w:bidi w:val="0"/>
        <w:adjustRightInd/>
        <w:spacing w:before="260" w:after="260" w:line="192" w:lineRule="auto"/>
        <w:textAlignment w:val="auto"/>
        <w:outlineLvl w:val="1"/>
        <w:rPr>
          <w:rFonts w:ascii="宋体" w:hAnsi="宋体" w:cs="宋体"/>
          <w:bCs/>
          <w:color w:val="auto"/>
          <w:sz w:val="24"/>
          <w:highlight w:val="none"/>
        </w:rPr>
      </w:pPr>
      <w:bookmarkStart w:id="88" w:name="_Toc7824"/>
      <w:bookmarkStart w:id="89" w:name="_Toc496598998"/>
      <w:r>
        <w:rPr>
          <w:rFonts w:hint="eastAsia" w:ascii="宋体" w:hAnsi="宋体" w:cs="宋体"/>
          <w:bCs/>
          <w:color w:val="auto"/>
          <w:sz w:val="24"/>
          <w:highlight w:val="none"/>
        </w:rPr>
        <w:t>附件十四：开标一览表</w:t>
      </w:r>
      <w:bookmarkEnd w:id="88"/>
    </w:p>
    <w:bookmarkEnd w:id="89"/>
    <w:p w14:paraId="6E57B0E3">
      <w:pPr>
        <w:pageBreakBefore w:val="0"/>
        <w:widowControl w:val="0"/>
        <w:kinsoku/>
        <w:wordWrap/>
        <w:overflowPunct/>
        <w:topLinePunct w:val="0"/>
        <w:autoSpaceDE/>
        <w:autoSpaceDN/>
        <w:bidi w:val="0"/>
        <w:adjustRightInd/>
        <w:snapToGrid w:val="0"/>
        <w:spacing w:line="192" w:lineRule="auto"/>
        <w:jc w:val="center"/>
        <w:textAlignment w:val="auto"/>
        <w:rPr>
          <w:rFonts w:ascii="宋体" w:hAnsi="宋体" w:cs="宋体"/>
          <w:b/>
          <w:color w:val="auto"/>
          <w:kern w:val="0"/>
          <w:sz w:val="32"/>
          <w:szCs w:val="32"/>
          <w:highlight w:val="none"/>
        </w:rPr>
      </w:pPr>
      <w:bookmarkStart w:id="90" w:name="_Toc496599000"/>
      <w:r>
        <w:rPr>
          <w:rFonts w:hint="eastAsia" w:ascii="宋体" w:hAnsi="宋体" w:cs="宋体"/>
          <w:b/>
          <w:color w:val="auto"/>
          <w:kern w:val="0"/>
          <w:sz w:val="32"/>
          <w:szCs w:val="32"/>
          <w:highlight w:val="none"/>
        </w:rPr>
        <w:t>开标一览表</w:t>
      </w:r>
    </w:p>
    <w:p w14:paraId="303E2E6A">
      <w:pPr>
        <w:spacing w:line="240" w:lineRule="auto"/>
        <w:rPr>
          <w:rFonts w:ascii="宋体" w:hAnsi="宋体" w:cs="宋体"/>
          <w:b/>
          <w:color w:val="auto"/>
          <w:sz w:val="24"/>
          <w:highlight w:val="none"/>
        </w:rPr>
      </w:pPr>
      <w:r>
        <w:rPr>
          <w:rFonts w:hint="eastAsia" w:ascii="宋体" w:hAnsi="宋体" w:cs="宋体"/>
          <w:b/>
          <w:color w:val="auto"/>
          <w:sz w:val="24"/>
          <w:highlight w:val="none"/>
        </w:rPr>
        <w:t xml:space="preserve">招标编号：                                                        </w:t>
      </w:r>
    </w:p>
    <w:p w14:paraId="66FCC166">
      <w:pPr>
        <w:spacing w:line="240" w:lineRule="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 xml:space="preserve">投标人名称：                                            </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单位：</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rPr>
        <w:t xml:space="preserve">  </w:t>
      </w:r>
    </w:p>
    <w:tbl>
      <w:tblPr>
        <w:tblStyle w:val="28"/>
        <w:tblW w:w="9218" w:type="dxa"/>
        <w:tblInd w:w="-1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
        <w:gridCol w:w="3662"/>
        <w:gridCol w:w="2290"/>
        <w:gridCol w:w="2355"/>
      </w:tblGrid>
      <w:tr w14:paraId="516E3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911" w:type="dxa"/>
            <w:vMerge w:val="restart"/>
            <w:tcBorders>
              <w:top w:val="single" w:color="auto" w:sz="4" w:space="0"/>
              <w:left w:val="single" w:color="auto" w:sz="4" w:space="0"/>
              <w:right w:val="single" w:color="auto" w:sz="4" w:space="0"/>
            </w:tcBorders>
            <w:vAlign w:val="center"/>
          </w:tcPr>
          <w:p w14:paraId="1D0B963D">
            <w:pPr>
              <w:snapToGrid w:val="0"/>
              <w:spacing w:before="50" w:after="50"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序号</w:t>
            </w:r>
          </w:p>
        </w:tc>
        <w:tc>
          <w:tcPr>
            <w:tcW w:w="3662" w:type="dxa"/>
            <w:vMerge w:val="restart"/>
            <w:tcBorders>
              <w:top w:val="single" w:color="auto" w:sz="4" w:space="0"/>
              <w:left w:val="single" w:color="auto" w:sz="4" w:space="0"/>
              <w:right w:val="single" w:color="auto" w:sz="4" w:space="0"/>
            </w:tcBorders>
            <w:vAlign w:val="center"/>
          </w:tcPr>
          <w:p w14:paraId="799F46BD">
            <w:pPr>
              <w:snapToGrid w:val="0"/>
              <w:spacing w:before="50" w:after="50"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采购内容</w:t>
            </w:r>
          </w:p>
        </w:tc>
        <w:tc>
          <w:tcPr>
            <w:tcW w:w="2290" w:type="dxa"/>
            <w:tcBorders>
              <w:top w:val="single" w:color="auto" w:sz="4" w:space="0"/>
              <w:left w:val="single" w:color="auto" w:sz="4" w:space="0"/>
              <w:bottom w:val="single" w:color="auto" w:sz="4" w:space="0"/>
              <w:right w:val="single" w:color="auto" w:sz="4" w:space="0"/>
            </w:tcBorders>
            <w:vAlign w:val="center"/>
          </w:tcPr>
          <w:p w14:paraId="137DA6BF">
            <w:pPr>
              <w:snapToGrid w:val="0"/>
              <w:spacing w:before="50" w:after="50"/>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投标</w:t>
            </w:r>
            <w:r>
              <w:rPr>
                <w:rFonts w:hint="eastAsia" w:ascii="宋体" w:hAnsi="宋体" w:cs="宋体"/>
                <w:b/>
                <w:color w:val="auto"/>
                <w:sz w:val="24"/>
                <w:highlight w:val="none"/>
                <w:lang w:val="en-US" w:eastAsia="zh-CN"/>
              </w:rPr>
              <w:t>折扣</w:t>
            </w:r>
            <w:r>
              <w:rPr>
                <w:rFonts w:hint="eastAsia" w:ascii="宋体" w:hAnsi="宋体" w:cs="宋体"/>
                <w:b/>
                <w:color w:val="auto"/>
                <w:sz w:val="24"/>
                <w:highlight w:val="none"/>
              </w:rPr>
              <w:t>报价</w:t>
            </w:r>
          </w:p>
        </w:tc>
        <w:tc>
          <w:tcPr>
            <w:tcW w:w="2355" w:type="dxa"/>
            <w:tcBorders>
              <w:top w:val="single" w:color="auto" w:sz="4" w:space="0"/>
              <w:left w:val="single" w:color="auto" w:sz="4" w:space="0"/>
              <w:bottom w:val="single" w:color="auto" w:sz="4" w:space="0"/>
              <w:right w:val="single" w:color="auto" w:sz="4" w:space="0"/>
            </w:tcBorders>
            <w:vAlign w:val="center"/>
          </w:tcPr>
          <w:p w14:paraId="57A5CBCD">
            <w:pPr>
              <w:snapToGrid w:val="0"/>
              <w:spacing w:before="50" w:after="50"/>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投标折扣</w:t>
            </w:r>
            <w:r>
              <w:rPr>
                <w:rFonts w:hint="eastAsia" w:ascii="宋体" w:hAnsi="宋体" w:cs="宋体"/>
                <w:b/>
                <w:color w:val="auto"/>
                <w:sz w:val="24"/>
                <w:highlight w:val="none"/>
              </w:rPr>
              <w:t>报</w:t>
            </w:r>
            <w:r>
              <w:rPr>
                <w:rFonts w:hint="eastAsia" w:ascii="宋体" w:hAnsi="宋体" w:cs="宋体"/>
                <w:b/>
                <w:color w:val="auto"/>
                <w:sz w:val="24"/>
                <w:highlight w:val="none"/>
                <w:lang w:val="en-US" w:eastAsia="zh-CN"/>
              </w:rPr>
              <w:t>价</w:t>
            </w:r>
          </w:p>
        </w:tc>
      </w:tr>
      <w:tr w14:paraId="05F4A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911" w:type="dxa"/>
            <w:vMerge w:val="continue"/>
            <w:tcBorders>
              <w:left w:val="single" w:color="auto" w:sz="4" w:space="0"/>
              <w:bottom w:val="single" w:color="auto" w:sz="4" w:space="0"/>
              <w:right w:val="single" w:color="auto" w:sz="4" w:space="0"/>
            </w:tcBorders>
            <w:vAlign w:val="center"/>
          </w:tcPr>
          <w:p w14:paraId="3DDF7AFA">
            <w:pPr>
              <w:snapToGrid w:val="0"/>
              <w:spacing w:before="50" w:after="50" w:line="360" w:lineRule="auto"/>
              <w:jc w:val="center"/>
              <w:rPr>
                <w:rFonts w:hint="eastAsia" w:ascii="宋体" w:hAnsi="宋体" w:cs="宋体"/>
                <w:b/>
                <w:color w:val="auto"/>
                <w:sz w:val="24"/>
                <w:highlight w:val="none"/>
                <w:lang w:val="en-US" w:eastAsia="zh-CN"/>
              </w:rPr>
            </w:pPr>
          </w:p>
        </w:tc>
        <w:tc>
          <w:tcPr>
            <w:tcW w:w="3662" w:type="dxa"/>
            <w:vMerge w:val="continue"/>
            <w:tcBorders>
              <w:left w:val="single" w:color="auto" w:sz="4" w:space="0"/>
              <w:bottom w:val="single" w:color="auto" w:sz="4" w:space="0"/>
              <w:right w:val="single" w:color="auto" w:sz="4" w:space="0"/>
            </w:tcBorders>
            <w:vAlign w:val="center"/>
          </w:tcPr>
          <w:p w14:paraId="37F65FE8">
            <w:pPr>
              <w:snapToGrid w:val="0"/>
              <w:spacing w:before="50" w:after="50" w:line="360" w:lineRule="auto"/>
              <w:jc w:val="center"/>
              <w:rPr>
                <w:rFonts w:hint="eastAsia" w:ascii="宋体" w:hAnsi="宋体" w:cs="宋体"/>
                <w:b/>
                <w:color w:val="auto"/>
                <w:sz w:val="24"/>
                <w:highlight w:val="none"/>
              </w:rPr>
            </w:pPr>
          </w:p>
        </w:tc>
        <w:tc>
          <w:tcPr>
            <w:tcW w:w="2290" w:type="dxa"/>
            <w:tcBorders>
              <w:top w:val="single" w:color="auto" w:sz="4" w:space="0"/>
              <w:left w:val="single" w:color="auto" w:sz="4" w:space="0"/>
              <w:bottom w:val="single" w:color="auto" w:sz="4" w:space="0"/>
              <w:right w:val="single" w:color="auto" w:sz="4" w:space="0"/>
            </w:tcBorders>
            <w:vAlign w:val="center"/>
          </w:tcPr>
          <w:p w14:paraId="6399EAA7">
            <w:pPr>
              <w:snapToGrid w:val="0"/>
              <w:spacing w:before="50" w:after="50"/>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小写</w:t>
            </w:r>
          </w:p>
        </w:tc>
        <w:tc>
          <w:tcPr>
            <w:tcW w:w="2355" w:type="dxa"/>
            <w:tcBorders>
              <w:top w:val="single" w:color="auto" w:sz="4" w:space="0"/>
              <w:left w:val="single" w:color="auto" w:sz="4" w:space="0"/>
              <w:bottom w:val="single" w:color="auto" w:sz="4" w:space="0"/>
              <w:right w:val="single" w:color="auto" w:sz="4" w:space="0"/>
            </w:tcBorders>
            <w:vAlign w:val="center"/>
          </w:tcPr>
          <w:p w14:paraId="02C97158">
            <w:pPr>
              <w:snapToGrid w:val="0"/>
              <w:spacing w:before="50" w:after="50"/>
              <w:jc w:val="center"/>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大写</w:t>
            </w:r>
          </w:p>
        </w:tc>
      </w:tr>
      <w:tr w14:paraId="02324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911" w:type="dxa"/>
            <w:tcBorders>
              <w:top w:val="single" w:color="auto" w:sz="4" w:space="0"/>
              <w:left w:val="single" w:color="auto" w:sz="4" w:space="0"/>
              <w:right w:val="single" w:color="auto" w:sz="4" w:space="0"/>
            </w:tcBorders>
            <w:vAlign w:val="center"/>
          </w:tcPr>
          <w:p w14:paraId="5BCDE2C5">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3662" w:type="dxa"/>
            <w:tcBorders>
              <w:top w:val="single" w:color="auto" w:sz="4" w:space="0"/>
              <w:left w:val="single" w:color="auto" w:sz="4" w:space="0"/>
              <w:right w:val="single" w:color="auto" w:sz="4" w:space="0"/>
            </w:tcBorders>
            <w:vAlign w:val="center"/>
          </w:tcPr>
          <w:p w14:paraId="1B79E01F">
            <w:pPr>
              <w:jc w:val="center"/>
              <w:rPr>
                <w:rFonts w:hint="default" w:ascii="宋体" w:hAnsi="宋体" w:eastAsia="宋体" w:cs="宋体"/>
                <w:b/>
                <w:bCs/>
                <w:color w:val="auto"/>
                <w:sz w:val="24"/>
                <w:highlight w:val="none"/>
                <w:lang w:val="en-US" w:eastAsia="zh-CN"/>
              </w:rPr>
            </w:pPr>
            <w:r>
              <w:rPr>
                <w:rFonts w:hint="eastAsia" w:ascii="宋体" w:hAnsi="宋体" w:eastAsia="宋体" w:cs="宋体"/>
                <w:color w:val="auto"/>
                <w:sz w:val="24"/>
                <w:szCs w:val="24"/>
                <w:highlight w:val="none"/>
                <w:lang w:val="en-US" w:eastAsia="zh-CN"/>
              </w:rPr>
              <w:t>肾穿刺病理检测外送服务项目</w:t>
            </w:r>
          </w:p>
        </w:tc>
        <w:tc>
          <w:tcPr>
            <w:tcW w:w="2290" w:type="dxa"/>
            <w:tcBorders>
              <w:top w:val="single" w:color="auto" w:sz="4" w:space="0"/>
              <w:left w:val="single" w:color="auto" w:sz="4" w:space="0"/>
              <w:bottom w:val="single" w:color="auto" w:sz="4" w:space="0"/>
              <w:right w:val="single" w:color="auto" w:sz="4" w:space="0"/>
            </w:tcBorders>
            <w:vAlign w:val="center"/>
          </w:tcPr>
          <w:p w14:paraId="32A8950A">
            <w:pPr>
              <w:snapToGrid w:val="0"/>
              <w:spacing w:before="50" w:after="5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p>
        </w:tc>
        <w:tc>
          <w:tcPr>
            <w:tcW w:w="2355" w:type="dxa"/>
            <w:tcBorders>
              <w:top w:val="single" w:color="auto" w:sz="4" w:space="0"/>
              <w:left w:val="single" w:color="auto" w:sz="4" w:space="0"/>
              <w:bottom w:val="single" w:color="auto" w:sz="4" w:space="0"/>
              <w:right w:val="single" w:color="auto" w:sz="4" w:space="0"/>
            </w:tcBorders>
            <w:vAlign w:val="center"/>
          </w:tcPr>
          <w:p w14:paraId="20F03376">
            <w:pPr>
              <w:snapToGrid w:val="0"/>
              <w:spacing w:before="50" w:after="50"/>
              <w:jc w:val="left"/>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lang w:val="en-US" w:eastAsia="zh-CN"/>
              </w:rPr>
              <w:t>百分之</w:t>
            </w:r>
            <w:r>
              <w:rPr>
                <w:rFonts w:hint="eastAsia" w:ascii="宋体" w:hAnsi="宋体" w:cs="宋体"/>
                <w:color w:val="auto"/>
                <w:sz w:val="24"/>
                <w:highlight w:val="none"/>
                <w:u w:val="single"/>
                <w:lang w:val="en-US" w:eastAsia="zh-CN"/>
              </w:rPr>
              <w:t xml:space="preserve">        </w:t>
            </w:r>
          </w:p>
        </w:tc>
      </w:tr>
    </w:tbl>
    <w:p w14:paraId="58B7B353">
      <w:pPr>
        <w:spacing w:line="360" w:lineRule="auto"/>
        <w:jc w:val="left"/>
        <w:rPr>
          <w:rFonts w:ascii="宋体" w:hAnsi="宋体"/>
          <w:color w:val="auto"/>
          <w:sz w:val="24"/>
          <w:highlight w:val="none"/>
        </w:rPr>
      </w:pPr>
      <w:r>
        <w:rPr>
          <w:rFonts w:hint="eastAsia" w:ascii="宋体" w:hAnsi="宋体" w:cs="宋体"/>
          <w:color w:val="auto"/>
          <w:sz w:val="24"/>
          <w:highlight w:val="none"/>
        </w:rPr>
        <w:t>注：</w:t>
      </w:r>
      <w:r>
        <w:rPr>
          <w:rFonts w:hint="eastAsia" w:ascii="宋体" w:hAnsi="宋体"/>
          <w:color w:val="auto"/>
          <w:sz w:val="24"/>
          <w:highlight w:val="none"/>
        </w:rPr>
        <w:t>1、投标报价一栏必须填写，否则其投标作无效标处理。</w:t>
      </w:r>
    </w:p>
    <w:p w14:paraId="5CD4282E">
      <w:pPr>
        <w:spacing w:line="360" w:lineRule="auto"/>
        <w:ind w:firstLine="480" w:firstLineChars="200"/>
        <w:jc w:val="left"/>
        <w:rPr>
          <w:rFonts w:hint="eastAsia" w:ascii="宋体" w:hAnsi="宋体" w:cs="宋体"/>
          <w:color w:val="auto"/>
          <w:sz w:val="24"/>
          <w:highlight w:val="none"/>
        </w:rPr>
      </w:pPr>
      <w:r>
        <w:rPr>
          <w:rFonts w:hint="eastAsia" w:ascii="宋体" w:hAnsi="宋体"/>
          <w:color w:val="auto"/>
          <w:sz w:val="24"/>
          <w:highlight w:val="none"/>
        </w:rPr>
        <w:t>2、投标报价一经涂改，应在涂改处加盖单位公章或者由法定代表人或授权委托人签字或盖章，否则其投标作无效标处理。</w:t>
      </w:r>
    </w:p>
    <w:p w14:paraId="41F089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w:t>
      </w:r>
      <w:r>
        <w:rPr>
          <w:rFonts w:hint="eastAsia" w:ascii="宋体" w:hAnsi="宋体" w:cs="宋体"/>
          <w:color w:val="auto"/>
          <w:sz w:val="24"/>
          <w:highlight w:val="none"/>
          <w:lang w:val="en-US" w:eastAsia="zh-CN"/>
        </w:rPr>
        <w:t>折扣</w:t>
      </w:r>
      <w:r>
        <w:rPr>
          <w:rFonts w:hint="eastAsia" w:ascii="宋体" w:hAnsi="宋体" w:cs="宋体"/>
          <w:color w:val="auto"/>
          <w:sz w:val="24"/>
          <w:highlight w:val="none"/>
        </w:rPr>
        <w:t>报价是履行合同的最终价格，应包括</w:t>
      </w:r>
      <w:r>
        <w:rPr>
          <w:rFonts w:hint="eastAsia" w:eastAsia="宋体" w:cs="Times New Roman"/>
          <w:color w:val="auto"/>
          <w:sz w:val="24"/>
          <w:highlight w:val="none"/>
          <w:lang w:val="en-US" w:eastAsia="zh-CN"/>
        </w:rPr>
        <w:t>运输服务、配套车辆设备、配备服务人员、设备维护保养、微生物消毒、外送标本检验、存储耗材、</w:t>
      </w:r>
      <w:r>
        <w:rPr>
          <w:rFonts w:hint="default" w:eastAsia="宋体" w:cs="Times New Roman"/>
          <w:color w:val="auto"/>
          <w:sz w:val="24"/>
          <w:highlight w:val="none"/>
          <w:lang w:val="en-US" w:eastAsia="zh-CN"/>
        </w:rPr>
        <w:t>运输费、人工费、质量监控信息费、外送</w:t>
      </w:r>
      <w:r>
        <w:rPr>
          <w:rFonts w:hint="eastAsia" w:eastAsia="宋体" w:cs="Times New Roman"/>
          <w:color w:val="auto"/>
          <w:sz w:val="24"/>
          <w:highlight w:val="none"/>
          <w:lang w:val="en-US" w:eastAsia="zh-CN"/>
        </w:rPr>
        <w:t>样</w:t>
      </w:r>
      <w:r>
        <w:rPr>
          <w:rFonts w:hint="default" w:eastAsia="宋体" w:cs="Times New Roman"/>
          <w:color w:val="auto"/>
          <w:sz w:val="24"/>
          <w:highlight w:val="none"/>
          <w:lang w:val="en-US" w:eastAsia="zh-CN"/>
        </w:rPr>
        <w:t>本检测成本费、仓储费、保险费、培训、</w:t>
      </w:r>
      <w:r>
        <w:rPr>
          <w:rFonts w:hint="eastAsia" w:eastAsia="宋体" w:cs="Times New Roman"/>
          <w:color w:val="auto"/>
          <w:sz w:val="24"/>
          <w:highlight w:val="none"/>
          <w:lang w:val="en-US" w:eastAsia="zh-CN"/>
        </w:rPr>
        <w:t>工资、水电费、设备折旧费</w:t>
      </w:r>
      <w:r>
        <w:rPr>
          <w:rFonts w:hint="default" w:eastAsia="宋体" w:cs="Times New Roman"/>
          <w:color w:val="auto"/>
          <w:sz w:val="24"/>
          <w:highlight w:val="none"/>
          <w:lang w:val="en-US" w:eastAsia="zh-CN"/>
        </w:rPr>
        <w:t>售后服务、利润、完</w:t>
      </w:r>
      <w:r>
        <w:rPr>
          <w:rFonts w:hint="default" w:ascii="Times New Roman" w:hAnsi="Times New Roman" w:eastAsia="宋体" w:cs="Times New Roman"/>
          <w:color w:val="auto"/>
          <w:sz w:val="24"/>
          <w:highlight w:val="none"/>
        </w:rPr>
        <w:t>成本项目的其它费用和政策性文件规定及合同包含的所有风险、责任</w:t>
      </w:r>
      <w:r>
        <w:rPr>
          <w:rFonts w:hint="eastAsia" w:ascii="宋体" w:hAnsi="宋体" w:cs="宋体"/>
          <w:color w:val="auto"/>
          <w:sz w:val="24"/>
          <w:highlight w:val="none"/>
        </w:rPr>
        <w:t>等本项目相关的一切费用和税金。投标人投标报价为投标人所能承受的整个项目的一次性最终最低报价，如有漏项，视同已包含在本项目投标</w:t>
      </w:r>
      <w:r>
        <w:rPr>
          <w:rFonts w:hint="eastAsia" w:ascii="宋体" w:hAnsi="宋体" w:cs="宋体"/>
          <w:color w:val="auto"/>
          <w:sz w:val="24"/>
          <w:highlight w:val="none"/>
          <w:lang w:val="en-US" w:eastAsia="zh-CN"/>
        </w:rPr>
        <w:t>折扣</w:t>
      </w:r>
      <w:r>
        <w:rPr>
          <w:rFonts w:hint="eastAsia" w:ascii="宋体" w:hAnsi="宋体" w:cs="宋体"/>
          <w:color w:val="auto"/>
          <w:sz w:val="24"/>
          <w:highlight w:val="none"/>
        </w:rPr>
        <w:t>报价中，</w:t>
      </w:r>
      <w:r>
        <w:rPr>
          <w:rFonts w:hint="eastAsia" w:ascii="宋体" w:hAnsi="宋体" w:cs="宋体"/>
          <w:color w:val="auto"/>
          <w:sz w:val="24"/>
          <w:highlight w:val="none"/>
          <w:lang w:val="en-US" w:eastAsia="zh-CN"/>
        </w:rPr>
        <w:t>合同折扣</w:t>
      </w:r>
      <w:r>
        <w:rPr>
          <w:rFonts w:hint="eastAsia" w:ascii="宋体" w:hAnsi="宋体" w:cs="宋体"/>
          <w:color w:val="auto"/>
          <w:sz w:val="24"/>
          <w:highlight w:val="none"/>
          <w:lang w:eastAsia="zh-CN"/>
        </w:rPr>
        <w:t>不作调整</w:t>
      </w:r>
      <w:r>
        <w:rPr>
          <w:rFonts w:hint="eastAsia" w:ascii="宋体" w:hAnsi="宋体" w:cs="宋体"/>
          <w:color w:val="auto"/>
          <w:sz w:val="24"/>
          <w:highlight w:val="none"/>
        </w:rPr>
        <w:t>。</w:t>
      </w:r>
    </w:p>
    <w:p w14:paraId="196F1309">
      <w:pPr>
        <w:pStyle w:val="6"/>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结算方式：检测费用按季结算，业务量的结算以当季外送样本登记的签收记录为准。</w:t>
      </w:r>
    </w:p>
    <w:p w14:paraId="0A0F7D4F">
      <w:pPr>
        <w:keepNext w:val="0"/>
        <w:keepLines w:val="0"/>
        <w:pageBreakBefore w:val="0"/>
        <w:widowControl w:val="0"/>
        <w:kinsoku/>
        <w:wordWrap/>
        <w:overflowPunct/>
        <w:topLinePunct w:val="0"/>
        <w:autoSpaceDE/>
        <w:autoSpaceDN/>
        <w:bidi w:val="0"/>
        <w:adjustRightInd/>
        <w:spacing w:line="348"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每季检测费用=金华市公立医院医疗服务价格手册收费标准（附件2）×当季经双方共同确认的本院外送检测服务数量×本院外送检测服务中标折扣</w:t>
      </w:r>
      <w:r>
        <w:rPr>
          <w:rFonts w:hint="eastAsia" w:ascii="宋体" w:hAnsi="宋体" w:cs="宋体"/>
          <w:color w:val="auto"/>
          <w:sz w:val="24"/>
          <w:szCs w:val="24"/>
          <w:highlight w:val="none"/>
          <w:lang w:val="en-US" w:eastAsia="zh-CN"/>
        </w:rPr>
        <w:t>。</w:t>
      </w:r>
    </w:p>
    <w:p w14:paraId="55CA8BA4">
      <w:pPr>
        <w:keepNext w:val="0"/>
        <w:keepLines w:val="0"/>
        <w:pageBreakBefore w:val="0"/>
        <w:widowControl w:val="0"/>
        <w:kinsoku/>
        <w:wordWrap/>
        <w:overflowPunct/>
        <w:topLinePunct w:val="0"/>
        <w:autoSpaceDE/>
        <w:autoSpaceDN/>
        <w:bidi w:val="0"/>
        <w:adjustRightInd/>
        <w:spacing w:line="348" w:lineRule="auto"/>
        <w:ind w:firstLine="482" w:firstLineChars="200"/>
        <w:textAlignment w:val="auto"/>
        <w:rPr>
          <w:rFonts w:hint="default"/>
          <w:b/>
          <w:bCs/>
          <w:color w:val="auto"/>
          <w:highlight w:val="none"/>
          <w:lang w:val="en-US" w:eastAsia="zh-CN"/>
        </w:rPr>
      </w:pPr>
      <w:r>
        <w:rPr>
          <w:rFonts w:hint="eastAsia" w:ascii="宋体" w:hAnsi="宋体" w:cs="宋体"/>
          <w:b/>
          <w:bCs/>
          <w:color w:val="auto"/>
          <w:sz w:val="24"/>
          <w:szCs w:val="24"/>
          <w:highlight w:val="none"/>
          <w:lang w:val="en-US" w:eastAsia="zh-CN"/>
        </w:rPr>
        <w:t>例：本院外送检测服务投标折扣报价为88%，以“免疫荧光染色诊断”为例，则本院外送免疫荧光染色诊断检测服务费=金华市公立医院医疗服务价格手册收费标准（免疫荧光染色诊断）*检测数量*88%</w:t>
      </w:r>
    </w:p>
    <w:p w14:paraId="344E2BB2">
      <w:pPr>
        <w:keepNext w:val="0"/>
        <w:keepLines w:val="0"/>
        <w:pageBreakBefore w:val="0"/>
        <w:widowControl w:val="0"/>
        <w:kinsoku/>
        <w:wordWrap/>
        <w:overflowPunct/>
        <w:topLinePunct w:val="0"/>
        <w:autoSpaceDE/>
        <w:autoSpaceDN/>
        <w:bidi w:val="0"/>
        <w:adjustRightInd/>
        <w:snapToGrid w:val="0"/>
        <w:spacing w:line="348" w:lineRule="auto"/>
        <w:ind w:firstLine="480" w:firstLineChars="200"/>
        <w:jc w:val="left"/>
        <w:textAlignment w:val="auto"/>
        <w:rPr>
          <w:rFonts w:ascii="宋体" w:hAnsi="宋体" w:cs="宋体"/>
          <w:color w:val="auto"/>
          <w:sz w:val="24"/>
          <w:highlight w:val="none"/>
          <w:u w:val="singl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、本表格式不允许修改，否则作无效标处理。</w:t>
      </w:r>
    </w:p>
    <w:p w14:paraId="50617511">
      <w:pPr>
        <w:keepNext w:val="0"/>
        <w:keepLines w:val="0"/>
        <w:pageBreakBefore w:val="0"/>
        <w:widowControl w:val="0"/>
        <w:kinsoku/>
        <w:wordWrap/>
        <w:overflowPunct/>
        <w:topLinePunct w:val="0"/>
        <w:autoSpaceDE/>
        <w:autoSpaceDN/>
        <w:bidi w:val="0"/>
        <w:adjustRightInd/>
        <w:spacing w:line="348" w:lineRule="auto"/>
        <w:textAlignment w:val="auto"/>
        <w:rPr>
          <w:rFonts w:hint="eastAsia" w:ascii="宋体" w:hAnsi="宋体" w:cs="宋体"/>
          <w:color w:val="auto"/>
          <w:sz w:val="24"/>
          <w:highlight w:val="none"/>
        </w:rPr>
      </w:pPr>
    </w:p>
    <w:p w14:paraId="561EC48E">
      <w:pPr>
        <w:keepNext w:val="0"/>
        <w:keepLines w:val="0"/>
        <w:pageBreakBefore w:val="0"/>
        <w:widowControl w:val="0"/>
        <w:kinsoku/>
        <w:wordWrap/>
        <w:overflowPunct/>
        <w:topLinePunct w:val="0"/>
        <w:autoSpaceDE/>
        <w:autoSpaceDN/>
        <w:bidi w:val="0"/>
        <w:adjustRightInd/>
        <w:spacing w:line="348" w:lineRule="auto"/>
        <w:textAlignment w:val="auto"/>
        <w:rPr>
          <w:rFonts w:ascii="宋体" w:hAnsi="宋体" w:cs="宋体"/>
          <w:color w:val="auto"/>
          <w:sz w:val="24"/>
          <w:highlight w:val="none"/>
        </w:rPr>
      </w:pPr>
      <w:r>
        <w:rPr>
          <w:rFonts w:hint="eastAsia" w:ascii="宋体" w:hAnsi="宋体" w:cs="宋体"/>
          <w:color w:val="auto"/>
          <w:sz w:val="24"/>
          <w:highlight w:val="none"/>
        </w:rPr>
        <w:t>法定代表人或委托代理人（签字或盖章）：</w:t>
      </w:r>
    </w:p>
    <w:p w14:paraId="127C6EBA">
      <w:pPr>
        <w:keepNext w:val="0"/>
        <w:keepLines w:val="0"/>
        <w:pageBreakBefore w:val="0"/>
        <w:widowControl w:val="0"/>
        <w:kinsoku/>
        <w:wordWrap/>
        <w:overflowPunct/>
        <w:topLinePunct w:val="0"/>
        <w:autoSpaceDE/>
        <w:autoSpaceDN/>
        <w:bidi w:val="0"/>
        <w:adjustRightInd/>
        <w:spacing w:line="348" w:lineRule="auto"/>
        <w:textAlignment w:val="auto"/>
        <w:rPr>
          <w:rFonts w:ascii="宋体" w:hAnsi="宋体" w:cs="宋体"/>
          <w:color w:val="auto"/>
          <w:sz w:val="24"/>
          <w:highlight w:val="none"/>
        </w:rPr>
      </w:pPr>
      <w:r>
        <w:rPr>
          <w:rFonts w:hint="eastAsia" w:ascii="宋体" w:hAnsi="宋体" w:cs="宋体"/>
          <w:color w:val="auto"/>
          <w:sz w:val="24"/>
          <w:highlight w:val="none"/>
        </w:rPr>
        <w:t xml:space="preserve">投标人名称（盖章）：     </w:t>
      </w:r>
    </w:p>
    <w:p w14:paraId="61866850">
      <w:pPr>
        <w:spacing w:line="440" w:lineRule="exact"/>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A2D2294">
      <w:pPr>
        <w:rPr>
          <w:rFonts w:ascii="宋体" w:hAnsi="宋体" w:cs="宋体"/>
          <w:color w:val="auto"/>
          <w:sz w:val="24"/>
          <w:highlight w:val="none"/>
        </w:rPr>
      </w:pPr>
      <w:r>
        <w:rPr>
          <w:rFonts w:hint="eastAsia" w:ascii="宋体" w:hAnsi="宋体" w:cs="宋体"/>
          <w:color w:val="auto"/>
          <w:sz w:val="24"/>
          <w:highlight w:val="none"/>
        </w:rPr>
        <w:br w:type="page"/>
      </w:r>
    </w:p>
    <w:p w14:paraId="208AB2B3">
      <w:pPr>
        <w:pageBreakBefore/>
        <w:spacing w:before="260" w:after="260" w:line="415" w:lineRule="auto"/>
        <w:outlineLvl w:val="1"/>
        <w:rPr>
          <w:rFonts w:ascii="宋体" w:hAnsi="宋体" w:cs="宋体"/>
          <w:bCs/>
          <w:color w:val="auto"/>
          <w:sz w:val="24"/>
          <w:highlight w:val="none"/>
        </w:rPr>
      </w:pPr>
      <w:bookmarkStart w:id="91" w:name="_Toc17640"/>
      <w:r>
        <w:rPr>
          <w:rFonts w:hint="eastAsia" w:ascii="宋体" w:hAnsi="宋体" w:cs="宋体"/>
          <w:bCs/>
          <w:color w:val="auto"/>
          <w:sz w:val="24"/>
          <w:highlight w:val="none"/>
        </w:rPr>
        <w:t>附件十五：</w:t>
      </w:r>
      <w:bookmarkEnd w:id="90"/>
      <w:bookmarkStart w:id="92" w:name="_Toc496599001"/>
      <w:r>
        <w:rPr>
          <w:rFonts w:hint="eastAsia" w:ascii="宋体" w:hAnsi="宋体" w:cs="宋体"/>
          <w:bCs/>
          <w:color w:val="auto"/>
          <w:sz w:val="24"/>
          <w:highlight w:val="none"/>
        </w:rPr>
        <w:t>中小企业声明函（工程、服务）</w:t>
      </w:r>
      <w:bookmarkEnd w:id="91"/>
    </w:p>
    <w:p w14:paraId="1536A049">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中小企业声明函（工程、服务）</w:t>
      </w:r>
    </w:p>
    <w:p w14:paraId="527AA8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 xml:space="preserve">  （单位名称）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153A2CB0">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其他未列明行业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（请填写中型企业或小型企业或微型企业）；</w:t>
      </w:r>
    </w:p>
    <w:p w14:paraId="208A0130">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其他未列明行业</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 xml:space="preserve">  （企业名称）  </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万元，</w:t>
      </w:r>
      <w:r>
        <w:rPr>
          <w:rFonts w:hint="eastAsia" w:ascii="宋体" w:hAnsi="宋体" w:cs="宋体"/>
          <w:b/>
          <w:bCs/>
          <w:color w:val="auto"/>
          <w:sz w:val="24"/>
          <w:szCs w:val="32"/>
          <w:highlight w:val="none"/>
        </w:rPr>
        <w:t>属于</w:t>
      </w:r>
      <w:r>
        <w:rPr>
          <w:rFonts w:hint="eastAsia"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rPr>
        <w:t>企业</w:t>
      </w:r>
      <w:r>
        <w:rPr>
          <w:rFonts w:hint="eastAsia" w:ascii="宋体" w:hAnsi="宋体" w:cs="宋体"/>
          <w:color w:val="auto"/>
          <w:sz w:val="24"/>
          <w:szCs w:val="32"/>
          <w:highlight w:val="none"/>
        </w:rPr>
        <w:t>（请填写中型企业或小型企业或微型企业）；</w:t>
      </w:r>
    </w:p>
    <w:p w14:paraId="569AB892">
      <w:pPr>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63981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4524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E17FA8C">
      <w:pPr>
        <w:spacing w:line="360" w:lineRule="auto"/>
        <w:rPr>
          <w:rFonts w:ascii="宋体" w:hAnsi="宋体" w:cs="宋体"/>
          <w:color w:val="auto"/>
          <w:sz w:val="24"/>
          <w:highlight w:val="none"/>
        </w:rPr>
      </w:pPr>
    </w:p>
    <w:p w14:paraId="1CA15C28">
      <w:pPr>
        <w:spacing w:line="360" w:lineRule="auto"/>
        <w:ind w:firstLine="5280" w:firstLineChars="2200"/>
        <w:rPr>
          <w:rFonts w:ascii="宋体" w:hAnsi="宋体" w:cs="宋体"/>
          <w:color w:val="auto"/>
          <w:sz w:val="24"/>
          <w:highlight w:val="none"/>
        </w:rPr>
      </w:pPr>
      <w:r>
        <w:rPr>
          <w:rFonts w:hint="eastAsia" w:ascii="宋体" w:hAnsi="宋体" w:cs="宋体"/>
          <w:color w:val="auto"/>
          <w:sz w:val="24"/>
          <w:highlight w:val="none"/>
        </w:rPr>
        <w:t>企业名称（盖章）：</w:t>
      </w:r>
    </w:p>
    <w:p w14:paraId="6499BF20">
      <w:pPr>
        <w:spacing w:line="360" w:lineRule="auto"/>
        <w:ind w:firstLine="5280" w:firstLineChars="2200"/>
        <w:rPr>
          <w:rFonts w:ascii="宋体" w:hAnsi="宋体" w:cs="宋体"/>
          <w:color w:val="auto"/>
          <w:sz w:val="24"/>
          <w:highlight w:val="none"/>
        </w:rPr>
      </w:pPr>
      <w:r>
        <w:rPr>
          <w:rFonts w:hint="eastAsia" w:ascii="宋体" w:hAnsi="宋体" w:cs="宋体"/>
          <w:color w:val="auto"/>
          <w:sz w:val="24"/>
          <w:highlight w:val="none"/>
        </w:rPr>
        <w:t>日期：</w:t>
      </w:r>
    </w:p>
    <w:p w14:paraId="5852AEFC">
      <w:pPr>
        <w:spacing w:line="360" w:lineRule="auto"/>
        <w:rPr>
          <w:rFonts w:ascii="宋体" w:hAnsi="宋体" w:cs="宋体"/>
          <w:color w:val="auto"/>
          <w:sz w:val="24"/>
          <w:highlight w:val="none"/>
        </w:rPr>
      </w:pPr>
    </w:p>
    <w:p w14:paraId="30454E5F">
      <w:pPr>
        <w:spacing w:line="360" w:lineRule="auto"/>
        <w:rPr>
          <w:rFonts w:ascii="宋体" w:hAnsi="宋体" w:cs="宋体"/>
          <w:b/>
          <w:bCs/>
          <w:color w:val="auto"/>
          <w:sz w:val="24"/>
          <w:highlight w:val="none"/>
        </w:rPr>
      </w:pPr>
    </w:p>
    <w:p w14:paraId="471063F6">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备注：</w:t>
      </w:r>
    </w:p>
    <w:p w14:paraId="2B28DBB4">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1、从业人员、营业收入、资产总额填报上一年度数据，无上一年度数据的新成立企业可不填报。</w:t>
      </w:r>
    </w:p>
    <w:p w14:paraId="27907CFE">
      <w:pPr>
        <w:pStyle w:val="12"/>
        <w:rPr>
          <w:rFonts w:ascii="宋体" w:hAnsi="宋体" w:cs="宋体"/>
          <w:b/>
          <w:bCs/>
          <w:color w:val="auto"/>
          <w:sz w:val="24"/>
          <w:highlight w:val="none"/>
        </w:rPr>
      </w:pPr>
      <w:r>
        <w:rPr>
          <w:rFonts w:hint="eastAsia" w:ascii="宋体" w:hAnsi="宋体" w:cs="宋体"/>
          <w:b/>
          <w:bCs/>
          <w:color w:val="auto"/>
          <w:sz w:val="24"/>
          <w:highlight w:val="none"/>
        </w:rPr>
        <w:t>2、本声明函将随中标结果同时公告，接受社会监督。</w:t>
      </w:r>
    </w:p>
    <w:p w14:paraId="1B4B6341">
      <w:pPr>
        <w:pageBreakBefore/>
        <w:spacing w:before="260" w:after="260" w:line="415" w:lineRule="auto"/>
        <w:outlineLvl w:val="1"/>
        <w:rPr>
          <w:rFonts w:hint="eastAsia" w:ascii="宋体" w:hAnsi="宋体" w:eastAsia="宋体" w:cs="宋体"/>
          <w:bCs/>
          <w:color w:val="auto"/>
          <w:sz w:val="24"/>
          <w:highlight w:val="none"/>
        </w:rPr>
      </w:pPr>
      <w:bookmarkStart w:id="93" w:name="_Toc16590"/>
      <w:bookmarkStart w:id="94" w:name="_Toc5557"/>
      <w:bookmarkStart w:id="95" w:name="_Toc26681"/>
      <w:r>
        <w:rPr>
          <w:rFonts w:hint="eastAsia" w:ascii="宋体" w:hAnsi="宋体" w:eastAsia="宋体" w:cs="宋体"/>
          <w:bCs/>
          <w:color w:val="auto"/>
          <w:sz w:val="24"/>
          <w:highlight w:val="none"/>
        </w:rPr>
        <w:t>附件十</w:t>
      </w:r>
      <w:r>
        <w:rPr>
          <w:rFonts w:hint="eastAsia" w:ascii="宋体" w:hAnsi="宋体" w:eastAsia="宋体" w:cs="宋体"/>
          <w:bCs/>
          <w:color w:val="auto"/>
          <w:sz w:val="24"/>
          <w:highlight w:val="none"/>
          <w:lang w:val="en-US" w:eastAsia="zh-CN"/>
        </w:rPr>
        <w:t>六</w:t>
      </w:r>
      <w:r>
        <w:rPr>
          <w:rFonts w:hint="eastAsia" w:ascii="宋体" w:hAnsi="宋体" w:eastAsia="宋体" w:cs="宋体"/>
          <w:bCs/>
          <w:color w:val="auto"/>
          <w:sz w:val="24"/>
          <w:highlight w:val="none"/>
        </w:rPr>
        <w:t>：残疾人福利性单位声明函</w:t>
      </w:r>
      <w:bookmarkEnd w:id="93"/>
      <w:bookmarkEnd w:id="94"/>
      <w:bookmarkEnd w:id="95"/>
    </w:p>
    <w:p w14:paraId="5D0F415C">
      <w:pPr>
        <w:spacing w:after="120"/>
        <w:ind w:right="960" w:firstLine="2533" w:firstLineChars="701"/>
        <w:jc w:val="left"/>
        <w:rPr>
          <w:rFonts w:ascii="宋体" w:hAnsi="宋体" w:cs="宋体"/>
          <w:b/>
          <w:color w:val="auto"/>
          <w:sz w:val="36"/>
          <w:highlight w:val="none"/>
        </w:rPr>
      </w:pPr>
      <w:r>
        <w:rPr>
          <w:rFonts w:hint="eastAsia" w:ascii="宋体" w:hAnsi="宋体" w:cs="宋体"/>
          <w:b/>
          <w:color w:val="auto"/>
          <w:sz w:val="36"/>
          <w:highlight w:val="none"/>
        </w:rPr>
        <w:t>残疾人福利性单位声明函</w:t>
      </w:r>
    </w:p>
    <w:p w14:paraId="7B25FC8F">
      <w:pPr>
        <w:spacing w:after="120" w:line="360" w:lineRule="auto"/>
        <w:ind w:right="960" w:firstLine="548" w:firstLineChars="196"/>
        <w:jc w:val="left"/>
        <w:rPr>
          <w:rFonts w:ascii="宋体" w:hAnsi="宋体" w:cs="宋体"/>
          <w:color w:val="auto"/>
          <w:sz w:val="28"/>
          <w:highlight w:val="none"/>
        </w:rPr>
      </w:pPr>
    </w:p>
    <w:p w14:paraId="5C70FC19">
      <w:pPr>
        <w:spacing w:after="120" w:line="360" w:lineRule="auto"/>
        <w:ind w:right="960" w:firstLine="548" w:firstLineChars="196"/>
        <w:jc w:val="left"/>
        <w:rPr>
          <w:rFonts w:ascii="宋体" w:hAnsi="宋体" w:cs="宋体"/>
          <w:color w:val="auto"/>
          <w:sz w:val="28"/>
          <w:highlight w:val="none"/>
        </w:rPr>
      </w:pPr>
      <w:r>
        <w:rPr>
          <w:rFonts w:hint="eastAsia" w:ascii="宋体" w:hAnsi="宋体" w:cs="宋体"/>
          <w:color w:val="auto"/>
          <w:sz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单位的</w:t>
      </w:r>
      <w:r>
        <w:rPr>
          <w:rFonts w:hint="eastAsia" w:ascii="宋体" w:hAnsi="宋体" w:cs="宋体"/>
          <w:color w:val="auto"/>
          <w:sz w:val="28"/>
          <w:highlight w:val="none"/>
          <w:u w:val="single"/>
        </w:rPr>
        <w:t xml:space="preserve">        </w:t>
      </w:r>
      <w:r>
        <w:rPr>
          <w:rFonts w:hint="eastAsia" w:ascii="宋体" w:hAnsi="宋体" w:cs="宋体"/>
          <w:color w:val="auto"/>
          <w:sz w:val="28"/>
          <w:highlight w:val="none"/>
        </w:rPr>
        <w:t>项目采购活动提供本单位制造的货物（由本单位承担工程/服务），或者提供其他残疾人福利性单位制造的货物（不包括使用非残疾人福利性单位注册商标的货物）。</w:t>
      </w:r>
    </w:p>
    <w:p w14:paraId="18C7EB20">
      <w:pPr>
        <w:spacing w:after="120" w:line="360" w:lineRule="auto"/>
        <w:ind w:right="960" w:firstLine="548" w:firstLineChars="196"/>
        <w:jc w:val="left"/>
        <w:rPr>
          <w:rFonts w:ascii="宋体" w:hAnsi="宋体" w:cs="宋体"/>
          <w:color w:val="auto"/>
          <w:sz w:val="28"/>
          <w:highlight w:val="none"/>
        </w:rPr>
      </w:pPr>
      <w:r>
        <w:rPr>
          <w:rFonts w:hint="eastAsia" w:ascii="宋体" w:hAnsi="宋体" w:cs="宋体"/>
          <w:color w:val="auto"/>
          <w:sz w:val="28"/>
          <w:highlight w:val="none"/>
        </w:rPr>
        <w:t>本单位对上述声明的真实性负责。如有虚假，将依法承担相应责任。</w:t>
      </w:r>
    </w:p>
    <w:p w14:paraId="551B3DCB">
      <w:pPr>
        <w:spacing w:after="120" w:line="360" w:lineRule="auto"/>
        <w:ind w:right="960" w:firstLine="4200" w:firstLineChars="1500"/>
        <w:jc w:val="left"/>
        <w:rPr>
          <w:rFonts w:ascii="宋体" w:hAnsi="宋体" w:cs="宋体"/>
          <w:color w:val="auto"/>
          <w:sz w:val="28"/>
          <w:highlight w:val="none"/>
        </w:rPr>
      </w:pPr>
    </w:p>
    <w:p w14:paraId="0355AD2A">
      <w:pPr>
        <w:spacing w:after="120" w:line="360" w:lineRule="auto"/>
        <w:ind w:right="960" w:firstLine="4200" w:firstLineChars="1500"/>
        <w:jc w:val="left"/>
        <w:rPr>
          <w:rFonts w:ascii="宋体" w:hAnsi="宋体" w:cs="宋体"/>
          <w:color w:val="auto"/>
          <w:sz w:val="28"/>
          <w:highlight w:val="none"/>
        </w:rPr>
      </w:pPr>
    </w:p>
    <w:p w14:paraId="401D3363">
      <w:pPr>
        <w:spacing w:after="120" w:line="360" w:lineRule="auto"/>
        <w:ind w:right="960" w:firstLine="4200" w:firstLineChars="1500"/>
        <w:jc w:val="left"/>
        <w:rPr>
          <w:rFonts w:ascii="宋体" w:hAnsi="宋体" w:cs="宋体"/>
          <w:color w:val="auto"/>
          <w:sz w:val="28"/>
          <w:highlight w:val="none"/>
        </w:rPr>
      </w:pPr>
      <w:r>
        <w:rPr>
          <w:rFonts w:hint="eastAsia" w:ascii="宋体" w:hAnsi="宋体" w:cs="宋体"/>
          <w:color w:val="auto"/>
          <w:sz w:val="28"/>
          <w:highlight w:val="none"/>
        </w:rPr>
        <w:t>单位名称（盖章）:</w:t>
      </w:r>
    </w:p>
    <w:p w14:paraId="220989BD">
      <w:pPr>
        <w:spacing w:after="120" w:line="360" w:lineRule="auto"/>
        <w:ind w:right="960" w:firstLine="4200" w:firstLineChars="1500"/>
        <w:jc w:val="left"/>
        <w:rPr>
          <w:rFonts w:ascii="宋体" w:hAnsi="宋体" w:cs="宋体"/>
          <w:color w:val="auto"/>
          <w:sz w:val="28"/>
          <w:highlight w:val="none"/>
        </w:rPr>
      </w:pPr>
      <w:r>
        <w:rPr>
          <w:rFonts w:hint="eastAsia" w:ascii="宋体" w:hAnsi="宋体" w:cs="宋体"/>
          <w:color w:val="auto"/>
          <w:sz w:val="28"/>
          <w:highlight w:val="none"/>
        </w:rPr>
        <w:t xml:space="preserve">日期：        </w:t>
      </w:r>
    </w:p>
    <w:p w14:paraId="31BD6F2D">
      <w:pPr>
        <w:spacing w:after="120"/>
        <w:jc w:val="center"/>
        <w:rPr>
          <w:rFonts w:ascii="宋体" w:hAnsi="宋体" w:cs="宋体"/>
          <w:b/>
          <w:color w:val="auto"/>
          <w:sz w:val="36"/>
          <w:szCs w:val="36"/>
          <w:highlight w:val="none"/>
        </w:rPr>
      </w:pPr>
    </w:p>
    <w:p w14:paraId="74A18721">
      <w:pPr>
        <w:numPr>
          <w:ilvl w:val="0"/>
          <w:numId w:val="11"/>
        </w:numPr>
        <w:tabs>
          <w:tab w:val="left" w:pos="420"/>
          <w:tab w:val="clear" w:pos="1244"/>
        </w:tabs>
        <w:spacing w:before="100" w:beforeAutospacing="1" w:after="100" w:afterAutospacing="1" w:line="432" w:lineRule="auto"/>
        <w:ind w:hanging="1244"/>
        <w:rPr>
          <w:rFonts w:ascii="宋体" w:hAnsi="宋体"/>
          <w:b/>
          <w:color w:val="auto"/>
          <w:szCs w:val="21"/>
          <w:highlight w:val="none"/>
        </w:rPr>
      </w:pPr>
      <w:r>
        <w:rPr>
          <w:rFonts w:hint="eastAsia" w:ascii="宋体" w:hAnsi="宋体"/>
          <w:b/>
          <w:color w:val="auto"/>
          <w:szCs w:val="21"/>
          <w:highlight w:val="none"/>
        </w:rPr>
        <w:t>残疾人福利性单位视同小型、微型企业，享受价格扣除。</w:t>
      </w:r>
    </w:p>
    <w:p w14:paraId="77970538">
      <w:pPr>
        <w:numPr>
          <w:ilvl w:val="0"/>
          <w:numId w:val="11"/>
        </w:numPr>
        <w:tabs>
          <w:tab w:val="left" w:pos="420"/>
          <w:tab w:val="clear" w:pos="1244"/>
        </w:tabs>
        <w:spacing w:before="100" w:beforeAutospacing="1" w:after="100" w:afterAutospacing="1" w:line="432" w:lineRule="auto"/>
        <w:ind w:hanging="1244"/>
        <w:rPr>
          <w:rFonts w:ascii="宋体" w:hAnsi="宋体" w:cs="宋体"/>
          <w:bCs/>
          <w:color w:val="auto"/>
          <w:sz w:val="24"/>
          <w:highlight w:val="none"/>
        </w:rPr>
      </w:pPr>
      <w:r>
        <w:rPr>
          <w:rFonts w:hint="eastAsia" w:ascii="宋体" w:hAnsi="宋体"/>
          <w:b/>
          <w:color w:val="auto"/>
          <w:szCs w:val="21"/>
          <w:highlight w:val="none"/>
        </w:rPr>
        <w:t>残疾人福利性单位属于小型、微型企业的，不重复享受价格扣除。</w:t>
      </w:r>
    </w:p>
    <w:p w14:paraId="28793E0D">
      <w:pPr>
        <w:numPr>
          <w:ilvl w:val="0"/>
          <w:numId w:val="11"/>
        </w:numPr>
        <w:tabs>
          <w:tab w:val="left" w:pos="420"/>
          <w:tab w:val="clear" w:pos="1244"/>
        </w:tabs>
        <w:spacing w:before="100" w:beforeAutospacing="1" w:after="100" w:afterAutospacing="1" w:line="432" w:lineRule="auto"/>
        <w:ind w:hanging="1244"/>
        <w:rPr>
          <w:rFonts w:ascii="宋体" w:hAnsi="宋体" w:cs="宋体"/>
          <w:bCs/>
          <w:color w:val="auto"/>
          <w:sz w:val="24"/>
          <w:highlight w:val="none"/>
        </w:rPr>
      </w:pPr>
      <w:r>
        <w:rPr>
          <w:rFonts w:hint="eastAsia" w:ascii="宋体" w:hAnsi="宋体"/>
          <w:b/>
          <w:color w:val="auto"/>
          <w:szCs w:val="21"/>
          <w:highlight w:val="none"/>
        </w:rPr>
        <w:t>如中标人声明为残疾人福利性单位，本声明函将随中标结果同时公告，接受社会监督。</w:t>
      </w:r>
    </w:p>
    <w:p w14:paraId="68A814BD">
      <w:pPr>
        <w:pageBreakBefore/>
        <w:spacing w:before="260" w:after="260" w:line="415" w:lineRule="auto"/>
        <w:outlineLvl w:val="1"/>
        <w:rPr>
          <w:rFonts w:ascii="宋体" w:hAnsi="宋体" w:cs="宋体"/>
          <w:bCs/>
          <w:color w:val="auto"/>
          <w:sz w:val="24"/>
          <w:highlight w:val="none"/>
        </w:rPr>
      </w:pPr>
      <w:bookmarkStart w:id="96" w:name="_Toc32423"/>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七</w:t>
      </w:r>
      <w:r>
        <w:rPr>
          <w:rFonts w:hint="eastAsia" w:ascii="宋体" w:hAnsi="宋体" w:cs="宋体"/>
          <w:bCs/>
          <w:color w:val="auto"/>
          <w:sz w:val="24"/>
          <w:highlight w:val="none"/>
        </w:rPr>
        <w:t>：</w:t>
      </w:r>
      <w:bookmarkEnd w:id="92"/>
      <w:bookmarkStart w:id="97" w:name="_Toc496599002"/>
      <w:r>
        <w:rPr>
          <w:rFonts w:hint="eastAsia" w:ascii="宋体" w:hAnsi="宋体" w:cs="宋体"/>
          <w:bCs/>
          <w:color w:val="auto"/>
          <w:sz w:val="24"/>
          <w:highlight w:val="none"/>
        </w:rPr>
        <w:t>东阳市采购项目验收方案</w:t>
      </w:r>
      <w:bookmarkEnd w:id="96"/>
    </w:p>
    <w:p w14:paraId="21D834B1">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东阳市采购项目验收方案</w:t>
      </w:r>
    </w:p>
    <w:p w14:paraId="61C6AAF2">
      <w:pPr>
        <w:spacing w:before="120" w:beforeLines="50" w:after="120"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根据《政府采购法》及东阳市政府采购办东财预〔2009〕98号《关于加强政府采购管理工作的补充规定》等有关文件规定，为做好</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采购项目的验收管理工作，特制定本项目验收方案，具体如下。</w:t>
      </w:r>
    </w:p>
    <w:p w14:paraId="0490004D">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一、验收项目说明</w:t>
      </w:r>
    </w:p>
    <w:p w14:paraId="1A1715C8">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 xml:space="preserve">1、招标编号：               </w:t>
      </w:r>
    </w:p>
    <w:p w14:paraId="43760B34">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服务</w:t>
      </w:r>
      <w:r>
        <w:rPr>
          <w:rFonts w:hint="eastAsia" w:ascii="宋体" w:hAnsi="宋体" w:cs="宋体"/>
          <w:b/>
          <w:color w:val="auto"/>
          <w:sz w:val="24"/>
          <w:highlight w:val="none"/>
        </w:rPr>
        <w:t>内容：</w:t>
      </w:r>
    </w:p>
    <w:p w14:paraId="1BC4EE15">
      <w:pPr>
        <w:spacing w:after="120" w:line="360" w:lineRule="auto"/>
        <w:rPr>
          <w:rFonts w:ascii="宋体" w:hAnsi="宋体" w:cs="宋体"/>
          <w:b/>
          <w:color w:val="auto"/>
          <w:sz w:val="24"/>
          <w:highlight w:val="none"/>
        </w:rPr>
      </w:pPr>
    </w:p>
    <w:p w14:paraId="0D7CDF3A">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二、验收小组人员</w:t>
      </w:r>
    </w:p>
    <w:p w14:paraId="6D926134">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1、本次验收由</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rPr>
        <w:t>组织。</w:t>
      </w:r>
    </w:p>
    <w:p w14:paraId="44A36B9E">
      <w:pPr>
        <w:spacing w:after="120" w:line="360" w:lineRule="auto"/>
        <w:ind w:firstLine="472" w:firstLineChars="196"/>
        <w:rPr>
          <w:rFonts w:ascii="宋体" w:hAnsi="宋体" w:cs="宋体"/>
          <w:b/>
          <w:color w:val="auto"/>
          <w:sz w:val="24"/>
          <w:highlight w:val="none"/>
          <w:u w:val="single"/>
        </w:rPr>
      </w:pPr>
      <w:r>
        <w:rPr>
          <w:rFonts w:hint="eastAsia" w:ascii="宋体" w:hAnsi="宋体" w:cs="宋体"/>
          <w:b/>
          <w:color w:val="auto"/>
          <w:sz w:val="24"/>
          <w:highlight w:val="none"/>
        </w:rPr>
        <w:t>2、验收小组成员名单：</w:t>
      </w:r>
      <w:r>
        <w:rPr>
          <w:rFonts w:hint="eastAsia" w:ascii="宋体" w:hAnsi="宋体" w:cs="宋体"/>
          <w:b/>
          <w:color w:val="auto"/>
          <w:sz w:val="24"/>
          <w:highlight w:val="none"/>
          <w:u w:val="single"/>
        </w:rPr>
        <w:t xml:space="preserve">                                                       </w:t>
      </w:r>
    </w:p>
    <w:p w14:paraId="0D966330">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3、验收小组成员签名：</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14:paraId="09EDFD07">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三、验收方法与内容</w:t>
      </w:r>
    </w:p>
    <w:p w14:paraId="793901FB">
      <w:pPr>
        <w:spacing w:after="120" w:line="360" w:lineRule="auto"/>
        <w:rPr>
          <w:rFonts w:ascii="宋体" w:hAnsi="宋体" w:cs="宋体"/>
          <w:b/>
          <w:color w:val="auto"/>
          <w:sz w:val="24"/>
          <w:highlight w:val="none"/>
        </w:rPr>
      </w:pPr>
    </w:p>
    <w:p w14:paraId="283E6857">
      <w:pPr>
        <w:spacing w:after="120"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四、验收时间</w:t>
      </w:r>
    </w:p>
    <w:p w14:paraId="54AD5CAA">
      <w:pPr>
        <w:spacing w:after="120" w:line="360" w:lineRule="auto"/>
        <w:rPr>
          <w:rFonts w:ascii="宋体" w:hAnsi="宋体" w:cs="宋体"/>
          <w:b/>
          <w:color w:val="auto"/>
          <w:sz w:val="24"/>
          <w:highlight w:val="none"/>
        </w:rPr>
      </w:pPr>
    </w:p>
    <w:p w14:paraId="264D0F8E">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五、验收地点</w:t>
      </w:r>
    </w:p>
    <w:p w14:paraId="44A00568">
      <w:pPr>
        <w:spacing w:after="120" w:line="360" w:lineRule="auto"/>
        <w:rPr>
          <w:rFonts w:ascii="宋体" w:hAnsi="宋体" w:cs="宋体"/>
          <w:b/>
          <w:color w:val="auto"/>
          <w:sz w:val="24"/>
          <w:highlight w:val="none"/>
        </w:rPr>
      </w:pPr>
    </w:p>
    <w:p w14:paraId="6E64BEDA">
      <w:pPr>
        <w:spacing w:after="120"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六、验收程序</w:t>
      </w:r>
    </w:p>
    <w:p w14:paraId="0B416847">
      <w:pPr>
        <w:spacing w:after="120" w:line="360" w:lineRule="auto"/>
        <w:rPr>
          <w:rFonts w:ascii="宋体" w:hAnsi="宋体" w:cs="宋体"/>
          <w:b/>
          <w:color w:val="auto"/>
          <w:sz w:val="24"/>
          <w:highlight w:val="none"/>
        </w:rPr>
      </w:pPr>
    </w:p>
    <w:p w14:paraId="7D887554">
      <w:pPr>
        <w:spacing w:after="120" w:line="360" w:lineRule="auto"/>
        <w:ind w:right="-6"/>
        <w:rPr>
          <w:rFonts w:ascii="宋体" w:hAnsi="宋体" w:cs="宋体"/>
          <w:b/>
          <w:color w:val="auto"/>
          <w:sz w:val="24"/>
          <w:highlight w:val="none"/>
        </w:rPr>
      </w:pPr>
      <w:r>
        <w:rPr>
          <w:rFonts w:hint="eastAsia" w:ascii="宋体" w:hAnsi="宋体" w:cs="宋体"/>
          <w:b/>
          <w:color w:val="auto"/>
          <w:sz w:val="24"/>
          <w:highlight w:val="none"/>
        </w:rPr>
        <w:t xml:space="preserve">                                            采购单位（盖章）：</w:t>
      </w:r>
    </w:p>
    <w:p w14:paraId="2EED89B0">
      <w:pPr>
        <w:spacing w:after="120" w:line="360" w:lineRule="auto"/>
        <w:ind w:right="960" w:firstLine="470" w:firstLineChars="196"/>
        <w:jc w:val="right"/>
        <w:rPr>
          <w:rFonts w:ascii="宋体" w:hAnsi="宋体" w:cs="宋体"/>
          <w:color w:val="auto"/>
          <w:sz w:val="24"/>
          <w:highlight w:val="none"/>
        </w:rPr>
      </w:pPr>
      <w:r>
        <w:rPr>
          <w:rFonts w:hint="eastAsia" w:ascii="宋体" w:hAnsi="宋体" w:cs="宋体"/>
          <w:color w:val="auto"/>
          <w:sz w:val="24"/>
          <w:highlight w:val="none"/>
        </w:rPr>
        <w:t>年  月  日</w:t>
      </w:r>
    </w:p>
    <w:p w14:paraId="2CF2AC72">
      <w:pPr>
        <w:ind w:left="315" w:hanging="315" w:hangingChars="150"/>
        <w:rPr>
          <w:highlight w:val="none"/>
        </w:rPr>
        <w:sectPr>
          <w:headerReference r:id="rId9" w:type="first"/>
          <w:footerReference r:id="rId12" w:type="first"/>
          <w:headerReference r:id="rId8" w:type="default"/>
          <w:footerReference r:id="rId10" w:type="default"/>
          <w:footerReference r:id="rId11" w:type="even"/>
          <w:pgSz w:w="11906" w:h="16838"/>
          <w:pgMar w:top="1440" w:right="1588" w:bottom="1588" w:left="1800" w:header="851" w:footer="992" w:gutter="0"/>
          <w:pgNumType w:fmt="decimal"/>
          <w:cols w:space="720" w:num="1"/>
          <w:docGrid w:linePitch="312" w:charSpace="0"/>
        </w:sectPr>
      </w:pPr>
    </w:p>
    <w:p w14:paraId="2D249EB8">
      <w:pPr>
        <w:snapToGrid w:val="0"/>
        <w:spacing w:before="50" w:after="50"/>
        <w:ind w:right="-817" w:rightChars="-389"/>
        <w:rPr>
          <w:highlight w:val="none"/>
        </w:rPr>
        <w:sectPr>
          <w:headerReference r:id="rId13" w:type="default"/>
          <w:footerReference r:id="rId14" w:type="default"/>
          <w:type w:val="continuous"/>
          <w:pgSz w:w="11906" w:h="16838"/>
          <w:pgMar w:top="1587" w:right="1588" w:bottom="1440" w:left="1797" w:header="851" w:footer="992" w:gutter="0"/>
          <w:pgNumType w:fmt="decimal"/>
          <w:cols w:space="720" w:num="1"/>
          <w:docGrid w:linePitch="312" w:charSpace="0"/>
        </w:sectPr>
      </w:pPr>
    </w:p>
    <w:p w14:paraId="647460A3">
      <w:pPr>
        <w:pageBreakBefore/>
        <w:spacing w:before="260" w:after="260" w:line="415" w:lineRule="auto"/>
        <w:outlineLvl w:val="1"/>
        <w:rPr>
          <w:rFonts w:ascii="宋体" w:hAnsi="宋体" w:cs="宋体"/>
          <w:bCs/>
          <w:color w:val="auto"/>
          <w:sz w:val="24"/>
          <w:highlight w:val="none"/>
        </w:rPr>
      </w:pPr>
      <w:bookmarkStart w:id="98" w:name="_Toc12266"/>
      <w:r>
        <w:rPr>
          <w:rFonts w:hint="eastAsia" w:ascii="宋体" w:hAnsi="宋体" w:cs="宋体"/>
          <w:bCs/>
          <w:color w:val="auto"/>
          <w:sz w:val="24"/>
          <w:highlight w:val="none"/>
        </w:rPr>
        <w:t>附件十</w:t>
      </w:r>
      <w:r>
        <w:rPr>
          <w:rFonts w:hint="eastAsia" w:ascii="宋体" w:hAnsi="宋体" w:cs="宋体"/>
          <w:bCs/>
          <w:color w:val="auto"/>
          <w:sz w:val="24"/>
          <w:highlight w:val="none"/>
          <w:lang w:val="en-US" w:eastAsia="zh-CN"/>
        </w:rPr>
        <w:t>八</w:t>
      </w:r>
      <w:r>
        <w:rPr>
          <w:rFonts w:hint="eastAsia" w:ascii="宋体" w:hAnsi="宋体" w:cs="宋体"/>
          <w:bCs/>
          <w:color w:val="auto"/>
          <w:sz w:val="24"/>
          <w:highlight w:val="none"/>
        </w:rPr>
        <w:t>：</w:t>
      </w:r>
      <w:bookmarkEnd w:id="97"/>
      <w:r>
        <w:rPr>
          <w:rFonts w:hint="eastAsia" w:ascii="宋体" w:hAnsi="宋体" w:cs="宋体"/>
          <w:bCs/>
          <w:color w:val="auto"/>
          <w:sz w:val="24"/>
          <w:highlight w:val="none"/>
        </w:rPr>
        <w:t>东阳市政府采购代理机构社会评价表</w:t>
      </w:r>
      <w:bookmarkEnd w:id="98"/>
    </w:p>
    <w:p w14:paraId="3A0FC183">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东阳市政府采购代理机构社会评价表</w:t>
      </w:r>
    </w:p>
    <w:p w14:paraId="5010A137">
      <w:pPr>
        <w:rPr>
          <w:rFonts w:ascii="宋体" w:hAnsi="宋体" w:cs="宋体"/>
          <w:color w:val="auto"/>
          <w:sz w:val="28"/>
          <w:szCs w:val="28"/>
          <w:highlight w:val="none"/>
        </w:rPr>
      </w:pPr>
      <w:r>
        <w:rPr>
          <w:rFonts w:hint="eastAsia" w:ascii="宋体" w:hAnsi="宋体" w:cs="宋体"/>
          <w:color w:val="auto"/>
          <w:sz w:val="28"/>
          <w:szCs w:val="28"/>
          <w:highlight w:val="none"/>
        </w:rPr>
        <w:t xml:space="preserve">代理机构名称： </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3C5A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14:paraId="45F0E00E">
            <w:pPr>
              <w:jc w:val="center"/>
              <w:rPr>
                <w:rFonts w:ascii="宋体" w:hAnsi="宋体" w:cs="宋体"/>
                <w:color w:val="auto"/>
                <w:sz w:val="24"/>
                <w:highlight w:val="none"/>
              </w:rPr>
            </w:pPr>
            <w:r>
              <w:rPr>
                <w:rFonts w:hint="eastAsia" w:ascii="宋体" w:hAnsi="宋体" w:cs="宋体"/>
                <w:color w:val="auto"/>
                <w:sz w:val="24"/>
                <w:highlight w:val="none"/>
              </w:rPr>
              <w:t>填表人类别</w:t>
            </w:r>
          </w:p>
        </w:tc>
        <w:tc>
          <w:tcPr>
            <w:tcW w:w="7938" w:type="dxa"/>
            <w:gridSpan w:val="6"/>
            <w:tcBorders>
              <w:top w:val="single" w:color="auto" w:sz="4" w:space="0"/>
              <w:left w:val="nil"/>
              <w:bottom w:val="single" w:color="auto" w:sz="4" w:space="0"/>
              <w:right w:val="single" w:color="auto" w:sz="4" w:space="0"/>
            </w:tcBorders>
            <w:vAlign w:val="center"/>
          </w:tcPr>
          <w:p w14:paraId="0809BD19">
            <w:pPr>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□采购单位      □供应商      □专家     </w:t>
            </w:r>
          </w:p>
        </w:tc>
      </w:tr>
      <w:tr w14:paraId="5439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42" w:type="dxa"/>
            <w:tcBorders>
              <w:top w:val="single" w:color="auto" w:sz="4" w:space="0"/>
              <w:left w:val="single" w:color="auto" w:sz="4" w:space="0"/>
              <w:bottom w:val="single" w:color="auto" w:sz="4" w:space="0"/>
              <w:right w:val="single" w:color="auto" w:sz="4" w:space="0"/>
            </w:tcBorders>
            <w:vAlign w:val="center"/>
          </w:tcPr>
          <w:p w14:paraId="47511BCB">
            <w:pPr>
              <w:jc w:val="center"/>
              <w:rPr>
                <w:rFonts w:ascii="宋体" w:hAnsi="宋体" w:cs="宋体"/>
                <w:color w:val="auto"/>
                <w:sz w:val="24"/>
                <w:highlight w:val="none"/>
              </w:rPr>
            </w:pPr>
            <w:r>
              <w:rPr>
                <w:rFonts w:hint="eastAsia" w:ascii="宋体" w:hAnsi="宋体" w:cs="宋体"/>
                <w:color w:val="auto"/>
                <w:sz w:val="24"/>
                <w:highlight w:val="none"/>
              </w:rPr>
              <w:t>填表人名称或姓名</w:t>
            </w:r>
          </w:p>
        </w:tc>
        <w:tc>
          <w:tcPr>
            <w:tcW w:w="4266" w:type="dxa"/>
            <w:gridSpan w:val="4"/>
            <w:tcBorders>
              <w:top w:val="single" w:color="auto" w:sz="4" w:space="0"/>
              <w:left w:val="nil"/>
              <w:bottom w:val="single" w:color="auto" w:sz="4" w:space="0"/>
              <w:right w:val="single" w:color="auto" w:sz="4" w:space="0"/>
            </w:tcBorders>
            <w:vAlign w:val="center"/>
          </w:tcPr>
          <w:p w14:paraId="352DE446">
            <w:pPr>
              <w:jc w:val="center"/>
              <w:rPr>
                <w:rFonts w:ascii="宋体" w:hAnsi="宋体" w:cs="宋体"/>
                <w:color w:val="auto"/>
                <w:sz w:val="24"/>
                <w:highlight w:val="none"/>
              </w:rPr>
            </w:pPr>
          </w:p>
        </w:tc>
        <w:tc>
          <w:tcPr>
            <w:tcW w:w="792" w:type="dxa"/>
            <w:tcBorders>
              <w:top w:val="single" w:color="auto" w:sz="4" w:space="0"/>
              <w:left w:val="nil"/>
              <w:bottom w:val="single" w:color="auto" w:sz="4" w:space="0"/>
              <w:right w:val="single" w:color="auto" w:sz="4" w:space="0"/>
            </w:tcBorders>
            <w:vAlign w:val="center"/>
          </w:tcPr>
          <w:p w14:paraId="508C95A1">
            <w:pPr>
              <w:jc w:val="center"/>
              <w:rPr>
                <w:rFonts w:ascii="宋体" w:hAnsi="宋体" w:cs="宋体"/>
                <w:color w:val="auto"/>
                <w:sz w:val="24"/>
                <w:highlight w:val="none"/>
              </w:rPr>
            </w:pPr>
            <w:r>
              <w:rPr>
                <w:rFonts w:hint="eastAsia" w:ascii="宋体" w:hAnsi="宋体" w:cs="宋体"/>
                <w:color w:val="auto"/>
                <w:sz w:val="24"/>
                <w:highlight w:val="none"/>
              </w:rPr>
              <w:t>地址</w:t>
            </w:r>
          </w:p>
        </w:tc>
        <w:tc>
          <w:tcPr>
            <w:tcW w:w="2880" w:type="dxa"/>
            <w:tcBorders>
              <w:top w:val="single" w:color="auto" w:sz="4" w:space="0"/>
              <w:left w:val="single" w:color="auto" w:sz="4" w:space="0"/>
              <w:bottom w:val="single" w:color="auto" w:sz="4" w:space="0"/>
              <w:right w:val="single" w:color="auto" w:sz="4" w:space="0"/>
            </w:tcBorders>
            <w:vAlign w:val="center"/>
          </w:tcPr>
          <w:p w14:paraId="3EA11CDB">
            <w:pPr>
              <w:jc w:val="center"/>
              <w:rPr>
                <w:rFonts w:ascii="宋体" w:hAnsi="宋体" w:cs="宋体"/>
                <w:color w:val="auto"/>
                <w:sz w:val="24"/>
                <w:highlight w:val="none"/>
              </w:rPr>
            </w:pPr>
          </w:p>
        </w:tc>
      </w:tr>
      <w:tr w14:paraId="18AB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14:paraId="0DC0E896">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1470" w:type="dxa"/>
            <w:tcBorders>
              <w:top w:val="single" w:color="auto" w:sz="4" w:space="0"/>
              <w:left w:val="nil"/>
              <w:bottom w:val="single" w:color="auto" w:sz="4" w:space="0"/>
              <w:right w:val="single" w:color="auto" w:sz="4" w:space="0"/>
            </w:tcBorders>
            <w:vAlign w:val="center"/>
          </w:tcPr>
          <w:p w14:paraId="4FB434A0">
            <w:pPr>
              <w:jc w:val="center"/>
              <w:rPr>
                <w:rFonts w:ascii="宋体" w:hAnsi="宋体" w:cs="宋体"/>
                <w:color w:val="auto"/>
                <w:sz w:val="24"/>
                <w:highlight w:val="none"/>
              </w:rPr>
            </w:pPr>
          </w:p>
        </w:tc>
        <w:tc>
          <w:tcPr>
            <w:tcW w:w="696" w:type="dxa"/>
            <w:tcBorders>
              <w:top w:val="single" w:color="auto" w:sz="4" w:space="0"/>
              <w:left w:val="nil"/>
              <w:bottom w:val="single" w:color="auto" w:sz="4" w:space="0"/>
              <w:right w:val="single" w:color="auto" w:sz="4" w:space="0"/>
            </w:tcBorders>
            <w:vAlign w:val="center"/>
          </w:tcPr>
          <w:p w14:paraId="0462A842">
            <w:pPr>
              <w:jc w:val="center"/>
              <w:rPr>
                <w:rFonts w:ascii="宋体" w:hAnsi="宋体" w:cs="宋体"/>
                <w:color w:val="auto"/>
                <w:sz w:val="24"/>
                <w:highlight w:val="none"/>
              </w:rPr>
            </w:pPr>
            <w:r>
              <w:rPr>
                <w:rFonts w:hint="eastAsia" w:ascii="宋体" w:hAnsi="宋体" w:cs="宋体"/>
                <w:color w:val="auto"/>
                <w:sz w:val="24"/>
                <w:highlight w:val="none"/>
              </w:rPr>
              <w:t>电话</w:t>
            </w:r>
          </w:p>
        </w:tc>
        <w:tc>
          <w:tcPr>
            <w:tcW w:w="2100" w:type="dxa"/>
            <w:gridSpan w:val="2"/>
            <w:tcBorders>
              <w:top w:val="single" w:color="auto" w:sz="4" w:space="0"/>
              <w:left w:val="nil"/>
              <w:bottom w:val="single" w:color="auto" w:sz="4" w:space="0"/>
              <w:right w:val="single" w:color="auto" w:sz="4" w:space="0"/>
            </w:tcBorders>
            <w:vAlign w:val="center"/>
          </w:tcPr>
          <w:p w14:paraId="1A197B85">
            <w:pPr>
              <w:jc w:val="center"/>
              <w:rPr>
                <w:rFonts w:ascii="宋体" w:hAnsi="宋体" w:cs="宋体"/>
                <w:color w:val="auto"/>
                <w:sz w:val="24"/>
                <w:highlight w:val="none"/>
              </w:rPr>
            </w:pPr>
          </w:p>
        </w:tc>
        <w:tc>
          <w:tcPr>
            <w:tcW w:w="787" w:type="dxa"/>
            <w:tcBorders>
              <w:top w:val="single" w:color="auto" w:sz="4" w:space="0"/>
              <w:left w:val="nil"/>
              <w:bottom w:val="single" w:color="auto" w:sz="4" w:space="0"/>
              <w:right w:val="single" w:color="auto" w:sz="4" w:space="0"/>
            </w:tcBorders>
            <w:vAlign w:val="center"/>
          </w:tcPr>
          <w:p w14:paraId="504EFA21">
            <w:pPr>
              <w:jc w:val="center"/>
              <w:rPr>
                <w:rFonts w:ascii="宋体" w:hAnsi="宋体" w:cs="宋体"/>
                <w:color w:val="auto"/>
                <w:sz w:val="24"/>
                <w:highlight w:val="none"/>
              </w:rPr>
            </w:pPr>
            <w:r>
              <w:rPr>
                <w:rFonts w:hint="eastAsia" w:ascii="宋体" w:hAnsi="宋体" w:cs="宋体"/>
                <w:color w:val="auto"/>
                <w:sz w:val="24"/>
                <w:highlight w:val="none"/>
              </w:rPr>
              <w:t>传真</w:t>
            </w:r>
          </w:p>
        </w:tc>
        <w:tc>
          <w:tcPr>
            <w:tcW w:w="2885" w:type="dxa"/>
            <w:tcBorders>
              <w:top w:val="single" w:color="auto" w:sz="4" w:space="0"/>
              <w:left w:val="single" w:color="auto" w:sz="4" w:space="0"/>
              <w:bottom w:val="single" w:color="auto" w:sz="4" w:space="0"/>
              <w:right w:val="single" w:color="auto" w:sz="4" w:space="0"/>
            </w:tcBorders>
            <w:vAlign w:val="center"/>
          </w:tcPr>
          <w:p w14:paraId="675645B0">
            <w:pPr>
              <w:jc w:val="center"/>
              <w:rPr>
                <w:rFonts w:ascii="宋体" w:hAnsi="宋体" w:cs="宋体"/>
                <w:color w:val="auto"/>
                <w:sz w:val="24"/>
                <w:highlight w:val="none"/>
              </w:rPr>
            </w:pPr>
          </w:p>
        </w:tc>
      </w:tr>
      <w:tr w14:paraId="47CF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14:paraId="3A9FC3AD">
            <w:pPr>
              <w:jc w:val="center"/>
              <w:rPr>
                <w:rFonts w:ascii="宋体" w:hAnsi="宋体" w:cs="宋体"/>
                <w:color w:val="auto"/>
                <w:sz w:val="24"/>
                <w:highlight w:val="none"/>
              </w:rPr>
            </w:pPr>
            <w:r>
              <w:rPr>
                <w:rFonts w:hint="eastAsia" w:ascii="宋体" w:hAnsi="宋体" w:cs="宋体"/>
                <w:color w:val="auto"/>
                <w:sz w:val="24"/>
                <w:highlight w:val="none"/>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14:paraId="4DF78E43">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项目</w:t>
            </w:r>
          </w:p>
        </w:tc>
        <w:tc>
          <w:tcPr>
            <w:tcW w:w="4704" w:type="dxa"/>
            <w:gridSpan w:val="3"/>
            <w:tcBorders>
              <w:top w:val="single" w:color="auto" w:sz="4" w:space="0"/>
              <w:left w:val="nil"/>
              <w:bottom w:val="single" w:color="auto" w:sz="4" w:space="0"/>
              <w:right w:val="single" w:color="auto" w:sz="4" w:space="0"/>
            </w:tcBorders>
            <w:vAlign w:val="center"/>
          </w:tcPr>
          <w:p w14:paraId="7B5AC99B">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评价（请在分值范围内进行打分）</w:t>
            </w:r>
          </w:p>
        </w:tc>
      </w:tr>
      <w:tr w14:paraId="63D5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623936F">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1C0FE44A">
            <w:pPr>
              <w:rPr>
                <w:rFonts w:ascii="宋体" w:hAnsi="宋体" w:cs="宋体"/>
                <w:color w:val="auto"/>
                <w:kern w:val="0"/>
                <w:sz w:val="24"/>
                <w:highlight w:val="none"/>
              </w:rPr>
            </w:pPr>
            <w:r>
              <w:rPr>
                <w:rFonts w:hint="eastAsia" w:ascii="宋体" w:hAnsi="宋体" w:cs="宋体"/>
                <w:color w:val="auto"/>
                <w:sz w:val="24"/>
                <w:highlight w:val="none"/>
              </w:rPr>
              <w:t>是否严格执行政府采购纪律、法规和规章制度等（2分）。</w:t>
            </w:r>
          </w:p>
        </w:tc>
        <w:tc>
          <w:tcPr>
            <w:tcW w:w="4704" w:type="dxa"/>
            <w:gridSpan w:val="3"/>
            <w:tcBorders>
              <w:top w:val="single" w:color="auto" w:sz="4" w:space="0"/>
              <w:left w:val="nil"/>
              <w:bottom w:val="single" w:color="auto" w:sz="4" w:space="0"/>
              <w:right w:val="single" w:color="auto" w:sz="4" w:space="0"/>
            </w:tcBorders>
            <w:vAlign w:val="center"/>
          </w:tcPr>
          <w:p w14:paraId="1720B615">
            <w:pPr>
              <w:spacing w:line="500" w:lineRule="exact"/>
              <w:jc w:val="center"/>
              <w:rPr>
                <w:rFonts w:ascii="宋体" w:hAnsi="宋体" w:cs="宋体"/>
                <w:color w:val="auto"/>
                <w:sz w:val="24"/>
                <w:highlight w:val="none"/>
              </w:rPr>
            </w:pPr>
          </w:p>
        </w:tc>
      </w:tr>
      <w:tr w14:paraId="7606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41669D06">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0DC2B845">
            <w:pPr>
              <w:rPr>
                <w:rFonts w:ascii="宋体" w:hAnsi="宋体" w:cs="宋体"/>
                <w:color w:val="auto"/>
                <w:kern w:val="0"/>
                <w:sz w:val="24"/>
                <w:highlight w:val="none"/>
              </w:rPr>
            </w:pPr>
            <w:r>
              <w:rPr>
                <w:rFonts w:hint="eastAsia" w:ascii="宋体" w:hAnsi="宋体" w:cs="宋体"/>
                <w:color w:val="auto"/>
                <w:sz w:val="24"/>
                <w:highlight w:val="none"/>
              </w:rPr>
              <w:t>操作程序是否规范，采购行为、过程、结果是否公开、公平、公正，采购组织管理是否规范严谨（2分）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24F72E36">
            <w:pPr>
              <w:spacing w:line="500" w:lineRule="exact"/>
              <w:jc w:val="center"/>
              <w:rPr>
                <w:rFonts w:ascii="宋体" w:hAnsi="宋体" w:cs="宋体"/>
                <w:color w:val="auto"/>
                <w:sz w:val="24"/>
                <w:highlight w:val="none"/>
              </w:rPr>
            </w:pPr>
          </w:p>
        </w:tc>
      </w:tr>
      <w:tr w14:paraId="07C9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585046E2">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5D6D0044">
            <w:pPr>
              <w:rPr>
                <w:rFonts w:ascii="宋体" w:hAnsi="宋体" w:cs="宋体"/>
                <w:color w:val="auto"/>
                <w:kern w:val="0"/>
                <w:sz w:val="24"/>
                <w:highlight w:val="none"/>
              </w:rPr>
            </w:pPr>
            <w:r>
              <w:rPr>
                <w:rFonts w:hint="eastAsia" w:ascii="宋体" w:hAnsi="宋体" w:cs="宋体"/>
                <w:color w:val="auto"/>
                <w:sz w:val="24"/>
                <w:highlight w:val="none"/>
              </w:rPr>
              <w:t>是否及时组织采购，是否有承诺办事时间并能限时办结（2分）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587C2B09">
            <w:pPr>
              <w:spacing w:line="500" w:lineRule="exact"/>
              <w:jc w:val="center"/>
              <w:rPr>
                <w:rFonts w:ascii="宋体" w:hAnsi="宋体" w:cs="宋体"/>
                <w:color w:val="auto"/>
                <w:sz w:val="24"/>
                <w:highlight w:val="none"/>
              </w:rPr>
            </w:pPr>
          </w:p>
        </w:tc>
      </w:tr>
      <w:tr w14:paraId="6593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293E612C">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70E14C05">
            <w:pPr>
              <w:rPr>
                <w:rFonts w:ascii="宋体" w:hAnsi="宋体" w:cs="宋体"/>
                <w:color w:val="auto"/>
                <w:sz w:val="24"/>
                <w:highlight w:val="none"/>
              </w:rPr>
            </w:pPr>
            <w:r>
              <w:rPr>
                <w:rFonts w:hint="eastAsia" w:ascii="宋体" w:hAnsi="宋体" w:cs="宋体"/>
                <w:color w:val="auto"/>
                <w:sz w:val="24"/>
                <w:highlight w:val="none"/>
              </w:rPr>
              <w:t>是否能积极</w:t>
            </w:r>
            <w:r>
              <w:rPr>
                <w:rFonts w:hint="eastAsia" w:ascii="宋体" w:hAnsi="宋体" w:cs="宋体"/>
                <w:color w:val="auto"/>
                <w:kern w:val="0"/>
                <w:sz w:val="24"/>
                <w:highlight w:val="none"/>
              </w:rPr>
              <w:t>主动</w:t>
            </w:r>
            <w:r>
              <w:rPr>
                <w:rFonts w:hint="eastAsia" w:ascii="宋体" w:hAnsi="宋体" w:cs="宋体"/>
                <w:color w:val="auto"/>
                <w:sz w:val="24"/>
                <w:highlight w:val="none"/>
              </w:rPr>
              <w:t>与当事人沟通</w:t>
            </w:r>
            <w:r>
              <w:rPr>
                <w:rFonts w:hint="eastAsia" w:ascii="宋体" w:hAnsi="宋体" w:cs="宋体"/>
                <w:color w:val="auto"/>
                <w:kern w:val="0"/>
                <w:sz w:val="24"/>
                <w:highlight w:val="none"/>
              </w:rPr>
              <w:t>对接；对采购政策进行详细解读；</w:t>
            </w:r>
            <w:r>
              <w:rPr>
                <w:rFonts w:hint="eastAsia" w:ascii="宋体" w:hAnsi="宋体" w:cs="宋体"/>
                <w:color w:val="auto"/>
                <w:sz w:val="24"/>
                <w:highlight w:val="none"/>
              </w:rPr>
              <w:t>咨询答复是否热情周到、耐心细致（2分）</w:t>
            </w:r>
            <w:r>
              <w:rPr>
                <w:rFonts w:hint="eastAsia" w:ascii="宋体" w:hAnsi="宋体" w:cs="宋体"/>
                <w:color w:val="auto"/>
                <w:kern w:val="0"/>
                <w:sz w:val="24"/>
                <w:highlight w:val="none"/>
              </w:rPr>
              <w:t>。</w:t>
            </w:r>
          </w:p>
        </w:tc>
        <w:tc>
          <w:tcPr>
            <w:tcW w:w="4704" w:type="dxa"/>
            <w:gridSpan w:val="3"/>
            <w:tcBorders>
              <w:top w:val="single" w:color="auto" w:sz="4" w:space="0"/>
              <w:left w:val="nil"/>
              <w:bottom w:val="single" w:color="auto" w:sz="4" w:space="0"/>
              <w:right w:val="single" w:color="auto" w:sz="4" w:space="0"/>
            </w:tcBorders>
            <w:vAlign w:val="center"/>
          </w:tcPr>
          <w:p w14:paraId="1FC5CEAA">
            <w:pPr>
              <w:spacing w:line="500" w:lineRule="exact"/>
              <w:jc w:val="center"/>
              <w:rPr>
                <w:rFonts w:ascii="宋体" w:hAnsi="宋体" w:cs="宋体"/>
                <w:color w:val="auto"/>
                <w:sz w:val="24"/>
                <w:highlight w:val="none"/>
              </w:rPr>
            </w:pPr>
          </w:p>
        </w:tc>
      </w:tr>
      <w:tr w14:paraId="4CA7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96B4961">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2842E335">
            <w:pPr>
              <w:rPr>
                <w:rFonts w:ascii="宋体" w:hAnsi="宋体" w:cs="宋体"/>
                <w:color w:val="auto"/>
                <w:sz w:val="24"/>
                <w:highlight w:val="none"/>
              </w:rPr>
            </w:pPr>
            <w:r>
              <w:rPr>
                <w:rFonts w:hint="eastAsia" w:ascii="宋体" w:hAnsi="宋体" w:cs="宋体"/>
                <w:color w:val="auto"/>
                <w:sz w:val="24"/>
                <w:highlight w:val="none"/>
              </w:rPr>
              <w:t>采购的质量、服务是否满意（2分）。</w:t>
            </w:r>
          </w:p>
        </w:tc>
        <w:tc>
          <w:tcPr>
            <w:tcW w:w="4704" w:type="dxa"/>
            <w:gridSpan w:val="3"/>
            <w:tcBorders>
              <w:top w:val="single" w:color="auto" w:sz="4" w:space="0"/>
              <w:left w:val="nil"/>
              <w:bottom w:val="single" w:color="auto" w:sz="4" w:space="0"/>
              <w:right w:val="single" w:color="auto" w:sz="4" w:space="0"/>
            </w:tcBorders>
            <w:vAlign w:val="center"/>
          </w:tcPr>
          <w:p w14:paraId="138EE040">
            <w:pPr>
              <w:spacing w:line="500" w:lineRule="exact"/>
              <w:jc w:val="center"/>
              <w:rPr>
                <w:rFonts w:ascii="宋体" w:hAnsi="宋体" w:cs="宋体"/>
                <w:color w:val="auto"/>
                <w:sz w:val="24"/>
                <w:highlight w:val="none"/>
              </w:rPr>
            </w:pPr>
          </w:p>
        </w:tc>
      </w:tr>
      <w:tr w14:paraId="45EA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14:paraId="32ABC6F1">
            <w:pPr>
              <w:widowControl/>
              <w:jc w:val="left"/>
              <w:rPr>
                <w:rFonts w:ascii="宋体" w:hAnsi="宋体" w:cs="宋体"/>
                <w:color w:val="auto"/>
                <w:sz w:val="24"/>
                <w:highlight w:val="none"/>
              </w:rPr>
            </w:pPr>
          </w:p>
        </w:tc>
        <w:tc>
          <w:tcPr>
            <w:tcW w:w="3234" w:type="dxa"/>
            <w:gridSpan w:val="3"/>
            <w:tcBorders>
              <w:top w:val="single" w:color="auto" w:sz="4" w:space="0"/>
              <w:left w:val="nil"/>
              <w:bottom w:val="single" w:color="auto" w:sz="4" w:space="0"/>
              <w:right w:val="single" w:color="auto" w:sz="4" w:space="0"/>
            </w:tcBorders>
            <w:vAlign w:val="center"/>
          </w:tcPr>
          <w:p w14:paraId="1745FA11">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合计</w:t>
            </w:r>
          </w:p>
        </w:tc>
        <w:tc>
          <w:tcPr>
            <w:tcW w:w="4704" w:type="dxa"/>
            <w:gridSpan w:val="3"/>
            <w:tcBorders>
              <w:top w:val="single" w:color="auto" w:sz="4" w:space="0"/>
              <w:left w:val="nil"/>
              <w:bottom w:val="single" w:color="auto" w:sz="4" w:space="0"/>
              <w:right w:val="single" w:color="auto" w:sz="4" w:space="0"/>
            </w:tcBorders>
            <w:vAlign w:val="center"/>
          </w:tcPr>
          <w:p w14:paraId="0311467F">
            <w:pPr>
              <w:spacing w:line="500" w:lineRule="exact"/>
              <w:jc w:val="center"/>
              <w:rPr>
                <w:rFonts w:ascii="宋体" w:hAnsi="宋体" w:cs="宋体"/>
                <w:color w:val="auto"/>
                <w:sz w:val="24"/>
                <w:highlight w:val="none"/>
              </w:rPr>
            </w:pPr>
          </w:p>
        </w:tc>
      </w:tr>
      <w:tr w14:paraId="46D1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14:paraId="103A52F3">
            <w:pPr>
              <w:jc w:val="center"/>
              <w:rPr>
                <w:rFonts w:ascii="宋体" w:hAnsi="宋体" w:cs="宋体"/>
                <w:color w:val="auto"/>
                <w:sz w:val="24"/>
                <w:highlight w:val="none"/>
              </w:rPr>
            </w:pPr>
            <w:r>
              <w:rPr>
                <w:rFonts w:hint="eastAsia" w:ascii="宋体" w:hAnsi="宋体" w:cs="宋体"/>
                <w:color w:val="auto"/>
                <w:sz w:val="24"/>
                <w:highlight w:val="none"/>
              </w:rPr>
              <w:t>对代理机构的意见和建议</w:t>
            </w:r>
          </w:p>
        </w:tc>
        <w:tc>
          <w:tcPr>
            <w:tcW w:w="7938" w:type="dxa"/>
            <w:gridSpan w:val="6"/>
            <w:tcBorders>
              <w:top w:val="single" w:color="auto" w:sz="4" w:space="0"/>
              <w:left w:val="nil"/>
              <w:bottom w:val="single" w:color="auto" w:sz="4" w:space="0"/>
              <w:right w:val="single" w:color="auto" w:sz="4" w:space="0"/>
            </w:tcBorders>
            <w:vAlign w:val="center"/>
          </w:tcPr>
          <w:p w14:paraId="36C8B0DE">
            <w:pPr>
              <w:jc w:val="center"/>
              <w:rPr>
                <w:rFonts w:ascii="宋体" w:hAnsi="宋体" w:cs="宋体"/>
                <w:color w:val="auto"/>
                <w:sz w:val="24"/>
                <w:highlight w:val="none"/>
              </w:rPr>
            </w:pPr>
          </w:p>
        </w:tc>
      </w:tr>
      <w:tr w14:paraId="01B8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14:paraId="51A8B02E">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7938" w:type="dxa"/>
            <w:gridSpan w:val="6"/>
            <w:tcBorders>
              <w:top w:val="single" w:color="auto" w:sz="4" w:space="0"/>
              <w:left w:val="nil"/>
              <w:bottom w:val="single" w:color="auto" w:sz="4" w:space="0"/>
              <w:right w:val="single" w:color="auto" w:sz="4" w:space="0"/>
            </w:tcBorders>
            <w:vAlign w:val="center"/>
          </w:tcPr>
          <w:p w14:paraId="5E7AF54C">
            <w:pPr>
              <w:jc w:val="center"/>
              <w:rPr>
                <w:rFonts w:ascii="宋体" w:hAnsi="宋体" w:cs="宋体"/>
                <w:color w:val="auto"/>
                <w:sz w:val="24"/>
                <w:highlight w:val="none"/>
              </w:rPr>
            </w:pPr>
          </w:p>
        </w:tc>
      </w:tr>
    </w:tbl>
    <w:p w14:paraId="326840DC">
      <w:pPr>
        <w:spacing w:after="120"/>
        <w:ind w:right="1240"/>
        <w:rPr>
          <w:rFonts w:ascii="宋体" w:hAnsi="宋体" w:cs="宋体"/>
          <w:color w:val="auto"/>
          <w:sz w:val="24"/>
          <w:highlight w:val="none"/>
        </w:rPr>
      </w:pPr>
      <w:r>
        <w:rPr>
          <w:rFonts w:hint="eastAsia" w:ascii="宋体" w:hAnsi="宋体" w:cs="宋体"/>
          <w:color w:val="auto"/>
          <w:sz w:val="24"/>
          <w:highlight w:val="none"/>
        </w:rPr>
        <w:t>填表人签字盖章：                    日期</w:t>
      </w:r>
    </w:p>
    <w:p w14:paraId="2F3F0430">
      <w:pPr>
        <w:spacing w:after="120"/>
        <w:ind w:right="-154"/>
        <w:rPr>
          <w:rFonts w:ascii="宋体" w:hAnsi="宋体" w:cs="宋体"/>
          <w:color w:val="auto"/>
          <w:szCs w:val="21"/>
          <w:highlight w:val="none"/>
        </w:rPr>
      </w:pPr>
      <w:r>
        <w:rPr>
          <w:rFonts w:hint="eastAsia" w:ascii="宋体" w:hAnsi="宋体" w:cs="宋体"/>
          <w:color w:val="auto"/>
          <w:szCs w:val="21"/>
          <w:highlight w:val="none"/>
        </w:rPr>
        <w:t>注：投标单位须加盖单位红章。</w:t>
      </w:r>
    </w:p>
    <w:p w14:paraId="430CE1D8">
      <w:pPr>
        <w:pStyle w:val="3"/>
        <w:rPr>
          <w:rFonts w:ascii="宋体" w:hAnsi="宋体" w:eastAsia="宋体" w:cs="宋体"/>
          <w:b w:val="0"/>
          <w:color w:val="auto"/>
          <w:sz w:val="24"/>
          <w:szCs w:val="24"/>
          <w:highlight w:val="none"/>
        </w:rPr>
      </w:pPr>
      <w:bookmarkStart w:id="99" w:name="_Toc7536"/>
      <w:bookmarkStart w:id="100" w:name="_Toc25847"/>
      <w:r>
        <w:rPr>
          <w:rFonts w:hint="eastAsia" w:ascii="宋体" w:hAnsi="宋体" w:eastAsia="宋体" w:cs="宋体"/>
          <w:b w:val="0"/>
          <w:color w:val="auto"/>
          <w:sz w:val="24"/>
          <w:szCs w:val="24"/>
          <w:highlight w:val="none"/>
        </w:rPr>
        <w:t>附件十</w:t>
      </w:r>
      <w:r>
        <w:rPr>
          <w:rFonts w:hint="eastAsia" w:ascii="宋体" w:hAnsi="宋体" w:eastAsia="宋体" w:cs="宋体"/>
          <w:b w:val="0"/>
          <w:color w:val="auto"/>
          <w:sz w:val="24"/>
          <w:szCs w:val="24"/>
          <w:highlight w:val="none"/>
          <w:lang w:val="en-US" w:eastAsia="zh-CN"/>
        </w:rPr>
        <w:t>九</w:t>
      </w:r>
      <w:r>
        <w:rPr>
          <w:rFonts w:hint="eastAsia" w:ascii="宋体" w:hAnsi="宋体" w:eastAsia="宋体" w:cs="宋体"/>
          <w:b w:val="0"/>
          <w:color w:val="auto"/>
          <w:sz w:val="24"/>
          <w:szCs w:val="24"/>
          <w:highlight w:val="none"/>
        </w:rPr>
        <w:t>：办理保函需提供资料</w:t>
      </w:r>
      <w:bookmarkEnd w:id="99"/>
      <w:bookmarkEnd w:id="100"/>
    </w:p>
    <w:p w14:paraId="7DD1DFF2">
      <w:pPr>
        <w:spacing w:after="120"/>
        <w:ind w:right="-154"/>
        <w:rPr>
          <w:rFonts w:ascii="宋体" w:hAnsi="宋体" w:cs="宋体"/>
          <w:color w:val="auto"/>
          <w:sz w:val="24"/>
          <w:highlight w:val="none"/>
        </w:rPr>
      </w:pPr>
    </w:p>
    <w:p w14:paraId="50B47272">
      <w:pPr>
        <w:spacing w:after="120"/>
        <w:ind w:right="-154"/>
        <w:jc w:val="center"/>
        <w:rPr>
          <w:rFonts w:ascii="宋体" w:hAnsi="宋体" w:cs="宋体"/>
          <w:b/>
          <w:color w:val="auto"/>
          <w:sz w:val="24"/>
          <w:highlight w:val="none"/>
        </w:rPr>
      </w:pPr>
      <w:r>
        <w:rPr>
          <w:rFonts w:hint="eastAsia" w:ascii="宋体" w:hAnsi="宋体" w:cs="宋体"/>
          <w:b/>
          <w:color w:val="auto"/>
          <w:sz w:val="24"/>
          <w:highlight w:val="none"/>
        </w:rPr>
        <w:t>办理保函需提供资料</w:t>
      </w:r>
    </w:p>
    <w:p w14:paraId="4BD3E1FA">
      <w:pPr>
        <w:numPr>
          <w:ilvl w:val="0"/>
          <w:numId w:val="12"/>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营业执照</w:t>
      </w:r>
    </w:p>
    <w:p w14:paraId="3790CEA2">
      <w:pPr>
        <w:numPr>
          <w:ilvl w:val="0"/>
          <w:numId w:val="12"/>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法人身份证</w:t>
      </w:r>
    </w:p>
    <w:p w14:paraId="27B9C97B">
      <w:pPr>
        <w:numPr>
          <w:ilvl w:val="0"/>
          <w:numId w:val="12"/>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近两年财务报表</w:t>
      </w:r>
    </w:p>
    <w:p w14:paraId="0AA8BB0F">
      <w:pPr>
        <w:numPr>
          <w:ilvl w:val="0"/>
          <w:numId w:val="12"/>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资质证书或安装，维修证书</w:t>
      </w:r>
    </w:p>
    <w:p w14:paraId="3C7236A3">
      <w:pPr>
        <w:numPr>
          <w:ilvl w:val="0"/>
          <w:numId w:val="12"/>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中标通知书</w:t>
      </w:r>
    </w:p>
    <w:p w14:paraId="4D199A49">
      <w:pPr>
        <w:numPr>
          <w:ilvl w:val="0"/>
          <w:numId w:val="12"/>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招标文件电子版</w:t>
      </w:r>
    </w:p>
    <w:p w14:paraId="261A5C69">
      <w:pPr>
        <w:numPr>
          <w:ilvl w:val="0"/>
          <w:numId w:val="12"/>
        </w:numPr>
        <w:spacing w:line="800" w:lineRule="exact"/>
        <w:jc w:val="left"/>
        <w:rPr>
          <w:rFonts w:ascii="宋体" w:hAnsi="宋体" w:cs="宋体"/>
          <w:color w:val="auto"/>
          <w:sz w:val="24"/>
          <w:highlight w:val="none"/>
        </w:rPr>
      </w:pPr>
      <w:r>
        <w:rPr>
          <w:rFonts w:hint="eastAsia" w:ascii="宋体" w:hAnsi="宋体" w:cs="宋体"/>
          <w:color w:val="auto"/>
          <w:sz w:val="24"/>
          <w:highlight w:val="none"/>
        </w:rPr>
        <w:t>信用反担保函</w:t>
      </w:r>
    </w:p>
    <w:p w14:paraId="682A0F7D">
      <w:pPr>
        <w:spacing w:line="800" w:lineRule="exact"/>
        <w:jc w:val="left"/>
        <w:rPr>
          <w:rFonts w:ascii="宋体" w:hAnsi="宋体" w:cs="宋体"/>
          <w:color w:val="auto"/>
          <w:sz w:val="24"/>
          <w:highlight w:val="none"/>
        </w:rPr>
      </w:pPr>
      <w:r>
        <w:rPr>
          <w:rFonts w:hint="eastAsia" w:ascii="宋体" w:hAnsi="宋体" w:cs="宋体"/>
          <w:color w:val="auto"/>
          <w:sz w:val="24"/>
          <w:highlight w:val="none"/>
        </w:rPr>
        <w:t>注：所有资料复印件加盖公章</w:t>
      </w:r>
    </w:p>
    <w:p w14:paraId="666F00CA">
      <w:pPr>
        <w:spacing w:after="120"/>
        <w:ind w:right="-154"/>
        <w:rPr>
          <w:rFonts w:ascii="宋体" w:hAnsi="宋体" w:cs="宋体"/>
          <w:b/>
          <w:color w:val="auto"/>
          <w:sz w:val="24"/>
          <w:highlight w:val="none"/>
        </w:rPr>
      </w:pPr>
    </w:p>
    <w:p w14:paraId="6ECAA7B4">
      <w:pPr>
        <w:spacing w:after="120"/>
        <w:ind w:right="-154"/>
        <w:rPr>
          <w:rFonts w:ascii="宋体" w:hAnsi="宋体" w:cs="宋体"/>
          <w:b/>
          <w:color w:val="auto"/>
          <w:sz w:val="24"/>
          <w:highlight w:val="none"/>
        </w:rPr>
      </w:pPr>
    </w:p>
    <w:p w14:paraId="41A81AEE">
      <w:pPr>
        <w:spacing w:after="120"/>
        <w:ind w:right="-154"/>
        <w:rPr>
          <w:rFonts w:ascii="宋体" w:hAnsi="宋体" w:cs="宋体"/>
          <w:b/>
          <w:color w:val="auto"/>
          <w:sz w:val="24"/>
          <w:highlight w:val="none"/>
        </w:rPr>
      </w:pPr>
    </w:p>
    <w:p w14:paraId="3627D8B5">
      <w:pPr>
        <w:spacing w:after="120"/>
        <w:ind w:right="-154"/>
        <w:rPr>
          <w:rFonts w:ascii="宋体" w:hAnsi="宋体" w:cs="宋体"/>
          <w:b/>
          <w:color w:val="auto"/>
          <w:sz w:val="24"/>
          <w:highlight w:val="none"/>
        </w:rPr>
      </w:pPr>
    </w:p>
    <w:p w14:paraId="7C649EFD">
      <w:pPr>
        <w:spacing w:after="120"/>
        <w:ind w:right="-154"/>
        <w:rPr>
          <w:rFonts w:ascii="宋体" w:hAnsi="宋体" w:cs="宋体"/>
          <w:b/>
          <w:color w:val="auto"/>
          <w:sz w:val="24"/>
          <w:highlight w:val="none"/>
        </w:rPr>
      </w:pPr>
    </w:p>
    <w:p w14:paraId="023EEAEA">
      <w:pPr>
        <w:spacing w:after="120"/>
        <w:ind w:right="-154"/>
        <w:rPr>
          <w:rFonts w:ascii="宋体" w:hAnsi="宋体" w:cs="宋体"/>
          <w:b/>
          <w:color w:val="auto"/>
          <w:sz w:val="24"/>
          <w:highlight w:val="none"/>
        </w:rPr>
      </w:pPr>
    </w:p>
    <w:p w14:paraId="11A2699F">
      <w:pPr>
        <w:spacing w:after="120"/>
        <w:ind w:right="-154"/>
        <w:rPr>
          <w:rFonts w:ascii="宋体" w:hAnsi="宋体" w:cs="宋体"/>
          <w:b/>
          <w:color w:val="auto"/>
          <w:sz w:val="24"/>
          <w:highlight w:val="none"/>
        </w:rPr>
      </w:pPr>
    </w:p>
    <w:p w14:paraId="1146A63D">
      <w:pPr>
        <w:spacing w:after="120"/>
        <w:ind w:right="-154"/>
        <w:rPr>
          <w:rFonts w:ascii="宋体" w:hAnsi="宋体" w:cs="宋体"/>
          <w:b/>
          <w:color w:val="auto"/>
          <w:sz w:val="24"/>
          <w:highlight w:val="none"/>
        </w:rPr>
      </w:pPr>
    </w:p>
    <w:p w14:paraId="6AD8ABF0">
      <w:pPr>
        <w:spacing w:after="120"/>
        <w:ind w:right="-154"/>
        <w:rPr>
          <w:rFonts w:ascii="宋体" w:hAnsi="宋体" w:cs="宋体"/>
          <w:b/>
          <w:color w:val="auto"/>
          <w:sz w:val="24"/>
          <w:highlight w:val="none"/>
        </w:rPr>
      </w:pPr>
    </w:p>
    <w:p w14:paraId="03B38D21">
      <w:pPr>
        <w:spacing w:after="120"/>
        <w:ind w:right="-154"/>
        <w:rPr>
          <w:rFonts w:ascii="宋体" w:hAnsi="宋体" w:cs="宋体"/>
          <w:b/>
          <w:color w:val="auto"/>
          <w:sz w:val="24"/>
          <w:highlight w:val="none"/>
        </w:rPr>
      </w:pPr>
    </w:p>
    <w:p w14:paraId="036B98BE">
      <w:pPr>
        <w:spacing w:after="120"/>
        <w:ind w:right="-154"/>
        <w:rPr>
          <w:rFonts w:ascii="宋体" w:hAnsi="宋体" w:cs="宋体"/>
          <w:b/>
          <w:color w:val="auto"/>
          <w:sz w:val="24"/>
          <w:highlight w:val="none"/>
        </w:rPr>
      </w:pPr>
    </w:p>
    <w:p w14:paraId="4CE90C1D">
      <w:pPr>
        <w:spacing w:after="120"/>
        <w:ind w:right="-154"/>
        <w:rPr>
          <w:rFonts w:ascii="宋体" w:hAnsi="宋体" w:cs="宋体"/>
          <w:b/>
          <w:color w:val="auto"/>
          <w:sz w:val="24"/>
          <w:highlight w:val="none"/>
        </w:rPr>
      </w:pPr>
    </w:p>
    <w:p w14:paraId="4C7C73FD">
      <w:pPr>
        <w:pageBreakBefore/>
        <w:spacing w:line="360" w:lineRule="auto"/>
        <w:jc w:val="center"/>
        <w:rPr>
          <w:rFonts w:ascii="宋体" w:hAnsi="宋体" w:cs="宋体"/>
          <w:color w:val="auto"/>
          <w:sz w:val="24"/>
          <w:highlight w:val="none"/>
        </w:rPr>
      </w:pPr>
      <w:r>
        <w:rPr>
          <w:rFonts w:hint="eastAsia" w:ascii="宋体" w:hAnsi="宋体" w:cs="宋体"/>
          <w:color w:val="auto"/>
          <w:sz w:val="24"/>
          <w:highlight w:val="none"/>
        </w:rPr>
        <w:t>信用反担保保证函</w:t>
      </w:r>
    </w:p>
    <w:p w14:paraId="720756A1">
      <w:pPr>
        <w:spacing w:line="520" w:lineRule="exact"/>
        <w:rPr>
          <w:rFonts w:ascii="宋体" w:hAnsi="宋体" w:cs="宋体"/>
          <w:color w:val="auto"/>
          <w:sz w:val="24"/>
          <w:highlight w:val="none"/>
        </w:rPr>
      </w:pPr>
      <w:r>
        <w:rPr>
          <w:rFonts w:hint="eastAsia" w:ascii="宋体" w:hAnsi="宋体" w:cs="宋体"/>
          <w:color w:val="auto"/>
          <w:sz w:val="24"/>
          <w:highlight w:val="none"/>
        </w:rPr>
        <w:t>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w:t>
      </w:r>
    </w:p>
    <w:p w14:paraId="5AFF1CB4">
      <w:pPr>
        <w:spacing w:line="520" w:lineRule="exact"/>
        <w:ind w:firstLine="480" w:firstLineChars="200"/>
        <w:rPr>
          <w:rFonts w:ascii="宋体" w:hAnsi="宋体" w:cs="宋体"/>
          <w:b/>
          <w:bCs/>
          <w:color w:val="auto"/>
          <w:sz w:val="24"/>
          <w:highlight w:val="none"/>
          <w:u w:val="single"/>
        </w:rPr>
      </w:pPr>
      <w:r>
        <w:rPr>
          <w:rFonts w:hint="eastAsia" w:ascii="宋体" w:hAnsi="宋体" w:cs="宋体"/>
          <w:color w:val="auto"/>
          <w:sz w:val="24"/>
          <w:highlight w:val="none"/>
        </w:rPr>
        <w:t>鉴于中国人民财产保险股份有限公司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支公司向</w:t>
      </w:r>
    </w:p>
    <w:p w14:paraId="710D9A8D">
      <w:pPr>
        <w:spacing w:line="520" w:lineRule="exact"/>
        <w:ind w:firstLine="482" w:firstLineChars="200"/>
        <w:jc w:val="left"/>
        <w:rPr>
          <w:rFonts w:ascii="宋体" w:hAnsi="宋体" w:cs="宋体"/>
          <w:color w:val="auto"/>
          <w:sz w:val="24"/>
          <w:highlight w:val="none"/>
          <w:u w:val="single"/>
        </w:rPr>
      </w:pP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公司出具《供货履约保证保险》保单（保单编号：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），并承担相应的保险责任（具体以保险合同条款为准），最高保险金额为人民币（大写）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）；为促进该业务的良好开展，</w:t>
      </w:r>
      <w:r>
        <w:rPr>
          <w:rFonts w:hint="eastAsia" w:ascii="宋体" w:hAnsi="宋体" w:cs="宋体"/>
          <w:color w:val="auto"/>
          <w:sz w:val="24"/>
          <w:highlight w:val="none"/>
          <w:u w:val="single"/>
        </w:rPr>
        <w:t xml:space="preserve">                                                     </w:t>
      </w:r>
    </w:p>
    <w:p w14:paraId="12BD355E">
      <w:pPr>
        <w:spacing w:line="520" w:lineRule="exact"/>
        <w:rPr>
          <w:rFonts w:ascii="宋体" w:hAnsi="宋体" w:cs="宋体"/>
          <w:color w:val="auto"/>
          <w:sz w:val="24"/>
          <w:highlight w:val="none"/>
        </w:rPr>
      </w:pPr>
      <w:r>
        <w:rPr>
          <w:rFonts w:hint="eastAsia" w:ascii="宋体" w:hAnsi="宋体" w:cs="宋体"/>
          <w:color w:val="auto"/>
          <w:sz w:val="24"/>
          <w:highlight w:val="none"/>
        </w:rPr>
        <w:t>有限责任公司（以下称本信用反担保保证人）愿意为中国人民财产保险股份有限公司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支公司在保险合同项下的一系列保险保障提供信用反担保保证，同意履行以下保证内容：</w:t>
      </w:r>
    </w:p>
    <w:p w14:paraId="46C301F6">
      <w:pPr>
        <w:spacing w:line="52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一、 本信用反担保保证人同意承担的保证范围：</w:t>
      </w:r>
    </w:p>
    <w:p w14:paraId="42C8F783">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支公司承保的保单号为：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的供货履约保证保险合同约定的保险责任、保险金额和履行保证责任而实际发生的费用（包括但不限于诉讼费、公告费、保全费、律师费等）及损失；</w:t>
      </w:r>
    </w:p>
    <w:p w14:paraId="2AD90921">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（二）本信用反担保保证人承担保证责任的方式为连带保证责任。</w:t>
      </w:r>
    </w:p>
    <w:p w14:paraId="3C01200F">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二、本信用反担保保证人承担的保证期间为：从中国人民财产保险股份有限公司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支公司与本信用反担保保证人签订的保险合同生效之日起，至保险合同结束之日起的两年届满时止。</w:t>
      </w:r>
    </w:p>
    <w:p w14:paraId="1E731087">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支公司所承保的《供货履约保证保险》合同发生保险事故后，有权要求本信用反担保保证人优先履行偿债责任，且优先偿债比例为100%。</w:t>
      </w:r>
    </w:p>
    <w:p w14:paraId="2E7E95C9">
      <w:pPr>
        <w:spacing w:line="520" w:lineRule="exact"/>
        <w:ind w:left="560"/>
        <w:rPr>
          <w:rFonts w:ascii="宋体" w:hAnsi="宋体" w:cs="宋体"/>
          <w:color w:val="auto"/>
          <w:sz w:val="24"/>
          <w:highlight w:val="none"/>
        </w:rPr>
      </w:pPr>
      <w:r>
        <w:rPr>
          <w:rFonts w:hint="eastAsia" w:ascii="宋体" w:hAnsi="宋体" w:cs="宋体"/>
          <w:color w:val="auto"/>
          <w:sz w:val="24"/>
          <w:highlight w:val="none"/>
        </w:rPr>
        <w:t>四、本信用反担保保证人放弃反担保措施的优先偿债抗辩权。</w:t>
      </w:r>
    </w:p>
    <w:p w14:paraId="272DEE1B">
      <w:pPr>
        <w:spacing w:line="520" w:lineRule="exact"/>
        <w:rPr>
          <w:rFonts w:ascii="宋体" w:hAnsi="宋体" w:cs="宋体"/>
          <w:color w:val="auto"/>
          <w:sz w:val="24"/>
          <w:highlight w:val="none"/>
        </w:rPr>
      </w:pPr>
    </w:p>
    <w:p w14:paraId="6B341671">
      <w:pPr>
        <w:spacing w:line="520" w:lineRule="exact"/>
        <w:rPr>
          <w:rFonts w:ascii="宋体" w:hAnsi="宋体" w:cs="宋体"/>
          <w:color w:val="auto"/>
          <w:sz w:val="24"/>
          <w:highlight w:val="none"/>
        </w:rPr>
      </w:pPr>
      <w:r>
        <w:rPr>
          <w:rFonts w:hint="eastAsia" w:ascii="宋体" w:hAnsi="宋体" w:cs="宋体"/>
          <w:color w:val="auto"/>
          <w:sz w:val="24"/>
          <w:highlight w:val="none"/>
        </w:rPr>
        <w:t>信用反担保保证人：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6933EBE">
      <w:pPr>
        <w:spacing w:line="520" w:lineRule="exact"/>
        <w:ind w:left="4680" w:hanging="4680" w:hangingChars="1950"/>
        <w:rPr>
          <w:rFonts w:ascii="宋体" w:hAnsi="宋体" w:cs="宋体"/>
          <w:color w:val="auto"/>
          <w:sz w:val="24"/>
          <w:highlight w:val="none"/>
        </w:rPr>
      </w:pPr>
    </w:p>
    <w:p w14:paraId="7AB527EF">
      <w:pPr>
        <w:spacing w:line="520" w:lineRule="exact"/>
        <w:ind w:left="5460" w:leftChars="2600" w:firstLine="360" w:firstLineChars="150"/>
        <w:rPr>
          <w:rFonts w:ascii="宋体" w:hAnsi="宋体" w:cs="宋体"/>
          <w:color w:val="auto"/>
          <w:sz w:val="24"/>
          <w:highlight w:val="none"/>
        </w:rPr>
      </w:pPr>
      <w:r>
        <w:rPr>
          <w:rFonts w:hint="eastAsia" w:ascii="宋体" w:hAnsi="宋体" w:cs="宋体"/>
          <w:color w:val="auto"/>
          <w:sz w:val="24"/>
          <w:highlight w:val="none"/>
        </w:rPr>
        <w:t>年  月   日</w:t>
      </w:r>
    </w:p>
    <w:p w14:paraId="604B853B">
      <w:pPr>
        <w:spacing w:line="360" w:lineRule="auto"/>
        <w:rPr>
          <w:rFonts w:ascii="宋体" w:hAnsi="宋体" w:cs="宋体"/>
          <w:color w:val="auto"/>
          <w:sz w:val="24"/>
          <w:highlight w:val="none"/>
        </w:rPr>
      </w:pPr>
    </w:p>
    <w:p w14:paraId="743322E8">
      <w:pPr>
        <w:pStyle w:val="26"/>
        <w:ind w:firstLine="600"/>
        <w:rPr>
          <w:color w:val="auto"/>
          <w:highlight w:val="none"/>
        </w:rPr>
      </w:pPr>
    </w:p>
    <w:p w14:paraId="288D8764">
      <w:pPr>
        <w:pStyle w:val="3"/>
        <w:keepNext w:val="0"/>
        <w:keepLines w:val="0"/>
        <w:pageBreakBefore/>
        <w:rPr>
          <w:rFonts w:ascii="宋体" w:hAnsi="宋体" w:eastAsia="宋体" w:cs="宋体"/>
          <w:b w:val="0"/>
          <w:color w:val="auto"/>
          <w:sz w:val="24"/>
          <w:highlight w:val="none"/>
        </w:rPr>
      </w:pPr>
      <w:bookmarkStart w:id="101" w:name="_Toc2489"/>
      <w:bookmarkStart w:id="102" w:name="_Toc24160"/>
      <w:bookmarkStart w:id="103" w:name="_Toc29729"/>
      <w:r>
        <w:rPr>
          <w:rFonts w:hint="eastAsia" w:ascii="宋体" w:hAnsi="宋体" w:eastAsia="宋体" w:cs="宋体"/>
          <w:b w:val="0"/>
          <w:color w:val="auto"/>
          <w:sz w:val="24"/>
          <w:highlight w:val="none"/>
        </w:rPr>
        <w:t>附件</w:t>
      </w:r>
      <w:r>
        <w:rPr>
          <w:rFonts w:hint="eastAsia" w:ascii="宋体" w:hAnsi="宋体" w:eastAsia="宋体" w:cs="宋体"/>
          <w:b w:val="0"/>
          <w:color w:val="auto"/>
          <w:sz w:val="24"/>
          <w:highlight w:val="none"/>
          <w:lang w:val="en-US" w:eastAsia="zh-CN"/>
        </w:rPr>
        <w:t>二</w:t>
      </w:r>
      <w:r>
        <w:rPr>
          <w:rFonts w:hint="eastAsia" w:ascii="宋体" w:hAnsi="宋体" w:eastAsia="宋体" w:cs="宋体"/>
          <w:b w:val="0"/>
          <w:color w:val="auto"/>
          <w:sz w:val="24"/>
          <w:highlight w:val="none"/>
        </w:rPr>
        <w:t>十：质疑函范本</w:t>
      </w:r>
      <w:bookmarkEnd w:id="101"/>
      <w:bookmarkEnd w:id="102"/>
      <w:bookmarkEnd w:id="103"/>
    </w:p>
    <w:p w14:paraId="581A3152">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0A812737">
      <w:pPr>
        <w:adjustRightInd w:val="0"/>
        <w:snapToGrid w:val="0"/>
        <w:spacing w:before="240" w:beforeLines="100" w:line="360" w:lineRule="auto"/>
        <w:rPr>
          <w:rFonts w:ascii="宋体" w:hAnsi="宋体" w:cs="宋体"/>
          <w:bCs/>
          <w:color w:val="auto"/>
          <w:sz w:val="28"/>
          <w:szCs w:val="28"/>
          <w:highlight w:val="none"/>
        </w:rPr>
      </w:pPr>
      <w:r>
        <w:rPr>
          <w:rFonts w:hint="eastAsia" w:ascii="宋体" w:hAnsi="宋体" w:cs="宋体"/>
          <w:bCs/>
          <w:color w:val="auto"/>
          <w:sz w:val="32"/>
          <w:szCs w:val="32"/>
          <w:highlight w:val="none"/>
        </w:rPr>
        <w:t>一</w:t>
      </w:r>
      <w:r>
        <w:rPr>
          <w:rFonts w:hint="eastAsia" w:ascii="宋体" w:hAnsi="宋体" w:cs="宋体"/>
          <w:bCs/>
          <w:color w:val="auto"/>
          <w:sz w:val="28"/>
          <w:szCs w:val="28"/>
          <w:highlight w:val="none"/>
        </w:rPr>
        <w:t>、质疑供应商基本信息</w:t>
      </w:r>
    </w:p>
    <w:p w14:paraId="7C1F7D65">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质疑供应商：</w:t>
      </w:r>
      <w:r>
        <w:rPr>
          <w:rFonts w:hint="eastAsia" w:ascii="宋体" w:hAnsi="宋体" w:cs="宋体"/>
          <w:color w:val="auto"/>
          <w:sz w:val="28"/>
          <w:szCs w:val="28"/>
          <w:highlight w:val="none"/>
          <w:u w:val="dotted"/>
        </w:rPr>
        <w:t xml:space="preserve">                                        </w:t>
      </w:r>
    </w:p>
    <w:p w14:paraId="39EC906E">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40891ADB">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014A2C40">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p>
    <w:p w14:paraId="7DDDCDE1">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62821ADA">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 xml:space="preserve">地址： </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p>
    <w:p w14:paraId="3DDE8E76">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二、质疑项目基本情况</w:t>
      </w:r>
    </w:p>
    <w:p w14:paraId="1CBEF9B2">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质疑项目的名称：</w:t>
      </w:r>
      <w:r>
        <w:rPr>
          <w:rFonts w:hint="eastAsia" w:ascii="宋体" w:hAnsi="宋体" w:cs="宋体"/>
          <w:color w:val="auto"/>
          <w:sz w:val="28"/>
          <w:szCs w:val="28"/>
          <w:highlight w:val="none"/>
          <w:u w:val="dotted"/>
        </w:rPr>
        <w:t xml:space="preserve">                                      </w:t>
      </w:r>
    </w:p>
    <w:p w14:paraId="556F4CC6">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质疑项目的编号：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145F5B0A">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p>
    <w:p w14:paraId="172DCDE3">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采购文件获取日期：</w:t>
      </w:r>
      <w:r>
        <w:rPr>
          <w:rFonts w:hint="eastAsia" w:ascii="宋体" w:hAnsi="宋体" w:cs="宋体"/>
          <w:color w:val="auto"/>
          <w:sz w:val="28"/>
          <w:szCs w:val="28"/>
          <w:highlight w:val="none"/>
          <w:u w:val="dotted"/>
        </w:rPr>
        <w:t xml:space="preserve">                                           </w:t>
      </w:r>
    </w:p>
    <w:p w14:paraId="368D006A">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三、质疑事项具体内容</w:t>
      </w:r>
    </w:p>
    <w:p w14:paraId="1BE5C8ED">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质疑事项1：</w:t>
      </w:r>
      <w:r>
        <w:rPr>
          <w:rFonts w:hint="eastAsia" w:ascii="宋体" w:hAnsi="宋体" w:cs="宋体"/>
          <w:color w:val="auto"/>
          <w:sz w:val="28"/>
          <w:szCs w:val="28"/>
          <w:highlight w:val="none"/>
          <w:u w:val="dotted"/>
        </w:rPr>
        <w:t xml:space="preserve">                                         </w:t>
      </w:r>
    </w:p>
    <w:p w14:paraId="7A7B8A4C">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68532718">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u w:val="dotted"/>
        </w:rPr>
        <w:t xml:space="preserve">                                                       </w:t>
      </w:r>
    </w:p>
    <w:p w14:paraId="7ADDE172">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7B1117FF">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505A3845">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质疑事项2</w:t>
      </w:r>
    </w:p>
    <w:p w14:paraId="5DC1F9CE">
      <w:pPr>
        <w:adjustRightInd w:val="0"/>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w:t>
      </w:r>
    </w:p>
    <w:p w14:paraId="068AC7FF">
      <w:pPr>
        <w:adjustRightInd w:val="0"/>
        <w:snapToGrid w:val="0"/>
        <w:spacing w:line="360" w:lineRule="auto"/>
        <w:rPr>
          <w:rFonts w:ascii="宋体" w:hAnsi="宋体" w:cs="宋体"/>
          <w:bCs/>
          <w:color w:val="auto"/>
          <w:sz w:val="28"/>
          <w:szCs w:val="28"/>
          <w:highlight w:val="none"/>
        </w:rPr>
      </w:pPr>
      <w:r>
        <w:rPr>
          <w:rFonts w:hint="eastAsia" w:ascii="宋体" w:hAnsi="宋体" w:cs="宋体"/>
          <w:bCs/>
          <w:color w:val="auto"/>
          <w:sz w:val="28"/>
          <w:szCs w:val="28"/>
          <w:highlight w:val="none"/>
        </w:rPr>
        <w:t>四、与质疑事项相关的质疑请求</w:t>
      </w:r>
    </w:p>
    <w:p w14:paraId="50EF7350">
      <w:pPr>
        <w:adjustRightInd w:val="0"/>
        <w:snapToGrid w:val="0"/>
        <w:spacing w:line="360" w:lineRule="auto"/>
        <w:rPr>
          <w:rFonts w:ascii="宋体" w:hAnsi="宋体" w:cs="宋体"/>
          <w:color w:val="auto"/>
          <w:sz w:val="28"/>
          <w:szCs w:val="28"/>
          <w:highlight w:val="none"/>
          <w:u w:val="dotted"/>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p>
    <w:p w14:paraId="3CCAB6CB">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18DA8B3B">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701EBFC1">
      <w:pPr>
        <w:adjustRightInd w:val="0"/>
        <w:snapToGrid w:val="0"/>
        <w:spacing w:line="360" w:lineRule="auto"/>
        <w:rPr>
          <w:rFonts w:ascii="宋体" w:hAnsi="宋体" w:cs="宋体"/>
          <w:color w:val="auto"/>
          <w:sz w:val="28"/>
          <w:szCs w:val="28"/>
          <w:highlight w:val="none"/>
        </w:rPr>
      </w:pPr>
    </w:p>
    <w:p w14:paraId="46266236">
      <w:pPr>
        <w:adjustRightInd w:val="0"/>
        <w:snapToGrid w:val="0"/>
        <w:spacing w:line="360" w:lineRule="auto"/>
        <w:rPr>
          <w:rFonts w:ascii="宋体" w:hAnsi="宋体" w:cs="宋体"/>
          <w:color w:val="auto"/>
          <w:sz w:val="28"/>
          <w:szCs w:val="28"/>
          <w:highlight w:val="none"/>
        </w:rPr>
      </w:pPr>
    </w:p>
    <w:p w14:paraId="5EDFA96B">
      <w:pPr>
        <w:rPr>
          <w:rFonts w:ascii="宋体" w:hAnsi="宋体" w:cs="宋体"/>
          <w:b/>
          <w:color w:val="auto"/>
          <w:sz w:val="28"/>
          <w:szCs w:val="28"/>
          <w:highlight w:val="none"/>
        </w:rPr>
      </w:pPr>
    </w:p>
    <w:p w14:paraId="5D01DB66">
      <w:pPr>
        <w:rPr>
          <w:rFonts w:ascii="宋体" w:hAnsi="宋体" w:cs="宋体"/>
          <w:b/>
          <w:color w:val="auto"/>
          <w:sz w:val="28"/>
          <w:szCs w:val="28"/>
          <w:highlight w:val="none"/>
        </w:rPr>
      </w:pPr>
    </w:p>
    <w:p w14:paraId="62F483C7">
      <w:pPr>
        <w:rPr>
          <w:rFonts w:ascii="宋体" w:hAnsi="宋体" w:cs="宋体"/>
          <w:b/>
          <w:color w:val="auto"/>
          <w:sz w:val="28"/>
          <w:szCs w:val="28"/>
          <w:highlight w:val="none"/>
        </w:rPr>
      </w:pPr>
    </w:p>
    <w:p w14:paraId="2520E7EB">
      <w:pPr>
        <w:rPr>
          <w:rFonts w:ascii="宋体" w:hAnsi="宋体" w:cs="宋体"/>
          <w:b/>
          <w:color w:val="auto"/>
          <w:sz w:val="28"/>
          <w:szCs w:val="28"/>
          <w:highlight w:val="none"/>
        </w:rPr>
      </w:pPr>
    </w:p>
    <w:p w14:paraId="3A7C3091">
      <w:pPr>
        <w:rPr>
          <w:rFonts w:ascii="宋体" w:hAnsi="宋体" w:cs="宋体"/>
          <w:b/>
          <w:color w:val="auto"/>
          <w:sz w:val="28"/>
          <w:szCs w:val="28"/>
          <w:highlight w:val="none"/>
        </w:rPr>
      </w:pPr>
    </w:p>
    <w:p w14:paraId="503D08B6">
      <w:pPr>
        <w:rPr>
          <w:rFonts w:ascii="宋体" w:hAnsi="宋体" w:cs="宋体"/>
          <w:b/>
          <w:color w:val="auto"/>
          <w:sz w:val="24"/>
          <w:highlight w:val="none"/>
        </w:rPr>
      </w:pPr>
      <w:r>
        <w:rPr>
          <w:rFonts w:hint="eastAsia" w:ascii="宋体" w:hAnsi="宋体" w:cs="宋体"/>
          <w:b/>
          <w:color w:val="auto"/>
          <w:sz w:val="24"/>
          <w:highlight w:val="none"/>
        </w:rPr>
        <w:t>质疑函制作说明：</w:t>
      </w:r>
    </w:p>
    <w:p w14:paraId="6D0492CD">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7C9F526">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A1F4E51">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A170F3F">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EDFD563">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75E18DF">
      <w:pPr>
        <w:widowControl/>
        <w:ind w:firstLine="480" w:firstLineChars="200"/>
        <w:jc w:val="left"/>
        <w:rPr>
          <w:rFonts w:ascii="宋体" w:hAnsi="宋体" w:cs="宋体"/>
          <w:color w:val="auto"/>
          <w:sz w:val="28"/>
          <w:szCs w:val="28"/>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6E0E0AE">
      <w:pPr>
        <w:rPr>
          <w:rFonts w:ascii="宋体" w:hAnsi="宋体" w:cs="宋体"/>
          <w:color w:val="auto"/>
          <w:sz w:val="20"/>
          <w:szCs w:val="22"/>
          <w:highlight w:val="none"/>
        </w:rPr>
      </w:pPr>
    </w:p>
    <w:p w14:paraId="11F580CD">
      <w:pPr>
        <w:pStyle w:val="26"/>
        <w:ind w:firstLine="560"/>
        <w:rPr>
          <w:rFonts w:ascii="宋体" w:hAnsi="宋体" w:eastAsia="宋体" w:cs="宋体"/>
          <w:color w:val="auto"/>
          <w:sz w:val="28"/>
          <w:szCs w:val="22"/>
          <w:highlight w:val="none"/>
        </w:rPr>
      </w:pPr>
    </w:p>
    <w:p w14:paraId="61619A67">
      <w:pPr>
        <w:pStyle w:val="21"/>
        <w:rPr>
          <w:rFonts w:ascii="宋体" w:hAnsi="宋体" w:cs="宋体"/>
          <w:color w:val="auto"/>
          <w:sz w:val="20"/>
          <w:szCs w:val="22"/>
          <w:highlight w:val="none"/>
        </w:rPr>
      </w:pPr>
    </w:p>
    <w:p w14:paraId="7A790241">
      <w:pPr>
        <w:rPr>
          <w:rFonts w:ascii="宋体" w:hAnsi="宋体" w:cs="宋体"/>
          <w:color w:val="auto"/>
          <w:sz w:val="20"/>
          <w:szCs w:val="22"/>
          <w:highlight w:val="none"/>
        </w:rPr>
      </w:pPr>
    </w:p>
    <w:p w14:paraId="2EA5831D">
      <w:pPr>
        <w:pStyle w:val="3"/>
        <w:keepNext w:val="0"/>
        <w:keepLines w:val="0"/>
        <w:pageBreakBefore/>
        <w:rPr>
          <w:rFonts w:ascii="宋体" w:hAnsi="宋体" w:eastAsia="宋体" w:cs="宋体"/>
          <w:b w:val="0"/>
          <w:color w:val="auto"/>
          <w:sz w:val="24"/>
          <w:highlight w:val="none"/>
        </w:rPr>
      </w:pPr>
      <w:bookmarkStart w:id="104" w:name="_Toc32533"/>
      <w:bookmarkStart w:id="105" w:name="_Toc26805"/>
      <w:bookmarkStart w:id="106" w:name="_Toc28792"/>
      <w:r>
        <w:rPr>
          <w:rFonts w:hint="eastAsia" w:ascii="宋体" w:hAnsi="宋体" w:eastAsia="宋体" w:cs="宋体"/>
          <w:b w:val="0"/>
          <w:color w:val="auto"/>
          <w:sz w:val="24"/>
          <w:highlight w:val="none"/>
        </w:rPr>
        <w:t>附件二十</w:t>
      </w:r>
      <w:r>
        <w:rPr>
          <w:rFonts w:hint="eastAsia" w:ascii="宋体" w:hAnsi="宋体" w:eastAsia="宋体" w:cs="宋体"/>
          <w:b w:val="0"/>
          <w:color w:val="auto"/>
          <w:sz w:val="24"/>
          <w:highlight w:val="none"/>
          <w:lang w:val="en-US" w:eastAsia="zh-CN"/>
        </w:rPr>
        <w:t>一</w:t>
      </w:r>
      <w:r>
        <w:rPr>
          <w:rFonts w:hint="eastAsia" w:ascii="宋体" w:hAnsi="宋体" w:eastAsia="宋体" w:cs="宋体"/>
          <w:b w:val="0"/>
          <w:color w:val="auto"/>
          <w:sz w:val="24"/>
          <w:highlight w:val="none"/>
        </w:rPr>
        <w:t>：投诉书范本</w:t>
      </w:r>
      <w:bookmarkEnd w:id="104"/>
      <w:bookmarkEnd w:id="105"/>
      <w:bookmarkEnd w:id="106"/>
    </w:p>
    <w:p w14:paraId="6A06682F">
      <w:pPr>
        <w:jc w:val="center"/>
        <w:rPr>
          <w:rFonts w:ascii="宋体" w:hAnsi="宋体" w:cs="宋体"/>
          <w:b/>
          <w:color w:val="auto"/>
          <w:sz w:val="40"/>
          <w:szCs w:val="40"/>
          <w:highlight w:val="none"/>
        </w:rPr>
      </w:pPr>
      <w:r>
        <w:rPr>
          <w:rFonts w:hint="eastAsia" w:ascii="宋体" w:hAnsi="宋体" w:cs="宋体"/>
          <w:b/>
          <w:color w:val="auto"/>
          <w:sz w:val="40"/>
          <w:szCs w:val="40"/>
          <w:highlight w:val="none"/>
        </w:rPr>
        <w:t>投诉书范本</w:t>
      </w:r>
    </w:p>
    <w:p w14:paraId="78C84C9C">
      <w:pPr>
        <w:rPr>
          <w:rFonts w:ascii="宋体" w:hAnsi="宋体" w:cs="宋体"/>
          <w:color w:val="auto"/>
          <w:sz w:val="28"/>
          <w:szCs w:val="28"/>
          <w:highlight w:val="none"/>
        </w:rPr>
      </w:pPr>
      <w:r>
        <w:rPr>
          <w:rFonts w:hint="eastAsia" w:ascii="宋体" w:hAnsi="宋体" w:cs="宋体"/>
          <w:color w:val="auto"/>
          <w:sz w:val="28"/>
          <w:szCs w:val="28"/>
          <w:highlight w:val="none"/>
        </w:rPr>
        <w:t>一、投诉相关主体基本情况</w:t>
      </w:r>
    </w:p>
    <w:p w14:paraId="3EDF6D16">
      <w:pPr>
        <w:rPr>
          <w:rFonts w:ascii="宋体" w:hAnsi="宋体" w:cs="宋体"/>
          <w:color w:val="auto"/>
          <w:sz w:val="28"/>
          <w:szCs w:val="28"/>
          <w:highlight w:val="none"/>
          <w:u w:val="dotted"/>
        </w:rPr>
      </w:pPr>
      <w:r>
        <w:rPr>
          <w:rFonts w:hint="eastAsia" w:ascii="宋体" w:hAnsi="宋体" w:cs="宋体"/>
          <w:color w:val="auto"/>
          <w:sz w:val="28"/>
          <w:szCs w:val="28"/>
          <w:highlight w:val="none"/>
        </w:rPr>
        <w:t>投诉人：</w:t>
      </w:r>
      <w:r>
        <w:rPr>
          <w:rFonts w:hint="eastAsia" w:ascii="宋体" w:hAnsi="宋体" w:cs="宋体"/>
          <w:color w:val="auto"/>
          <w:sz w:val="28"/>
          <w:szCs w:val="28"/>
          <w:highlight w:val="none"/>
          <w:u w:val="dotted"/>
        </w:rPr>
        <w:t xml:space="preserve">                                               </w:t>
      </w:r>
    </w:p>
    <w:p w14:paraId="4B6B16C9">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4C20D73F">
      <w:pPr>
        <w:tabs>
          <w:tab w:val="left" w:pos="6510"/>
        </w:tabs>
        <w:jc w:val="left"/>
        <w:rPr>
          <w:rFonts w:ascii="宋体" w:hAnsi="宋体" w:cs="宋体"/>
          <w:color w:val="auto"/>
          <w:sz w:val="28"/>
          <w:szCs w:val="28"/>
          <w:highlight w:val="none"/>
        </w:rPr>
      </w:pPr>
      <w:r>
        <w:rPr>
          <w:rFonts w:hint="eastAsia" w:ascii="宋体" w:hAnsi="宋体" w:cs="宋体"/>
          <w:color w:val="auto"/>
          <w:sz w:val="28"/>
          <w:szCs w:val="28"/>
          <w:highlight w:val="none"/>
        </w:rPr>
        <w:t>法定代表人/主要负责人：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53786C5E">
      <w:pPr>
        <w:tabs>
          <w:tab w:val="left" w:pos="6510"/>
        </w:tabs>
        <w:rPr>
          <w:rFonts w:ascii="宋体" w:hAnsi="宋体" w:cs="宋体"/>
          <w:color w:val="auto"/>
          <w:sz w:val="28"/>
          <w:szCs w:val="28"/>
          <w:highlight w:val="none"/>
          <w:u w:val="dotted"/>
        </w:rPr>
      </w:pP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3D5B425B">
      <w:pPr>
        <w:rPr>
          <w:rFonts w:ascii="宋体" w:hAnsi="宋体" w:cs="宋体"/>
          <w:color w:val="auto"/>
          <w:sz w:val="28"/>
          <w:szCs w:val="28"/>
          <w:highlight w:val="none"/>
          <w:u w:val="dotted"/>
        </w:rPr>
      </w:pPr>
      <w:r>
        <w:rPr>
          <w:rFonts w:hint="eastAsia" w:ascii="宋体" w:hAnsi="宋体" w:cs="宋体"/>
          <w:color w:val="auto"/>
          <w:sz w:val="28"/>
          <w:szCs w:val="28"/>
          <w:highlight w:val="none"/>
        </w:rPr>
        <w:t>授权代表：</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p>
    <w:p w14:paraId="79060097">
      <w:pPr>
        <w:rPr>
          <w:rFonts w:ascii="宋体" w:hAnsi="宋体" w:cs="宋体"/>
          <w:color w:val="auto"/>
          <w:sz w:val="28"/>
          <w:szCs w:val="28"/>
          <w:highlight w:val="none"/>
          <w:u w:val="dotted"/>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dotted"/>
        </w:rPr>
        <w:t xml:space="preserve">                   </w:t>
      </w:r>
    </w:p>
    <w:p w14:paraId="2D8B48D0">
      <w:pPr>
        <w:rPr>
          <w:rFonts w:ascii="宋体" w:hAnsi="宋体" w:cs="宋体"/>
          <w:color w:val="auto"/>
          <w:sz w:val="28"/>
          <w:szCs w:val="28"/>
          <w:highlight w:val="none"/>
          <w:u w:val="single"/>
        </w:rPr>
      </w:pPr>
      <w:r>
        <w:rPr>
          <w:rFonts w:hint="eastAsia" w:ascii="宋体" w:hAnsi="宋体" w:cs="宋体"/>
          <w:color w:val="auto"/>
          <w:sz w:val="28"/>
          <w:szCs w:val="28"/>
          <w:highlight w:val="none"/>
        </w:rPr>
        <w:t>被投诉人1：</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50E8BE9B">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0ADD1692">
      <w:pPr>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5A63AB83">
      <w:pPr>
        <w:rPr>
          <w:rFonts w:ascii="宋体" w:hAnsi="宋体" w:cs="宋体"/>
          <w:color w:val="auto"/>
          <w:sz w:val="28"/>
          <w:szCs w:val="28"/>
          <w:highlight w:val="none"/>
        </w:rPr>
      </w:pPr>
      <w:r>
        <w:rPr>
          <w:rFonts w:hint="eastAsia" w:ascii="宋体" w:hAnsi="宋体" w:cs="宋体"/>
          <w:color w:val="auto"/>
          <w:sz w:val="28"/>
          <w:szCs w:val="28"/>
          <w:highlight w:val="none"/>
        </w:rPr>
        <w:t>被投诉人2</w:t>
      </w:r>
    </w:p>
    <w:p w14:paraId="01535067">
      <w:pPr>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41C56882">
      <w:pPr>
        <w:rPr>
          <w:rFonts w:ascii="宋体" w:hAnsi="宋体" w:cs="宋体"/>
          <w:color w:val="auto"/>
          <w:sz w:val="28"/>
          <w:szCs w:val="28"/>
          <w:highlight w:val="none"/>
          <w:u w:val="single"/>
        </w:rPr>
      </w:pPr>
      <w:r>
        <w:rPr>
          <w:rFonts w:hint="eastAsia" w:ascii="宋体" w:hAnsi="宋体" w:cs="宋体"/>
          <w:color w:val="auto"/>
          <w:sz w:val="28"/>
          <w:szCs w:val="28"/>
          <w:highlight w:val="none"/>
        </w:rPr>
        <w:t>相关供应商：</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3FD78526">
      <w:pPr>
        <w:rPr>
          <w:rFonts w:ascii="宋体" w:hAnsi="宋体" w:cs="宋体"/>
          <w:color w:val="auto"/>
          <w:sz w:val="28"/>
          <w:szCs w:val="28"/>
          <w:highlight w:val="none"/>
          <w:u w:val="single"/>
        </w:rPr>
      </w:pPr>
      <w:r>
        <w:rPr>
          <w:rFonts w:hint="eastAsia" w:ascii="宋体" w:hAnsi="宋体" w:cs="宋体"/>
          <w:color w:val="auto"/>
          <w:sz w:val="28"/>
          <w:szCs w:val="28"/>
          <w:highlight w:val="none"/>
        </w:rPr>
        <w:t>地     址：</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邮编：</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1CEFC5E2">
      <w:pPr>
        <w:rPr>
          <w:rFonts w:ascii="宋体" w:hAnsi="宋体" w:cs="宋体"/>
          <w:color w:val="auto"/>
          <w:sz w:val="28"/>
          <w:szCs w:val="28"/>
          <w:highlight w:val="none"/>
          <w:u w:val="single"/>
        </w:rPr>
      </w:pPr>
      <w:r>
        <w:rPr>
          <w:rFonts w:hint="eastAsia" w:ascii="宋体" w:hAnsi="宋体" w:cs="宋体"/>
          <w:color w:val="auto"/>
          <w:sz w:val="28"/>
          <w:szCs w:val="28"/>
          <w:highlight w:val="none"/>
        </w:rPr>
        <w:t>联系人：</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联系电话：</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3A989F29">
      <w:pPr>
        <w:rPr>
          <w:rFonts w:ascii="宋体" w:hAnsi="宋体" w:cs="宋体"/>
          <w:color w:val="auto"/>
          <w:sz w:val="28"/>
          <w:szCs w:val="28"/>
          <w:highlight w:val="none"/>
        </w:rPr>
      </w:pPr>
      <w:r>
        <w:rPr>
          <w:rFonts w:hint="eastAsia" w:ascii="宋体" w:hAnsi="宋体" w:cs="宋体"/>
          <w:color w:val="auto"/>
          <w:sz w:val="28"/>
          <w:szCs w:val="28"/>
          <w:highlight w:val="none"/>
        </w:rPr>
        <w:t>二、投诉项目基本情况</w:t>
      </w:r>
    </w:p>
    <w:p w14:paraId="703F3477">
      <w:pPr>
        <w:rPr>
          <w:rFonts w:ascii="宋体" w:hAnsi="宋体" w:cs="宋体"/>
          <w:color w:val="auto"/>
          <w:sz w:val="28"/>
          <w:szCs w:val="28"/>
          <w:highlight w:val="none"/>
          <w:u w:val="dotted"/>
        </w:rPr>
      </w:pPr>
      <w:r>
        <w:rPr>
          <w:rFonts w:hint="eastAsia" w:ascii="宋体" w:hAnsi="宋体" w:cs="宋体"/>
          <w:color w:val="auto"/>
          <w:sz w:val="28"/>
          <w:szCs w:val="28"/>
          <w:highlight w:val="none"/>
        </w:rPr>
        <w:t>采购项目名称：</w:t>
      </w:r>
      <w:r>
        <w:rPr>
          <w:rFonts w:hint="eastAsia" w:ascii="宋体" w:hAnsi="宋体" w:cs="宋体"/>
          <w:color w:val="auto"/>
          <w:sz w:val="28"/>
          <w:szCs w:val="28"/>
          <w:highlight w:val="none"/>
          <w:u w:val="dotted"/>
        </w:rPr>
        <w:t xml:space="preserve">                                        </w:t>
      </w:r>
    </w:p>
    <w:p w14:paraId="4971BF1E">
      <w:pPr>
        <w:rPr>
          <w:rFonts w:ascii="宋体" w:hAnsi="宋体" w:cs="宋体"/>
          <w:color w:val="auto"/>
          <w:sz w:val="28"/>
          <w:szCs w:val="28"/>
          <w:highlight w:val="none"/>
          <w:u w:val="single"/>
        </w:rPr>
      </w:pPr>
      <w:r>
        <w:rPr>
          <w:rFonts w:hint="eastAsia" w:ascii="宋体" w:hAnsi="宋体" w:cs="宋体"/>
          <w:color w:val="auto"/>
          <w:sz w:val="28"/>
          <w:szCs w:val="28"/>
          <w:highlight w:val="none"/>
        </w:rPr>
        <w:t>采购项目编号：</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包号：</w:t>
      </w:r>
      <w:r>
        <w:rPr>
          <w:rFonts w:hint="eastAsia" w:ascii="宋体" w:hAnsi="宋体" w:cs="宋体"/>
          <w:color w:val="auto"/>
          <w:sz w:val="28"/>
          <w:szCs w:val="28"/>
          <w:highlight w:val="none"/>
          <w:u w:val="dotted"/>
        </w:rPr>
        <w:t xml:space="preserve">              </w:t>
      </w:r>
    </w:p>
    <w:p w14:paraId="6C74714C">
      <w:pPr>
        <w:rPr>
          <w:rFonts w:ascii="宋体" w:hAnsi="宋体" w:cs="宋体"/>
          <w:color w:val="auto"/>
          <w:sz w:val="28"/>
          <w:szCs w:val="28"/>
          <w:highlight w:val="none"/>
        </w:rPr>
      </w:pPr>
      <w:r>
        <w:rPr>
          <w:rFonts w:hint="eastAsia" w:ascii="宋体" w:hAnsi="宋体" w:cs="宋体"/>
          <w:color w:val="auto"/>
          <w:sz w:val="28"/>
          <w:szCs w:val="28"/>
          <w:highlight w:val="none"/>
        </w:rPr>
        <w:t>采购人名称：</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u w:val="single"/>
        </w:rPr>
        <w:t xml:space="preserve">  </w:t>
      </w:r>
    </w:p>
    <w:p w14:paraId="1D85B82A">
      <w:pPr>
        <w:rPr>
          <w:rFonts w:ascii="宋体" w:hAnsi="宋体" w:cs="宋体"/>
          <w:color w:val="auto"/>
          <w:sz w:val="28"/>
          <w:szCs w:val="28"/>
          <w:highlight w:val="none"/>
          <w:u w:val="single"/>
        </w:rPr>
      </w:pPr>
      <w:r>
        <w:rPr>
          <w:rFonts w:hint="eastAsia" w:ascii="宋体" w:hAnsi="宋体" w:cs="宋体"/>
          <w:color w:val="auto"/>
          <w:sz w:val="28"/>
          <w:szCs w:val="28"/>
          <w:highlight w:val="none"/>
        </w:rPr>
        <w:t>代理机构名称：</w:t>
      </w:r>
      <w:r>
        <w:rPr>
          <w:rFonts w:hint="eastAsia" w:ascii="宋体" w:hAnsi="宋体" w:cs="宋体"/>
          <w:color w:val="auto"/>
          <w:sz w:val="28"/>
          <w:szCs w:val="28"/>
          <w:highlight w:val="none"/>
          <w:u w:val="dotted"/>
        </w:rPr>
        <w:t xml:space="preserve">                                         </w:t>
      </w:r>
    </w:p>
    <w:p w14:paraId="1B027143">
      <w:pPr>
        <w:rPr>
          <w:rFonts w:ascii="宋体" w:hAnsi="宋体" w:cs="宋体"/>
          <w:color w:val="auto"/>
          <w:sz w:val="28"/>
          <w:szCs w:val="28"/>
          <w:highlight w:val="none"/>
          <w:u w:val="dotted"/>
        </w:rPr>
      </w:pPr>
      <w:r>
        <w:rPr>
          <w:rFonts w:hint="eastAsia" w:ascii="宋体" w:hAnsi="宋体" w:cs="宋体"/>
          <w:color w:val="auto"/>
          <w:sz w:val="28"/>
          <w:szCs w:val="28"/>
          <w:highlight w:val="none"/>
        </w:rPr>
        <w:t>采购文件公告: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7BC435BB">
      <w:pPr>
        <w:rPr>
          <w:rFonts w:ascii="宋体" w:hAnsi="宋体" w:cs="宋体"/>
          <w:color w:val="auto"/>
          <w:sz w:val="28"/>
          <w:szCs w:val="28"/>
          <w:highlight w:val="none"/>
          <w:u w:val="single"/>
        </w:rPr>
      </w:pPr>
      <w:r>
        <w:rPr>
          <w:rFonts w:hint="eastAsia" w:ascii="宋体" w:hAnsi="宋体" w:cs="宋体"/>
          <w:color w:val="auto"/>
          <w:sz w:val="28"/>
          <w:szCs w:val="28"/>
          <w:highlight w:val="none"/>
        </w:rPr>
        <w:t>采购结果公告:</w:t>
      </w:r>
      <w:r>
        <w:rPr>
          <w:rFonts w:hint="eastAsia" w:ascii="宋体" w:hAnsi="宋体" w:cs="宋体"/>
          <w:color w:val="auto"/>
          <w:sz w:val="28"/>
          <w:szCs w:val="28"/>
          <w:highlight w:val="none"/>
          <w:u w:val="dotted"/>
        </w:rPr>
        <w:t xml:space="preserve">是/否 </w:t>
      </w:r>
      <w:r>
        <w:rPr>
          <w:rFonts w:hint="eastAsia" w:ascii="宋体" w:hAnsi="宋体" w:cs="宋体"/>
          <w:color w:val="auto"/>
          <w:sz w:val="28"/>
          <w:szCs w:val="28"/>
          <w:highlight w:val="none"/>
        </w:rPr>
        <w:t>公告期限：</w:t>
      </w:r>
      <w:r>
        <w:rPr>
          <w:rFonts w:hint="eastAsia" w:ascii="宋体" w:hAnsi="宋体" w:cs="宋体"/>
          <w:color w:val="auto"/>
          <w:sz w:val="28"/>
          <w:szCs w:val="28"/>
          <w:highlight w:val="none"/>
          <w:u w:val="dotted"/>
        </w:rPr>
        <w:t xml:space="preserve">                        </w:t>
      </w:r>
    </w:p>
    <w:p w14:paraId="7978AA4D">
      <w:pPr>
        <w:rPr>
          <w:rFonts w:ascii="宋体" w:hAnsi="宋体" w:cs="宋体"/>
          <w:color w:val="auto"/>
          <w:sz w:val="28"/>
          <w:szCs w:val="28"/>
          <w:highlight w:val="none"/>
        </w:rPr>
      </w:pPr>
      <w:r>
        <w:rPr>
          <w:rFonts w:hint="eastAsia" w:ascii="宋体" w:hAnsi="宋体" w:cs="宋体"/>
          <w:color w:val="auto"/>
          <w:sz w:val="28"/>
          <w:szCs w:val="28"/>
          <w:highlight w:val="none"/>
        </w:rPr>
        <w:t>三、质疑基本情况</w:t>
      </w:r>
    </w:p>
    <w:p w14:paraId="0D151FCB">
      <w:pPr>
        <w:ind w:firstLine="560" w:firstLineChars="200"/>
        <w:rPr>
          <w:rFonts w:ascii="宋体" w:hAnsi="宋体" w:cs="宋体"/>
          <w:color w:val="auto"/>
          <w:sz w:val="28"/>
          <w:szCs w:val="28"/>
          <w:highlight w:val="none"/>
          <w:u w:val="dotted"/>
        </w:rPr>
      </w:pPr>
      <w:r>
        <w:rPr>
          <w:rFonts w:hint="eastAsia" w:ascii="宋体" w:hAnsi="宋体" w:cs="宋体"/>
          <w:color w:val="auto"/>
          <w:sz w:val="28"/>
          <w:szCs w:val="28"/>
          <w:highlight w:val="none"/>
        </w:rPr>
        <w:t>投诉人于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日,向</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提出质疑，质疑事项为：</w:t>
      </w:r>
      <w:r>
        <w:rPr>
          <w:rFonts w:hint="eastAsia" w:ascii="宋体" w:hAnsi="宋体" w:cs="宋体"/>
          <w:color w:val="auto"/>
          <w:sz w:val="28"/>
          <w:szCs w:val="28"/>
          <w:highlight w:val="none"/>
          <w:u w:val="dotted"/>
        </w:rPr>
        <w:t xml:space="preserve">                                </w:t>
      </w:r>
    </w:p>
    <w:p w14:paraId="534C86C9">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60DEAADA">
      <w:pPr>
        <w:ind w:firstLine="420" w:firstLineChars="150"/>
        <w:rPr>
          <w:rFonts w:ascii="宋体" w:hAnsi="宋体" w:cs="宋体"/>
          <w:color w:val="auto"/>
          <w:sz w:val="28"/>
          <w:szCs w:val="28"/>
          <w:highlight w:val="none"/>
        </w:rPr>
      </w:pPr>
      <w:r>
        <w:rPr>
          <w:rFonts w:hint="eastAsia" w:ascii="宋体" w:hAnsi="宋体" w:cs="宋体"/>
          <w:color w:val="auto"/>
          <w:sz w:val="28"/>
          <w:szCs w:val="28"/>
          <w:highlight w:val="none"/>
          <w:u w:val="dotted"/>
        </w:rPr>
        <w:t>采购人/代理机构</w:t>
      </w:r>
      <w:r>
        <w:rPr>
          <w:rFonts w:hint="eastAsia" w:ascii="宋体" w:hAnsi="宋体" w:cs="宋体"/>
          <w:color w:val="auto"/>
          <w:sz w:val="28"/>
          <w:szCs w:val="28"/>
          <w:highlight w:val="none"/>
        </w:rPr>
        <w:t>于</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日,就质疑事项作出了答复/没有在法定期限内作出答复。</w:t>
      </w:r>
    </w:p>
    <w:p w14:paraId="65E4E17D">
      <w:pPr>
        <w:rPr>
          <w:rFonts w:ascii="宋体" w:hAnsi="宋体" w:cs="宋体"/>
          <w:color w:val="auto"/>
          <w:sz w:val="28"/>
          <w:szCs w:val="28"/>
          <w:highlight w:val="none"/>
        </w:rPr>
      </w:pPr>
      <w:r>
        <w:rPr>
          <w:rFonts w:hint="eastAsia" w:ascii="宋体" w:hAnsi="宋体" w:cs="宋体"/>
          <w:color w:val="auto"/>
          <w:sz w:val="28"/>
          <w:szCs w:val="28"/>
          <w:highlight w:val="none"/>
        </w:rPr>
        <w:t>四、投诉事项具体内容</w:t>
      </w:r>
    </w:p>
    <w:p w14:paraId="3605E2A3">
      <w:pPr>
        <w:rPr>
          <w:rFonts w:ascii="宋体" w:hAnsi="宋体" w:cs="宋体"/>
          <w:color w:val="auto"/>
          <w:sz w:val="28"/>
          <w:szCs w:val="28"/>
          <w:highlight w:val="none"/>
          <w:u w:val="single"/>
        </w:rPr>
      </w:pPr>
      <w:r>
        <w:rPr>
          <w:rFonts w:hint="eastAsia" w:ascii="宋体" w:hAnsi="宋体" w:cs="宋体"/>
          <w:color w:val="auto"/>
          <w:sz w:val="28"/>
          <w:szCs w:val="28"/>
          <w:highlight w:val="none"/>
        </w:rPr>
        <w:t>投诉事项 1：</w:t>
      </w:r>
      <w:r>
        <w:rPr>
          <w:rFonts w:hint="eastAsia" w:ascii="宋体" w:hAnsi="宋体" w:cs="宋体"/>
          <w:color w:val="auto"/>
          <w:sz w:val="28"/>
          <w:szCs w:val="28"/>
          <w:highlight w:val="none"/>
          <w:u w:val="dotted"/>
        </w:rPr>
        <w:t xml:space="preserve">                                       </w:t>
      </w:r>
    </w:p>
    <w:p w14:paraId="137803B9">
      <w:pPr>
        <w:rPr>
          <w:rFonts w:ascii="宋体" w:hAnsi="宋体" w:cs="宋体"/>
          <w:color w:val="auto"/>
          <w:sz w:val="28"/>
          <w:szCs w:val="28"/>
          <w:highlight w:val="none"/>
        </w:rPr>
      </w:pPr>
      <w:r>
        <w:rPr>
          <w:rFonts w:hint="eastAsia" w:ascii="宋体" w:hAnsi="宋体" w:cs="宋体"/>
          <w:color w:val="auto"/>
          <w:sz w:val="28"/>
          <w:szCs w:val="28"/>
          <w:highlight w:val="none"/>
        </w:rPr>
        <w:t>事实依据：</w:t>
      </w:r>
      <w:r>
        <w:rPr>
          <w:rFonts w:hint="eastAsia" w:ascii="宋体" w:hAnsi="宋体" w:cs="宋体"/>
          <w:color w:val="auto"/>
          <w:sz w:val="28"/>
          <w:szCs w:val="28"/>
          <w:highlight w:val="none"/>
          <w:u w:val="dotted"/>
        </w:rPr>
        <w:t xml:space="preserve">                                         </w:t>
      </w:r>
    </w:p>
    <w:p w14:paraId="3E37E929">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2662F06F">
      <w:pPr>
        <w:rPr>
          <w:rFonts w:ascii="宋体" w:hAnsi="宋体" w:cs="宋体"/>
          <w:color w:val="auto"/>
          <w:sz w:val="28"/>
          <w:szCs w:val="28"/>
          <w:highlight w:val="none"/>
          <w:u w:val="single"/>
        </w:rPr>
      </w:pPr>
      <w:r>
        <w:rPr>
          <w:rFonts w:hint="eastAsia" w:ascii="宋体" w:hAnsi="宋体" w:cs="宋体"/>
          <w:color w:val="auto"/>
          <w:sz w:val="28"/>
          <w:szCs w:val="28"/>
          <w:highlight w:val="none"/>
        </w:rPr>
        <w:t>法律依据：</w:t>
      </w:r>
      <w:r>
        <w:rPr>
          <w:rFonts w:hint="eastAsia" w:ascii="宋体" w:hAnsi="宋体" w:cs="宋体"/>
          <w:color w:val="auto"/>
          <w:sz w:val="28"/>
          <w:szCs w:val="28"/>
          <w:highlight w:val="none"/>
          <w:u w:val="dotted"/>
        </w:rPr>
        <w:t xml:space="preserve">                                          </w:t>
      </w:r>
    </w:p>
    <w:p w14:paraId="785C0304">
      <w:pPr>
        <w:rPr>
          <w:rFonts w:ascii="宋体" w:hAnsi="宋体" w:cs="宋体"/>
          <w:color w:val="auto"/>
          <w:sz w:val="28"/>
          <w:szCs w:val="28"/>
          <w:highlight w:val="none"/>
          <w:u w:val="dotted"/>
        </w:rPr>
      </w:pPr>
      <w:r>
        <w:rPr>
          <w:rFonts w:hint="eastAsia" w:ascii="宋体" w:hAnsi="宋体" w:cs="宋体"/>
          <w:color w:val="auto"/>
          <w:sz w:val="28"/>
          <w:szCs w:val="28"/>
          <w:highlight w:val="none"/>
          <w:u w:val="dotted"/>
        </w:rPr>
        <w:t xml:space="preserve">                                                      </w:t>
      </w:r>
    </w:p>
    <w:p w14:paraId="100344A4">
      <w:pPr>
        <w:rPr>
          <w:rFonts w:ascii="宋体" w:hAnsi="宋体" w:cs="宋体"/>
          <w:color w:val="auto"/>
          <w:sz w:val="28"/>
          <w:szCs w:val="28"/>
          <w:highlight w:val="none"/>
        </w:rPr>
      </w:pPr>
      <w:r>
        <w:rPr>
          <w:rFonts w:hint="eastAsia" w:ascii="宋体" w:hAnsi="宋体" w:cs="宋体"/>
          <w:color w:val="auto"/>
          <w:sz w:val="28"/>
          <w:szCs w:val="28"/>
          <w:highlight w:val="none"/>
        </w:rPr>
        <w:t>投诉事项2</w:t>
      </w:r>
    </w:p>
    <w:p w14:paraId="19242BB6">
      <w:pPr>
        <w:rPr>
          <w:rFonts w:ascii="宋体" w:hAnsi="宋体" w:cs="宋体"/>
          <w:color w:val="auto"/>
          <w:sz w:val="28"/>
          <w:szCs w:val="28"/>
          <w:highlight w:val="none"/>
          <w:u w:val="dotted"/>
        </w:rPr>
      </w:pPr>
      <w:r>
        <w:rPr>
          <w:rFonts w:hint="eastAsia" w:ascii="宋体" w:hAnsi="宋体" w:cs="宋体"/>
          <w:color w:val="auto"/>
          <w:sz w:val="28"/>
          <w:szCs w:val="28"/>
          <w:highlight w:val="none"/>
        </w:rPr>
        <w:t>……</w:t>
      </w:r>
    </w:p>
    <w:p w14:paraId="68C31FE2">
      <w:pPr>
        <w:rPr>
          <w:rFonts w:ascii="宋体" w:hAnsi="宋体" w:cs="宋体"/>
          <w:color w:val="auto"/>
          <w:sz w:val="28"/>
          <w:szCs w:val="28"/>
          <w:highlight w:val="none"/>
        </w:rPr>
      </w:pPr>
      <w:r>
        <w:rPr>
          <w:rFonts w:hint="eastAsia" w:ascii="宋体" w:hAnsi="宋体" w:cs="宋体"/>
          <w:color w:val="auto"/>
          <w:sz w:val="28"/>
          <w:szCs w:val="28"/>
          <w:highlight w:val="none"/>
        </w:rPr>
        <w:t>五、与投诉事项相关的投诉请求</w:t>
      </w:r>
    </w:p>
    <w:p w14:paraId="3AC98E8B">
      <w:pPr>
        <w:rPr>
          <w:rFonts w:ascii="宋体" w:hAnsi="宋体" w:cs="宋体"/>
          <w:color w:val="auto"/>
          <w:sz w:val="28"/>
          <w:szCs w:val="28"/>
          <w:highlight w:val="none"/>
        </w:rPr>
      </w:pPr>
      <w:r>
        <w:rPr>
          <w:rFonts w:hint="eastAsia" w:ascii="宋体" w:hAnsi="宋体" w:cs="宋体"/>
          <w:color w:val="auto"/>
          <w:sz w:val="28"/>
          <w:szCs w:val="28"/>
          <w:highlight w:val="none"/>
        </w:rPr>
        <w:t>请求：</w:t>
      </w:r>
      <w:r>
        <w:rPr>
          <w:rFonts w:hint="eastAsia" w:ascii="宋体" w:hAnsi="宋体" w:cs="宋体"/>
          <w:color w:val="auto"/>
          <w:sz w:val="28"/>
          <w:szCs w:val="28"/>
          <w:highlight w:val="none"/>
          <w:u w:val="dotted"/>
        </w:rPr>
        <w:t xml:space="preserve">                                              </w:t>
      </w:r>
      <w:r>
        <w:rPr>
          <w:rFonts w:hint="eastAsia" w:ascii="宋体" w:hAnsi="宋体" w:cs="宋体"/>
          <w:color w:val="auto"/>
          <w:sz w:val="28"/>
          <w:szCs w:val="28"/>
          <w:highlight w:val="none"/>
        </w:rPr>
        <w:t xml:space="preserve"> </w:t>
      </w:r>
    </w:p>
    <w:p w14:paraId="19B9073D">
      <w:pPr>
        <w:rPr>
          <w:rFonts w:ascii="宋体" w:hAnsi="宋体" w:cs="宋体"/>
          <w:color w:val="auto"/>
          <w:sz w:val="28"/>
          <w:szCs w:val="28"/>
          <w:highlight w:val="none"/>
          <w:u w:val="single"/>
        </w:rPr>
      </w:pPr>
      <w:r>
        <w:rPr>
          <w:rFonts w:hint="eastAsia" w:ascii="宋体" w:hAnsi="宋体" w:cs="宋体"/>
          <w:color w:val="auto"/>
          <w:sz w:val="28"/>
          <w:szCs w:val="28"/>
          <w:highlight w:val="none"/>
        </w:rPr>
        <w:t xml:space="preserve">                                                                                                    </w:t>
      </w:r>
    </w:p>
    <w:p w14:paraId="176EB5E6">
      <w:pPr>
        <w:rPr>
          <w:rFonts w:ascii="宋体" w:hAnsi="宋体" w:cs="宋体"/>
          <w:color w:val="auto"/>
          <w:sz w:val="28"/>
          <w:szCs w:val="28"/>
          <w:highlight w:val="none"/>
        </w:rPr>
      </w:pPr>
      <w:r>
        <w:rPr>
          <w:rFonts w:hint="eastAsia" w:ascii="宋体" w:hAnsi="宋体" w:cs="宋体"/>
          <w:color w:val="auto"/>
          <w:sz w:val="28"/>
          <w:szCs w:val="28"/>
          <w:highlight w:val="none"/>
        </w:rPr>
        <w:t xml:space="preserve">签字(签章)：                   公章：                      </w:t>
      </w:r>
    </w:p>
    <w:p w14:paraId="32812951">
      <w:pPr>
        <w:rPr>
          <w:rFonts w:ascii="宋体" w:hAnsi="宋体" w:cs="宋体"/>
          <w:color w:val="auto"/>
          <w:sz w:val="28"/>
          <w:szCs w:val="28"/>
          <w:highlight w:val="none"/>
        </w:rPr>
      </w:pPr>
      <w:r>
        <w:rPr>
          <w:rFonts w:hint="eastAsia" w:ascii="宋体" w:hAnsi="宋体" w:cs="宋体"/>
          <w:color w:val="auto"/>
          <w:sz w:val="28"/>
          <w:szCs w:val="28"/>
          <w:highlight w:val="none"/>
        </w:rPr>
        <w:t xml:space="preserve">日期：    </w:t>
      </w:r>
    </w:p>
    <w:p w14:paraId="6E570742">
      <w:pPr>
        <w:rPr>
          <w:rFonts w:ascii="宋体" w:hAnsi="宋体" w:cs="宋体"/>
          <w:b/>
          <w:color w:val="auto"/>
          <w:sz w:val="28"/>
          <w:szCs w:val="28"/>
          <w:highlight w:val="none"/>
        </w:rPr>
      </w:pPr>
    </w:p>
    <w:p w14:paraId="38DD878C">
      <w:pPr>
        <w:rPr>
          <w:rFonts w:ascii="宋体" w:hAnsi="宋体" w:cs="宋体"/>
          <w:b/>
          <w:color w:val="auto"/>
          <w:sz w:val="28"/>
          <w:szCs w:val="28"/>
          <w:highlight w:val="none"/>
        </w:rPr>
      </w:pPr>
    </w:p>
    <w:p w14:paraId="1350634B">
      <w:pPr>
        <w:rPr>
          <w:rFonts w:ascii="宋体" w:hAnsi="宋体" w:cs="宋体"/>
          <w:b/>
          <w:color w:val="auto"/>
          <w:sz w:val="28"/>
          <w:szCs w:val="28"/>
          <w:highlight w:val="none"/>
        </w:rPr>
      </w:pPr>
    </w:p>
    <w:p w14:paraId="1A296BE9">
      <w:pPr>
        <w:rPr>
          <w:rFonts w:ascii="宋体" w:hAnsi="宋体" w:cs="宋体"/>
          <w:b/>
          <w:color w:val="auto"/>
          <w:sz w:val="28"/>
          <w:szCs w:val="28"/>
          <w:highlight w:val="none"/>
        </w:rPr>
      </w:pPr>
    </w:p>
    <w:p w14:paraId="40521767">
      <w:pPr>
        <w:rPr>
          <w:rFonts w:ascii="宋体" w:hAnsi="宋体" w:cs="宋体"/>
          <w:b/>
          <w:color w:val="auto"/>
          <w:sz w:val="28"/>
          <w:szCs w:val="28"/>
          <w:highlight w:val="none"/>
        </w:rPr>
      </w:pPr>
    </w:p>
    <w:p w14:paraId="397E0659">
      <w:pPr>
        <w:rPr>
          <w:rFonts w:ascii="宋体" w:hAnsi="宋体" w:cs="宋体"/>
          <w:b/>
          <w:color w:val="auto"/>
          <w:sz w:val="24"/>
          <w:highlight w:val="none"/>
        </w:rPr>
      </w:pPr>
      <w:r>
        <w:rPr>
          <w:rFonts w:hint="eastAsia" w:ascii="宋体" w:hAnsi="宋体" w:cs="宋体"/>
          <w:b/>
          <w:color w:val="auto"/>
          <w:sz w:val="24"/>
          <w:highlight w:val="none"/>
        </w:rPr>
        <w:t>投诉书制作说明：</w:t>
      </w:r>
    </w:p>
    <w:p w14:paraId="12EE0439">
      <w:pPr>
        <w:widowControl/>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94F9A8A">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76E500C">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1285E12">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1AF9E61">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A9167FC">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D345BB2">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1CDD73B">
      <w:pPr>
        <w:jc w:val="left"/>
        <w:rPr>
          <w:rFonts w:ascii="宋体" w:hAnsi="宋体" w:cs="宋体"/>
          <w:b/>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b/>
          <w:color w:val="auto"/>
          <w:sz w:val="28"/>
          <w:szCs w:val="28"/>
          <w:highlight w:val="none"/>
        </w:rPr>
        <w:t xml:space="preserve"> </w:t>
      </w:r>
    </w:p>
    <w:p w14:paraId="7F99F488">
      <w:pPr>
        <w:jc w:val="left"/>
        <w:rPr>
          <w:rFonts w:ascii="宋体" w:hAnsi="宋体" w:cs="宋体"/>
          <w:b/>
          <w:color w:val="auto"/>
          <w:sz w:val="28"/>
          <w:szCs w:val="28"/>
          <w:highlight w:val="none"/>
        </w:rPr>
      </w:pPr>
    </w:p>
    <w:p w14:paraId="6871FF3D">
      <w:pPr>
        <w:rPr>
          <w:rFonts w:ascii="宋体" w:hAnsi="宋体" w:cs="宋体"/>
          <w:color w:val="auto"/>
          <w:sz w:val="20"/>
          <w:szCs w:val="22"/>
          <w:highlight w:val="none"/>
        </w:rPr>
      </w:pPr>
    </w:p>
    <w:p w14:paraId="3D2F68DE">
      <w:pPr>
        <w:rPr>
          <w:rFonts w:ascii="宋体" w:hAnsi="宋体" w:cs="宋体"/>
          <w:color w:val="auto"/>
          <w:sz w:val="20"/>
          <w:szCs w:val="22"/>
          <w:highlight w:val="none"/>
        </w:rPr>
      </w:pPr>
    </w:p>
    <w:p w14:paraId="4CB7E4A3">
      <w:pPr>
        <w:pStyle w:val="26"/>
        <w:ind w:firstLine="600"/>
        <w:rPr>
          <w:rFonts w:ascii="宋体" w:hAnsi="宋体" w:eastAsia="宋体" w:cs="宋体"/>
          <w:color w:val="auto"/>
          <w:highlight w:val="none"/>
        </w:rPr>
      </w:pPr>
    </w:p>
    <w:p w14:paraId="37D83BBF">
      <w:pPr>
        <w:pStyle w:val="21"/>
        <w:ind w:left="0" w:leftChars="0"/>
        <w:rPr>
          <w:rFonts w:ascii="宋体" w:hAnsi="宋体" w:cs="宋体"/>
          <w:color w:val="auto"/>
          <w:highlight w:val="none"/>
        </w:rPr>
      </w:pPr>
    </w:p>
    <w:p w14:paraId="47CD19A2">
      <w:pPr>
        <w:pStyle w:val="21"/>
        <w:ind w:left="0" w:leftChars="0"/>
        <w:rPr>
          <w:rFonts w:ascii="宋体" w:hAnsi="宋体" w:cs="宋体"/>
          <w:color w:val="auto"/>
          <w:highlight w:val="none"/>
        </w:rPr>
      </w:pPr>
    </w:p>
    <w:p w14:paraId="5400B5CC">
      <w:pPr>
        <w:rPr>
          <w:color w:val="auto"/>
          <w:highlight w:val="none"/>
        </w:rPr>
      </w:pPr>
    </w:p>
    <w:p w14:paraId="63B089D5">
      <w:pPr>
        <w:rPr>
          <w:color w:val="auto"/>
          <w:highlight w:val="none"/>
        </w:rPr>
      </w:pPr>
    </w:p>
    <w:sectPr>
      <w:headerReference r:id="rId16" w:type="first"/>
      <w:footerReference r:id="rId19" w:type="first"/>
      <w:headerReference r:id="rId15" w:type="default"/>
      <w:footerReference r:id="rId17" w:type="default"/>
      <w:footerReference r:id="rId18" w:type="even"/>
      <w:pgSz w:w="11906" w:h="16838"/>
      <w:pgMar w:top="1020" w:right="1247" w:bottom="1020" w:left="1247" w:header="851" w:footer="907"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auto"/>
    <w:pitch w:val="default"/>
    <w:sig w:usb0="00000000" w:usb1="00000000" w:usb2="00000000" w:usb3="00000000" w:csb0="0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Algerian">
    <w:altName w:val="Gabriola"/>
    <w:panose1 w:val="04020705040A02060702"/>
    <w:charset w:val="00"/>
    <w:family w:val="decorative"/>
    <w:pitch w:val="default"/>
    <w:sig w:usb0="00000000"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FE28E">
    <w:pPr>
      <w:pStyle w:val="16"/>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85791">
                          <w:pPr>
                            <w:pStyle w:val="1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E685791">
                    <w:pPr>
                      <w:pStyle w:val="16"/>
                    </w:pPr>
                    <w:r>
                      <w:fldChar w:fldCharType="begin"/>
                    </w:r>
                    <w:r>
                      <w:instrText xml:space="preserve"> PAGE  \* MERGEFORMAT </w:instrText>
                    </w:r>
                    <w:r>
                      <w:fldChar w:fldCharType="separate"/>
                    </w:r>
                    <w:r>
                      <w:t>39</w:t>
                    </w:r>
                    <w:r>
                      <w:fldChar w:fldCharType="end"/>
                    </w:r>
                  </w:p>
                </w:txbxContent>
              </v:textbox>
            </v:shape>
          </w:pict>
        </mc:Fallback>
      </mc:AlternateContent>
    </w:r>
  </w:p>
  <w:p w14:paraId="7B5AF97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66CED">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EA18B">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1CEA18B">
                    <w:pPr>
                      <w:pStyle w:val="1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kern w:val="0"/>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504B5">
    <w:pPr>
      <w:pStyle w:val="16"/>
      <w:ind w:right="720" w:rightChars="343" w:firstLine="180" w:firstLineChars="10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45415" cy="1333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45415" cy="133350"/>
                      </a:xfrm>
                      <a:prstGeom prst="rect">
                        <a:avLst/>
                      </a:prstGeom>
                      <a:noFill/>
                      <a:ln w="6350">
                        <a:noFill/>
                      </a:ln>
                    </wps:spPr>
                    <wps:txbx>
                      <w:txbxContent>
                        <w:p w14:paraId="5623E3F8">
                          <w:pPr>
                            <w:pStyle w:val="16"/>
                          </w:pPr>
                          <w:r>
                            <w:fldChar w:fldCharType="begin"/>
                          </w:r>
                          <w:r>
                            <w:instrText xml:space="preserve"> PAGE  \* MERGEFORMAT </w:instrText>
                          </w:r>
                          <w:r>
                            <w:fldChar w:fldCharType="separate"/>
                          </w:r>
                          <w:r>
                            <w:t>81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5pt;width:11.45pt;mso-position-horizontal:center;mso-position-horizontal-relative:margin;mso-wrap-style:none;z-index:251663360;mso-width-relative:page;mso-height-relative:page;" filled="f" stroked="f" coordsize="21600,21600" o:gfxdata="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cw3Yz0QAAAAMBAAAPAAAAAAAAAAEAIAAAACIAAABk&#10;cnMvZG93bnJldi54bWxQSwECFAAUAAAACACHTuJA+Y2aFtQBAACgAwAADgAAAAAAAAABACAAAAAg&#10;AQAAZHJzL2Uyb0RvYy54bWxQSwUGAAAAAAYABgBZAQAAZgUAAAAA&#10;">
              <v:fill on="f" focussize="0,0"/>
              <v:stroke on="f" weight="0.5pt"/>
              <v:imagedata o:title=""/>
              <o:lock v:ext="edit" aspectratio="f"/>
              <v:textbox inset="0mm,0mm,0mm,0mm" style="mso-fit-shape-to-text:t;">
                <w:txbxContent>
                  <w:p w14:paraId="5623E3F8">
                    <w:pPr>
                      <w:pStyle w:val="1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F01CA">
    <w:pPr>
      <w:pStyle w:val="16"/>
      <w:framePr w:wrap="around" w:vAnchor="text" w:hAnchor="margin" w:xAlign="outside" w:y="1"/>
      <w:rPr>
        <w:rStyle w:val="31"/>
      </w:rPr>
    </w:pPr>
    <w:r>
      <w:fldChar w:fldCharType="begin"/>
    </w:r>
    <w:r>
      <w:rPr>
        <w:rStyle w:val="31"/>
      </w:rPr>
      <w:instrText xml:space="preserve">PAGE  </w:instrText>
    </w:r>
    <w:r>
      <w:fldChar w:fldCharType="separate"/>
    </w:r>
    <w:r>
      <w:rPr>
        <w:rStyle w:val="31"/>
      </w:rPr>
      <w:t>32</w:t>
    </w:r>
    <w:r>
      <w:fldChar w:fldCharType="end"/>
    </w:r>
  </w:p>
  <w:p w14:paraId="7A2E52C9">
    <w:pPr>
      <w:pStyle w:val="1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DAAA0">
    <w:pPr>
      <w:pStyle w:val="16"/>
      <w:framePr w:wrap="around" w:vAnchor="text" w:hAnchor="margin" w:xAlign="outside" w:y="1"/>
      <w:rPr>
        <w:rStyle w:val="31"/>
        <w:rFonts w:hint="eastAsia" w:ascii="宋体" w:eastAsia="宋体"/>
        <w:sz w:val="28"/>
        <w:szCs w:val="28"/>
      </w:rPr>
    </w:pPr>
    <w:r>
      <w:rPr>
        <w:rStyle w:val="31"/>
        <w:rFonts w:hint="eastAsia" w:ascii="宋体" w:eastAsia="宋体"/>
        <w:sz w:val="28"/>
        <w:szCs w:val="28"/>
      </w:rPr>
      <w:t xml:space="preserve">— </w:t>
    </w:r>
    <w:r>
      <w:rPr>
        <w:rFonts w:hint="eastAsia" w:ascii="宋体" w:eastAsia="宋体"/>
        <w:sz w:val="28"/>
        <w:szCs w:val="28"/>
      </w:rPr>
      <w:fldChar w:fldCharType="begin"/>
    </w:r>
    <w:r>
      <w:rPr>
        <w:rStyle w:val="31"/>
        <w:rFonts w:hint="eastAsia" w:ascii="宋体" w:eastAsia="宋体"/>
        <w:sz w:val="28"/>
        <w:szCs w:val="28"/>
      </w:rPr>
      <w:instrText xml:space="preserve">PAGE  </w:instrText>
    </w:r>
    <w:r>
      <w:rPr>
        <w:rFonts w:hint="eastAsia" w:ascii="宋体" w:eastAsia="宋体"/>
        <w:sz w:val="28"/>
        <w:szCs w:val="28"/>
      </w:rPr>
      <w:fldChar w:fldCharType="separate"/>
    </w:r>
    <w:r>
      <w:rPr>
        <w:rStyle w:val="31"/>
        <w:rFonts w:hint="eastAsia" w:ascii="宋体" w:eastAsia="宋体"/>
        <w:sz w:val="28"/>
        <w:szCs w:val="28"/>
      </w:rPr>
      <w:t>39</w:t>
    </w:r>
    <w:r>
      <w:rPr>
        <w:rFonts w:hint="eastAsia" w:ascii="宋体" w:eastAsia="宋体"/>
        <w:sz w:val="28"/>
        <w:szCs w:val="28"/>
      </w:rPr>
      <w:fldChar w:fldCharType="end"/>
    </w:r>
    <w:r>
      <w:rPr>
        <w:rStyle w:val="31"/>
        <w:rFonts w:hint="eastAsia" w:ascii="宋体" w:eastAsia="宋体"/>
        <w:sz w:val="28"/>
        <w:szCs w:val="28"/>
      </w:rPr>
      <w:t xml:space="preserve"> —</w:t>
    </w:r>
  </w:p>
  <w:p w14:paraId="46629473">
    <w:pPr>
      <w:pStyle w:val="16"/>
      <w:ind w:right="720" w:firstLine="180" w:firstLineChars="100"/>
      <w:jc w:val="both"/>
    </w:pPr>
    <w:r>
      <w:rPr>
        <w:rFonts w:hint="eastAsia"/>
      </w:rPr>
      <w:t xml:space="preserve">                                                           东阳市公共资源交易中心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3FE6D">
    <w:pPr>
      <w:pStyle w:val="16"/>
      <w:ind w:right="720" w:rightChars="343" w:firstLine="180" w:firstLineChars="10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711200" cy="264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1200" cy="264795"/>
                      </a:xfrm>
                      <a:prstGeom prst="rect">
                        <a:avLst/>
                      </a:prstGeom>
                      <a:noFill/>
                      <a:ln>
                        <a:noFill/>
                      </a:ln>
                    </wps:spPr>
                    <wps:txbx>
                      <w:txbxContent>
                        <w:p w14:paraId="595B9284">
                          <w:pPr>
                            <w:pStyle w:val="16"/>
                            <w:rPr>
                              <w:rStyle w:val="31"/>
                              <w:rFonts w:hint="eastAsia" w:ascii="宋体" w:eastAsia="宋体"/>
                              <w:sz w:val="28"/>
                              <w:szCs w:val="28"/>
                            </w:rPr>
                          </w:pPr>
                          <w:r>
                            <w:rPr>
                              <w:rStyle w:val="31"/>
                              <w:rFonts w:hint="eastAsia" w:ascii="宋体" w:eastAsia="宋体"/>
                              <w:sz w:val="28"/>
                              <w:szCs w:val="28"/>
                            </w:rPr>
                            <w:t xml:space="preserve">— </w:t>
                          </w:r>
                          <w:r>
                            <w:rPr>
                              <w:rFonts w:hint="eastAsia" w:ascii="宋体" w:eastAsia="宋体"/>
                              <w:sz w:val="28"/>
                              <w:szCs w:val="28"/>
                            </w:rPr>
                            <w:fldChar w:fldCharType="begin"/>
                          </w:r>
                          <w:r>
                            <w:rPr>
                              <w:rStyle w:val="31"/>
                              <w:rFonts w:hint="eastAsia" w:ascii="宋体" w:eastAsia="宋体"/>
                              <w:sz w:val="28"/>
                              <w:szCs w:val="28"/>
                            </w:rPr>
                            <w:instrText xml:space="preserve">PAGE  </w:instrText>
                          </w:r>
                          <w:r>
                            <w:rPr>
                              <w:rFonts w:hint="eastAsia" w:ascii="宋体" w:eastAsia="宋体"/>
                              <w:sz w:val="28"/>
                              <w:szCs w:val="28"/>
                            </w:rPr>
                            <w:fldChar w:fldCharType="separate"/>
                          </w:r>
                          <w:r>
                            <w:rPr>
                              <w:rStyle w:val="31"/>
                              <w:rFonts w:hint="eastAsia" w:ascii="宋体" w:eastAsia="宋体"/>
                              <w:sz w:val="28"/>
                              <w:szCs w:val="28"/>
                            </w:rPr>
                            <w:t>70</w:t>
                          </w:r>
                          <w:r>
                            <w:rPr>
                              <w:rFonts w:hint="eastAsia" w:ascii="宋体" w:eastAsia="宋体"/>
                              <w:sz w:val="28"/>
                              <w:szCs w:val="28"/>
                            </w:rPr>
                            <w:fldChar w:fldCharType="end"/>
                          </w:r>
                          <w:r>
                            <w:rPr>
                              <w:rStyle w:val="31"/>
                              <w:rFonts w:hint="eastAsia" w:ascii="宋体" w:eastAsia="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0.85pt;width:56pt;mso-position-horizontal:center;mso-position-horizontal-relative:margin;mso-wrap-style:none;z-index:251661312;mso-width-relative:page;mso-height-relative:page;" filled="f" stroked="f" coordsize="21600,21600" o:gfxdata="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FnaD3RAAAABAEAAA8AAAAAAAAAAQAgAAAAIgAAAGRycy9kb3du&#10;cmV2LnhtbFBLAQIUABQAAAAIAIdO4kDLGYq8zQEAAJcDAAAOAAAAAAAAAAEAIAAAACABAABkcnMv&#10;ZTJvRG9jLnhtbFBLBQYAAAAABgAGAFkBAABfBQAAAAA=&#10;">
              <v:fill on="f" focussize="0,0"/>
              <v:stroke on="f"/>
              <v:imagedata o:title=""/>
              <o:lock v:ext="edit" aspectratio="f"/>
              <v:textbox inset="0mm,0mm,0mm,0mm" style="mso-fit-shape-to-text:t;">
                <w:txbxContent>
                  <w:p w14:paraId="595B9284">
                    <w:pPr>
                      <w:pStyle w:val="16"/>
                      <w:rPr>
                        <w:rStyle w:val="31"/>
                        <w:rFonts w:hint="eastAsia" w:ascii="宋体" w:eastAsia="宋体"/>
                        <w:sz w:val="28"/>
                        <w:szCs w:val="28"/>
                      </w:rPr>
                    </w:pPr>
                    <w:r>
                      <w:rPr>
                        <w:rStyle w:val="31"/>
                        <w:rFonts w:hint="eastAsia" w:ascii="宋体" w:eastAsia="宋体"/>
                        <w:sz w:val="28"/>
                        <w:szCs w:val="28"/>
                      </w:rPr>
                      <w:t xml:space="preserve">— </w:t>
                    </w:r>
                    <w:r>
                      <w:rPr>
                        <w:rFonts w:hint="eastAsia" w:ascii="宋体" w:eastAsia="宋体"/>
                        <w:sz w:val="28"/>
                        <w:szCs w:val="28"/>
                      </w:rPr>
                      <w:fldChar w:fldCharType="begin"/>
                    </w:r>
                    <w:r>
                      <w:rPr>
                        <w:rStyle w:val="31"/>
                        <w:rFonts w:hint="eastAsia" w:ascii="宋体" w:eastAsia="宋体"/>
                        <w:sz w:val="28"/>
                        <w:szCs w:val="28"/>
                      </w:rPr>
                      <w:instrText xml:space="preserve">PAGE  </w:instrText>
                    </w:r>
                    <w:r>
                      <w:rPr>
                        <w:rFonts w:hint="eastAsia" w:ascii="宋体" w:eastAsia="宋体"/>
                        <w:sz w:val="28"/>
                        <w:szCs w:val="28"/>
                      </w:rPr>
                      <w:fldChar w:fldCharType="separate"/>
                    </w:r>
                    <w:r>
                      <w:rPr>
                        <w:rStyle w:val="31"/>
                        <w:rFonts w:hint="eastAsia" w:ascii="宋体" w:eastAsia="宋体"/>
                        <w:sz w:val="28"/>
                        <w:szCs w:val="28"/>
                      </w:rPr>
                      <w:t>70</w:t>
                    </w:r>
                    <w:r>
                      <w:rPr>
                        <w:rFonts w:hint="eastAsia" w:ascii="宋体" w:eastAsia="宋体"/>
                        <w:sz w:val="28"/>
                        <w:szCs w:val="28"/>
                      </w:rPr>
                      <w:fldChar w:fldCharType="end"/>
                    </w:r>
                    <w:r>
                      <w:rPr>
                        <w:rStyle w:val="31"/>
                        <w:rFonts w:hint="eastAsia" w:ascii="宋体" w:eastAsia="宋体"/>
                        <w:sz w:val="28"/>
                        <w:szCs w:val="28"/>
                      </w:rPr>
                      <w:t xml:space="preserve"> —</w:t>
                    </w:r>
                  </w:p>
                </w:txbxContent>
              </v:textbox>
            </v:shape>
          </w:pict>
        </mc:Fallback>
      </mc:AlternateContent>
    </w:r>
    <w:r>
      <w:rPr>
        <w:rFonts w:hint="eastAsia"/>
      </w:rPr>
      <w:t>金华市公共资源交易中心东阳分中心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8A35A">
    <w:pPr>
      <w:pStyle w:val="16"/>
      <w:ind w:firstLine="4320" w:firstLineChars="24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CFA33">
                          <w:pPr>
                            <w:pStyle w:val="16"/>
                          </w:pPr>
                          <w:r>
                            <w:rPr>
                              <w:rFonts w:hint="eastAsia"/>
                            </w:rPr>
                            <w:fldChar w:fldCharType="begin"/>
                          </w:r>
                          <w:r>
                            <w:rPr>
                              <w:rFonts w:hint="eastAsia"/>
                            </w:rPr>
                            <w:instrText xml:space="preserve"> PAGE  \* MERGEFORMAT </w:instrText>
                          </w:r>
                          <w:r>
                            <w:rPr>
                              <w:rFonts w:hint="eastAsia"/>
                            </w:rPr>
                            <w:fldChar w:fldCharType="separate"/>
                          </w:r>
                          <w:r>
                            <w:t>72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3FCFA33">
                    <w:pPr>
                      <w:pStyle w:val="16"/>
                    </w:pPr>
                    <w:r>
                      <w:rPr>
                        <w:rFonts w:hint="eastAsia"/>
                      </w:rPr>
                      <w:fldChar w:fldCharType="begin"/>
                    </w:r>
                    <w:r>
                      <w:rPr>
                        <w:rFonts w:hint="eastAsia"/>
                      </w:rPr>
                      <w:instrText xml:space="preserve"> PAGE  \* MERGEFORMAT </w:instrText>
                    </w:r>
                    <w:r>
                      <w:rPr>
                        <w:rFonts w:hint="eastAsia"/>
                      </w:rPr>
                      <w:fldChar w:fldCharType="separate"/>
                    </w:r>
                    <w:r>
                      <w:t>72</w:t>
                    </w:r>
                    <w:r>
                      <w:rPr>
                        <w:rFonts w:hint="eastAsia"/>
                      </w:rPr>
                      <w:fldChar w:fldCharType="end"/>
                    </w:r>
                  </w:p>
                </w:txbxContent>
              </v:textbox>
            </v:shape>
          </w:pict>
        </mc:Fallback>
      </mc:AlternateContent>
    </w:r>
    <w:r>
      <w:rPr>
        <w:rFonts w:hint="eastAsia"/>
      </w:rPr>
      <w:t xml:space="preserve">  </w:t>
    </w:r>
    <w:r>
      <w:t xml:space="preserve">   </w:t>
    </w:r>
    <w:r>
      <w:rPr>
        <w:rFonts w:hint="eastAsia"/>
      </w:rPr>
      <w:t xml:space="preserve">                       东阳市鑫盛工程咨询有限公司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2F934">
    <w:pPr>
      <w:pStyle w:val="16"/>
      <w:framePr w:wrap="around" w:vAnchor="text" w:hAnchor="margin" w:xAlign="center" w:y="1"/>
      <w:rPr>
        <w:rStyle w:val="31"/>
      </w:rPr>
    </w:pPr>
    <w:r>
      <w:fldChar w:fldCharType="begin"/>
    </w:r>
    <w:r>
      <w:rPr>
        <w:rStyle w:val="31"/>
      </w:rPr>
      <w:instrText xml:space="preserve">PAGE  </w:instrText>
    </w:r>
    <w:r>
      <w:fldChar w:fldCharType="end"/>
    </w:r>
  </w:p>
  <w:p w14:paraId="28CFBDD6">
    <w:pPr>
      <w:pStyle w:val="1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8926B">
    <w:pPr>
      <w:pStyle w:val="16"/>
      <w:jc w:val="center"/>
      <w:rPr>
        <w:rFonts w:ascii="宋体" w:hAnsi="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81139">
                          <w:pPr>
                            <w:pStyle w:val="16"/>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CF81139">
                    <w:pPr>
                      <w:pStyle w:val="16"/>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1A893">
    <w:pPr>
      <w:pStyle w:val="17"/>
      <w:jc w:val="left"/>
      <w:rPr>
        <w:rFonts w:hint="eastAsia" w:eastAsia="宋体"/>
        <w:sz w:val="16"/>
        <w:szCs w:val="16"/>
        <w:lang w:eastAsia="zh-CN"/>
      </w:rPr>
    </w:pPr>
    <w:r>
      <w:rPr>
        <w:rFonts w:hint="eastAsia"/>
        <w:sz w:val="16"/>
        <w:szCs w:val="16"/>
        <w:lang w:eastAsia="zh-CN"/>
      </w:rPr>
      <w:t>东阳市人民医院肾穿刺病理检测外送服务项目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FE5BF">
    <w:pPr>
      <w:pStyle w:val="17"/>
      <w:jc w:val="left"/>
      <w:rPr>
        <w:rFonts w:hint="eastAsia" w:eastAsia="宋体"/>
        <w:sz w:val="16"/>
        <w:szCs w:val="16"/>
        <w:lang w:eastAsia="zh-CN"/>
      </w:rPr>
    </w:pPr>
    <w:r>
      <w:rPr>
        <w:rFonts w:hint="eastAsia"/>
        <w:sz w:val="16"/>
        <w:szCs w:val="16"/>
        <w:lang w:eastAsia="zh-CN"/>
      </w:rPr>
      <w:t>东阳市人民医院肾穿刺病理检测外送服务项目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86E3A">
    <w:pPr>
      <w:pStyle w:val="17"/>
      <w:jc w:val="both"/>
    </w:pPr>
    <w:r>
      <w:rPr>
        <w:rFonts w:hint="eastAsia"/>
      </w:rPr>
      <w:t>东阳市2022年度开发区节约集约利用评价项目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4DBD">
    <w:pPr>
      <w:pStyle w:val="17"/>
      <w:jc w:val="left"/>
      <w:rPr>
        <w:rFonts w:hint="eastAsia" w:ascii="宋体" w:hAnsi="宋体" w:eastAsia="宋体"/>
        <w:b/>
        <w:bCs/>
        <w:sz w:val="18"/>
        <w:szCs w:val="18"/>
        <w:lang w:eastAsia="zh-CN"/>
      </w:rPr>
    </w:pPr>
    <w:r>
      <w:rPr>
        <w:rFonts w:hint="eastAsia"/>
        <w:sz w:val="18"/>
        <w:szCs w:val="18"/>
        <w:lang w:eastAsia="zh-CN"/>
      </w:rPr>
      <w:t>东阳市人民医院肾穿刺病理检测外送服务项目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7B84B">
    <w:pPr>
      <w:pStyle w:val="17"/>
      <w:pBdr>
        <w:bottom w:val="none" w:color="auto" w:sz="0" w:space="0"/>
      </w:pBdr>
      <w:rPr>
        <w:u w:val="single"/>
      </w:rPr>
    </w:pPr>
    <w:r>
      <w:rPr>
        <w:rFonts w:hint="eastAsia"/>
        <w:sz w:val="24"/>
        <w:szCs w:val="24"/>
      </w:rPr>
      <w:t>东阳市财政局2023年度绩效评价和会计监督检查服务采购项目</w:t>
    </w:r>
  </w:p>
  <w:p w14:paraId="4E5A128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28206">
    <w:pPr>
      <w:pStyle w:val="17"/>
      <w:pBdr>
        <w:bottom w:val="none" w:color="auto" w:sz="0" w:space="0"/>
      </w:pBdr>
      <w:rPr>
        <w:u w:val="single"/>
      </w:rPr>
    </w:pPr>
    <w:r>
      <w:rPr>
        <w:rFonts w:hint="eastAsia"/>
        <w:sz w:val="24"/>
        <w:szCs w:val="24"/>
      </w:rPr>
      <w:t>东阳市财政局2023年度绩效评价和会计监督检查服务采购项目</w:t>
    </w:r>
  </w:p>
  <w:p w14:paraId="1CE7605A">
    <w:pPr>
      <w:pStyle w:val="17"/>
      <w:rPr>
        <w:rFonts w:ascii="宋体" w:hAnsi="宋体"/>
        <w:b/>
        <w:bCs/>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4E7E1">
    <w:pPr>
      <w:pStyle w:val="17"/>
      <w:jc w:val="left"/>
      <w:rPr>
        <w:rFonts w:hint="eastAsia" w:eastAsia="宋体" w:cs="Arial"/>
        <w:color w:val="000000"/>
        <w:lang w:eastAsia="zh-CN"/>
      </w:rPr>
    </w:pPr>
    <w:r>
      <w:rPr>
        <w:rFonts w:hint="eastAsia" w:cs="Arial"/>
        <w:color w:val="000000"/>
        <w:lang w:eastAsia="zh-CN"/>
      </w:rPr>
      <w:t>东阳市人民医院肾穿刺病理检测外送服务项目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488BD">
    <w:pPr>
      <w:pStyle w:val="17"/>
      <w:jc w:val="left"/>
      <w:rPr>
        <w:rFonts w:hint="eastAsia" w:eastAsia="宋体" w:cs="Arial"/>
        <w:color w:val="000000"/>
        <w:lang w:eastAsia="zh-CN"/>
      </w:rPr>
    </w:pPr>
    <w:r>
      <w:rPr>
        <w:rFonts w:hint="eastAsia" w:cs="Arial"/>
        <w:color w:val="000000"/>
        <w:lang w:eastAsia="zh-CN"/>
      </w:rPr>
      <w:t>东阳市人民医院肾穿刺病理检测外送服务项目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FAAE9"/>
    <w:multiLevelType w:val="singleLevel"/>
    <w:tmpl w:val="A24FAAE9"/>
    <w:lvl w:ilvl="0" w:tentative="0">
      <w:start w:val="2"/>
      <w:numFmt w:val="decimal"/>
      <w:suff w:val="nothing"/>
      <w:lvlText w:val="（%1）"/>
      <w:lvlJc w:val="left"/>
    </w:lvl>
  </w:abstractNum>
  <w:abstractNum w:abstractNumId="1">
    <w:nsid w:val="C6D025FC"/>
    <w:multiLevelType w:val="singleLevel"/>
    <w:tmpl w:val="C6D025FC"/>
    <w:lvl w:ilvl="0" w:tentative="0">
      <w:start w:val="1"/>
      <w:numFmt w:val="decimal"/>
      <w:lvlText w:val="%1."/>
      <w:lvlJc w:val="left"/>
      <w:pPr>
        <w:tabs>
          <w:tab w:val="left" w:pos="312"/>
        </w:tabs>
      </w:pPr>
    </w:lvl>
  </w:abstractNum>
  <w:abstractNum w:abstractNumId="2">
    <w:nsid w:val="FA5E8E8B"/>
    <w:multiLevelType w:val="singleLevel"/>
    <w:tmpl w:val="FA5E8E8B"/>
    <w:lvl w:ilvl="0" w:tentative="0">
      <w:start w:val="1"/>
      <w:numFmt w:val="chineseCounting"/>
      <w:suff w:val="nothing"/>
      <w:lvlText w:val="%1、"/>
      <w:lvlJc w:val="left"/>
      <w:pPr>
        <w:ind w:left="210"/>
      </w:pPr>
      <w:rPr>
        <w:rFonts w:hint="eastAsia"/>
      </w:rPr>
    </w:lvl>
  </w:abstractNum>
  <w:abstractNum w:abstractNumId="3">
    <w:nsid w:val="0B3575E4"/>
    <w:multiLevelType w:val="singleLevel"/>
    <w:tmpl w:val="0B3575E4"/>
    <w:lvl w:ilvl="0" w:tentative="0">
      <w:start w:val="4"/>
      <w:numFmt w:val="chineseCounting"/>
      <w:suff w:val="nothing"/>
      <w:lvlText w:val="（%1）"/>
      <w:lvlJc w:val="left"/>
      <w:rPr>
        <w:rFonts w:hint="eastAsia"/>
      </w:rPr>
    </w:lvl>
  </w:abstractNum>
  <w:abstractNum w:abstractNumId="4">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248712B5"/>
    <w:multiLevelType w:val="singleLevel"/>
    <w:tmpl w:val="248712B5"/>
    <w:lvl w:ilvl="0" w:tentative="0">
      <w:start w:val="3"/>
      <w:numFmt w:val="decimal"/>
      <w:lvlText w:val="%1."/>
      <w:lvlJc w:val="left"/>
      <w:pPr>
        <w:tabs>
          <w:tab w:val="left" w:pos="312"/>
        </w:tabs>
      </w:pPr>
    </w:lvl>
  </w:abstractNum>
  <w:abstractNum w:abstractNumId="6">
    <w:nsid w:val="2577A4A4"/>
    <w:multiLevelType w:val="singleLevel"/>
    <w:tmpl w:val="2577A4A4"/>
    <w:lvl w:ilvl="0" w:tentative="0">
      <w:start w:val="4"/>
      <w:numFmt w:val="decimal"/>
      <w:suff w:val="nothing"/>
      <w:lvlText w:val="%1、"/>
      <w:lvlJc w:val="left"/>
    </w:lvl>
  </w:abstractNum>
  <w:abstractNum w:abstractNumId="7">
    <w:nsid w:val="5D410D0D"/>
    <w:multiLevelType w:val="singleLevel"/>
    <w:tmpl w:val="5D410D0D"/>
    <w:lvl w:ilvl="0" w:tentative="0">
      <w:start w:val="5"/>
      <w:numFmt w:val="chineseCounting"/>
      <w:suff w:val="space"/>
      <w:lvlText w:val="第%1章"/>
      <w:lvlJc w:val="left"/>
      <w:rPr>
        <w:rFonts w:hint="eastAsia"/>
      </w:rPr>
    </w:lvl>
  </w:abstractNum>
  <w:abstractNum w:abstractNumId="8">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9">
    <w:nsid w:val="61ADA8C3"/>
    <w:multiLevelType w:val="singleLevel"/>
    <w:tmpl w:val="61ADA8C3"/>
    <w:lvl w:ilvl="0" w:tentative="0">
      <w:start w:val="5"/>
      <w:numFmt w:val="chineseCounting"/>
      <w:suff w:val="nothing"/>
      <w:lvlText w:val="%1、"/>
      <w:lvlJc w:val="left"/>
    </w:lvl>
  </w:abstractNum>
  <w:abstractNum w:abstractNumId="10">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E234718"/>
    <w:multiLevelType w:val="multilevel"/>
    <w:tmpl w:val="7E23471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9"/>
  </w:num>
  <w:num w:numId="4">
    <w:abstractNumId w:val="11"/>
  </w:num>
  <w:num w:numId="5">
    <w:abstractNumId w:val="5"/>
  </w:num>
  <w:num w:numId="6">
    <w:abstractNumId w:val="1"/>
  </w:num>
  <w:num w:numId="7">
    <w:abstractNumId w:val="6"/>
  </w:num>
  <w:num w:numId="8">
    <w:abstractNumId w:val="0"/>
  </w:num>
  <w:num w:numId="9">
    <w:abstractNumId w:val="3"/>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zMGNkNjVlNWRmMzQzZmFjYzgxZWNkMTlkODA4MWMifQ=="/>
  </w:docVars>
  <w:rsids>
    <w:rsidRoot w:val="22CE71A1"/>
    <w:rsid w:val="00037C85"/>
    <w:rsid w:val="000404DB"/>
    <w:rsid w:val="00067C99"/>
    <w:rsid w:val="00141A73"/>
    <w:rsid w:val="00174A28"/>
    <w:rsid w:val="0021219D"/>
    <w:rsid w:val="00295EDC"/>
    <w:rsid w:val="002E642B"/>
    <w:rsid w:val="002E76D0"/>
    <w:rsid w:val="00305CA9"/>
    <w:rsid w:val="00347525"/>
    <w:rsid w:val="00363487"/>
    <w:rsid w:val="00370609"/>
    <w:rsid w:val="00382313"/>
    <w:rsid w:val="003C5CEE"/>
    <w:rsid w:val="00431145"/>
    <w:rsid w:val="00494A1F"/>
    <w:rsid w:val="0055674B"/>
    <w:rsid w:val="005963BC"/>
    <w:rsid w:val="00693259"/>
    <w:rsid w:val="00704AA6"/>
    <w:rsid w:val="007102F4"/>
    <w:rsid w:val="0078715B"/>
    <w:rsid w:val="00906786"/>
    <w:rsid w:val="009224FE"/>
    <w:rsid w:val="009634E5"/>
    <w:rsid w:val="009E4B2E"/>
    <w:rsid w:val="009F5386"/>
    <w:rsid w:val="009F62E5"/>
    <w:rsid w:val="00A611D2"/>
    <w:rsid w:val="00AE5938"/>
    <w:rsid w:val="00B22731"/>
    <w:rsid w:val="00B43F5D"/>
    <w:rsid w:val="00B8722B"/>
    <w:rsid w:val="00C1492F"/>
    <w:rsid w:val="00C975A7"/>
    <w:rsid w:val="00CA7419"/>
    <w:rsid w:val="00CB74DA"/>
    <w:rsid w:val="00D31BA8"/>
    <w:rsid w:val="00D70633"/>
    <w:rsid w:val="00D77F7C"/>
    <w:rsid w:val="00DC55A9"/>
    <w:rsid w:val="00E1340B"/>
    <w:rsid w:val="00E7430F"/>
    <w:rsid w:val="00EB05FB"/>
    <w:rsid w:val="00EF722B"/>
    <w:rsid w:val="00F06927"/>
    <w:rsid w:val="00F55BE8"/>
    <w:rsid w:val="0100241C"/>
    <w:rsid w:val="012D2227"/>
    <w:rsid w:val="0154000B"/>
    <w:rsid w:val="016C144B"/>
    <w:rsid w:val="019C140E"/>
    <w:rsid w:val="01E53BA7"/>
    <w:rsid w:val="01EE3C9B"/>
    <w:rsid w:val="02084D4C"/>
    <w:rsid w:val="022B0E5C"/>
    <w:rsid w:val="02326B40"/>
    <w:rsid w:val="02380BEE"/>
    <w:rsid w:val="02462D2B"/>
    <w:rsid w:val="027F48BA"/>
    <w:rsid w:val="028E1825"/>
    <w:rsid w:val="02D109A1"/>
    <w:rsid w:val="03002307"/>
    <w:rsid w:val="030C4CA2"/>
    <w:rsid w:val="031422ED"/>
    <w:rsid w:val="03483A8A"/>
    <w:rsid w:val="03657F01"/>
    <w:rsid w:val="036A1510"/>
    <w:rsid w:val="036B3E07"/>
    <w:rsid w:val="0374413D"/>
    <w:rsid w:val="037D2A0B"/>
    <w:rsid w:val="03987D91"/>
    <w:rsid w:val="03AD03DB"/>
    <w:rsid w:val="045F1833"/>
    <w:rsid w:val="0478104D"/>
    <w:rsid w:val="04AE41F0"/>
    <w:rsid w:val="04BA6D01"/>
    <w:rsid w:val="04C21935"/>
    <w:rsid w:val="04CA3DCA"/>
    <w:rsid w:val="04DB6141"/>
    <w:rsid w:val="04EA6DAD"/>
    <w:rsid w:val="052676B9"/>
    <w:rsid w:val="05647B3F"/>
    <w:rsid w:val="05E355AA"/>
    <w:rsid w:val="060A3685"/>
    <w:rsid w:val="060C68AF"/>
    <w:rsid w:val="061217A8"/>
    <w:rsid w:val="063B3638"/>
    <w:rsid w:val="06780A0F"/>
    <w:rsid w:val="068153A2"/>
    <w:rsid w:val="06BA754B"/>
    <w:rsid w:val="06D23357"/>
    <w:rsid w:val="06D849E3"/>
    <w:rsid w:val="07300CC3"/>
    <w:rsid w:val="07892753"/>
    <w:rsid w:val="07C72679"/>
    <w:rsid w:val="08034BC7"/>
    <w:rsid w:val="0817778D"/>
    <w:rsid w:val="0895702F"/>
    <w:rsid w:val="08AE1E9F"/>
    <w:rsid w:val="08B20D9E"/>
    <w:rsid w:val="08FA54D8"/>
    <w:rsid w:val="08FD6983"/>
    <w:rsid w:val="09255637"/>
    <w:rsid w:val="09326B9B"/>
    <w:rsid w:val="09477125"/>
    <w:rsid w:val="097E5D15"/>
    <w:rsid w:val="098C0205"/>
    <w:rsid w:val="09BA2AC6"/>
    <w:rsid w:val="09BE4926"/>
    <w:rsid w:val="09EB0BF7"/>
    <w:rsid w:val="09EC7123"/>
    <w:rsid w:val="0A1B17B6"/>
    <w:rsid w:val="0A20501F"/>
    <w:rsid w:val="0A3B59B5"/>
    <w:rsid w:val="0A3E4700"/>
    <w:rsid w:val="0A621B46"/>
    <w:rsid w:val="0A681BFC"/>
    <w:rsid w:val="0AB164AD"/>
    <w:rsid w:val="0ADD4CBE"/>
    <w:rsid w:val="0AE26331"/>
    <w:rsid w:val="0B0C7351"/>
    <w:rsid w:val="0B4C2E55"/>
    <w:rsid w:val="0B5502C1"/>
    <w:rsid w:val="0B584048"/>
    <w:rsid w:val="0B641591"/>
    <w:rsid w:val="0B782315"/>
    <w:rsid w:val="0B8D66E4"/>
    <w:rsid w:val="0BAE21B6"/>
    <w:rsid w:val="0BEB51B8"/>
    <w:rsid w:val="0C834A9C"/>
    <w:rsid w:val="0C8C4543"/>
    <w:rsid w:val="0C9B273A"/>
    <w:rsid w:val="0CB8387E"/>
    <w:rsid w:val="0CD17AD4"/>
    <w:rsid w:val="0CDD0FA5"/>
    <w:rsid w:val="0D200115"/>
    <w:rsid w:val="0D2F4C30"/>
    <w:rsid w:val="0D5079C9"/>
    <w:rsid w:val="0D977056"/>
    <w:rsid w:val="0DCC0050"/>
    <w:rsid w:val="0DE027D0"/>
    <w:rsid w:val="0DE9148B"/>
    <w:rsid w:val="0E2645A7"/>
    <w:rsid w:val="0E51617F"/>
    <w:rsid w:val="0E63372C"/>
    <w:rsid w:val="0E8557A0"/>
    <w:rsid w:val="0EE303C9"/>
    <w:rsid w:val="0EE83C31"/>
    <w:rsid w:val="0F225395"/>
    <w:rsid w:val="0F4F51B5"/>
    <w:rsid w:val="0F56112B"/>
    <w:rsid w:val="0F804633"/>
    <w:rsid w:val="0F9067A2"/>
    <w:rsid w:val="0F931DEF"/>
    <w:rsid w:val="0FA87CC5"/>
    <w:rsid w:val="0FEB39D9"/>
    <w:rsid w:val="0FEE5277"/>
    <w:rsid w:val="0FF30ADF"/>
    <w:rsid w:val="1004773F"/>
    <w:rsid w:val="10264A11"/>
    <w:rsid w:val="104E01B3"/>
    <w:rsid w:val="1092045D"/>
    <w:rsid w:val="109D2B29"/>
    <w:rsid w:val="10AD60E8"/>
    <w:rsid w:val="10DE709A"/>
    <w:rsid w:val="10F76A31"/>
    <w:rsid w:val="11072A62"/>
    <w:rsid w:val="110F36F7"/>
    <w:rsid w:val="116752E1"/>
    <w:rsid w:val="11772344"/>
    <w:rsid w:val="118E286E"/>
    <w:rsid w:val="11C823E8"/>
    <w:rsid w:val="11E06E41"/>
    <w:rsid w:val="11EC57E6"/>
    <w:rsid w:val="11F363D9"/>
    <w:rsid w:val="122E7A41"/>
    <w:rsid w:val="12672813"/>
    <w:rsid w:val="12755990"/>
    <w:rsid w:val="12940635"/>
    <w:rsid w:val="1295698D"/>
    <w:rsid w:val="12D419D7"/>
    <w:rsid w:val="12DE553C"/>
    <w:rsid w:val="12F9443C"/>
    <w:rsid w:val="13073669"/>
    <w:rsid w:val="135D4BEE"/>
    <w:rsid w:val="13623FB2"/>
    <w:rsid w:val="136E1463"/>
    <w:rsid w:val="13A740BB"/>
    <w:rsid w:val="13AA52FD"/>
    <w:rsid w:val="13D85238"/>
    <w:rsid w:val="143F42F3"/>
    <w:rsid w:val="144638D4"/>
    <w:rsid w:val="14506500"/>
    <w:rsid w:val="14800D0E"/>
    <w:rsid w:val="14860F5C"/>
    <w:rsid w:val="148F485D"/>
    <w:rsid w:val="14F0383F"/>
    <w:rsid w:val="15416A46"/>
    <w:rsid w:val="155A143B"/>
    <w:rsid w:val="158226E9"/>
    <w:rsid w:val="15C74986"/>
    <w:rsid w:val="161C0D90"/>
    <w:rsid w:val="1625472E"/>
    <w:rsid w:val="16683AEA"/>
    <w:rsid w:val="1680660F"/>
    <w:rsid w:val="168274F9"/>
    <w:rsid w:val="16875606"/>
    <w:rsid w:val="16D323B4"/>
    <w:rsid w:val="17000E9D"/>
    <w:rsid w:val="17085BA2"/>
    <w:rsid w:val="173619DD"/>
    <w:rsid w:val="174A7092"/>
    <w:rsid w:val="17506D42"/>
    <w:rsid w:val="176302F9"/>
    <w:rsid w:val="177B05D7"/>
    <w:rsid w:val="177C3E66"/>
    <w:rsid w:val="179E534A"/>
    <w:rsid w:val="17AF5662"/>
    <w:rsid w:val="17E307D5"/>
    <w:rsid w:val="18111CA0"/>
    <w:rsid w:val="1849635E"/>
    <w:rsid w:val="187471D8"/>
    <w:rsid w:val="189302EB"/>
    <w:rsid w:val="18932F7E"/>
    <w:rsid w:val="189B4B77"/>
    <w:rsid w:val="18AD0F2F"/>
    <w:rsid w:val="18C70EAA"/>
    <w:rsid w:val="18C7119E"/>
    <w:rsid w:val="18CC2AFA"/>
    <w:rsid w:val="18D019BE"/>
    <w:rsid w:val="18D57C51"/>
    <w:rsid w:val="191537E6"/>
    <w:rsid w:val="192A5572"/>
    <w:rsid w:val="19A1335A"/>
    <w:rsid w:val="19BC3983"/>
    <w:rsid w:val="19E4093E"/>
    <w:rsid w:val="1A044015"/>
    <w:rsid w:val="1A4117E7"/>
    <w:rsid w:val="1AB16873"/>
    <w:rsid w:val="1AE14356"/>
    <w:rsid w:val="1AF851FC"/>
    <w:rsid w:val="1BBF5B54"/>
    <w:rsid w:val="1BE91714"/>
    <w:rsid w:val="1C217146"/>
    <w:rsid w:val="1C2633D9"/>
    <w:rsid w:val="1C73177E"/>
    <w:rsid w:val="1D2247B2"/>
    <w:rsid w:val="1D3369BF"/>
    <w:rsid w:val="1D4D0E85"/>
    <w:rsid w:val="1D8A65A3"/>
    <w:rsid w:val="1DB45D52"/>
    <w:rsid w:val="1DD90004"/>
    <w:rsid w:val="1DF04AAB"/>
    <w:rsid w:val="1E0740D4"/>
    <w:rsid w:val="1E53364C"/>
    <w:rsid w:val="1E5E7214"/>
    <w:rsid w:val="1E796654"/>
    <w:rsid w:val="1E951CA6"/>
    <w:rsid w:val="1EAA503A"/>
    <w:rsid w:val="1EB904D1"/>
    <w:rsid w:val="1EF83A1C"/>
    <w:rsid w:val="1F36117D"/>
    <w:rsid w:val="1F5E34F9"/>
    <w:rsid w:val="1F7E6617"/>
    <w:rsid w:val="1F975FD1"/>
    <w:rsid w:val="1FF00B97"/>
    <w:rsid w:val="201C628E"/>
    <w:rsid w:val="20250841"/>
    <w:rsid w:val="20427C19"/>
    <w:rsid w:val="206B3E97"/>
    <w:rsid w:val="20D01822"/>
    <w:rsid w:val="20DA2D92"/>
    <w:rsid w:val="20F621DE"/>
    <w:rsid w:val="21661111"/>
    <w:rsid w:val="217D3987"/>
    <w:rsid w:val="21B553BE"/>
    <w:rsid w:val="21BC5F19"/>
    <w:rsid w:val="21C50BBD"/>
    <w:rsid w:val="22313A22"/>
    <w:rsid w:val="22383E1D"/>
    <w:rsid w:val="227D2BB6"/>
    <w:rsid w:val="229D7F0B"/>
    <w:rsid w:val="22CE71A1"/>
    <w:rsid w:val="22DB78DD"/>
    <w:rsid w:val="23070620"/>
    <w:rsid w:val="23275843"/>
    <w:rsid w:val="233D062B"/>
    <w:rsid w:val="23440F61"/>
    <w:rsid w:val="23554550"/>
    <w:rsid w:val="23770D4A"/>
    <w:rsid w:val="238D1A84"/>
    <w:rsid w:val="23D5257E"/>
    <w:rsid w:val="23FD4163"/>
    <w:rsid w:val="24291FD2"/>
    <w:rsid w:val="2442344A"/>
    <w:rsid w:val="24540A05"/>
    <w:rsid w:val="245E2BBB"/>
    <w:rsid w:val="24917819"/>
    <w:rsid w:val="24D74E25"/>
    <w:rsid w:val="25146AE7"/>
    <w:rsid w:val="25164EFE"/>
    <w:rsid w:val="25272DBE"/>
    <w:rsid w:val="254415BD"/>
    <w:rsid w:val="25951FC5"/>
    <w:rsid w:val="259D1DA2"/>
    <w:rsid w:val="25C44658"/>
    <w:rsid w:val="25CC204F"/>
    <w:rsid w:val="25F45246"/>
    <w:rsid w:val="25FB2373"/>
    <w:rsid w:val="265B50AA"/>
    <w:rsid w:val="265C2AE3"/>
    <w:rsid w:val="26955FF5"/>
    <w:rsid w:val="27101C89"/>
    <w:rsid w:val="27127645"/>
    <w:rsid w:val="27267411"/>
    <w:rsid w:val="273A74E3"/>
    <w:rsid w:val="279462AC"/>
    <w:rsid w:val="27C113AB"/>
    <w:rsid w:val="27CA2256"/>
    <w:rsid w:val="27CC3C98"/>
    <w:rsid w:val="27D6563D"/>
    <w:rsid w:val="27D77085"/>
    <w:rsid w:val="28123F0C"/>
    <w:rsid w:val="283C0E1E"/>
    <w:rsid w:val="28814A83"/>
    <w:rsid w:val="28E256E9"/>
    <w:rsid w:val="28EB2280"/>
    <w:rsid w:val="29017971"/>
    <w:rsid w:val="290C4E0E"/>
    <w:rsid w:val="292C28FD"/>
    <w:rsid w:val="29755C72"/>
    <w:rsid w:val="29AA0009"/>
    <w:rsid w:val="29C7761A"/>
    <w:rsid w:val="29E53ACC"/>
    <w:rsid w:val="2A602560"/>
    <w:rsid w:val="2A6F54DA"/>
    <w:rsid w:val="2A830F86"/>
    <w:rsid w:val="2A900FAD"/>
    <w:rsid w:val="2A9F3F97"/>
    <w:rsid w:val="2AB27175"/>
    <w:rsid w:val="2ABA28DB"/>
    <w:rsid w:val="2AC05D36"/>
    <w:rsid w:val="2AC77D05"/>
    <w:rsid w:val="2AC84BEB"/>
    <w:rsid w:val="2B062D4C"/>
    <w:rsid w:val="2B0825F5"/>
    <w:rsid w:val="2B110340"/>
    <w:rsid w:val="2B554F69"/>
    <w:rsid w:val="2B816CF2"/>
    <w:rsid w:val="2B99711B"/>
    <w:rsid w:val="2C5348C6"/>
    <w:rsid w:val="2C893D2C"/>
    <w:rsid w:val="2C9249D0"/>
    <w:rsid w:val="2CA92F00"/>
    <w:rsid w:val="2D6F524F"/>
    <w:rsid w:val="2D990AC0"/>
    <w:rsid w:val="2DD41206"/>
    <w:rsid w:val="2DE955A4"/>
    <w:rsid w:val="2DF40EEC"/>
    <w:rsid w:val="2E02359D"/>
    <w:rsid w:val="2E124C55"/>
    <w:rsid w:val="2E4938E1"/>
    <w:rsid w:val="2E736DC3"/>
    <w:rsid w:val="2E96604E"/>
    <w:rsid w:val="2EBC6814"/>
    <w:rsid w:val="2EE10029"/>
    <w:rsid w:val="2EE218F4"/>
    <w:rsid w:val="2F0A385F"/>
    <w:rsid w:val="2F2E5C30"/>
    <w:rsid w:val="2F3E0D37"/>
    <w:rsid w:val="2F7F0C0C"/>
    <w:rsid w:val="2F9B63A6"/>
    <w:rsid w:val="2FFC411B"/>
    <w:rsid w:val="300A1092"/>
    <w:rsid w:val="305A62E5"/>
    <w:rsid w:val="306B1DCE"/>
    <w:rsid w:val="30B5176D"/>
    <w:rsid w:val="3122159C"/>
    <w:rsid w:val="31293F09"/>
    <w:rsid w:val="313341CE"/>
    <w:rsid w:val="313B74D9"/>
    <w:rsid w:val="31547BE0"/>
    <w:rsid w:val="31644F41"/>
    <w:rsid w:val="31815549"/>
    <w:rsid w:val="318E58E2"/>
    <w:rsid w:val="318F1FBE"/>
    <w:rsid w:val="31B859B9"/>
    <w:rsid w:val="31D62845"/>
    <w:rsid w:val="31D81F5B"/>
    <w:rsid w:val="323403AB"/>
    <w:rsid w:val="3239017C"/>
    <w:rsid w:val="32470AEB"/>
    <w:rsid w:val="326F3B9E"/>
    <w:rsid w:val="32A11D50"/>
    <w:rsid w:val="32BE7506"/>
    <w:rsid w:val="32BF0681"/>
    <w:rsid w:val="332350B4"/>
    <w:rsid w:val="334039A9"/>
    <w:rsid w:val="334864B3"/>
    <w:rsid w:val="335C3159"/>
    <w:rsid w:val="33661445"/>
    <w:rsid w:val="33842749"/>
    <w:rsid w:val="33C70135"/>
    <w:rsid w:val="33C87A09"/>
    <w:rsid w:val="34340270"/>
    <w:rsid w:val="346A6D13"/>
    <w:rsid w:val="34732F46"/>
    <w:rsid w:val="348558FB"/>
    <w:rsid w:val="34880F47"/>
    <w:rsid w:val="34B71D68"/>
    <w:rsid w:val="34BB7B89"/>
    <w:rsid w:val="350F5B6C"/>
    <w:rsid w:val="355C3389"/>
    <w:rsid w:val="35BC359E"/>
    <w:rsid w:val="35C326F4"/>
    <w:rsid w:val="35C6441D"/>
    <w:rsid w:val="36086404"/>
    <w:rsid w:val="361909F0"/>
    <w:rsid w:val="365657A0"/>
    <w:rsid w:val="367B6D3E"/>
    <w:rsid w:val="367D5C93"/>
    <w:rsid w:val="36897924"/>
    <w:rsid w:val="369D33CF"/>
    <w:rsid w:val="36C00E6C"/>
    <w:rsid w:val="36C60692"/>
    <w:rsid w:val="36D331AF"/>
    <w:rsid w:val="36D6243D"/>
    <w:rsid w:val="36E12307"/>
    <w:rsid w:val="370E5077"/>
    <w:rsid w:val="371B2A89"/>
    <w:rsid w:val="37691503"/>
    <w:rsid w:val="38155AE7"/>
    <w:rsid w:val="382532DF"/>
    <w:rsid w:val="382B51B3"/>
    <w:rsid w:val="383513E6"/>
    <w:rsid w:val="38671772"/>
    <w:rsid w:val="386D0B7F"/>
    <w:rsid w:val="388F5AD6"/>
    <w:rsid w:val="38924B76"/>
    <w:rsid w:val="38E5107C"/>
    <w:rsid w:val="38E51657"/>
    <w:rsid w:val="391145FC"/>
    <w:rsid w:val="39511289"/>
    <w:rsid w:val="39FF7C53"/>
    <w:rsid w:val="3A0A28E8"/>
    <w:rsid w:val="3A184F1A"/>
    <w:rsid w:val="3A25176E"/>
    <w:rsid w:val="3A5809C7"/>
    <w:rsid w:val="3A581B34"/>
    <w:rsid w:val="3A6B10EF"/>
    <w:rsid w:val="3A9C574C"/>
    <w:rsid w:val="3A9E07C2"/>
    <w:rsid w:val="3AB17449"/>
    <w:rsid w:val="3AD43351"/>
    <w:rsid w:val="3B35796D"/>
    <w:rsid w:val="3B484AF6"/>
    <w:rsid w:val="3B6B7401"/>
    <w:rsid w:val="3B893F22"/>
    <w:rsid w:val="3BCE5995"/>
    <w:rsid w:val="3BE92AC7"/>
    <w:rsid w:val="3C9936F7"/>
    <w:rsid w:val="3CC53744"/>
    <w:rsid w:val="3CE54549"/>
    <w:rsid w:val="3D3B03CD"/>
    <w:rsid w:val="3D5D7415"/>
    <w:rsid w:val="3DB04E22"/>
    <w:rsid w:val="3DF27102"/>
    <w:rsid w:val="3E18470A"/>
    <w:rsid w:val="3E3E5FC7"/>
    <w:rsid w:val="3E4405D4"/>
    <w:rsid w:val="3E44690E"/>
    <w:rsid w:val="3E612450"/>
    <w:rsid w:val="3E650612"/>
    <w:rsid w:val="3E7321A6"/>
    <w:rsid w:val="3E816879"/>
    <w:rsid w:val="3EA03EF3"/>
    <w:rsid w:val="3EBC016B"/>
    <w:rsid w:val="3EE17BD1"/>
    <w:rsid w:val="3F1E5B35"/>
    <w:rsid w:val="3F4D0FE9"/>
    <w:rsid w:val="3F834C62"/>
    <w:rsid w:val="3F9133A5"/>
    <w:rsid w:val="3FC05233"/>
    <w:rsid w:val="3FD61B66"/>
    <w:rsid w:val="4006436D"/>
    <w:rsid w:val="40527233"/>
    <w:rsid w:val="40C61D54"/>
    <w:rsid w:val="40D071B9"/>
    <w:rsid w:val="41190A4F"/>
    <w:rsid w:val="411A0595"/>
    <w:rsid w:val="415359AB"/>
    <w:rsid w:val="41862D01"/>
    <w:rsid w:val="41865964"/>
    <w:rsid w:val="418A0CA3"/>
    <w:rsid w:val="41910DAD"/>
    <w:rsid w:val="41BF1206"/>
    <w:rsid w:val="4278084D"/>
    <w:rsid w:val="427F0906"/>
    <w:rsid w:val="42911529"/>
    <w:rsid w:val="42DE0FF8"/>
    <w:rsid w:val="42F9184C"/>
    <w:rsid w:val="42FB58A0"/>
    <w:rsid w:val="43345346"/>
    <w:rsid w:val="433B05B1"/>
    <w:rsid w:val="433B1FA6"/>
    <w:rsid w:val="433E3D91"/>
    <w:rsid w:val="438020AF"/>
    <w:rsid w:val="43943152"/>
    <w:rsid w:val="43A31847"/>
    <w:rsid w:val="43DA6864"/>
    <w:rsid w:val="43EC42B9"/>
    <w:rsid w:val="442F1898"/>
    <w:rsid w:val="444A4B8D"/>
    <w:rsid w:val="446C069E"/>
    <w:rsid w:val="44E81CBA"/>
    <w:rsid w:val="4508410A"/>
    <w:rsid w:val="45336CAD"/>
    <w:rsid w:val="453E238D"/>
    <w:rsid w:val="45561319"/>
    <w:rsid w:val="45E43E6E"/>
    <w:rsid w:val="460A5C60"/>
    <w:rsid w:val="4610261B"/>
    <w:rsid w:val="464C0D55"/>
    <w:rsid w:val="464D790E"/>
    <w:rsid w:val="46591B90"/>
    <w:rsid w:val="46E666CD"/>
    <w:rsid w:val="472E5F22"/>
    <w:rsid w:val="475D3E27"/>
    <w:rsid w:val="47705F96"/>
    <w:rsid w:val="47841A42"/>
    <w:rsid w:val="478B4DBB"/>
    <w:rsid w:val="47FE6A48"/>
    <w:rsid w:val="481B23CA"/>
    <w:rsid w:val="48331087"/>
    <w:rsid w:val="48907EA5"/>
    <w:rsid w:val="48BD20D9"/>
    <w:rsid w:val="48E44E8E"/>
    <w:rsid w:val="492D3591"/>
    <w:rsid w:val="49A27AC4"/>
    <w:rsid w:val="49BA50C8"/>
    <w:rsid w:val="49E862B8"/>
    <w:rsid w:val="4A056759"/>
    <w:rsid w:val="4A734D89"/>
    <w:rsid w:val="4A765773"/>
    <w:rsid w:val="4AB330F6"/>
    <w:rsid w:val="4B1650A7"/>
    <w:rsid w:val="4B4C2C2A"/>
    <w:rsid w:val="4BAC0BD3"/>
    <w:rsid w:val="4BD50ABE"/>
    <w:rsid w:val="4C0A0B5C"/>
    <w:rsid w:val="4C742085"/>
    <w:rsid w:val="4CA94705"/>
    <w:rsid w:val="4D0B7FC7"/>
    <w:rsid w:val="4D4A3DCB"/>
    <w:rsid w:val="4D5C1590"/>
    <w:rsid w:val="4DA14831"/>
    <w:rsid w:val="4DDC6134"/>
    <w:rsid w:val="4DEC785C"/>
    <w:rsid w:val="4E151645"/>
    <w:rsid w:val="4E191038"/>
    <w:rsid w:val="4E4779A4"/>
    <w:rsid w:val="4E710F72"/>
    <w:rsid w:val="4E834801"/>
    <w:rsid w:val="4EA03605"/>
    <w:rsid w:val="4EA2112B"/>
    <w:rsid w:val="4EA36C51"/>
    <w:rsid w:val="4EBE1CDD"/>
    <w:rsid w:val="4F194537"/>
    <w:rsid w:val="4F196F13"/>
    <w:rsid w:val="4F742288"/>
    <w:rsid w:val="4F90367A"/>
    <w:rsid w:val="4FB8497E"/>
    <w:rsid w:val="4FC7192C"/>
    <w:rsid w:val="502B5150"/>
    <w:rsid w:val="50707007"/>
    <w:rsid w:val="50926F7D"/>
    <w:rsid w:val="50D250BF"/>
    <w:rsid w:val="50E579F5"/>
    <w:rsid w:val="51063B27"/>
    <w:rsid w:val="512C1731"/>
    <w:rsid w:val="51C0069E"/>
    <w:rsid w:val="51D450E4"/>
    <w:rsid w:val="51FF131A"/>
    <w:rsid w:val="526606C2"/>
    <w:rsid w:val="528441FF"/>
    <w:rsid w:val="52AD4542"/>
    <w:rsid w:val="52F77B3F"/>
    <w:rsid w:val="53235261"/>
    <w:rsid w:val="532E5C75"/>
    <w:rsid w:val="536B7291"/>
    <w:rsid w:val="53B86CFB"/>
    <w:rsid w:val="53CB18B2"/>
    <w:rsid w:val="53CB3901"/>
    <w:rsid w:val="53CE29C2"/>
    <w:rsid w:val="53E94604"/>
    <w:rsid w:val="542B51E8"/>
    <w:rsid w:val="5472334E"/>
    <w:rsid w:val="547A60F6"/>
    <w:rsid w:val="54F77EBC"/>
    <w:rsid w:val="55142657"/>
    <w:rsid w:val="551E5284"/>
    <w:rsid w:val="551E6B2A"/>
    <w:rsid w:val="552F123F"/>
    <w:rsid w:val="552F7491"/>
    <w:rsid w:val="555C7B5A"/>
    <w:rsid w:val="55834775"/>
    <w:rsid w:val="558A556D"/>
    <w:rsid w:val="559B2D78"/>
    <w:rsid w:val="55B00FE3"/>
    <w:rsid w:val="55EC5382"/>
    <w:rsid w:val="55FA17C1"/>
    <w:rsid w:val="56075F62"/>
    <w:rsid w:val="56287DD8"/>
    <w:rsid w:val="566F2979"/>
    <w:rsid w:val="56890E23"/>
    <w:rsid w:val="569A4AFE"/>
    <w:rsid w:val="56AE2637"/>
    <w:rsid w:val="56B51C18"/>
    <w:rsid w:val="56B7772E"/>
    <w:rsid w:val="56BA5480"/>
    <w:rsid w:val="56DA342C"/>
    <w:rsid w:val="56F92566"/>
    <w:rsid w:val="57BE7047"/>
    <w:rsid w:val="57E461A9"/>
    <w:rsid w:val="57F4292C"/>
    <w:rsid w:val="581B160A"/>
    <w:rsid w:val="58262413"/>
    <w:rsid w:val="584C035A"/>
    <w:rsid w:val="58522281"/>
    <w:rsid w:val="58734C72"/>
    <w:rsid w:val="58852470"/>
    <w:rsid w:val="58C8421A"/>
    <w:rsid w:val="58C9390E"/>
    <w:rsid w:val="58DF7459"/>
    <w:rsid w:val="5932754F"/>
    <w:rsid w:val="593F59DB"/>
    <w:rsid w:val="59AD782F"/>
    <w:rsid w:val="59BB5797"/>
    <w:rsid w:val="5A366BCB"/>
    <w:rsid w:val="5A484BB2"/>
    <w:rsid w:val="5A551748"/>
    <w:rsid w:val="5A843EBD"/>
    <w:rsid w:val="5A9F29C3"/>
    <w:rsid w:val="5AA224B3"/>
    <w:rsid w:val="5ABF0594"/>
    <w:rsid w:val="5AC57E48"/>
    <w:rsid w:val="5AD92808"/>
    <w:rsid w:val="5AE229A3"/>
    <w:rsid w:val="5AF32F23"/>
    <w:rsid w:val="5B56278C"/>
    <w:rsid w:val="5B7F4BA3"/>
    <w:rsid w:val="5B81031A"/>
    <w:rsid w:val="5B815756"/>
    <w:rsid w:val="5BCB3564"/>
    <w:rsid w:val="5BD957A7"/>
    <w:rsid w:val="5BF049B0"/>
    <w:rsid w:val="5BFC4D5E"/>
    <w:rsid w:val="5C0827EA"/>
    <w:rsid w:val="5C2C110F"/>
    <w:rsid w:val="5C741607"/>
    <w:rsid w:val="5C8C62A8"/>
    <w:rsid w:val="5CAC13C7"/>
    <w:rsid w:val="5CDC1CAC"/>
    <w:rsid w:val="5D35142F"/>
    <w:rsid w:val="5D4B5084"/>
    <w:rsid w:val="5D4D678A"/>
    <w:rsid w:val="5DB6074F"/>
    <w:rsid w:val="5DC60D12"/>
    <w:rsid w:val="5DEF7499"/>
    <w:rsid w:val="5DF870DB"/>
    <w:rsid w:val="5E0019CA"/>
    <w:rsid w:val="5E1216FE"/>
    <w:rsid w:val="5E941919"/>
    <w:rsid w:val="5E9F5687"/>
    <w:rsid w:val="5EBD70D2"/>
    <w:rsid w:val="5EDA046D"/>
    <w:rsid w:val="5EFF5EF7"/>
    <w:rsid w:val="5F3A19DD"/>
    <w:rsid w:val="5F3C4C84"/>
    <w:rsid w:val="5F3F3DA7"/>
    <w:rsid w:val="5F41673E"/>
    <w:rsid w:val="5F6E6E08"/>
    <w:rsid w:val="5F8D7D46"/>
    <w:rsid w:val="5F952EC1"/>
    <w:rsid w:val="5FDE5D3B"/>
    <w:rsid w:val="5FE64732"/>
    <w:rsid w:val="5FE74BAB"/>
    <w:rsid w:val="5FFB68ED"/>
    <w:rsid w:val="6045351B"/>
    <w:rsid w:val="60591866"/>
    <w:rsid w:val="60932915"/>
    <w:rsid w:val="60BE4C2B"/>
    <w:rsid w:val="60D24390"/>
    <w:rsid w:val="60DF7FBD"/>
    <w:rsid w:val="611063C8"/>
    <w:rsid w:val="613F0E54"/>
    <w:rsid w:val="614B7400"/>
    <w:rsid w:val="61651BD7"/>
    <w:rsid w:val="617F52FC"/>
    <w:rsid w:val="6189617B"/>
    <w:rsid w:val="61D77A56"/>
    <w:rsid w:val="61DE0DC8"/>
    <w:rsid w:val="61E0345C"/>
    <w:rsid w:val="61F555BE"/>
    <w:rsid w:val="62165C60"/>
    <w:rsid w:val="627E3805"/>
    <w:rsid w:val="628726D3"/>
    <w:rsid w:val="62A741E6"/>
    <w:rsid w:val="62C54F90"/>
    <w:rsid w:val="62CE41FE"/>
    <w:rsid w:val="62EE66A6"/>
    <w:rsid w:val="631B690C"/>
    <w:rsid w:val="632048BD"/>
    <w:rsid w:val="63415115"/>
    <w:rsid w:val="63A614B8"/>
    <w:rsid w:val="63AA27F0"/>
    <w:rsid w:val="63C31D98"/>
    <w:rsid w:val="63CE6105"/>
    <w:rsid w:val="63DC1D65"/>
    <w:rsid w:val="63E402AC"/>
    <w:rsid w:val="63F60B61"/>
    <w:rsid w:val="64080170"/>
    <w:rsid w:val="641A04D3"/>
    <w:rsid w:val="646D1D84"/>
    <w:rsid w:val="64AC4EAD"/>
    <w:rsid w:val="64C179D9"/>
    <w:rsid w:val="64D21465"/>
    <w:rsid w:val="64D92F75"/>
    <w:rsid w:val="64EA7396"/>
    <w:rsid w:val="64EB4050"/>
    <w:rsid w:val="64EC16A4"/>
    <w:rsid w:val="650E642B"/>
    <w:rsid w:val="651E51CD"/>
    <w:rsid w:val="658B4EE7"/>
    <w:rsid w:val="658C6239"/>
    <w:rsid w:val="65B732B6"/>
    <w:rsid w:val="65D200F0"/>
    <w:rsid w:val="65E65FB5"/>
    <w:rsid w:val="65EA6980"/>
    <w:rsid w:val="663C4239"/>
    <w:rsid w:val="66652149"/>
    <w:rsid w:val="666D606B"/>
    <w:rsid w:val="666D6070"/>
    <w:rsid w:val="66CC2CC9"/>
    <w:rsid w:val="670001AD"/>
    <w:rsid w:val="6712476F"/>
    <w:rsid w:val="673A29F1"/>
    <w:rsid w:val="67786A75"/>
    <w:rsid w:val="677B0B76"/>
    <w:rsid w:val="67892A30"/>
    <w:rsid w:val="678D417C"/>
    <w:rsid w:val="67F72090"/>
    <w:rsid w:val="680C5410"/>
    <w:rsid w:val="680E1188"/>
    <w:rsid w:val="68210EBB"/>
    <w:rsid w:val="68560921"/>
    <w:rsid w:val="685A35F2"/>
    <w:rsid w:val="68927D0C"/>
    <w:rsid w:val="68941085"/>
    <w:rsid w:val="68F24605"/>
    <w:rsid w:val="68F84811"/>
    <w:rsid w:val="690658A1"/>
    <w:rsid w:val="69603C65"/>
    <w:rsid w:val="697C351F"/>
    <w:rsid w:val="697F233D"/>
    <w:rsid w:val="69890289"/>
    <w:rsid w:val="69EA68DE"/>
    <w:rsid w:val="6A06436E"/>
    <w:rsid w:val="6A0A5B78"/>
    <w:rsid w:val="6A113F65"/>
    <w:rsid w:val="6A8D4E45"/>
    <w:rsid w:val="6A953B9B"/>
    <w:rsid w:val="6A98507A"/>
    <w:rsid w:val="6AA95198"/>
    <w:rsid w:val="6AE262BA"/>
    <w:rsid w:val="6B133BD4"/>
    <w:rsid w:val="6B2B79C9"/>
    <w:rsid w:val="6B3A73C5"/>
    <w:rsid w:val="6B421F06"/>
    <w:rsid w:val="6B476E8A"/>
    <w:rsid w:val="6BA545A9"/>
    <w:rsid w:val="6BA64490"/>
    <w:rsid w:val="6BB90163"/>
    <w:rsid w:val="6BBB33DE"/>
    <w:rsid w:val="6C021003"/>
    <w:rsid w:val="6C0B78D1"/>
    <w:rsid w:val="6C1D2EDA"/>
    <w:rsid w:val="6C88775B"/>
    <w:rsid w:val="6C8D48B2"/>
    <w:rsid w:val="6C8D5339"/>
    <w:rsid w:val="6CAF0CC0"/>
    <w:rsid w:val="6CC47703"/>
    <w:rsid w:val="6CD26C28"/>
    <w:rsid w:val="6CD50F40"/>
    <w:rsid w:val="6CF2294A"/>
    <w:rsid w:val="6D09076D"/>
    <w:rsid w:val="6D373F21"/>
    <w:rsid w:val="6D414368"/>
    <w:rsid w:val="6D69549E"/>
    <w:rsid w:val="6D9A41BE"/>
    <w:rsid w:val="6DA93E2C"/>
    <w:rsid w:val="6DD53640"/>
    <w:rsid w:val="6DDD7F98"/>
    <w:rsid w:val="6DF8052E"/>
    <w:rsid w:val="6E3401B8"/>
    <w:rsid w:val="6EEB7D76"/>
    <w:rsid w:val="6F0950CD"/>
    <w:rsid w:val="6F2415F8"/>
    <w:rsid w:val="6F316A46"/>
    <w:rsid w:val="6F3A2314"/>
    <w:rsid w:val="6F51498D"/>
    <w:rsid w:val="6F587780"/>
    <w:rsid w:val="6F5B78D4"/>
    <w:rsid w:val="6F7876B4"/>
    <w:rsid w:val="6FC36713"/>
    <w:rsid w:val="6FC92E20"/>
    <w:rsid w:val="707149AA"/>
    <w:rsid w:val="7088334B"/>
    <w:rsid w:val="709541F4"/>
    <w:rsid w:val="70AE1811"/>
    <w:rsid w:val="7101034A"/>
    <w:rsid w:val="710436F3"/>
    <w:rsid w:val="71096990"/>
    <w:rsid w:val="71181367"/>
    <w:rsid w:val="7129655E"/>
    <w:rsid w:val="712B431E"/>
    <w:rsid w:val="71954990"/>
    <w:rsid w:val="71B92164"/>
    <w:rsid w:val="71D009C8"/>
    <w:rsid w:val="71EC078C"/>
    <w:rsid w:val="71F80EDE"/>
    <w:rsid w:val="72017C83"/>
    <w:rsid w:val="723839D1"/>
    <w:rsid w:val="724C4BF3"/>
    <w:rsid w:val="726519CA"/>
    <w:rsid w:val="728946EE"/>
    <w:rsid w:val="729675CA"/>
    <w:rsid w:val="73091AC8"/>
    <w:rsid w:val="73C753C0"/>
    <w:rsid w:val="73DB3715"/>
    <w:rsid w:val="74336B6D"/>
    <w:rsid w:val="743B50B2"/>
    <w:rsid w:val="74B96F49"/>
    <w:rsid w:val="74C612F4"/>
    <w:rsid w:val="75095ACB"/>
    <w:rsid w:val="751C24CC"/>
    <w:rsid w:val="75344494"/>
    <w:rsid w:val="758666A6"/>
    <w:rsid w:val="758C1D32"/>
    <w:rsid w:val="75C27C9A"/>
    <w:rsid w:val="75C40F31"/>
    <w:rsid w:val="75C50F84"/>
    <w:rsid w:val="75CD75E0"/>
    <w:rsid w:val="75D91027"/>
    <w:rsid w:val="75E50E4E"/>
    <w:rsid w:val="7614205F"/>
    <w:rsid w:val="76204CBB"/>
    <w:rsid w:val="763E3B37"/>
    <w:rsid w:val="771450F9"/>
    <w:rsid w:val="772B3B04"/>
    <w:rsid w:val="77456248"/>
    <w:rsid w:val="774C2801"/>
    <w:rsid w:val="77813724"/>
    <w:rsid w:val="77A318EC"/>
    <w:rsid w:val="77B2085A"/>
    <w:rsid w:val="77EA06EC"/>
    <w:rsid w:val="784A1D68"/>
    <w:rsid w:val="784C276C"/>
    <w:rsid w:val="78573ADA"/>
    <w:rsid w:val="78CF226D"/>
    <w:rsid w:val="78D35A79"/>
    <w:rsid w:val="78E42141"/>
    <w:rsid w:val="78F65A4C"/>
    <w:rsid w:val="790E548B"/>
    <w:rsid w:val="795D31F5"/>
    <w:rsid w:val="79704C41"/>
    <w:rsid w:val="798968C0"/>
    <w:rsid w:val="799671DA"/>
    <w:rsid w:val="79B37DE1"/>
    <w:rsid w:val="79F93E22"/>
    <w:rsid w:val="7A283A7D"/>
    <w:rsid w:val="7A5924D4"/>
    <w:rsid w:val="7A6D6ED2"/>
    <w:rsid w:val="7AAF6D56"/>
    <w:rsid w:val="7AEA25F7"/>
    <w:rsid w:val="7B1D1ABC"/>
    <w:rsid w:val="7B2B5A53"/>
    <w:rsid w:val="7B75361D"/>
    <w:rsid w:val="7B9854E0"/>
    <w:rsid w:val="7BB01BFF"/>
    <w:rsid w:val="7C1A6EF7"/>
    <w:rsid w:val="7C3A4157"/>
    <w:rsid w:val="7CA50A98"/>
    <w:rsid w:val="7CB07CB6"/>
    <w:rsid w:val="7CBA4FE2"/>
    <w:rsid w:val="7CE50938"/>
    <w:rsid w:val="7D146DE8"/>
    <w:rsid w:val="7D1978AF"/>
    <w:rsid w:val="7D4C3C39"/>
    <w:rsid w:val="7D656C97"/>
    <w:rsid w:val="7D675700"/>
    <w:rsid w:val="7D745FB7"/>
    <w:rsid w:val="7D774D25"/>
    <w:rsid w:val="7DB67EA0"/>
    <w:rsid w:val="7DCE66D5"/>
    <w:rsid w:val="7DE71E07"/>
    <w:rsid w:val="7DFC3B04"/>
    <w:rsid w:val="7E4C7A6B"/>
    <w:rsid w:val="7E6831BC"/>
    <w:rsid w:val="7E81400A"/>
    <w:rsid w:val="7EA72B09"/>
    <w:rsid w:val="7EB77A2B"/>
    <w:rsid w:val="7EBA751C"/>
    <w:rsid w:val="7EDB29C3"/>
    <w:rsid w:val="7F17671C"/>
    <w:rsid w:val="7F2C0419"/>
    <w:rsid w:val="7F3C4031"/>
    <w:rsid w:val="7F62208D"/>
    <w:rsid w:val="7F7114C0"/>
    <w:rsid w:val="7FAE7B28"/>
    <w:rsid w:val="7FBF3500"/>
    <w:rsid w:val="7FE43F48"/>
    <w:rsid w:val="7FE7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6"/>
    <w:autoRedefine/>
    <w:qFormat/>
    <w:uiPriority w:val="0"/>
    <w:pPr>
      <w:keepNext/>
      <w:keepLines/>
      <w:spacing w:before="280" w:after="290" w:line="376" w:lineRule="auto"/>
      <w:outlineLvl w:val="3"/>
    </w:pPr>
    <w:rPr>
      <w:rFonts w:ascii="Cambria" w:hAnsi="Cambria" w:eastAsia="宋体" w:cs="Times New Roman"/>
      <w:b/>
      <w:bCs/>
      <w:color w:val="auto"/>
      <w:kern w:val="2"/>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Plain Text"/>
    <w:basedOn w:val="1"/>
    <w:next w:val="1"/>
    <w:qFormat/>
    <w:uiPriority w:val="0"/>
    <w:rPr>
      <w:sz w:val="24"/>
      <w:szCs w:val="20"/>
    </w:rPr>
  </w:style>
  <w:style w:type="paragraph" w:styleId="7">
    <w:name w:val="Normal Indent"/>
    <w:basedOn w:val="1"/>
    <w:next w:val="8"/>
    <w:autoRedefine/>
    <w:qFormat/>
    <w:uiPriority w:val="0"/>
    <w:pPr>
      <w:ind w:firstLine="420"/>
    </w:pPr>
    <w:rPr>
      <w:szCs w:val="20"/>
    </w:rPr>
  </w:style>
  <w:style w:type="paragraph" w:styleId="8">
    <w:name w:val="Body Text Indent"/>
    <w:basedOn w:val="1"/>
    <w:next w:val="7"/>
    <w:qFormat/>
    <w:uiPriority w:val="0"/>
    <w:pPr>
      <w:spacing w:after="120"/>
      <w:ind w:left="420" w:leftChars="200"/>
    </w:pPr>
  </w:style>
  <w:style w:type="paragraph" w:styleId="9">
    <w:name w:val="Document Map"/>
    <w:basedOn w:val="1"/>
    <w:qFormat/>
    <w:uiPriority w:val="0"/>
    <w:rPr>
      <w:rFonts w:ascii="Helvetica" w:hAnsi="Helvetica"/>
      <w:sz w:val="24"/>
    </w:rPr>
  </w:style>
  <w:style w:type="paragraph" w:styleId="10">
    <w:name w:val="toa heading"/>
    <w:basedOn w:val="1"/>
    <w:next w:val="1"/>
    <w:qFormat/>
    <w:uiPriority w:val="0"/>
    <w:pPr>
      <w:spacing w:before="120"/>
    </w:pPr>
    <w:rPr>
      <w:rFonts w:ascii="Arial" w:hAnsi="Arial"/>
    </w:rPr>
  </w:style>
  <w:style w:type="paragraph" w:styleId="11">
    <w:name w:val="annotation text"/>
    <w:basedOn w:val="1"/>
    <w:link w:val="71"/>
    <w:qFormat/>
    <w:uiPriority w:val="0"/>
    <w:pPr>
      <w:jc w:val="left"/>
    </w:pPr>
  </w:style>
  <w:style w:type="paragraph" w:styleId="12">
    <w:name w:val="Body Text"/>
    <w:basedOn w:val="1"/>
    <w:next w:val="1"/>
    <w:qFormat/>
    <w:uiPriority w:val="0"/>
    <w:pPr>
      <w:spacing w:after="120"/>
    </w:pPr>
  </w:style>
  <w:style w:type="paragraph" w:styleId="13">
    <w:name w:val="List 2"/>
    <w:basedOn w:val="1"/>
    <w:qFormat/>
    <w:uiPriority w:val="0"/>
    <w:pPr>
      <w:ind w:left="100" w:leftChars="200" w:hanging="200" w:hangingChars="200"/>
    </w:pPr>
  </w:style>
  <w:style w:type="paragraph" w:styleId="14">
    <w:name w:val="Date"/>
    <w:basedOn w:val="1"/>
    <w:next w:val="1"/>
    <w:qFormat/>
    <w:uiPriority w:val="0"/>
    <w:pPr>
      <w:ind w:left="2500" w:leftChars="2500"/>
    </w:pPr>
    <w:rPr>
      <w:rFonts w:eastAsia="楷体_GB2312"/>
      <w:sz w:val="32"/>
      <w:szCs w:val="20"/>
    </w:rPr>
  </w:style>
  <w:style w:type="paragraph" w:styleId="15">
    <w:name w:val="Balloon Text"/>
    <w:basedOn w:val="1"/>
    <w:link w:val="69"/>
    <w:qFormat/>
    <w:uiPriority w:val="0"/>
    <w:rPr>
      <w:sz w:val="18"/>
      <w:szCs w:val="18"/>
    </w:rPr>
  </w:style>
  <w:style w:type="paragraph" w:styleId="16">
    <w:name w:val="footer"/>
    <w:basedOn w:val="1"/>
    <w:next w:val="1"/>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4"/>
    <w:basedOn w:val="1"/>
    <w:next w:val="1"/>
    <w:unhideWhenUsed/>
    <w:qFormat/>
    <w:uiPriority w:val="39"/>
    <w:pPr>
      <w:ind w:left="1260" w:leftChars="600"/>
    </w:pPr>
    <w:rPr>
      <w:rFonts w:ascii="Calibri" w:hAnsi="Calibri"/>
      <w:szCs w:val="22"/>
    </w:rPr>
  </w:style>
  <w:style w:type="paragraph" w:styleId="20">
    <w:name w:val="List"/>
    <w:basedOn w:val="1"/>
    <w:next w:val="1"/>
    <w:unhideWhenUsed/>
    <w:qFormat/>
    <w:uiPriority w:val="0"/>
    <w:pPr>
      <w:topLinePunct/>
      <w:snapToGrid w:val="0"/>
      <w:spacing w:before="160" w:after="160" w:line="240" w:lineRule="atLeast"/>
      <w:ind w:left="200" w:hanging="200" w:hangingChars="200"/>
      <w:jc w:val="left"/>
    </w:pPr>
    <w:rPr>
      <w:szCs w:val="21"/>
    </w:rPr>
  </w:style>
  <w:style w:type="paragraph" w:styleId="21">
    <w:name w:val="toc 6"/>
    <w:basedOn w:val="1"/>
    <w:next w:val="1"/>
    <w:unhideWhenUsed/>
    <w:qFormat/>
    <w:uiPriority w:val="39"/>
    <w:pPr>
      <w:ind w:left="2100" w:leftChars="1000"/>
    </w:pPr>
  </w:style>
  <w:style w:type="paragraph" w:styleId="22">
    <w:name w:val="Body Text Indent 3"/>
    <w:basedOn w:val="1"/>
    <w:qFormat/>
    <w:uiPriority w:val="0"/>
    <w:pPr>
      <w:ind w:firstLine="435"/>
    </w:pPr>
  </w:style>
  <w:style w:type="paragraph" w:styleId="23">
    <w:name w:val="toc 2"/>
    <w:basedOn w:val="1"/>
    <w:next w:val="1"/>
    <w:qFormat/>
    <w:uiPriority w:val="39"/>
    <w:pPr>
      <w:ind w:left="420" w:leftChars="200"/>
    </w:pPr>
  </w:style>
  <w:style w:type="paragraph" w:styleId="24">
    <w:name w:val="Normal (Web)"/>
    <w:basedOn w:val="1"/>
    <w:next w:val="1"/>
    <w:unhideWhenUsed/>
    <w:qFormat/>
    <w:uiPriority w:val="0"/>
    <w:pPr>
      <w:widowControl/>
      <w:spacing w:before="240" w:after="240"/>
      <w:jc w:val="left"/>
    </w:pPr>
    <w:rPr>
      <w:rFonts w:ascii="宋体" w:hAnsi="宋体" w:cs="宋体"/>
      <w:kern w:val="0"/>
      <w:sz w:val="24"/>
    </w:rPr>
  </w:style>
  <w:style w:type="paragraph" w:styleId="25">
    <w:name w:val="annotation subject"/>
    <w:basedOn w:val="11"/>
    <w:next w:val="11"/>
    <w:link w:val="72"/>
    <w:semiHidden/>
    <w:unhideWhenUsed/>
    <w:qFormat/>
    <w:uiPriority w:val="0"/>
    <w:rPr>
      <w:b/>
      <w:bCs/>
    </w:rPr>
  </w:style>
  <w:style w:type="paragraph" w:styleId="26">
    <w:name w:val="Body Text First Indent"/>
    <w:basedOn w:val="12"/>
    <w:next w:val="21"/>
    <w:unhideWhenUsed/>
    <w:qFormat/>
    <w:uiPriority w:val="99"/>
    <w:pPr>
      <w:spacing w:line="360" w:lineRule="auto"/>
      <w:ind w:firstLine="200" w:firstLineChars="200"/>
    </w:pPr>
    <w:rPr>
      <w:rFonts w:ascii="仿宋_GB2312" w:eastAsia="仿宋_GB2312"/>
      <w:bCs/>
      <w:sz w:val="30"/>
    </w:rPr>
  </w:style>
  <w:style w:type="paragraph" w:styleId="27">
    <w:name w:val="Body Text First Indent 2"/>
    <w:basedOn w:val="8"/>
    <w:next w:val="1"/>
    <w:qFormat/>
    <w:uiPriority w:val="0"/>
    <w:pPr>
      <w:autoSpaceDE w:val="0"/>
      <w:autoSpaceDN w:val="0"/>
      <w:adjustRightInd w:val="0"/>
      <w:ind w:firstLine="420" w:firstLineChars="200"/>
      <w:jc w:val="left"/>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Hyperlink"/>
    <w:qFormat/>
    <w:uiPriority w:val="99"/>
    <w:rPr>
      <w:color w:val="0000FF"/>
      <w:u w:val="single"/>
    </w:rPr>
  </w:style>
  <w:style w:type="character" w:styleId="33">
    <w:name w:val="annotation reference"/>
    <w:basedOn w:val="30"/>
    <w:qFormat/>
    <w:uiPriority w:val="0"/>
    <w:rPr>
      <w:sz w:val="21"/>
      <w:szCs w:val="21"/>
    </w:rPr>
  </w:style>
  <w:style w:type="paragraph" w:customStyle="1" w:styleId="34">
    <w:name w:val="Default"/>
    <w:next w:val="35"/>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6">
    <w:name w:val="BodyText1I"/>
    <w:basedOn w:val="37"/>
    <w:next w:val="1"/>
    <w:qFormat/>
    <w:uiPriority w:val="0"/>
    <w:pPr>
      <w:ind w:firstLine="420" w:firstLineChars="100"/>
    </w:pPr>
  </w:style>
  <w:style w:type="paragraph" w:customStyle="1" w:styleId="37">
    <w:name w:val="BodyText"/>
    <w:basedOn w:val="1"/>
    <w:next w:val="38"/>
    <w:qFormat/>
    <w:uiPriority w:val="0"/>
    <w:pPr>
      <w:textAlignment w:val="baseline"/>
    </w:pPr>
    <w:rPr>
      <w:rFonts w:ascii="宋体" w:hAnsi="宋体"/>
      <w:szCs w:val="21"/>
      <w:lang w:val="zh-CN" w:bidi="zh-CN"/>
    </w:rPr>
  </w:style>
  <w:style w:type="paragraph" w:customStyle="1" w:styleId="38">
    <w:name w:val="TOC2"/>
    <w:basedOn w:val="1"/>
    <w:next w:val="1"/>
    <w:qFormat/>
    <w:uiPriority w:val="0"/>
    <w:pPr>
      <w:ind w:left="420" w:leftChars="200"/>
      <w:textAlignment w:val="baseline"/>
    </w:pPr>
  </w:style>
  <w:style w:type="paragraph" w:customStyle="1" w:styleId="39">
    <w:name w:val="表格文字"/>
    <w:next w:val="12"/>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paragraph" w:customStyle="1" w:styleId="40">
    <w:name w:val="样式 表格正文 + 两端对齐"/>
    <w:basedOn w:val="1"/>
    <w:next w:val="41"/>
    <w:qFormat/>
    <w:uiPriority w:val="0"/>
    <w:pPr>
      <w:spacing w:line="300" w:lineRule="auto"/>
    </w:pPr>
  </w:style>
  <w:style w:type="paragraph" w:customStyle="1" w:styleId="41">
    <w:name w:val="正文1"/>
    <w:basedOn w:val="9"/>
    <w:next w:val="1"/>
    <w:qFormat/>
    <w:uiPriority w:val="99"/>
    <w:pPr>
      <w:widowControl/>
      <w:overflowPunct w:val="0"/>
      <w:autoSpaceDE w:val="0"/>
      <w:autoSpaceDN w:val="0"/>
      <w:adjustRightInd w:val="0"/>
      <w:spacing w:line="400" w:lineRule="exact"/>
      <w:textAlignment w:val="baseline"/>
    </w:pPr>
    <w:rPr>
      <w:kern w:val="0"/>
      <w:szCs w:val="20"/>
    </w:rPr>
  </w:style>
  <w:style w:type="paragraph" w:customStyle="1" w:styleId="42">
    <w:name w:val="U_正文2"/>
    <w:basedOn w:val="1"/>
    <w:qFormat/>
    <w:uiPriority w:val="0"/>
    <w:pPr>
      <w:spacing w:beforeLines="10" w:afterLines="10" w:line="300" w:lineRule="auto"/>
    </w:pPr>
    <w:rPr>
      <w:sz w:val="24"/>
      <w:szCs w:val="20"/>
    </w:rPr>
  </w:style>
  <w:style w:type="paragraph" w:customStyle="1" w:styleId="43">
    <w:name w:val="默认段落字体 Para Char Char Char Char Char Char Char Char Char1 Char Char Char Char"/>
    <w:basedOn w:val="1"/>
    <w:qFormat/>
    <w:uiPriority w:val="0"/>
    <w:rPr>
      <w:rFonts w:ascii="Tahoma" w:hAnsi="Tahoma"/>
      <w:sz w:val="24"/>
      <w:szCs w:val="20"/>
    </w:rPr>
  </w:style>
  <w:style w:type="character" w:customStyle="1" w:styleId="44">
    <w:name w:val="font61"/>
    <w:basedOn w:val="30"/>
    <w:qFormat/>
    <w:uiPriority w:val="0"/>
    <w:rPr>
      <w:rFonts w:hint="eastAsia" w:ascii="宋体" w:hAnsi="宋体" w:eastAsia="宋体" w:cs="宋体"/>
      <w:b/>
      <w:bCs/>
      <w:color w:val="000000"/>
      <w:sz w:val="22"/>
      <w:szCs w:val="22"/>
      <w:u w:val="none"/>
    </w:rPr>
  </w:style>
  <w:style w:type="character" w:customStyle="1" w:styleId="45">
    <w:name w:val="font112"/>
    <w:basedOn w:val="30"/>
    <w:qFormat/>
    <w:uiPriority w:val="0"/>
    <w:rPr>
      <w:rFonts w:hint="eastAsia" w:ascii="宋体" w:hAnsi="宋体" w:eastAsia="宋体" w:cs="宋体"/>
      <w:b/>
      <w:bCs/>
      <w:color w:val="000000"/>
      <w:sz w:val="22"/>
      <w:szCs w:val="22"/>
      <w:u w:val="none"/>
    </w:rPr>
  </w:style>
  <w:style w:type="character" w:customStyle="1" w:styleId="46">
    <w:name w:val="font91"/>
    <w:basedOn w:val="30"/>
    <w:qFormat/>
    <w:uiPriority w:val="0"/>
    <w:rPr>
      <w:rFonts w:hint="default" w:ascii="Times New Roman" w:hAnsi="Times New Roman" w:cs="Times New Roman"/>
      <w:color w:val="000000"/>
      <w:sz w:val="22"/>
      <w:szCs w:val="22"/>
      <w:u w:val="none"/>
    </w:rPr>
  </w:style>
  <w:style w:type="character" w:customStyle="1" w:styleId="47">
    <w:name w:val="font121"/>
    <w:basedOn w:val="30"/>
    <w:qFormat/>
    <w:uiPriority w:val="0"/>
    <w:rPr>
      <w:rFonts w:hint="eastAsia" w:ascii="宋体" w:hAnsi="宋体" w:eastAsia="宋体" w:cs="宋体"/>
      <w:color w:val="000000"/>
      <w:sz w:val="22"/>
      <w:szCs w:val="22"/>
      <w:u w:val="none"/>
    </w:rPr>
  </w:style>
  <w:style w:type="character" w:customStyle="1" w:styleId="48">
    <w:name w:val="font01"/>
    <w:basedOn w:val="30"/>
    <w:qFormat/>
    <w:uiPriority w:val="0"/>
    <w:rPr>
      <w:rFonts w:hint="eastAsia" w:ascii="宋体" w:hAnsi="宋体" w:eastAsia="宋体" w:cs="宋体"/>
      <w:color w:val="000000"/>
      <w:sz w:val="22"/>
      <w:szCs w:val="22"/>
      <w:u w:val="none"/>
    </w:rPr>
  </w:style>
  <w:style w:type="character" w:customStyle="1" w:styleId="49">
    <w:name w:val="font81"/>
    <w:basedOn w:val="30"/>
    <w:qFormat/>
    <w:uiPriority w:val="0"/>
    <w:rPr>
      <w:rFonts w:hint="default" w:ascii="Times New Roman" w:hAnsi="Times New Roman" w:cs="Times New Roman"/>
      <w:color w:val="000000"/>
      <w:sz w:val="22"/>
      <w:szCs w:val="22"/>
      <w:u w:val="none"/>
    </w:rPr>
  </w:style>
  <w:style w:type="character" w:customStyle="1" w:styleId="50">
    <w:name w:val="font41"/>
    <w:basedOn w:val="30"/>
    <w:qFormat/>
    <w:uiPriority w:val="0"/>
    <w:rPr>
      <w:rFonts w:hint="default" w:ascii="Times New Roman" w:hAnsi="Times New Roman" w:cs="Times New Roman"/>
      <w:b/>
      <w:bCs/>
      <w:color w:val="000000"/>
      <w:sz w:val="22"/>
      <w:szCs w:val="22"/>
      <w:u w:val="none"/>
    </w:rPr>
  </w:style>
  <w:style w:type="character" w:customStyle="1" w:styleId="51">
    <w:name w:val="font21"/>
    <w:basedOn w:val="30"/>
    <w:qFormat/>
    <w:uiPriority w:val="0"/>
    <w:rPr>
      <w:rFonts w:hint="default" w:ascii="Times New Roman" w:hAnsi="Times New Roman" w:cs="Times New Roman"/>
      <w:b/>
      <w:bCs/>
      <w:color w:val="FF0000"/>
      <w:sz w:val="22"/>
      <w:szCs w:val="22"/>
      <w:u w:val="none"/>
    </w:rPr>
  </w:style>
  <w:style w:type="character" w:customStyle="1" w:styleId="52">
    <w:name w:val="font181"/>
    <w:basedOn w:val="30"/>
    <w:qFormat/>
    <w:uiPriority w:val="0"/>
    <w:rPr>
      <w:rFonts w:hint="eastAsia" w:ascii="宋体" w:hAnsi="宋体" w:eastAsia="宋体" w:cs="宋体"/>
      <w:b/>
      <w:bCs/>
      <w:color w:val="FF0000"/>
      <w:sz w:val="22"/>
      <w:szCs w:val="22"/>
      <w:u w:val="none"/>
    </w:rPr>
  </w:style>
  <w:style w:type="character" w:customStyle="1" w:styleId="53">
    <w:name w:val="font51"/>
    <w:basedOn w:val="30"/>
    <w:qFormat/>
    <w:uiPriority w:val="0"/>
    <w:rPr>
      <w:rFonts w:hint="default" w:ascii="Times New Roman" w:hAnsi="Times New Roman" w:cs="Times New Roman"/>
      <w:b/>
      <w:bCs/>
      <w:color w:val="000000"/>
      <w:sz w:val="22"/>
      <w:szCs w:val="22"/>
      <w:u w:val="none"/>
    </w:rPr>
  </w:style>
  <w:style w:type="character" w:customStyle="1" w:styleId="54">
    <w:name w:val="font141"/>
    <w:basedOn w:val="30"/>
    <w:qFormat/>
    <w:uiPriority w:val="0"/>
    <w:rPr>
      <w:rFonts w:hint="eastAsia" w:ascii="宋体" w:hAnsi="宋体" w:eastAsia="宋体" w:cs="宋体"/>
      <w:b/>
      <w:bCs/>
      <w:color w:val="000000"/>
      <w:sz w:val="22"/>
      <w:szCs w:val="22"/>
      <w:u w:val="none"/>
    </w:rPr>
  </w:style>
  <w:style w:type="character" w:customStyle="1" w:styleId="55">
    <w:name w:val="font71"/>
    <w:basedOn w:val="30"/>
    <w:qFormat/>
    <w:uiPriority w:val="0"/>
    <w:rPr>
      <w:rFonts w:hint="default" w:ascii="Times New Roman" w:hAnsi="Times New Roman" w:cs="Times New Roman"/>
      <w:color w:val="000000"/>
      <w:sz w:val="22"/>
      <w:szCs w:val="22"/>
      <w:u w:val="none"/>
    </w:rPr>
  </w:style>
  <w:style w:type="character" w:customStyle="1" w:styleId="56">
    <w:name w:val="font101"/>
    <w:basedOn w:val="30"/>
    <w:qFormat/>
    <w:uiPriority w:val="0"/>
    <w:rPr>
      <w:rFonts w:hint="eastAsia" w:ascii="宋体" w:hAnsi="宋体" w:eastAsia="宋体" w:cs="宋体"/>
      <w:b/>
      <w:bCs/>
      <w:color w:val="000000"/>
      <w:sz w:val="22"/>
      <w:szCs w:val="22"/>
      <w:u w:val="none"/>
    </w:rPr>
  </w:style>
  <w:style w:type="character" w:customStyle="1" w:styleId="57">
    <w:name w:val="font31"/>
    <w:basedOn w:val="30"/>
    <w:qFormat/>
    <w:uiPriority w:val="0"/>
    <w:rPr>
      <w:rFonts w:hint="eastAsia" w:ascii="宋体" w:hAnsi="宋体" w:eastAsia="宋体" w:cs="宋体"/>
      <w:color w:val="FF0000"/>
      <w:sz w:val="22"/>
      <w:szCs w:val="22"/>
      <w:u w:val="none"/>
    </w:rPr>
  </w:style>
  <w:style w:type="paragraph" w:styleId="58">
    <w:name w:val="No Spacing"/>
    <w:qFormat/>
    <w:uiPriority w:val="1"/>
    <w:rPr>
      <w:rFonts w:ascii="Calibri" w:hAnsi="Calibri" w:eastAsia="MS Mincho" w:cs="Times New Roman"/>
      <w:sz w:val="24"/>
      <w:szCs w:val="24"/>
      <w:lang w:val="en-US" w:eastAsia="en-US" w:bidi="ar-SA"/>
    </w:rPr>
  </w:style>
  <w:style w:type="character" w:customStyle="1" w:styleId="59">
    <w:name w:val="不明显强调1"/>
    <w:qFormat/>
    <w:uiPriority w:val="19"/>
    <w:rPr>
      <w:i/>
      <w:iCs/>
      <w:color w:val="808080"/>
    </w:rPr>
  </w:style>
  <w:style w:type="character" w:customStyle="1" w:styleId="60">
    <w:name w:val="无"/>
    <w:qFormat/>
    <w:uiPriority w:val="99"/>
  </w:style>
  <w:style w:type="paragraph" w:customStyle="1" w:styleId="61">
    <w:name w:val="表格正文"/>
    <w:qFormat/>
    <w:uiPriority w:val="0"/>
    <w:pPr>
      <w:spacing w:line="360" w:lineRule="auto"/>
      <w:contextualSpacing/>
      <w:jc w:val="both"/>
    </w:pPr>
    <w:rPr>
      <w:rFonts w:ascii="Times New Roman" w:hAnsi="Times New Roman" w:eastAsia="宋体" w:cs="Times New Roman"/>
      <w:kern w:val="2"/>
      <w:sz w:val="21"/>
      <w:szCs w:val="24"/>
      <w:lang w:val="en-US" w:eastAsia="zh-CN" w:bidi="ar-SA"/>
    </w:rPr>
  </w:style>
  <w:style w:type="table" w:customStyle="1" w:styleId="62">
    <w:name w:val="Table Normal"/>
    <w:semiHidden/>
    <w:unhideWhenUsed/>
    <w:qFormat/>
    <w:uiPriority w:val="0"/>
    <w:tblPr>
      <w:tblCellMar>
        <w:top w:w="0" w:type="dxa"/>
        <w:left w:w="0" w:type="dxa"/>
        <w:bottom w:w="0" w:type="dxa"/>
        <w:right w:w="0" w:type="dxa"/>
      </w:tblCellMar>
    </w:tblPr>
  </w:style>
  <w:style w:type="paragraph" w:styleId="63">
    <w:name w:val="List Paragraph"/>
    <w:basedOn w:val="1"/>
    <w:unhideWhenUsed/>
    <w:qFormat/>
    <w:uiPriority w:val="34"/>
    <w:rPr>
      <w:rFonts w:ascii="Calibri" w:hAnsi="Calibri" w:eastAsia="微软雅黑"/>
    </w:rPr>
  </w:style>
  <w:style w:type="paragraph" w:customStyle="1" w:styleId="64">
    <w:name w:val="表正文"/>
    <w:basedOn w:val="1"/>
    <w:next w:val="63"/>
    <w:qFormat/>
    <w:uiPriority w:val="34"/>
    <w:rPr>
      <w:rFonts w:asciiTheme="minorHAnsi" w:hAnsiTheme="minorHAnsi"/>
    </w:rPr>
  </w:style>
  <w:style w:type="character" w:customStyle="1" w:styleId="65">
    <w:name w:val="NormalCharacter"/>
    <w:qFormat/>
    <w:uiPriority w:val="0"/>
    <w:rPr>
      <w:rFonts w:ascii="Calibri" w:hAnsi="Calibri" w:eastAsia="宋体" w:cs="Times New Roman"/>
      <w:kern w:val="2"/>
      <w:sz w:val="21"/>
      <w:szCs w:val="24"/>
      <w:lang w:val="en-US" w:eastAsia="zh-CN" w:bidi="ar-SA"/>
    </w:rPr>
  </w:style>
  <w:style w:type="paragraph" w:customStyle="1" w:styleId="66">
    <w:name w:val="投标正文"/>
    <w:basedOn w:val="1"/>
    <w:qFormat/>
    <w:uiPriority w:val="0"/>
    <w:pPr>
      <w:ind w:firstLine="425" w:firstLineChars="177"/>
    </w:pPr>
    <w:rPr>
      <w:rFonts w:ascii="Calibri" w:hAnsi="Calibri"/>
    </w:rPr>
  </w:style>
  <w:style w:type="paragraph" w:customStyle="1" w:styleId="67">
    <w:name w:val="列表段落1"/>
    <w:basedOn w:val="1"/>
    <w:qFormat/>
    <w:uiPriority w:val="0"/>
    <w:pPr>
      <w:ind w:firstLine="200" w:firstLineChars="200"/>
    </w:pPr>
    <w:rPr>
      <w:rFonts w:ascii="Calibri" w:hAnsi="Calibri"/>
    </w:rPr>
  </w:style>
  <w:style w:type="paragraph" w:customStyle="1" w:styleId="68">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character" w:customStyle="1" w:styleId="69">
    <w:name w:val="批注框文本 字符"/>
    <w:basedOn w:val="30"/>
    <w:link w:val="15"/>
    <w:qFormat/>
    <w:uiPriority w:val="0"/>
    <w:rPr>
      <w:kern w:val="2"/>
      <w:sz w:val="18"/>
      <w:szCs w:val="18"/>
    </w:rPr>
  </w:style>
  <w:style w:type="paragraph" w:customStyle="1" w:styleId="70">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71">
    <w:name w:val="批注文字 字符"/>
    <w:basedOn w:val="30"/>
    <w:link w:val="11"/>
    <w:qFormat/>
    <w:uiPriority w:val="0"/>
    <w:rPr>
      <w:kern w:val="2"/>
      <w:sz w:val="21"/>
      <w:szCs w:val="24"/>
    </w:rPr>
  </w:style>
  <w:style w:type="character" w:customStyle="1" w:styleId="72">
    <w:name w:val="批注主题 字符"/>
    <w:basedOn w:val="71"/>
    <w:link w:val="25"/>
    <w:semiHidden/>
    <w:qFormat/>
    <w:uiPriority w:val="0"/>
    <w:rPr>
      <w:b/>
      <w:bCs/>
      <w:kern w:val="2"/>
      <w:sz w:val="21"/>
      <w:szCs w:val="24"/>
    </w:rPr>
  </w:style>
  <w:style w:type="paragraph" w:customStyle="1" w:styleId="7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emf"/><Relationship Id="rId21" Type="http://schemas.openxmlformats.org/officeDocument/2006/relationships/oleObject" Target="embeddings/oleObject1.bin"/><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28670</Words>
  <Characters>30612</Characters>
  <Lines>341</Lines>
  <Paragraphs>96</Paragraphs>
  <TotalTime>4</TotalTime>
  <ScaleCrop>false</ScaleCrop>
  <LinksUpToDate>false</LinksUpToDate>
  <CharactersWithSpaces>32143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2022-11-25T02:56:00Z</dcterms:created>
  <dc:creator>Z&amp;Y</dc:creator>
  <cp:lastModifiedBy>韦亮</cp:lastModifiedBy>
  <cp:lastPrinted>2025-01-22T01:58:00Z</cp:lastPrinted>
  <dcterms:modified xsi:type="dcterms:W3CDTF">2025-01-24T08:34:11Z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8AF6394CBA674520A2567EE405BB0BB0_13</vt:lpwstr>
  </property>
  <property fmtid="{D5CDD505-2E9C-101B-9397-08002B2CF9AE}" pid="4" name="KSOTemplateDocerSaveRecord">
    <vt:lpwstr>eyJoZGlkIjoiNjBlMjVhODAxMDQ5MDdlZDVmZDJjNWViZmJiMWFkNzIiLCJ1c2VySWQiOiIxNDM0MTA5ODE4In0=</vt:lpwstr>
  </property>
</Properties>
</file>