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BA9F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b/>
          <w:color w:val="auto"/>
          <w:sz w:val="52"/>
          <w:szCs w:val="52"/>
          <w:highlight w:val="none"/>
          <w:lang w:eastAsia="zh-CN"/>
        </w:rPr>
        <w:t>东阳市鑫盛工程咨询有限公司关于</w:t>
      </w:r>
      <w:r>
        <w:rPr>
          <w:rFonts w:hint="eastAsia" w:ascii="宋体" w:hAnsi="宋体" w:cs="宋体"/>
          <w:b/>
          <w:color w:val="auto"/>
          <w:sz w:val="52"/>
          <w:szCs w:val="52"/>
          <w:highlight w:val="none"/>
          <w:lang w:val="en-US" w:eastAsia="zh-CN"/>
        </w:rPr>
        <w:t>东阳市江北综合医院（东阳市红会医院迁建工程）厨房设备采购项目</w:t>
      </w:r>
    </w:p>
    <w:p w14:paraId="2432160F">
      <w:pPr>
        <w:pStyle w:val="48"/>
        <w:shd w:val="clear"/>
        <w:spacing w:line="360" w:lineRule="auto"/>
        <w:jc w:val="center"/>
        <w:rPr>
          <w:rFonts w:hint="eastAsia" w:ascii="宋体" w:hAnsi="宋体" w:eastAsia="宋体" w:cs="宋体"/>
          <w:color w:val="auto"/>
          <w:highlight w:val="none"/>
          <w:lang w:val="en-US" w:eastAsia="zh-CN"/>
        </w:rPr>
      </w:pPr>
    </w:p>
    <w:p w14:paraId="2374F20C">
      <w:pPr>
        <w:pStyle w:val="48"/>
        <w:shd w:val="clear"/>
        <w:rPr>
          <w:rFonts w:hint="eastAsia" w:ascii="宋体" w:hAnsi="宋体" w:eastAsia="宋体" w:cs="宋体"/>
          <w:color w:val="auto"/>
          <w:highlight w:val="none"/>
          <w:lang w:val="en-US" w:eastAsia="zh-CN"/>
        </w:rPr>
      </w:pPr>
    </w:p>
    <w:p w14:paraId="17ACC5C0">
      <w:pPr>
        <w:pStyle w:val="48"/>
        <w:shd w:val="clear"/>
        <w:rPr>
          <w:rFonts w:hint="eastAsia" w:ascii="宋体" w:hAnsi="宋体" w:eastAsia="宋体" w:cs="宋体"/>
          <w:color w:val="auto"/>
          <w:highlight w:val="none"/>
          <w:lang w:val="en-US" w:eastAsia="zh-CN"/>
        </w:rPr>
      </w:pPr>
    </w:p>
    <w:p w14:paraId="1309387C">
      <w:pPr>
        <w:shd w:val="clear"/>
        <w:rPr>
          <w:rFonts w:hint="eastAsia"/>
          <w:color w:val="auto"/>
          <w:highlight w:val="none"/>
          <w:lang w:val="en-US" w:eastAsia="zh-CN"/>
        </w:rPr>
      </w:pPr>
    </w:p>
    <w:p w14:paraId="5E2FD42A">
      <w:pPr>
        <w:shd w:val="clear"/>
        <w:rPr>
          <w:rFonts w:hint="eastAsia"/>
          <w:color w:val="auto"/>
          <w:highlight w:val="none"/>
          <w:lang w:val="en-US" w:eastAsia="zh-CN"/>
        </w:rPr>
      </w:pPr>
    </w:p>
    <w:p w14:paraId="453018C2">
      <w:pPr>
        <w:keepNext w:val="0"/>
        <w:keepLines w:val="0"/>
        <w:pageBreakBefore w:val="0"/>
        <w:widowControl w:val="0"/>
        <w:shd w:val="clear"/>
        <w:kinsoku/>
        <w:wordWrap/>
        <w:overflowPunct/>
        <w:topLinePunct w:val="0"/>
        <w:autoSpaceDE/>
        <w:autoSpaceDN/>
        <w:bidi w:val="0"/>
        <w:adjustRightInd/>
        <w:snapToGrid/>
        <w:jc w:val="center"/>
        <w:textAlignment w:val="auto"/>
        <w:outlineLvl w:val="9"/>
        <w:rPr>
          <w:rFonts w:hint="default" w:ascii="宋体" w:hAnsi="宋体" w:eastAsia="宋体" w:cs="宋体"/>
          <w:color w:val="auto"/>
          <w:highlight w:val="none"/>
          <w:lang w:val="en-US"/>
        </w:rPr>
      </w:pPr>
      <w:r>
        <w:rPr>
          <w:rFonts w:hint="eastAsia" w:ascii="宋体" w:hAnsi="宋体" w:cs="宋体"/>
          <w:b/>
          <w:color w:val="auto"/>
          <w:kern w:val="0"/>
          <w:sz w:val="72"/>
          <w:szCs w:val="72"/>
          <w:highlight w:val="none"/>
          <w:lang w:val="en-US" w:eastAsia="zh-CN"/>
        </w:rPr>
        <w:t>公开招标文件</w:t>
      </w:r>
    </w:p>
    <w:p w14:paraId="5B3BD5F7">
      <w:pPr>
        <w:shd w:val="clear"/>
        <w:rPr>
          <w:rFonts w:hint="eastAsia" w:ascii="宋体" w:hAnsi="宋体" w:eastAsia="宋体" w:cs="宋体"/>
          <w:color w:val="auto"/>
          <w:highlight w:val="none"/>
        </w:rPr>
      </w:pPr>
    </w:p>
    <w:p w14:paraId="14CEC36F">
      <w:pPr>
        <w:pStyle w:val="48"/>
        <w:shd w:val="clear"/>
        <w:rPr>
          <w:rFonts w:hint="eastAsia" w:ascii="宋体" w:hAnsi="宋体" w:eastAsia="宋体" w:cs="宋体"/>
          <w:color w:val="auto"/>
          <w:highlight w:val="none"/>
        </w:rPr>
      </w:pPr>
    </w:p>
    <w:p w14:paraId="11EF29F4">
      <w:pPr>
        <w:pStyle w:val="48"/>
        <w:shd w:val="clear"/>
        <w:ind w:left="0" w:leftChars="0" w:firstLine="0" w:firstLineChars="0"/>
        <w:rPr>
          <w:rFonts w:hint="eastAsia"/>
          <w:color w:val="auto"/>
          <w:highlight w:val="none"/>
        </w:rPr>
      </w:pPr>
    </w:p>
    <w:p w14:paraId="05812A85">
      <w:pPr>
        <w:pStyle w:val="48"/>
        <w:shd w:val="clear"/>
        <w:rPr>
          <w:rFonts w:hint="eastAsia"/>
          <w:color w:val="auto"/>
          <w:highlight w:val="none"/>
        </w:rPr>
      </w:pPr>
    </w:p>
    <w:p w14:paraId="36A89E0D">
      <w:pPr>
        <w:pStyle w:val="48"/>
        <w:shd w:val="clear"/>
        <w:rPr>
          <w:rFonts w:hint="eastAsia"/>
          <w:color w:val="auto"/>
          <w:highlight w:val="none"/>
        </w:rPr>
      </w:pPr>
    </w:p>
    <w:p w14:paraId="702EAA6A">
      <w:pPr>
        <w:keepNext w:val="0"/>
        <w:keepLines w:val="0"/>
        <w:pageBreakBefore w:val="0"/>
        <w:widowControl w:val="0"/>
        <w:shd w:val="clear"/>
        <w:kinsoku/>
        <w:wordWrap/>
        <w:overflowPunct/>
        <w:topLinePunct w:val="0"/>
        <w:autoSpaceDE/>
        <w:autoSpaceDN/>
        <w:bidi w:val="0"/>
        <w:adjustRightInd/>
        <w:snapToGrid/>
        <w:spacing w:line="600" w:lineRule="auto"/>
        <w:ind w:left="2249" w:leftChars="306" w:hanging="1606" w:hangingChars="500"/>
        <w:textAlignment w:val="auto"/>
        <w:rPr>
          <w:rFonts w:hint="eastAsia" w:ascii="宋体" w:hAnsi="宋体" w:cs="宋体"/>
          <w:b/>
          <w:strike w:val="0"/>
          <w:dstrike w:val="0"/>
          <w:color w:val="auto"/>
          <w:kern w:val="0"/>
          <w:sz w:val="32"/>
          <w:szCs w:val="32"/>
          <w:highlight w:val="none"/>
          <w:lang w:val="en-US" w:eastAsia="zh-CN"/>
        </w:rPr>
      </w:pPr>
      <w:r>
        <w:rPr>
          <w:rFonts w:hint="eastAsia" w:ascii="宋体" w:hAnsi="宋体" w:eastAsia="宋体" w:cs="宋体"/>
          <w:b/>
          <w:color w:val="auto"/>
          <w:kern w:val="0"/>
          <w:sz w:val="32"/>
          <w:szCs w:val="32"/>
          <w:highlight w:val="none"/>
        </w:rPr>
        <w:t>项目名称：</w:t>
      </w:r>
      <w:bookmarkStart w:id="0" w:name="OLE_LINK1"/>
      <w:bookmarkStart w:id="1" w:name="OLE_LINK3"/>
      <w:r>
        <w:rPr>
          <w:rFonts w:hint="eastAsia" w:ascii="宋体" w:hAnsi="宋体" w:cs="宋体"/>
          <w:b/>
          <w:strike w:val="0"/>
          <w:dstrike w:val="0"/>
          <w:color w:val="auto"/>
          <w:kern w:val="0"/>
          <w:sz w:val="32"/>
          <w:szCs w:val="32"/>
          <w:highlight w:val="none"/>
          <w:lang w:val="en-US" w:eastAsia="zh-CN"/>
        </w:rPr>
        <w:t>东阳市江北综合医院（东阳市红会医院迁建工程）厨房设备采购项目</w:t>
      </w:r>
    </w:p>
    <w:bookmarkEnd w:id="0"/>
    <w:p w14:paraId="4164F908">
      <w:pPr>
        <w:keepNext w:val="0"/>
        <w:keepLines w:val="0"/>
        <w:pageBreakBefore w:val="0"/>
        <w:widowControl w:val="0"/>
        <w:shd w:val="clear"/>
        <w:kinsoku/>
        <w:wordWrap/>
        <w:overflowPunct/>
        <w:topLinePunct w:val="0"/>
        <w:autoSpaceDE/>
        <w:autoSpaceDN/>
        <w:bidi w:val="0"/>
        <w:adjustRightInd/>
        <w:snapToGrid/>
        <w:spacing w:line="600" w:lineRule="auto"/>
        <w:ind w:left="2249" w:leftChars="306" w:hanging="1606" w:hangingChars="500"/>
        <w:textAlignment w:val="auto"/>
        <w:rPr>
          <w:rFonts w:hint="eastAsia" w:ascii="宋体" w:hAnsi="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rPr>
        <w:t>项目编号：</w:t>
      </w:r>
      <w:bookmarkEnd w:id="1"/>
      <w:r>
        <w:rPr>
          <w:rFonts w:hint="eastAsia" w:ascii="宋体" w:hAnsi="宋体" w:cs="宋体"/>
          <w:b/>
          <w:color w:val="auto"/>
          <w:kern w:val="0"/>
          <w:sz w:val="32"/>
          <w:szCs w:val="32"/>
          <w:highlight w:val="none"/>
          <w:lang w:val="en-US" w:eastAsia="zh-CN"/>
        </w:rPr>
        <w:t>XSZFCGDZ2024-302</w:t>
      </w:r>
    </w:p>
    <w:p w14:paraId="2208CAE6">
      <w:pPr>
        <w:keepNext w:val="0"/>
        <w:keepLines w:val="0"/>
        <w:pageBreakBefore w:val="0"/>
        <w:widowControl w:val="0"/>
        <w:shd w:val="clear"/>
        <w:kinsoku/>
        <w:wordWrap/>
        <w:overflowPunct/>
        <w:topLinePunct w:val="0"/>
        <w:autoSpaceDE/>
        <w:autoSpaceDN/>
        <w:bidi w:val="0"/>
        <w:adjustRightInd/>
        <w:snapToGrid/>
        <w:spacing w:line="600" w:lineRule="auto"/>
        <w:ind w:left="2249" w:leftChars="306" w:hanging="1606" w:hangingChars="500"/>
        <w:textAlignment w:val="auto"/>
        <w:rPr>
          <w:rFonts w:hint="eastAsia" w:ascii="宋体" w:hAnsi="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rPr>
        <w:t>采购单位：</w:t>
      </w:r>
      <w:r>
        <w:rPr>
          <w:rFonts w:hint="eastAsia" w:ascii="宋体" w:hAnsi="宋体" w:cs="宋体"/>
          <w:b/>
          <w:color w:val="auto"/>
          <w:kern w:val="0"/>
          <w:sz w:val="32"/>
          <w:szCs w:val="32"/>
          <w:highlight w:val="none"/>
          <w:lang w:eastAsia="zh-CN"/>
        </w:rPr>
        <w:t>东阳市红会医院</w:t>
      </w:r>
    </w:p>
    <w:p w14:paraId="2469DDB9">
      <w:pPr>
        <w:keepNext w:val="0"/>
        <w:keepLines w:val="0"/>
        <w:pageBreakBefore w:val="0"/>
        <w:widowControl w:val="0"/>
        <w:shd w:val="clear"/>
        <w:kinsoku/>
        <w:wordWrap/>
        <w:overflowPunct/>
        <w:topLinePunct w:val="0"/>
        <w:autoSpaceDE/>
        <w:autoSpaceDN/>
        <w:bidi w:val="0"/>
        <w:adjustRightInd/>
        <w:snapToGrid/>
        <w:spacing w:line="600" w:lineRule="auto"/>
        <w:ind w:left="2249" w:leftChars="306" w:hanging="1606" w:hangingChars="500"/>
        <w:textAlignment w:val="auto"/>
        <w:rPr>
          <w:rFonts w:hint="eastAsia"/>
          <w:color w:val="auto"/>
          <w:highlight w:val="none"/>
        </w:rPr>
      </w:pPr>
      <w:r>
        <w:rPr>
          <w:rFonts w:hint="eastAsia" w:ascii="宋体" w:hAnsi="宋体" w:eastAsia="宋体" w:cs="宋体"/>
          <w:b/>
          <w:color w:val="auto"/>
          <w:kern w:val="0"/>
          <w:sz w:val="32"/>
          <w:szCs w:val="32"/>
          <w:highlight w:val="none"/>
        </w:rPr>
        <w:t>招标机构：东阳市鑫盛工程咨询有限公司</w:t>
      </w:r>
    </w:p>
    <w:p w14:paraId="4E4FF5F7">
      <w:pPr>
        <w:pStyle w:val="22"/>
        <w:pageBreakBefore w:val="0"/>
        <w:widowControl w:val="0"/>
        <w:shd w:val="clear"/>
        <w:kinsoku/>
        <w:wordWrap/>
        <w:overflowPunct/>
        <w:topLinePunct w:val="0"/>
        <w:autoSpaceDE/>
        <w:autoSpaceDN/>
        <w:bidi w:val="0"/>
        <w:adjustRightInd/>
        <w:snapToGrid/>
        <w:spacing w:line="288" w:lineRule="auto"/>
        <w:jc w:val="both"/>
        <w:textAlignment w:val="auto"/>
        <w:rPr>
          <w:rFonts w:hint="eastAsia" w:ascii="宋体" w:hAnsi="宋体" w:eastAsia="宋体" w:cs="宋体"/>
          <w:b/>
          <w:color w:val="auto"/>
          <w:sz w:val="32"/>
          <w:szCs w:val="32"/>
          <w:highlight w:val="none"/>
        </w:rPr>
      </w:pPr>
    </w:p>
    <w:p w14:paraId="347569D5">
      <w:pPr>
        <w:pStyle w:val="22"/>
        <w:pageBreakBefore w:val="0"/>
        <w:widowControl w:val="0"/>
        <w:shd w:val="clear"/>
        <w:kinsoku/>
        <w:wordWrap/>
        <w:overflowPunct/>
        <w:topLinePunct w:val="0"/>
        <w:autoSpaceDE/>
        <w:autoSpaceDN/>
        <w:bidi w:val="0"/>
        <w:adjustRightInd/>
        <w:snapToGrid/>
        <w:spacing w:line="288" w:lineRule="auto"/>
        <w:jc w:val="center"/>
        <w:textAlignment w:val="auto"/>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202</w:t>
      </w:r>
      <w:r>
        <w:rPr>
          <w:rFonts w:hint="eastAsia" w:ascii="宋体" w:hAnsi="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11</w:t>
      </w:r>
      <w:r>
        <w:rPr>
          <w:rFonts w:hint="eastAsia" w:ascii="宋体" w:hAnsi="宋体" w:eastAsia="宋体" w:cs="宋体"/>
          <w:b/>
          <w:color w:val="auto"/>
          <w:sz w:val="32"/>
          <w:szCs w:val="32"/>
          <w:highlight w:val="none"/>
        </w:rPr>
        <w:t>月</w:t>
      </w:r>
    </w:p>
    <w:p w14:paraId="12D656D3">
      <w:pPr>
        <w:pStyle w:val="22"/>
        <w:pageBreakBefore/>
        <w:shd w:val="clear"/>
        <w:spacing w:line="276" w:lineRule="auto"/>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目    录</w:t>
      </w:r>
    </w:p>
    <w:p w14:paraId="5CB92D56">
      <w:pPr>
        <w:pStyle w:val="30"/>
        <w:shd w:val="clear"/>
        <w:tabs>
          <w:tab w:val="right" w:leader="dot" w:pos="9524"/>
        </w:tabs>
        <w:rPr>
          <w:color w:val="auto"/>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TOC \o "1-2" \h \z \u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_Toc23496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第一章  公开招标采购公告</w:t>
      </w:r>
      <w:r>
        <w:rPr>
          <w:color w:val="auto"/>
          <w:highlight w:val="none"/>
        </w:rPr>
        <w:tab/>
      </w:r>
      <w:r>
        <w:rPr>
          <w:color w:val="auto"/>
          <w:highlight w:val="none"/>
        </w:rPr>
        <w:fldChar w:fldCharType="begin"/>
      </w:r>
      <w:r>
        <w:rPr>
          <w:color w:val="auto"/>
          <w:highlight w:val="none"/>
        </w:rPr>
        <w:instrText xml:space="preserve"> PAGEREF _Toc23496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highlight w:val="none"/>
        </w:rPr>
        <w:fldChar w:fldCharType="end"/>
      </w:r>
    </w:p>
    <w:p w14:paraId="3BFF3476">
      <w:pPr>
        <w:pStyle w:val="30"/>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_Toc16265 </w:instrText>
      </w:r>
      <w:r>
        <w:rPr>
          <w:rFonts w:hint="eastAsia" w:ascii="宋体" w:hAnsi="宋体" w:eastAsia="宋体" w:cs="宋体"/>
          <w:color w:val="auto"/>
          <w:highlight w:val="none"/>
        </w:rPr>
        <w:fldChar w:fldCharType="separate"/>
      </w:r>
      <w:r>
        <w:rPr>
          <w:rFonts w:hint="eastAsia" w:ascii="宋体" w:hAnsi="宋体" w:cs="宋体"/>
          <w:color w:val="auto"/>
          <w:szCs w:val="32"/>
          <w:highlight w:val="none"/>
        </w:rPr>
        <w:t>第二章 招标需求</w:t>
      </w:r>
      <w:r>
        <w:rPr>
          <w:color w:val="auto"/>
          <w:highlight w:val="none"/>
        </w:rPr>
        <w:tab/>
      </w:r>
      <w:r>
        <w:rPr>
          <w:color w:val="auto"/>
          <w:highlight w:val="none"/>
        </w:rPr>
        <w:fldChar w:fldCharType="begin"/>
      </w:r>
      <w:r>
        <w:rPr>
          <w:color w:val="auto"/>
          <w:highlight w:val="none"/>
        </w:rPr>
        <w:instrText xml:space="preserve"> PAGEREF _Toc16265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eastAsia="宋体" w:cs="宋体"/>
          <w:color w:val="auto"/>
          <w:highlight w:val="none"/>
        </w:rPr>
        <w:fldChar w:fldCharType="end"/>
      </w:r>
    </w:p>
    <w:p w14:paraId="2A44DCEB">
      <w:pPr>
        <w:pStyle w:val="30"/>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_Toc6454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第三章   投标人须知</w:t>
      </w:r>
      <w:r>
        <w:rPr>
          <w:color w:val="auto"/>
          <w:highlight w:val="none"/>
        </w:rPr>
        <w:tab/>
      </w:r>
      <w:r>
        <w:rPr>
          <w:color w:val="auto"/>
          <w:highlight w:val="none"/>
        </w:rPr>
        <w:fldChar w:fldCharType="begin"/>
      </w:r>
      <w:r>
        <w:rPr>
          <w:color w:val="auto"/>
          <w:highlight w:val="none"/>
        </w:rPr>
        <w:instrText xml:space="preserve"> PAGEREF _Toc6454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highlight w:val="none"/>
        </w:rPr>
        <w:fldChar w:fldCharType="end"/>
      </w:r>
    </w:p>
    <w:p w14:paraId="0728FA8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_Toc25043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前附表</w:t>
      </w:r>
      <w:r>
        <w:rPr>
          <w:color w:val="auto"/>
          <w:highlight w:val="none"/>
        </w:rPr>
        <w:tab/>
      </w:r>
      <w:r>
        <w:rPr>
          <w:color w:val="auto"/>
          <w:highlight w:val="none"/>
        </w:rPr>
        <w:fldChar w:fldCharType="begin"/>
      </w:r>
      <w:r>
        <w:rPr>
          <w:color w:val="auto"/>
          <w:highlight w:val="none"/>
        </w:rPr>
        <w:instrText xml:space="preserve"> PAGEREF _Toc25043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highlight w:val="none"/>
        </w:rPr>
        <w:fldChar w:fldCharType="end"/>
      </w:r>
    </w:p>
    <w:p w14:paraId="0446B9F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_Toc6590 </w:instrText>
      </w:r>
      <w:r>
        <w:rPr>
          <w:rFonts w:hint="eastAsia" w:ascii="宋体" w:hAnsi="宋体" w:eastAsia="宋体" w:cs="宋体"/>
          <w:color w:val="auto"/>
          <w:highlight w:val="none"/>
        </w:rPr>
        <w:fldChar w:fldCharType="separate"/>
      </w:r>
      <w:r>
        <w:rPr>
          <w:rFonts w:hint="default" w:ascii="宋体" w:hAnsi="宋体" w:eastAsia="宋体" w:cs="宋体"/>
          <w:color w:val="auto"/>
          <w:szCs w:val="24"/>
          <w:highlight w:val="none"/>
        </w:rPr>
        <w:t xml:space="preserve">一、 </w:t>
      </w:r>
      <w:r>
        <w:rPr>
          <w:rFonts w:hint="eastAsia" w:ascii="宋体" w:hAnsi="宋体" w:eastAsia="宋体" w:cs="宋体"/>
          <w:color w:val="auto"/>
          <w:szCs w:val="24"/>
          <w:highlight w:val="none"/>
        </w:rPr>
        <w:t>总则</w:t>
      </w:r>
      <w:r>
        <w:rPr>
          <w:color w:val="auto"/>
          <w:highlight w:val="none"/>
        </w:rPr>
        <w:tab/>
      </w:r>
      <w:r>
        <w:rPr>
          <w:color w:val="auto"/>
          <w:highlight w:val="none"/>
        </w:rPr>
        <w:fldChar w:fldCharType="begin"/>
      </w:r>
      <w:r>
        <w:rPr>
          <w:color w:val="auto"/>
          <w:highlight w:val="none"/>
        </w:rPr>
        <w:instrText xml:space="preserve"> PAGEREF _Toc6590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eastAsia="宋体" w:cs="宋体"/>
          <w:color w:val="auto"/>
          <w:highlight w:val="none"/>
        </w:rPr>
        <w:fldChar w:fldCharType="end"/>
      </w:r>
    </w:p>
    <w:p w14:paraId="642F4C53">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_Toc17577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4"/>
          <w:highlight w:val="none"/>
        </w:rPr>
        <w:t>二、招标文件</w:t>
      </w:r>
      <w:r>
        <w:rPr>
          <w:color w:val="auto"/>
          <w:highlight w:val="none"/>
        </w:rPr>
        <w:tab/>
      </w:r>
      <w:r>
        <w:rPr>
          <w:color w:val="auto"/>
          <w:highlight w:val="none"/>
        </w:rPr>
        <w:fldChar w:fldCharType="begin"/>
      </w:r>
      <w:r>
        <w:rPr>
          <w:color w:val="auto"/>
          <w:highlight w:val="none"/>
        </w:rPr>
        <w:instrText xml:space="preserve"> PAGEREF _Toc17577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highlight w:val="none"/>
        </w:rPr>
        <w:fldChar w:fldCharType="end"/>
      </w:r>
    </w:p>
    <w:p w14:paraId="0DBE58CA">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_Toc29716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4"/>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_Toc29716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eastAsia="宋体" w:cs="宋体"/>
          <w:color w:val="auto"/>
          <w:highlight w:val="none"/>
        </w:rPr>
        <w:fldChar w:fldCharType="end"/>
      </w:r>
    </w:p>
    <w:p w14:paraId="2D2C34FD">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_Toc7360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4"/>
          <w:highlight w:val="none"/>
        </w:rPr>
        <w:t>四、开标</w:t>
      </w:r>
      <w:r>
        <w:rPr>
          <w:color w:val="auto"/>
          <w:highlight w:val="none"/>
        </w:rPr>
        <w:tab/>
      </w:r>
      <w:r>
        <w:rPr>
          <w:color w:val="auto"/>
          <w:highlight w:val="none"/>
        </w:rPr>
        <w:fldChar w:fldCharType="begin"/>
      </w:r>
      <w:r>
        <w:rPr>
          <w:color w:val="auto"/>
          <w:highlight w:val="none"/>
        </w:rPr>
        <w:instrText xml:space="preserve"> PAGEREF _Toc7360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color w:val="auto"/>
          <w:highlight w:val="none"/>
        </w:rPr>
        <w:fldChar w:fldCharType="end"/>
      </w:r>
    </w:p>
    <w:p w14:paraId="043342B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_Toc26529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4"/>
          <w:highlight w:val="none"/>
        </w:rPr>
        <w:t>五、评标</w:t>
      </w:r>
      <w:r>
        <w:rPr>
          <w:color w:val="auto"/>
          <w:highlight w:val="none"/>
        </w:rPr>
        <w:tab/>
      </w:r>
      <w:r>
        <w:rPr>
          <w:color w:val="auto"/>
          <w:highlight w:val="none"/>
        </w:rPr>
        <w:fldChar w:fldCharType="begin"/>
      </w:r>
      <w:r>
        <w:rPr>
          <w:color w:val="auto"/>
          <w:highlight w:val="none"/>
        </w:rPr>
        <w:instrText xml:space="preserve"> PAGEREF _Toc26529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highlight w:val="none"/>
        </w:rPr>
        <w:fldChar w:fldCharType="end"/>
      </w:r>
    </w:p>
    <w:p w14:paraId="10BEEC84">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_Toc15169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4"/>
          <w:highlight w:val="none"/>
        </w:rPr>
        <w:t>六、定标</w:t>
      </w:r>
      <w:r>
        <w:rPr>
          <w:color w:val="auto"/>
          <w:highlight w:val="none"/>
        </w:rPr>
        <w:tab/>
      </w:r>
      <w:r>
        <w:rPr>
          <w:color w:val="auto"/>
          <w:highlight w:val="none"/>
        </w:rPr>
        <w:fldChar w:fldCharType="begin"/>
      </w:r>
      <w:r>
        <w:rPr>
          <w:color w:val="auto"/>
          <w:highlight w:val="none"/>
        </w:rPr>
        <w:instrText xml:space="preserve"> PAGEREF _Toc15169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eastAsia="宋体" w:cs="宋体"/>
          <w:color w:val="auto"/>
          <w:highlight w:val="none"/>
        </w:rPr>
        <w:fldChar w:fldCharType="end"/>
      </w:r>
    </w:p>
    <w:p w14:paraId="6DC4D795">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_Toc23237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4"/>
          <w:highlight w:val="none"/>
        </w:rPr>
        <w:t>七、合同授予</w:t>
      </w:r>
      <w:r>
        <w:rPr>
          <w:color w:val="auto"/>
          <w:highlight w:val="none"/>
        </w:rPr>
        <w:tab/>
      </w:r>
      <w:r>
        <w:rPr>
          <w:color w:val="auto"/>
          <w:highlight w:val="none"/>
        </w:rPr>
        <w:fldChar w:fldCharType="begin"/>
      </w:r>
      <w:r>
        <w:rPr>
          <w:color w:val="auto"/>
          <w:highlight w:val="none"/>
        </w:rPr>
        <w:instrText xml:space="preserve"> PAGEREF _Toc23237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eastAsia="宋体" w:cs="宋体"/>
          <w:color w:val="auto"/>
          <w:highlight w:val="none"/>
        </w:rPr>
        <w:fldChar w:fldCharType="end"/>
      </w:r>
    </w:p>
    <w:p w14:paraId="38C3A1C6">
      <w:pPr>
        <w:pStyle w:val="30"/>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_Toc18303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第四章  评标办法及评分标准</w:t>
      </w:r>
      <w:r>
        <w:rPr>
          <w:color w:val="auto"/>
          <w:highlight w:val="none"/>
        </w:rPr>
        <w:tab/>
      </w:r>
      <w:r>
        <w:rPr>
          <w:color w:val="auto"/>
          <w:highlight w:val="none"/>
        </w:rPr>
        <w:fldChar w:fldCharType="begin"/>
      </w:r>
      <w:r>
        <w:rPr>
          <w:color w:val="auto"/>
          <w:highlight w:val="none"/>
        </w:rPr>
        <w:instrText xml:space="preserve"> PAGEREF _Toc18303 \h </w:instrText>
      </w:r>
      <w:r>
        <w:rPr>
          <w:color w:val="auto"/>
          <w:highlight w:val="none"/>
        </w:rPr>
        <w:fldChar w:fldCharType="separate"/>
      </w:r>
      <w:r>
        <w:rPr>
          <w:color w:val="auto"/>
          <w:highlight w:val="none"/>
        </w:rPr>
        <w:t>67</w:t>
      </w:r>
      <w:r>
        <w:rPr>
          <w:color w:val="auto"/>
          <w:highlight w:val="none"/>
        </w:rPr>
        <w:fldChar w:fldCharType="end"/>
      </w:r>
      <w:r>
        <w:rPr>
          <w:rFonts w:hint="eastAsia" w:ascii="宋体" w:hAnsi="宋体" w:eastAsia="宋体" w:cs="宋体"/>
          <w:color w:val="auto"/>
          <w:highlight w:val="none"/>
        </w:rPr>
        <w:fldChar w:fldCharType="end"/>
      </w:r>
    </w:p>
    <w:p w14:paraId="7863E492">
      <w:pPr>
        <w:pStyle w:val="30"/>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_Toc4146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32"/>
          <w:highlight w:val="none"/>
        </w:rPr>
        <w:t xml:space="preserve">第五章 </w:t>
      </w:r>
      <w:r>
        <w:rPr>
          <w:rFonts w:hint="eastAsia" w:ascii="宋体" w:hAnsi="宋体" w:cs="宋体"/>
          <w:bCs w:val="0"/>
          <w:color w:val="auto"/>
          <w:szCs w:val="32"/>
          <w:highlight w:val="none"/>
          <w:lang w:val="en-US" w:eastAsia="zh-CN"/>
        </w:rPr>
        <w:t>合同主要</w:t>
      </w:r>
      <w:r>
        <w:rPr>
          <w:rFonts w:hint="eastAsia" w:ascii="宋体" w:hAnsi="宋体" w:eastAsia="宋体" w:cs="宋体"/>
          <w:bCs w:val="0"/>
          <w:color w:val="auto"/>
          <w:szCs w:val="32"/>
          <w:highlight w:val="none"/>
        </w:rPr>
        <w:t>条款</w:t>
      </w:r>
      <w:r>
        <w:rPr>
          <w:color w:val="auto"/>
          <w:highlight w:val="none"/>
        </w:rPr>
        <w:tab/>
      </w:r>
      <w:r>
        <w:rPr>
          <w:color w:val="auto"/>
          <w:highlight w:val="none"/>
        </w:rPr>
        <w:fldChar w:fldCharType="begin"/>
      </w:r>
      <w:r>
        <w:rPr>
          <w:color w:val="auto"/>
          <w:highlight w:val="none"/>
        </w:rPr>
        <w:instrText xml:space="preserve"> PAGEREF _Toc4146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color w:val="auto"/>
          <w:highlight w:val="none"/>
        </w:rPr>
        <w:fldChar w:fldCharType="end"/>
      </w:r>
    </w:p>
    <w:p w14:paraId="0BE2E82E">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_Toc30561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4"/>
          <w:highlight w:val="none"/>
        </w:rPr>
        <w:t>东阳市政府采购合同（样本）</w:t>
      </w:r>
      <w:r>
        <w:rPr>
          <w:color w:val="auto"/>
          <w:highlight w:val="none"/>
        </w:rPr>
        <w:tab/>
      </w:r>
      <w:r>
        <w:rPr>
          <w:color w:val="auto"/>
          <w:highlight w:val="none"/>
        </w:rPr>
        <w:fldChar w:fldCharType="begin"/>
      </w:r>
      <w:r>
        <w:rPr>
          <w:color w:val="auto"/>
          <w:highlight w:val="none"/>
        </w:rPr>
        <w:instrText xml:space="preserve"> PAGEREF _Toc30561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color w:val="auto"/>
          <w:highlight w:val="none"/>
        </w:rPr>
        <w:fldChar w:fldCharType="end"/>
      </w:r>
    </w:p>
    <w:p w14:paraId="151940C2">
      <w:pPr>
        <w:pStyle w:val="30"/>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_Toc29743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第六章　投标文件组成内容及格式</w:t>
      </w:r>
      <w:r>
        <w:rPr>
          <w:color w:val="auto"/>
          <w:highlight w:val="none"/>
        </w:rPr>
        <w:tab/>
      </w:r>
      <w:r>
        <w:rPr>
          <w:color w:val="auto"/>
          <w:highlight w:val="none"/>
        </w:rPr>
        <w:fldChar w:fldCharType="begin"/>
      </w:r>
      <w:r>
        <w:rPr>
          <w:color w:val="auto"/>
          <w:highlight w:val="none"/>
        </w:rPr>
        <w:instrText xml:space="preserve"> PAGEREF _Toc29743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highlight w:val="none"/>
        </w:rPr>
        <w:fldChar w:fldCharType="end"/>
      </w:r>
    </w:p>
    <w:p w14:paraId="2C3DE015">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_Toc17450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lang w:val="en-US" w:eastAsia="zh-CN"/>
        </w:rPr>
        <w:t>附</w:t>
      </w:r>
      <w:r>
        <w:rPr>
          <w:rFonts w:hint="eastAsia" w:ascii="宋体" w:hAnsi="宋体" w:eastAsia="宋体" w:cs="宋体"/>
          <w:color w:val="auto"/>
          <w:szCs w:val="24"/>
          <w:highlight w:val="none"/>
        </w:rPr>
        <w:t>件一：投标声明书</w:t>
      </w:r>
      <w:r>
        <w:rPr>
          <w:color w:val="auto"/>
          <w:highlight w:val="none"/>
        </w:rPr>
        <w:tab/>
      </w:r>
      <w:r>
        <w:rPr>
          <w:color w:val="auto"/>
          <w:highlight w:val="none"/>
        </w:rPr>
        <w:fldChar w:fldCharType="begin"/>
      </w:r>
      <w:r>
        <w:rPr>
          <w:color w:val="auto"/>
          <w:highlight w:val="none"/>
        </w:rPr>
        <w:instrText xml:space="preserve"> PAGEREF _Toc17450 \h </w:instrText>
      </w:r>
      <w:r>
        <w:rPr>
          <w:color w:val="auto"/>
          <w:highlight w:val="none"/>
        </w:rPr>
        <w:fldChar w:fldCharType="separate"/>
      </w:r>
      <w:r>
        <w:rPr>
          <w:color w:val="auto"/>
          <w:highlight w:val="none"/>
        </w:rPr>
        <w:t>78</w:t>
      </w:r>
      <w:r>
        <w:rPr>
          <w:color w:val="auto"/>
          <w:highlight w:val="none"/>
        </w:rPr>
        <w:fldChar w:fldCharType="end"/>
      </w:r>
      <w:r>
        <w:rPr>
          <w:rFonts w:hint="eastAsia" w:ascii="宋体" w:hAnsi="宋体" w:eastAsia="宋体" w:cs="宋体"/>
          <w:color w:val="auto"/>
          <w:highlight w:val="none"/>
        </w:rPr>
        <w:fldChar w:fldCharType="end"/>
      </w:r>
    </w:p>
    <w:p w14:paraId="735DB5F3">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_Toc10421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4"/>
          <w:highlight w:val="none"/>
        </w:rPr>
        <w:t>附件二：</w:t>
      </w:r>
      <w:r>
        <w:rPr>
          <w:rFonts w:hint="eastAsia" w:ascii="宋体" w:hAnsi="宋体" w:eastAsia="宋体" w:cs="宋体"/>
          <w:bCs w:val="0"/>
          <w:color w:val="auto"/>
          <w:szCs w:val="24"/>
          <w:highlight w:val="none"/>
          <w:lang w:val="en-US" w:eastAsia="zh-CN"/>
        </w:rPr>
        <w:t>符合参加政府采购活动应当具备的一般条件的承诺函</w:t>
      </w:r>
      <w:r>
        <w:rPr>
          <w:color w:val="auto"/>
          <w:highlight w:val="none"/>
        </w:rPr>
        <w:tab/>
      </w:r>
      <w:r>
        <w:rPr>
          <w:color w:val="auto"/>
          <w:highlight w:val="none"/>
        </w:rPr>
        <w:fldChar w:fldCharType="begin"/>
      </w:r>
      <w:r>
        <w:rPr>
          <w:color w:val="auto"/>
          <w:highlight w:val="none"/>
        </w:rPr>
        <w:instrText xml:space="preserve"> PAGEREF _Toc10421 \h </w:instrText>
      </w:r>
      <w:r>
        <w:rPr>
          <w:color w:val="auto"/>
          <w:highlight w:val="none"/>
        </w:rPr>
        <w:fldChar w:fldCharType="separate"/>
      </w:r>
      <w:r>
        <w:rPr>
          <w:color w:val="auto"/>
          <w:highlight w:val="none"/>
        </w:rPr>
        <w:t>79</w:t>
      </w:r>
      <w:r>
        <w:rPr>
          <w:color w:val="auto"/>
          <w:highlight w:val="none"/>
        </w:rPr>
        <w:fldChar w:fldCharType="end"/>
      </w:r>
      <w:r>
        <w:rPr>
          <w:rFonts w:hint="eastAsia" w:ascii="宋体" w:hAnsi="宋体" w:eastAsia="宋体" w:cs="宋体"/>
          <w:color w:val="auto"/>
          <w:highlight w:val="none"/>
        </w:rPr>
        <w:fldChar w:fldCharType="end"/>
      </w:r>
    </w:p>
    <w:p w14:paraId="6BD5DACF">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_Toc18061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4"/>
          <w:highlight w:val="none"/>
        </w:rPr>
        <w:t>附件</w:t>
      </w:r>
      <w:r>
        <w:rPr>
          <w:rFonts w:hint="eastAsia" w:ascii="宋体" w:hAnsi="宋体" w:eastAsia="宋体" w:cs="宋体"/>
          <w:bCs w:val="0"/>
          <w:color w:val="auto"/>
          <w:szCs w:val="24"/>
          <w:highlight w:val="none"/>
          <w:lang w:val="en-US" w:eastAsia="zh-CN"/>
        </w:rPr>
        <w:t>三</w:t>
      </w:r>
      <w:r>
        <w:rPr>
          <w:rFonts w:hint="eastAsia" w:ascii="宋体" w:hAnsi="宋体" w:eastAsia="宋体" w:cs="宋体"/>
          <w:bCs w:val="0"/>
          <w:color w:val="auto"/>
          <w:szCs w:val="24"/>
          <w:highlight w:val="none"/>
        </w:rPr>
        <w:t>：政府采购活动现场确认声明书</w:t>
      </w:r>
      <w:r>
        <w:rPr>
          <w:color w:val="auto"/>
          <w:highlight w:val="none"/>
        </w:rPr>
        <w:tab/>
      </w:r>
      <w:r>
        <w:rPr>
          <w:color w:val="auto"/>
          <w:highlight w:val="none"/>
        </w:rPr>
        <w:fldChar w:fldCharType="begin"/>
      </w:r>
      <w:r>
        <w:rPr>
          <w:color w:val="auto"/>
          <w:highlight w:val="none"/>
        </w:rPr>
        <w:instrText xml:space="preserve"> PAGEREF _Toc18061 \h </w:instrText>
      </w:r>
      <w:r>
        <w:rPr>
          <w:color w:val="auto"/>
          <w:highlight w:val="none"/>
        </w:rPr>
        <w:fldChar w:fldCharType="separate"/>
      </w:r>
      <w:r>
        <w:rPr>
          <w:color w:val="auto"/>
          <w:highlight w:val="none"/>
        </w:rPr>
        <w:t>80</w:t>
      </w:r>
      <w:r>
        <w:rPr>
          <w:color w:val="auto"/>
          <w:highlight w:val="none"/>
        </w:rPr>
        <w:fldChar w:fldCharType="end"/>
      </w:r>
      <w:r>
        <w:rPr>
          <w:rFonts w:hint="eastAsia" w:ascii="宋体" w:hAnsi="宋体" w:eastAsia="宋体" w:cs="宋体"/>
          <w:color w:val="auto"/>
          <w:highlight w:val="none"/>
        </w:rPr>
        <w:fldChar w:fldCharType="end"/>
      </w:r>
    </w:p>
    <w:p w14:paraId="156411AB">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_Toc28622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附件</w:t>
      </w:r>
      <w:r>
        <w:rPr>
          <w:rFonts w:hint="eastAsia" w:ascii="宋体" w:hAnsi="宋体" w:eastAsia="宋体" w:cs="宋体"/>
          <w:color w:val="auto"/>
          <w:szCs w:val="24"/>
          <w:highlight w:val="none"/>
          <w:lang w:val="en-US" w:eastAsia="zh-CN"/>
        </w:rPr>
        <w:t>四</w:t>
      </w:r>
      <w:r>
        <w:rPr>
          <w:rFonts w:hint="eastAsia" w:ascii="宋体" w:hAnsi="宋体" w:eastAsia="宋体" w:cs="宋体"/>
          <w:color w:val="auto"/>
          <w:szCs w:val="24"/>
          <w:highlight w:val="none"/>
        </w:rPr>
        <w:t>：法定代表人授权委托书</w:t>
      </w:r>
      <w:r>
        <w:rPr>
          <w:color w:val="auto"/>
          <w:highlight w:val="none"/>
        </w:rPr>
        <w:tab/>
      </w:r>
      <w:r>
        <w:rPr>
          <w:color w:val="auto"/>
          <w:highlight w:val="none"/>
        </w:rPr>
        <w:fldChar w:fldCharType="begin"/>
      </w:r>
      <w:r>
        <w:rPr>
          <w:color w:val="auto"/>
          <w:highlight w:val="none"/>
        </w:rPr>
        <w:instrText xml:space="preserve"> PAGEREF _Toc28622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eastAsia="宋体" w:cs="宋体"/>
          <w:color w:val="auto"/>
          <w:highlight w:val="none"/>
        </w:rPr>
        <w:fldChar w:fldCharType="end"/>
      </w:r>
    </w:p>
    <w:p w14:paraId="15D1E028">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_Toc31774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附件</w:t>
      </w:r>
      <w:r>
        <w:rPr>
          <w:rFonts w:hint="eastAsia" w:ascii="宋体" w:hAnsi="宋体" w:eastAsia="宋体" w:cs="宋体"/>
          <w:color w:val="auto"/>
          <w:szCs w:val="24"/>
          <w:highlight w:val="none"/>
          <w:lang w:val="en-US" w:eastAsia="zh-CN"/>
        </w:rPr>
        <w:t>五</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eastAsia="zh-CN"/>
        </w:rPr>
        <w:t>联合体协议</w:t>
      </w:r>
      <w:r>
        <w:rPr>
          <w:color w:val="auto"/>
          <w:highlight w:val="none"/>
        </w:rPr>
        <w:tab/>
      </w:r>
      <w:r>
        <w:rPr>
          <w:color w:val="auto"/>
          <w:highlight w:val="none"/>
        </w:rPr>
        <w:fldChar w:fldCharType="begin"/>
      </w:r>
      <w:r>
        <w:rPr>
          <w:color w:val="auto"/>
          <w:highlight w:val="none"/>
        </w:rPr>
        <w:instrText xml:space="preserve"> PAGEREF _Toc31774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eastAsia="宋体" w:cs="宋体"/>
          <w:color w:val="auto"/>
          <w:highlight w:val="none"/>
        </w:rPr>
        <w:fldChar w:fldCharType="end"/>
      </w:r>
    </w:p>
    <w:p w14:paraId="70BBAE0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_Toc19874 </w:instrText>
      </w:r>
      <w:r>
        <w:rPr>
          <w:rFonts w:hint="eastAsia" w:ascii="宋体" w:hAnsi="宋体" w:eastAsia="宋体" w:cs="宋体"/>
          <w:color w:val="auto"/>
          <w:highlight w:val="none"/>
        </w:rPr>
        <w:fldChar w:fldCharType="separate"/>
      </w:r>
      <w:r>
        <w:rPr>
          <w:rFonts w:hint="eastAsia" w:ascii="宋体" w:hAnsi="宋体"/>
          <w:bCs/>
          <w:color w:val="auto"/>
          <w:szCs w:val="32"/>
          <w:highlight w:val="none"/>
        </w:rPr>
        <w:t>附件六：</w:t>
      </w:r>
      <w:r>
        <w:rPr>
          <w:rFonts w:hint="eastAsia" w:ascii="宋体" w:hAnsi="宋体"/>
          <w:bCs/>
          <w:color w:val="auto"/>
          <w:highlight w:val="none"/>
        </w:rPr>
        <w:t>分包意向协议</w:t>
      </w:r>
      <w:r>
        <w:rPr>
          <w:color w:val="auto"/>
          <w:highlight w:val="none"/>
        </w:rPr>
        <w:tab/>
      </w:r>
      <w:r>
        <w:rPr>
          <w:color w:val="auto"/>
          <w:highlight w:val="none"/>
        </w:rPr>
        <w:fldChar w:fldCharType="begin"/>
      </w:r>
      <w:r>
        <w:rPr>
          <w:color w:val="auto"/>
          <w:highlight w:val="none"/>
        </w:rPr>
        <w:instrText xml:space="preserve"> PAGEREF _Toc19874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eastAsia="宋体" w:cs="宋体"/>
          <w:color w:val="auto"/>
          <w:highlight w:val="none"/>
        </w:rPr>
        <w:fldChar w:fldCharType="end"/>
      </w:r>
    </w:p>
    <w:p w14:paraId="3807A55C">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_Toc2474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附件</w:t>
      </w:r>
      <w:r>
        <w:rPr>
          <w:rFonts w:hint="eastAsia" w:ascii="宋体" w:hAnsi="宋体" w:eastAsia="宋体" w:cs="宋体"/>
          <w:color w:val="auto"/>
          <w:szCs w:val="24"/>
          <w:highlight w:val="none"/>
          <w:lang w:val="en-US" w:eastAsia="zh-CN"/>
        </w:rPr>
        <w:t>七</w:t>
      </w:r>
      <w:r>
        <w:rPr>
          <w:rFonts w:hint="eastAsia" w:ascii="宋体" w:hAnsi="宋体" w:eastAsia="宋体" w:cs="宋体"/>
          <w:color w:val="auto"/>
          <w:szCs w:val="24"/>
          <w:highlight w:val="none"/>
        </w:rPr>
        <w:t>：投标人资信商务、技术自评得分表</w:t>
      </w:r>
      <w:r>
        <w:rPr>
          <w:color w:val="auto"/>
          <w:highlight w:val="none"/>
        </w:rPr>
        <w:tab/>
      </w:r>
      <w:r>
        <w:rPr>
          <w:color w:val="auto"/>
          <w:highlight w:val="none"/>
        </w:rPr>
        <w:fldChar w:fldCharType="begin"/>
      </w:r>
      <w:r>
        <w:rPr>
          <w:color w:val="auto"/>
          <w:highlight w:val="none"/>
        </w:rPr>
        <w:instrText xml:space="preserve"> PAGEREF _Toc2474 \h </w:instrText>
      </w:r>
      <w:r>
        <w:rPr>
          <w:color w:val="auto"/>
          <w:highlight w:val="none"/>
        </w:rPr>
        <w:fldChar w:fldCharType="separate"/>
      </w:r>
      <w:r>
        <w:rPr>
          <w:color w:val="auto"/>
          <w:highlight w:val="none"/>
        </w:rPr>
        <w:t>84</w:t>
      </w:r>
      <w:r>
        <w:rPr>
          <w:color w:val="auto"/>
          <w:highlight w:val="none"/>
        </w:rPr>
        <w:fldChar w:fldCharType="end"/>
      </w:r>
      <w:r>
        <w:rPr>
          <w:rFonts w:hint="eastAsia" w:ascii="宋体" w:hAnsi="宋体" w:eastAsia="宋体" w:cs="宋体"/>
          <w:color w:val="auto"/>
          <w:highlight w:val="none"/>
        </w:rPr>
        <w:fldChar w:fldCharType="end"/>
      </w:r>
    </w:p>
    <w:p w14:paraId="0105D63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_Toc18439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附件</w:t>
      </w:r>
      <w:r>
        <w:rPr>
          <w:rFonts w:hint="eastAsia" w:ascii="宋体" w:hAnsi="宋体" w:eastAsia="宋体" w:cs="宋体"/>
          <w:color w:val="auto"/>
          <w:szCs w:val="24"/>
          <w:highlight w:val="none"/>
          <w:lang w:val="en-US" w:eastAsia="zh-CN"/>
        </w:rPr>
        <w:t>八</w:t>
      </w:r>
      <w:r>
        <w:rPr>
          <w:rFonts w:hint="eastAsia" w:ascii="宋体" w:hAnsi="宋体" w:eastAsia="宋体" w:cs="宋体"/>
          <w:color w:val="auto"/>
          <w:szCs w:val="24"/>
          <w:highlight w:val="none"/>
        </w:rPr>
        <w:t>：商务响应表</w:t>
      </w:r>
      <w:r>
        <w:rPr>
          <w:color w:val="auto"/>
          <w:highlight w:val="none"/>
        </w:rPr>
        <w:tab/>
      </w:r>
      <w:r>
        <w:rPr>
          <w:color w:val="auto"/>
          <w:highlight w:val="none"/>
        </w:rPr>
        <w:fldChar w:fldCharType="begin"/>
      </w:r>
      <w:r>
        <w:rPr>
          <w:color w:val="auto"/>
          <w:highlight w:val="none"/>
        </w:rPr>
        <w:instrText xml:space="preserve"> PAGEREF _Toc18439 \h </w:instrText>
      </w:r>
      <w:r>
        <w:rPr>
          <w:color w:val="auto"/>
          <w:highlight w:val="none"/>
        </w:rPr>
        <w:fldChar w:fldCharType="separate"/>
      </w:r>
      <w:r>
        <w:rPr>
          <w:color w:val="auto"/>
          <w:highlight w:val="none"/>
        </w:rPr>
        <w:t>85</w:t>
      </w:r>
      <w:r>
        <w:rPr>
          <w:color w:val="auto"/>
          <w:highlight w:val="none"/>
        </w:rPr>
        <w:fldChar w:fldCharType="end"/>
      </w:r>
      <w:r>
        <w:rPr>
          <w:rFonts w:hint="eastAsia" w:ascii="宋体" w:hAnsi="宋体" w:eastAsia="宋体" w:cs="宋体"/>
          <w:color w:val="auto"/>
          <w:highlight w:val="none"/>
        </w:rPr>
        <w:fldChar w:fldCharType="end"/>
      </w:r>
    </w:p>
    <w:p w14:paraId="6B34640F">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_Toc26879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szCs w:val="24"/>
          <w:highlight w:val="none"/>
        </w:rPr>
        <w:t>附件</w:t>
      </w:r>
      <w:r>
        <w:rPr>
          <w:rFonts w:hint="eastAsia" w:ascii="宋体" w:hAnsi="宋体" w:eastAsia="宋体" w:cs="宋体"/>
          <w:bCs w:val="0"/>
          <w:color w:val="auto"/>
          <w:szCs w:val="24"/>
          <w:highlight w:val="none"/>
          <w:lang w:val="en-US" w:eastAsia="zh-CN"/>
        </w:rPr>
        <w:t>九</w:t>
      </w:r>
      <w:r>
        <w:rPr>
          <w:rFonts w:hint="eastAsia" w:ascii="宋体" w:hAnsi="宋体" w:eastAsia="宋体" w:cs="宋体"/>
          <w:bCs w:val="0"/>
          <w:color w:val="auto"/>
          <w:szCs w:val="24"/>
          <w:highlight w:val="none"/>
        </w:rPr>
        <w:t>：技术响应表</w:t>
      </w:r>
      <w:r>
        <w:rPr>
          <w:color w:val="auto"/>
          <w:highlight w:val="none"/>
        </w:rPr>
        <w:tab/>
      </w:r>
      <w:r>
        <w:rPr>
          <w:color w:val="auto"/>
          <w:highlight w:val="none"/>
        </w:rPr>
        <w:fldChar w:fldCharType="begin"/>
      </w:r>
      <w:r>
        <w:rPr>
          <w:color w:val="auto"/>
          <w:highlight w:val="none"/>
        </w:rPr>
        <w:instrText xml:space="preserve"> PAGEREF _Toc26879 \h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eastAsia="宋体" w:cs="宋体"/>
          <w:color w:val="auto"/>
          <w:highlight w:val="none"/>
        </w:rPr>
        <w:fldChar w:fldCharType="end"/>
      </w:r>
    </w:p>
    <w:p w14:paraId="216409B8">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_Toc6045 </w:instrText>
      </w:r>
      <w:r>
        <w:rPr>
          <w:rFonts w:hint="eastAsia" w:ascii="宋体" w:hAnsi="宋体" w:eastAsia="宋体" w:cs="宋体"/>
          <w:color w:val="auto"/>
          <w:highlight w:val="none"/>
        </w:rPr>
        <w:fldChar w:fldCharType="separate"/>
      </w:r>
      <w:r>
        <w:rPr>
          <w:rFonts w:hint="eastAsia" w:ascii="宋体" w:hAnsi="宋体" w:eastAsia="宋体"/>
          <w:bCs w:val="0"/>
          <w:color w:val="auto"/>
          <w:szCs w:val="24"/>
          <w:highlight w:val="none"/>
        </w:rPr>
        <w:t>附件</w:t>
      </w:r>
      <w:r>
        <w:rPr>
          <w:rFonts w:hint="eastAsia" w:ascii="宋体" w:hAnsi="宋体" w:eastAsia="宋体"/>
          <w:bCs w:val="0"/>
          <w:color w:val="auto"/>
          <w:szCs w:val="24"/>
          <w:highlight w:val="none"/>
          <w:lang w:val="en-US" w:eastAsia="zh-CN"/>
        </w:rPr>
        <w:t>十</w:t>
      </w:r>
      <w:r>
        <w:rPr>
          <w:rFonts w:hint="eastAsia" w:ascii="宋体" w:hAnsi="宋体" w:eastAsia="宋体"/>
          <w:bCs w:val="0"/>
          <w:color w:val="auto"/>
          <w:szCs w:val="24"/>
          <w:highlight w:val="none"/>
        </w:rPr>
        <w:t>：</w:t>
      </w:r>
      <w:r>
        <w:rPr>
          <w:rFonts w:hint="eastAsia" w:ascii="宋体" w:hAnsi="宋体" w:eastAsia="宋体"/>
          <w:bCs w:val="0"/>
          <w:color w:val="auto"/>
          <w:szCs w:val="24"/>
          <w:highlight w:val="none"/>
          <w:lang w:eastAsia="zh-CN"/>
        </w:rPr>
        <w:t>产品配置清单</w:t>
      </w:r>
      <w:r>
        <w:rPr>
          <w:color w:val="auto"/>
          <w:highlight w:val="none"/>
        </w:rPr>
        <w:tab/>
      </w:r>
      <w:r>
        <w:rPr>
          <w:color w:val="auto"/>
          <w:highlight w:val="none"/>
        </w:rPr>
        <w:fldChar w:fldCharType="begin"/>
      </w:r>
      <w:r>
        <w:rPr>
          <w:color w:val="auto"/>
          <w:highlight w:val="none"/>
        </w:rPr>
        <w:instrText xml:space="preserve"> PAGEREF _Toc6045 \h </w:instrText>
      </w:r>
      <w:r>
        <w:rPr>
          <w:color w:val="auto"/>
          <w:highlight w:val="none"/>
        </w:rPr>
        <w:fldChar w:fldCharType="separate"/>
      </w:r>
      <w:r>
        <w:rPr>
          <w:color w:val="auto"/>
          <w:highlight w:val="none"/>
        </w:rPr>
        <w:t>87</w:t>
      </w:r>
      <w:r>
        <w:rPr>
          <w:color w:val="auto"/>
          <w:highlight w:val="none"/>
        </w:rPr>
        <w:fldChar w:fldCharType="end"/>
      </w:r>
      <w:r>
        <w:rPr>
          <w:rFonts w:hint="eastAsia" w:ascii="宋体" w:hAnsi="宋体" w:eastAsia="宋体" w:cs="宋体"/>
          <w:color w:val="auto"/>
          <w:highlight w:val="none"/>
        </w:rPr>
        <w:fldChar w:fldCharType="end"/>
      </w:r>
    </w:p>
    <w:p w14:paraId="086611D1">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_Toc9759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Cs w:val="24"/>
          <w:highlight w:val="none"/>
        </w:rPr>
        <w:t>附件</w:t>
      </w:r>
      <w:r>
        <w:rPr>
          <w:rFonts w:hint="eastAsia" w:ascii="宋体" w:hAnsi="宋体" w:eastAsia="宋体" w:cs="宋体"/>
          <w:color w:val="auto"/>
          <w:kern w:val="0"/>
          <w:szCs w:val="24"/>
          <w:highlight w:val="none"/>
          <w:lang w:val="en-US" w:eastAsia="zh-CN"/>
        </w:rPr>
        <w:t>十一</w:t>
      </w:r>
      <w:r>
        <w:rPr>
          <w:rFonts w:hint="eastAsia" w:ascii="宋体" w:hAnsi="宋体" w:eastAsia="宋体" w:cs="宋体"/>
          <w:color w:val="auto"/>
          <w:kern w:val="0"/>
          <w:szCs w:val="24"/>
          <w:highlight w:val="none"/>
        </w:rPr>
        <w:t>：同类项目业绩一览表</w:t>
      </w:r>
      <w:r>
        <w:rPr>
          <w:color w:val="auto"/>
          <w:highlight w:val="none"/>
        </w:rPr>
        <w:tab/>
      </w:r>
      <w:r>
        <w:rPr>
          <w:color w:val="auto"/>
          <w:highlight w:val="none"/>
        </w:rPr>
        <w:fldChar w:fldCharType="begin"/>
      </w:r>
      <w:r>
        <w:rPr>
          <w:color w:val="auto"/>
          <w:highlight w:val="none"/>
        </w:rPr>
        <w:instrText xml:space="preserve"> PAGEREF _Toc9759 \h </w:instrText>
      </w:r>
      <w:r>
        <w:rPr>
          <w:color w:val="auto"/>
          <w:highlight w:val="none"/>
        </w:rPr>
        <w:fldChar w:fldCharType="separate"/>
      </w:r>
      <w:r>
        <w:rPr>
          <w:color w:val="auto"/>
          <w:highlight w:val="none"/>
        </w:rPr>
        <w:t>88</w:t>
      </w:r>
      <w:r>
        <w:rPr>
          <w:color w:val="auto"/>
          <w:highlight w:val="none"/>
        </w:rPr>
        <w:fldChar w:fldCharType="end"/>
      </w:r>
      <w:r>
        <w:rPr>
          <w:rFonts w:hint="eastAsia" w:ascii="宋体" w:hAnsi="宋体" w:eastAsia="宋体" w:cs="宋体"/>
          <w:color w:val="auto"/>
          <w:highlight w:val="none"/>
        </w:rPr>
        <w:fldChar w:fldCharType="end"/>
      </w:r>
    </w:p>
    <w:p w14:paraId="6C6F69D2">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_Toc32441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w:t>
      </w:r>
      <w:r>
        <w:rPr>
          <w:rFonts w:hint="eastAsia" w:ascii="宋体" w:hAnsi="宋体" w:cs="宋体"/>
          <w:bCs/>
          <w:color w:val="auto"/>
          <w:highlight w:val="none"/>
          <w:lang w:val="en-US" w:eastAsia="zh-CN"/>
        </w:rPr>
        <w:t>十二</w:t>
      </w:r>
      <w:r>
        <w:rPr>
          <w:rFonts w:hint="eastAsia" w:ascii="宋体" w:hAnsi="宋体" w:eastAsia="宋体" w:cs="宋体"/>
          <w:bCs/>
          <w:color w:val="auto"/>
          <w:highlight w:val="none"/>
        </w:rPr>
        <w:t>：服务费承诺书</w:t>
      </w:r>
      <w:r>
        <w:rPr>
          <w:color w:val="auto"/>
          <w:highlight w:val="none"/>
        </w:rPr>
        <w:tab/>
      </w:r>
      <w:r>
        <w:rPr>
          <w:color w:val="auto"/>
          <w:highlight w:val="none"/>
        </w:rPr>
        <w:fldChar w:fldCharType="begin"/>
      </w:r>
      <w:r>
        <w:rPr>
          <w:color w:val="auto"/>
          <w:highlight w:val="none"/>
        </w:rPr>
        <w:instrText xml:space="preserve"> PAGEREF _Toc32441 \h </w:instrText>
      </w:r>
      <w:r>
        <w:rPr>
          <w:color w:val="auto"/>
          <w:highlight w:val="none"/>
        </w:rPr>
        <w:fldChar w:fldCharType="separate"/>
      </w:r>
      <w:r>
        <w:rPr>
          <w:color w:val="auto"/>
          <w:highlight w:val="none"/>
        </w:rPr>
        <w:t>89</w:t>
      </w:r>
      <w:r>
        <w:rPr>
          <w:color w:val="auto"/>
          <w:highlight w:val="none"/>
        </w:rPr>
        <w:fldChar w:fldCharType="end"/>
      </w:r>
      <w:r>
        <w:rPr>
          <w:rFonts w:hint="eastAsia" w:ascii="宋体" w:hAnsi="宋体" w:eastAsia="宋体" w:cs="宋体"/>
          <w:color w:val="auto"/>
          <w:highlight w:val="none"/>
        </w:rPr>
        <w:fldChar w:fldCharType="end"/>
      </w:r>
    </w:p>
    <w:p w14:paraId="015CFB2F">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_Toc12029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w:t>
      </w:r>
      <w:r>
        <w:rPr>
          <w:rFonts w:hint="eastAsia" w:ascii="宋体" w:hAnsi="宋体" w:cs="宋体"/>
          <w:bCs/>
          <w:color w:val="auto"/>
          <w:highlight w:val="none"/>
          <w:lang w:val="en-US" w:eastAsia="zh-CN"/>
        </w:rPr>
        <w:t>十三</w:t>
      </w:r>
      <w:r>
        <w:rPr>
          <w:rFonts w:hint="eastAsia" w:ascii="宋体" w:hAnsi="宋体" w:eastAsia="宋体" w:cs="宋体"/>
          <w:bCs/>
          <w:color w:val="auto"/>
          <w:highlight w:val="none"/>
        </w:rPr>
        <w:t>:</w:t>
      </w:r>
      <w:r>
        <w:rPr>
          <w:rFonts w:hint="eastAsia" w:ascii="宋体" w:hAnsi="宋体" w:cs="宋体"/>
          <w:bCs/>
          <w:color w:val="auto"/>
          <w:highlight w:val="none"/>
          <w:lang w:val="en-US" w:eastAsia="zh-CN"/>
        </w:rPr>
        <w:t xml:space="preserve"> </w:t>
      </w:r>
      <w:r>
        <w:rPr>
          <w:rFonts w:hint="eastAsia" w:ascii="宋体" w:hAnsi="宋体" w:eastAsia="宋体" w:cs="宋体"/>
          <w:bCs/>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_Toc12029 \h </w:instrText>
      </w:r>
      <w:r>
        <w:rPr>
          <w:color w:val="auto"/>
          <w:highlight w:val="none"/>
        </w:rPr>
        <w:fldChar w:fldCharType="separate"/>
      </w:r>
      <w:r>
        <w:rPr>
          <w:color w:val="auto"/>
          <w:highlight w:val="none"/>
        </w:rPr>
        <w:t>90</w:t>
      </w:r>
      <w:r>
        <w:rPr>
          <w:color w:val="auto"/>
          <w:highlight w:val="none"/>
        </w:rPr>
        <w:fldChar w:fldCharType="end"/>
      </w:r>
      <w:r>
        <w:rPr>
          <w:rFonts w:hint="eastAsia" w:ascii="宋体" w:hAnsi="宋体" w:eastAsia="宋体" w:cs="宋体"/>
          <w:color w:val="auto"/>
          <w:highlight w:val="none"/>
        </w:rPr>
        <w:fldChar w:fldCharType="end"/>
      </w:r>
    </w:p>
    <w:p w14:paraId="7D4BACA0">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_Toc23720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附件十</w:t>
      </w:r>
      <w:r>
        <w:rPr>
          <w:rFonts w:hint="eastAsia" w:ascii="宋体" w:hAnsi="宋体" w:cs="宋体"/>
          <w:bCs/>
          <w:color w:val="auto"/>
          <w:highlight w:val="none"/>
          <w:lang w:val="en-US" w:eastAsia="zh-CN"/>
        </w:rPr>
        <w:t>四</w:t>
      </w:r>
      <w:r>
        <w:rPr>
          <w:rFonts w:hint="eastAsia" w:ascii="宋体" w:hAnsi="宋体" w:eastAsia="宋体" w:cs="宋体"/>
          <w:bCs/>
          <w:color w:val="auto"/>
          <w:highlight w:val="none"/>
        </w:rPr>
        <w:t>：开标一览表</w:t>
      </w:r>
      <w:r>
        <w:rPr>
          <w:color w:val="auto"/>
          <w:highlight w:val="none"/>
        </w:rPr>
        <w:tab/>
      </w:r>
      <w:r>
        <w:rPr>
          <w:color w:val="auto"/>
          <w:highlight w:val="none"/>
        </w:rPr>
        <w:fldChar w:fldCharType="begin"/>
      </w:r>
      <w:r>
        <w:rPr>
          <w:color w:val="auto"/>
          <w:highlight w:val="none"/>
        </w:rPr>
        <w:instrText xml:space="preserve"> PAGEREF _Toc23720 \h </w:instrText>
      </w:r>
      <w:r>
        <w:rPr>
          <w:color w:val="auto"/>
          <w:highlight w:val="none"/>
        </w:rPr>
        <w:fldChar w:fldCharType="separate"/>
      </w:r>
      <w:r>
        <w:rPr>
          <w:color w:val="auto"/>
          <w:highlight w:val="none"/>
        </w:rPr>
        <w:t>91</w:t>
      </w:r>
      <w:r>
        <w:rPr>
          <w:color w:val="auto"/>
          <w:highlight w:val="none"/>
        </w:rPr>
        <w:fldChar w:fldCharType="end"/>
      </w:r>
      <w:r>
        <w:rPr>
          <w:rFonts w:hint="eastAsia" w:ascii="宋体" w:hAnsi="宋体" w:eastAsia="宋体" w:cs="宋体"/>
          <w:color w:val="auto"/>
          <w:highlight w:val="none"/>
        </w:rPr>
        <w:fldChar w:fldCharType="end"/>
      </w:r>
    </w:p>
    <w:p w14:paraId="500B944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_Toc4660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附件十</w:t>
      </w:r>
      <w:r>
        <w:rPr>
          <w:rFonts w:hint="eastAsia" w:ascii="宋体" w:hAnsi="宋体" w:cs="宋体"/>
          <w:bCs/>
          <w:color w:val="auto"/>
          <w:highlight w:val="none"/>
          <w:lang w:val="en-US" w:eastAsia="zh-CN"/>
        </w:rPr>
        <w:t>五</w:t>
      </w:r>
      <w:r>
        <w:rPr>
          <w:rFonts w:hint="eastAsia" w:ascii="宋体" w:hAnsi="宋体" w:eastAsia="宋体" w:cs="宋体"/>
          <w:bCs/>
          <w:color w:val="auto"/>
          <w:highlight w:val="none"/>
        </w:rPr>
        <w:t>：残疾人福利性单位声明函</w:t>
      </w:r>
      <w:r>
        <w:rPr>
          <w:color w:val="auto"/>
          <w:highlight w:val="none"/>
        </w:rPr>
        <w:tab/>
      </w:r>
      <w:r>
        <w:rPr>
          <w:color w:val="auto"/>
          <w:highlight w:val="none"/>
        </w:rPr>
        <w:fldChar w:fldCharType="begin"/>
      </w:r>
      <w:r>
        <w:rPr>
          <w:color w:val="auto"/>
          <w:highlight w:val="none"/>
        </w:rPr>
        <w:instrText xml:space="preserve"> PAGEREF _Toc4660 \h </w:instrText>
      </w:r>
      <w:r>
        <w:rPr>
          <w:color w:val="auto"/>
          <w:highlight w:val="none"/>
        </w:rPr>
        <w:fldChar w:fldCharType="separate"/>
      </w:r>
      <w:r>
        <w:rPr>
          <w:color w:val="auto"/>
          <w:highlight w:val="none"/>
        </w:rPr>
        <w:t>92</w:t>
      </w:r>
      <w:r>
        <w:rPr>
          <w:color w:val="auto"/>
          <w:highlight w:val="none"/>
        </w:rPr>
        <w:fldChar w:fldCharType="end"/>
      </w:r>
      <w:r>
        <w:rPr>
          <w:rFonts w:hint="eastAsia" w:ascii="宋体" w:hAnsi="宋体" w:eastAsia="宋体" w:cs="宋体"/>
          <w:color w:val="auto"/>
          <w:highlight w:val="none"/>
        </w:rPr>
        <w:fldChar w:fldCharType="end"/>
      </w:r>
    </w:p>
    <w:p w14:paraId="3751062F">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_Toc2070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附件十</w:t>
      </w:r>
      <w:r>
        <w:rPr>
          <w:rFonts w:hint="eastAsia" w:ascii="宋体" w:hAnsi="宋体" w:cs="宋体"/>
          <w:bCs/>
          <w:color w:val="auto"/>
          <w:highlight w:val="none"/>
          <w:lang w:val="en-US" w:eastAsia="zh-CN"/>
        </w:rPr>
        <w:t>六</w:t>
      </w:r>
      <w:r>
        <w:rPr>
          <w:rFonts w:hint="eastAsia" w:ascii="宋体" w:hAnsi="宋体" w:eastAsia="宋体" w:cs="宋体"/>
          <w:bCs/>
          <w:color w:val="auto"/>
          <w:highlight w:val="none"/>
        </w:rPr>
        <w:t>：</w:t>
      </w:r>
      <w:r>
        <w:rPr>
          <w:rFonts w:hint="eastAsia" w:ascii="宋体" w:hAnsi="宋体" w:cs="宋体"/>
          <w:bCs/>
          <w:color w:val="auto"/>
          <w:highlight w:val="none"/>
        </w:rPr>
        <w:t>中小企业声明函（货物）</w:t>
      </w:r>
      <w:r>
        <w:rPr>
          <w:color w:val="auto"/>
          <w:highlight w:val="none"/>
        </w:rPr>
        <w:tab/>
      </w:r>
      <w:r>
        <w:rPr>
          <w:color w:val="auto"/>
          <w:highlight w:val="none"/>
        </w:rPr>
        <w:fldChar w:fldCharType="begin"/>
      </w:r>
      <w:r>
        <w:rPr>
          <w:color w:val="auto"/>
          <w:highlight w:val="none"/>
        </w:rPr>
        <w:instrText xml:space="preserve"> PAGEREF _Toc2070 \h </w:instrText>
      </w:r>
      <w:r>
        <w:rPr>
          <w:color w:val="auto"/>
          <w:highlight w:val="none"/>
        </w:rPr>
        <w:fldChar w:fldCharType="separate"/>
      </w:r>
      <w:r>
        <w:rPr>
          <w:color w:val="auto"/>
          <w:highlight w:val="none"/>
        </w:rPr>
        <w:t>93</w:t>
      </w:r>
      <w:r>
        <w:rPr>
          <w:color w:val="auto"/>
          <w:highlight w:val="none"/>
        </w:rPr>
        <w:fldChar w:fldCharType="end"/>
      </w:r>
      <w:r>
        <w:rPr>
          <w:rFonts w:hint="eastAsia" w:ascii="宋体" w:hAnsi="宋体" w:eastAsia="宋体" w:cs="宋体"/>
          <w:color w:val="auto"/>
          <w:highlight w:val="none"/>
        </w:rPr>
        <w:fldChar w:fldCharType="end"/>
      </w:r>
    </w:p>
    <w:p w14:paraId="5193B0A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_Toc11349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w:t>
      </w:r>
      <w:r>
        <w:rPr>
          <w:rFonts w:hint="eastAsia" w:ascii="宋体" w:hAnsi="宋体" w:cs="宋体"/>
          <w:bCs/>
          <w:color w:val="auto"/>
          <w:highlight w:val="none"/>
          <w:lang w:val="en-US" w:eastAsia="zh-CN"/>
        </w:rPr>
        <w:t>十七</w:t>
      </w:r>
      <w:r>
        <w:rPr>
          <w:rFonts w:hint="eastAsia" w:ascii="宋体" w:hAnsi="宋体" w:eastAsia="宋体" w:cs="宋体"/>
          <w:bCs/>
          <w:color w:val="auto"/>
          <w:highlight w:val="none"/>
        </w:rPr>
        <w:t>：东阳市采购项目验收方案</w:t>
      </w:r>
      <w:r>
        <w:rPr>
          <w:color w:val="auto"/>
          <w:highlight w:val="none"/>
        </w:rPr>
        <w:tab/>
      </w:r>
      <w:r>
        <w:rPr>
          <w:color w:val="auto"/>
          <w:highlight w:val="none"/>
        </w:rPr>
        <w:fldChar w:fldCharType="begin"/>
      </w:r>
      <w:r>
        <w:rPr>
          <w:color w:val="auto"/>
          <w:highlight w:val="none"/>
        </w:rPr>
        <w:instrText xml:space="preserve"> PAGEREF _Toc11349 \h </w:instrText>
      </w:r>
      <w:r>
        <w:rPr>
          <w:color w:val="auto"/>
          <w:highlight w:val="none"/>
        </w:rPr>
        <w:fldChar w:fldCharType="separate"/>
      </w:r>
      <w:r>
        <w:rPr>
          <w:color w:val="auto"/>
          <w:highlight w:val="none"/>
        </w:rPr>
        <w:t>93</w:t>
      </w:r>
      <w:r>
        <w:rPr>
          <w:color w:val="auto"/>
          <w:highlight w:val="none"/>
        </w:rPr>
        <w:fldChar w:fldCharType="end"/>
      </w:r>
      <w:r>
        <w:rPr>
          <w:rFonts w:hint="eastAsia" w:ascii="宋体" w:hAnsi="宋体" w:eastAsia="宋体" w:cs="宋体"/>
          <w:color w:val="auto"/>
          <w:highlight w:val="none"/>
        </w:rPr>
        <w:fldChar w:fldCharType="end"/>
      </w:r>
    </w:p>
    <w:p w14:paraId="51885C33">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_Toc4504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附件</w:t>
      </w:r>
      <w:r>
        <w:rPr>
          <w:rFonts w:hint="eastAsia" w:ascii="宋体" w:hAnsi="宋体" w:cs="宋体"/>
          <w:bCs/>
          <w:color w:val="auto"/>
          <w:highlight w:val="none"/>
          <w:lang w:val="en-US" w:eastAsia="zh-CN"/>
        </w:rPr>
        <w:t>十八</w:t>
      </w:r>
      <w:r>
        <w:rPr>
          <w:rFonts w:hint="eastAsia" w:ascii="宋体" w:hAnsi="宋体" w:eastAsia="宋体" w:cs="宋体"/>
          <w:bCs/>
          <w:color w:val="auto"/>
          <w:highlight w:val="none"/>
        </w:rPr>
        <w:t>：东阳市政府采购代理机构社会评价表</w:t>
      </w:r>
      <w:r>
        <w:rPr>
          <w:color w:val="auto"/>
          <w:highlight w:val="none"/>
        </w:rPr>
        <w:tab/>
      </w:r>
      <w:r>
        <w:rPr>
          <w:color w:val="auto"/>
          <w:highlight w:val="none"/>
        </w:rPr>
        <w:fldChar w:fldCharType="begin"/>
      </w:r>
      <w:r>
        <w:rPr>
          <w:color w:val="auto"/>
          <w:highlight w:val="none"/>
        </w:rPr>
        <w:instrText xml:space="preserve"> PAGEREF _Toc4504 \h </w:instrText>
      </w:r>
      <w:r>
        <w:rPr>
          <w:color w:val="auto"/>
          <w:highlight w:val="none"/>
        </w:rPr>
        <w:fldChar w:fldCharType="separate"/>
      </w:r>
      <w:r>
        <w:rPr>
          <w:color w:val="auto"/>
          <w:highlight w:val="none"/>
        </w:rPr>
        <w:t>95</w:t>
      </w:r>
      <w:r>
        <w:rPr>
          <w:color w:val="auto"/>
          <w:highlight w:val="none"/>
        </w:rPr>
        <w:fldChar w:fldCharType="end"/>
      </w:r>
      <w:r>
        <w:rPr>
          <w:rFonts w:hint="eastAsia" w:ascii="宋体" w:hAnsi="宋体" w:eastAsia="宋体" w:cs="宋体"/>
          <w:color w:val="auto"/>
          <w:highlight w:val="none"/>
        </w:rPr>
        <w:fldChar w:fldCharType="end"/>
      </w:r>
    </w:p>
    <w:p w14:paraId="5FDCE572">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4"/>
          <w:highlight w:val="none"/>
        </w:rPr>
        <w:t>附件</w:t>
      </w:r>
      <w:r>
        <w:rPr>
          <w:rFonts w:hint="eastAsia" w:ascii="宋体" w:hAnsi="宋体" w:eastAsia="宋体" w:cs="宋体"/>
          <w:color w:val="auto"/>
          <w:szCs w:val="24"/>
          <w:highlight w:val="none"/>
          <w:lang w:val="en-US" w:eastAsia="zh-CN"/>
        </w:rPr>
        <w:t>十九</w:t>
      </w:r>
      <w:r>
        <w:rPr>
          <w:rFonts w:hint="eastAsia" w:ascii="宋体" w:hAnsi="宋体" w:eastAsia="宋体" w:cs="宋体"/>
          <w:color w:val="auto"/>
          <w:szCs w:val="24"/>
          <w:highlight w:val="none"/>
        </w:rPr>
        <w:t>：办理保函需提供资料</w:t>
      </w:r>
      <w:r>
        <w:rPr>
          <w:color w:val="auto"/>
          <w:highlight w:val="none"/>
        </w:rPr>
        <w:tab/>
      </w:r>
      <w:r>
        <w:rPr>
          <w:color w:val="auto"/>
          <w:highlight w:val="none"/>
        </w:rPr>
        <w:fldChar w:fldCharType="begin"/>
      </w:r>
      <w:r>
        <w:rPr>
          <w:color w:val="auto"/>
          <w:highlight w:val="none"/>
        </w:rPr>
        <w:instrText xml:space="preserve"> PAGEREF _Toc189 \h </w:instrText>
      </w:r>
      <w:r>
        <w:rPr>
          <w:color w:val="auto"/>
          <w:highlight w:val="none"/>
        </w:rPr>
        <w:fldChar w:fldCharType="separate"/>
      </w:r>
      <w:r>
        <w:rPr>
          <w:color w:val="auto"/>
          <w:highlight w:val="none"/>
        </w:rPr>
        <w:t>96</w:t>
      </w:r>
      <w:r>
        <w:rPr>
          <w:color w:val="auto"/>
          <w:highlight w:val="none"/>
        </w:rPr>
        <w:fldChar w:fldCharType="end"/>
      </w:r>
      <w:r>
        <w:rPr>
          <w:rFonts w:hint="eastAsia" w:ascii="宋体" w:hAnsi="宋体" w:eastAsia="宋体" w:cs="宋体"/>
          <w:color w:val="auto"/>
          <w:highlight w:val="none"/>
        </w:rPr>
        <w:fldChar w:fldCharType="end"/>
      </w:r>
    </w:p>
    <w:p w14:paraId="6525FB07">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_Toc22449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二十</w:t>
      </w:r>
      <w:r>
        <w:rPr>
          <w:rFonts w:hint="eastAsia" w:ascii="宋体" w:hAnsi="宋体" w:eastAsia="宋体" w:cs="宋体"/>
          <w:color w:val="auto"/>
          <w:highlight w:val="none"/>
        </w:rPr>
        <w:t>：质疑函范本</w:t>
      </w:r>
      <w:r>
        <w:rPr>
          <w:color w:val="auto"/>
          <w:highlight w:val="none"/>
        </w:rPr>
        <w:tab/>
      </w:r>
      <w:r>
        <w:rPr>
          <w:color w:val="auto"/>
          <w:highlight w:val="none"/>
        </w:rPr>
        <w:fldChar w:fldCharType="begin"/>
      </w:r>
      <w:r>
        <w:rPr>
          <w:color w:val="auto"/>
          <w:highlight w:val="none"/>
        </w:rPr>
        <w:instrText xml:space="preserve"> PAGEREF _Toc22449 \h </w:instrText>
      </w:r>
      <w:r>
        <w:rPr>
          <w:color w:val="auto"/>
          <w:highlight w:val="none"/>
        </w:rPr>
        <w:fldChar w:fldCharType="separate"/>
      </w:r>
      <w:r>
        <w:rPr>
          <w:color w:val="auto"/>
          <w:highlight w:val="none"/>
        </w:rPr>
        <w:t>98</w:t>
      </w:r>
      <w:r>
        <w:rPr>
          <w:color w:val="auto"/>
          <w:highlight w:val="none"/>
        </w:rPr>
        <w:fldChar w:fldCharType="end"/>
      </w:r>
      <w:r>
        <w:rPr>
          <w:rFonts w:hint="eastAsia" w:ascii="宋体" w:hAnsi="宋体" w:eastAsia="宋体" w:cs="宋体"/>
          <w:color w:val="auto"/>
          <w:highlight w:val="none"/>
        </w:rPr>
        <w:fldChar w:fldCharType="end"/>
      </w:r>
    </w:p>
    <w:p w14:paraId="6768CDF4">
      <w:pPr>
        <w:pStyle w:val="28"/>
        <w:shd w:val="clear"/>
        <w:tabs>
          <w:tab w:val="right" w:leader="dot" w:pos="9524"/>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_Toc8730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附件</w:t>
      </w:r>
      <w:r>
        <w:rPr>
          <w:rFonts w:hint="eastAsia" w:ascii="宋体" w:hAnsi="宋体" w:eastAsia="宋体" w:cs="宋体"/>
          <w:color w:val="auto"/>
          <w:highlight w:val="none"/>
          <w:lang w:val="en-US" w:eastAsia="zh-CN"/>
        </w:rPr>
        <w:t>二十一</w:t>
      </w:r>
      <w:r>
        <w:rPr>
          <w:rFonts w:hint="eastAsia" w:ascii="宋体" w:hAnsi="宋体" w:eastAsia="宋体" w:cs="宋体"/>
          <w:color w:val="auto"/>
          <w:highlight w:val="none"/>
        </w:rPr>
        <w:t>：投诉书范本</w:t>
      </w:r>
      <w:r>
        <w:rPr>
          <w:color w:val="auto"/>
          <w:highlight w:val="none"/>
        </w:rPr>
        <w:tab/>
      </w:r>
      <w:r>
        <w:rPr>
          <w:color w:val="auto"/>
          <w:highlight w:val="none"/>
        </w:rPr>
        <w:fldChar w:fldCharType="begin"/>
      </w:r>
      <w:r>
        <w:rPr>
          <w:color w:val="auto"/>
          <w:highlight w:val="none"/>
        </w:rPr>
        <w:instrText xml:space="preserve"> PAGEREF _Toc8730 \h </w:instrText>
      </w:r>
      <w:r>
        <w:rPr>
          <w:color w:val="auto"/>
          <w:highlight w:val="none"/>
        </w:rPr>
        <w:fldChar w:fldCharType="separate"/>
      </w:r>
      <w:r>
        <w:rPr>
          <w:color w:val="auto"/>
          <w:highlight w:val="none"/>
        </w:rPr>
        <w:t>100</w:t>
      </w:r>
      <w:r>
        <w:rPr>
          <w:color w:val="auto"/>
          <w:highlight w:val="none"/>
        </w:rPr>
        <w:fldChar w:fldCharType="end"/>
      </w:r>
      <w:r>
        <w:rPr>
          <w:rFonts w:hint="eastAsia" w:ascii="宋体" w:hAnsi="宋体" w:eastAsia="宋体" w:cs="宋体"/>
          <w:color w:val="auto"/>
          <w:highlight w:val="none"/>
        </w:rPr>
        <w:fldChar w:fldCharType="end"/>
      </w:r>
    </w:p>
    <w:p w14:paraId="68F3D029">
      <w:pPr>
        <w:pStyle w:val="30"/>
        <w:shd w:val="clear"/>
        <w:tabs>
          <w:tab w:val="right" w:leader="dot" w:pos="9402"/>
        </w:tabs>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highlight w:val="none"/>
        </w:rPr>
        <w:fldChar w:fldCharType="end"/>
      </w:r>
    </w:p>
    <w:p w14:paraId="688297F1">
      <w:pPr>
        <w:shd w:val="clear"/>
        <w:spacing w:line="360" w:lineRule="auto"/>
        <w:rPr>
          <w:rFonts w:hint="eastAsia" w:ascii="宋体" w:hAnsi="宋体" w:eastAsia="宋体" w:cs="宋体"/>
          <w:color w:val="auto"/>
          <w:sz w:val="24"/>
          <w:highlight w:val="none"/>
        </w:rPr>
      </w:pPr>
    </w:p>
    <w:p w14:paraId="5BF5A9F3">
      <w:pPr>
        <w:pStyle w:val="30"/>
        <w:pageBreakBefore/>
        <w:shd w:val="clear"/>
        <w:tabs>
          <w:tab w:val="right" w:leader="dot" w:pos="9402"/>
        </w:tabs>
        <w:spacing w:line="460" w:lineRule="exact"/>
        <w:jc w:val="center"/>
        <w:outlineLvl w:val="0"/>
        <w:rPr>
          <w:rFonts w:hint="eastAsia" w:ascii="宋体" w:hAnsi="宋体" w:eastAsia="宋体" w:cs="宋体"/>
          <w:b/>
          <w:color w:val="auto"/>
          <w:sz w:val="24"/>
          <w:highlight w:val="none"/>
        </w:rPr>
      </w:pPr>
      <w:bookmarkStart w:id="2" w:name="_Toc23496"/>
      <w:r>
        <w:rPr>
          <w:rFonts w:hint="eastAsia" w:ascii="宋体" w:hAnsi="宋体" w:eastAsia="宋体" w:cs="宋体"/>
          <w:b/>
          <w:color w:val="auto"/>
          <w:sz w:val="24"/>
          <w:highlight w:val="none"/>
        </w:rPr>
        <w:t>第一章  公开招标采购公告</w:t>
      </w:r>
      <w:bookmarkEnd w:id="2"/>
      <w:r>
        <w:rPr>
          <w:rFonts w:hint="eastAsia" w:ascii="宋体" w:hAnsi="宋体" w:eastAsia="宋体" w:cs="宋体"/>
          <w:b/>
          <w:color w:val="auto"/>
          <w:sz w:val="24"/>
          <w:highlight w:val="none"/>
        </w:rPr>
        <w:t xml:space="preserve"> </w:t>
      </w:r>
    </w:p>
    <w:p w14:paraId="3571BA03">
      <w:pPr>
        <w:keepNext w:val="0"/>
        <w:keepLines w:val="0"/>
        <w:pageBreakBefore w:val="0"/>
        <w:pBdr>
          <w:top w:val="single" w:color="auto" w:sz="4" w:space="1"/>
          <w:left w:val="single" w:color="auto" w:sz="4" w:space="4"/>
          <w:bottom w:val="single" w:color="auto" w:sz="4" w:space="1"/>
          <w:right w:val="single" w:color="auto" w:sz="4" w:space="4"/>
        </w:pBdr>
        <w:shd w:val="clear"/>
        <w:kinsoku/>
        <w:wordWrap/>
        <w:overflowPunct/>
        <w:topLinePunct w:val="0"/>
        <w:autoSpaceDE/>
        <w:autoSpaceDN/>
        <w:bidi w:val="0"/>
        <w:adjustRightInd/>
        <w:spacing w:line="5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项目概况</w:t>
      </w:r>
    </w:p>
    <w:p w14:paraId="0F91525D">
      <w:pPr>
        <w:keepNext w:val="0"/>
        <w:keepLines w:val="0"/>
        <w:pageBreakBefore w:val="0"/>
        <w:pBdr>
          <w:top w:val="single" w:color="auto" w:sz="4" w:space="1"/>
          <w:left w:val="single" w:color="auto" w:sz="4" w:space="4"/>
          <w:bottom w:val="single" w:color="auto" w:sz="4" w:space="1"/>
          <w:right w:val="single" w:color="auto" w:sz="4" w:space="4"/>
        </w:pBdr>
        <w:shd w:val="clear"/>
        <w:kinsoku/>
        <w:wordWrap/>
        <w:overflowPunct/>
        <w:topLinePunct w:val="0"/>
        <w:autoSpaceDE/>
        <w:autoSpaceDN/>
        <w:bidi w:val="0"/>
        <w:adjustRightInd/>
        <w:spacing w:line="560" w:lineRule="exact"/>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东阳市江北综合医院（东阳市红会医院迁建工程）厨房设备采购项目</w:t>
      </w:r>
      <w:r>
        <w:rPr>
          <w:rFonts w:hint="eastAsia" w:ascii="宋体" w:hAnsi="宋体" w:eastAsia="宋体" w:cs="宋体"/>
          <w:color w:val="auto"/>
          <w:sz w:val="24"/>
          <w:highlight w:val="none"/>
        </w:rPr>
        <w:t>的潜在投标人应在浙江政府采购网（http://zfcg.czt.zj.gov.cn/）；东阳市公共资源交易网(http://www.dongyang.gov.cn/ggzyjy/index.html)获取（下载）招标文件，并于</w:t>
      </w:r>
      <w:r>
        <w:rPr>
          <w:rFonts w:hint="eastAsia" w:ascii="宋体" w:hAnsi="宋体" w:cs="宋体"/>
          <w:color w:val="auto"/>
          <w:sz w:val="24"/>
          <w:highlight w:val="none"/>
          <w:lang w:eastAsia="zh-CN"/>
        </w:rPr>
        <w:t>202</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年</w:t>
      </w:r>
      <w:r>
        <w:rPr>
          <w:rFonts w:hint="eastAsia" w:ascii="宋体" w:hAnsi="宋体" w:cs="宋体"/>
          <w:color w:val="auto"/>
          <w:sz w:val="24"/>
          <w:highlight w:val="none"/>
          <w:lang w:val="en-US" w:eastAsia="zh-CN"/>
        </w:rPr>
        <w:t>12</w:t>
      </w:r>
      <w:r>
        <w:rPr>
          <w:rFonts w:hint="eastAsia" w:ascii="宋体" w:hAnsi="宋体" w:cs="宋体"/>
          <w:color w:val="auto"/>
          <w:sz w:val="24"/>
          <w:highlight w:val="none"/>
          <w:lang w:eastAsia="zh-CN"/>
        </w:rPr>
        <w:t>月</w:t>
      </w:r>
      <w:r>
        <w:rPr>
          <w:rFonts w:hint="eastAsia" w:ascii="宋体" w:hAnsi="宋体" w:cs="宋体"/>
          <w:color w:val="auto"/>
          <w:sz w:val="24"/>
          <w:highlight w:val="none"/>
          <w:lang w:val="en-US" w:eastAsia="zh-CN"/>
        </w:rPr>
        <w:t>11</w:t>
      </w:r>
      <w:r>
        <w:rPr>
          <w:rFonts w:hint="eastAsia" w:ascii="宋体" w:hAnsi="宋体" w:cs="宋体"/>
          <w:color w:val="auto"/>
          <w:sz w:val="24"/>
          <w:highlight w:val="none"/>
          <w:lang w:eastAsia="zh-CN"/>
        </w:rPr>
        <w:t>日</w:t>
      </w:r>
      <w:r>
        <w:rPr>
          <w:rFonts w:hint="eastAsia" w:ascii="宋体" w:hAnsi="宋体" w:cs="宋体"/>
          <w:color w:val="auto"/>
          <w:sz w:val="24"/>
          <w:highlight w:val="none"/>
          <w:lang w:val="en-US" w:eastAsia="zh-CN"/>
        </w:rPr>
        <w:t>8</w:t>
      </w:r>
      <w:r>
        <w:rPr>
          <w:rFonts w:hint="eastAsia" w:ascii="宋体" w:hAnsi="宋体" w:cs="宋体"/>
          <w:color w:val="auto"/>
          <w:sz w:val="24"/>
          <w:highlight w:val="none"/>
          <w:lang w:eastAsia="zh-CN"/>
        </w:rPr>
        <w:t>时</w:t>
      </w:r>
      <w:r>
        <w:rPr>
          <w:rFonts w:hint="eastAsia" w:ascii="宋体" w:hAnsi="宋体" w:cs="宋体"/>
          <w:color w:val="auto"/>
          <w:sz w:val="24"/>
          <w:highlight w:val="none"/>
          <w:lang w:val="en-US" w:eastAsia="zh-CN"/>
        </w:rPr>
        <w:t>30</w:t>
      </w:r>
      <w:r>
        <w:rPr>
          <w:rFonts w:hint="eastAsia" w:ascii="宋体" w:hAnsi="宋体" w:cs="宋体"/>
          <w:color w:val="auto"/>
          <w:sz w:val="24"/>
          <w:highlight w:val="none"/>
          <w:lang w:eastAsia="zh-CN"/>
        </w:rPr>
        <w:t>分</w:t>
      </w:r>
      <w:r>
        <w:rPr>
          <w:rFonts w:hint="eastAsia" w:ascii="宋体" w:hAnsi="宋体" w:eastAsia="宋体" w:cs="宋体"/>
          <w:color w:val="auto"/>
          <w:sz w:val="24"/>
          <w:highlight w:val="none"/>
        </w:rPr>
        <w:t>（北京时间）前递交（上传）电子投标文件。</w:t>
      </w:r>
    </w:p>
    <w:p w14:paraId="5FD703DE">
      <w:pPr>
        <w:keepNext w:val="0"/>
        <w:keepLines w:val="0"/>
        <w:pageBreakBefore w:val="0"/>
        <w:numPr>
          <w:ilvl w:val="0"/>
          <w:numId w:val="5"/>
        </w:numPr>
        <w:shd w:val="clear"/>
        <w:kinsoku/>
        <w:wordWrap/>
        <w:overflowPunct/>
        <w:topLinePunct w:val="0"/>
        <w:autoSpaceDE/>
        <w:autoSpaceDN/>
        <w:bidi w:val="0"/>
        <w:adjustRightInd/>
        <w:snapToGrid w:val="0"/>
        <w:spacing w:line="56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项目基本情况</w:t>
      </w:r>
    </w:p>
    <w:p w14:paraId="56395960">
      <w:pPr>
        <w:keepNext w:val="0"/>
        <w:keepLines w:val="0"/>
        <w:pageBreakBefore w:val="0"/>
        <w:shd w:val="clear"/>
        <w:kinsoku/>
        <w:wordWrap/>
        <w:overflowPunct/>
        <w:topLinePunct w:val="0"/>
        <w:autoSpaceDE/>
        <w:autoSpaceDN/>
        <w:bidi w:val="0"/>
        <w:adjustRightInd/>
        <w:spacing w:line="560" w:lineRule="exact"/>
        <w:ind w:firstLine="482" w:firstLineChars="200"/>
        <w:rPr>
          <w:rFonts w:hint="eastAsia" w:ascii="宋体" w:hAnsi="宋体" w:cs="宋体"/>
          <w:b/>
          <w:bCs/>
          <w:color w:val="auto"/>
          <w:sz w:val="24"/>
          <w:highlight w:val="none"/>
          <w:lang w:val="en-US" w:eastAsia="zh-CN"/>
        </w:rPr>
      </w:pPr>
      <w:r>
        <w:rPr>
          <w:rFonts w:hint="eastAsia" w:ascii="宋体" w:hAnsi="宋体" w:eastAsia="宋体" w:cs="宋体"/>
          <w:b/>
          <w:bCs/>
          <w:color w:val="auto"/>
          <w:sz w:val="24"/>
          <w:highlight w:val="none"/>
        </w:rPr>
        <w:t>项目编号：</w:t>
      </w:r>
      <w:r>
        <w:rPr>
          <w:rFonts w:hint="eastAsia" w:ascii="宋体" w:hAnsi="宋体" w:cs="宋体"/>
          <w:b/>
          <w:bCs/>
          <w:color w:val="auto"/>
          <w:sz w:val="24"/>
          <w:highlight w:val="none"/>
          <w:lang w:val="en-US" w:eastAsia="zh-CN"/>
        </w:rPr>
        <w:t>XSZFCGDZ2024-302</w:t>
      </w:r>
    </w:p>
    <w:p w14:paraId="140FCE3A">
      <w:pPr>
        <w:keepNext w:val="0"/>
        <w:keepLines w:val="0"/>
        <w:pageBreakBefore w:val="0"/>
        <w:shd w:val="clear"/>
        <w:kinsoku/>
        <w:wordWrap/>
        <w:overflowPunct/>
        <w:topLinePunct w:val="0"/>
        <w:autoSpaceDE/>
        <w:autoSpaceDN/>
        <w:bidi w:val="0"/>
        <w:adjustRightInd/>
        <w:spacing w:line="560" w:lineRule="exact"/>
        <w:ind w:firstLine="482" w:firstLineChars="200"/>
        <w:rPr>
          <w:rFonts w:hint="eastAsia" w:ascii="宋体" w:hAnsi="宋体" w:cs="宋体"/>
          <w:b/>
          <w:bCs/>
          <w:color w:val="auto"/>
          <w:sz w:val="24"/>
          <w:highlight w:val="none"/>
          <w:lang w:val="en-US" w:eastAsia="zh-CN"/>
        </w:rPr>
      </w:pPr>
      <w:r>
        <w:rPr>
          <w:rFonts w:hint="eastAsia" w:ascii="宋体" w:hAnsi="宋体" w:eastAsia="宋体" w:cs="宋体"/>
          <w:b/>
          <w:bCs/>
          <w:color w:val="auto"/>
          <w:sz w:val="24"/>
          <w:highlight w:val="none"/>
        </w:rPr>
        <w:t>项目名称：</w:t>
      </w:r>
      <w:r>
        <w:rPr>
          <w:rFonts w:hint="eastAsia" w:ascii="宋体" w:hAnsi="宋体" w:cs="宋体"/>
          <w:b/>
          <w:bCs/>
          <w:color w:val="auto"/>
          <w:sz w:val="24"/>
          <w:highlight w:val="none"/>
          <w:lang w:val="en-US" w:eastAsia="zh-CN"/>
        </w:rPr>
        <w:t>东阳市江北综合医院（东阳市红会医院迁建工程）厨房设备采购项目</w:t>
      </w:r>
    </w:p>
    <w:p w14:paraId="0DB88A50">
      <w:pPr>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rPr>
        <w:t>预算金额（元）：</w:t>
      </w:r>
      <w:r>
        <w:rPr>
          <w:rFonts w:hint="eastAsia" w:ascii="宋体" w:hAnsi="宋体" w:cs="宋体"/>
          <w:bCs/>
          <w:color w:val="auto"/>
          <w:sz w:val="24"/>
          <w:highlight w:val="none"/>
          <w:lang w:val="en-US" w:eastAsia="zh-CN"/>
        </w:rPr>
        <w:t>950000元</w:t>
      </w:r>
    </w:p>
    <w:p w14:paraId="7012C2E2">
      <w:pPr>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cs="宋体"/>
          <w:color w:val="auto"/>
          <w:sz w:val="24"/>
          <w:highlight w:val="none"/>
          <w:lang w:val="en-US" w:eastAsia="zh-CN"/>
        </w:rPr>
      </w:pPr>
      <w:r>
        <w:rPr>
          <w:rFonts w:hint="eastAsia" w:ascii="宋体" w:hAnsi="宋体" w:eastAsia="宋体" w:cs="宋体"/>
          <w:bCs/>
          <w:color w:val="auto"/>
          <w:sz w:val="24"/>
          <w:highlight w:val="none"/>
        </w:rPr>
        <w:t>最高限价（元）：</w:t>
      </w:r>
    </w:p>
    <w:p w14:paraId="53EF8338">
      <w:pPr>
        <w:keepNext w:val="0"/>
        <w:keepLines w:val="0"/>
        <w:pageBreakBefore w:val="0"/>
        <w:shd w:val="clear"/>
        <w:kinsoku/>
        <w:wordWrap/>
        <w:overflowPunct/>
        <w:topLinePunct w:val="0"/>
        <w:autoSpaceDE/>
        <w:autoSpaceDN/>
        <w:bidi w:val="0"/>
        <w:adjustRightInd/>
        <w:spacing w:line="5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采购需求：</w:t>
      </w:r>
    </w:p>
    <w:p w14:paraId="5E597D9D">
      <w:pPr>
        <w:pStyle w:val="4"/>
        <w:keepNext w:val="0"/>
        <w:keepLines w:val="0"/>
        <w:pageBreakBefore w:val="0"/>
        <w:shd w:val="clear"/>
        <w:kinsoku/>
        <w:wordWrap/>
        <w:overflowPunct/>
        <w:topLinePunct w:val="0"/>
        <w:autoSpaceDE/>
        <w:autoSpaceDN/>
        <w:bidi w:val="0"/>
        <w:adjustRightInd/>
        <w:spacing w:line="560" w:lineRule="exact"/>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标项一：</w:t>
      </w:r>
    </w:p>
    <w:p w14:paraId="31DAE5B1">
      <w:pPr>
        <w:pStyle w:val="4"/>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标项名称：</w:t>
      </w:r>
      <w:r>
        <w:rPr>
          <w:rFonts w:hint="eastAsia" w:ascii="宋体" w:hAnsi="宋体" w:cs="宋体"/>
          <w:b w:val="0"/>
          <w:bCs w:val="0"/>
          <w:color w:val="auto"/>
          <w:sz w:val="24"/>
          <w:highlight w:val="none"/>
          <w:lang w:val="en-US" w:eastAsia="zh-CN"/>
        </w:rPr>
        <w:t>东阳市江北综合医院（东阳市红会医院迁建工程）厨房设备采购项目</w:t>
      </w:r>
    </w:p>
    <w:p w14:paraId="702C9EEF">
      <w:pPr>
        <w:pStyle w:val="4"/>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数量：</w:t>
      </w:r>
      <w:r>
        <w:rPr>
          <w:rFonts w:hint="eastAsia" w:ascii="宋体" w:hAnsi="宋体" w:cs="宋体"/>
          <w:b w:val="0"/>
          <w:bCs w:val="0"/>
          <w:color w:val="auto"/>
          <w:sz w:val="24"/>
          <w:highlight w:val="none"/>
          <w:lang w:val="en-US" w:eastAsia="zh-CN"/>
        </w:rPr>
        <w:t>1批</w:t>
      </w:r>
    </w:p>
    <w:p w14:paraId="07BCD91A">
      <w:pPr>
        <w:pStyle w:val="4"/>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预算金额（元）：</w:t>
      </w:r>
      <w:r>
        <w:rPr>
          <w:rFonts w:hint="eastAsia" w:ascii="宋体" w:hAnsi="宋体" w:cs="宋体"/>
          <w:bCs/>
          <w:color w:val="auto"/>
          <w:sz w:val="24"/>
          <w:highlight w:val="none"/>
          <w:lang w:val="en-US" w:eastAsia="zh-CN"/>
        </w:rPr>
        <w:t>950000元</w:t>
      </w:r>
    </w:p>
    <w:p w14:paraId="01CC4E98">
      <w:pPr>
        <w:pStyle w:val="4"/>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简要规格描述或项目基本概况介绍、用途：具体要求详见第二章招标需求</w:t>
      </w:r>
    </w:p>
    <w:p w14:paraId="7A66E66B">
      <w:pPr>
        <w:pStyle w:val="4"/>
        <w:keepNext w:val="0"/>
        <w:keepLines w:val="0"/>
        <w:pageBreakBefore w:val="0"/>
        <w:shd w:val="clear"/>
        <w:kinsoku/>
        <w:wordWrap/>
        <w:overflowPunct/>
        <w:topLinePunct w:val="0"/>
        <w:autoSpaceDE/>
        <w:autoSpaceDN/>
        <w:bidi w:val="0"/>
        <w:adjustRightInd/>
        <w:spacing w:line="560" w:lineRule="exact"/>
        <w:ind w:firstLine="480" w:firstLineChars="200"/>
        <w:rPr>
          <w:rFonts w:hint="eastAsia" w:ascii="宋体" w:hAnsi="宋体" w:eastAsia="宋体" w:cs="宋体"/>
          <w:b/>
          <w:bCs/>
          <w:color w:val="auto"/>
          <w:sz w:val="24"/>
          <w:highlight w:val="none"/>
          <w:lang w:val="en-US" w:eastAsia="zh-CN"/>
        </w:rPr>
      </w:pPr>
      <w:r>
        <w:rPr>
          <w:rFonts w:hint="eastAsia" w:ascii="宋体" w:hAnsi="宋体" w:eastAsia="宋体" w:cs="宋体"/>
          <w:b w:val="0"/>
          <w:bCs w:val="0"/>
          <w:color w:val="auto"/>
          <w:sz w:val="24"/>
          <w:highlight w:val="none"/>
          <w:lang w:val="en-US" w:eastAsia="zh-CN"/>
        </w:rPr>
        <w:t>备注：</w:t>
      </w:r>
    </w:p>
    <w:p w14:paraId="4A893408">
      <w:pPr>
        <w:pStyle w:val="4"/>
        <w:keepNext w:val="0"/>
        <w:keepLines w:val="0"/>
        <w:pageBreakBefore w:val="0"/>
        <w:shd w:val="clear"/>
        <w:kinsoku/>
        <w:wordWrap/>
        <w:overflowPunct/>
        <w:topLinePunct w:val="0"/>
        <w:autoSpaceDE/>
        <w:autoSpaceDN/>
        <w:bidi w:val="0"/>
        <w:adjustRightInd/>
        <w:spacing w:line="5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合同履约期限：详见招标文件</w:t>
      </w:r>
    </w:p>
    <w:p w14:paraId="28D9CB42">
      <w:pPr>
        <w:keepNext w:val="0"/>
        <w:keepLines w:val="0"/>
        <w:pageBreakBefore w:val="0"/>
        <w:shd w:val="clear"/>
        <w:kinsoku/>
        <w:wordWrap/>
        <w:overflowPunct/>
        <w:topLinePunct w:val="0"/>
        <w:autoSpaceDE/>
        <w:autoSpaceDN/>
        <w:bidi w:val="0"/>
        <w:adjustRightInd/>
        <w:snapToGrid w:val="0"/>
        <w:spacing w:line="56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本项目（是）接受联合体投标</w:t>
      </w:r>
    </w:p>
    <w:p w14:paraId="4A0A0C66">
      <w:pPr>
        <w:keepNext w:val="0"/>
        <w:keepLines w:val="0"/>
        <w:pageBreakBefore w:val="0"/>
        <w:shd w:val="clear"/>
        <w:kinsoku/>
        <w:wordWrap/>
        <w:overflowPunct/>
        <w:topLinePunct w:val="0"/>
        <w:autoSpaceDE/>
        <w:autoSpaceDN/>
        <w:bidi w:val="0"/>
        <w:adjustRightInd/>
        <w:snapToGrid w:val="0"/>
        <w:spacing w:line="560" w:lineRule="exact"/>
        <w:rPr>
          <w:rFonts w:hint="eastAsia" w:ascii="宋体" w:hAnsi="宋体" w:eastAsia="宋体" w:cs="宋体"/>
          <w:b/>
          <w:bCs/>
          <w:strike/>
          <w:color w:val="auto"/>
          <w:sz w:val="24"/>
          <w:highlight w:val="none"/>
        </w:rPr>
      </w:pP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4"/>
          <w:highlight w:val="none"/>
        </w:rPr>
        <w:t xml:space="preserve">二、申请人的资格要求： </w:t>
      </w:r>
    </w:p>
    <w:p w14:paraId="0522D613">
      <w:pPr>
        <w:pStyle w:val="4"/>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满足《中华人民共和国政府采购法》第二十二条规定；未被“信用中国”（www.creditchina.gov.cn)、中国政府采购网（www.ccgp.gov.cn）列入失信被执行人、重大税收违法案件当事人名单、政府采购严重违法失信行为记录名单。</w:t>
      </w:r>
    </w:p>
    <w:p w14:paraId="31BC8D77">
      <w:pPr>
        <w:pStyle w:val="4"/>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2.落实政府采购政策需满足的资格要求：根据《政府采购促进中小企业发展管理办法》有关规定，本项目仅面向中小型及以下企业响应投标。</w:t>
      </w:r>
    </w:p>
    <w:p w14:paraId="52ED1892">
      <w:pPr>
        <w:pStyle w:val="4"/>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3.本项目的特定资格要求：</w:t>
      </w:r>
    </w:p>
    <w:p w14:paraId="73ED680C">
      <w:pPr>
        <w:pStyle w:val="4"/>
        <w:keepNext w:val="0"/>
        <w:keepLines w:val="0"/>
        <w:pageBreakBefore w:val="0"/>
        <w:widowControl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（1）投标人须为浙江政府采购网注册的正式供应商或承诺中标后30天内注册为浙江政府采购网正式供应商。</w:t>
      </w:r>
    </w:p>
    <w:p w14:paraId="23E92384">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8"/>
          <w:szCs w:val="28"/>
          <w:highlight w:val="none"/>
          <w:lang w:val="en-US" w:eastAsia="zh-CN"/>
        </w:rPr>
        <w:t>▲</w:t>
      </w:r>
      <w:r>
        <w:rPr>
          <w:rFonts w:hint="eastAsia" w:ascii="宋体" w:hAnsi="宋体" w:eastAsia="宋体" w:cs="宋体"/>
          <w:b/>
          <w:bCs/>
          <w:color w:val="auto"/>
          <w:sz w:val="24"/>
          <w:highlight w:val="none"/>
        </w:rPr>
        <w:t xml:space="preserve">三、获取招标文件： </w:t>
      </w:r>
    </w:p>
    <w:p w14:paraId="41801047">
      <w:pPr>
        <w:keepNext w:val="0"/>
        <w:keepLines w:val="0"/>
        <w:pageBreakBefore w:val="0"/>
        <w:widowControl w:val="0"/>
        <w:shd w:val="clear"/>
        <w:kinsoku/>
        <w:wordWrap/>
        <w:overflowPunct/>
        <w:topLinePunct w:val="0"/>
        <w:autoSpaceDE/>
        <w:autoSpaceDN/>
        <w:bidi w:val="0"/>
        <w:adjustRightInd/>
        <w:spacing w:line="360" w:lineRule="auto"/>
        <w:ind w:firstLine="64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时间：/至</w:t>
      </w:r>
      <w:r>
        <w:rPr>
          <w:rFonts w:hint="eastAsia" w:ascii="宋体" w:hAnsi="宋体" w:cs="宋体"/>
          <w:color w:val="auto"/>
          <w:sz w:val="24"/>
          <w:highlight w:val="none"/>
          <w:lang w:eastAsia="zh-CN"/>
        </w:rPr>
        <w:t>2024年12月11日8时30分</w:t>
      </w:r>
      <w:r>
        <w:rPr>
          <w:rFonts w:hint="eastAsia" w:ascii="宋体" w:hAnsi="宋体" w:eastAsia="宋体" w:cs="宋体"/>
          <w:color w:val="auto"/>
          <w:sz w:val="24"/>
          <w:highlight w:val="none"/>
        </w:rPr>
        <w:t>，每天上午00：00至12:00，下午12:00至23:59（北京时间，线上获取法定节假日均可，线下获取文件法定节假日除外）</w:t>
      </w:r>
    </w:p>
    <w:p w14:paraId="3023392C">
      <w:pPr>
        <w:keepNext w:val="0"/>
        <w:keepLines w:val="0"/>
        <w:pageBreakBefore w:val="0"/>
        <w:widowControl w:val="0"/>
        <w:shd w:val="clear"/>
        <w:kinsoku/>
        <w:wordWrap/>
        <w:overflowPunct/>
        <w:topLinePunct w:val="0"/>
        <w:autoSpaceDE/>
        <w:autoSpaceDN/>
        <w:bidi w:val="0"/>
        <w:adjustRightInd/>
        <w:spacing w:line="360" w:lineRule="auto"/>
        <w:ind w:firstLine="64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地点（网址）：浙江政府采购网（http://zfcg.czt.zj.gov.cn/）； 东阳市公共资源交易网(http://www.dongyang.gov.cn/ggzyjy/index.html)</w:t>
      </w:r>
    </w:p>
    <w:p w14:paraId="274093E9">
      <w:pPr>
        <w:keepNext w:val="0"/>
        <w:keepLines w:val="0"/>
        <w:pageBreakBefore w:val="0"/>
        <w:widowControl w:val="0"/>
        <w:shd w:val="clea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方式：1、由投标人通过登录浙江省政府采购网(http://zfcg.czt.zj.gov.cn/)上的政采云系统进行获取（首次参加投标的单位应先登录浙江省政府采购网(http://zfcg.czt.zj.gov.cn/)进行账户注册，注册完毕待审核成功后方可登录政采云系统获取；注册流程见网址</w:t>
      </w:r>
    </w:p>
    <w:p w14:paraId="2816B8C4">
      <w:pPr>
        <w:keepNext w:val="0"/>
        <w:keepLines w:val="0"/>
        <w:pageBreakBefore w:val="0"/>
        <w:widowControl w:val="0"/>
        <w:shd w:val="clea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http://zfcg.czt.zj.gov.cn/register/2017-07-24/6728.html?_=2017-11-13%2011:10:28）；</w:t>
      </w:r>
    </w:p>
    <w:p w14:paraId="3E627F4D">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2、招标文件获取流程：浙江政府采购网-政采云用户登录-用户中心-项目采购-获取采购文件管理。</w:t>
      </w:r>
    </w:p>
    <w:p w14:paraId="153FEA91">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3、浙江政府采购网上以“游客”身份获取的采购文件仅供阅览；潜在供应商应按上述方式获取采购文件；未按上述方式获取采购文件的，不得对采购文件提起质疑投诉。</w:t>
      </w:r>
    </w:p>
    <w:p w14:paraId="698B8730">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售价（元）：0</w:t>
      </w:r>
    </w:p>
    <w:p w14:paraId="7892DD56">
      <w:pPr>
        <w:keepNext w:val="0"/>
        <w:keepLines w:val="0"/>
        <w:pageBreakBefore w:val="0"/>
        <w:shd w:val="clear"/>
        <w:kinsoku/>
        <w:wordWrap/>
        <w:overflowPunct/>
        <w:topLinePunct w:val="0"/>
        <w:autoSpaceDE/>
        <w:autoSpaceDN/>
        <w:bidi w:val="0"/>
        <w:adjustRightInd/>
        <w:snapToGrid w:val="0"/>
        <w:spacing w:line="56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四、提交投标文件截止时间、开标时间和地点</w:t>
      </w:r>
    </w:p>
    <w:p w14:paraId="5B09E01B">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提交投标文件截止时间：</w:t>
      </w:r>
      <w:r>
        <w:rPr>
          <w:rFonts w:hint="eastAsia" w:ascii="宋体" w:hAnsi="宋体" w:cs="宋体"/>
          <w:color w:val="auto"/>
          <w:sz w:val="24"/>
          <w:highlight w:val="none"/>
          <w:lang w:eastAsia="zh-CN"/>
        </w:rPr>
        <w:t>2024年12月11日8时30分</w:t>
      </w:r>
      <w:r>
        <w:rPr>
          <w:rFonts w:hint="eastAsia" w:ascii="宋体" w:hAnsi="宋体" w:eastAsia="宋体" w:cs="宋体"/>
          <w:color w:val="auto"/>
          <w:sz w:val="24"/>
          <w:highlight w:val="none"/>
        </w:rPr>
        <w:t>（北京时间）</w:t>
      </w:r>
    </w:p>
    <w:p w14:paraId="7E54DB89">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投标地点（网址）：政采云平台</w:t>
      </w:r>
    </w:p>
    <w:p w14:paraId="255D1F63">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开标时间：</w:t>
      </w:r>
      <w:r>
        <w:rPr>
          <w:rFonts w:hint="eastAsia" w:ascii="宋体" w:hAnsi="宋体" w:cs="宋体"/>
          <w:color w:val="auto"/>
          <w:sz w:val="24"/>
          <w:highlight w:val="none"/>
          <w:lang w:eastAsia="zh-CN"/>
        </w:rPr>
        <w:t>2024年12月11日8时30分</w:t>
      </w:r>
    </w:p>
    <w:p w14:paraId="3BDEB92B">
      <w:pPr>
        <w:keepNext w:val="0"/>
        <w:keepLines w:val="0"/>
        <w:pageBreakBefore w:val="0"/>
        <w:shd w:val="clear"/>
        <w:kinsoku/>
        <w:wordWrap/>
        <w:overflowPunct/>
        <w:topLinePunct w:val="0"/>
        <w:autoSpaceDE/>
        <w:autoSpaceDN/>
        <w:bidi w:val="0"/>
        <w:adjustRightInd/>
        <w:snapToGrid w:val="0"/>
        <w:spacing w:line="560" w:lineRule="exact"/>
        <w:ind w:firstLine="48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开标地点（网址）：政采云平台</w:t>
      </w:r>
    </w:p>
    <w:p w14:paraId="26789052">
      <w:pPr>
        <w:keepNext w:val="0"/>
        <w:keepLines w:val="0"/>
        <w:pageBreakBefore w:val="0"/>
        <w:numPr>
          <w:ilvl w:val="0"/>
          <w:numId w:val="6"/>
        </w:numPr>
        <w:shd w:val="clear"/>
        <w:kinsoku/>
        <w:wordWrap/>
        <w:overflowPunct/>
        <w:topLinePunct w:val="0"/>
        <w:autoSpaceDE/>
        <w:autoSpaceDN/>
        <w:bidi w:val="0"/>
        <w:adjustRightInd/>
        <w:snapToGrid w:val="0"/>
        <w:spacing w:line="560" w:lineRule="exac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采购意向公开链接</w:t>
      </w:r>
    </w:p>
    <w:p w14:paraId="27E64665">
      <w:pPr>
        <w:keepNext w:val="0"/>
        <w:keepLines w:val="0"/>
        <w:pageBreakBefore w:val="0"/>
        <w:shd w:val="clear"/>
        <w:kinsoku/>
        <w:wordWrap/>
        <w:overflowPunct/>
        <w:topLinePunct w:val="0"/>
        <w:autoSpaceDE/>
        <w:autoSpaceDN/>
        <w:bidi w:val="0"/>
        <w:adjustRightInd/>
        <w:snapToGrid w:val="0"/>
        <w:spacing w:line="560"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https://zfcg.czt.zj.gov.cn/luban/detail?parentId=600007&amp;articleId=owd/X7QnJwKmQ9BU5jlT7g==&amp;utm=web-micro-app-back-front.6da13629.0.0.cb306de06b2711ef923481a87c20ad20</w:t>
      </w:r>
    </w:p>
    <w:p w14:paraId="10042EE8">
      <w:pPr>
        <w:keepNext w:val="0"/>
        <w:keepLines w:val="0"/>
        <w:pageBreakBefore w:val="0"/>
        <w:shd w:val="clear"/>
        <w:kinsoku/>
        <w:wordWrap/>
        <w:overflowPunct/>
        <w:topLinePunct w:val="0"/>
        <w:autoSpaceDE/>
        <w:autoSpaceDN/>
        <w:bidi w:val="0"/>
        <w:adjustRightInd/>
        <w:snapToGrid w:val="0"/>
        <w:spacing w:line="56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六、</w:t>
      </w:r>
      <w:r>
        <w:rPr>
          <w:rFonts w:hint="eastAsia" w:ascii="宋体" w:hAnsi="宋体" w:eastAsia="宋体" w:cs="宋体"/>
          <w:b/>
          <w:bCs/>
          <w:color w:val="auto"/>
          <w:sz w:val="24"/>
          <w:highlight w:val="none"/>
        </w:rPr>
        <w:t>公告期限</w:t>
      </w:r>
    </w:p>
    <w:p w14:paraId="1D511500">
      <w:pPr>
        <w:keepNext w:val="0"/>
        <w:keepLines w:val="0"/>
        <w:pageBreakBefore w:val="0"/>
        <w:shd w:val="clear"/>
        <w:kinsoku/>
        <w:wordWrap/>
        <w:overflowPunct/>
        <w:topLinePunct w:val="0"/>
        <w:autoSpaceDE/>
        <w:autoSpaceDN/>
        <w:bidi w:val="0"/>
        <w:adjustRightInd/>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7AB78A37">
      <w:pPr>
        <w:keepNext w:val="0"/>
        <w:keepLines w:val="0"/>
        <w:pageBreakBefore w:val="0"/>
        <w:numPr>
          <w:ilvl w:val="0"/>
          <w:numId w:val="0"/>
        </w:numPr>
        <w:shd w:val="clear"/>
        <w:kinsoku/>
        <w:wordWrap/>
        <w:overflowPunct/>
        <w:topLinePunct w:val="0"/>
        <w:autoSpaceDE/>
        <w:autoSpaceDN/>
        <w:bidi w:val="0"/>
        <w:adjustRightInd/>
        <w:snapToGrid w:val="0"/>
        <w:spacing w:line="56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七、</w:t>
      </w:r>
      <w:r>
        <w:rPr>
          <w:rFonts w:hint="eastAsia" w:ascii="宋体" w:hAnsi="宋体" w:eastAsia="宋体" w:cs="宋体"/>
          <w:b/>
          <w:bCs/>
          <w:color w:val="auto"/>
          <w:sz w:val="24"/>
          <w:highlight w:val="none"/>
        </w:rPr>
        <w:t>其他补充事宜</w:t>
      </w:r>
    </w:p>
    <w:p w14:paraId="6260F21C">
      <w:pPr>
        <w:pStyle w:val="34"/>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360" w:lineRule="auto"/>
        <w:ind w:left="0" w:firstLine="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  </w:t>
      </w:r>
      <w:bookmarkStart w:id="3" w:name="_Toc28359085"/>
      <w:bookmarkStart w:id="4" w:name="_Toc35393627"/>
      <w:bookmarkStart w:id="5" w:name="_Toc28359008"/>
      <w:bookmarkStart w:id="6" w:name="_Toc35393796"/>
      <w:r>
        <w:rPr>
          <w:rFonts w:hint="eastAsia" w:ascii="宋体" w:hAnsi="宋体" w:eastAsia="宋体" w:cs="宋体"/>
          <w:b w:val="0"/>
          <w:bCs w:val="0"/>
          <w:color w:val="auto"/>
          <w:kern w:val="2"/>
          <w:sz w:val="24"/>
          <w:szCs w:val="24"/>
          <w:highlight w:val="none"/>
          <w:lang w:val="en-US" w:eastAsia="zh-CN" w:bidi="ar-SA"/>
        </w:rPr>
        <w:t xml:space="preserve">  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5C7550B">
      <w:pPr>
        <w:pStyle w:val="34"/>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360" w:lineRule="auto"/>
        <w:ind w:left="0"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2、其他事项：1.《浙江省财政厅关于进一步发挥政府采购政策功能全力推动经济稳进提质的通知》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w:t>
      </w:r>
      <w:r>
        <w:rPr>
          <w:rFonts w:hint="eastAsia" w:ascii="宋体" w:hAnsi="宋体" w:eastAsia="宋体" w:cs="宋体"/>
          <w:color w:val="auto"/>
          <w:kern w:val="2"/>
          <w:sz w:val="24"/>
          <w:szCs w:val="24"/>
          <w:highlight w:val="none"/>
          <w:lang w:val="en-US" w:eastAsia="zh-CN" w:bidi="ar-SA"/>
        </w:rPr>
        <w:t>〔2022〕8号）已分别于2022年1月29日、2022年2月1日和2022年7月1日开始实施，此前有关规定与上述文件内容不一致的，按上述文件要求执行。</w:t>
      </w:r>
    </w:p>
    <w:p w14:paraId="300CE83E">
      <w:pPr>
        <w:pStyle w:val="34"/>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Autospacing="0" w:line="360" w:lineRule="auto"/>
        <w:ind w:left="0" w:firstLine="240" w:firstLineChars="1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FB4BACE">
      <w:pPr>
        <w:keepNext w:val="0"/>
        <w:keepLines w:val="0"/>
        <w:pageBreakBefore w:val="0"/>
        <w:shd w:val="clea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14:paraId="749DF846">
      <w:pPr>
        <w:keepNext w:val="0"/>
        <w:keepLines w:val="0"/>
        <w:pageBreakBefore w:val="0"/>
        <w:shd w:val="clea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40E0E67C">
      <w:pPr>
        <w:keepNext w:val="0"/>
        <w:keepLines w:val="0"/>
        <w:pageBreakBefore w:val="0"/>
        <w:shd w:val="clea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项目实行电子投标，投标文件应按照本项目招标文件和政采云平台的要求编制、加密并递交。投标人在使用系统进行投标的过程中遇到涉及平台使用的任何问题，可致电政采云平台技术支持热线咨询，联系方式：</w:t>
      </w:r>
      <w:r>
        <w:rPr>
          <w:rFonts w:hint="eastAsia" w:ascii="宋体" w:hAnsi="宋体" w:eastAsia="宋体" w:cs="宋体"/>
          <w:color w:val="auto"/>
          <w:sz w:val="24"/>
          <w:szCs w:val="24"/>
          <w:highlight w:val="none"/>
          <w:lang w:val="en-US"/>
        </w:rPr>
        <w:t>95763</w:t>
      </w:r>
      <w:r>
        <w:rPr>
          <w:rFonts w:hint="eastAsia" w:ascii="宋体" w:hAnsi="宋体" w:eastAsia="宋体" w:cs="宋体"/>
          <w:color w:val="auto"/>
          <w:sz w:val="24"/>
          <w:szCs w:val="24"/>
          <w:highlight w:val="none"/>
        </w:rPr>
        <w:t>。</w:t>
      </w:r>
    </w:p>
    <w:p w14:paraId="20C9E71B">
      <w:pPr>
        <w:keepNext w:val="0"/>
        <w:keepLines w:val="0"/>
        <w:pageBreakBefore w:val="0"/>
        <w:shd w:val="clea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 标 人 应 在 开 标 前 完 成 CA 数 字 证 书 办 理 。 （ 办 理 流 程 详 见http://zfcg.czt.zj.gov.cn/bidClientTemplate/2019-05-27/12945.html）。完成 CA 数字证书办理预计一周左右，建议各投标人抓紧时间办理。</w:t>
      </w:r>
    </w:p>
    <w:p w14:paraId="12528061">
      <w:pPr>
        <w:keepNext w:val="0"/>
        <w:keepLines w:val="0"/>
        <w:pageBreakBefore w:val="0"/>
        <w:shd w:val="clear"/>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7.投标人通过政采云平台电子投标工具制作投标文件，电子投标工具请供应商自行前往浙江省政府采购网下载并安装，（下载网址：http://zfcg.czt.zj.gov.cn/bidClientTemplate/2019-08-30/12975.html），</w:t>
      </w:r>
    </w:p>
    <w:p w14:paraId="4C5A29A5">
      <w:pPr>
        <w:keepNext w:val="0"/>
        <w:keepLines w:val="0"/>
        <w:pageBreakBefore w:val="0"/>
        <w:shd w:val="clear"/>
        <w:kinsoku/>
        <w:wordWrap/>
        <w:overflowPunct/>
        <w:topLinePunct w:val="0"/>
        <w:autoSpaceDE/>
        <w:autoSpaceDN/>
        <w:bidi w:val="0"/>
        <w:snapToGrid w:val="0"/>
        <w:spacing w:line="360" w:lineRule="auto"/>
        <w:textAlignment w:val="auto"/>
        <w:rPr>
          <w:rStyle w:val="46"/>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 子 投 标 相 关 学 习 网 址 ：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"https://edu.zcygov.cn/luban/e-biding?utm=a0004.2ef5001f.0001.0109.2d44db10df9111e9b92b0f36d4889416。）" </w:instrText>
      </w:r>
      <w:r>
        <w:rPr>
          <w:rFonts w:hint="eastAsia" w:ascii="宋体" w:hAnsi="宋体" w:eastAsia="宋体" w:cs="宋体"/>
          <w:color w:val="auto"/>
          <w:sz w:val="24"/>
          <w:szCs w:val="24"/>
          <w:highlight w:val="none"/>
        </w:rPr>
        <w:fldChar w:fldCharType="separate"/>
      </w:r>
      <w:r>
        <w:rPr>
          <w:rStyle w:val="46"/>
          <w:rFonts w:hint="eastAsia" w:ascii="宋体" w:hAnsi="宋体" w:eastAsia="宋体" w:cs="宋体"/>
          <w:color w:val="auto"/>
          <w:sz w:val="24"/>
          <w:szCs w:val="24"/>
          <w:highlight w:val="none"/>
        </w:rPr>
        <w:t>https://edu.zcygov.cn/luban/e-biding?utm=a0004.2ef5001f.0001.0109.2d44db10df9111e9b92b0f36d4889416。）</w:t>
      </w:r>
      <w:r>
        <w:rPr>
          <w:rStyle w:val="46"/>
          <w:rFonts w:hint="eastAsia" w:ascii="宋体" w:hAnsi="宋体" w:eastAsia="宋体" w:cs="宋体"/>
          <w:color w:val="auto"/>
          <w:sz w:val="24"/>
          <w:szCs w:val="24"/>
          <w:highlight w:val="none"/>
        </w:rPr>
        <w:fldChar w:fldCharType="end"/>
      </w:r>
    </w:p>
    <w:p w14:paraId="10E0E8BD">
      <w:pPr>
        <w:keepNext w:val="0"/>
        <w:keepLines w:val="0"/>
        <w:pageBreakBefore w:val="0"/>
        <w:shd w:val="clear"/>
        <w:kinsoku/>
        <w:wordWrap/>
        <w:overflowPunct/>
        <w:topLinePunct w:val="0"/>
        <w:autoSpaceDE/>
        <w:autoSpaceDN/>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 xml:space="preserve">政府采购金融服务提示：为扩大政府采购金融服务面，除政采云网上金融服务合作银行外，东阳市范围内增加浙商银行金华分行东阳支行作为线下合作银行。   </w:t>
      </w:r>
    </w:p>
    <w:p w14:paraId="4D8D2F91">
      <w:pPr>
        <w:keepNext w:val="0"/>
        <w:keepLines w:val="0"/>
        <w:pageBreakBefore w:val="0"/>
        <w:shd w:val="clear"/>
        <w:kinsoku/>
        <w:wordWrap/>
        <w:overflowPunct/>
        <w:topLinePunct w:val="0"/>
        <w:autoSpaceDE/>
        <w:autoSpaceDN/>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浙商银行金华东阳支行  联系人：许燕  联系电话：13967983441  0579-86222992</w:t>
      </w:r>
    </w:p>
    <w:p w14:paraId="2E1FE836">
      <w:pPr>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八</w:t>
      </w:r>
      <w:r>
        <w:rPr>
          <w:rFonts w:hint="eastAsia" w:ascii="宋体" w:hAnsi="宋体" w:eastAsia="宋体" w:cs="宋体"/>
          <w:b/>
          <w:color w:val="auto"/>
          <w:sz w:val="24"/>
          <w:highlight w:val="none"/>
        </w:rPr>
        <w:t>、</w:t>
      </w:r>
      <w:bookmarkEnd w:id="3"/>
      <w:bookmarkEnd w:id="4"/>
      <w:bookmarkEnd w:id="5"/>
      <w:bookmarkEnd w:id="6"/>
      <w:r>
        <w:rPr>
          <w:rFonts w:hint="eastAsia" w:ascii="宋体" w:hAnsi="宋体" w:eastAsia="宋体" w:cs="宋体"/>
          <w:b/>
          <w:color w:val="auto"/>
          <w:sz w:val="24"/>
          <w:highlight w:val="none"/>
        </w:rPr>
        <w:t>对本次采购提出询问、质疑、投诉，请按以下方式联系。</w:t>
      </w:r>
    </w:p>
    <w:p w14:paraId="6BFC002B">
      <w:pPr>
        <w:keepNext w:val="0"/>
        <w:keepLines w:val="0"/>
        <w:pageBreakBefore w:val="0"/>
        <w:widowControl w:val="0"/>
        <w:shd w:val="clear"/>
        <w:kinsoku/>
        <w:wordWrap/>
        <w:overflowPunct/>
        <w:topLinePunct w:val="0"/>
        <w:autoSpaceDE/>
        <w:autoSpaceDN/>
        <w:bidi w:val="0"/>
        <w:adjustRightInd/>
        <w:spacing w:line="360" w:lineRule="auto"/>
        <w:ind w:firstLine="723" w:firstLineChars="300"/>
        <w:textAlignment w:val="auto"/>
        <w:rPr>
          <w:rFonts w:hint="default" w:ascii="宋体" w:hAnsi="宋体" w:eastAsia="宋体" w:cs="宋体"/>
          <w:b/>
          <w:bCs/>
          <w:color w:val="auto"/>
          <w:sz w:val="24"/>
          <w:highlight w:val="none"/>
          <w:lang w:val="en-US"/>
        </w:rPr>
      </w:pPr>
      <w:r>
        <w:rPr>
          <w:rFonts w:hint="eastAsia" w:ascii="宋体" w:hAnsi="宋体" w:eastAsia="宋体" w:cs="宋体"/>
          <w:b/>
          <w:bCs/>
          <w:color w:val="auto"/>
          <w:sz w:val="24"/>
          <w:highlight w:val="none"/>
        </w:rPr>
        <w:t xml:space="preserve">1.采购人信息  </w:t>
      </w:r>
    </w:p>
    <w:p w14:paraId="439197EC">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cs="宋体"/>
          <w:color w:val="auto"/>
          <w:sz w:val="24"/>
          <w:highlight w:val="none"/>
          <w:lang w:eastAsia="zh-CN"/>
        </w:rPr>
      </w:pPr>
      <w:bookmarkStart w:id="7" w:name="_Toc28359009"/>
      <w:bookmarkStart w:id="8" w:name="_Toc28359086"/>
      <w:r>
        <w:rPr>
          <w:rFonts w:hint="eastAsia" w:ascii="宋体" w:hAnsi="宋体" w:eastAsia="宋体" w:cs="宋体"/>
          <w:color w:val="auto"/>
          <w:sz w:val="24"/>
          <w:highlight w:val="none"/>
        </w:rPr>
        <w:t>名</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称：</w:t>
      </w:r>
      <w:r>
        <w:rPr>
          <w:rFonts w:hint="eastAsia" w:ascii="宋体" w:hAnsi="宋体" w:cs="宋体"/>
          <w:color w:val="auto"/>
          <w:sz w:val="24"/>
          <w:highlight w:val="none"/>
          <w:lang w:eastAsia="zh-CN"/>
        </w:rPr>
        <w:t>东阳市红会医院</w:t>
      </w:r>
    </w:p>
    <w:p w14:paraId="198CC93D">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址：</w:t>
      </w:r>
      <w:r>
        <w:rPr>
          <w:rFonts w:hint="eastAsia" w:ascii="宋体" w:hAnsi="宋体" w:cs="宋体"/>
          <w:color w:val="auto"/>
          <w:sz w:val="24"/>
          <w:highlight w:val="none"/>
        </w:rPr>
        <w:t>东阳市环城北路128号</w:t>
      </w:r>
    </w:p>
    <w:p w14:paraId="33D5D474">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val="en-US" w:eastAsia="zh-CN"/>
        </w:rPr>
        <w:t>金志伟</w:t>
      </w:r>
      <w:r>
        <w:rPr>
          <w:rFonts w:hint="default" w:ascii="宋体" w:hAnsi="宋体" w:cs="宋体"/>
          <w:color w:val="auto"/>
          <w:sz w:val="24"/>
          <w:highlight w:val="non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val="en-US" w:eastAsia="zh-CN"/>
        </w:rPr>
        <w:t>15005798657</w:t>
      </w:r>
      <w:r>
        <w:rPr>
          <w:rFonts w:hint="default" w:ascii="宋体" w:hAnsi="宋体" w:cs="宋体"/>
          <w:color w:val="auto"/>
          <w:sz w:val="24"/>
          <w:highlight w:val="none"/>
          <w:lang w:val="en-US" w:eastAsia="zh-CN"/>
        </w:rPr>
        <w:t xml:space="preserve">   </w:t>
      </w:r>
    </w:p>
    <w:p w14:paraId="3A591D41">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质疑联系人：</w:t>
      </w:r>
      <w:r>
        <w:rPr>
          <w:rFonts w:hint="eastAsia" w:ascii="宋体" w:hAnsi="宋体" w:eastAsia="宋体" w:cs="宋体"/>
          <w:color w:val="auto"/>
          <w:sz w:val="24"/>
          <w:highlight w:val="none"/>
          <w:lang w:val="en-US" w:eastAsia="zh-CN"/>
        </w:rPr>
        <w:t xml:space="preserve">何军民     </w:t>
      </w:r>
      <w:r>
        <w:rPr>
          <w:rFonts w:hint="eastAsia" w:ascii="宋体" w:hAnsi="宋体" w:eastAsia="宋体" w:cs="宋体"/>
          <w:color w:val="auto"/>
          <w:sz w:val="24"/>
          <w:highlight w:val="none"/>
          <w:lang w:eastAsia="zh-CN"/>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质疑联系方式：0579-86659120</w:t>
      </w:r>
      <w:r>
        <w:rPr>
          <w:rFonts w:hint="eastAsia" w:ascii="宋体" w:hAnsi="宋体" w:eastAsia="宋体" w:cs="宋体"/>
          <w:color w:val="auto"/>
          <w:sz w:val="24"/>
          <w:highlight w:val="none"/>
          <w:lang w:val="en-US" w:eastAsia="zh-CN"/>
        </w:rPr>
        <w:t xml:space="preserve"> </w:t>
      </w:r>
    </w:p>
    <w:p w14:paraId="6D73F0F1">
      <w:pPr>
        <w:keepNext w:val="0"/>
        <w:keepLines w:val="0"/>
        <w:pageBreakBefore w:val="0"/>
        <w:widowControl w:val="0"/>
        <w:shd w:val="clear"/>
        <w:kinsoku/>
        <w:wordWrap/>
        <w:overflowPunct/>
        <w:topLinePunct w:val="0"/>
        <w:autoSpaceDE/>
        <w:autoSpaceDN/>
        <w:bidi w:val="0"/>
        <w:adjustRightInd/>
        <w:spacing w:line="360" w:lineRule="auto"/>
        <w:ind w:firstLine="723" w:firstLineChars="3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2.采购代理机构</w:t>
      </w:r>
      <w:bookmarkEnd w:id="7"/>
      <w:bookmarkEnd w:id="8"/>
      <w:r>
        <w:rPr>
          <w:rFonts w:hint="eastAsia" w:ascii="宋体" w:hAnsi="宋体" w:eastAsia="宋体" w:cs="宋体"/>
          <w:b/>
          <w:bCs/>
          <w:color w:val="auto"/>
          <w:sz w:val="24"/>
          <w:highlight w:val="none"/>
        </w:rPr>
        <w:t>信息</w:t>
      </w:r>
    </w:p>
    <w:p w14:paraId="52F5DA06">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名 称：东阳市鑫盛工程咨询有限公司 </w:t>
      </w:r>
    </w:p>
    <w:p w14:paraId="447A66EE">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lang w:eastAsia="zh-CN"/>
        </w:rPr>
        <w:t>东阳市白云街道八华南路63号</w:t>
      </w:r>
      <w:r>
        <w:rPr>
          <w:rFonts w:hint="eastAsia" w:ascii="宋体" w:hAnsi="宋体" w:eastAsia="宋体" w:cs="宋体"/>
          <w:color w:val="auto"/>
          <w:sz w:val="24"/>
          <w:highlight w:val="none"/>
        </w:rPr>
        <w:t xml:space="preserve">      传</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 xml:space="preserve">真：0579-86633123 </w:t>
      </w:r>
    </w:p>
    <w:p w14:paraId="06A5F94F">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val="en-US" w:eastAsia="zh-CN"/>
        </w:rPr>
        <w:t>王晓菲</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lang w:eastAsia="zh-CN"/>
        </w:rPr>
        <w:t>0579-</w:t>
      </w:r>
      <w:r>
        <w:rPr>
          <w:rFonts w:hint="eastAsia" w:ascii="宋体" w:hAnsi="宋体" w:cs="宋体"/>
          <w:color w:val="auto"/>
          <w:sz w:val="24"/>
          <w:highlight w:val="none"/>
          <w:lang w:val="en-US" w:eastAsia="zh-CN"/>
        </w:rPr>
        <w:t>86633123</w:t>
      </w:r>
    </w:p>
    <w:p w14:paraId="17D17DA5">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val="en-US" w:eastAsia="zh-CN"/>
        </w:rPr>
        <w:t>胡丹春</w:t>
      </w:r>
      <w:r>
        <w:rPr>
          <w:rFonts w:hint="eastAsia" w:ascii="宋体" w:hAnsi="宋体" w:eastAsia="宋体" w:cs="宋体"/>
          <w:color w:val="auto"/>
          <w:sz w:val="24"/>
          <w:highlight w:val="none"/>
        </w:rPr>
        <w:t xml:space="preserve">                质疑联系方式：</w:t>
      </w:r>
      <w:bookmarkStart w:id="9" w:name="_Toc28359010"/>
      <w:bookmarkStart w:id="10" w:name="_Toc28359087"/>
      <w:r>
        <w:rPr>
          <w:rFonts w:hint="eastAsia" w:ascii="宋体" w:hAnsi="宋体" w:eastAsia="宋体" w:cs="宋体"/>
          <w:color w:val="auto"/>
          <w:sz w:val="24"/>
          <w:highlight w:val="none"/>
        </w:rPr>
        <w:t>0579-</w:t>
      </w:r>
      <w:r>
        <w:rPr>
          <w:rFonts w:hint="eastAsia" w:ascii="宋体" w:hAnsi="宋体" w:cs="宋体"/>
          <w:color w:val="auto"/>
          <w:sz w:val="24"/>
          <w:highlight w:val="none"/>
          <w:lang w:val="en-US" w:eastAsia="zh-CN"/>
        </w:rPr>
        <w:t>86018280</w:t>
      </w:r>
    </w:p>
    <w:p w14:paraId="24B0413E">
      <w:pPr>
        <w:keepNext w:val="0"/>
        <w:keepLines w:val="0"/>
        <w:pageBreakBefore w:val="0"/>
        <w:widowControl w:val="0"/>
        <w:shd w:val="clear"/>
        <w:kinsoku/>
        <w:wordWrap/>
        <w:overflowPunct/>
        <w:topLinePunct w:val="0"/>
        <w:autoSpaceDE/>
        <w:autoSpaceDN/>
        <w:bidi w:val="0"/>
        <w:adjustRightInd/>
        <w:spacing w:line="360" w:lineRule="auto"/>
        <w:ind w:firstLine="723" w:firstLineChars="300"/>
        <w:textAlignment w:val="auto"/>
        <w:rPr>
          <w:rFonts w:hint="eastAsia" w:ascii="宋体" w:hAnsi="宋体" w:eastAsia="宋体" w:cs="宋体"/>
          <w:color w:val="auto"/>
          <w:sz w:val="24"/>
          <w:highlight w:val="none"/>
          <w:u w:val="single"/>
        </w:rPr>
      </w:pPr>
      <w:r>
        <w:rPr>
          <w:rFonts w:hint="eastAsia" w:ascii="宋体" w:hAnsi="宋体" w:eastAsia="宋体" w:cs="宋体"/>
          <w:b/>
          <w:bCs/>
          <w:color w:val="auto"/>
          <w:sz w:val="24"/>
          <w:highlight w:val="none"/>
        </w:rPr>
        <w:t>3.</w:t>
      </w:r>
      <w:bookmarkEnd w:id="9"/>
      <w:bookmarkEnd w:id="10"/>
      <w:r>
        <w:rPr>
          <w:rFonts w:hint="eastAsia" w:ascii="宋体" w:hAnsi="宋体" w:eastAsia="宋体" w:cs="宋体"/>
          <w:b/>
          <w:bCs/>
          <w:color w:val="auto"/>
          <w:sz w:val="24"/>
          <w:highlight w:val="none"/>
        </w:rPr>
        <w:t>同级政府采购监督管理部门</w:t>
      </w:r>
    </w:p>
    <w:p w14:paraId="3C2885B2">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名称：东阳市财政局采监科              地址：东阳市人民</w:t>
      </w:r>
      <w:r>
        <w:rPr>
          <w:rFonts w:hint="eastAsia" w:ascii="宋体" w:hAnsi="宋体" w:cs="宋体"/>
          <w:color w:val="auto"/>
          <w:sz w:val="24"/>
          <w:highlight w:val="none"/>
          <w:lang w:eastAsia="zh-CN"/>
        </w:rPr>
        <w:t>北</w:t>
      </w:r>
      <w:r>
        <w:rPr>
          <w:rFonts w:hint="eastAsia" w:ascii="宋体" w:hAnsi="宋体" w:eastAsia="宋体" w:cs="宋体"/>
          <w:color w:val="auto"/>
          <w:sz w:val="24"/>
          <w:highlight w:val="none"/>
        </w:rPr>
        <w:t>路8号</w:t>
      </w:r>
    </w:p>
    <w:p w14:paraId="3F440B00">
      <w:pPr>
        <w:keepNext w:val="0"/>
        <w:keepLines w:val="0"/>
        <w:pageBreakBefore w:val="0"/>
        <w:widowControl w:val="0"/>
        <w:shd w:val="clear"/>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监督投诉电话：0579-86662677</w:t>
      </w:r>
    </w:p>
    <w:p w14:paraId="0B98BA44">
      <w:pPr>
        <w:keepNext w:val="0"/>
        <w:keepLines w:val="0"/>
        <w:pageBreakBefore w:val="0"/>
        <w:widowControl w:val="0"/>
        <w:shd w:val="clear"/>
        <w:kinsoku/>
        <w:wordWrap/>
        <w:overflowPunct/>
        <w:topLinePunct w:val="0"/>
        <w:autoSpaceDE/>
        <w:autoSpaceDN/>
        <w:bidi w:val="0"/>
        <w:adjustRightInd/>
        <w:snapToGrid w:val="0"/>
        <w:spacing w:line="360" w:lineRule="auto"/>
        <w:ind w:left="1441" w:leftChars="342" w:hanging="723" w:hangingChars="300"/>
        <w:textAlignment w:val="auto"/>
        <w:rPr>
          <w:rFonts w:hint="eastAsia"/>
          <w:color w:val="auto"/>
          <w:highlight w:val="none"/>
        </w:rPr>
      </w:pPr>
      <w:r>
        <w:rPr>
          <w:rFonts w:hint="eastAsia" w:ascii="宋体" w:hAnsi="宋体" w:eastAsia="宋体" w:cs="宋体"/>
          <w:b/>
          <w:color w:val="auto"/>
          <w:sz w:val="24"/>
          <w:highlight w:val="none"/>
        </w:rPr>
        <w:t>附件：</w:t>
      </w:r>
      <w:r>
        <w:rPr>
          <w:rFonts w:hint="eastAsia" w:ascii="宋体" w:hAnsi="宋体" w:cs="宋体"/>
          <w:b/>
          <w:color w:val="auto"/>
          <w:sz w:val="24"/>
          <w:highlight w:val="none"/>
          <w:lang w:val="en-US" w:eastAsia="zh-CN"/>
        </w:rPr>
        <w:t>东阳市江北综合医院（东阳市红会医院迁建工程）厨房设备采购项目</w:t>
      </w:r>
      <w:r>
        <w:rPr>
          <w:rFonts w:hint="eastAsia" w:ascii="宋体" w:hAnsi="宋体" w:cs="宋体"/>
          <w:b/>
          <w:color w:val="auto"/>
          <w:sz w:val="24"/>
          <w:highlight w:val="none"/>
          <w:lang w:eastAsia="zh-CN"/>
        </w:rPr>
        <w:t>招标文件</w:t>
      </w:r>
      <w:r>
        <w:rPr>
          <w:rFonts w:hint="eastAsia" w:ascii="宋体" w:hAnsi="宋体" w:eastAsia="宋体" w:cs="宋体"/>
          <w:b/>
          <w:color w:val="auto"/>
          <w:sz w:val="24"/>
          <w:highlight w:val="none"/>
        </w:rPr>
        <w:t xml:space="preserve">   </w:t>
      </w:r>
    </w:p>
    <w:p w14:paraId="57596AAA">
      <w:pPr>
        <w:keepNext w:val="0"/>
        <w:keepLines w:val="0"/>
        <w:pageBreakBefore w:val="0"/>
        <w:shd w:val="clear"/>
        <w:kinsoku/>
        <w:wordWrap/>
        <w:overflowPunct/>
        <w:topLinePunct w:val="0"/>
        <w:autoSpaceDE/>
        <w:autoSpaceDN/>
        <w:bidi w:val="0"/>
        <w:adjustRightInd/>
        <w:snapToGrid w:val="0"/>
        <w:spacing w:line="560" w:lineRule="exact"/>
        <w:ind w:left="5799" w:leftChars="237" w:right="198" w:hanging="5301" w:hangingChars="220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054BADC7">
      <w:pPr>
        <w:keepNext w:val="0"/>
        <w:keepLines w:val="0"/>
        <w:pageBreakBefore w:val="0"/>
        <w:shd w:val="clear"/>
        <w:kinsoku/>
        <w:wordWrap/>
        <w:overflowPunct/>
        <w:topLinePunct w:val="0"/>
        <w:autoSpaceDE/>
        <w:autoSpaceDN/>
        <w:bidi w:val="0"/>
        <w:adjustRightInd/>
        <w:snapToGrid w:val="0"/>
        <w:spacing w:line="560" w:lineRule="exact"/>
        <w:ind w:left="5799" w:leftChars="237" w:right="198" w:hanging="5301" w:hangingChars="2200"/>
        <w:jc w:val="center"/>
        <w:rPr>
          <w:rFonts w:hint="eastAsia" w:ascii="宋体" w:hAnsi="宋体" w:eastAsia="宋体" w:cs="宋体"/>
          <w:b/>
          <w:color w:val="auto"/>
          <w:sz w:val="24"/>
          <w:highlight w:val="none"/>
        </w:rPr>
      </w:pPr>
      <w:r>
        <w:rPr>
          <w:rFonts w:hint="eastAsia" w:ascii="宋体" w:hAnsi="宋体" w:cs="宋体"/>
          <w:b/>
          <w:color w:val="auto"/>
          <w:sz w:val="24"/>
          <w:highlight w:val="none"/>
          <w:lang w:val="en-US" w:eastAsia="zh-CN"/>
        </w:rPr>
        <w:t xml:space="preserve">                                       </w:t>
      </w:r>
      <w:r>
        <w:rPr>
          <w:rFonts w:hint="eastAsia" w:ascii="宋体" w:hAnsi="宋体" w:eastAsia="宋体" w:cs="宋体"/>
          <w:b/>
          <w:color w:val="auto"/>
          <w:sz w:val="24"/>
          <w:highlight w:val="none"/>
        </w:rPr>
        <w:t xml:space="preserve"> </w:t>
      </w:r>
      <w:r>
        <w:rPr>
          <w:rFonts w:hint="eastAsia" w:ascii="宋体" w:hAnsi="宋体" w:cs="宋体"/>
          <w:b/>
          <w:color w:val="auto"/>
          <w:sz w:val="24"/>
          <w:highlight w:val="none"/>
          <w:lang w:eastAsia="zh-CN"/>
        </w:rPr>
        <w:t>东阳市红会医院</w:t>
      </w:r>
      <w:r>
        <w:rPr>
          <w:rFonts w:hint="eastAsia" w:ascii="宋体" w:hAnsi="宋体" w:eastAsia="宋体" w:cs="宋体"/>
          <w:b/>
          <w:color w:val="auto"/>
          <w:sz w:val="24"/>
          <w:highlight w:val="none"/>
        </w:rPr>
        <w:t xml:space="preserve">                           </w:t>
      </w:r>
    </w:p>
    <w:p w14:paraId="0FBA9C27">
      <w:pPr>
        <w:keepNext w:val="0"/>
        <w:keepLines w:val="0"/>
        <w:pageBreakBefore w:val="0"/>
        <w:shd w:val="clear"/>
        <w:kinsoku/>
        <w:wordWrap/>
        <w:overflowPunct/>
        <w:topLinePunct w:val="0"/>
        <w:autoSpaceDE/>
        <w:autoSpaceDN/>
        <w:bidi w:val="0"/>
        <w:adjustRightInd/>
        <w:snapToGrid w:val="0"/>
        <w:spacing w:line="560" w:lineRule="exact"/>
        <w:ind w:left="5799" w:leftChars="237" w:right="198" w:hanging="5301" w:hangingChars="220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东阳市鑫盛工程咨询有限公司</w:t>
      </w:r>
    </w:p>
    <w:p w14:paraId="55296445">
      <w:pPr>
        <w:keepNext w:val="0"/>
        <w:keepLines w:val="0"/>
        <w:pageBreakBefore w:val="0"/>
        <w:shd w:val="clear"/>
        <w:kinsoku/>
        <w:wordWrap/>
        <w:overflowPunct/>
        <w:topLinePunct w:val="0"/>
        <w:autoSpaceDE/>
        <w:autoSpaceDN/>
        <w:bidi w:val="0"/>
        <w:adjustRightInd/>
        <w:snapToGrid w:val="0"/>
        <w:spacing w:line="560" w:lineRule="exact"/>
        <w:ind w:right="198" w:firstLine="6505" w:firstLineChars="2700"/>
        <w:rPr>
          <w:rFonts w:hint="eastAsia" w:ascii="宋体" w:hAnsi="宋体" w:eastAsia="宋体" w:cs="宋体"/>
          <w:color w:val="auto"/>
          <w:kern w:val="0"/>
          <w:sz w:val="24"/>
          <w:highlight w:val="none"/>
          <w:lang w:bidi="ar"/>
        </w:rPr>
      </w:pPr>
      <w:r>
        <w:rPr>
          <w:rFonts w:hint="eastAsia" w:ascii="宋体" w:hAnsi="宋体" w:eastAsia="宋体" w:cs="宋体"/>
          <w:b/>
          <w:color w:val="auto"/>
          <w:sz w:val="24"/>
          <w:highlight w:val="none"/>
        </w:rPr>
        <w:t>202</w:t>
      </w:r>
      <w:r>
        <w:rPr>
          <w:rFonts w:hint="eastAsia" w:ascii="宋体" w:hAnsi="宋体" w:cs="宋体"/>
          <w:b/>
          <w:color w:val="auto"/>
          <w:sz w:val="24"/>
          <w:highlight w:val="none"/>
          <w:lang w:val="en-US" w:eastAsia="zh-CN"/>
        </w:rPr>
        <w:t>4</w:t>
      </w:r>
      <w:r>
        <w:rPr>
          <w:rFonts w:hint="eastAsia" w:ascii="宋体" w:hAnsi="宋体" w:eastAsia="宋体" w:cs="宋体"/>
          <w:b/>
          <w:color w:val="auto"/>
          <w:sz w:val="24"/>
          <w:highlight w:val="none"/>
        </w:rPr>
        <w:t>年</w:t>
      </w:r>
      <w:r>
        <w:rPr>
          <w:rFonts w:hint="eastAsia" w:ascii="宋体" w:hAnsi="宋体" w:cs="宋体"/>
          <w:b/>
          <w:color w:val="auto"/>
          <w:sz w:val="24"/>
          <w:highlight w:val="none"/>
          <w:lang w:val="en-US" w:eastAsia="zh-CN"/>
        </w:rPr>
        <w:t>11</w:t>
      </w:r>
      <w:r>
        <w:rPr>
          <w:rFonts w:hint="eastAsia" w:ascii="宋体" w:hAnsi="宋体" w:eastAsia="宋体" w:cs="宋体"/>
          <w:b/>
          <w:color w:val="auto"/>
          <w:sz w:val="24"/>
          <w:highlight w:val="none"/>
        </w:rPr>
        <w:t>月</w:t>
      </w:r>
      <w:r>
        <w:rPr>
          <w:rFonts w:hint="eastAsia" w:ascii="宋体" w:hAnsi="宋体" w:cs="宋体"/>
          <w:b/>
          <w:color w:val="auto"/>
          <w:sz w:val="24"/>
          <w:highlight w:val="none"/>
          <w:lang w:val="en-US" w:eastAsia="zh-CN"/>
        </w:rPr>
        <w:t>20</w:t>
      </w:r>
      <w:r>
        <w:rPr>
          <w:rFonts w:hint="eastAsia" w:ascii="宋体" w:hAnsi="宋体" w:eastAsia="宋体" w:cs="宋体"/>
          <w:b/>
          <w:color w:val="auto"/>
          <w:sz w:val="24"/>
          <w:highlight w:val="none"/>
        </w:rPr>
        <w:t>日</w:t>
      </w:r>
    </w:p>
    <w:p w14:paraId="65603629">
      <w:pPr>
        <w:shd w:val="clear"/>
        <w:snapToGrid w:val="0"/>
        <w:spacing w:line="520" w:lineRule="exact"/>
        <w:ind w:right="198"/>
        <w:rPr>
          <w:rFonts w:ascii="宋体" w:hAnsi="宋体" w:cs="宋体"/>
          <w:color w:val="auto"/>
          <w:sz w:val="24"/>
          <w:highlight w:val="none"/>
        </w:rPr>
      </w:pPr>
      <w:r>
        <w:rPr>
          <w:rFonts w:hint="eastAsia" w:ascii="宋体" w:hAnsi="宋体" w:cs="宋体"/>
          <w:color w:val="auto"/>
          <w:kern w:val="0"/>
          <w:sz w:val="24"/>
          <w:highlight w:val="none"/>
          <w:lang w:bidi="ar"/>
        </w:rPr>
        <w:t>若对项目采购电子交易系统操作有疑问，可登录政采云（https://www.zcygov.cn/），点击右侧咨询小采，获取采小蜜智能服务管家帮助，或拨打政采云服务热线</w:t>
      </w:r>
      <w:r>
        <w:rPr>
          <w:rFonts w:hint="default" w:ascii="宋体" w:hAnsi="宋体" w:cs="宋体"/>
          <w:color w:val="auto"/>
          <w:kern w:val="0"/>
          <w:sz w:val="24"/>
          <w:highlight w:val="none"/>
          <w:lang w:val="en-US" w:bidi="ar"/>
        </w:rPr>
        <w:t>95763</w:t>
      </w:r>
      <w:r>
        <w:rPr>
          <w:rFonts w:hint="eastAsia" w:ascii="宋体" w:hAnsi="宋体" w:cs="宋体"/>
          <w:color w:val="auto"/>
          <w:kern w:val="0"/>
          <w:sz w:val="24"/>
          <w:highlight w:val="none"/>
          <w:lang w:bidi="ar"/>
        </w:rPr>
        <w:t>获取热线服务帮助。</w:t>
      </w:r>
    </w:p>
    <w:p w14:paraId="49724E86">
      <w:pPr>
        <w:widowControl/>
        <w:shd w:val="clear"/>
        <w:spacing w:line="520" w:lineRule="exact"/>
        <w:jc w:val="left"/>
        <w:rPr>
          <w:rFonts w:ascii="宋体" w:hAnsi="宋体" w:cs="宋体"/>
          <w:color w:val="auto"/>
          <w:sz w:val="24"/>
          <w:highlight w:val="none"/>
        </w:rPr>
      </w:pPr>
      <w:r>
        <w:rPr>
          <w:rFonts w:hint="eastAsia" w:ascii="宋体" w:hAnsi="宋体" w:cs="宋体"/>
          <w:color w:val="auto"/>
          <w:kern w:val="0"/>
          <w:sz w:val="24"/>
          <w:highlight w:val="none"/>
          <w:lang w:bidi="ar"/>
        </w:rPr>
        <w:t>CA问题联系电话（人工）：汇信CA 400-888-4636；天谷CA 400-087-8198。</w:t>
      </w:r>
    </w:p>
    <w:p w14:paraId="0E436E38">
      <w:pPr>
        <w:pStyle w:val="22"/>
        <w:pageBreakBefore/>
        <w:numPr>
          <w:ilvl w:val="0"/>
          <w:numId w:val="7"/>
        </w:numPr>
        <w:shd w:val="clear"/>
        <w:snapToGrid w:val="0"/>
        <w:spacing w:before="120" w:after="120" w:line="360"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 xml:space="preserve"> </w:t>
      </w:r>
      <w:bookmarkStart w:id="11" w:name="_Toc16265"/>
      <w:bookmarkStart w:id="12" w:name="_Toc4152"/>
      <w:r>
        <w:rPr>
          <w:rFonts w:hint="eastAsia" w:ascii="宋体" w:hAnsi="宋体" w:cs="宋体"/>
          <w:b/>
          <w:color w:val="auto"/>
          <w:sz w:val="32"/>
          <w:szCs w:val="32"/>
          <w:highlight w:val="none"/>
        </w:rPr>
        <w:t>招标需求</w:t>
      </w:r>
      <w:bookmarkEnd w:id="11"/>
      <w:bookmarkEnd w:id="12"/>
    </w:p>
    <w:p w14:paraId="7E083B68">
      <w:pPr>
        <w:numPr>
          <w:ilvl w:val="0"/>
          <w:numId w:val="8"/>
        </w:numPr>
        <w:shd w:val="clear"/>
        <w:spacing w:line="360" w:lineRule="auto"/>
        <w:rPr>
          <w:rFonts w:hint="eastAsia" w:ascii="宋体" w:hAnsi="宋体" w:cs="宋体"/>
          <w:b/>
          <w:color w:val="auto"/>
          <w:sz w:val="24"/>
          <w:highlight w:val="none"/>
          <w:lang w:eastAsia="zh-CN"/>
        </w:rPr>
      </w:pPr>
      <w:r>
        <w:rPr>
          <w:rFonts w:hint="eastAsia" w:ascii="宋体" w:hAnsi="宋体" w:cs="宋体"/>
          <w:b/>
          <w:color w:val="auto"/>
          <w:sz w:val="24"/>
          <w:highlight w:val="none"/>
        </w:rPr>
        <w:t>项目编号：</w:t>
      </w:r>
      <w:r>
        <w:rPr>
          <w:rFonts w:hint="eastAsia" w:ascii="宋体" w:hAnsi="宋体" w:cs="宋体"/>
          <w:b/>
          <w:color w:val="auto"/>
          <w:sz w:val="24"/>
          <w:highlight w:val="none"/>
          <w:lang w:eastAsia="zh-CN"/>
        </w:rPr>
        <w:t>XSZFCGDZ2024-302</w:t>
      </w:r>
    </w:p>
    <w:p w14:paraId="2EDB911A">
      <w:pPr>
        <w:numPr>
          <w:ilvl w:val="0"/>
          <w:numId w:val="8"/>
        </w:numPr>
        <w:shd w:val="clear"/>
        <w:spacing w:line="360" w:lineRule="auto"/>
        <w:ind w:left="0" w:leftChars="0" w:firstLine="0" w:firstLineChars="0"/>
        <w:rPr>
          <w:rFonts w:hint="eastAsia" w:ascii="宋体" w:hAnsi="宋体" w:cs="宋体"/>
          <w:b/>
          <w:color w:val="auto"/>
          <w:sz w:val="24"/>
          <w:highlight w:val="none"/>
          <w:lang w:val="en-US" w:eastAsia="zh-CN"/>
        </w:rPr>
      </w:pPr>
      <w:r>
        <w:rPr>
          <w:rFonts w:hint="eastAsia" w:ascii="宋体" w:hAnsi="宋体" w:cs="宋体"/>
          <w:b/>
          <w:color w:val="auto"/>
          <w:sz w:val="24"/>
          <w:highlight w:val="none"/>
        </w:rPr>
        <w:t>采购项目名称：</w:t>
      </w:r>
      <w:r>
        <w:rPr>
          <w:rFonts w:hint="eastAsia" w:ascii="宋体" w:hAnsi="宋体" w:cs="宋体"/>
          <w:b/>
          <w:color w:val="auto"/>
          <w:sz w:val="24"/>
          <w:highlight w:val="none"/>
          <w:lang w:val="en-US" w:eastAsia="zh-CN"/>
        </w:rPr>
        <w:t>东阳市江北综合医院（东阳市红会医院迁建工程）厨房设备采购项目</w:t>
      </w:r>
    </w:p>
    <w:p w14:paraId="6F8C37C2">
      <w:pPr>
        <w:pStyle w:val="48"/>
        <w:numPr>
          <w:ilvl w:val="0"/>
          <w:numId w:val="8"/>
        </w:numPr>
        <w:shd w:val="clear"/>
        <w:ind w:left="0" w:leftChars="0" w:firstLine="0" w:firstLineChars="0"/>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采购内容</w:t>
      </w:r>
    </w:p>
    <w:tbl>
      <w:tblPr>
        <w:tblStyle w:val="38"/>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988"/>
        <w:gridCol w:w="1387"/>
        <w:gridCol w:w="1740"/>
        <w:gridCol w:w="1151"/>
      </w:tblGrid>
      <w:tr w14:paraId="7BE4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51" w:type="dxa"/>
            <w:vAlign w:val="center"/>
          </w:tcPr>
          <w:p w14:paraId="40A26F75">
            <w:pPr>
              <w:widowControl/>
              <w:shd w:val="clear"/>
              <w:overflowPunct w:val="0"/>
              <w:autoSpaceDE w:val="0"/>
              <w:autoSpaceDN w:val="0"/>
              <w:adjustRightInd w:val="0"/>
              <w:spacing w:line="460" w:lineRule="exact"/>
              <w:jc w:val="center"/>
              <w:textAlignment w:val="baseline"/>
              <w:rPr>
                <w:rFonts w:hint="default" w:eastAsia="宋体"/>
                <w:color w:val="auto"/>
                <w:sz w:val="24"/>
                <w:highlight w:val="none"/>
                <w:lang w:val="en-US" w:eastAsia="zh-CN"/>
              </w:rPr>
            </w:pPr>
            <w:bookmarkStart w:id="13" w:name="_Toc495926918"/>
            <w:r>
              <w:rPr>
                <w:rFonts w:hint="eastAsia"/>
                <w:color w:val="auto"/>
                <w:sz w:val="24"/>
                <w:highlight w:val="none"/>
                <w:lang w:val="en-US" w:eastAsia="zh-CN"/>
              </w:rPr>
              <w:t>序号</w:t>
            </w:r>
          </w:p>
        </w:tc>
        <w:tc>
          <w:tcPr>
            <w:tcW w:w="3988" w:type="dxa"/>
            <w:vAlign w:val="center"/>
          </w:tcPr>
          <w:p w14:paraId="4BC5A2AC">
            <w:pPr>
              <w:widowControl/>
              <w:shd w:val="clear"/>
              <w:overflowPunct w:val="0"/>
              <w:autoSpaceDE w:val="0"/>
              <w:autoSpaceDN w:val="0"/>
              <w:adjustRightInd w:val="0"/>
              <w:spacing w:line="460" w:lineRule="exact"/>
              <w:jc w:val="center"/>
              <w:textAlignment w:val="baseline"/>
              <w:rPr>
                <w:rFonts w:hint="eastAsia" w:ascii="宋体" w:hAnsi="宋体"/>
                <w:bCs/>
                <w:color w:val="auto"/>
                <w:kern w:val="0"/>
                <w:sz w:val="24"/>
                <w:highlight w:val="none"/>
              </w:rPr>
            </w:pPr>
            <w:r>
              <w:rPr>
                <w:rFonts w:hint="eastAsia" w:ascii="宋体" w:hAnsi="宋体"/>
                <w:bCs/>
                <w:color w:val="auto"/>
                <w:kern w:val="0"/>
                <w:sz w:val="24"/>
                <w:highlight w:val="none"/>
              </w:rPr>
              <w:t>采购内容</w:t>
            </w:r>
          </w:p>
        </w:tc>
        <w:tc>
          <w:tcPr>
            <w:tcW w:w="1387" w:type="dxa"/>
            <w:vAlign w:val="center"/>
          </w:tcPr>
          <w:p w14:paraId="5D26F58E">
            <w:pPr>
              <w:widowControl/>
              <w:shd w:val="clear"/>
              <w:overflowPunct w:val="0"/>
              <w:autoSpaceDE w:val="0"/>
              <w:autoSpaceDN w:val="0"/>
              <w:adjustRightInd w:val="0"/>
              <w:spacing w:line="460" w:lineRule="exact"/>
              <w:jc w:val="center"/>
              <w:textAlignment w:val="baseline"/>
              <w:rPr>
                <w:rFonts w:hint="eastAsia" w:ascii="宋体" w:hAnsi="宋体" w:eastAsia="宋体"/>
                <w:bCs/>
                <w:color w:val="auto"/>
                <w:kern w:val="0"/>
                <w:sz w:val="24"/>
                <w:highlight w:val="none"/>
                <w:lang w:val="en-US" w:eastAsia="zh-CN"/>
              </w:rPr>
            </w:pPr>
            <w:r>
              <w:rPr>
                <w:rFonts w:hint="eastAsia" w:ascii="宋体" w:hAnsi="宋体"/>
                <w:bCs/>
                <w:color w:val="auto"/>
                <w:kern w:val="0"/>
                <w:sz w:val="24"/>
                <w:highlight w:val="none"/>
                <w:lang w:val="en-US" w:eastAsia="zh-CN"/>
              </w:rPr>
              <w:t>数量</w:t>
            </w:r>
          </w:p>
        </w:tc>
        <w:tc>
          <w:tcPr>
            <w:tcW w:w="1740" w:type="dxa"/>
            <w:vAlign w:val="center"/>
          </w:tcPr>
          <w:p w14:paraId="7F5C0089">
            <w:pPr>
              <w:widowControl/>
              <w:shd w:val="clear"/>
              <w:overflowPunct w:val="0"/>
              <w:autoSpaceDE w:val="0"/>
              <w:autoSpaceDN w:val="0"/>
              <w:adjustRightInd w:val="0"/>
              <w:spacing w:line="460" w:lineRule="exact"/>
              <w:jc w:val="center"/>
              <w:textAlignment w:val="baseline"/>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bCs/>
                <w:color w:val="auto"/>
                <w:kern w:val="0"/>
                <w:sz w:val="24"/>
                <w:highlight w:val="none"/>
              </w:rPr>
              <w:t>预算金额</w:t>
            </w:r>
          </w:p>
        </w:tc>
        <w:tc>
          <w:tcPr>
            <w:tcW w:w="1151" w:type="dxa"/>
            <w:vAlign w:val="center"/>
          </w:tcPr>
          <w:p w14:paraId="760EE707">
            <w:pPr>
              <w:widowControl/>
              <w:shd w:val="clear"/>
              <w:overflowPunct w:val="0"/>
              <w:autoSpaceDE w:val="0"/>
              <w:autoSpaceDN w:val="0"/>
              <w:adjustRightInd w:val="0"/>
              <w:spacing w:line="460" w:lineRule="exact"/>
              <w:jc w:val="center"/>
              <w:textAlignment w:val="baseline"/>
              <w:rPr>
                <w:rFonts w:hint="default" w:ascii="宋体" w:hAnsi="宋体" w:eastAsia="宋体"/>
                <w:bCs/>
                <w:color w:val="auto"/>
                <w:kern w:val="0"/>
                <w:sz w:val="24"/>
                <w:highlight w:val="none"/>
                <w:lang w:val="en-US" w:eastAsia="zh-CN"/>
              </w:rPr>
            </w:pPr>
            <w:r>
              <w:rPr>
                <w:rFonts w:hint="eastAsia" w:ascii="宋体" w:hAnsi="宋体"/>
                <w:bCs/>
                <w:color w:val="auto"/>
                <w:kern w:val="0"/>
                <w:sz w:val="24"/>
                <w:highlight w:val="none"/>
                <w:lang w:val="en-US" w:eastAsia="zh-CN"/>
              </w:rPr>
              <w:t>备注</w:t>
            </w:r>
          </w:p>
        </w:tc>
      </w:tr>
      <w:tr w14:paraId="1D84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951" w:type="dxa"/>
            <w:vAlign w:val="center"/>
          </w:tcPr>
          <w:p w14:paraId="3FE90755">
            <w:pPr>
              <w:shd w:val="clear"/>
              <w:spacing w:line="38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3988" w:type="dxa"/>
            <w:vAlign w:val="center"/>
          </w:tcPr>
          <w:p w14:paraId="676F7612">
            <w:pPr>
              <w:shd w:val="clear"/>
              <w:spacing w:line="380" w:lineRule="exact"/>
              <w:jc w:val="center"/>
              <w:rPr>
                <w:rFonts w:hint="default" w:eastAsia="宋体"/>
                <w:color w:val="auto"/>
                <w:sz w:val="24"/>
                <w:highlight w:val="none"/>
                <w:lang w:val="en-US" w:eastAsia="zh-CN"/>
              </w:rPr>
            </w:pPr>
            <w:r>
              <w:rPr>
                <w:rFonts w:hint="eastAsia"/>
                <w:color w:val="auto"/>
                <w:sz w:val="24"/>
                <w:highlight w:val="none"/>
                <w:lang w:val="en-US" w:eastAsia="zh-CN"/>
              </w:rPr>
              <w:t>东阳市江北综合医院（东阳市红会医院迁建工程）厨房设备采购项目</w:t>
            </w:r>
          </w:p>
        </w:tc>
        <w:tc>
          <w:tcPr>
            <w:tcW w:w="1387" w:type="dxa"/>
            <w:vAlign w:val="center"/>
          </w:tcPr>
          <w:p w14:paraId="551E47FE">
            <w:pPr>
              <w:shd w:val="clear"/>
              <w:spacing w:line="380" w:lineRule="exact"/>
              <w:jc w:val="center"/>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1批</w:t>
            </w:r>
          </w:p>
        </w:tc>
        <w:tc>
          <w:tcPr>
            <w:tcW w:w="1740" w:type="dxa"/>
            <w:vAlign w:val="center"/>
          </w:tcPr>
          <w:p w14:paraId="4E071BAF">
            <w:pPr>
              <w:shd w:val="clear"/>
              <w:spacing w:line="38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950000元</w:t>
            </w:r>
          </w:p>
        </w:tc>
        <w:tc>
          <w:tcPr>
            <w:tcW w:w="1151" w:type="dxa"/>
            <w:vAlign w:val="center"/>
          </w:tcPr>
          <w:p w14:paraId="099CC2D1">
            <w:pPr>
              <w:shd w:val="clear"/>
              <w:spacing w:line="380" w:lineRule="exact"/>
              <w:jc w:val="center"/>
              <w:rPr>
                <w:rFonts w:hint="default" w:cs="Times New Roman"/>
                <w:color w:val="auto"/>
                <w:kern w:val="2"/>
                <w:sz w:val="24"/>
                <w:szCs w:val="24"/>
                <w:highlight w:val="none"/>
                <w:lang w:val="en-US" w:eastAsia="zh-CN" w:bidi="ar-SA"/>
              </w:rPr>
            </w:pPr>
          </w:p>
        </w:tc>
      </w:tr>
    </w:tbl>
    <w:p w14:paraId="422F3C39">
      <w:pPr>
        <w:pStyle w:val="48"/>
        <w:numPr>
          <w:ilvl w:val="0"/>
          <w:numId w:val="8"/>
        </w:numPr>
        <w:shd w:val="clear"/>
        <w:ind w:left="0" w:leftChars="0" w:firstLine="0" w:firstLineChars="0"/>
        <w:rPr>
          <w:rFonts w:hint="eastAsia" w:cs="宋体"/>
          <w:b/>
          <w:color w:val="auto"/>
          <w:sz w:val="24"/>
          <w:szCs w:val="24"/>
          <w:highlight w:val="none"/>
          <w:lang w:val="en-US" w:eastAsia="zh-CN"/>
        </w:rPr>
      </w:pPr>
      <w:r>
        <w:rPr>
          <w:rFonts w:hint="eastAsia" w:cs="宋体"/>
          <w:b/>
          <w:color w:val="auto"/>
          <w:sz w:val="24"/>
          <w:szCs w:val="24"/>
          <w:highlight w:val="none"/>
          <w:lang w:val="en-US" w:eastAsia="zh-CN"/>
        </w:rPr>
        <w:t>技术参数</w:t>
      </w:r>
    </w:p>
    <w:p w14:paraId="54C5548A">
      <w:pPr>
        <w:numPr>
          <w:ilvl w:val="0"/>
          <w:numId w:val="0"/>
        </w:numPr>
        <w:shd w:val="clear"/>
        <w:ind w:leftChars="0"/>
        <w:rPr>
          <w:rFonts w:hint="eastAsia"/>
          <w:color w:val="auto"/>
          <w:highlight w:val="none"/>
          <w:lang w:val="en-US" w:eastAsia="zh-CN"/>
        </w:rPr>
      </w:pPr>
    </w:p>
    <w:tbl>
      <w:tblPr>
        <w:tblStyle w:val="38"/>
        <w:tblW w:w="10384" w:type="dxa"/>
        <w:tblInd w:w="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5"/>
        <w:gridCol w:w="1725"/>
        <w:gridCol w:w="5945"/>
        <w:gridCol w:w="662"/>
        <w:gridCol w:w="486"/>
        <w:gridCol w:w="891"/>
      </w:tblGrid>
      <w:tr w14:paraId="0AA4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10384" w:type="dxa"/>
            <w:gridSpan w:val="6"/>
            <w:tcBorders>
              <w:top w:val="nil"/>
              <w:left w:val="nil"/>
              <w:bottom w:val="nil"/>
              <w:right w:val="nil"/>
            </w:tcBorders>
            <w:shd w:val="clear" w:color="auto" w:fill="auto"/>
            <w:vAlign w:val="center"/>
          </w:tcPr>
          <w:p w14:paraId="25D808CC">
            <w:pPr>
              <w:keepNext w:val="0"/>
              <w:keepLines w:val="0"/>
              <w:widowControl/>
              <w:suppressLineNumbers w:val="0"/>
              <w:shd w:val="clear"/>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厨房设备清单</w:t>
            </w:r>
          </w:p>
        </w:tc>
      </w:tr>
      <w:tr w14:paraId="71C94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49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3D11">
            <w:pPr>
              <w:keepNext w:val="0"/>
              <w:keepLines w:val="0"/>
              <w:widowControl/>
              <w:suppressLineNumbers w:val="0"/>
              <w:shd w:val="clear"/>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产品名称</w:t>
            </w:r>
          </w:p>
          <w:p w14:paraId="436D2C1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及规格（mm）</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5B8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EC4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774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C3A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w:t>
            </w:r>
          </w:p>
        </w:tc>
      </w:tr>
      <w:tr w14:paraId="3C5D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2EB0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粗加工/切配</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7996">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92A59">
            <w:pPr>
              <w:shd w:val="clear"/>
              <w:jc w:val="center"/>
              <w:rPr>
                <w:rFonts w:hint="eastAsia" w:ascii="宋体" w:hAnsi="宋体" w:eastAsia="宋体" w:cs="宋体"/>
                <w:i w:val="0"/>
                <w:iCs w:val="0"/>
                <w:color w:val="auto"/>
                <w:sz w:val="21"/>
                <w:szCs w:val="21"/>
                <w:highlight w:val="none"/>
                <w:u w:val="none"/>
              </w:rPr>
            </w:pPr>
          </w:p>
        </w:tc>
      </w:tr>
      <w:tr w14:paraId="70E0F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BBB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B3A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残食台</w:t>
            </w:r>
          </w:p>
          <w:p w14:paraId="4FE8289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700*750*850+100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4F3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2.台面板采用SUS304整体折弯成型，台面整体折弯使台面无卫生死角,材料厚度：1.2mm(实厚≥1.1mm)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3.立柱采用不锈钢管38*38mm*1.2mm(实厚≥1.1mm),横档采用不锈钢38*25*1.2mm(实厚≥1.1mm)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4.餐食口为整体拉伸成型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CB3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DD4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ECC0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377190</wp:posOffset>
                  </wp:positionV>
                  <wp:extent cx="550545" cy="419100"/>
                  <wp:effectExtent l="0" t="0" r="1905" b="0"/>
                  <wp:wrapNone/>
                  <wp:docPr id="49" name="Picture_156"/>
                  <wp:cNvGraphicFramePr/>
                  <a:graphic xmlns:a="http://schemas.openxmlformats.org/drawingml/2006/main">
                    <a:graphicData uri="http://schemas.openxmlformats.org/drawingml/2006/picture">
                      <pic:pic xmlns:pic="http://schemas.openxmlformats.org/drawingml/2006/picture">
                        <pic:nvPicPr>
                          <pic:cNvPr id="49" name="Picture_156"/>
                          <pic:cNvPicPr/>
                        </pic:nvPicPr>
                        <pic:blipFill>
                          <a:blip r:embed="rId13"/>
                          <a:stretch>
                            <a:fillRect/>
                          </a:stretch>
                        </pic:blipFill>
                        <pic:spPr>
                          <a:xfrm>
                            <a:off x="0" y="0"/>
                            <a:ext cx="550545" cy="419100"/>
                          </a:xfrm>
                          <a:prstGeom prst="rect">
                            <a:avLst/>
                          </a:prstGeom>
                          <a:noFill/>
                          <a:ln>
                            <a:noFill/>
                          </a:ln>
                        </pic:spPr>
                      </pic:pic>
                    </a:graphicData>
                  </a:graphic>
                </wp:anchor>
              </w:drawing>
            </w:r>
          </w:p>
        </w:tc>
      </w:tr>
      <w:tr w14:paraId="3DE9D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8C2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BC8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p w14:paraId="342EB4F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1200*500*1700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477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2.层板采用不锈钢板制作,材料厚度1.0mm(实厚≥0.9mm)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3.立柱为Φ38mm*δ=1.0mm(实厚≥0.9mm)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216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46D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48C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104775</wp:posOffset>
                  </wp:positionV>
                  <wp:extent cx="326390" cy="319405"/>
                  <wp:effectExtent l="0" t="0" r="6985" b="4445"/>
                  <wp:wrapNone/>
                  <wp:docPr id="51" name="Picture_81"/>
                  <wp:cNvGraphicFramePr/>
                  <a:graphic xmlns:a="http://schemas.openxmlformats.org/drawingml/2006/main">
                    <a:graphicData uri="http://schemas.openxmlformats.org/drawingml/2006/picture">
                      <pic:pic xmlns:pic="http://schemas.openxmlformats.org/drawingml/2006/picture">
                        <pic:nvPicPr>
                          <pic:cNvPr id="51" name="Picture_81"/>
                          <pic:cNvPicPr/>
                        </pic:nvPicPr>
                        <pic:blipFill>
                          <a:blip r:embed="rId14"/>
                          <a:stretch>
                            <a:fillRect/>
                          </a:stretch>
                        </pic:blipFill>
                        <pic:spPr>
                          <a:xfrm>
                            <a:off x="0" y="0"/>
                            <a:ext cx="326390" cy="319405"/>
                          </a:xfrm>
                          <a:prstGeom prst="rect">
                            <a:avLst/>
                          </a:prstGeom>
                          <a:noFill/>
                          <a:ln>
                            <a:noFill/>
                          </a:ln>
                        </pic:spPr>
                      </pic:pic>
                    </a:graphicData>
                  </a:graphic>
                </wp:anchor>
              </w:drawing>
            </w:r>
          </w:p>
        </w:tc>
      </w:tr>
      <w:tr w14:paraId="4FCF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BE4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93D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大单星盆台</w:t>
            </w:r>
          </w:p>
          <w:p w14:paraId="10FBDAE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1200*750*850+150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914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7.单个水池斗规格：1050*600*300mm，配提笼式落水口。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044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05A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963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370840</wp:posOffset>
                  </wp:positionV>
                  <wp:extent cx="624840" cy="481965"/>
                  <wp:effectExtent l="0" t="0" r="3810" b="3810"/>
                  <wp:wrapNone/>
                  <wp:docPr id="44" name="图片_12"/>
                  <wp:cNvGraphicFramePr/>
                  <a:graphic xmlns:a="http://schemas.openxmlformats.org/drawingml/2006/main">
                    <a:graphicData uri="http://schemas.openxmlformats.org/drawingml/2006/picture">
                      <pic:pic xmlns:pic="http://schemas.openxmlformats.org/drawingml/2006/picture">
                        <pic:nvPicPr>
                          <pic:cNvPr id="44" name="图片_12"/>
                          <pic:cNvPicPr/>
                        </pic:nvPicPr>
                        <pic:blipFill>
                          <a:blip r:embed="rId15"/>
                          <a:stretch>
                            <a:fillRect/>
                          </a:stretch>
                        </pic:blipFill>
                        <pic:spPr>
                          <a:xfrm>
                            <a:off x="0" y="0"/>
                            <a:ext cx="624840" cy="481965"/>
                          </a:xfrm>
                          <a:prstGeom prst="rect">
                            <a:avLst/>
                          </a:prstGeom>
                          <a:noFill/>
                          <a:ln>
                            <a:noFill/>
                          </a:ln>
                        </pic:spPr>
                      </pic:pic>
                    </a:graphicData>
                  </a:graphic>
                </wp:anchor>
              </w:drawing>
            </w:r>
          </w:p>
        </w:tc>
      </w:tr>
      <w:tr w14:paraId="2C5BE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B72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A03a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B7B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22B1B0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BDB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C44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926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A37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662940</wp:posOffset>
                  </wp:positionV>
                  <wp:extent cx="516890" cy="515620"/>
                  <wp:effectExtent l="0" t="0" r="6985" b="8255"/>
                  <wp:wrapNone/>
                  <wp:docPr id="45" name="图片_4"/>
                  <wp:cNvGraphicFramePr/>
                  <a:graphic xmlns:a="http://schemas.openxmlformats.org/drawingml/2006/main">
                    <a:graphicData uri="http://schemas.openxmlformats.org/drawingml/2006/picture">
                      <pic:pic xmlns:pic="http://schemas.openxmlformats.org/drawingml/2006/picture">
                        <pic:nvPicPr>
                          <pic:cNvPr id="45" name="图片_4"/>
                          <pic:cNvPicPr/>
                        </pic:nvPicPr>
                        <pic:blipFill>
                          <a:blip r:embed="rId16"/>
                          <a:stretch>
                            <a:fillRect/>
                          </a:stretch>
                        </pic:blipFill>
                        <pic:spPr>
                          <a:xfrm>
                            <a:off x="0" y="0"/>
                            <a:ext cx="516890" cy="515620"/>
                          </a:xfrm>
                          <a:prstGeom prst="rect">
                            <a:avLst/>
                          </a:prstGeom>
                          <a:noFill/>
                          <a:ln>
                            <a:noFill/>
                          </a:ln>
                        </pic:spPr>
                      </pic:pic>
                    </a:graphicData>
                  </a:graphic>
                </wp:anchor>
              </w:drawing>
            </w:r>
          </w:p>
        </w:tc>
      </w:tr>
      <w:tr w14:paraId="07A2A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FA2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B69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大单星盆台</w:t>
            </w:r>
          </w:p>
          <w:p w14:paraId="5EF7F39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900*750*850+150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DFF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7.单个水池斗规格：750*600*300mm，配提笼式落水口。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661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F7B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B52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361315</wp:posOffset>
                  </wp:positionV>
                  <wp:extent cx="624840" cy="482600"/>
                  <wp:effectExtent l="0" t="0" r="3810" b="3175"/>
                  <wp:wrapNone/>
                  <wp:docPr id="46" name="图片_12_SpCnt_1"/>
                  <wp:cNvGraphicFramePr/>
                  <a:graphic xmlns:a="http://schemas.openxmlformats.org/drawingml/2006/main">
                    <a:graphicData uri="http://schemas.openxmlformats.org/drawingml/2006/picture">
                      <pic:pic xmlns:pic="http://schemas.openxmlformats.org/drawingml/2006/picture">
                        <pic:nvPicPr>
                          <pic:cNvPr id="46" name="图片_12_SpCnt_1"/>
                          <pic:cNvPicPr/>
                        </pic:nvPicPr>
                        <pic:blipFill>
                          <a:blip r:embed="rId15"/>
                          <a:stretch>
                            <a:fillRect/>
                          </a:stretch>
                        </pic:blipFill>
                        <pic:spPr>
                          <a:xfrm>
                            <a:off x="0" y="0"/>
                            <a:ext cx="624840" cy="482600"/>
                          </a:xfrm>
                          <a:prstGeom prst="rect">
                            <a:avLst/>
                          </a:prstGeom>
                          <a:noFill/>
                          <a:ln>
                            <a:noFill/>
                          </a:ln>
                        </pic:spPr>
                      </pic:pic>
                    </a:graphicData>
                  </a:graphic>
                </wp:anchor>
              </w:drawing>
            </w:r>
          </w:p>
        </w:tc>
      </w:tr>
      <w:tr w14:paraId="7803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65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A04a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378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381E772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39C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0E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20C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EF8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665480</wp:posOffset>
                  </wp:positionV>
                  <wp:extent cx="516890" cy="509905"/>
                  <wp:effectExtent l="0" t="0" r="6985" b="4445"/>
                  <wp:wrapNone/>
                  <wp:docPr id="56" name="图片_4_SpCnt_1"/>
                  <wp:cNvGraphicFramePr/>
                  <a:graphic xmlns:a="http://schemas.openxmlformats.org/drawingml/2006/main">
                    <a:graphicData uri="http://schemas.openxmlformats.org/drawingml/2006/picture">
                      <pic:pic xmlns:pic="http://schemas.openxmlformats.org/drawingml/2006/picture">
                        <pic:nvPicPr>
                          <pic:cNvPr id="56" name="图片_4_SpCnt_1"/>
                          <pic:cNvPicPr/>
                        </pic:nvPicPr>
                        <pic:blipFill>
                          <a:blip r:embed="rId17"/>
                          <a:stretch>
                            <a:fillRect/>
                          </a:stretch>
                        </pic:blipFill>
                        <pic:spPr>
                          <a:xfrm>
                            <a:off x="0" y="0"/>
                            <a:ext cx="516890" cy="509905"/>
                          </a:xfrm>
                          <a:prstGeom prst="rect">
                            <a:avLst/>
                          </a:prstGeom>
                          <a:noFill/>
                          <a:ln>
                            <a:noFill/>
                          </a:ln>
                        </pic:spPr>
                      </pic:pic>
                    </a:graphicData>
                  </a:graphic>
                </wp:anchor>
              </w:drawing>
            </w:r>
          </w:p>
        </w:tc>
      </w:tr>
      <w:tr w14:paraId="46A2A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72C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DCC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左星剖鱼台</w:t>
            </w:r>
            <w:r>
              <w:rPr>
                <w:rFonts w:hint="eastAsia" w:ascii="宋体" w:hAnsi="宋体" w:eastAsia="宋体" w:cs="宋体"/>
                <w:i w:val="0"/>
                <w:iCs w:val="0"/>
                <w:color w:val="auto"/>
                <w:kern w:val="0"/>
                <w:sz w:val="21"/>
                <w:szCs w:val="21"/>
                <w:highlight w:val="none"/>
                <w:u w:val="none"/>
                <w:lang w:val="en-US" w:eastAsia="zh-CN" w:bidi="ar"/>
              </w:rPr>
              <w:br w:type="textWrapping"/>
            </w:r>
            <w:r>
              <w:rPr>
                <w:rStyle w:val="134"/>
                <w:rFonts w:hint="eastAsia" w:ascii="宋体" w:hAnsi="宋体" w:eastAsia="宋体" w:cs="宋体"/>
                <w:color w:val="auto"/>
                <w:sz w:val="21"/>
                <w:szCs w:val="21"/>
                <w:highlight w:val="none"/>
                <w:lang w:val="en-US" w:eastAsia="zh-CN" w:bidi="ar"/>
              </w:rPr>
              <w:t>（提供样品）</w:t>
            </w:r>
          </w:p>
          <w:p w14:paraId="2C4FFB9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1400*750*850+100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B5D8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2.台面板采用SUS304整体折弯成型，后档水板高度100mm，材料厚度：1.2mm(实厚≥1.1mm)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3.台面剖鱼处配置食品级砧板,冲洗装置,鱼鳞收集盒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4.横档采用不锈钢方管30*30*1.2mm(实厚≥1.1mm)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5.水池斗规格：450*385*250mm，配提笼式落水口                            6.脚为38*38mm不锈钢全钢可调节脚。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F1D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FA8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163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271780</wp:posOffset>
                  </wp:positionV>
                  <wp:extent cx="604520" cy="455930"/>
                  <wp:effectExtent l="0" t="0" r="5080" b="1270"/>
                  <wp:wrapNone/>
                  <wp:docPr id="57" name="图片_4_SpCnt_2"/>
                  <wp:cNvGraphicFramePr/>
                  <a:graphic xmlns:a="http://schemas.openxmlformats.org/drawingml/2006/main">
                    <a:graphicData uri="http://schemas.openxmlformats.org/drawingml/2006/picture">
                      <pic:pic xmlns:pic="http://schemas.openxmlformats.org/drawingml/2006/picture">
                        <pic:nvPicPr>
                          <pic:cNvPr id="57" name="图片_4_SpCnt_2"/>
                          <pic:cNvPicPr/>
                        </pic:nvPicPr>
                        <pic:blipFill>
                          <a:blip r:embed="rId18"/>
                          <a:stretch>
                            <a:fillRect/>
                          </a:stretch>
                        </pic:blipFill>
                        <pic:spPr>
                          <a:xfrm>
                            <a:off x="0" y="0"/>
                            <a:ext cx="604520" cy="455930"/>
                          </a:xfrm>
                          <a:prstGeom prst="rect">
                            <a:avLst/>
                          </a:prstGeom>
                          <a:noFill/>
                          <a:ln>
                            <a:noFill/>
                          </a:ln>
                        </pic:spPr>
                      </pic:pic>
                    </a:graphicData>
                  </a:graphic>
                </wp:anchor>
              </w:drawing>
            </w:r>
          </w:p>
        </w:tc>
      </w:tr>
      <w:tr w14:paraId="4FF77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F22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8F6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双层平板工作台</w:t>
            </w:r>
          </w:p>
          <w:p w14:paraId="69C3E4A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1800*700*800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29246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1D3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ADF4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AD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176530</wp:posOffset>
                  </wp:positionV>
                  <wp:extent cx="519430" cy="381635"/>
                  <wp:effectExtent l="0" t="0" r="4445" b="8890"/>
                  <wp:wrapNone/>
                  <wp:docPr id="52" name="图片_18"/>
                  <wp:cNvGraphicFramePr/>
                  <a:graphic xmlns:a="http://schemas.openxmlformats.org/drawingml/2006/main">
                    <a:graphicData uri="http://schemas.openxmlformats.org/drawingml/2006/picture">
                      <pic:pic xmlns:pic="http://schemas.openxmlformats.org/drawingml/2006/picture">
                        <pic:nvPicPr>
                          <pic:cNvPr id="52" name="图片_18"/>
                          <pic:cNvPicPr/>
                        </pic:nvPicPr>
                        <pic:blipFill>
                          <a:blip r:embed="rId19"/>
                          <a:stretch>
                            <a:fillRect/>
                          </a:stretch>
                        </pic:blipFill>
                        <pic:spPr>
                          <a:xfrm>
                            <a:off x="0" y="0"/>
                            <a:ext cx="519430" cy="381635"/>
                          </a:xfrm>
                          <a:prstGeom prst="rect">
                            <a:avLst/>
                          </a:prstGeom>
                          <a:noFill/>
                          <a:ln>
                            <a:noFill/>
                          </a:ln>
                        </pic:spPr>
                      </pic:pic>
                    </a:graphicData>
                  </a:graphic>
                </wp:anchor>
              </w:drawing>
            </w:r>
          </w:p>
        </w:tc>
      </w:tr>
      <w:tr w14:paraId="24D85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1646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D01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切配工作台</w:t>
            </w:r>
          </w:p>
          <w:p w14:paraId="772FA04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1500*900*800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0F9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2.台面板采用SUS304整体折弯成型，材料厚度：1.5mm(实厚≥1.35mm)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2.下可置菜筐车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961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897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661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370205</wp:posOffset>
                  </wp:positionV>
                  <wp:extent cx="589280" cy="361950"/>
                  <wp:effectExtent l="0" t="0" r="1270" b="0"/>
                  <wp:wrapNone/>
                  <wp:docPr id="53" name="Picture_109"/>
                  <wp:cNvGraphicFramePr/>
                  <a:graphic xmlns:a="http://schemas.openxmlformats.org/drawingml/2006/main">
                    <a:graphicData uri="http://schemas.openxmlformats.org/drawingml/2006/picture">
                      <pic:pic xmlns:pic="http://schemas.openxmlformats.org/drawingml/2006/picture">
                        <pic:nvPicPr>
                          <pic:cNvPr id="53" name="Picture_109"/>
                          <pic:cNvPicPr/>
                        </pic:nvPicPr>
                        <pic:blipFill>
                          <a:blip r:embed="rId20"/>
                          <a:stretch>
                            <a:fillRect/>
                          </a:stretch>
                        </pic:blipFill>
                        <pic:spPr>
                          <a:xfrm>
                            <a:off x="0" y="0"/>
                            <a:ext cx="589280" cy="361950"/>
                          </a:xfrm>
                          <a:prstGeom prst="rect">
                            <a:avLst/>
                          </a:prstGeom>
                          <a:noFill/>
                          <a:ln>
                            <a:noFill/>
                          </a:ln>
                        </pic:spPr>
                      </pic:pic>
                    </a:graphicData>
                  </a:graphic>
                </wp:anchor>
              </w:drawing>
            </w:r>
          </w:p>
        </w:tc>
      </w:tr>
      <w:tr w14:paraId="41AD6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A44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5E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双星水池1350*800*800+150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6E5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7.单个水池斗规格：650*600*300mm，配提笼式落水口。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68B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B0B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F06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325755</wp:posOffset>
                  </wp:positionV>
                  <wp:extent cx="450215" cy="544830"/>
                  <wp:effectExtent l="0" t="0" r="6985" b="7620"/>
                  <wp:wrapNone/>
                  <wp:docPr id="54" name="Picture_141"/>
                  <wp:cNvGraphicFramePr/>
                  <a:graphic xmlns:a="http://schemas.openxmlformats.org/drawingml/2006/main">
                    <a:graphicData uri="http://schemas.openxmlformats.org/drawingml/2006/picture">
                      <pic:pic xmlns:pic="http://schemas.openxmlformats.org/drawingml/2006/picture">
                        <pic:nvPicPr>
                          <pic:cNvPr id="54" name="Picture_141"/>
                          <pic:cNvPicPr/>
                        </pic:nvPicPr>
                        <pic:blipFill>
                          <a:blip r:embed="rId21"/>
                          <a:stretch>
                            <a:fillRect/>
                          </a:stretch>
                        </pic:blipFill>
                        <pic:spPr>
                          <a:xfrm>
                            <a:off x="0" y="0"/>
                            <a:ext cx="450215" cy="544830"/>
                          </a:xfrm>
                          <a:prstGeom prst="rect">
                            <a:avLst/>
                          </a:prstGeom>
                          <a:noFill/>
                          <a:ln>
                            <a:noFill/>
                          </a:ln>
                        </pic:spPr>
                      </pic:pic>
                    </a:graphicData>
                  </a:graphic>
                </wp:anchor>
              </w:drawing>
            </w:r>
          </w:p>
        </w:tc>
      </w:tr>
      <w:tr w14:paraId="2EFD4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4"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9FD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A08a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58E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7BE1D42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C50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519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BC8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58D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662940</wp:posOffset>
                  </wp:positionV>
                  <wp:extent cx="516890" cy="515620"/>
                  <wp:effectExtent l="0" t="0" r="6985" b="8255"/>
                  <wp:wrapNone/>
                  <wp:docPr id="58" name="图片_4_SpCnt_3"/>
                  <wp:cNvGraphicFramePr/>
                  <a:graphic xmlns:a="http://schemas.openxmlformats.org/drawingml/2006/main">
                    <a:graphicData uri="http://schemas.openxmlformats.org/drawingml/2006/picture">
                      <pic:pic xmlns:pic="http://schemas.openxmlformats.org/drawingml/2006/picture">
                        <pic:nvPicPr>
                          <pic:cNvPr id="58" name="图片_4_SpCnt_3"/>
                          <pic:cNvPicPr/>
                        </pic:nvPicPr>
                        <pic:blipFill>
                          <a:blip r:embed="rId16"/>
                          <a:stretch>
                            <a:fillRect/>
                          </a:stretch>
                        </pic:blipFill>
                        <pic:spPr>
                          <a:xfrm>
                            <a:off x="0" y="0"/>
                            <a:ext cx="516890" cy="515620"/>
                          </a:xfrm>
                          <a:prstGeom prst="rect">
                            <a:avLst/>
                          </a:prstGeom>
                          <a:noFill/>
                          <a:ln>
                            <a:noFill/>
                          </a:ln>
                        </pic:spPr>
                      </pic:pic>
                    </a:graphicData>
                  </a:graphic>
                </wp:anchor>
              </w:drawing>
            </w:r>
          </w:p>
        </w:tc>
      </w:tr>
      <w:tr w14:paraId="18793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71C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24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厨房用具组合消毒柜</w:t>
            </w:r>
          </w:p>
          <w:p w14:paraId="6716656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1200*600*1800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6F54">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2.整体柜体板厚为1.0mm(实厚≥0.9mm)，顶板厚为1.0mm(实厚≥0.9mm)，后背板厚为0.8mm(实厚≥0.7mm)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3.门板板厚为1.0mm(实厚≥0.9mm)，门拉手与门板为整体折弯成型，移门板左右面都需门拉手，方便推拉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4.内可放100/150mm墩头各5块</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菜刀10把</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毛巾20条</w:t>
            </w:r>
            <w:r>
              <w:rPr>
                <w:rFonts w:hint="eastAsia" w:ascii="宋体" w:hAnsi="宋体" w:cs="宋体"/>
                <w:i w:val="0"/>
                <w:iCs w:val="0"/>
                <w:color w:val="auto"/>
                <w:kern w:val="0"/>
                <w:sz w:val="21"/>
                <w:szCs w:val="21"/>
                <w:highlight w:val="none"/>
                <w:u w:val="none"/>
                <w:lang w:val="en-US" w:eastAsia="zh-CN" w:bidi="ar"/>
              </w:rPr>
              <w:t>及以上</w:t>
            </w:r>
            <w:r>
              <w:rPr>
                <w:rFonts w:hint="eastAsia" w:ascii="宋体" w:hAnsi="宋体" w:eastAsia="宋体" w:cs="宋体"/>
                <w:i w:val="0"/>
                <w:iCs w:val="0"/>
                <w:color w:val="auto"/>
                <w:kern w:val="0"/>
                <w:sz w:val="21"/>
                <w:szCs w:val="21"/>
                <w:highlight w:val="none"/>
                <w:u w:val="none"/>
                <w:lang w:val="en-US" w:eastAsia="zh-CN" w:bidi="ar"/>
              </w:rPr>
              <w:t xml:space="preserve">                       5.高温消毒、紫外线除菌功能，配豪华型可调节重力脚。 </w:t>
            </w:r>
          </w:p>
          <w:p w14:paraId="192553F1">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6.产品具有食品接触产品卫生认证证书，并提供相应证书复印件。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7.产品具有GB 19788-2008（食具消毒柜安全与卫生要求），并提供相应证书复印件。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4A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1C9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4B8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664210</wp:posOffset>
                  </wp:positionV>
                  <wp:extent cx="506095" cy="493395"/>
                  <wp:effectExtent l="0" t="0" r="8255" b="1905"/>
                  <wp:wrapNone/>
                  <wp:docPr id="47" name="图片_294"/>
                  <wp:cNvGraphicFramePr/>
                  <a:graphic xmlns:a="http://schemas.openxmlformats.org/drawingml/2006/main">
                    <a:graphicData uri="http://schemas.openxmlformats.org/drawingml/2006/picture">
                      <pic:pic xmlns:pic="http://schemas.openxmlformats.org/drawingml/2006/picture">
                        <pic:nvPicPr>
                          <pic:cNvPr id="47" name="图片_294"/>
                          <pic:cNvPicPr/>
                        </pic:nvPicPr>
                        <pic:blipFill>
                          <a:blip r:embed="rId22"/>
                          <a:stretch>
                            <a:fillRect/>
                          </a:stretch>
                        </pic:blipFill>
                        <pic:spPr>
                          <a:xfrm>
                            <a:off x="0" y="0"/>
                            <a:ext cx="506095" cy="493395"/>
                          </a:xfrm>
                          <a:prstGeom prst="rect">
                            <a:avLst/>
                          </a:prstGeom>
                          <a:noFill/>
                          <a:ln>
                            <a:noFill/>
                          </a:ln>
                        </pic:spPr>
                      </pic:pic>
                    </a:graphicData>
                  </a:graphic>
                </wp:anchor>
              </w:drawing>
            </w:r>
          </w:p>
        </w:tc>
      </w:tr>
      <w:tr w14:paraId="61963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1038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C936DE">
            <w:pPr>
              <w:shd w:val="clea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烹饪间</w:t>
            </w:r>
          </w:p>
        </w:tc>
      </w:tr>
      <w:tr w14:paraId="2D3B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371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DB1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双星盆台</w:t>
            </w:r>
          </w:p>
          <w:p w14:paraId="06EC1BC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1500*750*800+150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087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7.单个水池斗规格：650*600*300mm，配提笼式落水口。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CA5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C08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D97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352425</wp:posOffset>
                  </wp:positionV>
                  <wp:extent cx="450850" cy="299720"/>
                  <wp:effectExtent l="0" t="0" r="6350" b="5080"/>
                  <wp:wrapNone/>
                  <wp:docPr id="59" name="Picture_141_SpCnt_1"/>
                  <wp:cNvGraphicFramePr/>
                  <a:graphic xmlns:a="http://schemas.openxmlformats.org/drawingml/2006/main">
                    <a:graphicData uri="http://schemas.openxmlformats.org/drawingml/2006/picture">
                      <pic:pic xmlns:pic="http://schemas.openxmlformats.org/drawingml/2006/picture">
                        <pic:nvPicPr>
                          <pic:cNvPr id="59" name="Picture_141_SpCnt_1"/>
                          <pic:cNvPicPr/>
                        </pic:nvPicPr>
                        <pic:blipFill>
                          <a:blip r:embed="rId23"/>
                          <a:stretch>
                            <a:fillRect/>
                          </a:stretch>
                        </pic:blipFill>
                        <pic:spPr>
                          <a:xfrm>
                            <a:off x="0" y="0"/>
                            <a:ext cx="450850" cy="299720"/>
                          </a:xfrm>
                          <a:prstGeom prst="rect">
                            <a:avLst/>
                          </a:prstGeom>
                          <a:noFill/>
                          <a:ln>
                            <a:noFill/>
                          </a:ln>
                        </pic:spPr>
                      </pic:pic>
                    </a:graphicData>
                  </a:graphic>
                </wp:anchor>
              </w:drawing>
            </w:r>
          </w:p>
        </w:tc>
      </w:tr>
      <w:tr w14:paraId="71622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87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B01a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2BA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55AD8D7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E08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FE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76F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F9B3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455295</wp:posOffset>
                  </wp:positionV>
                  <wp:extent cx="517525" cy="502285"/>
                  <wp:effectExtent l="0" t="0" r="6350" b="2540"/>
                  <wp:wrapNone/>
                  <wp:docPr id="48" name="图片_4_SpCnt_4"/>
                  <wp:cNvGraphicFramePr/>
                  <a:graphic xmlns:a="http://schemas.openxmlformats.org/drawingml/2006/main">
                    <a:graphicData uri="http://schemas.openxmlformats.org/drawingml/2006/picture">
                      <pic:pic xmlns:pic="http://schemas.openxmlformats.org/drawingml/2006/picture">
                        <pic:nvPicPr>
                          <pic:cNvPr id="48" name="图片_4_SpCnt_4"/>
                          <pic:cNvPicPr/>
                        </pic:nvPicPr>
                        <pic:blipFill>
                          <a:blip r:embed="rId24"/>
                          <a:stretch>
                            <a:fillRect/>
                          </a:stretch>
                        </pic:blipFill>
                        <pic:spPr>
                          <a:xfrm>
                            <a:off x="0" y="0"/>
                            <a:ext cx="517525" cy="502285"/>
                          </a:xfrm>
                          <a:prstGeom prst="rect">
                            <a:avLst/>
                          </a:prstGeom>
                          <a:noFill/>
                          <a:ln>
                            <a:noFill/>
                          </a:ln>
                        </pic:spPr>
                      </pic:pic>
                    </a:graphicData>
                  </a:graphic>
                </wp:anchor>
              </w:drawing>
            </w:r>
          </w:p>
        </w:tc>
      </w:tr>
      <w:tr w14:paraId="45BB3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50E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C59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p w14:paraId="5E6A893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1200*500*1700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567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2.层板采用不锈钢板制作,材料厚度1.0mm(实厚≥0.9mm)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3.立柱为Φ38mm*δ=1.0mm(实厚≥0.9mm)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490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AD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1D2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165735</wp:posOffset>
                  </wp:positionH>
                  <wp:positionV relativeFrom="paragraph">
                    <wp:posOffset>74295</wp:posOffset>
                  </wp:positionV>
                  <wp:extent cx="325120" cy="283210"/>
                  <wp:effectExtent l="0" t="0" r="8255" b="2540"/>
                  <wp:wrapNone/>
                  <wp:docPr id="42" name="Picture_81_SpCnt_1"/>
                  <wp:cNvGraphicFramePr/>
                  <a:graphic xmlns:a="http://schemas.openxmlformats.org/drawingml/2006/main">
                    <a:graphicData uri="http://schemas.openxmlformats.org/drawingml/2006/picture">
                      <pic:pic xmlns:pic="http://schemas.openxmlformats.org/drawingml/2006/picture">
                        <pic:nvPicPr>
                          <pic:cNvPr id="42" name="Picture_81_SpCnt_1"/>
                          <pic:cNvPicPr/>
                        </pic:nvPicPr>
                        <pic:blipFill>
                          <a:blip r:embed="rId25"/>
                          <a:stretch>
                            <a:fillRect/>
                          </a:stretch>
                        </pic:blipFill>
                        <pic:spPr>
                          <a:xfrm>
                            <a:off x="0" y="0"/>
                            <a:ext cx="325120" cy="283210"/>
                          </a:xfrm>
                          <a:prstGeom prst="rect">
                            <a:avLst/>
                          </a:prstGeom>
                          <a:noFill/>
                          <a:ln>
                            <a:noFill/>
                          </a:ln>
                        </pic:spPr>
                      </pic:pic>
                    </a:graphicData>
                  </a:graphic>
                </wp:anchor>
              </w:drawing>
            </w:r>
          </w:p>
        </w:tc>
      </w:tr>
      <w:tr w14:paraId="534B9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829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03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冷藏平面工作台</w:t>
            </w:r>
          </w:p>
          <w:p w14:paraId="0B9AA1F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1F8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容积：530升，功率220v/152W, 箱内温度-5度--10度。内外加厚201不锈钢,加高箱体690MM(含台面），自主研发控制系统，触摸控制，装饰板钢化玻璃设计，门铰链加强弹簧回归；暗拉手设计，门体加厚，门内胆拉伸，保温隔热效果更好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1.产品符合CQC食品接触安全认证并获得认证证书。（证书带有国家认监委查询址）                                                                                                                                                                            2.具有国家强制性产品认证试验报告并依据GB4706.1-2005/GB 4706.13-2014/GB 4343.1-2018/GB 17625.1-2012试验结论全部合格。 具有国家强制性产品认证证书 GB 17625.1-2012;GB 4343.1-2018;GB 4706.1-2005 ;GB 4706.13-2014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3.具有国家电器安全检测报告并依据GB 17625.1-2012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4.内胆检测报告符合GB/T 2423.17-2008《电工电子产品基本环境试验规程 试验 Ka：盐雾试验方法》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5.发泡料阻燃等级依据标准：GB/T 20219-2015、GB 8624-2012、GB/T 6343-2009、GB/T 8813-2020、GB/T 10294-2008.GB/T8810-2005GB/T8811-2008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表观芯密度、初始导热系数(平均温度25C)、压缩强度或10%形变的压缩应力、吸水率(体积比)、尺寸稳定性(70C，相对湿度(97土3)%，48h)项目合格;燃烧性能等级符合GB 8624-2012标准B1(C)级要求。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6.不锈钢板材444(冰箱内壁)材质分析。GB/T 20878-2007《不锈钢和耐热钢 牌号及化学成分》GB/T 11170-2008《不锈钢 多元素含量的测定 火花放电原子发射光谱法(常规法)》、GB/T 20124-2006《钢铁 氮含量的测定 惰性气体熔融热导法(常规方法)》；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7.控制板防水等级和软件功能，IP65级 GB/T4208-2017《外壳防护等级 (IP 代码)》软件功能：状态显示、中文图标故障提醒功能、杀菌功能、离子保鲜功能、节能功能、物联功能、定时功能、留样柜取样自锁功能、密码锁功能、物联称重功能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8.门封条有害物质检测报告，GB 4806.11-2016 食品安全国家标准 食品接触用橡胶材料及制品；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罩极异步电机防水等级，IP68级，检验标准依据:GB/T4208-2017《外壳防护等级 (IP 代码)》</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937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69D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3D7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1988820</wp:posOffset>
                  </wp:positionV>
                  <wp:extent cx="545465" cy="479425"/>
                  <wp:effectExtent l="0" t="0" r="6985" b="6350"/>
                  <wp:wrapNone/>
                  <wp:docPr id="55" name="图片_36"/>
                  <wp:cNvGraphicFramePr/>
                  <a:graphic xmlns:a="http://schemas.openxmlformats.org/drawingml/2006/main">
                    <a:graphicData uri="http://schemas.openxmlformats.org/drawingml/2006/picture">
                      <pic:pic xmlns:pic="http://schemas.openxmlformats.org/drawingml/2006/picture">
                        <pic:nvPicPr>
                          <pic:cNvPr id="55" name="图片_36"/>
                          <pic:cNvPicPr/>
                        </pic:nvPicPr>
                        <pic:blipFill>
                          <a:blip r:embed="rId26"/>
                          <a:stretch>
                            <a:fillRect/>
                          </a:stretch>
                        </pic:blipFill>
                        <pic:spPr>
                          <a:xfrm>
                            <a:off x="0" y="0"/>
                            <a:ext cx="545465" cy="479425"/>
                          </a:xfrm>
                          <a:prstGeom prst="rect">
                            <a:avLst/>
                          </a:prstGeom>
                          <a:noFill/>
                          <a:ln>
                            <a:noFill/>
                          </a:ln>
                        </pic:spPr>
                      </pic:pic>
                    </a:graphicData>
                  </a:graphic>
                </wp:anchor>
              </w:drawing>
            </w:r>
          </w:p>
        </w:tc>
      </w:tr>
      <w:tr w14:paraId="0F020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C8B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B38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冷冻冷藏双温冰柜</w:t>
            </w:r>
          </w:p>
          <w:p w14:paraId="0199C37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1210*760*1955</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25E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容量：980L  功率：220V/428W                                    箱内温度：R-2~10/F-5~-21℃                                             采用内外201，门空箱冷冻温度-21℃，板材加厚，自主研发控制系统，触摸控制，装饰板钢化玻璃设计，门铰链加强弹簧回归；暗拉手设计，门体加厚，门内胆拉伸，保温隔热效果更好；冷冻室十字带加热丝，防结冰；陈列柜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1.产品符合CQC食品接触安全认证并获得认证证书。（证书带有国家认监委查询网址）                                                                                                                                                                              2.具有国家强制性产品认证试验报告并依据GB4706.1-2005/GB 4706.13-2014/GB 4343.1-2018/GB 17625.1-2012试验结论全部合格。 具有国家强制性产品认证证书 GB 17625.1-2012;GB 4343.1-2018;GB 4706.1-2005 ;GB 4706.13-2014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3.具有国家电器安全检测报告并依据GB 17625.1-2012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4.内胆检测报告符合GB/T 2423.17-2008《电工电子产品基本环境试验规程 试验 Ka：盐雾试验方法》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5.发泡料阻燃等级依据标准：GB/T 20219-2015、GB 8624-2012、GB/T 6343-2009、GB/T 8813-2020、GB/T10294-2008.GB/T8810-2005GB/T8811-2008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表观芯密度、初始导热系数(平均温度25C)、压缩强度或10%形变的压缩应力、吸水率(体积比)、尺寸稳定性(70C，相对湿度(97土3)%，48h)项目合格;燃烧性能等级符合GB 8624-2012标准B1(C)级要求。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6.不锈钢板材444(冰箱内壁)材质分析。GB/T 20878-2007《不锈钢和耐热钢 牌号及化学成分》GB/T 11170-2008《不锈钢 多元素含量的测定 火花放电原子发射光谱法(常规法)》、GB/T 20124-2006《钢铁 氮含量的测定 惰性气体熔融热导法(常规方法)》；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7.控制板防水等级和软件功能，IP65级 GB/T4208-2017《外壳防护等级 (IP 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软件功能：状态显示、中文图标故障提醒功能、杀菌功能、离子保鲜功能、节能功能、物联功能、定时功能、留样柜取样自锁功能、密码锁功能、物联称重功能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8.门封条有害物质检测报告，GB 4806.11-2016 食品安全国家标准 食品接触用橡胶材料及制品，罩极异步电机防水等级，IP68级，检验标准依据:GB/T 4208-2017《外壳防护等级 (IP 代码)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BC7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8D0B">
            <w:pPr>
              <w:keepNext w:val="0"/>
              <w:keepLines w:val="0"/>
              <w:widowControl/>
              <w:suppressLineNumbers w:val="0"/>
              <w:shd w:val="clear"/>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62C323AF">
            <w:pPr>
              <w:keepNext w:val="0"/>
              <w:keepLines w:val="0"/>
              <w:widowControl/>
              <w:suppressLineNumbers w:val="0"/>
              <w:shd w:val="clear"/>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7A715E25">
            <w:pPr>
              <w:keepNext w:val="0"/>
              <w:keepLines w:val="0"/>
              <w:widowControl/>
              <w:suppressLineNumbers w:val="0"/>
              <w:shd w:val="clear"/>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001509B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46355</wp:posOffset>
                  </wp:positionV>
                  <wp:extent cx="624840" cy="845820"/>
                  <wp:effectExtent l="0" t="0" r="3810" b="1905"/>
                  <wp:wrapNone/>
                  <wp:docPr id="50" name="图片_17"/>
                  <wp:cNvGraphicFramePr/>
                  <a:graphic xmlns:a="http://schemas.openxmlformats.org/drawingml/2006/main">
                    <a:graphicData uri="http://schemas.openxmlformats.org/drawingml/2006/picture">
                      <pic:pic xmlns:pic="http://schemas.openxmlformats.org/drawingml/2006/picture">
                        <pic:nvPicPr>
                          <pic:cNvPr id="50" name="图片_17"/>
                          <pic:cNvPicPr/>
                        </pic:nvPicPr>
                        <pic:blipFill>
                          <a:blip r:embed="rId27"/>
                          <a:stretch>
                            <a:fillRect/>
                          </a:stretch>
                        </pic:blipFill>
                        <pic:spPr>
                          <a:xfrm>
                            <a:off x="0" y="0"/>
                            <a:ext cx="624840" cy="84582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9CD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p>
        </w:tc>
      </w:tr>
      <w:tr w14:paraId="65D2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68F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B84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下平板工作台连后背</w:t>
            </w:r>
          </w:p>
          <w:p w14:paraId="680A284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F340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.层板采用SUS304整体折弯成型，材料厚度：1.0mm(实厚≥0.9mm)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1EE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65A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405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187325</wp:posOffset>
                  </wp:positionV>
                  <wp:extent cx="519430" cy="382905"/>
                  <wp:effectExtent l="0" t="0" r="4445" b="7620"/>
                  <wp:wrapNone/>
                  <wp:docPr id="43" name="图片_18_SpCnt_1"/>
                  <wp:cNvGraphicFramePr/>
                  <a:graphic xmlns:a="http://schemas.openxmlformats.org/drawingml/2006/main">
                    <a:graphicData uri="http://schemas.openxmlformats.org/drawingml/2006/picture">
                      <pic:pic xmlns:pic="http://schemas.openxmlformats.org/drawingml/2006/picture">
                        <pic:nvPicPr>
                          <pic:cNvPr id="43" name="图片_18_SpCnt_1"/>
                          <pic:cNvPicPr/>
                        </pic:nvPicPr>
                        <pic:blipFill>
                          <a:blip r:embed="rId19"/>
                          <a:stretch>
                            <a:fillRect/>
                          </a:stretch>
                        </pic:blipFill>
                        <pic:spPr>
                          <a:xfrm>
                            <a:off x="0" y="0"/>
                            <a:ext cx="519430" cy="382905"/>
                          </a:xfrm>
                          <a:prstGeom prst="rect">
                            <a:avLst/>
                          </a:prstGeom>
                          <a:noFill/>
                          <a:ln>
                            <a:noFill/>
                          </a:ln>
                        </pic:spPr>
                      </pic:pic>
                    </a:graphicData>
                  </a:graphic>
                </wp:anchor>
              </w:drawing>
            </w:r>
          </w:p>
        </w:tc>
      </w:tr>
      <w:tr w14:paraId="75705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BD8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B4C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双星盆台柜1500*800*800+150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27A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4.三面封板，前开门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7.单个水池斗规格：650*600*300mm，配提笼式落水口。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4C6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262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7040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283210</wp:posOffset>
                  </wp:positionV>
                  <wp:extent cx="450850" cy="299720"/>
                  <wp:effectExtent l="0" t="0" r="6350" b="5080"/>
                  <wp:wrapNone/>
                  <wp:docPr id="67" name="Picture_141_SpCnt_2"/>
                  <wp:cNvGraphicFramePr/>
                  <a:graphic xmlns:a="http://schemas.openxmlformats.org/drawingml/2006/main">
                    <a:graphicData uri="http://schemas.openxmlformats.org/drawingml/2006/picture">
                      <pic:pic xmlns:pic="http://schemas.openxmlformats.org/drawingml/2006/picture">
                        <pic:nvPicPr>
                          <pic:cNvPr id="67" name="Picture_141_SpCnt_2"/>
                          <pic:cNvPicPr/>
                        </pic:nvPicPr>
                        <pic:blipFill>
                          <a:blip r:embed="rId23"/>
                          <a:stretch>
                            <a:fillRect/>
                          </a:stretch>
                        </pic:blipFill>
                        <pic:spPr>
                          <a:xfrm>
                            <a:off x="0" y="0"/>
                            <a:ext cx="450850" cy="299720"/>
                          </a:xfrm>
                          <a:prstGeom prst="rect">
                            <a:avLst/>
                          </a:prstGeom>
                          <a:noFill/>
                          <a:ln>
                            <a:noFill/>
                          </a:ln>
                        </pic:spPr>
                      </pic:pic>
                    </a:graphicData>
                  </a:graphic>
                </wp:anchor>
              </w:drawing>
            </w:r>
          </w:p>
        </w:tc>
      </w:tr>
      <w:tr w14:paraId="65956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CFE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B06a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D7B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18497F3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171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2AF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6EE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C4C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455295</wp:posOffset>
                  </wp:positionV>
                  <wp:extent cx="517525" cy="502285"/>
                  <wp:effectExtent l="0" t="0" r="6350" b="2540"/>
                  <wp:wrapNone/>
                  <wp:docPr id="60" name="图片_4_SpCnt_5"/>
                  <wp:cNvGraphicFramePr/>
                  <a:graphic xmlns:a="http://schemas.openxmlformats.org/drawingml/2006/main">
                    <a:graphicData uri="http://schemas.openxmlformats.org/drawingml/2006/picture">
                      <pic:pic xmlns:pic="http://schemas.openxmlformats.org/drawingml/2006/picture">
                        <pic:nvPicPr>
                          <pic:cNvPr id="60" name="图片_4_SpCnt_5"/>
                          <pic:cNvPicPr/>
                        </pic:nvPicPr>
                        <pic:blipFill>
                          <a:blip r:embed="rId24"/>
                          <a:stretch>
                            <a:fillRect/>
                          </a:stretch>
                        </pic:blipFill>
                        <pic:spPr>
                          <a:xfrm>
                            <a:off x="0" y="0"/>
                            <a:ext cx="517525" cy="502285"/>
                          </a:xfrm>
                          <a:prstGeom prst="rect">
                            <a:avLst/>
                          </a:prstGeom>
                          <a:noFill/>
                          <a:ln>
                            <a:noFill/>
                          </a:ln>
                        </pic:spPr>
                      </pic:pic>
                    </a:graphicData>
                  </a:graphic>
                </wp:anchor>
              </w:drawing>
            </w:r>
          </w:p>
        </w:tc>
      </w:tr>
      <w:tr w14:paraId="43A9D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2A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01C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p w14:paraId="42804E3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700*1100*800+400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2BAD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2.台面板，前封板材料采用SUS304拉丝1.0mm(实厚≥0.9mm)，加强筋、后背板采用SUS201拉丝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3.柱Φ38mm *δ=1.2不锈钢管(配有可调子弹脚)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5AB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08B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36A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52070</wp:posOffset>
                  </wp:positionV>
                  <wp:extent cx="368300" cy="470535"/>
                  <wp:effectExtent l="0" t="0" r="3175" b="5715"/>
                  <wp:wrapNone/>
                  <wp:docPr id="87" name="ID_B4CDCB3CD21C4F86957165ECBCB38E56"/>
                  <wp:cNvGraphicFramePr/>
                  <a:graphic xmlns:a="http://schemas.openxmlformats.org/drawingml/2006/main">
                    <a:graphicData uri="http://schemas.openxmlformats.org/drawingml/2006/picture">
                      <pic:pic xmlns:pic="http://schemas.openxmlformats.org/drawingml/2006/picture">
                        <pic:nvPicPr>
                          <pic:cNvPr id="87" name="ID_B4CDCB3CD21C4F86957165ECBCB38E56"/>
                          <pic:cNvPicPr/>
                        </pic:nvPicPr>
                        <pic:blipFill>
                          <a:blip r:embed="rId28"/>
                          <a:stretch>
                            <a:fillRect/>
                          </a:stretch>
                        </pic:blipFill>
                        <pic:spPr>
                          <a:xfrm>
                            <a:off x="0" y="0"/>
                            <a:ext cx="368300" cy="470535"/>
                          </a:xfrm>
                          <a:prstGeom prst="rect">
                            <a:avLst/>
                          </a:prstGeom>
                          <a:noFill/>
                          <a:ln>
                            <a:noFill/>
                          </a:ln>
                        </pic:spPr>
                      </pic:pic>
                    </a:graphicData>
                  </a:graphic>
                </wp:anchor>
              </w:drawing>
            </w:r>
          </w:p>
        </w:tc>
      </w:tr>
      <w:tr w14:paraId="05631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B33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3B4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p w14:paraId="6AA5EA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830*830*800+400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23B5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2.台面板，前封板材料采用SUS304拉丝1.0mm(实厚≥0.9mm)，加强筋、后背板采用SUS201拉丝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3.柱Φ38mm *δ=1.2不锈钢管(配有可调子弹脚)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B90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CA7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EF6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72390</wp:posOffset>
                  </wp:positionV>
                  <wp:extent cx="325755" cy="417830"/>
                  <wp:effectExtent l="0" t="0" r="7620" b="1270"/>
                  <wp:wrapNone/>
                  <wp:docPr id="75" name="ID_B4CDCB3CD21C4F86957165ECBCB38E56_SpCnt_1"/>
                  <wp:cNvGraphicFramePr/>
                  <a:graphic xmlns:a="http://schemas.openxmlformats.org/drawingml/2006/main">
                    <a:graphicData uri="http://schemas.openxmlformats.org/drawingml/2006/picture">
                      <pic:pic xmlns:pic="http://schemas.openxmlformats.org/drawingml/2006/picture">
                        <pic:nvPicPr>
                          <pic:cNvPr id="75" name="ID_B4CDCB3CD21C4F86957165ECBCB38E56_SpCnt_1"/>
                          <pic:cNvPicPr/>
                        </pic:nvPicPr>
                        <pic:blipFill>
                          <a:blip r:embed="rId29"/>
                          <a:stretch>
                            <a:fillRect/>
                          </a:stretch>
                        </pic:blipFill>
                        <pic:spPr>
                          <a:xfrm>
                            <a:off x="0" y="0"/>
                            <a:ext cx="325755" cy="417830"/>
                          </a:xfrm>
                          <a:prstGeom prst="rect">
                            <a:avLst/>
                          </a:prstGeom>
                          <a:noFill/>
                          <a:ln>
                            <a:noFill/>
                          </a:ln>
                        </pic:spPr>
                      </pic:pic>
                    </a:graphicData>
                  </a:graphic>
                </wp:anchor>
              </w:drawing>
            </w:r>
          </w:p>
        </w:tc>
      </w:tr>
      <w:tr w14:paraId="48FC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1E1B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99B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p w14:paraId="6DA0F8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500*1100*800+400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214A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2.台面板，前封板材料采用SUS304拉丝1.0mm(实厚≥0.9mm)，加强筋、后背板采用SUS201拉丝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3.柱Φ38mm *δ=1.2不锈钢管(配有可调子弹脚)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E23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6E0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817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185420</wp:posOffset>
                  </wp:positionH>
                  <wp:positionV relativeFrom="paragraph">
                    <wp:posOffset>52070</wp:posOffset>
                  </wp:positionV>
                  <wp:extent cx="310515" cy="401955"/>
                  <wp:effectExtent l="0" t="0" r="3810" b="7620"/>
                  <wp:wrapNone/>
                  <wp:docPr id="68" name="ID_B4CDCB3CD21C4F86957165ECBCB38E56_SpCnt_2"/>
                  <wp:cNvGraphicFramePr/>
                  <a:graphic xmlns:a="http://schemas.openxmlformats.org/drawingml/2006/main">
                    <a:graphicData uri="http://schemas.openxmlformats.org/drawingml/2006/picture">
                      <pic:pic xmlns:pic="http://schemas.openxmlformats.org/drawingml/2006/picture">
                        <pic:nvPicPr>
                          <pic:cNvPr id="68" name="ID_B4CDCB3CD21C4F86957165ECBCB38E56_SpCnt_2"/>
                          <pic:cNvPicPr/>
                        </pic:nvPicPr>
                        <pic:blipFill>
                          <a:blip r:embed="rId30"/>
                          <a:stretch>
                            <a:fillRect/>
                          </a:stretch>
                        </pic:blipFill>
                        <pic:spPr>
                          <a:xfrm>
                            <a:off x="0" y="0"/>
                            <a:ext cx="310515" cy="401955"/>
                          </a:xfrm>
                          <a:prstGeom prst="rect">
                            <a:avLst/>
                          </a:prstGeom>
                          <a:noFill/>
                          <a:ln>
                            <a:noFill/>
                          </a:ln>
                        </pic:spPr>
                      </pic:pic>
                    </a:graphicData>
                  </a:graphic>
                </wp:anchor>
              </w:drawing>
            </w:r>
          </w:p>
        </w:tc>
      </w:tr>
      <w:tr w14:paraId="3238E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13D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D3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燃气双头大锅灶（800mm锅、带屏显）</w:t>
            </w:r>
          </w:p>
          <w:p w14:paraId="0E4031A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2000*1100*800+400</w:t>
            </w:r>
            <w:r>
              <w:rPr>
                <w:rFonts w:hint="eastAsia" w:ascii="宋体" w:hAnsi="宋体" w:cs="宋体"/>
                <w:b/>
                <w:bCs/>
                <w:i w:val="0"/>
                <w:iCs w:val="0"/>
                <w:color w:val="auto"/>
                <w:kern w:val="0"/>
                <w:sz w:val="21"/>
                <w:szCs w:val="21"/>
                <w:highlight w:val="none"/>
                <w:u w:val="none"/>
                <w:lang w:val="en-US" w:eastAsia="zh-CN" w:bidi="ar"/>
              </w:rPr>
              <w:t>（核心产品）</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83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说明：采用304不锈钢板制作 ，面板/前封板厚 1.2 ㎜ ，侧板/靠背板厚1.0；产品框架采用优质 38*25不锈钢方管厚 1.0制作焊接工艺；炉膛球墨制造，内混式结构专利燃烧器；产品通过GB35848-2018标准 ，额定热负荷 ≥ 35KW ，热负荷准确度 ≤±5%以内 ，干烟 气 中 CO ≤ 0.005%  ， 特 殊 工 况 下 CO ≤ 0.05% ，能源合理利用 ≥65% ，熄火保护装 置自动燃烧器控制系统具有再启动功能，磁控档位开关 ，5档火力，火力大小显示屏 可视化 ，故障代码显示</w:t>
            </w:r>
          </w:p>
          <w:p w14:paraId="16A66DE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需提供具有检测资质的检测机构出具的检测报告（能效一级）复印件。</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14A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982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BE1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575310</wp:posOffset>
                  </wp:positionV>
                  <wp:extent cx="480695" cy="343535"/>
                  <wp:effectExtent l="0" t="0" r="5080" b="8890"/>
                  <wp:wrapNone/>
                  <wp:docPr id="65" name="图片_51"/>
                  <wp:cNvGraphicFramePr/>
                  <a:graphic xmlns:a="http://schemas.openxmlformats.org/drawingml/2006/main">
                    <a:graphicData uri="http://schemas.openxmlformats.org/drawingml/2006/picture">
                      <pic:pic xmlns:pic="http://schemas.openxmlformats.org/drawingml/2006/picture">
                        <pic:nvPicPr>
                          <pic:cNvPr id="65" name="图片_51"/>
                          <pic:cNvPicPr/>
                        </pic:nvPicPr>
                        <pic:blipFill>
                          <a:blip r:embed="rId31"/>
                          <a:stretch>
                            <a:fillRect/>
                          </a:stretch>
                        </pic:blipFill>
                        <pic:spPr>
                          <a:xfrm>
                            <a:off x="0" y="0"/>
                            <a:ext cx="480695" cy="343535"/>
                          </a:xfrm>
                          <a:prstGeom prst="rect">
                            <a:avLst/>
                          </a:prstGeom>
                          <a:noFill/>
                          <a:ln>
                            <a:noFill/>
                          </a:ln>
                        </pic:spPr>
                      </pic:pic>
                    </a:graphicData>
                  </a:graphic>
                </wp:anchor>
              </w:drawing>
            </w:r>
          </w:p>
        </w:tc>
      </w:tr>
      <w:tr w14:paraId="31E82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7EC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268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两主两付燃气广式炒灶（带屏显）</w:t>
            </w:r>
          </w:p>
          <w:p w14:paraId="5B3679C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2000*1100*800+400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BAF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说明：采用304不锈钢板制作 ，面板/前封板厚 1.2 ㎜ ，侧板/靠背板厚1.0；产品框架采用优质 38*25不锈钢方管厚 1.0制作焊接工艺；炉膛球墨制造，内混式结构专利燃烧器；产品通过GB35848-2018标准 ，额定热负荷 ≥ 35KW ，热负荷准确度 ≤±5%以内 ，干烟 气 中 CO ≤ 0.005%  ， 特 殊 工 况 下 CO ≤ 0.05% ，能源合理利用 ≥65% ，熄火保护装 置自动燃烧器控制系统具有再启动功能，磁控档位开关 ，5档火力，火力大小显示屏 可视化 ，故障代码显示</w:t>
            </w:r>
          </w:p>
          <w:p w14:paraId="3DC6168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需提供具有检测资质的检测机构出具的检测报告（能效一级）复印件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984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B40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FFD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516890</wp:posOffset>
                  </wp:positionV>
                  <wp:extent cx="574040" cy="430530"/>
                  <wp:effectExtent l="0" t="0" r="6985" b="0"/>
                  <wp:wrapNone/>
                  <wp:docPr id="76" name="图片_52"/>
                  <wp:cNvGraphicFramePr/>
                  <a:graphic xmlns:a="http://schemas.openxmlformats.org/drawingml/2006/main">
                    <a:graphicData uri="http://schemas.openxmlformats.org/drawingml/2006/picture">
                      <pic:pic xmlns:pic="http://schemas.openxmlformats.org/drawingml/2006/picture">
                        <pic:nvPicPr>
                          <pic:cNvPr id="76" name="图片_52"/>
                          <pic:cNvPicPr/>
                        </pic:nvPicPr>
                        <pic:blipFill>
                          <a:blip r:embed="rId32"/>
                          <a:stretch>
                            <a:fillRect/>
                          </a:stretch>
                        </pic:blipFill>
                        <pic:spPr>
                          <a:xfrm>
                            <a:off x="0" y="0"/>
                            <a:ext cx="574040" cy="430530"/>
                          </a:xfrm>
                          <a:prstGeom prst="rect">
                            <a:avLst/>
                          </a:prstGeom>
                          <a:noFill/>
                          <a:ln>
                            <a:noFill/>
                          </a:ln>
                        </pic:spPr>
                      </pic:pic>
                    </a:graphicData>
                  </a:graphic>
                </wp:anchor>
              </w:drawing>
            </w:r>
          </w:p>
        </w:tc>
      </w:tr>
      <w:tr w14:paraId="45399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B3F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F7D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两主一付燃气广式炒灶（带屏显）</w:t>
            </w:r>
          </w:p>
          <w:p w14:paraId="7A285B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1800*1000*800+400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8B2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说明：采用304不锈钢板制作 ，面板/前封板厚 1.2 ㎜ ，侧板/靠背板厚1.0；产品框架采用优质 38*25不锈钢方管厚 1.0制作焊接工艺；炉膛球墨制造，内混式结构专利燃烧器；产品通过GB35848-2018标准 ，额定热负荷 ≥ 35KW ，热负荷准确度 ≤±5%以内 ，干烟 气 中 CO ≤ 0.005%  ， 特 殊 工 况 下 CO ≤ 0.05% ，能源合理利用 ≥65% ，熄火保护装 置自动燃烧器控制系统具有再启动功能，磁控档位开关 ，5档火力，火力大小显示屏 可视化 ，故障代码显示</w:t>
            </w:r>
          </w:p>
          <w:p w14:paraId="243F8DE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需提供具有检测资质的检测机构出具的检测报告</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能效一级</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74C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FDD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0CC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298450</wp:posOffset>
                  </wp:positionV>
                  <wp:extent cx="574040" cy="429260"/>
                  <wp:effectExtent l="0" t="0" r="6985" b="0"/>
                  <wp:wrapNone/>
                  <wp:docPr id="77" name="图片_52_SpCnt_1"/>
                  <wp:cNvGraphicFramePr/>
                  <a:graphic xmlns:a="http://schemas.openxmlformats.org/drawingml/2006/main">
                    <a:graphicData uri="http://schemas.openxmlformats.org/drawingml/2006/picture">
                      <pic:pic xmlns:pic="http://schemas.openxmlformats.org/drawingml/2006/picture">
                        <pic:nvPicPr>
                          <pic:cNvPr id="77" name="图片_52_SpCnt_1"/>
                          <pic:cNvPicPr/>
                        </pic:nvPicPr>
                        <pic:blipFill>
                          <a:blip r:embed="rId32"/>
                          <a:stretch>
                            <a:fillRect/>
                          </a:stretch>
                        </pic:blipFill>
                        <pic:spPr>
                          <a:xfrm>
                            <a:off x="0" y="0"/>
                            <a:ext cx="574040" cy="429260"/>
                          </a:xfrm>
                          <a:prstGeom prst="rect">
                            <a:avLst/>
                          </a:prstGeom>
                          <a:noFill/>
                          <a:ln>
                            <a:noFill/>
                          </a:ln>
                        </pic:spPr>
                      </pic:pic>
                    </a:graphicData>
                  </a:graphic>
                </wp:anchor>
              </w:drawing>
            </w:r>
          </w:p>
        </w:tc>
      </w:tr>
      <w:tr w14:paraId="5C334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9D1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9C3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调料平台</w:t>
            </w:r>
          </w:p>
          <w:p w14:paraId="43FF0D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600*1000*800+400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4C42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2.台面板，前封板材料采用SUS304拉丝1.0mm(实厚≥0.9mm)，加强筋、后背板采用SUS201拉丝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3.柱Φ38mm *δ=1.2不锈钢管(配有可调子弹脚)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A77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C8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3F1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52070</wp:posOffset>
                  </wp:positionV>
                  <wp:extent cx="311150" cy="401955"/>
                  <wp:effectExtent l="0" t="0" r="3175" b="7620"/>
                  <wp:wrapNone/>
                  <wp:docPr id="62" name="ID_B4CDCB3CD21C4F86957165ECBCB38E56_SpCnt_3"/>
                  <wp:cNvGraphicFramePr/>
                  <a:graphic xmlns:a="http://schemas.openxmlformats.org/drawingml/2006/main">
                    <a:graphicData uri="http://schemas.openxmlformats.org/drawingml/2006/picture">
                      <pic:pic xmlns:pic="http://schemas.openxmlformats.org/drawingml/2006/picture">
                        <pic:nvPicPr>
                          <pic:cNvPr id="62" name="ID_B4CDCB3CD21C4F86957165ECBCB38E56_SpCnt_3"/>
                          <pic:cNvPicPr/>
                        </pic:nvPicPr>
                        <pic:blipFill>
                          <a:blip r:embed="rId33"/>
                          <a:stretch>
                            <a:fillRect/>
                          </a:stretch>
                        </pic:blipFill>
                        <pic:spPr>
                          <a:xfrm>
                            <a:off x="0" y="0"/>
                            <a:ext cx="311150" cy="401955"/>
                          </a:xfrm>
                          <a:prstGeom prst="rect">
                            <a:avLst/>
                          </a:prstGeom>
                          <a:noFill/>
                          <a:ln>
                            <a:noFill/>
                          </a:ln>
                        </pic:spPr>
                      </pic:pic>
                    </a:graphicData>
                  </a:graphic>
                </wp:anchor>
              </w:drawing>
            </w:r>
          </w:p>
        </w:tc>
      </w:tr>
      <w:tr w14:paraId="3EB1B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FAE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5E1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天然气六眼煲仔炉</w:t>
            </w:r>
          </w:p>
          <w:p w14:paraId="075640F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1200*1000*800+400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AB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说明：采用304不锈钢板制作 ，面板/前封板厚 1.2 ㎜ ，侧板/靠背板厚1.0；产品框架采用优质 38*25不锈钢方管厚 1.0制作焊接工艺；炉膛球墨制造，内混式结构专利燃烧器；产品通过GB35848-2018标准 ，额定热负荷 ≥ 35KW ，热负荷准确度 ≤±5%以内 ，干烟 气 中 CO ≤ 0.005%  ， 特 殊 工 况 下 CO ≤ 0.05% ，能源合理利用 ≥65% ，熄火保护装 置自动燃烧器控制系统具有再启动功能。                                                                </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需提供具有检测资质的检测机构出具的检测报告（能效一级）复印件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14E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832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45E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294005</wp:posOffset>
                  </wp:positionV>
                  <wp:extent cx="532130" cy="474980"/>
                  <wp:effectExtent l="0" t="0" r="1270" b="1270"/>
                  <wp:wrapNone/>
                  <wp:docPr id="80" name="图片_54"/>
                  <wp:cNvGraphicFramePr/>
                  <a:graphic xmlns:a="http://schemas.openxmlformats.org/drawingml/2006/main">
                    <a:graphicData uri="http://schemas.openxmlformats.org/drawingml/2006/picture">
                      <pic:pic xmlns:pic="http://schemas.openxmlformats.org/drawingml/2006/picture">
                        <pic:nvPicPr>
                          <pic:cNvPr id="80" name="图片_54"/>
                          <pic:cNvPicPr/>
                        </pic:nvPicPr>
                        <pic:blipFill>
                          <a:blip r:embed="rId34"/>
                          <a:stretch>
                            <a:fillRect/>
                          </a:stretch>
                        </pic:blipFill>
                        <pic:spPr>
                          <a:xfrm>
                            <a:off x="0" y="0"/>
                            <a:ext cx="532130" cy="474980"/>
                          </a:xfrm>
                          <a:prstGeom prst="rect">
                            <a:avLst/>
                          </a:prstGeom>
                          <a:noFill/>
                          <a:ln>
                            <a:noFill/>
                          </a:ln>
                        </pic:spPr>
                      </pic:pic>
                    </a:graphicData>
                  </a:graphic>
                </wp:anchor>
              </w:drawing>
            </w:r>
          </w:p>
        </w:tc>
      </w:tr>
      <w:tr w14:paraId="4F4F1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140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BCF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智电双门热米饭机             </w:t>
            </w:r>
            <w:r>
              <w:rPr>
                <w:rStyle w:val="134"/>
                <w:rFonts w:hint="eastAsia" w:ascii="宋体" w:hAnsi="宋体" w:eastAsia="宋体" w:cs="宋体"/>
                <w:color w:val="auto"/>
                <w:sz w:val="21"/>
                <w:szCs w:val="21"/>
                <w:highlight w:val="none"/>
                <w:lang w:val="en-US" w:eastAsia="zh-CN" w:bidi="ar"/>
              </w:rPr>
              <w:t>（提供样品）</w:t>
            </w:r>
          </w:p>
          <w:p w14:paraId="3FA2A25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850*800*1650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9FB4">
            <w:pPr>
              <w:keepNext w:val="0"/>
              <w:keepLines w:val="0"/>
              <w:widowControl/>
              <w:numPr>
                <w:ilvl w:val="0"/>
                <w:numId w:val="9"/>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启动后水箱自动入水、自动预热，微压蒸汽技术快速产生高温蒸汽；蒸腔可设置50~130℃的温度调节；烹饪完成后自动转为80℃保温；可根据需要设定烹饪时间(0~99分钟)或常开状态。蒸腔内胆模具一体成型，内胆圆角结构设计，无卫生死角；每个蒸层独立供蒸汽，蒸汽流动合理上下加热均匀，每层满载使用也能保证出品一致；蒸腔内置LED照明，能清楚看清所蒸食物状态；每个腔体可设置10个控制菜单程序；根据不同食材设置烹饪温度、时间；根据启动和保温状态自动调节功率大小，更加节能环保。设置有防冷凝水功能，可避免柜胆顶冷凝水滴落到食物上，功率:20kw/380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容量:15-600*400*48饭盆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2.蒸柜水箱、内胆、门、面板及蒸汽相关接触管路等均选用食品级不锈钢304材质制作（</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3.选用高端优质密封圈，依据GB4806.11-2016《食品安全国家标准 食品接触用橡胶材料及制品》，感官、总迁移量、高锰酸钾消耗量、重金属均符合要求（</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4.选用高端优质食品级材料电加热管，依据GB4806.9-2016《食品安全国家标准 食品接触用金属材料及制品》检测，砷、镉、铬、镍、铅含量均符合技术要求（</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5.设备关机后自动排空水箱内的硬水，减缓水垢产生，延长水箱使用寿命。（提供国家行政管理部门或机构出具的证明材料佐证）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6.具有快速高温蒸功能，蒸汽温度可达到120度左右，使米饭形态饱满均匀，口感香甜软糯。</w:t>
            </w:r>
          </w:p>
          <w:p w14:paraId="106C2DE1">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7.双层5mm高温钢化玻璃门结构设计，钢化玻璃依据GB15763.2-2005《建筑用安全玻璃 第2部分：钢化玻璃》检测，产品符合3C中国国家强制性产品认证标准规定（提供中国国家强制性产品认证证书以及国家强制性产品认证试验报告）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内置缺水保护系统，防干烧系统避免水箱缺水导致设备故障；超温保护系统避免元器件因超温损坏故障；蒸汽压力保护系统避免人员烫伤和蒸腔压力失衡。设计入水指示灯，加热指示灯，直观确认设备的运行状态；蒸箱水胆设计有除垢剂添加口，方便定期添加除垢剂，防止水胆结垢；带隐藏脚轮不锈钢炉脚，安全可靠，节省人员搬运工作。</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1D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A30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3F5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1123950</wp:posOffset>
                  </wp:positionV>
                  <wp:extent cx="436880" cy="795655"/>
                  <wp:effectExtent l="0" t="0" r="1270" b="4445"/>
                  <wp:wrapNone/>
                  <wp:docPr id="78" name="图片_6"/>
                  <wp:cNvGraphicFramePr/>
                  <a:graphic xmlns:a="http://schemas.openxmlformats.org/drawingml/2006/main">
                    <a:graphicData uri="http://schemas.openxmlformats.org/drawingml/2006/picture">
                      <pic:pic xmlns:pic="http://schemas.openxmlformats.org/drawingml/2006/picture">
                        <pic:nvPicPr>
                          <pic:cNvPr id="78" name="图片_6"/>
                          <pic:cNvPicPr/>
                        </pic:nvPicPr>
                        <pic:blipFill>
                          <a:blip r:embed="rId35"/>
                          <a:stretch>
                            <a:fillRect/>
                          </a:stretch>
                        </pic:blipFill>
                        <pic:spPr>
                          <a:xfrm>
                            <a:off x="0" y="0"/>
                            <a:ext cx="436880" cy="795655"/>
                          </a:xfrm>
                          <a:prstGeom prst="rect">
                            <a:avLst/>
                          </a:prstGeom>
                          <a:noFill/>
                          <a:ln>
                            <a:noFill/>
                          </a:ln>
                        </pic:spPr>
                      </pic:pic>
                    </a:graphicData>
                  </a:graphic>
                </wp:anchor>
              </w:drawing>
            </w:r>
          </w:p>
        </w:tc>
      </w:tr>
      <w:tr w14:paraId="1D98D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3C9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ADC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双眼天然气矮汤炉</w:t>
            </w:r>
          </w:p>
          <w:p w14:paraId="0D0D0B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1300*750*550+650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FA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1、采用优质SUS304-2B不锈钢板制造，面板1.2mm，其余0.8mm，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2、Φ38mm*1.0mm不锈钢脚，采用节能炉头，比普通炉头节能55%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7FF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87C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75F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409575</wp:posOffset>
                  </wp:positionV>
                  <wp:extent cx="429895" cy="431165"/>
                  <wp:effectExtent l="0" t="0" r="8255" b="6985"/>
                  <wp:wrapNone/>
                  <wp:docPr id="66" name="图片_55"/>
                  <wp:cNvGraphicFramePr/>
                  <a:graphic xmlns:a="http://schemas.openxmlformats.org/drawingml/2006/main">
                    <a:graphicData uri="http://schemas.openxmlformats.org/drawingml/2006/picture">
                      <pic:pic xmlns:pic="http://schemas.openxmlformats.org/drawingml/2006/picture">
                        <pic:nvPicPr>
                          <pic:cNvPr id="66" name="图片_55"/>
                          <pic:cNvPicPr/>
                        </pic:nvPicPr>
                        <pic:blipFill>
                          <a:blip r:embed="rId36"/>
                          <a:stretch>
                            <a:fillRect/>
                          </a:stretch>
                        </pic:blipFill>
                        <pic:spPr>
                          <a:xfrm>
                            <a:off x="0" y="0"/>
                            <a:ext cx="429895" cy="431165"/>
                          </a:xfrm>
                          <a:prstGeom prst="rect">
                            <a:avLst/>
                          </a:prstGeom>
                          <a:noFill/>
                          <a:ln>
                            <a:noFill/>
                          </a:ln>
                        </pic:spPr>
                      </pic:pic>
                    </a:graphicData>
                  </a:graphic>
                </wp:anchor>
              </w:drawing>
            </w:r>
          </w:p>
        </w:tc>
      </w:tr>
      <w:tr w14:paraId="3546B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BD7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D65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双向打荷台</w:t>
            </w:r>
          </w:p>
          <w:p w14:paraId="779D4D9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2000*1000*800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23F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F1D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B54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BA3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477520</wp:posOffset>
                  </wp:positionV>
                  <wp:extent cx="632460" cy="294640"/>
                  <wp:effectExtent l="0" t="0" r="5715" b="635"/>
                  <wp:wrapNone/>
                  <wp:docPr id="71" name="Picture_174"/>
                  <wp:cNvGraphicFramePr/>
                  <a:graphic xmlns:a="http://schemas.openxmlformats.org/drawingml/2006/main">
                    <a:graphicData uri="http://schemas.openxmlformats.org/drawingml/2006/picture">
                      <pic:pic xmlns:pic="http://schemas.openxmlformats.org/drawingml/2006/picture">
                        <pic:nvPicPr>
                          <pic:cNvPr id="71" name="Picture_174"/>
                          <pic:cNvPicPr/>
                        </pic:nvPicPr>
                        <pic:blipFill>
                          <a:blip r:embed="rId37"/>
                          <a:stretch>
                            <a:fillRect/>
                          </a:stretch>
                        </pic:blipFill>
                        <pic:spPr>
                          <a:xfrm>
                            <a:off x="0" y="0"/>
                            <a:ext cx="632460" cy="294640"/>
                          </a:xfrm>
                          <a:prstGeom prst="rect">
                            <a:avLst/>
                          </a:prstGeom>
                          <a:noFill/>
                          <a:ln>
                            <a:noFill/>
                          </a:ln>
                        </pic:spPr>
                      </pic:pic>
                    </a:graphicData>
                  </a:graphic>
                </wp:anchor>
              </w:drawing>
            </w:r>
          </w:p>
        </w:tc>
      </w:tr>
      <w:tr w14:paraId="7DEFE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480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E8B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双向打荷台</w:t>
            </w:r>
          </w:p>
          <w:p w14:paraId="6E0FDBD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2000*900*800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4AB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EA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401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44E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477520</wp:posOffset>
                  </wp:positionV>
                  <wp:extent cx="632460" cy="294640"/>
                  <wp:effectExtent l="0" t="0" r="5715" b="635"/>
                  <wp:wrapNone/>
                  <wp:docPr id="81" name="Picture_174_SpCnt_1"/>
                  <wp:cNvGraphicFramePr/>
                  <a:graphic xmlns:a="http://schemas.openxmlformats.org/drawingml/2006/main">
                    <a:graphicData uri="http://schemas.openxmlformats.org/drawingml/2006/picture">
                      <pic:pic xmlns:pic="http://schemas.openxmlformats.org/drawingml/2006/picture">
                        <pic:nvPicPr>
                          <pic:cNvPr id="81" name="Picture_174_SpCnt_1"/>
                          <pic:cNvPicPr/>
                        </pic:nvPicPr>
                        <pic:blipFill>
                          <a:blip r:embed="rId37"/>
                          <a:stretch>
                            <a:fillRect/>
                          </a:stretch>
                        </pic:blipFill>
                        <pic:spPr>
                          <a:xfrm>
                            <a:off x="0" y="0"/>
                            <a:ext cx="632460" cy="294640"/>
                          </a:xfrm>
                          <a:prstGeom prst="rect">
                            <a:avLst/>
                          </a:prstGeom>
                          <a:noFill/>
                          <a:ln>
                            <a:noFill/>
                          </a:ln>
                        </pic:spPr>
                      </pic:pic>
                    </a:graphicData>
                  </a:graphic>
                </wp:anchor>
              </w:drawing>
            </w:r>
          </w:p>
        </w:tc>
      </w:tr>
      <w:tr w14:paraId="33D16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444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B19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62F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排油烟罩（带柱子）</w:t>
            </w:r>
          </w:p>
          <w:p w14:paraId="3737AEB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10900*1300*500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C45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2.烟罩体材料板厚1.0mm(实厚≥0.9mm)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3.烟罩分段式制作,分多个部件组装焊接而成,烟罩设有活动式油污收集盒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4.烟罩照明采用LED防爆灯,滤网采用互扣式结构,滤网框架板厚0.8mm(实厚≥0.7mm),滤网条为整体模具一体成型厚度0.6mm.(实厚≥0.5mm)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4108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14.17</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EB9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142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324485</wp:posOffset>
                  </wp:positionV>
                  <wp:extent cx="554355" cy="394335"/>
                  <wp:effectExtent l="0" t="0" r="7620" b="5715"/>
                  <wp:wrapNone/>
                  <wp:docPr id="72" name="Picture_322"/>
                  <wp:cNvGraphicFramePr/>
                  <a:graphic xmlns:a="http://schemas.openxmlformats.org/drawingml/2006/main">
                    <a:graphicData uri="http://schemas.openxmlformats.org/drawingml/2006/picture">
                      <pic:pic xmlns:pic="http://schemas.openxmlformats.org/drawingml/2006/picture">
                        <pic:nvPicPr>
                          <pic:cNvPr id="72" name="Picture_322"/>
                          <pic:cNvPicPr/>
                        </pic:nvPicPr>
                        <pic:blipFill>
                          <a:blip r:embed="rId38"/>
                          <a:stretch>
                            <a:fillRect/>
                          </a:stretch>
                        </pic:blipFill>
                        <pic:spPr>
                          <a:xfrm>
                            <a:off x="0" y="0"/>
                            <a:ext cx="554355" cy="394335"/>
                          </a:xfrm>
                          <a:prstGeom prst="rect">
                            <a:avLst/>
                          </a:prstGeom>
                          <a:noFill/>
                          <a:ln>
                            <a:noFill/>
                          </a:ln>
                        </pic:spPr>
                      </pic:pic>
                    </a:graphicData>
                  </a:graphic>
                </wp:anchor>
              </w:drawing>
            </w:r>
          </w:p>
        </w:tc>
      </w:tr>
      <w:tr w14:paraId="18596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E4E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B20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F26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排油烟罩（带柱子）</w:t>
            </w:r>
          </w:p>
          <w:p w14:paraId="7CAE6FF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10900*1200*500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96C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2.烟罩体材料板厚1.0mm(实厚≥0.9mm)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3.烟罩分段式制作,分多个部件组装焊接而成,烟罩设有活动式油污收集盒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4.烟罩照明采用LED防爆灯,滤网采用互扣式结构,滤网框架板厚0.8mm(实厚≥0.7mm),滤网条为整体模具一体成型厚度0.6mm.(实厚≥0.5mm)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AEC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13.08</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E78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657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324485</wp:posOffset>
                  </wp:positionV>
                  <wp:extent cx="554355" cy="394335"/>
                  <wp:effectExtent l="0" t="0" r="7620" b="5715"/>
                  <wp:wrapNone/>
                  <wp:docPr id="88" name="Picture_322_SpCnt_1"/>
                  <wp:cNvGraphicFramePr/>
                  <a:graphic xmlns:a="http://schemas.openxmlformats.org/drawingml/2006/main">
                    <a:graphicData uri="http://schemas.openxmlformats.org/drawingml/2006/picture">
                      <pic:pic xmlns:pic="http://schemas.openxmlformats.org/drawingml/2006/picture">
                        <pic:nvPicPr>
                          <pic:cNvPr id="88" name="Picture_322_SpCnt_1"/>
                          <pic:cNvPicPr/>
                        </pic:nvPicPr>
                        <pic:blipFill>
                          <a:blip r:embed="rId38"/>
                          <a:stretch>
                            <a:fillRect/>
                          </a:stretch>
                        </pic:blipFill>
                        <pic:spPr>
                          <a:xfrm>
                            <a:off x="0" y="0"/>
                            <a:ext cx="554355" cy="394335"/>
                          </a:xfrm>
                          <a:prstGeom prst="rect">
                            <a:avLst/>
                          </a:prstGeom>
                          <a:noFill/>
                          <a:ln>
                            <a:noFill/>
                          </a:ln>
                        </pic:spPr>
                      </pic:pic>
                    </a:graphicData>
                  </a:graphic>
                </wp:anchor>
              </w:drawing>
            </w:r>
          </w:p>
        </w:tc>
      </w:tr>
      <w:tr w14:paraId="1CC47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639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B21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FD9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开水器连挂底座</w:t>
            </w:r>
          </w:p>
          <w:p w14:paraId="68A1AFF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560*520*860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55F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说明：额定电压：380v；额定功率：6kw：接线方式： 三相四线；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连续出水量：100L/H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材质：内胆采用食品安全级不锈钢（SUS304 不锈钢）制造。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30mm 高密度聚氨酯保温技术 ，表面接近常温，环保节能。</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EFC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FEF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A0F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250825</wp:posOffset>
                  </wp:positionH>
                  <wp:positionV relativeFrom="paragraph">
                    <wp:posOffset>83820</wp:posOffset>
                  </wp:positionV>
                  <wp:extent cx="177165" cy="384810"/>
                  <wp:effectExtent l="0" t="0" r="3810" b="5715"/>
                  <wp:wrapNone/>
                  <wp:docPr id="85" name="图片_93"/>
                  <wp:cNvGraphicFramePr/>
                  <a:graphic xmlns:a="http://schemas.openxmlformats.org/drawingml/2006/main">
                    <a:graphicData uri="http://schemas.openxmlformats.org/drawingml/2006/picture">
                      <pic:pic xmlns:pic="http://schemas.openxmlformats.org/drawingml/2006/picture">
                        <pic:nvPicPr>
                          <pic:cNvPr id="85" name="图片_93"/>
                          <pic:cNvPicPr/>
                        </pic:nvPicPr>
                        <pic:blipFill>
                          <a:blip r:embed="rId39"/>
                          <a:stretch>
                            <a:fillRect/>
                          </a:stretch>
                        </pic:blipFill>
                        <pic:spPr>
                          <a:xfrm>
                            <a:off x="0" y="0"/>
                            <a:ext cx="177165" cy="384810"/>
                          </a:xfrm>
                          <a:prstGeom prst="rect">
                            <a:avLst/>
                          </a:prstGeom>
                          <a:noFill/>
                          <a:ln>
                            <a:noFill/>
                          </a:ln>
                        </pic:spPr>
                      </pic:pic>
                    </a:graphicData>
                  </a:graphic>
                </wp:anchor>
              </w:drawing>
            </w:r>
          </w:p>
        </w:tc>
      </w:tr>
      <w:tr w14:paraId="19989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07DF2F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洗消间</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A62E">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4F18">
            <w:pPr>
              <w:shd w:val="clear"/>
              <w:jc w:val="center"/>
              <w:rPr>
                <w:rFonts w:hint="eastAsia" w:ascii="宋体" w:hAnsi="宋体" w:eastAsia="宋体" w:cs="宋体"/>
                <w:i w:val="0"/>
                <w:iCs w:val="0"/>
                <w:color w:val="auto"/>
                <w:sz w:val="21"/>
                <w:szCs w:val="21"/>
                <w:highlight w:val="none"/>
                <w:u w:val="none"/>
              </w:rPr>
            </w:pPr>
          </w:p>
        </w:tc>
      </w:tr>
      <w:tr w14:paraId="7A0FF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50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363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L型双孔残食柜连浸泡池</w:t>
            </w:r>
          </w:p>
          <w:p w14:paraId="3D60B7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2020*2850*880+150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383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7.单个水池斗规格：1100*650*350mm，配提笼式落水口。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A9A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DA6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CBC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222885</wp:posOffset>
                  </wp:positionV>
                  <wp:extent cx="581660" cy="367030"/>
                  <wp:effectExtent l="0" t="0" r="8890" b="4445"/>
                  <wp:wrapNone/>
                  <wp:docPr id="86" name="图片_102"/>
                  <wp:cNvGraphicFramePr/>
                  <a:graphic xmlns:a="http://schemas.openxmlformats.org/drawingml/2006/main">
                    <a:graphicData uri="http://schemas.openxmlformats.org/drawingml/2006/picture">
                      <pic:pic xmlns:pic="http://schemas.openxmlformats.org/drawingml/2006/picture">
                        <pic:nvPicPr>
                          <pic:cNvPr id="86" name="图片_102"/>
                          <pic:cNvPicPr/>
                        </pic:nvPicPr>
                        <pic:blipFill>
                          <a:blip r:embed="rId40"/>
                          <a:stretch>
                            <a:fillRect/>
                          </a:stretch>
                        </pic:blipFill>
                        <pic:spPr>
                          <a:xfrm>
                            <a:off x="0" y="0"/>
                            <a:ext cx="581660" cy="367030"/>
                          </a:xfrm>
                          <a:prstGeom prst="rect">
                            <a:avLst/>
                          </a:prstGeom>
                          <a:noFill/>
                          <a:ln>
                            <a:noFill/>
                          </a:ln>
                        </pic:spPr>
                      </pic:pic>
                    </a:graphicData>
                  </a:graphic>
                </wp:anchor>
              </w:drawing>
            </w:r>
          </w:p>
        </w:tc>
      </w:tr>
      <w:tr w14:paraId="63DB3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812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C01a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81B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4D0489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74A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FAE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D81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7FF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589280</wp:posOffset>
                  </wp:positionV>
                  <wp:extent cx="517525" cy="509270"/>
                  <wp:effectExtent l="0" t="0" r="6350" b="5080"/>
                  <wp:wrapNone/>
                  <wp:docPr id="63" name="图片_4_SpCnt_6"/>
                  <wp:cNvGraphicFramePr/>
                  <a:graphic xmlns:a="http://schemas.openxmlformats.org/drawingml/2006/main">
                    <a:graphicData uri="http://schemas.openxmlformats.org/drawingml/2006/picture">
                      <pic:pic xmlns:pic="http://schemas.openxmlformats.org/drawingml/2006/picture">
                        <pic:nvPicPr>
                          <pic:cNvPr id="63" name="图片_4_SpCnt_6"/>
                          <pic:cNvPicPr/>
                        </pic:nvPicPr>
                        <pic:blipFill>
                          <a:blip r:embed="rId41"/>
                          <a:stretch>
                            <a:fillRect/>
                          </a:stretch>
                        </pic:blipFill>
                        <pic:spPr>
                          <a:xfrm>
                            <a:off x="0" y="0"/>
                            <a:ext cx="517525" cy="509270"/>
                          </a:xfrm>
                          <a:prstGeom prst="rect">
                            <a:avLst/>
                          </a:prstGeom>
                          <a:noFill/>
                          <a:ln>
                            <a:noFill/>
                          </a:ln>
                        </pic:spPr>
                      </pic:pic>
                    </a:graphicData>
                  </a:graphic>
                </wp:anchor>
              </w:drawing>
            </w:r>
          </w:p>
        </w:tc>
      </w:tr>
      <w:tr w14:paraId="676A4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2A8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C01b</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6BC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高压花洒</w:t>
            </w:r>
          </w:p>
          <w:p w14:paraId="49A1ABB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280*980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1F5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座台式单孔双温高压花洒、黄铜铸造表面抛光镀铬处理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 直管采用快速安装设计，安装简单高效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3 150mm±5%长的墙上托架；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4.工作高度：980mm±5%；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5.接水口口径为G1/2内螺纹；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6.产品相应技术规范符合管理系统认证证书要求，并提供证书扫描复印件。                                                                                     7.属节水产品，产品技术要求符合GB25501-2019《水嘴用水效率限定值及用水效率等级》标准指标要求并提供证书扫描复印件。</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3C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770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40E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335915</wp:posOffset>
                  </wp:positionV>
                  <wp:extent cx="215900" cy="475615"/>
                  <wp:effectExtent l="0" t="0" r="3175" b="635"/>
                  <wp:wrapNone/>
                  <wp:docPr id="89" name="图片_62"/>
                  <wp:cNvGraphicFramePr/>
                  <a:graphic xmlns:a="http://schemas.openxmlformats.org/drawingml/2006/main">
                    <a:graphicData uri="http://schemas.openxmlformats.org/drawingml/2006/picture">
                      <pic:pic xmlns:pic="http://schemas.openxmlformats.org/drawingml/2006/picture">
                        <pic:nvPicPr>
                          <pic:cNvPr id="89" name="图片_62"/>
                          <pic:cNvPicPr/>
                        </pic:nvPicPr>
                        <pic:blipFill>
                          <a:blip r:embed="rId42"/>
                          <a:stretch>
                            <a:fillRect/>
                          </a:stretch>
                        </pic:blipFill>
                        <pic:spPr>
                          <a:xfrm>
                            <a:off x="0" y="0"/>
                            <a:ext cx="215900" cy="475615"/>
                          </a:xfrm>
                          <a:prstGeom prst="rect">
                            <a:avLst/>
                          </a:prstGeom>
                          <a:noFill/>
                          <a:ln>
                            <a:noFill/>
                          </a:ln>
                        </pic:spPr>
                      </pic:pic>
                    </a:graphicData>
                  </a:graphic>
                </wp:anchor>
              </w:drawing>
            </w:r>
          </w:p>
        </w:tc>
      </w:tr>
      <w:tr w14:paraId="76121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F1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BB6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揭盖式洗碗机连药水分配器</w:t>
            </w:r>
          </w:p>
          <w:p w14:paraId="7710E6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650*780*1500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28E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型号：60筐/h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功率：380V/18.5KW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规格：650*780*1600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AA8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A27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7D2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141605</wp:posOffset>
                  </wp:positionH>
                  <wp:positionV relativeFrom="paragraph">
                    <wp:posOffset>96520</wp:posOffset>
                  </wp:positionV>
                  <wp:extent cx="395605" cy="775335"/>
                  <wp:effectExtent l="0" t="0" r="4445" b="5715"/>
                  <wp:wrapNone/>
                  <wp:docPr id="73" name="图片_1"/>
                  <wp:cNvGraphicFramePr/>
                  <a:graphic xmlns:a="http://schemas.openxmlformats.org/drawingml/2006/main">
                    <a:graphicData uri="http://schemas.openxmlformats.org/drawingml/2006/picture">
                      <pic:pic xmlns:pic="http://schemas.openxmlformats.org/drawingml/2006/picture">
                        <pic:nvPicPr>
                          <pic:cNvPr id="73" name="图片_1"/>
                          <pic:cNvPicPr/>
                        </pic:nvPicPr>
                        <pic:blipFill>
                          <a:blip r:embed="rId43"/>
                          <a:stretch>
                            <a:fillRect/>
                          </a:stretch>
                        </pic:blipFill>
                        <pic:spPr>
                          <a:xfrm>
                            <a:off x="0" y="0"/>
                            <a:ext cx="395605" cy="775335"/>
                          </a:xfrm>
                          <a:prstGeom prst="rect">
                            <a:avLst/>
                          </a:prstGeom>
                          <a:noFill/>
                          <a:ln>
                            <a:noFill/>
                          </a:ln>
                        </pic:spPr>
                      </pic:pic>
                    </a:graphicData>
                  </a:graphic>
                </wp:anchor>
              </w:drawing>
            </w:r>
          </w:p>
        </w:tc>
      </w:tr>
      <w:tr w14:paraId="64F25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EF97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FBD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洁碟台连下双排碟筐架</w:t>
            </w:r>
          </w:p>
          <w:p w14:paraId="195ACF0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1800*780*880+150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82F7">
            <w:pPr>
              <w:keepNext w:val="0"/>
              <w:keepLines w:val="0"/>
              <w:widowControl/>
              <w:numPr>
                <w:ilvl w:val="0"/>
                <w:numId w:val="1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w:t>
            </w:r>
          </w:p>
          <w:p w14:paraId="18461C89">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6.下两排10格碟筐架</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43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910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9EC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81C1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774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6FD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p w14:paraId="51169C0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1200*500*1700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D27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2.层板采用不锈钢板制作,材料厚度1.0mm(实厚≥0.9mm)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3.立柱为Φ38mm*δ=1.0mm(实厚≥0.9mm)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F59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55C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644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104775</wp:posOffset>
                  </wp:positionV>
                  <wp:extent cx="381635" cy="323850"/>
                  <wp:effectExtent l="0" t="0" r="8890" b="0"/>
                  <wp:wrapNone/>
                  <wp:docPr id="64" name="Picture_81_SpCnt_2"/>
                  <wp:cNvGraphicFramePr/>
                  <a:graphic xmlns:a="http://schemas.openxmlformats.org/drawingml/2006/main">
                    <a:graphicData uri="http://schemas.openxmlformats.org/drawingml/2006/picture">
                      <pic:pic xmlns:pic="http://schemas.openxmlformats.org/drawingml/2006/picture">
                        <pic:nvPicPr>
                          <pic:cNvPr id="64" name="Picture_81_SpCnt_2"/>
                          <pic:cNvPicPr/>
                        </pic:nvPicPr>
                        <pic:blipFill>
                          <a:blip r:embed="rId44"/>
                          <a:stretch>
                            <a:fillRect/>
                          </a:stretch>
                        </pic:blipFill>
                        <pic:spPr>
                          <a:xfrm>
                            <a:off x="0" y="0"/>
                            <a:ext cx="381635" cy="323850"/>
                          </a:xfrm>
                          <a:prstGeom prst="rect">
                            <a:avLst/>
                          </a:prstGeom>
                          <a:noFill/>
                          <a:ln>
                            <a:noFill/>
                          </a:ln>
                        </pic:spPr>
                      </pic:pic>
                    </a:graphicData>
                  </a:graphic>
                </wp:anchor>
              </w:drawing>
            </w:r>
          </w:p>
        </w:tc>
      </w:tr>
      <w:tr w14:paraId="32B41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EAE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4CF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四门保洁柜（双移门、双翻门）</w:t>
            </w:r>
          </w:p>
          <w:p w14:paraId="3BAFA8B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F3F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2.整体柜体板厚为1.0mm(实厚≥0.9mm)，顶板厚为1.0mm(实厚≥0.9mm)，后背板厚为0.8mm(实厚≥0.7mm)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3.门板板厚为0.8mm(实厚≥0.7mm),门封板厚0.6mm(实厚≥0.52mm)，门拉手与门板为整体折弯成型，移门板左右面都需门拉手，方便推拉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931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B7F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A9D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68C0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502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699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热风循环消毒柜</w:t>
            </w:r>
          </w:p>
          <w:p w14:paraId="7F059C3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1310*650*1950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2AE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1.整机采用优质201不锈钢，采用聚氨酯发泡+硅酸铝保温隔热                                                                  2.四套光波加热装置+四套耐高温风机                                       3.功率：4.4千瓦                                                      4.配置2/4个碗筐+2/4个快餐盘深筐                                          5.时间调节≤90分钟                                                        6.加重不锈钢调节柜脚                                          7.柜内最高温度≤125℃                                                     8.油膜钢板                                                              9.凹面控制器面板。</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867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05B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15A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228600</wp:posOffset>
                  </wp:positionV>
                  <wp:extent cx="489585" cy="709295"/>
                  <wp:effectExtent l="0" t="0" r="5715" b="5080"/>
                  <wp:wrapNone/>
                  <wp:docPr id="79" name="图片_72"/>
                  <wp:cNvGraphicFramePr/>
                  <a:graphic xmlns:a="http://schemas.openxmlformats.org/drawingml/2006/main">
                    <a:graphicData uri="http://schemas.openxmlformats.org/drawingml/2006/picture">
                      <pic:pic xmlns:pic="http://schemas.openxmlformats.org/drawingml/2006/picture">
                        <pic:nvPicPr>
                          <pic:cNvPr id="79" name="图片_72"/>
                          <pic:cNvPicPr/>
                        </pic:nvPicPr>
                        <pic:blipFill>
                          <a:blip r:embed="rId45"/>
                          <a:stretch>
                            <a:fillRect/>
                          </a:stretch>
                        </pic:blipFill>
                        <pic:spPr>
                          <a:xfrm>
                            <a:off x="0" y="0"/>
                            <a:ext cx="489585" cy="709295"/>
                          </a:xfrm>
                          <a:prstGeom prst="rect">
                            <a:avLst/>
                          </a:prstGeom>
                          <a:noFill/>
                          <a:ln>
                            <a:noFill/>
                          </a:ln>
                        </pic:spPr>
                      </pic:pic>
                    </a:graphicData>
                  </a:graphic>
                </wp:anchor>
              </w:drawing>
            </w:r>
          </w:p>
        </w:tc>
      </w:tr>
      <w:tr w14:paraId="49C0B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AE6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6C7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吸排油烟罩</w:t>
            </w:r>
          </w:p>
          <w:p w14:paraId="62A63D7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1000*1000*500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BF6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2.烟罩体材料板厚1.0mm(实厚≥0.9mm)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3A5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1A2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EFE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70485</wp:posOffset>
                  </wp:positionV>
                  <wp:extent cx="554355" cy="269240"/>
                  <wp:effectExtent l="0" t="0" r="7620" b="6985"/>
                  <wp:wrapNone/>
                  <wp:docPr id="69" name="Picture_322_SpCnt_2"/>
                  <wp:cNvGraphicFramePr/>
                  <a:graphic xmlns:a="http://schemas.openxmlformats.org/drawingml/2006/main">
                    <a:graphicData uri="http://schemas.openxmlformats.org/drawingml/2006/picture">
                      <pic:pic xmlns:pic="http://schemas.openxmlformats.org/drawingml/2006/picture">
                        <pic:nvPicPr>
                          <pic:cNvPr id="69" name="Picture_322_SpCnt_2"/>
                          <pic:cNvPicPr/>
                        </pic:nvPicPr>
                        <pic:blipFill>
                          <a:blip r:embed="rId46"/>
                          <a:stretch>
                            <a:fillRect/>
                          </a:stretch>
                        </pic:blipFill>
                        <pic:spPr>
                          <a:xfrm>
                            <a:off x="0" y="0"/>
                            <a:ext cx="554355" cy="269240"/>
                          </a:xfrm>
                          <a:prstGeom prst="rect">
                            <a:avLst/>
                          </a:prstGeom>
                          <a:noFill/>
                          <a:ln>
                            <a:noFill/>
                          </a:ln>
                        </pic:spPr>
                      </pic:pic>
                    </a:graphicData>
                  </a:graphic>
                </wp:anchor>
              </w:drawing>
            </w:r>
          </w:p>
        </w:tc>
      </w:tr>
      <w:tr w14:paraId="0C0D8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8B4B2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家属餐厅明档</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42C9">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DB8A">
            <w:pPr>
              <w:shd w:val="clear"/>
              <w:jc w:val="center"/>
              <w:rPr>
                <w:rFonts w:hint="eastAsia" w:ascii="宋体" w:hAnsi="宋体" w:eastAsia="宋体" w:cs="宋体"/>
                <w:i w:val="0"/>
                <w:iCs w:val="0"/>
                <w:color w:val="auto"/>
                <w:sz w:val="21"/>
                <w:szCs w:val="21"/>
                <w:highlight w:val="none"/>
                <w:u w:val="none"/>
              </w:rPr>
            </w:pPr>
          </w:p>
        </w:tc>
      </w:tr>
      <w:tr w14:paraId="282F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A35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A42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盆台柜</w:t>
            </w:r>
          </w:p>
          <w:p w14:paraId="5DE0D58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F0A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8.单个水池斗规格：450*420*250mm，配提笼式落水口。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A38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FFF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5B7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614045</wp:posOffset>
                  </wp:positionV>
                  <wp:extent cx="454025" cy="540385"/>
                  <wp:effectExtent l="0" t="0" r="3175" b="2540"/>
                  <wp:wrapNone/>
                  <wp:docPr id="70" name="图片_124"/>
                  <wp:cNvGraphicFramePr/>
                  <a:graphic xmlns:a="http://schemas.openxmlformats.org/drawingml/2006/main">
                    <a:graphicData uri="http://schemas.openxmlformats.org/drawingml/2006/picture">
                      <pic:pic xmlns:pic="http://schemas.openxmlformats.org/drawingml/2006/picture">
                        <pic:nvPicPr>
                          <pic:cNvPr id="70" name="图片_124"/>
                          <pic:cNvPicPr/>
                        </pic:nvPicPr>
                        <pic:blipFill>
                          <a:blip r:embed="rId47"/>
                          <a:stretch>
                            <a:fillRect/>
                          </a:stretch>
                        </pic:blipFill>
                        <pic:spPr>
                          <a:xfrm>
                            <a:off x="0" y="0"/>
                            <a:ext cx="454025" cy="540385"/>
                          </a:xfrm>
                          <a:prstGeom prst="rect">
                            <a:avLst/>
                          </a:prstGeom>
                          <a:noFill/>
                          <a:ln>
                            <a:noFill/>
                          </a:ln>
                        </pic:spPr>
                      </pic:pic>
                    </a:graphicData>
                  </a:graphic>
                </wp:anchor>
              </w:drawing>
            </w:r>
          </w:p>
        </w:tc>
      </w:tr>
      <w:tr w14:paraId="20759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B58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D01a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294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118B9A0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F53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座台式双孔双温低铅铜铸造本体，表面抛光镀铬处理，增加表面硬度防止磕碰造成划痕的同时提升了外观光洁与美观度。                                                                    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02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277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9F1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629285</wp:posOffset>
                  </wp:positionV>
                  <wp:extent cx="517525" cy="495935"/>
                  <wp:effectExtent l="0" t="0" r="6350" b="8890"/>
                  <wp:wrapNone/>
                  <wp:docPr id="90" name="图片_4_SpCnt_7"/>
                  <wp:cNvGraphicFramePr/>
                  <a:graphic xmlns:a="http://schemas.openxmlformats.org/drawingml/2006/main">
                    <a:graphicData uri="http://schemas.openxmlformats.org/drawingml/2006/picture">
                      <pic:pic xmlns:pic="http://schemas.openxmlformats.org/drawingml/2006/picture">
                        <pic:nvPicPr>
                          <pic:cNvPr id="90" name="图片_4_SpCnt_7"/>
                          <pic:cNvPicPr/>
                        </pic:nvPicPr>
                        <pic:blipFill>
                          <a:blip r:embed="rId48"/>
                          <a:stretch>
                            <a:fillRect/>
                          </a:stretch>
                        </pic:blipFill>
                        <pic:spPr>
                          <a:xfrm>
                            <a:off x="0" y="0"/>
                            <a:ext cx="517525" cy="495935"/>
                          </a:xfrm>
                          <a:prstGeom prst="rect">
                            <a:avLst/>
                          </a:prstGeom>
                          <a:noFill/>
                          <a:ln>
                            <a:noFill/>
                          </a:ln>
                        </pic:spPr>
                      </pic:pic>
                    </a:graphicData>
                  </a:graphic>
                </wp:anchor>
              </w:drawing>
            </w:r>
          </w:p>
        </w:tc>
      </w:tr>
      <w:tr w14:paraId="4FFF7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B72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3DB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单向打荷台</w:t>
            </w:r>
          </w:p>
          <w:p w14:paraId="35D8FD9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1800*600*800+100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CDC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EE7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8FB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71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190500</wp:posOffset>
                  </wp:positionV>
                  <wp:extent cx="632460" cy="295275"/>
                  <wp:effectExtent l="0" t="0" r="5715" b="0"/>
                  <wp:wrapNone/>
                  <wp:docPr id="61" name="Picture_174_SpCnt_2"/>
                  <wp:cNvGraphicFramePr/>
                  <a:graphic xmlns:a="http://schemas.openxmlformats.org/drawingml/2006/main">
                    <a:graphicData uri="http://schemas.openxmlformats.org/drawingml/2006/picture">
                      <pic:pic xmlns:pic="http://schemas.openxmlformats.org/drawingml/2006/picture">
                        <pic:nvPicPr>
                          <pic:cNvPr id="61" name="Picture_174_SpCnt_2"/>
                          <pic:cNvPicPr/>
                        </pic:nvPicPr>
                        <pic:blipFill>
                          <a:blip r:embed="rId37"/>
                          <a:stretch>
                            <a:fillRect/>
                          </a:stretch>
                        </pic:blipFill>
                        <pic:spPr>
                          <a:xfrm>
                            <a:off x="0" y="0"/>
                            <a:ext cx="632460" cy="295275"/>
                          </a:xfrm>
                          <a:prstGeom prst="rect">
                            <a:avLst/>
                          </a:prstGeom>
                          <a:noFill/>
                          <a:ln>
                            <a:noFill/>
                          </a:ln>
                        </pic:spPr>
                      </pic:pic>
                    </a:graphicData>
                  </a:graphic>
                </wp:anchor>
              </w:drawing>
            </w:r>
          </w:p>
        </w:tc>
      </w:tr>
      <w:tr w14:paraId="3C602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E14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816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单向打荷台</w:t>
            </w:r>
          </w:p>
          <w:p w14:paraId="51BCFAB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1400*700*800+100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5F6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644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373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694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446405</wp:posOffset>
                  </wp:positionV>
                  <wp:extent cx="632460" cy="366395"/>
                  <wp:effectExtent l="0" t="0" r="5715" b="5080"/>
                  <wp:wrapNone/>
                  <wp:docPr id="74" name="Picture_174_SpCnt_3"/>
                  <wp:cNvGraphicFramePr/>
                  <a:graphic xmlns:a="http://schemas.openxmlformats.org/drawingml/2006/main">
                    <a:graphicData uri="http://schemas.openxmlformats.org/drawingml/2006/picture">
                      <pic:pic xmlns:pic="http://schemas.openxmlformats.org/drawingml/2006/picture">
                        <pic:nvPicPr>
                          <pic:cNvPr id="74" name="Picture_174_SpCnt_3"/>
                          <pic:cNvPicPr/>
                        </pic:nvPicPr>
                        <pic:blipFill>
                          <a:blip r:embed="rId49"/>
                          <a:stretch>
                            <a:fillRect/>
                          </a:stretch>
                        </pic:blipFill>
                        <pic:spPr>
                          <a:xfrm>
                            <a:off x="0" y="0"/>
                            <a:ext cx="632460" cy="366395"/>
                          </a:xfrm>
                          <a:prstGeom prst="rect">
                            <a:avLst/>
                          </a:prstGeom>
                          <a:noFill/>
                          <a:ln>
                            <a:noFill/>
                          </a:ln>
                        </pic:spPr>
                      </pic:pic>
                    </a:graphicData>
                  </a:graphic>
                </wp:anchor>
              </w:drawing>
            </w:r>
          </w:p>
        </w:tc>
      </w:tr>
      <w:tr w14:paraId="7DB1C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E71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C02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冷藏平面工作台</w:t>
            </w:r>
          </w:p>
          <w:p w14:paraId="2B28591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766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功率220v/152W, 箱内温度-5度--10度。内外加厚201不锈钢,加高箱体690MM(含台面），自主研发控制系统，触摸控制，门铰链加强弹簧回归；暗拉手设计，门体加厚，门内胆拉伸，保温隔热效果更好。</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624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740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5BB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2136140</wp:posOffset>
                  </wp:positionV>
                  <wp:extent cx="545465" cy="0"/>
                  <wp:effectExtent l="0" t="0" r="0" b="0"/>
                  <wp:wrapNone/>
                  <wp:docPr id="82" name="图片_36_SpCnt_1"/>
                  <wp:cNvGraphicFramePr/>
                  <a:graphic xmlns:a="http://schemas.openxmlformats.org/drawingml/2006/main">
                    <a:graphicData uri="http://schemas.openxmlformats.org/drawingml/2006/picture">
                      <pic:pic xmlns:pic="http://schemas.openxmlformats.org/drawingml/2006/picture">
                        <pic:nvPicPr>
                          <pic:cNvPr id="82" name="图片_36_SpCnt_1"/>
                          <pic:cNvPicPr/>
                        </pic:nvPicPr>
                        <pic:blipFill>
                          <a:blip r:embed="rId50"/>
                          <a:stretch>
                            <a:fillRect/>
                          </a:stretch>
                        </pic:blipFill>
                        <pic:spPr>
                          <a:xfrm>
                            <a:off x="0" y="0"/>
                            <a:ext cx="545465" cy="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140335</wp:posOffset>
                  </wp:positionV>
                  <wp:extent cx="426720" cy="295275"/>
                  <wp:effectExtent l="0" t="0" r="1905" b="0"/>
                  <wp:wrapNone/>
                  <wp:docPr id="83" name="图片_36_SpCnt_2"/>
                  <wp:cNvGraphicFramePr/>
                  <a:graphic xmlns:a="http://schemas.openxmlformats.org/drawingml/2006/main">
                    <a:graphicData uri="http://schemas.openxmlformats.org/drawingml/2006/picture">
                      <pic:pic xmlns:pic="http://schemas.openxmlformats.org/drawingml/2006/picture">
                        <pic:nvPicPr>
                          <pic:cNvPr id="83" name="图片_36_SpCnt_2"/>
                          <pic:cNvPicPr/>
                        </pic:nvPicPr>
                        <pic:blipFill>
                          <a:blip r:embed="rId51"/>
                          <a:stretch>
                            <a:fillRect/>
                          </a:stretch>
                        </pic:blipFill>
                        <pic:spPr>
                          <a:xfrm>
                            <a:off x="0" y="0"/>
                            <a:ext cx="426720" cy="295275"/>
                          </a:xfrm>
                          <a:prstGeom prst="rect">
                            <a:avLst/>
                          </a:prstGeom>
                          <a:noFill/>
                          <a:ln>
                            <a:noFill/>
                          </a:ln>
                        </pic:spPr>
                      </pic:pic>
                    </a:graphicData>
                  </a:graphic>
                </wp:anchor>
              </w:drawing>
            </w:r>
          </w:p>
        </w:tc>
      </w:tr>
      <w:tr w14:paraId="1889A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0D1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2D8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电磁10眼煮面炉连柜座</w:t>
            </w:r>
          </w:p>
          <w:p w14:paraId="0547884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1100*800*800</w:t>
            </w:r>
            <w:r>
              <w:rPr>
                <w:rFonts w:hint="eastAsia" w:ascii="宋体" w:hAnsi="宋体" w:cs="宋体"/>
                <w:b/>
                <w:bCs/>
                <w:i w:val="0"/>
                <w:iCs w:val="0"/>
                <w:color w:val="auto"/>
                <w:kern w:val="0"/>
                <w:sz w:val="21"/>
                <w:szCs w:val="21"/>
                <w:highlight w:val="none"/>
                <w:u w:val="none"/>
                <w:lang w:val="en-US" w:eastAsia="zh-CN" w:bidi="ar"/>
              </w:rPr>
              <w:t>（核心产品）</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C6C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1.全不锈钢联众板材精工细制，台面一体成型，防虫，防漏电，防辐射三防结构，IPX6标准防水设计，炉身面板国标厚1.2MM，其余国标厚1.0MM（1、提供符合GB4706.1-2005/GB4706.52.2008的检测报告）。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2.10档数码显示调节，精准掌控火力，宽电压范围，恒功率输出。开关组件在30℃环境中0到10档，实验20万次能正常使用                                                            3.开关实验次数判分，提供开关20万次摇摆测试验检报告</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提供档位开关（IP68测试)检验报告），开关防尘等级达到IP6X，开关防水等级达到IPX8 （等级判分）                                                                                                                                                                                                                            功率：380V</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15kw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784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E4C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157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1199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2DC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7CB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四眼电磁炉连柜座（含双汤炉）</w:t>
            </w:r>
          </w:p>
          <w:p w14:paraId="3954DFF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800*800*800+50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A90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1.多眼工作配置，可根据客户需求定制，配独立开关，可分开或同时工作。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2.底部双开门柜式设计，增加储物位置，节约厨房空间。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3.优质黑色微晶面板，骤冷骤热不裂，长时高温不裂，硬度高，防刮耐磨，承重力强。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4.火力输出热值高，加热均匀、加热面积大。。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5.散热快捷，充分保障了IGBT及机芯各元器件的正常工作，具有故障自检并能显示故障代码。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6.全不锈钢联众板材精工细制，台面一体成型，防虫，防漏电，防辐射三防结构，IPX6标准防水设计，炉身面板国标厚1.2MM，其余国标厚1.0MM                                                               ★7.提供由省级或以上机构根</w:t>
            </w:r>
            <w:r>
              <w:rPr>
                <w:rFonts w:hint="eastAsia" w:ascii="宋体" w:hAnsi="宋体" w:cs="宋体"/>
                <w:i w:val="0"/>
                <w:iCs w:val="0"/>
                <w:color w:val="auto"/>
                <w:kern w:val="0"/>
                <w:sz w:val="21"/>
                <w:szCs w:val="21"/>
                <w:highlight w:val="none"/>
                <w:u w:val="none"/>
                <w:lang w:val="en-US" w:eastAsia="zh-CN" w:bidi="ar"/>
              </w:rPr>
              <w:t>据</w:t>
            </w:r>
            <w:r>
              <w:rPr>
                <w:rFonts w:hint="eastAsia" w:ascii="宋体" w:hAnsi="宋体" w:eastAsia="宋体" w:cs="宋体"/>
                <w:i w:val="0"/>
                <w:iCs w:val="0"/>
                <w:color w:val="auto"/>
                <w:kern w:val="0"/>
                <w:sz w:val="21"/>
                <w:szCs w:val="21"/>
                <w:highlight w:val="none"/>
                <w:u w:val="none"/>
                <w:lang w:val="en-US" w:eastAsia="zh-CN" w:bidi="ar"/>
              </w:rPr>
              <w:t>GB4706.1-2005/GB4706.52-2008检测的工作温度下的泄漏电流和电气强度丶稳定性和机械危险丶输入功率和电流丶接地措施检测报告。                                                          8.★支撑正常工作期间载流超过0.2A的连接件的绝缘材料部件，以及距这些连接处3MM范围内的绝缘材料，其灼热丝的燃烧指数（GB/T15169.12（idt  IEC60695-2-12）至少为850℃符合（提供线盘支架机械强度及耐热耐燃检测报告GB 4706.1—2005GB 4706.34—2008）                                                 ★9.器具应具有足够的机械强度并其结构应经受住在正常使用中可能会出现的粗鲁对待和处置，用弹簧冲击器依据IEC  60068-2-75的Ehb对器具进行冲击实验，器具被刚性支撑，在器具外壳每一个可能的薄弱点上用0.5J的冲击能量冲击3次，试验后符合微晶玻璃具有足够的机械强度，其结构能受住在正常使用中可能会出现的粗鲁对待和处置，（并提供相应检测报告GB 4706.1—2005GB 4706.34—2008）</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A39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C36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C74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1504950</wp:posOffset>
                  </wp:positionV>
                  <wp:extent cx="552450" cy="437515"/>
                  <wp:effectExtent l="0" t="0" r="0" b="635"/>
                  <wp:wrapNone/>
                  <wp:docPr id="111" name="图片_73"/>
                  <wp:cNvGraphicFramePr/>
                  <a:graphic xmlns:a="http://schemas.openxmlformats.org/drawingml/2006/main">
                    <a:graphicData uri="http://schemas.openxmlformats.org/drawingml/2006/picture">
                      <pic:pic xmlns:pic="http://schemas.openxmlformats.org/drawingml/2006/picture">
                        <pic:nvPicPr>
                          <pic:cNvPr id="111" name="图片_73"/>
                          <pic:cNvPicPr/>
                        </pic:nvPicPr>
                        <pic:blipFill>
                          <a:blip r:embed="rId52"/>
                          <a:stretch>
                            <a:fillRect/>
                          </a:stretch>
                        </pic:blipFill>
                        <pic:spPr>
                          <a:xfrm>
                            <a:off x="0" y="0"/>
                            <a:ext cx="552450" cy="437515"/>
                          </a:xfrm>
                          <a:prstGeom prst="rect">
                            <a:avLst/>
                          </a:prstGeom>
                          <a:noFill/>
                          <a:ln>
                            <a:noFill/>
                          </a:ln>
                        </pic:spPr>
                      </pic:pic>
                    </a:graphicData>
                  </a:graphic>
                </wp:anchor>
              </w:drawing>
            </w:r>
          </w:p>
        </w:tc>
      </w:tr>
      <w:tr w14:paraId="1B384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F7B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2F4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拼台柜</w:t>
            </w:r>
          </w:p>
          <w:p w14:paraId="12310E4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1065*800*800+50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4D1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1全不锈钢联众板材精工细制，台面一体成型,国标厚1.2MM,三面封板，前开门，防虫结构，其余国标厚1.0MM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360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874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803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45720</wp:posOffset>
                  </wp:positionV>
                  <wp:extent cx="330835" cy="468630"/>
                  <wp:effectExtent l="0" t="0" r="2540" b="7620"/>
                  <wp:wrapNone/>
                  <wp:docPr id="92" name="图片_74"/>
                  <wp:cNvGraphicFramePr/>
                  <a:graphic xmlns:a="http://schemas.openxmlformats.org/drawingml/2006/main">
                    <a:graphicData uri="http://schemas.openxmlformats.org/drawingml/2006/picture">
                      <pic:pic xmlns:pic="http://schemas.openxmlformats.org/drawingml/2006/picture">
                        <pic:nvPicPr>
                          <pic:cNvPr id="92" name="图片_74"/>
                          <pic:cNvPicPr/>
                        </pic:nvPicPr>
                        <pic:blipFill>
                          <a:blip r:embed="rId53"/>
                          <a:stretch>
                            <a:fillRect/>
                          </a:stretch>
                        </pic:blipFill>
                        <pic:spPr>
                          <a:xfrm>
                            <a:off x="0" y="0"/>
                            <a:ext cx="330835" cy="468630"/>
                          </a:xfrm>
                          <a:prstGeom prst="rect">
                            <a:avLst/>
                          </a:prstGeom>
                          <a:noFill/>
                          <a:ln>
                            <a:noFill/>
                          </a:ln>
                        </pic:spPr>
                      </pic:pic>
                    </a:graphicData>
                  </a:graphic>
                </wp:anchor>
              </w:drawing>
            </w:r>
          </w:p>
        </w:tc>
      </w:tr>
      <w:tr w14:paraId="41D58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DB4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31B1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保温米饭柜</w:t>
            </w:r>
          </w:p>
          <w:p w14:paraId="1756A41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700*800*800+50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65B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1、产品整体材质：采用SUS304拉丝不锈钢板，带缺水保护系统，三面封板，前双复板移门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                                                                                     6、功率：380V3kw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590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B1D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187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F24A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990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03F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五大斗保温台连前置菜保温</w:t>
            </w:r>
          </w:p>
          <w:p w14:paraId="04E351E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1700*950*800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26B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1、产品整体材质：采用SUS304拉丝不锈钢板，带缺水保护系统，三面封板，前双复板移门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                                              5、含1/1深150mm份数盘连盖5套                                          6、功率：380V6kw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C87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F98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D6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693420</wp:posOffset>
                  </wp:positionV>
                  <wp:extent cx="513080" cy="368935"/>
                  <wp:effectExtent l="0" t="0" r="1270" b="2540"/>
                  <wp:wrapNone/>
                  <wp:docPr id="115" name="图片_75"/>
                  <wp:cNvGraphicFramePr/>
                  <a:graphic xmlns:a="http://schemas.openxmlformats.org/drawingml/2006/main">
                    <a:graphicData uri="http://schemas.openxmlformats.org/drawingml/2006/picture">
                      <pic:pic xmlns:pic="http://schemas.openxmlformats.org/drawingml/2006/picture">
                        <pic:nvPicPr>
                          <pic:cNvPr id="115" name="图片_75"/>
                          <pic:cNvPicPr/>
                        </pic:nvPicPr>
                        <pic:blipFill>
                          <a:blip r:embed="rId54"/>
                          <a:stretch>
                            <a:fillRect/>
                          </a:stretch>
                        </pic:blipFill>
                        <pic:spPr>
                          <a:xfrm>
                            <a:off x="0" y="0"/>
                            <a:ext cx="513080" cy="368935"/>
                          </a:xfrm>
                          <a:prstGeom prst="rect">
                            <a:avLst/>
                          </a:prstGeom>
                          <a:noFill/>
                          <a:ln>
                            <a:noFill/>
                          </a:ln>
                        </pic:spPr>
                      </pic:pic>
                    </a:graphicData>
                  </a:graphic>
                </wp:anchor>
              </w:drawing>
            </w:r>
          </w:p>
        </w:tc>
      </w:tr>
      <w:tr w14:paraId="452B8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5EC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D1</w:t>
            </w:r>
            <w:r>
              <w:rPr>
                <w:rFonts w:hint="eastAsia" w:ascii="宋体" w:hAnsi="宋体" w:cs="宋体"/>
                <w:i w:val="0"/>
                <w:iCs w:val="0"/>
                <w:color w:val="auto"/>
                <w:kern w:val="0"/>
                <w:sz w:val="21"/>
                <w:szCs w:val="21"/>
                <w:highlight w:val="none"/>
                <w:u w:val="none"/>
                <w:lang w:val="en-US" w:eastAsia="zh-CN" w:bidi="ar"/>
              </w:rPr>
              <w:t>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7AB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明档排烟罩</w:t>
            </w:r>
          </w:p>
          <w:p w14:paraId="3EC6D2B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2500*1100*500</w:t>
            </w:r>
            <w:r>
              <w:rPr>
                <w:rFonts w:hint="eastAsia" w:ascii="宋体" w:hAnsi="宋体" w:cs="宋体"/>
                <w:b/>
                <w:bCs/>
                <w:i w:val="0"/>
                <w:iCs w:val="0"/>
                <w:color w:val="auto"/>
                <w:kern w:val="0"/>
                <w:sz w:val="21"/>
                <w:szCs w:val="21"/>
                <w:highlight w:val="none"/>
                <w:u w:val="none"/>
                <w:lang w:val="en-US" w:eastAsia="zh-CN" w:bidi="ar"/>
              </w:rPr>
              <w:t>（核心产品）</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B7B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1、采用304板材制作，板材厚度1.2mm，四角用不锈钢做圆弧焊制，配双层过滤性机制折板篦子，配LED防爆灯100CM一道，三面8mm钢化玻璃，安装防爆灯及防水开关，符合国家环保技术要求。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032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266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m²</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541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82550</wp:posOffset>
                  </wp:positionV>
                  <wp:extent cx="590550" cy="448945"/>
                  <wp:effectExtent l="0" t="0" r="0" b="8255"/>
                  <wp:wrapNone/>
                  <wp:docPr id="102" name="图片_77"/>
                  <wp:cNvGraphicFramePr/>
                  <a:graphic xmlns:a="http://schemas.openxmlformats.org/drawingml/2006/main">
                    <a:graphicData uri="http://schemas.openxmlformats.org/drawingml/2006/picture">
                      <pic:pic xmlns:pic="http://schemas.openxmlformats.org/drawingml/2006/picture">
                        <pic:nvPicPr>
                          <pic:cNvPr id="102" name="图片_77"/>
                          <pic:cNvPicPr/>
                        </pic:nvPicPr>
                        <pic:blipFill>
                          <a:blip r:embed="rId55"/>
                          <a:stretch>
                            <a:fillRect/>
                          </a:stretch>
                        </pic:blipFill>
                        <pic:spPr>
                          <a:xfrm>
                            <a:off x="0" y="0"/>
                            <a:ext cx="590550" cy="448945"/>
                          </a:xfrm>
                          <a:prstGeom prst="rect">
                            <a:avLst/>
                          </a:prstGeom>
                          <a:noFill/>
                          <a:ln>
                            <a:noFill/>
                          </a:ln>
                        </pic:spPr>
                      </pic:pic>
                    </a:graphicData>
                  </a:graphic>
                </wp:anchor>
              </w:drawing>
            </w:r>
          </w:p>
        </w:tc>
      </w:tr>
      <w:tr w14:paraId="09FFA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16D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D1</w:t>
            </w:r>
            <w:r>
              <w:rPr>
                <w:rFonts w:hint="eastAsia" w:ascii="宋体" w:hAnsi="宋体" w:cs="宋体"/>
                <w:i w:val="0"/>
                <w:iCs w:val="0"/>
                <w:color w:val="auto"/>
                <w:kern w:val="0"/>
                <w:sz w:val="21"/>
                <w:szCs w:val="21"/>
                <w:highlight w:val="none"/>
                <w:u w:val="none"/>
                <w:lang w:val="en-US" w:eastAsia="zh-CN" w:bidi="ar"/>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50C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膝推式水阀洗手池（挂墙式）</w:t>
            </w:r>
          </w:p>
          <w:p w14:paraId="72BF1E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400*350*350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C3B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1.产品整体材质：采用304不锈钢板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4.挂墙安装。</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9A7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976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3D8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55880</wp:posOffset>
                  </wp:positionV>
                  <wp:extent cx="339725" cy="376555"/>
                  <wp:effectExtent l="0" t="0" r="3175" b="4445"/>
                  <wp:wrapNone/>
                  <wp:docPr id="116" name="图片_163"/>
                  <wp:cNvGraphicFramePr/>
                  <a:graphic xmlns:a="http://schemas.openxmlformats.org/drawingml/2006/main">
                    <a:graphicData uri="http://schemas.openxmlformats.org/drawingml/2006/picture">
                      <pic:pic xmlns:pic="http://schemas.openxmlformats.org/drawingml/2006/picture">
                        <pic:nvPicPr>
                          <pic:cNvPr id="116" name="图片_163"/>
                          <pic:cNvPicPr/>
                        </pic:nvPicPr>
                        <pic:blipFill>
                          <a:blip r:embed="rId56"/>
                          <a:stretch>
                            <a:fillRect/>
                          </a:stretch>
                        </pic:blipFill>
                        <pic:spPr>
                          <a:xfrm>
                            <a:off x="0" y="0"/>
                            <a:ext cx="339725" cy="376555"/>
                          </a:xfrm>
                          <a:prstGeom prst="rect">
                            <a:avLst/>
                          </a:prstGeom>
                          <a:noFill/>
                          <a:ln>
                            <a:noFill/>
                          </a:ln>
                        </pic:spPr>
                      </pic:pic>
                    </a:graphicData>
                  </a:graphic>
                </wp:anchor>
              </w:drawing>
            </w:r>
          </w:p>
        </w:tc>
      </w:tr>
      <w:tr w14:paraId="6A71E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0C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D1</w:t>
            </w:r>
            <w:r>
              <w:rPr>
                <w:rFonts w:hint="eastAsia" w:ascii="宋体" w:hAnsi="宋体" w:cs="宋体"/>
                <w:i w:val="0"/>
                <w:iCs w:val="0"/>
                <w:color w:val="auto"/>
                <w:kern w:val="0"/>
                <w:sz w:val="21"/>
                <w:szCs w:val="21"/>
                <w:highlight w:val="none"/>
                <w:u w:val="none"/>
                <w:lang w:val="en-US" w:eastAsia="zh-CN" w:bidi="ar"/>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1D6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酒精雾化喷淋手消毒器</w:t>
            </w:r>
          </w:p>
          <w:p w14:paraId="4E855EE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230*280*465</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DD9D">
            <w:pPr>
              <w:keepNext w:val="0"/>
              <w:keepLines w:val="0"/>
              <w:widowControl/>
              <w:numPr>
                <w:ilvl w:val="0"/>
                <w:numId w:val="11"/>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消毒液容积2.5L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2.功率：220V/1.4KW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3.免接触感应喷雾,免接触避免交叉污染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4.喷量/感应距离可调节,自定义可调节</w:t>
            </w:r>
          </w:p>
          <w:p w14:paraId="637501AF">
            <w:pPr>
              <w:keepNext w:val="0"/>
              <w:keepLines w:val="0"/>
              <w:widowControl/>
              <w:numPr>
                <w:ilvl w:val="0"/>
                <w:numId w:val="11"/>
              </w:numPr>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5.优选ABS材质优选ABS原生料，防腐耐用不易变色</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02D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646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5E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142875</wp:posOffset>
                  </wp:positionV>
                  <wp:extent cx="248285" cy="379730"/>
                  <wp:effectExtent l="0" t="0" r="8890" b="1270"/>
                  <wp:wrapNone/>
                  <wp:docPr id="100" name="ID_54F438894CBC49F894A2EBDDFACC9CFF"/>
                  <wp:cNvGraphicFramePr/>
                  <a:graphic xmlns:a="http://schemas.openxmlformats.org/drawingml/2006/main">
                    <a:graphicData uri="http://schemas.openxmlformats.org/drawingml/2006/picture">
                      <pic:pic xmlns:pic="http://schemas.openxmlformats.org/drawingml/2006/picture">
                        <pic:nvPicPr>
                          <pic:cNvPr id="100" name="ID_54F438894CBC49F894A2EBDDFACC9CFF"/>
                          <pic:cNvPicPr/>
                        </pic:nvPicPr>
                        <pic:blipFill>
                          <a:blip r:embed="rId57"/>
                          <a:stretch>
                            <a:fillRect/>
                          </a:stretch>
                        </pic:blipFill>
                        <pic:spPr>
                          <a:xfrm>
                            <a:off x="0" y="0"/>
                            <a:ext cx="248285" cy="379730"/>
                          </a:xfrm>
                          <a:prstGeom prst="rect">
                            <a:avLst/>
                          </a:prstGeom>
                          <a:noFill/>
                          <a:ln>
                            <a:noFill/>
                          </a:ln>
                        </pic:spPr>
                      </pic:pic>
                    </a:graphicData>
                  </a:graphic>
                </wp:anchor>
              </w:drawing>
            </w:r>
          </w:p>
        </w:tc>
      </w:tr>
      <w:tr w14:paraId="51883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05B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D1</w:t>
            </w:r>
            <w:r>
              <w:rPr>
                <w:rFonts w:hint="eastAsia" w:ascii="宋体" w:hAnsi="宋体" w:cs="宋体"/>
                <w:i w:val="0"/>
                <w:iCs w:val="0"/>
                <w:color w:val="auto"/>
                <w:kern w:val="0"/>
                <w:sz w:val="21"/>
                <w:szCs w:val="21"/>
                <w:highlight w:val="none"/>
                <w:u w:val="none"/>
                <w:lang w:val="en-US" w:eastAsia="zh-CN" w:bidi="ar"/>
              </w:rPr>
              <w:t>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000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挂衣钩7钩</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3D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304不锈钢</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FC0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D52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4A3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BB81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DA961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收货/验货</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8D1D">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DA53">
            <w:pPr>
              <w:shd w:val="clear"/>
              <w:jc w:val="center"/>
              <w:rPr>
                <w:rFonts w:hint="eastAsia" w:ascii="宋体" w:hAnsi="宋体" w:eastAsia="宋体" w:cs="宋体"/>
                <w:i w:val="0"/>
                <w:iCs w:val="0"/>
                <w:color w:val="auto"/>
                <w:sz w:val="21"/>
                <w:szCs w:val="21"/>
                <w:highlight w:val="none"/>
                <w:u w:val="none"/>
              </w:rPr>
            </w:pPr>
          </w:p>
        </w:tc>
      </w:tr>
      <w:tr w14:paraId="7D1FB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B49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E01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50D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平板车</w:t>
            </w:r>
          </w:p>
          <w:p w14:paraId="6FA605B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900*500*900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F8C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2.采用SUS304-2B不锈钢板制造，推手采用Φ32mm*δ=1.2mm一次性成型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3.面板δ=1.2mm，实际厚度≥1.1mm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4.加重型优质4寸加重万向脚轮，其中两个带刹车掣。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7E7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88D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63E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170180</wp:posOffset>
                  </wp:positionV>
                  <wp:extent cx="554990" cy="440690"/>
                  <wp:effectExtent l="0" t="0" r="6985" b="6985"/>
                  <wp:wrapNone/>
                  <wp:docPr id="93" name="Picture_86"/>
                  <wp:cNvGraphicFramePr/>
                  <a:graphic xmlns:a="http://schemas.openxmlformats.org/drawingml/2006/main">
                    <a:graphicData uri="http://schemas.openxmlformats.org/drawingml/2006/picture">
                      <pic:pic xmlns:pic="http://schemas.openxmlformats.org/drawingml/2006/picture">
                        <pic:nvPicPr>
                          <pic:cNvPr id="93" name="Picture_86"/>
                          <pic:cNvPicPr/>
                        </pic:nvPicPr>
                        <pic:blipFill>
                          <a:blip r:embed="rId58"/>
                          <a:stretch>
                            <a:fillRect/>
                          </a:stretch>
                        </pic:blipFill>
                        <pic:spPr>
                          <a:xfrm>
                            <a:off x="0" y="0"/>
                            <a:ext cx="554990" cy="440690"/>
                          </a:xfrm>
                          <a:prstGeom prst="rect">
                            <a:avLst/>
                          </a:prstGeom>
                          <a:noFill/>
                          <a:ln>
                            <a:noFill/>
                          </a:ln>
                        </pic:spPr>
                      </pic:pic>
                    </a:graphicData>
                  </a:graphic>
                </wp:anchor>
              </w:drawing>
            </w:r>
          </w:p>
        </w:tc>
      </w:tr>
      <w:tr w14:paraId="0BCD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B40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E02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C62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单星盆台工作柜（双面后背）</w:t>
            </w:r>
          </w:p>
          <w:p w14:paraId="7CD0585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1500*600*800+100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CD9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8.单个水池斗规格：450*420*250mm，配提笼式落水口。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5C9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C54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807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118110</wp:posOffset>
                  </wp:positionH>
                  <wp:positionV relativeFrom="paragraph">
                    <wp:posOffset>405130</wp:posOffset>
                  </wp:positionV>
                  <wp:extent cx="454025" cy="546735"/>
                  <wp:effectExtent l="0" t="0" r="3175" b="5715"/>
                  <wp:wrapNone/>
                  <wp:docPr id="84" name="图片_124_SpCnt_1"/>
                  <wp:cNvGraphicFramePr/>
                  <a:graphic xmlns:a="http://schemas.openxmlformats.org/drawingml/2006/main">
                    <a:graphicData uri="http://schemas.openxmlformats.org/drawingml/2006/picture">
                      <pic:pic xmlns:pic="http://schemas.openxmlformats.org/drawingml/2006/picture">
                        <pic:nvPicPr>
                          <pic:cNvPr id="84" name="图片_124_SpCnt_1"/>
                          <pic:cNvPicPr/>
                        </pic:nvPicPr>
                        <pic:blipFill>
                          <a:blip r:embed="rId59"/>
                          <a:stretch>
                            <a:fillRect/>
                          </a:stretch>
                        </pic:blipFill>
                        <pic:spPr>
                          <a:xfrm>
                            <a:off x="0" y="0"/>
                            <a:ext cx="454025" cy="546735"/>
                          </a:xfrm>
                          <a:prstGeom prst="rect">
                            <a:avLst/>
                          </a:prstGeom>
                          <a:noFill/>
                          <a:ln>
                            <a:noFill/>
                          </a:ln>
                        </pic:spPr>
                      </pic:pic>
                    </a:graphicData>
                  </a:graphic>
                </wp:anchor>
              </w:drawing>
            </w:r>
          </w:p>
        </w:tc>
      </w:tr>
      <w:tr w14:paraId="745BE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198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E02a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C36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25BBD3B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E5D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515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EAE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F44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575945</wp:posOffset>
                  </wp:positionV>
                  <wp:extent cx="516890" cy="502285"/>
                  <wp:effectExtent l="0" t="0" r="6985" b="2540"/>
                  <wp:wrapNone/>
                  <wp:docPr id="106" name="图片_4_SpCnt_8"/>
                  <wp:cNvGraphicFramePr/>
                  <a:graphic xmlns:a="http://schemas.openxmlformats.org/drawingml/2006/main">
                    <a:graphicData uri="http://schemas.openxmlformats.org/drawingml/2006/picture">
                      <pic:pic xmlns:pic="http://schemas.openxmlformats.org/drawingml/2006/picture">
                        <pic:nvPicPr>
                          <pic:cNvPr id="106" name="图片_4_SpCnt_8"/>
                          <pic:cNvPicPr/>
                        </pic:nvPicPr>
                        <pic:blipFill>
                          <a:blip r:embed="rId24"/>
                          <a:stretch>
                            <a:fillRect/>
                          </a:stretch>
                        </pic:blipFill>
                        <pic:spPr>
                          <a:xfrm>
                            <a:off x="0" y="0"/>
                            <a:ext cx="516890" cy="502285"/>
                          </a:xfrm>
                          <a:prstGeom prst="rect">
                            <a:avLst/>
                          </a:prstGeom>
                          <a:noFill/>
                          <a:ln>
                            <a:noFill/>
                          </a:ln>
                        </pic:spPr>
                      </pic:pic>
                    </a:graphicData>
                  </a:graphic>
                </wp:anchor>
              </w:drawing>
            </w:r>
          </w:p>
        </w:tc>
      </w:tr>
      <w:tr w14:paraId="4D92B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CB7C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洁具间</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4D3E">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69CA">
            <w:pPr>
              <w:shd w:val="clear"/>
              <w:jc w:val="center"/>
              <w:rPr>
                <w:rFonts w:hint="eastAsia" w:ascii="宋体" w:hAnsi="宋体" w:eastAsia="宋体" w:cs="宋体"/>
                <w:i w:val="0"/>
                <w:iCs w:val="0"/>
                <w:color w:val="auto"/>
                <w:sz w:val="21"/>
                <w:szCs w:val="21"/>
                <w:highlight w:val="none"/>
                <w:u w:val="none"/>
              </w:rPr>
            </w:pPr>
          </w:p>
        </w:tc>
      </w:tr>
      <w:tr w14:paraId="38879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C7D6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DFA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拖把水池柜</w:t>
            </w:r>
          </w:p>
          <w:p w14:paraId="654535B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1200*600*500/800+100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855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8.单个水池斗规格：450*420*250mm，配提笼式落水口。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E5C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846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098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wp:posOffset>
                  </wp:positionH>
                  <wp:positionV relativeFrom="paragraph">
                    <wp:posOffset>316865</wp:posOffset>
                  </wp:positionV>
                  <wp:extent cx="637540" cy="608330"/>
                  <wp:effectExtent l="0" t="0" r="635" b="1270"/>
                  <wp:wrapNone/>
                  <wp:docPr id="113" name="图片_80"/>
                  <wp:cNvGraphicFramePr/>
                  <a:graphic xmlns:a="http://schemas.openxmlformats.org/drawingml/2006/main">
                    <a:graphicData uri="http://schemas.openxmlformats.org/drawingml/2006/picture">
                      <pic:pic xmlns:pic="http://schemas.openxmlformats.org/drawingml/2006/picture">
                        <pic:nvPicPr>
                          <pic:cNvPr id="113" name="图片_80"/>
                          <pic:cNvPicPr/>
                        </pic:nvPicPr>
                        <pic:blipFill>
                          <a:blip r:embed="rId60"/>
                          <a:stretch>
                            <a:fillRect/>
                          </a:stretch>
                        </pic:blipFill>
                        <pic:spPr>
                          <a:xfrm>
                            <a:off x="0" y="0"/>
                            <a:ext cx="637540" cy="608330"/>
                          </a:xfrm>
                          <a:prstGeom prst="rect">
                            <a:avLst/>
                          </a:prstGeom>
                          <a:noFill/>
                          <a:ln>
                            <a:noFill/>
                          </a:ln>
                        </pic:spPr>
                      </pic:pic>
                    </a:graphicData>
                  </a:graphic>
                </wp:anchor>
              </w:drawing>
            </w:r>
          </w:p>
        </w:tc>
      </w:tr>
      <w:tr w14:paraId="5B45F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E7E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F01a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B67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0565C8F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0BB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4F5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44D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7D9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549275</wp:posOffset>
                  </wp:positionV>
                  <wp:extent cx="517525" cy="502285"/>
                  <wp:effectExtent l="0" t="0" r="6350" b="2540"/>
                  <wp:wrapNone/>
                  <wp:docPr id="108" name="图片_4_SpCnt_9"/>
                  <wp:cNvGraphicFramePr/>
                  <a:graphic xmlns:a="http://schemas.openxmlformats.org/drawingml/2006/main">
                    <a:graphicData uri="http://schemas.openxmlformats.org/drawingml/2006/picture">
                      <pic:pic xmlns:pic="http://schemas.openxmlformats.org/drawingml/2006/picture">
                        <pic:nvPicPr>
                          <pic:cNvPr id="108" name="图片_4_SpCnt_9"/>
                          <pic:cNvPicPr/>
                        </pic:nvPicPr>
                        <pic:blipFill>
                          <a:blip r:embed="rId61"/>
                          <a:stretch>
                            <a:fillRect/>
                          </a:stretch>
                        </pic:blipFill>
                        <pic:spPr>
                          <a:xfrm>
                            <a:off x="0" y="0"/>
                            <a:ext cx="517525" cy="502285"/>
                          </a:xfrm>
                          <a:prstGeom prst="rect">
                            <a:avLst/>
                          </a:prstGeom>
                          <a:noFill/>
                          <a:ln>
                            <a:noFill/>
                          </a:ln>
                        </pic:spPr>
                      </pic:pic>
                    </a:graphicData>
                  </a:graphic>
                </wp:anchor>
              </w:drawing>
            </w:r>
          </w:p>
        </w:tc>
      </w:tr>
      <w:tr w14:paraId="4423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DA9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BA8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拖把挂架</w:t>
            </w:r>
          </w:p>
          <w:p w14:paraId="085D094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1200*400*1900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ED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1.产品整体材质，采用304板材制作                                        2.面板及水斗板厚均δ＝1.2mm                                             3.立柱采用Φ38mmX1.2不锈钢管材，拉档采用φ25X0.8不锈钢管，配全钢可调子弹脚，配优质不锈钢大号带孔接污斗落水器、钢丝塑胶软管、金属软管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E35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459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E3A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1290320</wp:posOffset>
                  </wp:positionV>
                  <wp:extent cx="454025" cy="0"/>
                  <wp:effectExtent l="0" t="0" r="0" b="0"/>
                  <wp:wrapNone/>
                  <wp:docPr id="105" name="图片_39"/>
                  <wp:cNvGraphicFramePr/>
                  <a:graphic xmlns:a="http://schemas.openxmlformats.org/drawingml/2006/main">
                    <a:graphicData uri="http://schemas.openxmlformats.org/drawingml/2006/picture">
                      <pic:pic xmlns:pic="http://schemas.openxmlformats.org/drawingml/2006/picture">
                        <pic:nvPicPr>
                          <pic:cNvPr id="105" name="图片_39"/>
                          <pic:cNvPicPr/>
                        </pic:nvPicPr>
                        <pic:blipFill>
                          <a:blip r:embed="rId62"/>
                          <a:stretch>
                            <a:fillRect/>
                          </a:stretch>
                        </pic:blipFill>
                        <pic:spPr>
                          <a:xfrm>
                            <a:off x="0" y="0"/>
                            <a:ext cx="454025" cy="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w:t>
            </w:r>
          </w:p>
        </w:tc>
      </w:tr>
      <w:tr w14:paraId="2E332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C60F0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仓库</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7B02">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F21E">
            <w:pPr>
              <w:shd w:val="clear"/>
              <w:jc w:val="center"/>
              <w:rPr>
                <w:rFonts w:hint="eastAsia" w:ascii="宋体" w:hAnsi="宋体" w:eastAsia="宋体" w:cs="宋体"/>
                <w:i w:val="0"/>
                <w:iCs w:val="0"/>
                <w:color w:val="auto"/>
                <w:sz w:val="21"/>
                <w:szCs w:val="21"/>
                <w:highlight w:val="none"/>
                <w:u w:val="none"/>
              </w:rPr>
            </w:pPr>
          </w:p>
        </w:tc>
      </w:tr>
      <w:tr w14:paraId="3BE3E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5E2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3E5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p w14:paraId="502EF5E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1200*500*1700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7A4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2.层板采用不锈钢板制作,材料厚度1.0mm(实厚≥0.9mm)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3.立柱为Φ38mm*δ=1.0mm(实厚≥0.9mm)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DCA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17C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7C2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146685</wp:posOffset>
                  </wp:positionV>
                  <wp:extent cx="521970" cy="243840"/>
                  <wp:effectExtent l="0" t="0" r="1905" b="3810"/>
                  <wp:wrapNone/>
                  <wp:docPr id="94" name="Picture_81_SpCnt_3"/>
                  <wp:cNvGraphicFramePr/>
                  <a:graphic xmlns:a="http://schemas.openxmlformats.org/drawingml/2006/main">
                    <a:graphicData uri="http://schemas.openxmlformats.org/drawingml/2006/picture">
                      <pic:pic xmlns:pic="http://schemas.openxmlformats.org/drawingml/2006/picture">
                        <pic:nvPicPr>
                          <pic:cNvPr id="94" name="Picture_81_SpCnt_3"/>
                          <pic:cNvPicPr/>
                        </pic:nvPicPr>
                        <pic:blipFill>
                          <a:blip r:embed="rId63"/>
                          <a:stretch>
                            <a:fillRect/>
                          </a:stretch>
                        </pic:blipFill>
                        <pic:spPr>
                          <a:xfrm>
                            <a:off x="0" y="0"/>
                            <a:ext cx="521970" cy="243840"/>
                          </a:xfrm>
                          <a:prstGeom prst="rect">
                            <a:avLst/>
                          </a:prstGeom>
                          <a:noFill/>
                          <a:ln>
                            <a:noFill/>
                          </a:ln>
                        </pic:spPr>
                      </pic:pic>
                    </a:graphicData>
                  </a:graphic>
                </wp:anchor>
              </w:drawing>
            </w:r>
          </w:p>
        </w:tc>
      </w:tr>
      <w:tr w14:paraId="50E87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DCE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G02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018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米面架</w:t>
            </w:r>
          </w:p>
          <w:p w14:paraId="7D15DD3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1200*500*300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FDF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1.产品整体材质：采用SUS304锈钢制作，厚度1.0mm；横柱用38×25×0.8mm厚不锈钢；立柱采用38×38×1.0mm厚不锈钢；配置塑胶脚垫</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622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949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AEF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166370</wp:posOffset>
                  </wp:positionV>
                  <wp:extent cx="607060" cy="426720"/>
                  <wp:effectExtent l="0" t="0" r="2540" b="1905"/>
                  <wp:wrapNone/>
                  <wp:docPr id="95" name="Picture_151"/>
                  <wp:cNvGraphicFramePr/>
                  <a:graphic xmlns:a="http://schemas.openxmlformats.org/drawingml/2006/main">
                    <a:graphicData uri="http://schemas.openxmlformats.org/drawingml/2006/picture">
                      <pic:pic xmlns:pic="http://schemas.openxmlformats.org/drawingml/2006/picture">
                        <pic:nvPicPr>
                          <pic:cNvPr id="95" name="Picture_151"/>
                          <pic:cNvPicPr/>
                        </pic:nvPicPr>
                        <pic:blipFill>
                          <a:blip r:embed="rId64"/>
                          <a:stretch>
                            <a:fillRect/>
                          </a:stretch>
                        </pic:blipFill>
                        <pic:spPr>
                          <a:xfrm>
                            <a:off x="0" y="0"/>
                            <a:ext cx="607060" cy="426720"/>
                          </a:xfrm>
                          <a:prstGeom prst="rect">
                            <a:avLst/>
                          </a:prstGeom>
                          <a:noFill/>
                          <a:ln>
                            <a:noFill/>
                          </a:ln>
                        </pic:spPr>
                      </pic:pic>
                    </a:graphicData>
                  </a:graphic>
                </wp:anchor>
              </w:drawing>
            </w:r>
          </w:p>
        </w:tc>
      </w:tr>
      <w:tr w14:paraId="71836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2A30C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面点间/蒸煮间</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2C99">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2231">
            <w:pPr>
              <w:shd w:val="clear"/>
              <w:jc w:val="center"/>
              <w:rPr>
                <w:rFonts w:hint="eastAsia" w:ascii="宋体" w:hAnsi="宋体" w:eastAsia="宋体" w:cs="宋体"/>
                <w:i w:val="0"/>
                <w:iCs w:val="0"/>
                <w:color w:val="auto"/>
                <w:sz w:val="21"/>
                <w:szCs w:val="21"/>
                <w:highlight w:val="none"/>
                <w:u w:val="none"/>
              </w:rPr>
            </w:pPr>
          </w:p>
        </w:tc>
      </w:tr>
      <w:tr w14:paraId="736ED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631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B82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电脑版柜式电饼档</w:t>
            </w:r>
          </w:p>
          <w:p w14:paraId="63EC41D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410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锅材质：铝锅，锅深度：3cm，用料：全部采用优质不锈钢板，锅体采用一次拉伸，特殊不粘锅，涂层不易脱落，采用机械温控，直径50cm可旋转调节的不锈钢拉丝腿。外包装采用泡沫纸箱包装。额定电压380v，额定频率50Hz，温度范围0℃-250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557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3FD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72A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145415</wp:posOffset>
                  </wp:positionV>
                  <wp:extent cx="327025" cy="567055"/>
                  <wp:effectExtent l="0" t="0" r="6350" b="4445"/>
                  <wp:wrapNone/>
                  <wp:docPr id="101" name="图片_1_SpCnt_1"/>
                  <wp:cNvGraphicFramePr/>
                  <a:graphic xmlns:a="http://schemas.openxmlformats.org/drawingml/2006/main">
                    <a:graphicData uri="http://schemas.openxmlformats.org/drawingml/2006/picture">
                      <pic:pic xmlns:pic="http://schemas.openxmlformats.org/drawingml/2006/picture">
                        <pic:nvPicPr>
                          <pic:cNvPr id="101" name="图片_1_SpCnt_1"/>
                          <pic:cNvPicPr/>
                        </pic:nvPicPr>
                        <pic:blipFill>
                          <a:blip r:embed="rId65"/>
                          <a:stretch>
                            <a:fillRect/>
                          </a:stretch>
                        </pic:blipFill>
                        <pic:spPr>
                          <a:xfrm>
                            <a:off x="0" y="0"/>
                            <a:ext cx="327025" cy="567055"/>
                          </a:xfrm>
                          <a:prstGeom prst="rect">
                            <a:avLst/>
                          </a:prstGeom>
                          <a:noFill/>
                          <a:ln>
                            <a:noFill/>
                          </a:ln>
                        </pic:spPr>
                      </pic:pic>
                    </a:graphicData>
                  </a:graphic>
                </wp:anchor>
              </w:drawing>
            </w:r>
          </w:p>
        </w:tc>
      </w:tr>
      <w:tr w14:paraId="1E6B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648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216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单向打荷台</w:t>
            </w:r>
          </w:p>
          <w:p w14:paraId="1FBBAFB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1350*800*800+100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BF9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5.重力脚Φ60*150mm不锈钢重力脚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36D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972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508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401320</wp:posOffset>
                  </wp:positionV>
                  <wp:extent cx="632460" cy="367665"/>
                  <wp:effectExtent l="0" t="0" r="5715" b="3810"/>
                  <wp:wrapNone/>
                  <wp:docPr id="112" name="Picture_174_SpCnt_4"/>
                  <wp:cNvGraphicFramePr/>
                  <a:graphic xmlns:a="http://schemas.openxmlformats.org/drawingml/2006/main">
                    <a:graphicData uri="http://schemas.openxmlformats.org/drawingml/2006/picture">
                      <pic:pic xmlns:pic="http://schemas.openxmlformats.org/drawingml/2006/picture">
                        <pic:nvPicPr>
                          <pic:cNvPr id="112" name="Picture_174_SpCnt_4"/>
                          <pic:cNvPicPr/>
                        </pic:nvPicPr>
                        <pic:blipFill>
                          <a:blip r:embed="rId66"/>
                          <a:stretch>
                            <a:fillRect/>
                          </a:stretch>
                        </pic:blipFill>
                        <pic:spPr>
                          <a:xfrm>
                            <a:off x="0" y="0"/>
                            <a:ext cx="632460" cy="367665"/>
                          </a:xfrm>
                          <a:prstGeom prst="rect">
                            <a:avLst/>
                          </a:prstGeom>
                          <a:noFill/>
                          <a:ln>
                            <a:noFill/>
                          </a:ln>
                        </pic:spPr>
                      </pic:pic>
                    </a:graphicData>
                  </a:graphic>
                </wp:anchor>
              </w:drawing>
            </w:r>
          </w:p>
        </w:tc>
      </w:tr>
      <w:tr w14:paraId="22CF2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348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C2B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坐地式电力双缸炸炉</w:t>
            </w:r>
          </w:p>
          <w:p w14:paraId="457B433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800*800*850+60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4A2C">
            <w:pPr>
              <w:keepNext w:val="0"/>
              <w:keepLines w:val="0"/>
              <w:widowControl/>
              <w:numPr>
                <w:ilvl w:val="0"/>
                <w:numId w:val="12"/>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全不锈钢联众板材精工细制，台面一体成型，防虫，防漏电，防辐射三防结构，IPX6标准防水设计，炉身面板国标厚1.2MM，其余国标厚1.0MM（1、提供符合GB4706.1-2005/GB4706.52.2008的检测报告）。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10档数码显示调节，精准掌控火力，宽电压范围，恒功率输出。开关组件在30℃环境中0到10档，实验20万次能正常使用。一、开关实验次数判分，提供开关20万次摇摆测试验检报告。二、提供档位开关（IP68测试)检验报告），开关防尘等级达到IP6X ，开关防水等级达到IPX8 （等级判分）                                        </w:t>
            </w:r>
          </w:p>
          <w:p w14:paraId="10AF93D0">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3、提供由省级或以上机构根据GB4706.1-2005/GB4706.52-2008检测的工作温度下的泄漏电流和电气强度、稳定性和机械危险、输入功率和电流、接地措施检测报告。                                    </w:t>
            </w:r>
          </w:p>
          <w:p w14:paraId="45B2596C">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4、显示器外壳具有耐热耐燃能力，并提供GB 4706.1—2005，GB 4706.34—2008检测报告                                     </w:t>
            </w:r>
          </w:p>
          <w:p w14:paraId="03DEC163">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5、产品线盘支架具有足够的机械强度，其结构能受住在正常使用中可能会出现的粗鲁对待和处置，并能提供机械强度及耐热耐燃检测报告GB 4706.1—2005GB 4706.34—2008                                                                                                                                    功率：380V/20kw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9D7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1EB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5F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1209040</wp:posOffset>
                  </wp:positionV>
                  <wp:extent cx="613410" cy="540385"/>
                  <wp:effectExtent l="0" t="0" r="5715" b="2540"/>
                  <wp:wrapNone/>
                  <wp:docPr id="107" name="图片_10"/>
                  <wp:cNvGraphicFramePr/>
                  <a:graphic xmlns:a="http://schemas.openxmlformats.org/drawingml/2006/main">
                    <a:graphicData uri="http://schemas.openxmlformats.org/drawingml/2006/picture">
                      <pic:pic xmlns:pic="http://schemas.openxmlformats.org/drawingml/2006/picture">
                        <pic:nvPicPr>
                          <pic:cNvPr id="107" name="图片_10"/>
                          <pic:cNvPicPr/>
                        </pic:nvPicPr>
                        <pic:blipFill>
                          <a:blip r:embed="rId67"/>
                          <a:stretch>
                            <a:fillRect/>
                          </a:stretch>
                        </pic:blipFill>
                        <pic:spPr>
                          <a:xfrm>
                            <a:off x="0" y="0"/>
                            <a:ext cx="613410" cy="540385"/>
                          </a:xfrm>
                          <a:prstGeom prst="rect">
                            <a:avLst/>
                          </a:prstGeom>
                          <a:noFill/>
                          <a:ln>
                            <a:noFill/>
                          </a:ln>
                        </pic:spPr>
                      </pic:pic>
                    </a:graphicData>
                  </a:graphic>
                </wp:anchor>
              </w:drawing>
            </w:r>
          </w:p>
        </w:tc>
      </w:tr>
      <w:tr w14:paraId="4A419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AD3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50E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两层四盘电烤箱连下醒发箱</w:t>
            </w:r>
          </w:p>
          <w:p w14:paraId="4672E41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1220*855*1720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0B1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—电压380V/15.5KW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—每层内堂尺寸675*870*220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—两层四盘，每层两盘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—标准盘尺寸400mm*600mm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—采用微电脑数字控制系统，温度精准+-1度，进口电子元件，控制精准耐用，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—双层钢化玻璃隔热，节约能耗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—磨砂拉手，不传热，避免烫伤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—电脑控制器内部设有16组温度调节程序</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6F8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85D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3CB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362585</wp:posOffset>
                  </wp:positionV>
                  <wp:extent cx="548005" cy="787400"/>
                  <wp:effectExtent l="0" t="0" r="4445" b="3175"/>
                  <wp:wrapNone/>
                  <wp:docPr id="114" name="图片_12_SpCnt_2"/>
                  <wp:cNvGraphicFramePr/>
                  <a:graphic xmlns:a="http://schemas.openxmlformats.org/drawingml/2006/main">
                    <a:graphicData uri="http://schemas.openxmlformats.org/drawingml/2006/picture">
                      <pic:pic xmlns:pic="http://schemas.openxmlformats.org/drawingml/2006/picture">
                        <pic:nvPicPr>
                          <pic:cNvPr id="114" name="图片_12_SpCnt_2"/>
                          <pic:cNvPicPr/>
                        </pic:nvPicPr>
                        <pic:blipFill>
                          <a:blip r:embed="rId68"/>
                          <a:stretch>
                            <a:fillRect/>
                          </a:stretch>
                        </pic:blipFill>
                        <pic:spPr>
                          <a:xfrm>
                            <a:off x="0" y="0"/>
                            <a:ext cx="548005" cy="787400"/>
                          </a:xfrm>
                          <a:prstGeom prst="rect">
                            <a:avLst/>
                          </a:prstGeom>
                          <a:noFill/>
                          <a:ln>
                            <a:noFill/>
                          </a:ln>
                        </pic:spPr>
                      </pic:pic>
                    </a:graphicData>
                  </a:graphic>
                </wp:anchor>
              </w:drawing>
            </w:r>
          </w:p>
        </w:tc>
      </w:tr>
      <w:tr w14:paraId="5C472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66E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512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笼屉单门8盘发酵箱</w:t>
            </w:r>
          </w:p>
          <w:p w14:paraId="745C9BC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760*770*1960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9BC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—电压220V/2.6KW，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—层数8层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—标准盘尺寸580mm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—数字显示使温度、湿度精准，有时间控制、报警模式，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—大玻璃门可试度清晰随时观察醒发情况，</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820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229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DA6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200660</wp:posOffset>
                  </wp:positionH>
                  <wp:positionV relativeFrom="paragraph">
                    <wp:posOffset>55880</wp:posOffset>
                  </wp:positionV>
                  <wp:extent cx="288290" cy="549910"/>
                  <wp:effectExtent l="0" t="0" r="6985" b="2540"/>
                  <wp:wrapNone/>
                  <wp:docPr id="122" name="图片_11"/>
                  <wp:cNvGraphicFramePr/>
                  <a:graphic xmlns:a="http://schemas.openxmlformats.org/drawingml/2006/main">
                    <a:graphicData uri="http://schemas.openxmlformats.org/drawingml/2006/picture">
                      <pic:pic xmlns:pic="http://schemas.openxmlformats.org/drawingml/2006/picture">
                        <pic:nvPicPr>
                          <pic:cNvPr id="122" name="图片_11"/>
                          <pic:cNvPicPr/>
                        </pic:nvPicPr>
                        <pic:blipFill>
                          <a:blip r:embed="rId69"/>
                          <a:stretch>
                            <a:fillRect/>
                          </a:stretch>
                        </pic:blipFill>
                        <pic:spPr>
                          <a:xfrm>
                            <a:off x="0" y="0"/>
                            <a:ext cx="288290" cy="549910"/>
                          </a:xfrm>
                          <a:prstGeom prst="rect">
                            <a:avLst/>
                          </a:prstGeom>
                          <a:noFill/>
                          <a:ln>
                            <a:noFill/>
                          </a:ln>
                        </pic:spPr>
                      </pic:pic>
                    </a:graphicData>
                  </a:graphic>
                </wp:anchor>
              </w:drawing>
            </w:r>
          </w:p>
        </w:tc>
      </w:tr>
      <w:tr w14:paraId="0DB79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076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A28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吸排油烟罩</w:t>
            </w:r>
          </w:p>
          <w:p w14:paraId="00A816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5000*1200*500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A7F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2.烟罩体材料板厚1.0mm(实厚≥0.9mm)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3.烟罩分段式制作,分多个部件组装焊接而成,烟罩设有活动式油污收集盒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4.烟罩照明采用LED防爆灯,滤网采用互扣式结构,滤网框架板厚0.8mm(实厚≥0.7mm),滤网条为整体模具一体成型厚度0.6mm.(实厚≥0.5mm)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085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712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11E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363220</wp:posOffset>
                  </wp:positionV>
                  <wp:extent cx="554355" cy="394970"/>
                  <wp:effectExtent l="0" t="0" r="7620" b="5080"/>
                  <wp:wrapNone/>
                  <wp:docPr id="109" name="Picture_322_SpCnt_3"/>
                  <wp:cNvGraphicFramePr/>
                  <a:graphic xmlns:a="http://schemas.openxmlformats.org/drawingml/2006/main">
                    <a:graphicData uri="http://schemas.openxmlformats.org/drawingml/2006/picture">
                      <pic:pic xmlns:pic="http://schemas.openxmlformats.org/drawingml/2006/picture">
                        <pic:nvPicPr>
                          <pic:cNvPr id="109" name="Picture_322_SpCnt_3"/>
                          <pic:cNvPicPr/>
                        </pic:nvPicPr>
                        <pic:blipFill>
                          <a:blip r:embed="rId38"/>
                          <a:stretch>
                            <a:fillRect/>
                          </a:stretch>
                        </pic:blipFill>
                        <pic:spPr>
                          <a:xfrm>
                            <a:off x="0" y="0"/>
                            <a:ext cx="554355" cy="394970"/>
                          </a:xfrm>
                          <a:prstGeom prst="rect">
                            <a:avLst/>
                          </a:prstGeom>
                          <a:noFill/>
                          <a:ln>
                            <a:noFill/>
                          </a:ln>
                        </pic:spPr>
                      </pic:pic>
                    </a:graphicData>
                  </a:graphic>
                </wp:anchor>
              </w:drawing>
            </w:r>
          </w:p>
        </w:tc>
      </w:tr>
      <w:tr w14:paraId="4584B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DEA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37E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w:t>
            </w:r>
          </w:p>
          <w:p w14:paraId="656292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600*700*800+150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B7D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7.单个水池斗规格：450*600*300mm，配提笼式落水口。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BF2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5EC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293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65405</wp:posOffset>
                  </wp:positionH>
                  <wp:positionV relativeFrom="paragraph">
                    <wp:posOffset>388620</wp:posOffset>
                  </wp:positionV>
                  <wp:extent cx="596265" cy="464185"/>
                  <wp:effectExtent l="0" t="0" r="3810" b="2540"/>
                  <wp:wrapNone/>
                  <wp:docPr id="110" name="图片_12_SpCnt_3"/>
                  <wp:cNvGraphicFramePr/>
                  <a:graphic xmlns:a="http://schemas.openxmlformats.org/drawingml/2006/main">
                    <a:graphicData uri="http://schemas.openxmlformats.org/drawingml/2006/picture">
                      <pic:pic xmlns:pic="http://schemas.openxmlformats.org/drawingml/2006/picture">
                        <pic:nvPicPr>
                          <pic:cNvPr id="110" name="图片_12_SpCnt_3"/>
                          <pic:cNvPicPr/>
                        </pic:nvPicPr>
                        <pic:blipFill>
                          <a:blip r:embed="rId70"/>
                          <a:stretch>
                            <a:fillRect/>
                          </a:stretch>
                        </pic:blipFill>
                        <pic:spPr>
                          <a:xfrm>
                            <a:off x="0" y="0"/>
                            <a:ext cx="596265" cy="464185"/>
                          </a:xfrm>
                          <a:prstGeom prst="rect">
                            <a:avLst/>
                          </a:prstGeom>
                          <a:noFill/>
                          <a:ln>
                            <a:noFill/>
                          </a:ln>
                        </pic:spPr>
                      </pic:pic>
                    </a:graphicData>
                  </a:graphic>
                </wp:anchor>
              </w:drawing>
            </w:r>
          </w:p>
        </w:tc>
      </w:tr>
      <w:tr w14:paraId="1430C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5DF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H07a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DB1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10D1C44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281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265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12D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C05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89535</wp:posOffset>
                  </wp:positionH>
                  <wp:positionV relativeFrom="paragraph">
                    <wp:posOffset>535940</wp:posOffset>
                  </wp:positionV>
                  <wp:extent cx="517525" cy="502285"/>
                  <wp:effectExtent l="0" t="0" r="6350" b="2540"/>
                  <wp:wrapNone/>
                  <wp:docPr id="117" name="图片_4_SpCnt_10"/>
                  <wp:cNvGraphicFramePr/>
                  <a:graphic xmlns:a="http://schemas.openxmlformats.org/drawingml/2006/main">
                    <a:graphicData uri="http://schemas.openxmlformats.org/drawingml/2006/picture">
                      <pic:pic xmlns:pic="http://schemas.openxmlformats.org/drawingml/2006/picture">
                        <pic:nvPicPr>
                          <pic:cNvPr id="117" name="图片_4_SpCnt_10"/>
                          <pic:cNvPicPr/>
                        </pic:nvPicPr>
                        <pic:blipFill>
                          <a:blip r:embed="rId24"/>
                          <a:stretch>
                            <a:fillRect/>
                          </a:stretch>
                        </pic:blipFill>
                        <pic:spPr>
                          <a:xfrm>
                            <a:off x="0" y="0"/>
                            <a:ext cx="517525" cy="502285"/>
                          </a:xfrm>
                          <a:prstGeom prst="rect">
                            <a:avLst/>
                          </a:prstGeom>
                          <a:noFill/>
                          <a:ln>
                            <a:noFill/>
                          </a:ln>
                        </pic:spPr>
                      </pic:pic>
                    </a:graphicData>
                  </a:graphic>
                </wp:anchor>
              </w:drawing>
            </w:r>
          </w:p>
        </w:tc>
      </w:tr>
      <w:tr w14:paraId="3400D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755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C14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双星盆台</w:t>
            </w:r>
          </w:p>
          <w:p w14:paraId="09FC607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FEB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7.单个水池斗规格：650*600*250mm，配提笼式落水口。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6C7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0A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7BF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352425</wp:posOffset>
                  </wp:positionV>
                  <wp:extent cx="450850" cy="299720"/>
                  <wp:effectExtent l="0" t="0" r="6350" b="5080"/>
                  <wp:wrapNone/>
                  <wp:docPr id="119" name="Picture_141_SpCnt_3"/>
                  <wp:cNvGraphicFramePr/>
                  <a:graphic xmlns:a="http://schemas.openxmlformats.org/drawingml/2006/main">
                    <a:graphicData uri="http://schemas.openxmlformats.org/drawingml/2006/picture">
                      <pic:pic xmlns:pic="http://schemas.openxmlformats.org/drawingml/2006/picture">
                        <pic:nvPicPr>
                          <pic:cNvPr id="119" name="Picture_141_SpCnt_3"/>
                          <pic:cNvPicPr/>
                        </pic:nvPicPr>
                        <pic:blipFill>
                          <a:blip r:embed="rId23"/>
                          <a:stretch>
                            <a:fillRect/>
                          </a:stretch>
                        </pic:blipFill>
                        <pic:spPr>
                          <a:xfrm>
                            <a:off x="0" y="0"/>
                            <a:ext cx="450850" cy="299720"/>
                          </a:xfrm>
                          <a:prstGeom prst="rect">
                            <a:avLst/>
                          </a:prstGeom>
                          <a:noFill/>
                          <a:ln>
                            <a:noFill/>
                          </a:ln>
                        </pic:spPr>
                      </pic:pic>
                    </a:graphicData>
                  </a:graphic>
                </wp:anchor>
              </w:drawing>
            </w:r>
          </w:p>
        </w:tc>
      </w:tr>
      <w:tr w14:paraId="040DE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64F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H08a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9CA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37F3C95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9A1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1.座台式双孔双温低铅铜铸造本体，表面抛光镀铬处理，增加表面硬度防止磕碰造成划痕的同时提升了外观光洁与美观度。                                                                    2.配1/4转陶瓷阀芯一字型手柄。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5.属节水产品，水嘴技</w:t>
            </w:r>
            <w:r>
              <w:rPr>
                <w:rFonts w:hint="eastAsia" w:ascii="宋体" w:hAnsi="宋体" w:eastAsia="宋体" w:cs="宋体"/>
                <w:i w:val="0"/>
                <w:iCs w:val="0"/>
                <w:color w:val="auto"/>
                <w:kern w:val="0"/>
                <w:sz w:val="21"/>
                <w:szCs w:val="21"/>
                <w:highlight w:val="none"/>
                <w:u w:val="none"/>
                <w:lang w:val="en-US" w:eastAsia="zh-CN" w:bidi="ar"/>
              </w:rPr>
              <w:t>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6.产品符合</w:t>
            </w:r>
            <w:r>
              <w:rPr>
                <w:rFonts w:hint="eastAsia" w:ascii="宋体" w:hAnsi="宋体" w:eastAsia="宋体" w:cs="宋体"/>
                <w:i w:val="0"/>
                <w:iCs w:val="0"/>
                <w:color w:val="auto"/>
                <w:kern w:val="0"/>
                <w:sz w:val="21"/>
                <w:szCs w:val="21"/>
                <w:highlight w:val="none"/>
                <w:u w:val="none"/>
                <w:lang w:val="en-US" w:eastAsia="zh-CN" w:bidi="ar"/>
              </w:rPr>
              <w:t xml:space="preserve">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118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33E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BD1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455295</wp:posOffset>
                  </wp:positionV>
                  <wp:extent cx="517525" cy="502285"/>
                  <wp:effectExtent l="0" t="0" r="6350" b="2540"/>
                  <wp:wrapNone/>
                  <wp:docPr id="96" name="图片_4_SpCnt_11"/>
                  <wp:cNvGraphicFramePr/>
                  <a:graphic xmlns:a="http://schemas.openxmlformats.org/drawingml/2006/main">
                    <a:graphicData uri="http://schemas.openxmlformats.org/drawingml/2006/picture">
                      <pic:pic xmlns:pic="http://schemas.openxmlformats.org/drawingml/2006/picture">
                        <pic:nvPicPr>
                          <pic:cNvPr id="96" name="图片_4_SpCnt_11"/>
                          <pic:cNvPicPr/>
                        </pic:nvPicPr>
                        <pic:blipFill>
                          <a:blip r:embed="rId24"/>
                          <a:stretch>
                            <a:fillRect/>
                          </a:stretch>
                        </pic:blipFill>
                        <pic:spPr>
                          <a:xfrm>
                            <a:off x="0" y="0"/>
                            <a:ext cx="517525" cy="502285"/>
                          </a:xfrm>
                          <a:prstGeom prst="rect">
                            <a:avLst/>
                          </a:prstGeom>
                          <a:noFill/>
                          <a:ln>
                            <a:noFill/>
                          </a:ln>
                        </pic:spPr>
                      </pic:pic>
                    </a:graphicData>
                  </a:graphic>
                </wp:anchor>
              </w:drawing>
            </w:r>
          </w:p>
        </w:tc>
      </w:tr>
      <w:tr w14:paraId="3DCAD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7AE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536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不锈钢木面工作台（木板内嵌）</w:t>
            </w:r>
          </w:p>
          <w:p w14:paraId="64EC5A5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DF1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3.台面50mm边框，内嵌40mm 厚沙比利木板，下可置面粉车                                                        4.立柱采用不锈钢管Φ38mm*1.2mm(实厚≥1.1mm)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2EF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506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EBE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52705</wp:posOffset>
                  </wp:positionH>
                  <wp:positionV relativeFrom="paragraph">
                    <wp:posOffset>342265</wp:posOffset>
                  </wp:positionV>
                  <wp:extent cx="589280" cy="356235"/>
                  <wp:effectExtent l="0" t="0" r="1270" b="5715"/>
                  <wp:wrapNone/>
                  <wp:docPr id="118" name="Picture_109_SpCnt_1"/>
                  <wp:cNvGraphicFramePr/>
                  <a:graphic xmlns:a="http://schemas.openxmlformats.org/drawingml/2006/main">
                    <a:graphicData uri="http://schemas.openxmlformats.org/drawingml/2006/picture">
                      <pic:pic xmlns:pic="http://schemas.openxmlformats.org/drawingml/2006/picture">
                        <pic:nvPicPr>
                          <pic:cNvPr id="118" name="Picture_109_SpCnt_1"/>
                          <pic:cNvPicPr/>
                        </pic:nvPicPr>
                        <pic:blipFill>
                          <a:blip r:embed="rId71"/>
                          <a:stretch>
                            <a:fillRect/>
                          </a:stretch>
                        </pic:blipFill>
                        <pic:spPr>
                          <a:xfrm>
                            <a:off x="0" y="0"/>
                            <a:ext cx="589280" cy="356235"/>
                          </a:xfrm>
                          <a:prstGeom prst="rect">
                            <a:avLst/>
                          </a:prstGeom>
                          <a:noFill/>
                          <a:ln>
                            <a:noFill/>
                          </a:ln>
                        </pic:spPr>
                      </pic:pic>
                    </a:graphicData>
                  </a:graphic>
                </wp:anchor>
              </w:drawing>
            </w:r>
          </w:p>
        </w:tc>
      </w:tr>
      <w:tr w14:paraId="3C54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EFC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FD5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冷藏平面工作台</w:t>
            </w:r>
          </w:p>
          <w:p w14:paraId="47D0711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D2E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容积：530升，功率220v/152W, 箱内温度-5度--10度。内外加厚201不锈钢,加高箱体690MM(含台面），自主研发控制系统，触摸控制，装饰板钢化玻璃设计，门铰链加强弹簧回归；暗拉手设计，门体加厚，门内胆拉伸，保温隔热效果更好</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46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7FD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116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90805</wp:posOffset>
                  </wp:positionH>
                  <wp:positionV relativeFrom="paragraph">
                    <wp:posOffset>297815</wp:posOffset>
                  </wp:positionV>
                  <wp:extent cx="426085" cy="294640"/>
                  <wp:effectExtent l="0" t="0" r="2540" b="635"/>
                  <wp:wrapNone/>
                  <wp:docPr id="104" name="图片_36_SpCnt_3"/>
                  <wp:cNvGraphicFramePr/>
                  <a:graphic xmlns:a="http://schemas.openxmlformats.org/drawingml/2006/main">
                    <a:graphicData uri="http://schemas.openxmlformats.org/drawingml/2006/picture">
                      <pic:pic xmlns:pic="http://schemas.openxmlformats.org/drawingml/2006/picture">
                        <pic:nvPicPr>
                          <pic:cNvPr id="104" name="图片_36_SpCnt_3"/>
                          <pic:cNvPicPr/>
                        </pic:nvPicPr>
                        <pic:blipFill>
                          <a:blip r:embed="rId72"/>
                          <a:stretch>
                            <a:fillRect/>
                          </a:stretch>
                        </pic:blipFill>
                        <pic:spPr>
                          <a:xfrm>
                            <a:off x="0" y="0"/>
                            <a:ext cx="426085" cy="294640"/>
                          </a:xfrm>
                          <a:prstGeom prst="rect">
                            <a:avLst/>
                          </a:prstGeom>
                          <a:noFill/>
                          <a:ln>
                            <a:noFill/>
                          </a:ln>
                        </pic:spPr>
                      </pic:pic>
                    </a:graphicData>
                  </a:graphic>
                </wp:anchor>
              </w:drawing>
            </w:r>
          </w:p>
        </w:tc>
      </w:tr>
      <w:tr w14:paraId="54991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C23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159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冷冻冷藏双温冰柜</w:t>
            </w:r>
          </w:p>
          <w:p w14:paraId="40281D4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1210*760*1955</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E3E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容量：980L  功率：220V/428W                                    箱内温度：R-2~10/F-5~-21℃                                             采用内外201，门空箱冷冻温度-21℃，板材加厚，自主研发控制系统，触摸控制，装饰板钢化玻璃设计，门铰链加强弹簧回归；暗拉手设计，门体加厚，门内胆拉伸，保温隔热效果更好；冷冻室十字带加热丝，防结冰；陈列柜钢化玻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1.产品符合CQC食品接触安全认证并获得认证证书。（证书带有国家认监委查询网址）                                                                                                                                                                             2、具有国家强制性产品认证试验报告并依据GB 4706.1-2005/GB 4706.13-2014/GB 4343.1-2018/GB 17625.1-2012试验结论全部合格。 具有国家强制性产品认证证书 GB 17625.1-2012;GB 4343.1-2018;GB 4706.1-2005 ;GB 4706.13-2014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3.具有国家电器安全检测报告并依据GB 17625.1-2012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4.内胆检测报告符合GB/T 2423.17-2008《电工电子产品基本环境试验规程 试验 Ka：盐雾试验方法》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5.发泡料阻燃等级依据标准：GB/T 20219-2015、GB 8624-2012、GB/T 6343-2009、GB/T 8813-2020、GB/T 10294-2008.GB/T8810-2005GB/T8811-2008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表观芯密度、初始导热系数(平均温度25C)、压缩强度或10%形变的压缩应力、吸水率(体积比)、尺寸稳定性(70C，相对湿度(97土3)%，48h)项目合格;燃烧性能等级符合GB 8624-2012标准B1(C)级要求。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6.不锈钢板材444(冰箱内壁)材质分析。GB/T 20878-2007《不锈钢和耐热钢 牌号及化学成分》GB/T 11170-2008《不锈钢 多元素含量的测定 火花放电原子发射光谱法(常规法)》、GB/T 20124-2006《钢铁 氮含量的测定 惰性气体熔融热导法(常规方法)》；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7.控制板防水等级和软件功能，IP65级 GB/T4208-2017《外壳防护等级 (IP 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软件功能：状态显示、中文图标故障提醒功能、杀菌功能、离子保鲜功能、节能功能、物联功能、定时功能、留样柜取样自锁功能、密码锁功能、物联称重功能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8.门封条有害物质检测报告，GB 4806.11-2016 食品安全国家标准 食品接触用橡胶材料及制品，罩极异步电机防水等级，IP68级，检验标准依据:GB/T 4208-2017《外壳防护等级 (IP 代码)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EA8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EC6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B67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2006600</wp:posOffset>
                  </wp:positionV>
                  <wp:extent cx="453390" cy="731520"/>
                  <wp:effectExtent l="0" t="0" r="3810" b="1905"/>
                  <wp:wrapNone/>
                  <wp:docPr id="120" name="图片_17_SpCnt_1"/>
                  <wp:cNvGraphicFramePr/>
                  <a:graphic xmlns:a="http://schemas.openxmlformats.org/drawingml/2006/main">
                    <a:graphicData uri="http://schemas.openxmlformats.org/drawingml/2006/picture">
                      <pic:pic xmlns:pic="http://schemas.openxmlformats.org/drawingml/2006/picture">
                        <pic:nvPicPr>
                          <pic:cNvPr id="120" name="图片_17_SpCnt_1"/>
                          <pic:cNvPicPr/>
                        </pic:nvPicPr>
                        <pic:blipFill>
                          <a:blip r:embed="rId73"/>
                          <a:stretch>
                            <a:fillRect/>
                          </a:stretch>
                        </pic:blipFill>
                        <pic:spPr>
                          <a:xfrm>
                            <a:off x="0" y="0"/>
                            <a:ext cx="453390" cy="731520"/>
                          </a:xfrm>
                          <a:prstGeom prst="rect">
                            <a:avLst/>
                          </a:prstGeom>
                          <a:noFill/>
                          <a:ln>
                            <a:noFill/>
                          </a:ln>
                        </pic:spPr>
                      </pic:pic>
                    </a:graphicData>
                  </a:graphic>
                </wp:anchor>
              </w:drawing>
            </w:r>
          </w:p>
        </w:tc>
      </w:tr>
      <w:tr w14:paraId="095F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C0E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112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不锈钢高速压面机</w:t>
            </w:r>
          </w:p>
          <w:p w14:paraId="4A5A226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650*705*1120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0F2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1.电量：1.5KW/380V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2.压面厚度5-25mm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3.压面宽度:&lt;350mm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4.生产能力 350KG/H</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该机适用于面食加工、糕点、面包食品行业、揉压各种酥、韧性面团，只需将面团放置下输送带上、开机后即可自动输送、揉、压、折叠，减少了机器与人手接触次数、不需人工投面，消除了安全隐患、降低了工人劳动强度。</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490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55D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D969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389255</wp:posOffset>
                  </wp:positionV>
                  <wp:extent cx="443230" cy="541655"/>
                  <wp:effectExtent l="0" t="0" r="4445" b="1270"/>
                  <wp:wrapNone/>
                  <wp:docPr id="91" name="图片_126"/>
                  <wp:cNvGraphicFramePr/>
                  <a:graphic xmlns:a="http://schemas.openxmlformats.org/drawingml/2006/main">
                    <a:graphicData uri="http://schemas.openxmlformats.org/drawingml/2006/picture">
                      <pic:pic xmlns:pic="http://schemas.openxmlformats.org/drawingml/2006/picture">
                        <pic:nvPicPr>
                          <pic:cNvPr id="91" name="图片_126"/>
                          <pic:cNvPicPr/>
                        </pic:nvPicPr>
                        <pic:blipFill>
                          <a:blip r:embed="rId74"/>
                          <a:stretch>
                            <a:fillRect/>
                          </a:stretch>
                        </pic:blipFill>
                        <pic:spPr>
                          <a:xfrm>
                            <a:off x="0" y="0"/>
                            <a:ext cx="443230" cy="541655"/>
                          </a:xfrm>
                          <a:prstGeom prst="rect">
                            <a:avLst/>
                          </a:prstGeom>
                          <a:noFill/>
                          <a:ln>
                            <a:noFill/>
                          </a:ln>
                        </pic:spPr>
                      </pic:pic>
                    </a:graphicData>
                  </a:graphic>
                </wp:anchor>
              </w:drawing>
            </w:r>
          </w:p>
        </w:tc>
      </w:tr>
      <w:tr w14:paraId="6AF1F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1"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B3C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A05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和面机（20KG）</w:t>
            </w:r>
          </w:p>
          <w:p w14:paraId="7CD6DF8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870*480*970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29F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1.功率2.5千瓦电压380v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2.料桶容积50升和面量每次20千克。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3.该机器使用双速双动，减少故障率。超低更噪音。造型新颖美观。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4.掀盖停机，使用更安全。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E22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0D9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998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551180</wp:posOffset>
                  </wp:positionV>
                  <wp:extent cx="400050" cy="601345"/>
                  <wp:effectExtent l="0" t="0" r="0" b="8255"/>
                  <wp:wrapNone/>
                  <wp:docPr id="97" name="图片_99"/>
                  <wp:cNvGraphicFramePr/>
                  <a:graphic xmlns:a="http://schemas.openxmlformats.org/drawingml/2006/main">
                    <a:graphicData uri="http://schemas.openxmlformats.org/drawingml/2006/picture">
                      <pic:pic xmlns:pic="http://schemas.openxmlformats.org/drawingml/2006/picture">
                        <pic:nvPicPr>
                          <pic:cNvPr id="97" name="图片_99"/>
                          <pic:cNvPicPr/>
                        </pic:nvPicPr>
                        <pic:blipFill>
                          <a:blip r:embed="rId75"/>
                          <a:stretch>
                            <a:fillRect/>
                          </a:stretch>
                        </pic:blipFill>
                        <pic:spPr>
                          <a:xfrm>
                            <a:off x="0" y="0"/>
                            <a:ext cx="400050" cy="60134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44450</wp:posOffset>
                  </wp:positionV>
                  <wp:extent cx="337185" cy="435610"/>
                  <wp:effectExtent l="0" t="0" r="5715" b="2540"/>
                  <wp:wrapNone/>
                  <wp:docPr id="121" name="图片_97"/>
                  <wp:cNvGraphicFramePr/>
                  <a:graphic xmlns:a="http://schemas.openxmlformats.org/drawingml/2006/main">
                    <a:graphicData uri="http://schemas.openxmlformats.org/drawingml/2006/picture">
                      <pic:pic xmlns:pic="http://schemas.openxmlformats.org/drawingml/2006/picture">
                        <pic:nvPicPr>
                          <pic:cNvPr id="121" name="图片_97"/>
                          <pic:cNvPicPr/>
                        </pic:nvPicPr>
                        <pic:blipFill>
                          <a:blip r:embed="rId76"/>
                          <a:stretch>
                            <a:fillRect/>
                          </a:stretch>
                        </pic:blipFill>
                        <pic:spPr>
                          <a:xfrm>
                            <a:off x="0" y="0"/>
                            <a:ext cx="337185" cy="435610"/>
                          </a:xfrm>
                          <a:prstGeom prst="rect">
                            <a:avLst/>
                          </a:prstGeom>
                          <a:noFill/>
                          <a:ln>
                            <a:noFill/>
                          </a:ln>
                        </pic:spPr>
                      </pic:pic>
                    </a:graphicData>
                  </a:graphic>
                </wp:anchor>
              </w:drawing>
            </w:r>
          </w:p>
        </w:tc>
      </w:tr>
      <w:tr w14:paraId="68E9A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9BE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01C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多功能搅拌机</w:t>
            </w:r>
          </w:p>
          <w:p w14:paraId="00600FD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570*440*850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3B5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1.功率:1.5千瓦。电压220V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2.料桶容积30升</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BCA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2F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D6A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p>
        </w:tc>
      </w:tr>
      <w:tr w14:paraId="61BC3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2"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E9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AE94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添加剂立柜（带锁）</w:t>
            </w:r>
          </w:p>
          <w:p w14:paraId="7044F9E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800*700*1800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B1A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4.开门板为双复式结构,门板厚度1.0mm(实厚≥0.9mm),门封厚度0.8mm(实厚≥0.7mm)，门拉手与门板为整体折弯成型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5.挂墙</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60D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644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827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320675</wp:posOffset>
                  </wp:positionV>
                  <wp:extent cx="485775" cy="312420"/>
                  <wp:effectExtent l="0" t="0" r="0" b="1905"/>
                  <wp:wrapNone/>
                  <wp:docPr id="98" name="图片_95"/>
                  <wp:cNvGraphicFramePr/>
                  <a:graphic xmlns:a="http://schemas.openxmlformats.org/drawingml/2006/main">
                    <a:graphicData uri="http://schemas.openxmlformats.org/drawingml/2006/picture">
                      <pic:pic xmlns:pic="http://schemas.openxmlformats.org/drawingml/2006/picture">
                        <pic:nvPicPr>
                          <pic:cNvPr id="98" name="图片_95"/>
                          <pic:cNvPicPr/>
                        </pic:nvPicPr>
                        <pic:blipFill>
                          <a:blip r:embed="rId77"/>
                          <a:stretch>
                            <a:fillRect/>
                          </a:stretch>
                        </pic:blipFill>
                        <pic:spPr>
                          <a:xfrm>
                            <a:off x="0" y="0"/>
                            <a:ext cx="485775" cy="312420"/>
                          </a:xfrm>
                          <a:prstGeom prst="rect">
                            <a:avLst/>
                          </a:prstGeom>
                          <a:noFill/>
                          <a:ln>
                            <a:noFill/>
                          </a:ln>
                        </pic:spPr>
                      </pic:pic>
                    </a:graphicData>
                  </a:graphic>
                </wp:anchor>
              </w:drawing>
            </w:r>
          </w:p>
        </w:tc>
      </w:tr>
      <w:tr w14:paraId="5D006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CD3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EC3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可倾式汤锅</w:t>
            </w:r>
          </w:p>
          <w:p w14:paraId="0B59D16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200kg</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EC38">
            <w:pPr>
              <w:keepNext w:val="0"/>
              <w:keepLines w:val="0"/>
              <w:widowControl/>
              <w:numPr>
                <w:ilvl w:val="0"/>
                <w:numId w:val="13"/>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汤炉系列可用于煲汤、煮粥、熬糖、烧水、卤水制作等。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2.火力输出热值高，加热均匀、加热面积大。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3.散热快捷，充分保障了IGBT及机芯各元器件的正常工作，具有故障自检并能显示故障代码。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4.全不锈钢联众板材精工细制，台面一体成型，防虫，防漏电，防辐射三防结构，IPX6标准防水设计，炉身面板国标厚1.2MM，其余国标厚1.0MM</w:t>
            </w:r>
          </w:p>
          <w:p w14:paraId="6316F287">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5、提供符合GB4706.1-2005/GB4706.52.2008的检测报告。）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6、10档数码显示调节，精准掌控火力，宽电压范围，恒功率输出。开关组件在30℃环境中0到10档，实验20万次能正常使用。（一、提供开关20万次摇摆测试验检报告。二、提供档位开关（IP68测试)检验报告）                                                                 7.产品线盘支架具有足够的机械强度，其结构能受住在正常使用中可能会出现的粗鲁对待和处置，并能提供机械强度及耐热耐燃检测报告GB 4706.1—2005GB 4706.34—2008                                                            8、显示器外壳具有耐热耐燃能力，并提供GB 4706.1—2005，GB 4706.34—2008检测报告                                                    9、提供制造商产品入选国家工信部公示的绿色设计产品标准名单，并提供由中国质量认定中心出具的绿色产品评价证书以及制造商具有全国工业产品生产许可证、提供电磁灶厂家第三方产品责任保险，且承保金额达到8000万。</w:t>
            </w:r>
          </w:p>
          <w:p w14:paraId="076F96E6">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10、提供制造商针对本项目盖鲜章投标授权书。</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3EF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B75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1E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1210945</wp:posOffset>
                  </wp:positionV>
                  <wp:extent cx="600710" cy="634365"/>
                  <wp:effectExtent l="0" t="0" r="8890" b="3810"/>
                  <wp:wrapNone/>
                  <wp:docPr id="99" name="图片_14"/>
                  <wp:cNvGraphicFramePr/>
                  <a:graphic xmlns:a="http://schemas.openxmlformats.org/drawingml/2006/main">
                    <a:graphicData uri="http://schemas.openxmlformats.org/drawingml/2006/picture">
                      <pic:pic xmlns:pic="http://schemas.openxmlformats.org/drawingml/2006/picture">
                        <pic:nvPicPr>
                          <pic:cNvPr id="99" name="图片_14"/>
                          <pic:cNvPicPr/>
                        </pic:nvPicPr>
                        <pic:blipFill>
                          <a:blip r:embed="rId78"/>
                          <a:stretch>
                            <a:fillRect/>
                          </a:stretch>
                        </pic:blipFill>
                        <pic:spPr>
                          <a:xfrm>
                            <a:off x="0" y="0"/>
                            <a:ext cx="600710" cy="634365"/>
                          </a:xfrm>
                          <a:prstGeom prst="rect">
                            <a:avLst/>
                          </a:prstGeom>
                          <a:noFill/>
                          <a:ln>
                            <a:noFill/>
                          </a:ln>
                        </pic:spPr>
                      </pic:pic>
                    </a:graphicData>
                  </a:graphic>
                </wp:anchor>
              </w:drawing>
            </w:r>
          </w:p>
        </w:tc>
      </w:tr>
      <w:tr w14:paraId="53B6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F05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9E4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24盘蒸饭车</w:t>
            </w:r>
          </w:p>
          <w:p w14:paraId="7BEF88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1050±30）*745±30）*1645±30）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F4F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整机柜体全部采用304不锈钢优质板材制作，隔条50%防脱落，包括内部全不锈钢加强。箱体任何部位都用吸铁石测试无磁。保证长期使用结构安全可靠，无腐蚀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                                        </w:t>
            </w:r>
          </w:p>
          <w:p w14:paraId="5714606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1、供应商所投商用“电汽两用蒸饭柜”应符合GB 47061-2005、GB470634-2008的标准。                                                   2、供应商所投“饭盘”应通过（食品安全国家标准 食品接触用金属材料及制品）检测。检测依据符合GB4806.9-2016，</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                                                                          3、供应商所投“304不锈钢板材”应通过（金属基体上金属和其他无机覆盖层经腐蚀试验后的试样和试件的评级）企业技术要求，检测依据符合GB/T10125-2021《人造气氛腐蚀试验，盐雾试验》。中性盐雾（170h）</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 xml:space="preserve">                                           4、供应商所投“电热管”应通过（食品安全国家标准 食品接触用金属材料及制品）检测。检测依据符合GB4806.9-2016，</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                                                               5、供应商所投“浮球”应通过（食品安全国家标准 食品接触用金属材料及制品）检测。检测依据符合GB4806.9-2016。 以上满足得1分，</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r>
              <w:rPr>
                <w:rFonts w:hint="eastAsia" w:ascii="宋体" w:hAnsi="宋体" w:eastAsia="宋体" w:cs="宋体"/>
                <w:i w:val="0"/>
                <w:iCs w:val="0"/>
                <w:color w:val="auto"/>
                <w:kern w:val="0"/>
                <w:sz w:val="21"/>
                <w:szCs w:val="21"/>
                <w:highlight w:val="none"/>
                <w:u w:val="none"/>
                <w:lang w:val="en-US" w:eastAsia="zh-CN" w:bidi="ar"/>
              </w:rPr>
              <w:t xml:space="preserve">                                                      6、供应商所投“硅橡胶密封条”应通过（食品安全国家标准 食品接触用金属材料及制品）检测。检测依据符合GB4806.11-2016。                                                                                                                                </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78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EFB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9A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1435735</wp:posOffset>
                  </wp:positionV>
                  <wp:extent cx="514350" cy="668020"/>
                  <wp:effectExtent l="0" t="0" r="0" b="8255"/>
                  <wp:wrapNone/>
                  <wp:docPr id="103" name="图片_4_SpCnt_12"/>
                  <wp:cNvGraphicFramePr/>
                  <a:graphic xmlns:a="http://schemas.openxmlformats.org/drawingml/2006/main">
                    <a:graphicData uri="http://schemas.openxmlformats.org/drawingml/2006/picture">
                      <pic:pic xmlns:pic="http://schemas.openxmlformats.org/drawingml/2006/picture">
                        <pic:nvPicPr>
                          <pic:cNvPr id="103" name="图片_4_SpCnt_12"/>
                          <pic:cNvPicPr/>
                        </pic:nvPicPr>
                        <pic:blipFill>
                          <a:blip r:embed="rId79"/>
                          <a:stretch>
                            <a:fillRect/>
                          </a:stretch>
                        </pic:blipFill>
                        <pic:spPr>
                          <a:xfrm>
                            <a:off x="0" y="0"/>
                            <a:ext cx="514350" cy="668020"/>
                          </a:xfrm>
                          <a:prstGeom prst="rect">
                            <a:avLst/>
                          </a:prstGeom>
                          <a:noFill/>
                          <a:ln>
                            <a:noFill/>
                          </a:ln>
                        </pic:spPr>
                      </pic:pic>
                    </a:graphicData>
                  </a:graphic>
                </wp:anchor>
              </w:drawing>
            </w:r>
          </w:p>
        </w:tc>
      </w:tr>
      <w:tr w14:paraId="5A9D6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E9C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3FF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工作台连后背</w:t>
            </w:r>
          </w:p>
          <w:p w14:paraId="272AC4E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1800*800*800+100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A8A0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2CC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006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B5C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246380</wp:posOffset>
                  </wp:positionV>
                  <wp:extent cx="518795" cy="386080"/>
                  <wp:effectExtent l="0" t="0" r="5080" b="4445"/>
                  <wp:wrapNone/>
                  <wp:docPr id="135" name="图片_11_SpCnt_1"/>
                  <wp:cNvGraphicFramePr/>
                  <a:graphic xmlns:a="http://schemas.openxmlformats.org/drawingml/2006/main">
                    <a:graphicData uri="http://schemas.openxmlformats.org/drawingml/2006/picture">
                      <pic:pic xmlns:pic="http://schemas.openxmlformats.org/drawingml/2006/picture">
                        <pic:nvPicPr>
                          <pic:cNvPr id="135" name="图片_11_SpCnt_1"/>
                          <pic:cNvPicPr/>
                        </pic:nvPicPr>
                        <pic:blipFill>
                          <a:blip r:embed="rId80"/>
                          <a:stretch>
                            <a:fillRect/>
                          </a:stretch>
                        </pic:blipFill>
                        <pic:spPr>
                          <a:xfrm>
                            <a:off x="0" y="0"/>
                            <a:ext cx="518795" cy="386080"/>
                          </a:xfrm>
                          <a:prstGeom prst="rect">
                            <a:avLst/>
                          </a:prstGeom>
                          <a:noFill/>
                          <a:ln>
                            <a:noFill/>
                          </a:ln>
                        </pic:spPr>
                      </pic:pic>
                    </a:graphicData>
                  </a:graphic>
                </wp:anchor>
              </w:drawing>
            </w:r>
          </w:p>
        </w:tc>
      </w:tr>
      <w:tr w14:paraId="53620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4"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A24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H19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2F7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吸排油烟罩</w:t>
            </w:r>
          </w:p>
          <w:p w14:paraId="1415A86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9600*1200*500</w:t>
            </w:r>
          </w:p>
        </w:tc>
        <w:tc>
          <w:tcPr>
            <w:tcW w:w="59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7F54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2.烟罩体材料板厚1.0mm(实厚≥0.9mm)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3.烟罩分段式制作,分多个部件组装焊接而成,烟罩设有活动式油污收集盒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4.烟罩照明采用LED防爆灯,滤网采用互扣式结构,滤网框架板厚0.8mm(实厚≥0.7mm),滤网条为整体模具一体成型厚度0.6mm.(实厚≥0.5mm)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DDC3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11.52</w:t>
            </w:r>
          </w:p>
        </w:tc>
        <w:tc>
          <w:tcPr>
            <w:tcW w:w="4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4C14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3E8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200660</wp:posOffset>
                  </wp:positionV>
                  <wp:extent cx="553720" cy="393700"/>
                  <wp:effectExtent l="0" t="0" r="8255" b="6350"/>
                  <wp:wrapNone/>
                  <wp:docPr id="124" name="Picture_322_SpCnt_4"/>
                  <wp:cNvGraphicFramePr/>
                  <a:graphic xmlns:a="http://schemas.openxmlformats.org/drawingml/2006/main">
                    <a:graphicData uri="http://schemas.openxmlformats.org/drawingml/2006/picture">
                      <pic:pic xmlns:pic="http://schemas.openxmlformats.org/drawingml/2006/picture">
                        <pic:nvPicPr>
                          <pic:cNvPr id="124" name="Picture_322_SpCnt_4"/>
                          <pic:cNvPicPr/>
                        </pic:nvPicPr>
                        <pic:blipFill>
                          <a:blip r:embed="rId38"/>
                          <a:stretch>
                            <a:fillRect/>
                          </a:stretch>
                        </pic:blipFill>
                        <pic:spPr>
                          <a:xfrm>
                            <a:off x="0" y="0"/>
                            <a:ext cx="553720" cy="393700"/>
                          </a:xfrm>
                          <a:prstGeom prst="rect">
                            <a:avLst/>
                          </a:prstGeom>
                          <a:noFill/>
                          <a:ln>
                            <a:noFill/>
                          </a:ln>
                        </pic:spPr>
                      </pic:pic>
                    </a:graphicData>
                  </a:graphic>
                </wp:anchor>
              </w:drawing>
            </w:r>
          </w:p>
        </w:tc>
      </w:tr>
      <w:tr w14:paraId="51E5F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1BED7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留样/备餐区</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F8F8">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3E2E">
            <w:pPr>
              <w:shd w:val="clear"/>
              <w:jc w:val="center"/>
              <w:rPr>
                <w:rFonts w:hint="eastAsia" w:ascii="宋体" w:hAnsi="宋体" w:eastAsia="宋体" w:cs="宋体"/>
                <w:i w:val="0"/>
                <w:iCs w:val="0"/>
                <w:color w:val="auto"/>
                <w:sz w:val="21"/>
                <w:szCs w:val="21"/>
                <w:highlight w:val="none"/>
                <w:u w:val="none"/>
              </w:rPr>
            </w:pPr>
          </w:p>
        </w:tc>
      </w:tr>
      <w:tr w14:paraId="79525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34E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AF2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单星盆台柜（开门上带不锈钢垃圾桶）</w:t>
            </w:r>
          </w:p>
          <w:p w14:paraId="795FF6F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500*800*800+100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B80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8.单个水池斗规格：400*420*250，配提笼式落水口。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DF7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89B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CC9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250825</wp:posOffset>
                  </wp:positionV>
                  <wp:extent cx="454025" cy="541020"/>
                  <wp:effectExtent l="0" t="0" r="3175" b="1905"/>
                  <wp:wrapNone/>
                  <wp:docPr id="127" name="图片_124_SpCnt_2"/>
                  <wp:cNvGraphicFramePr/>
                  <a:graphic xmlns:a="http://schemas.openxmlformats.org/drawingml/2006/main">
                    <a:graphicData uri="http://schemas.openxmlformats.org/drawingml/2006/picture">
                      <pic:pic xmlns:pic="http://schemas.openxmlformats.org/drawingml/2006/picture">
                        <pic:nvPicPr>
                          <pic:cNvPr id="127" name="图片_124_SpCnt_2"/>
                          <pic:cNvPicPr/>
                        </pic:nvPicPr>
                        <pic:blipFill>
                          <a:blip r:embed="rId81"/>
                          <a:stretch>
                            <a:fillRect/>
                          </a:stretch>
                        </pic:blipFill>
                        <pic:spPr>
                          <a:xfrm>
                            <a:off x="0" y="0"/>
                            <a:ext cx="454025" cy="541020"/>
                          </a:xfrm>
                          <a:prstGeom prst="rect">
                            <a:avLst/>
                          </a:prstGeom>
                          <a:noFill/>
                          <a:ln>
                            <a:noFill/>
                          </a:ln>
                        </pic:spPr>
                      </pic:pic>
                    </a:graphicData>
                  </a:graphic>
                </wp:anchor>
              </w:drawing>
            </w:r>
          </w:p>
        </w:tc>
      </w:tr>
      <w:tr w14:paraId="44CDF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442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I01a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7E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65E5BD8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EBA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E75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B5A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B34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535940</wp:posOffset>
                  </wp:positionV>
                  <wp:extent cx="517525" cy="502285"/>
                  <wp:effectExtent l="0" t="0" r="6350" b="2540"/>
                  <wp:wrapNone/>
                  <wp:docPr id="129" name="图片_4_SpCnt_13"/>
                  <wp:cNvGraphicFramePr/>
                  <a:graphic xmlns:a="http://schemas.openxmlformats.org/drawingml/2006/main">
                    <a:graphicData uri="http://schemas.openxmlformats.org/drawingml/2006/picture">
                      <pic:pic xmlns:pic="http://schemas.openxmlformats.org/drawingml/2006/picture">
                        <pic:nvPicPr>
                          <pic:cNvPr id="129" name="图片_4_SpCnt_13"/>
                          <pic:cNvPicPr/>
                        </pic:nvPicPr>
                        <pic:blipFill>
                          <a:blip r:embed="rId24"/>
                          <a:stretch>
                            <a:fillRect/>
                          </a:stretch>
                        </pic:blipFill>
                        <pic:spPr>
                          <a:xfrm>
                            <a:off x="0" y="0"/>
                            <a:ext cx="517525" cy="502285"/>
                          </a:xfrm>
                          <a:prstGeom prst="rect">
                            <a:avLst/>
                          </a:prstGeom>
                          <a:noFill/>
                          <a:ln>
                            <a:noFill/>
                          </a:ln>
                        </pic:spPr>
                      </pic:pic>
                    </a:graphicData>
                  </a:graphic>
                </wp:anchor>
              </w:drawing>
            </w:r>
          </w:p>
        </w:tc>
      </w:tr>
      <w:tr w14:paraId="4892B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2BF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568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四层水杯架（挂墙式）</w:t>
            </w:r>
          </w:p>
          <w:p w14:paraId="26AF961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1500*150*800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FA5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2.整体板厚为1.0mm(实厚≥0.9mm)，板厚为1.2mm(实厚≥1.1mm)，后背板厚为0.8mm(实厚≥0.7mm)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3.层底板与侧板连接方式为焊接连接方式</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569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8AB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312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48895</wp:posOffset>
                  </wp:positionV>
                  <wp:extent cx="389255" cy="415290"/>
                  <wp:effectExtent l="0" t="0" r="1270" b="3810"/>
                  <wp:wrapNone/>
                  <wp:docPr id="128" name="图片_91"/>
                  <wp:cNvGraphicFramePr/>
                  <a:graphic xmlns:a="http://schemas.openxmlformats.org/drawingml/2006/main">
                    <a:graphicData uri="http://schemas.openxmlformats.org/drawingml/2006/picture">
                      <pic:pic xmlns:pic="http://schemas.openxmlformats.org/drawingml/2006/picture">
                        <pic:nvPicPr>
                          <pic:cNvPr id="128" name="图片_91"/>
                          <pic:cNvPicPr/>
                        </pic:nvPicPr>
                        <pic:blipFill>
                          <a:blip r:embed="rId82"/>
                          <a:stretch>
                            <a:fillRect/>
                          </a:stretch>
                        </pic:blipFill>
                        <pic:spPr>
                          <a:xfrm>
                            <a:off x="0" y="0"/>
                            <a:ext cx="389255" cy="415290"/>
                          </a:xfrm>
                          <a:prstGeom prst="rect">
                            <a:avLst/>
                          </a:prstGeom>
                          <a:noFill/>
                          <a:ln>
                            <a:noFill/>
                          </a:ln>
                        </pic:spPr>
                      </pic:pic>
                    </a:graphicData>
                  </a:graphic>
                </wp:anchor>
              </w:drawing>
            </w:r>
          </w:p>
        </w:tc>
      </w:tr>
      <w:tr w14:paraId="7ABAE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115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I03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36C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工程款留样柜（带锁）</w:t>
            </w:r>
          </w:p>
          <w:p w14:paraId="7DA3DA5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600*630*1780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E1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201板材、全钢铜管、一体拉伸内胆、微电脑温控、钢化防雾玻璃门</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F20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4A0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C70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271145</wp:posOffset>
                  </wp:positionH>
                  <wp:positionV relativeFrom="paragraph">
                    <wp:posOffset>127635</wp:posOffset>
                  </wp:positionV>
                  <wp:extent cx="219710" cy="455295"/>
                  <wp:effectExtent l="0" t="0" r="8890" b="1905"/>
                  <wp:wrapNone/>
                  <wp:docPr id="126" name="图片_92"/>
                  <wp:cNvGraphicFramePr/>
                  <a:graphic xmlns:a="http://schemas.openxmlformats.org/drawingml/2006/main">
                    <a:graphicData uri="http://schemas.openxmlformats.org/drawingml/2006/picture">
                      <pic:pic xmlns:pic="http://schemas.openxmlformats.org/drawingml/2006/picture">
                        <pic:nvPicPr>
                          <pic:cNvPr id="126" name="图片_92"/>
                          <pic:cNvPicPr/>
                        </pic:nvPicPr>
                        <pic:blipFill>
                          <a:blip r:embed="rId83"/>
                          <a:stretch>
                            <a:fillRect/>
                          </a:stretch>
                        </pic:blipFill>
                        <pic:spPr>
                          <a:xfrm>
                            <a:off x="0" y="0"/>
                            <a:ext cx="219710" cy="455295"/>
                          </a:xfrm>
                          <a:prstGeom prst="rect">
                            <a:avLst/>
                          </a:prstGeom>
                          <a:noFill/>
                          <a:ln>
                            <a:noFill/>
                          </a:ln>
                        </pic:spPr>
                      </pic:pic>
                    </a:graphicData>
                  </a:graphic>
                </wp:anchor>
              </w:drawing>
            </w:r>
          </w:p>
        </w:tc>
      </w:tr>
      <w:tr w14:paraId="0C871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75C97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餐车清洗/消毒</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3022">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9B50">
            <w:pPr>
              <w:shd w:val="clear"/>
              <w:jc w:val="center"/>
              <w:rPr>
                <w:rFonts w:hint="eastAsia" w:ascii="宋体" w:hAnsi="宋体" w:eastAsia="宋体" w:cs="宋体"/>
                <w:i w:val="0"/>
                <w:iCs w:val="0"/>
                <w:color w:val="auto"/>
                <w:sz w:val="21"/>
                <w:szCs w:val="21"/>
                <w:highlight w:val="none"/>
                <w:u w:val="none"/>
              </w:rPr>
            </w:pPr>
          </w:p>
        </w:tc>
      </w:tr>
      <w:tr w14:paraId="38C5E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1DDB">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J0</w:t>
            </w:r>
            <w:r>
              <w:rPr>
                <w:rFonts w:hint="eastAsia" w:ascii="宋体" w:hAnsi="宋体" w:cs="宋体"/>
                <w:i w:val="0"/>
                <w:iCs w:val="0"/>
                <w:color w:val="auto"/>
                <w:kern w:val="0"/>
                <w:sz w:val="21"/>
                <w:szCs w:val="21"/>
                <w:highlight w:val="none"/>
                <w:u w:val="none"/>
                <w:lang w:val="en-US" w:eastAsia="zh-CN" w:bidi="ar"/>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D1D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w:t>
            </w:r>
          </w:p>
          <w:p w14:paraId="2A340E1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600*600*800+150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728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2.台面板采用SUS304整体折弯成型，后档水板高度150mm，材料厚度：1.2mm(实厚≥1.1mm)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4.立柱采用不锈钢圆管Φ38mm*1.2mm(实厚≥1.1mm)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5.横档采用不锈钢圆管Φ25*1.2mm(实厚≥1.1mm)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6.脚为Φ38mm不锈钢全钢可调节脚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7.单个水池斗规格：800*600*300，配提笼式落水口。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C6C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540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329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321310</wp:posOffset>
                  </wp:positionV>
                  <wp:extent cx="596265" cy="464820"/>
                  <wp:effectExtent l="0" t="0" r="3810" b="1905"/>
                  <wp:wrapNone/>
                  <wp:docPr id="133" name="图片_12_SpCnt_4"/>
                  <wp:cNvGraphicFramePr/>
                  <a:graphic xmlns:a="http://schemas.openxmlformats.org/drawingml/2006/main">
                    <a:graphicData uri="http://schemas.openxmlformats.org/drawingml/2006/picture">
                      <pic:pic xmlns:pic="http://schemas.openxmlformats.org/drawingml/2006/picture">
                        <pic:nvPicPr>
                          <pic:cNvPr id="133" name="图片_12_SpCnt_4"/>
                          <pic:cNvPicPr/>
                        </pic:nvPicPr>
                        <pic:blipFill>
                          <a:blip r:embed="rId84"/>
                          <a:stretch>
                            <a:fillRect/>
                          </a:stretch>
                        </pic:blipFill>
                        <pic:spPr>
                          <a:xfrm>
                            <a:off x="0" y="0"/>
                            <a:ext cx="596265" cy="464820"/>
                          </a:xfrm>
                          <a:prstGeom prst="rect">
                            <a:avLst/>
                          </a:prstGeom>
                          <a:noFill/>
                          <a:ln>
                            <a:noFill/>
                          </a:ln>
                        </pic:spPr>
                      </pic:pic>
                    </a:graphicData>
                  </a:graphic>
                </wp:anchor>
              </w:drawing>
            </w:r>
          </w:p>
        </w:tc>
      </w:tr>
      <w:tr w14:paraId="6B569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C618">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J0</w:t>
            </w:r>
            <w:r>
              <w:rPr>
                <w:rFonts w:hint="eastAsia" w:ascii="宋体" w:hAnsi="宋体" w:cs="宋体"/>
                <w:i w:val="0"/>
                <w:iCs w:val="0"/>
                <w:color w:val="auto"/>
                <w:kern w:val="0"/>
                <w:sz w:val="21"/>
                <w:szCs w:val="21"/>
                <w:highlight w:val="none"/>
                <w:u w:val="none"/>
                <w:lang w:val="en-US" w:eastAsia="zh-CN" w:bidi="ar"/>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2B2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133DC06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FDC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7.产品符合中国环境标志产品认证实施规则ECC-1057EL-A/0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CCE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8CC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5D5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475615</wp:posOffset>
                  </wp:positionV>
                  <wp:extent cx="517525" cy="508635"/>
                  <wp:effectExtent l="0" t="0" r="6350" b="5715"/>
                  <wp:wrapNone/>
                  <wp:docPr id="130" name="图片_4_SpCnt_14"/>
                  <wp:cNvGraphicFramePr/>
                  <a:graphic xmlns:a="http://schemas.openxmlformats.org/drawingml/2006/main">
                    <a:graphicData uri="http://schemas.openxmlformats.org/drawingml/2006/picture">
                      <pic:pic xmlns:pic="http://schemas.openxmlformats.org/drawingml/2006/picture">
                        <pic:nvPicPr>
                          <pic:cNvPr id="130" name="图片_4_SpCnt_14"/>
                          <pic:cNvPicPr/>
                        </pic:nvPicPr>
                        <pic:blipFill>
                          <a:blip r:embed="rId41"/>
                          <a:stretch>
                            <a:fillRect/>
                          </a:stretch>
                        </pic:blipFill>
                        <pic:spPr>
                          <a:xfrm>
                            <a:off x="0" y="0"/>
                            <a:ext cx="517525" cy="508635"/>
                          </a:xfrm>
                          <a:prstGeom prst="rect">
                            <a:avLst/>
                          </a:prstGeom>
                          <a:noFill/>
                          <a:ln>
                            <a:noFill/>
                          </a:ln>
                        </pic:spPr>
                      </pic:pic>
                    </a:graphicData>
                  </a:graphic>
                </wp:anchor>
              </w:drawing>
            </w:r>
          </w:p>
        </w:tc>
      </w:tr>
      <w:tr w14:paraId="04BB2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B85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J03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FC3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洗地龙头</w:t>
            </w:r>
          </w:p>
          <w:p w14:paraId="2732404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EE1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1、开放式洗地龙头、碳钢主体，表面环氧喷涂处理（灰色）                                             2、固定侧支架钢板厚度5mm，黄铜进水主体                                                        3、15.7米重工无痕三层液压钢丝管（黑色）、与主体接口为金属连接件、耐温85度                                                                 4、黄铜铸造表面镀铬花洒喷头（配置一把喷头）                                         5、进水接口为标准1/2''外螺纹                                                                    6、所投所提供产品符合管理体系认证证书标准要求                                                                                        7、产品技术要求符合QB/T1334-2013《水嘴通用技术条件》标准要求并提供相应检测报告复印件                                                                                8、产品表面涂层、镀层按GB/T10125-2012进行24h乙酸盐雾测试后表面性能不低于GB/T64661 表1中外观评级10级要求</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C8C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D2A9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97C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650875</wp:posOffset>
                  </wp:positionV>
                  <wp:extent cx="451485" cy="540385"/>
                  <wp:effectExtent l="0" t="0" r="5715" b="2540"/>
                  <wp:wrapNone/>
                  <wp:docPr id="123" name="图片_12_SpCnt_5"/>
                  <wp:cNvGraphicFramePr/>
                  <a:graphic xmlns:a="http://schemas.openxmlformats.org/drawingml/2006/main">
                    <a:graphicData uri="http://schemas.openxmlformats.org/drawingml/2006/picture">
                      <pic:pic xmlns:pic="http://schemas.openxmlformats.org/drawingml/2006/picture">
                        <pic:nvPicPr>
                          <pic:cNvPr id="123" name="图片_12_SpCnt_5"/>
                          <pic:cNvPicPr/>
                        </pic:nvPicPr>
                        <pic:blipFill>
                          <a:blip r:embed="rId85"/>
                          <a:stretch>
                            <a:fillRect/>
                          </a:stretch>
                        </pic:blipFill>
                        <pic:spPr>
                          <a:xfrm>
                            <a:off x="0" y="0"/>
                            <a:ext cx="451485" cy="540385"/>
                          </a:xfrm>
                          <a:prstGeom prst="rect">
                            <a:avLst/>
                          </a:prstGeom>
                          <a:noFill/>
                          <a:ln>
                            <a:noFill/>
                          </a:ln>
                        </pic:spPr>
                      </pic:pic>
                    </a:graphicData>
                  </a:graphic>
                </wp:anchor>
              </w:drawing>
            </w:r>
          </w:p>
        </w:tc>
      </w:tr>
      <w:tr w14:paraId="48D29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E0B79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肠内营养厨房</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2030">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CDCF">
            <w:pPr>
              <w:shd w:val="clear"/>
              <w:jc w:val="center"/>
              <w:rPr>
                <w:rFonts w:hint="eastAsia" w:ascii="宋体" w:hAnsi="宋体" w:eastAsia="宋体" w:cs="宋体"/>
                <w:i w:val="0"/>
                <w:iCs w:val="0"/>
                <w:color w:val="auto"/>
                <w:sz w:val="21"/>
                <w:szCs w:val="21"/>
                <w:highlight w:val="none"/>
                <w:u w:val="none"/>
              </w:rPr>
            </w:pPr>
          </w:p>
        </w:tc>
      </w:tr>
      <w:tr w14:paraId="7E0F9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EA4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56A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冷藏平面工作台连后背</w:t>
            </w:r>
          </w:p>
          <w:p w14:paraId="6C097C9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F2A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容积：530升，功率220v/152W, 箱内温度-5度--10度。内外加厚201不锈钢,加高箱体690MM(含台面），自主研发控制系统，触摸控制，装饰板钢化玻璃设计，门铰链加强弹簧回归；暗拉手设计，门体加厚，门内胆拉伸，保温隔热效果更好</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C9A2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512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0AB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2035810</wp:posOffset>
                  </wp:positionV>
                  <wp:extent cx="545465" cy="0"/>
                  <wp:effectExtent l="0" t="0" r="0" b="0"/>
                  <wp:wrapNone/>
                  <wp:docPr id="138" name="图片_36_SpCnt_4"/>
                  <wp:cNvGraphicFramePr/>
                  <a:graphic xmlns:a="http://schemas.openxmlformats.org/drawingml/2006/main">
                    <a:graphicData uri="http://schemas.openxmlformats.org/drawingml/2006/picture">
                      <pic:pic xmlns:pic="http://schemas.openxmlformats.org/drawingml/2006/picture">
                        <pic:nvPicPr>
                          <pic:cNvPr id="138" name="图片_36_SpCnt_4"/>
                          <pic:cNvPicPr/>
                        </pic:nvPicPr>
                        <pic:blipFill>
                          <a:blip r:embed="rId86"/>
                          <a:stretch>
                            <a:fillRect/>
                          </a:stretch>
                        </pic:blipFill>
                        <pic:spPr>
                          <a:xfrm>
                            <a:off x="0" y="0"/>
                            <a:ext cx="545465" cy="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231140</wp:posOffset>
                  </wp:positionV>
                  <wp:extent cx="426720" cy="291465"/>
                  <wp:effectExtent l="0" t="0" r="1905" b="3810"/>
                  <wp:wrapNone/>
                  <wp:docPr id="134" name="图片_36_SpCnt_5"/>
                  <wp:cNvGraphicFramePr/>
                  <a:graphic xmlns:a="http://schemas.openxmlformats.org/drawingml/2006/main">
                    <a:graphicData uri="http://schemas.openxmlformats.org/drawingml/2006/picture">
                      <pic:pic xmlns:pic="http://schemas.openxmlformats.org/drawingml/2006/picture">
                        <pic:nvPicPr>
                          <pic:cNvPr id="134" name="图片_36_SpCnt_5"/>
                          <pic:cNvPicPr/>
                        </pic:nvPicPr>
                        <pic:blipFill>
                          <a:blip r:embed="rId87"/>
                          <a:stretch>
                            <a:fillRect/>
                          </a:stretch>
                        </pic:blipFill>
                        <pic:spPr>
                          <a:xfrm>
                            <a:off x="0" y="0"/>
                            <a:ext cx="426720" cy="291465"/>
                          </a:xfrm>
                          <a:prstGeom prst="rect">
                            <a:avLst/>
                          </a:prstGeom>
                          <a:noFill/>
                          <a:ln>
                            <a:noFill/>
                          </a:ln>
                        </pic:spPr>
                      </pic:pic>
                    </a:graphicData>
                  </a:graphic>
                </wp:anchor>
              </w:drawing>
            </w:r>
          </w:p>
        </w:tc>
      </w:tr>
      <w:tr w14:paraId="1EEAE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331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1F3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单星盆台柜</w:t>
            </w:r>
          </w:p>
          <w:p w14:paraId="6413FED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600*800*800+100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85F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8.单个水池斗规格：450*450*250，配提笼式落水口。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3FD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23F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F4A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64770</wp:posOffset>
                  </wp:positionH>
                  <wp:positionV relativeFrom="paragraph">
                    <wp:posOffset>277495</wp:posOffset>
                  </wp:positionV>
                  <wp:extent cx="454025" cy="546735"/>
                  <wp:effectExtent l="0" t="0" r="3175" b="5715"/>
                  <wp:wrapNone/>
                  <wp:docPr id="132" name="图片_124_SpCnt_3"/>
                  <wp:cNvGraphicFramePr/>
                  <a:graphic xmlns:a="http://schemas.openxmlformats.org/drawingml/2006/main">
                    <a:graphicData uri="http://schemas.openxmlformats.org/drawingml/2006/picture">
                      <pic:pic xmlns:pic="http://schemas.openxmlformats.org/drawingml/2006/picture">
                        <pic:nvPicPr>
                          <pic:cNvPr id="132" name="图片_124_SpCnt_3"/>
                          <pic:cNvPicPr/>
                        </pic:nvPicPr>
                        <pic:blipFill>
                          <a:blip r:embed="rId59"/>
                          <a:stretch>
                            <a:fillRect/>
                          </a:stretch>
                        </pic:blipFill>
                        <pic:spPr>
                          <a:xfrm>
                            <a:off x="0" y="0"/>
                            <a:ext cx="454025" cy="546735"/>
                          </a:xfrm>
                          <a:prstGeom prst="rect">
                            <a:avLst/>
                          </a:prstGeom>
                          <a:noFill/>
                          <a:ln>
                            <a:noFill/>
                          </a:ln>
                        </pic:spPr>
                      </pic:pic>
                    </a:graphicData>
                  </a:graphic>
                </wp:anchor>
              </w:drawing>
            </w:r>
          </w:p>
        </w:tc>
      </w:tr>
      <w:tr w14:paraId="3FCA0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F58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K02a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43D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43A0530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8E6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座台式双孔双温低铅铜铸造本体，表面抛光镀铬处理，增加表面硬度防止磕碰造成划痕的同时提升了外观光洁与美观度。                                                                    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 xml:space="preserve">.产品符合中国环境标志产品认证实施规则ECC-1057EL-A/0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07D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FBC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426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515620</wp:posOffset>
                  </wp:positionV>
                  <wp:extent cx="516890" cy="502285"/>
                  <wp:effectExtent l="0" t="0" r="6985" b="2540"/>
                  <wp:wrapNone/>
                  <wp:docPr id="136" name="图片_4_SpCnt_15"/>
                  <wp:cNvGraphicFramePr/>
                  <a:graphic xmlns:a="http://schemas.openxmlformats.org/drawingml/2006/main">
                    <a:graphicData uri="http://schemas.openxmlformats.org/drawingml/2006/picture">
                      <pic:pic xmlns:pic="http://schemas.openxmlformats.org/drawingml/2006/picture">
                        <pic:nvPicPr>
                          <pic:cNvPr id="136" name="图片_4_SpCnt_15"/>
                          <pic:cNvPicPr/>
                        </pic:nvPicPr>
                        <pic:blipFill>
                          <a:blip r:embed="rId88"/>
                          <a:stretch>
                            <a:fillRect/>
                          </a:stretch>
                        </pic:blipFill>
                        <pic:spPr>
                          <a:xfrm>
                            <a:off x="0" y="0"/>
                            <a:ext cx="516890" cy="502285"/>
                          </a:xfrm>
                          <a:prstGeom prst="rect">
                            <a:avLst/>
                          </a:prstGeom>
                          <a:noFill/>
                          <a:ln>
                            <a:noFill/>
                          </a:ln>
                        </pic:spPr>
                      </pic:pic>
                    </a:graphicData>
                  </a:graphic>
                </wp:anchor>
              </w:drawing>
            </w:r>
          </w:p>
        </w:tc>
      </w:tr>
      <w:tr w14:paraId="293EF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F92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K03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B68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单向打荷台</w:t>
            </w:r>
          </w:p>
          <w:p w14:paraId="4D9BEB6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1800*800*800+100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2E4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716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AD5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E2E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205105</wp:posOffset>
                  </wp:positionV>
                  <wp:extent cx="632460" cy="365760"/>
                  <wp:effectExtent l="0" t="0" r="5715" b="5715"/>
                  <wp:wrapNone/>
                  <wp:docPr id="137" name="Picture_174_SpCnt_5"/>
                  <wp:cNvGraphicFramePr/>
                  <a:graphic xmlns:a="http://schemas.openxmlformats.org/drawingml/2006/main">
                    <a:graphicData uri="http://schemas.openxmlformats.org/drawingml/2006/picture">
                      <pic:pic xmlns:pic="http://schemas.openxmlformats.org/drawingml/2006/picture">
                        <pic:nvPicPr>
                          <pic:cNvPr id="137" name="Picture_174_SpCnt_5"/>
                          <pic:cNvPicPr/>
                        </pic:nvPicPr>
                        <pic:blipFill>
                          <a:blip r:embed="rId49"/>
                          <a:stretch>
                            <a:fillRect/>
                          </a:stretch>
                        </pic:blipFill>
                        <pic:spPr>
                          <a:xfrm>
                            <a:off x="0" y="0"/>
                            <a:ext cx="632460" cy="365760"/>
                          </a:xfrm>
                          <a:prstGeom prst="rect">
                            <a:avLst/>
                          </a:prstGeom>
                          <a:noFill/>
                          <a:ln>
                            <a:noFill/>
                          </a:ln>
                        </pic:spPr>
                      </pic:pic>
                    </a:graphicData>
                  </a:graphic>
                </wp:anchor>
              </w:drawing>
            </w:r>
          </w:p>
        </w:tc>
      </w:tr>
      <w:tr w14:paraId="016BB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A9AE4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病房打餐区</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5FA1">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3F66">
            <w:pPr>
              <w:shd w:val="clear"/>
              <w:jc w:val="center"/>
              <w:rPr>
                <w:rFonts w:hint="eastAsia" w:ascii="宋体" w:hAnsi="宋体" w:eastAsia="宋体" w:cs="宋体"/>
                <w:i w:val="0"/>
                <w:iCs w:val="0"/>
                <w:color w:val="auto"/>
                <w:sz w:val="21"/>
                <w:szCs w:val="21"/>
                <w:highlight w:val="none"/>
                <w:u w:val="none"/>
              </w:rPr>
            </w:pPr>
          </w:p>
        </w:tc>
      </w:tr>
      <w:tr w14:paraId="65970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D2A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5E5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单星盆台柜</w:t>
            </w:r>
          </w:p>
          <w:p w14:paraId="38B4B98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600*500*800+100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88E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8.单个水池斗规格：450*300*250，配提笼式落水口。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8D0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20F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FC1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313055</wp:posOffset>
                  </wp:positionV>
                  <wp:extent cx="454025" cy="540385"/>
                  <wp:effectExtent l="0" t="0" r="3175" b="2540"/>
                  <wp:wrapNone/>
                  <wp:docPr id="131" name="图片_124_SpCnt_4"/>
                  <wp:cNvGraphicFramePr/>
                  <a:graphic xmlns:a="http://schemas.openxmlformats.org/drawingml/2006/main">
                    <a:graphicData uri="http://schemas.openxmlformats.org/drawingml/2006/picture">
                      <pic:pic xmlns:pic="http://schemas.openxmlformats.org/drawingml/2006/picture">
                        <pic:nvPicPr>
                          <pic:cNvPr id="131" name="图片_124_SpCnt_4"/>
                          <pic:cNvPicPr/>
                        </pic:nvPicPr>
                        <pic:blipFill>
                          <a:blip r:embed="rId47"/>
                          <a:stretch>
                            <a:fillRect/>
                          </a:stretch>
                        </pic:blipFill>
                        <pic:spPr>
                          <a:xfrm>
                            <a:off x="0" y="0"/>
                            <a:ext cx="454025" cy="540385"/>
                          </a:xfrm>
                          <a:prstGeom prst="rect">
                            <a:avLst/>
                          </a:prstGeom>
                          <a:noFill/>
                          <a:ln>
                            <a:noFill/>
                          </a:ln>
                        </pic:spPr>
                      </pic:pic>
                    </a:graphicData>
                  </a:graphic>
                </wp:anchor>
              </w:drawing>
            </w:r>
          </w:p>
        </w:tc>
      </w:tr>
      <w:tr w14:paraId="5A99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DD7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D87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单星盆台柜</w:t>
            </w:r>
          </w:p>
          <w:p w14:paraId="01CD7A3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600*600*800+100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D55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8.单个水池斗规格：450*400*250，配提笼式落水口。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BC5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598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12A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361950</wp:posOffset>
                  </wp:positionV>
                  <wp:extent cx="454025" cy="540385"/>
                  <wp:effectExtent l="0" t="0" r="3175" b="2540"/>
                  <wp:wrapNone/>
                  <wp:docPr id="125" name="图片_124_SpCnt_5"/>
                  <wp:cNvGraphicFramePr/>
                  <a:graphic xmlns:a="http://schemas.openxmlformats.org/drawingml/2006/main">
                    <a:graphicData uri="http://schemas.openxmlformats.org/drawingml/2006/picture">
                      <pic:pic xmlns:pic="http://schemas.openxmlformats.org/drawingml/2006/picture">
                        <pic:nvPicPr>
                          <pic:cNvPr id="125" name="图片_124_SpCnt_5"/>
                          <pic:cNvPicPr/>
                        </pic:nvPicPr>
                        <pic:blipFill>
                          <a:blip r:embed="rId47"/>
                          <a:stretch>
                            <a:fillRect/>
                          </a:stretch>
                        </pic:blipFill>
                        <pic:spPr>
                          <a:xfrm>
                            <a:off x="0" y="0"/>
                            <a:ext cx="454025" cy="540385"/>
                          </a:xfrm>
                          <a:prstGeom prst="rect">
                            <a:avLst/>
                          </a:prstGeom>
                          <a:noFill/>
                          <a:ln>
                            <a:noFill/>
                          </a:ln>
                        </pic:spPr>
                      </pic:pic>
                    </a:graphicData>
                  </a:graphic>
                </wp:anchor>
              </w:drawing>
            </w:r>
          </w:p>
        </w:tc>
      </w:tr>
      <w:tr w14:paraId="259BE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D61E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L02a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89B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6F9160D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7FD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 xml:space="preserve">.产品符合中国环境标志产品认证实施规则ECC-1057EL-A/0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AE7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B6F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486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515620</wp:posOffset>
                  </wp:positionV>
                  <wp:extent cx="517525" cy="509270"/>
                  <wp:effectExtent l="0" t="0" r="6350" b="5080"/>
                  <wp:wrapNone/>
                  <wp:docPr id="35" name="图片_4_SpCnt_16"/>
                  <wp:cNvGraphicFramePr/>
                  <a:graphic xmlns:a="http://schemas.openxmlformats.org/drawingml/2006/main">
                    <a:graphicData uri="http://schemas.openxmlformats.org/drawingml/2006/picture">
                      <pic:pic xmlns:pic="http://schemas.openxmlformats.org/drawingml/2006/picture">
                        <pic:nvPicPr>
                          <pic:cNvPr id="35" name="图片_4_SpCnt_16"/>
                          <pic:cNvPicPr/>
                        </pic:nvPicPr>
                        <pic:blipFill>
                          <a:blip r:embed="rId41"/>
                          <a:stretch>
                            <a:fillRect/>
                          </a:stretch>
                        </pic:blipFill>
                        <pic:spPr>
                          <a:xfrm>
                            <a:off x="0" y="0"/>
                            <a:ext cx="517525" cy="509270"/>
                          </a:xfrm>
                          <a:prstGeom prst="rect">
                            <a:avLst/>
                          </a:prstGeom>
                          <a:noFill/>
                          <a:ln>
                            <a:noFill/>
                          </a:ln>
                        </pic:spPr>
                      </pic:pic>
                    </a:graphicData>
                  </a:graphic>
                </wp:anchor>
              </w:drawing>
            </w:r>
          </w:p>
        </w:tc>
      </w:tr>
      <w:tr w14:paraId="55F8F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5CB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960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保温双通柜</w:t>
            </w:r>
          </w:p>
          <w:p w14:paraId="3425853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1050*700*1250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968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采用SUS304-2B不锈钢板制造，内胆板厚为 1.0mm，侧板厚为 1.0mm,实际厚度≥0.91mm，双向中空钢化玻璃门；出向单大可视门，左右分体带双车，操作灵活方便，保温箱采用电加热，热风循环，加热无死角， 电器元件均采用优质产品，微电脑温度控制仪，可带自我消毒功能。存放物品：1/1份数盘连车 (份数盘另配)；2.功率：3KW；电源：220V；温度：30~80℃ ，出厂设定 80℃。</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78D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BA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E42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182880</wp:posOffset>
                  </wp:positionH>
                  <wp:positionV relativeFrom="paragraph">
                    <wp:posOffset>99060</wp:posOffset>
                  </wp:positionV>
                  <wp:extent cx="384810" cy="557530"/>
                  <wp:effectExtent l="0" t="0" r="5715" b="4445"/>
                  <wp:wrapNone/>
                  <wp:docPr id="31" name="IM_30"/>
                  <wp:cNvGraphicFramePr/>
                  <a:graphic xmlns:a="http://schemas.openxmlformats.org/drawingml/2006/main">
                    <a:graphicData uri="http://schemas.openxmlformats.org/drawingml/2006/picture">
                      <pic:pic xmlns:pic="http://schemas.openxmlformats.org/drawingml/2006/picture">
                        <pic:nvPicPr>
                          <pic:cNvPr id="31" name="IM_30"/>
                          <pic:cNvPicPr/>
                        </pic:nvPicPr>
                        <pic:blipFill>
                          <a:blip r:embed="rId89"/>
                          <a:stretch>
                            <a:fillRect/>
                          </a:stretch>
                        </pic:blipFill>
                        <pic:spPr>
                          <a:xfrm>
                            <a:off x="0" y="0"/>
                            <a:ext cx="384810" cy="557530"/>
                          </a:xfrm>
                          <a:prstGeom prst="rect">
                            <a:avLst/>
                          </a:prstGeom>
                          <a:noFill/>
                          <a:ln>
                            <a:noFill/>
                          </a:ln>
                        </pic:spPr>
                      </pic:pic>
                    </a:graphicData>
                  </a:graphic>
                </wp:anchor>
              </w:drawing>
            </w:r>
          </w:p>
        </w:tc>
      </w:tr>
      <w:tr w14:paraId="0D00F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503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DD2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下平板工作台连后背</w:t>
            </w:r>
          </w:p>
          <w:p w14:paraId="36B2D01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1560*500*800+100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168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B71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DE8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C2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223520</wp:posOffset>
                  </wp:positionV>
                  <wp:extent cx="518795" cy="383540"/>
                  <wp:effectExtent l="0" t="0" r="5080" b="6985"/>
                  <wp:wrapNone/>
                  <wp:docPr id="30" name="图片_11_SpCnt_2"/>
                  <wp:cNvGraphicFramePr/>
                  <a:graphic xmlns:a="http://schemas.openxmlformats.org/drawingml/2006/main">
                    <a:graphicData uri="http://schemas.openxmlformats.org/drawingml/2006/picture">
                      <pic:pic xmlns:pic="http://schemas.openxmlformats.org/drawingml/2006/picture">
                        <pic:nvPicPr>
                          <pic:cNvPr id="30" name="图片_11_SpCnt_2"/>
                          <pic:cNvPicPr/>
                        </pic:nvPicPr>
                        <pic:blipFill>
                          <a:blip r:embed="rId90"/>
                          <a:stretch>
                            <a:fillRect/>
                          </a:stretch>
                        </pic:blipFill>
                        <pic:spPr>
                          <a:xfrm>
                            <a:off x="0" y="0"/>
                            <a:ext cx="518795" cy="383540"/>
                          </a:xfrm>
                          <a:prstGeom prst="rect">
                            <a:avLst/>
                          </a:prstGeom>
                          <a:noFill/>
                          <a:ln>
                            <a:noFill/>
                          </a:ln>
                        </pic:spPr>
                      </pic:pic>
                    </a:graphicData>
                  </a:graphic>
                </wp:anchor>
              </w:drawing>
            </w:r>
          </w:p>
        </w:tc>
      </w:tr>
      <w:tr w14:paraId="204B6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5FD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4B3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双层平板工作台</w:t>
            </w:r>
          </w:p>
          <w:p w14:paraId="1D9EA59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1200*700*800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D8F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2.台面板采用SUS304整体折弯成型，材料厚度：1.5mm(实厚≥1.35mm)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3.立柱采用不锈钢管Φ38mm*1.2mm(实厚≥1.1mm)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5.脚为Φ38mm不锈钢全钢可调节脚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F62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6CF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380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288290</wp:posOffset>
                  </wp:positionV>
                  <wp:extent cx="589280" cy="354965"/>
                  <wp:effectExtent l="0" t="0" r="1270" b="6985"/>
                  <wp:wrapNone/>
                  <wp:docPr id="21" name="Picture_109_SpCnt_2"/>
                  <wp:cNvGraphicFramePr/>
                  <a:graphic xmlns:a="http://schemas.openxmlformats.org/drawingml/2006/main">
                    <a:graphicData uri="http://schemas.openxmlformats.org/drawingml/2006/picture">
                      <pic:pic xmlns:pic="http://schemas.openxmlformats.org/drawingml/2006/picture">
                        <pic:nvPicPr>
                          <pic:cNvPr id="21" name="Picture_109_SpCnt_2"/>
                          <pic:cNvPicPr/>
                        </pic:nvPicPr>
                        <pic:blipFill>
                          <a:blip r:embed="rId71"/>
                          <a:stretch>
                            <a:fillRect/>
                          </a:stretch>
                        </pic:blipFill>
                        <pic:spPr>
                          <a:xfrm>
                            <a:off x="0" y="0"/>
                            <a:ext cx="589280" cy="354965"/>
                          </a:xfrm>
                          <a:prstGeom prst="rect">
                            <a:avLst/>
                          </a:prstGeom>
                          <a:noFill/>
                          <a:ln>
                            <a:noFill/>
                          </a:ln>
                        </pic:spPr>
                      </pic:pic>
                    </a:graphicData>
                  </a:graphic>
                </wp:anchor>
              </w:drawing>
            </w:r>
          </w:p>
        </w:tc>
      </w:tr>
      <w:tr w14:paraId="01F30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797E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24D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五大斗保温台连工作台</w:t>
            </w:r>
          </w:p>
          <w:p w14:paraId="77C25F5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1800*1200*800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CD7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1、产品整体材质：采用SUS304拉丝不锈钢板，带缺水保护系统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2、台面板，层底板材料采用SUS304拉丝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4、下层板厚1.0mm                                        5、含1/1深150mm份数盘连盖5套                                          6、功率：220V3kw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7、重力脚Φ60*150不锈钢重力脚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9CCE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651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EAA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5844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46B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1E6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膝推式水阀洗手池（挂墙式）</w:t>
            </w:r>
          </w:p>
          <w:p w14:paraId="21A022C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400*350*350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DEC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1.产品整体材质：采用304不锈钢板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4.挂墙安装。</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25D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840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C32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55880</wp:posOffset>
                  </wp:positionV>
                  <wp:extent cx="339725" cy="376555"/>
                  <wp:effectExtent l="0" t="0" r="3175" b="4445"/>
                  <wp:wrapNone/>
                  <wp:docPr id="18" name="图片_160"/>
                  <wp:cNvGraphicFramePr/>
                  <a:graphic xmlns:a="http://schemas.openxmlformats.org/drawingml/2006/main">
                    <a:graphicData uri="http://schemas.openxmlformats.org/drawingml/2006/picture">
                      <pic:pic xmlns:pic="http://schemas.openxmlformats.org/drawingml/2006/picture">
                        <pic:nvPicPr>
                          <pic:cNvPr id="18" name="图片_160"/>
                          <pic:cNvPicPr/>
                        </pic:nvPicPr>
                        <pic:blipFill>
                          <a:blip r:embed="rId56"/>
                          <a:stretch>
                            <a:fillRect/>
                          </a:stretch>
                        </pic:blipFill>
                        <pic:spPr>
                          <a:xfrm>
                            <a:off x="0" y="0"/>
                            <a:ext cx="339725" cy="376555"/>
                          </a:xfrm>
                          <a:prstGeom prst="rect">
                            <a:avLst/>
                          </a:prstGeom>
                          <a:noFill/>
                          <a:ln>
                            <a:noFill/>
                          </a:ln>
                        </pic:spPr>
                      </pic:pic>
                    </a:graphicData>
                  </a:graphic>
                </wp:anchor>
              </w:drawing>
            </w:r>
          </w:p>
        </w:tc>
      </w:tr>
      <w:tr w14:paraId="2B531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4FB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DBD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酒精雾化喷淋手消毒器</w:t>
            </w:r>
          </w:p>
          <w:p w14:paraId="24AB303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230*280*465</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193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1.消毒液容积2.5L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2.功率：220V/1.4KW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3.免接触感应喷雾,免接触避免交叉污染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4.喷量/感应距离可调节,自定义可调节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5.优选ABS材质优选ABS原生料，防腐耐用不易变色</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FF9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568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D7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94615</wp:posOffset>
                  </wp:positionV>
                  <wp:extent cx="248285" cy="379730"/>
                  <wp:effectExtent l="0" t="0" r="8890" b="1270"/>
                  <wp:wrapNone/>
                  <wp:docPr id="15" name="ID_54F438894CBC49F894A2EBDDFACC9CFF_SpCnt_1"/>
                  <wp:cNvGraphicFramePr/>
                  <a:graphic xmlns:a="http://schemas.openxmlformats.org/drawingml/2006/main">
                    <a:graphicData uri="http://schemas.openxmlformats.org/drawingml/2006/picture">
                      <pic:pic xmlns:pic="http://schemas.openxmlformats.org/drawingml/2006/picture">
                        <pic:nvPicPr>
                          <pic:cNvPr id="15" name="ID_54F438894CBC49F894A2EBDDFACC9CFF_SpCnt_1"/>
                          <pic:cNvPicPr/>
                        </pic:nvPicPr>
                        <pic:blipFill>
                          <a:blip r:embed="rId91"/>
                          <a:stretch>
                            <a:fillRect/>
                          </a:stretch>
                        </pic:blipFill>
                        <pic:spPr>
                          <a:xfrm>
                            <a:off x="0" y="0"/>
                            <a:ext cx="248285" cy="379730"/>
                          </a:xfrm>
                          <a:prstGeom prst="rect">
                            <a:avLst/>
                          </a:prstGeom>
                          <a:noFill/>
                          <a:ln>
                            <a:noFill/>
                          </a:ln>
                        </pic:spPr>
                      </pic:pic>
                    </a:graphicData>
                  </a:graphic>
                </wp:anchor>
              </w:drawing>
            </w:r>
          </w:p>
        </w:tc>
      </w:tr>
      <w:tr w14:paraId="20D7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1DF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AF1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挂衣钩7钩</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9B8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304不锈钢</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CFC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6A8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91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32034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1038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D538D0A">
            <w:pPr>
              <w:shd w:val="clea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餐厅</w:t>
            </w:r>
          </w:p>
        </w:tc>
      </w:tr>
      <w:tr w14:paraId="7011E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16ED6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职工餐厅明档</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111C">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DD42">
            <w:pPr>
              <w:shd w:val="clear"/>
              <w:jc w:val="center"/>
              <w:rPr>
                <w:rFonts w:hint="eastAsia" w:ascii="宋体" w:hAnsi="宋体" w:eastAsia="宋体" w:cs="宋体"/>
                <w:i w:val="0"/>
                <w:iCs w:val="0"/>
                <w:color w:val="auto"/>
                <w:sz w:val="21"/>
                <w:szCs w:val="21"/>
                <w:highlight w:val="none"/>
                <w:u w:val="none"/>
              </w:rPr>
            </w:pPr>
          </w:p>
        </w:tc>
      </w:tr>
      <w:tr w14:paraId="7C234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1B6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N01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5BF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膝推式水阀洗手池（挂墙式）</w:t>
            </w:r>
          </w:p>
          <w:p w14:paraId="561431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400*350*350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F94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1.产品整体材质：采用304不锈钢板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4.挂墙安装。</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73B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3A3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40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198755</wp:posOffset>
                  </wp:positionH>
                  <wp:positionV relativeFrom="paragraph">
                    <wp:posOffset>55880</wp:posOffset>
                  </wp:positionV>
                  <wp:extent cx="339725" cy="376555"/>
                  <wp:effectExtent l="0" t="0" r="3175" b="4445"/>
                  <wp:wrapNone/>
                  <wp:docPr id="2" name="图片_161"/>
                  <wp:cNvGraphicFramePr/>
                  <a:graphic xmlns:a="http://schemas.openxmlformats.org/drawingml/2006/main">
                    <a:graphicData uri="http://schemas.openxmlformats.org/drawingml/2006/picture">
                      <pic:pic xmlns:pic="http://schemas.openxmlformats.org/drawingml/2006/picture">
                        <pic:nvPicPr>
                          <pic:cNvPr id="2" name="图片_161"/>
                          <pic:cNvPicPr/>
                        </pic:nvPicPr>
                        <pic:blipFill>
                          <a:blip r:embed="rId56"/>
                          <a:stretch>
                            <a:fillRect/>
                          </a:stretch>
                        </pic:blipFill>
                        <pic:spPr>
                          <a:xfrm>
                            <a:off x="0" y="0"/>
                            <a:ext cx="339725" cy="376555"/>
                          </a:xfrm>
                          <a:prstGeom prst="rect">
                            <a:avLst/>
                          </a:prstGeom>
                          <a:noFill/>
                          <a:ln>
                            <a:noFill/>
                          </a:ln>
                        </pic:spPr>
                      </pic:pic>
                    </a:graphicData>
                  </a:graphic>
                </wp:anchor>
              </w:drawing>
            </w:r>
          </w:p>
        </w:tc>
      </w:tr>
      <w:tr w14:paraId="5AD8C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5E6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N02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0BB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酒精雾化喷淋手消毒器</w:t>
            </w:r>
          </w:p>
          <w:p w14:paraId="7690B8B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230*280*465</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3B6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1.消毒液容积2.5L</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2.功率：220V/1.4KW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3.免接触感应喷雾,免接触避免交叉污染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4.喷量/感应距离可调节,自定义可调节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5.优选ABS材质优选ABS原生料，防腐耐用不易变色</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192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62B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56A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89535</wp:posOffset>
                  </wp:positionV>
                  <wp:extent cx="304165" cy="466090"/>
                  <wp:effectExtent l="0" t="0" r="635" b="635"/>
                  <wp:wrapNone/>
                  <wp:docPr id="3" name="ID_54F438894CBC49F894A2EBDDFACC9CFF_SpCnt_2"/>
                  <wp:cNvGraphicFramePr/>
                  <a:graphic xmlns:a="http://schemas.openxmlformats.org/drawingml/2006/main">
                    <a:graphicData uri="http://schemas.openxmlformats.org/drawingml/2006/picture">
                      <pic:pic xmlns:pic="http://schemas.openxmlformats.org/drawingml/2006/picture">
                        <pic:nvPicPr>
                          <pic:cNvPr id="3" name="ID_54F438894CBC49F894A2EBDDFACC9CFF_SpCnt_2"/>
                          <pic:cNvPicPr/>
                        </pic:nvPicPr>
                        <pic:blipFill>
                          <a:blip r:embed="rId92"/>
                          <a:stretch>
                            <a:fillRect/>
                          </a:stretch>
                        </pic:blipFill>
                        <pic:spPr>
                          <a:xfrm>
                            <a:off x="0" y="0"/>
                            <a:ext cx="304165" cy="466090"/>
                          </a:xfrm>
                          <a:prstGeom prst="rect">
                            <a:avLst/>
                          </a:prstGeom>
                          <a:noFill/>
                          <a:ln>
                            <a:noFill/>
                          </a:ln>
                        </pic:spPr>
                      </pic:pic>
                    </a:graphicData>
                  </a:graphic>
                </wp:anchor>
              </w:drawing>
            </w:r>
          </w:p>
        </w:tc>
      </w:tr>
      <w:tr w14:paraId="35E83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CD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N03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F81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挂衣钩7钩</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63B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304不锈钢</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6E5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E84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E64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4F118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FFAA">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N0</w:t>
            </w:r>
            <w:r>
              <w:rPr>
                <w:rFonts w:hint="eastAsia" w:ascii="宋体" w:hAnsi="宋体" w:cs="宋体"/>
                <w:i w:val="0"/>
                <w:iCs w:val="0"/>
                <w:color w:val="auto"/>
                <w:kern w:val="0"/>
                <w:sz w:val="21"/>
                <w:szCs w:val="21"/>
                <w:highlight w:val="none"/>
                <w:u w:val="none"/>
                <w:lang w:val="en-US" w:eastAsia="zh-CN" w:bidi="ar"/>
              </w:rPr>
              <w:t>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914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双向打荷台</w:t>
            </w:r>
          </w:p>
          <w:p w14:paraId="24DD27E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41A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474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816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1DB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343535</wp:posOffset>
                  </wp:positionV>
                  <wp:extent cx="632460" cy="366395"/>
                  <wp:effectExtent l="0" t="0" r="5715" b="5080"/>
                  <wp:wrapNone/>
                  <wp:docPr id="20" name="Picture_174_SpCnt_6"/>
                  <wp:cNvGraphicFramePr/>
                  <a:graphic xmlns:a="http://schemas.openxmlformats.org/drawingml/2006/main">
                    <a:graphicData uri="http://schemas.openxmlformats.org/drawingml/2006/picture">
                      <pic:pic xmlns:pic="http://schemas.openxmlformats.org/drawingml/2006/picture">
                        <pic:nvPicPr>
                          <pic:cNvPr id="20" name="Picture_174_SpCnt_6"/>
                          <pic:cNvPicPr/>
                        </pic:nvPicPr>
                        <pic:blipFill>
                          <a:blip r:embed="rId49"/>
                          <a:stretch>
                            <a:fillRect/>
                          </a:stretch>
                        </pic:blipFill>
                        <pic:spPr>
                          <a:xfrm>
                            <a:off x="0" y="0"/>
                            <a:ext cx="632460" cy="366395"/>
                          </a:xfrm>
                          <a:prstGeom prst="rect">
                            <a:avLst/>
                          </a:prstGeom>
                          <a:noFill/>
                          <a:ln>
                            <a:noFill/>
                          </a:ln>
                        </pic:spPr>
                      </pic:pic>
                    </a:graphicData>
                  </a:graphic>
                </wp:anchor>
              </w:drawing>
            </w:r>
          </w:p>
        </w:tc>
      </w:tr>
      <w:tr w14:paraId="23D9B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7D9F">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N0</w:t>
            </w:r>
            <w:r>
              <w:rPr>
                <w:rFonts w:hint="eastAsia" w:ascii="宋体" w:hAnsi="宋体" w:cs="宋体"/>
                <w:i w:val="0"/>
                <w:iCs w:val="0"/>
                <w:color w:val="auto"/>
                <w:kern w:val="0"/>
                <w:sz w:val="21"/>
                <w:szCs w:val="21"/>
                <w:highlight w:val="none"/>
                <w:u w:val="none"/>
                <w:lang w:val="en-US" w:eastAsia="zh-CN" w:bidi="ar"/>
              </w:rPr>
              <w:t>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559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单向打荷台连后背</w:t>
            </w:r>
          </w:p>
          <w:p w14:paraId="24EFF53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2CC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5.重力脚Φ60*150不锈钢重力脚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B05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A87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52F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339090</wp:posOffset>
                  </wp:positionV>
                  <wp:extent cx="632460" cy="361950"/>
                  <wp:effectExtent l="0" t="0" r="5715" b="0"/>
                  <wp:wrapNone/>
                  <wp:docPr id="24" name="Picture_174_SpCnt_7"/>
                  <wp:cNvGraphicFramePr/>
                  <a:graphic xmlns:a="http://schemas.openxmlformats.org/drawingml/2006/main">
                    <a:graphicData uri="http://schemas.openxmlformats.org/drawingml/2006/picture">
                      <pic:pic xmlns:pic="http://schemas.openxmlformats.org/drawingml/2006/picture">
                        <pic:nvPicPr>
                          <pic:cNvPr id="24" name="Picture_174_SpCnt_7"/>
                          <pic:cNvPicPr/>
                        </pic:nvPicPr>
                        <pic:blipFill>
                          <a:blip r:embed="rId93"/>
                          <a:stretch>
                            <a:fillRect/>
                          </a:stretch>
                        </pic:blipFill>
                        <pic:spPr>
                          <a:xfrm>
                            <a:off x="0" y="0"/>
                            <a:ext cx="632460" cy="361950"/>
                          </a:xfrm>
                          <a:prstGeom prst="rect">
                            <a:avLst/>
                          </a:prstGeom>
                          <a:noFill/>
                          <a:ln>
                            <a:noFill/>
                          </a:ln>
                        </pic:spPr>
                      </pic:pic>
                    </a:graphicData>
                  </a:graphic>
                </wp:anchor>
              </w:drawing>
            </w:r>
          </w:p>
        </w:tc>
      </w:tr>
      <w:tr w14:paraId="29919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3"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64D3">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N0</w:t>
            </w:r>
            <w:r>
              <w:rPr>
                <w:rFonts w:hint="eastAsia" w:ascii="宋体" w:hAnsi="宋体" w:cs="宋体"/>
                <w:i w:val="0"/>
                <w:iCs w:val="0"/>
                <w:color w:val="auto"/>
                <w:kern w:val="0"/>
                <w:sz w:val="21"/>
                <w:szCs w:val="21"/>
                <w:highlight w:val="none"/>
                <w:u w:val="none"/>
                <w:lang w:val="en-US" w:eastAsia="zh-CN" w:bidi="ar"/>
              </w:rPr>
              <w:t>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128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单星盆台柜连门上垃圾桶</w:t>
            </w:r>
          </w:p>
          <w:p w14:paraId="0197433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600*700*800+100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060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8.单个水池斗规格：450*420*250，配提笼式落水口。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3B0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E69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386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208915</wp:posOffset>
                  </wp:positionV>
                  <wp:extent cx="454025" cy="552450"/>
                  <wp:effectExtent l="0" t="0" r="3175" b="0"/>
                  <wp:wrapNone/>
                  <wp:docPr id="36" name="图片_124_SpCnt_6"/>
                  <wp:cNvGraphicFramePr/>
                  <a:graphic xmlns:a="http://schemas.openxmlformats.org/drawingml/2006/main">
                    <a:graphicData uri="http://schemas.openxmlformats.org/drawingml/2006/picture">
                      <pic:pic xmlns:pic="http://schemas.openxmlformats.org/drawingml/2006/picture">
                        <pic:nvPicPr>
                          <pic:cNvPr id="36" name="图片_124_SpCnt_6"/>
                          <pic:cNvPicPr/>
                        </pic:nvPicPr>
                        <pic:blipFill>
                          <a:blip r:embed="rId94"/>
                          <a:stretch>
                            <a:fillRect/>
                          </a:stretch>
                        </pic:blipFill>
                        <pic:spPr>
                          <a:xfrm>
                            <a:off x="0" y="0"/>
                            <a:ext cx="454025" cy="552450"/>
                          </a:xfrm>
                          <a:prstGeom prst="rect">
                            <a:avLst/>
                          </a:prstGeom>
                          <a:noFill/>
                          <a:ln>
                            <a:noFill/>
                          </a:ln>
                        </pic:spPr>
                      </pic:pic>
                    </a:graphicData>
                  </a:graphic>
                </wp:anchor>
              </w:drawing>
            </w:r>
          </w:p>
        </w:tc>
      </w:tr>
      <w:tr w14:paraId="0A8BC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E930">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N0</w:t>
            </w:r>
            <w:r>
              <w:rPr>
                <w:rFonts w:hint="eastAsia" w:ascii="宋体" w:hAnsi="宋体" w:cs="宋体"/>
                <w:i w:val="0"/>
                <w:iCs w:val="0"/>
                <w:color w:val="auto"/>
                <w:kern w:val="0"/>
                <w:sz w:val="21"/>
                <w:szCs w:val="21"/>
                <w:highlight w:val="none"/>
                <w:u w:val="none"/>
                <w:lang w:val="en-US" w:eastAsia="zh-CN" w:bidi="ar"/>
              </w:rPr>
              <w:t>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2F1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0D99DCE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533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 xml:space="preserve">.产品符合中国环境标志产品认证实施规则ECC-1057EL-A/0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CD6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86D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094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112395</wp:posOffset>
                  </wp:positionH>
                  <wp:positionV relativeFrom="paragraph">
                    <wp:posOffset>554355</wp:posOffset>
                  </wp:positionV>
                  <wp:extent cx="517525" cy="509905"/>
                  <wp:effectExtent l="0" t="0" r="6350" b="4445"/>
                  <wp:wrapNone/>
                  <wp:docPr id="10" name="图片_4_SpCnt_17"/>
                  <wp:cNvGraphicFramePr/>
                  <a:graphic xmlns:a="http://schemas.openxmlformats.org/drawingml/2006/main">
                    <a:graphicData uri="http://schemas.openxmlformats.org/drawingml/2006/picture">
                      <pic:pic xmlns:pic="http://schemas.openxmlformats.org/drawingml/2006/picture">
                        <pic:nvPicPr>
                          <pic:cNvPr id="10" name="图片_4_SpCnt_17"/>
                          <pic:cNvPicPr/>
                        </pic:nvPicPr>
                        <pic:blipFill>
                          <a:blip r:embed="rId17"/>
                          <a:stretch>
                            <a:fillRect/>
                          </a:stretch>
                        </pic:blipFill>
                        <pic:spPr>
                          <a:xfrm>
                            <a:off x="0" y="0"/>
                            <a:ext cx="517525" cy="509905"/>
                          </a:xfrm>
                          <a:prstGeom prst="rect">
                            <a:avLst/>
                          </a:prstGeom>
                          <a:noFill/>
                          <a:ln>
                            <a:noFill/>
                          </a:ln>
                        </pic:spPr>
                      </pic:pic>
                    </a:graphicData>
                  </a:graphic>
                </wp:anchor>
              </w:drawing>
            </w:r>
          </w:p>
        </w:tc>
      </w:tr>
      <w:tr w14:paraId="4DAA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8FCC">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N0</w:t>
            </w:r>
            <w:r>
              <w:rPr>
                <w:rFonts w:hint="eastAsia" w:ascii="宋体" w:hAnsi="宋体" w:cs="宋体"/>
                <w:i w:val="0"/>
                <w:iCs w:val="0"/>
                <w:color w:val="auto"/>
                <w:kern w:val="0"/>
                <w:sz w:val="21"/>
                <w:szCs w:val="21"/>
                <w:highlight w:val="none"/>
                <w:u w:val="none"/>
                <w:lang w:val="en-US" w:eastAsia="zh-CN" w:bidi="ar"/>
              </w:rPr>
              <w:t>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50E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明档排烟罩</w:t>
            </w:r>
          </w:p>
          <w:p w14:paraId="09E0621A">
            <w:pPr>
              <w:keepNext w:val="0"/>
              <w:keepLines w:val="0"/>
              <w:widowControl/>
              <w:suppressLineNumbers w:val="0"/>
              <w:shd w:val="clear"/>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（提供样品</w:t>
            </w:r>
            <w:r>
              <w:rPr>
                <w:rFonts w:hint="eastAsia" w:ascii="宋体" w:hAnsi="宋体" w:cs="宋体"/>
                <w:b/>
                <w:bCs/>
                <w:i w:val="0"/>
                <w:iCs w:val="0"/>
                <w:color w:val="auto"/>
                <w:kern w:val="0"/>
                <w:sz w:val="21"/>
                <w:szCs w:val="21"/>
                <w:highlight w:val="none"/>
                <w:u w:val="none"/>
                <w:lang w:val="en-US" w:eastAsia="zh-CN" w:bidi="ar"/>
              </w:rPr>
              <w:t>，尺寸不计</w:t>
            </w:r>
            <w:r>
              <w:rPr>
                <w:rFonts w:hint="eastAsia" w:ascii="宋体" w:hAnsi="宋体" w:eastAsia="宋体" w:cs="宋体"/>
                <w:b/>
                <w:bCs/>
                <w:i w:val="0"/>
                <w:iCs w:val="0"/>
                <w:color w:val="auto"/>
                <w:kern w:val="0"/>
                <w:sz w:val="21"/>
                <w:szCs w:val="21"/>
                <w:highlight w:val="none"/>
                <w:u w:val="none"/>
                <w:lang w:val="en-US" w:eastAsia="zh-CN" w:bidi="ar"/>
              </w:rPr>
              <w:t>）</w:t>
            </w:r>
          </w:p>
          <w:p w14:paraId="08766C4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3800*1100*500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9F51">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1、采用304板材制作，板材厚度1.2mm，四角用不锈钢做圆弧焊制，配双层过滤性机制折板篦子，配LED防爆灯100CM一道，三面8mm钢化玻璃，安装防爆灯及防水开关，符合国家环保技术要求。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A4C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4.18</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A0E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m²</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282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81915</wp:posOffset>
                  </wp:positionV>
                  <wp:extent cx="590550" cy="450215"/>
                  <wp:effectExtent l="0" t="0" r="0" b="6985"/>
                  <wp:wrapNone/>
                  <wp:docPr id="1" name="图片_77_SpCnt_1"/>
                  <wp:cNvGraphicFramePr/>
                  <a:graphic xmlns:a="http://schemas.openxmlformats.org/drawingml/2006/main">
                    <a:graphicData uri="http://schemas.openxmlformats.org/drawingml/2006/picture">
                      <pic:pic xmlns:pic="http://schemas.openxmlformats.org/drawingml/2006/picture">
                        <pic:nvPicPr>
                          <pic:cNvPr id="1" name="图片_77_SpCnt_1"/>
                          <pic:cNvPicPr/>
                        </pic:nvPicPr>
                        <pic:blipFill>
                          <a:blip r:embed="rId95"/>
                          <a:stretch>
                            <a:fillRect/>
                          </a:stretch>
                        </pic:blipFill>
                        <pic:spPr>
                          <a:xfrm>
                            <a:off x="0" y="0"/>
                            <a:ext cx="590550" cy="450215"/>
                          </a:xfrm>
                          <a:prstGeom prst="rect">
                            <a:avLst/>
                          </a:prstGeom>
                          <a:noFill/>
                          <a:ln>
                            <a:noFill/>
                          </a:ln>
                        </pic:spPr>
                      </pic:pic>
                    </a:graphicData>
                  </a:graphic>
                </wp:anchor>
              </w:drawing>
            </w:r>
          </w:p>
        </w:tc>
      </w:tr>
      <w:tr w14:paraId="1C27E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B852">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w:t>
            </w:r>
            <w:r>
              <w:rPr>
                <w:rFonts w:hint="eastAsia" w:ascii="宋体" w:hAnsi="宋体" w:cs="宋体"/>
                <w:i w:val="0"/>
                <w:iCs w:val="0"/>
                <w:color w:val="auto"/>
                <w:kern w:val="0"/>
                <w:sz w:val="21"/>
                <w:szCs w:val="21"/>
                <w:highlight w:val="none"/>
                <w:u w:val="none"/>
                <w:lang w:val="en-US" w:eastAsia="zh-CN" w:bidi="ar"/>
              </w:rPr>
              <w:t>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AC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冷藏平面工作台连后背</w:t>
            </w:r>
          </w:p>
          <w:p w14:paraId="62BD72E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1800*700*800+100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DC0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容积：530升，功率220v/152W, 箱内温度-5度--10度。内外加厚201不锈钢,加高箱体690MM(含台面），自主研发控制系统，触摸控制，装饰板钢化玻璃设计，门铰链加强弹簧回归；暗拉手设计，门体加厚，门内胆拉伸，保温隔热效果更好</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5C4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DF6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495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1457960</wp:posOffset>
                  </wp:positionV>
                  <wp:extent cx="545465" cy="0"/>
                  <wp:effectExtent l="0" t="0" r="0" b="0"/>
                  <wp:wrapNone/>
                  <wp:docPr id="28" name="图片_36_SpCnt_6"/>
                  <wp:cNvGraphicFramePr/>
                  <a:graphic xmlns:a="http://schemas.openxmlformats.org/drawingml/2006/main">
                    <a:graphicData uri="http://schemas.openxmlformats.org/drawingml/2006/picture">
                      <pic:pic xmlns:pic="http://schemas.openxmlformats.org/drawingml/2006/picture">
                        <pic:nvPicPr>
                          <pic:cNvPr id="28" name="图片_36_SpCnt_6"/>
                          <pic:cNvPicPr/>
                        </pic:nvPicPr>
                        <pic:blipFill>
                          <a:blip r:embed="rId96"/>
                          <a:stretch>
                            <a:fillRect/>
                          </a:stretch>
                        </pic:blipFill>
                        <pic:spPr>
                          <a:xfrm>
                            <a:off x="0" y="0"/>
                            <a:ext cx="545465" cy="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146050</wp:posOffset>
                  </wp:positionH>
                  <wp:positionV relativeFrom="paragraph">
                    <wp:posOffset>352425</wp:posOffset>
                  </wp:positionV>
                  <wp:extent cx="426720" cy="288925"/>
                  <wp:effectExtent l="0" t="0" r="1905" b="6350"/>
                  <wp:wrapNone/>
                  <wp:docPr id="4" name="图片_36_SpCnt_7"/>
                  <wp:cNvGraphicFramePr/>
                  <a:graphic xmlns:a="http://schemas.openxmlformats.org/drawingml/2006/main">
                    <a:graphicData uri="http://schemas.openxmlformats.org/drawingml/2006/picture">
                      <pic:pic xmlns:pic="http://schemas.openxmlformats.org/drawingml/2006/picture">
                        <pic:nvPicPr>
                          <pic:cNvPr id="4" name="图片_36_SpCnt_7"/>
                          <pic:cNvPicPr/>
                        </pic:nvPicPr>
                        <pic:blipFill>
                          <a:blip r:embed="rId97"/>
                          <a:stretch>
                            <a:fillRect/>
                          </a:stretch>
                        </pic:blipFill>
                        <pic:spPr>
                          <a:xfrm>
                            <a:off x="0" y="0"/>
                            <a:ext cx="426720" cy="288925"/>
                          </a:xfrm>
                          <a:prstGeom prst="rect">
                            <a:avLst/>
                          </a:prstGeom>
                          <a:noFill/>
                          <a:ln>
                            <a:noFill/>
                          </a:ln>
                        </pic:spPr>
                      </pic:pic>
                    </a:graphicData>
                  </a:graphic>
                </wp:anchor>
              </w:drawing>
            </w:r>
          </w:p>
        </w:tc>
      </w:tr>
      <w:tr w14:paraId="2122C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200B">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N1</w:t>
            </w:r>
            <w:r>
              <w:rPr>
                <w:rFonts w:hint="eastAsia" w:ascii="宋体" w:hAnsi="宋体" w:cs="宋体"/>
                <w:i w:val="0"/>
                <w:iCs w:val="0"/>
                <w:color w:val="auto"/>
                <w:kern w:val="0"/>
                <w:sz w:val="21"/>
                <w:szCs w:val="21"/>
                <w:highlight w:val="none"/>
                <w:u w:val="none"/>
                <w:lang w:val="en-US" w:eastAsia="zh-CN" w:bidi="ar"/>
              </w:rPr>
              <w:t>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75D2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五大斗保温台连前置菜保温</w:t>
            </w:r>
          </w:p>
          <w:p w14:paraId="24A5DC5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1800*950*800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B67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1、产品整体材质：采用SUS304拉丝不锈钢板，带缺水保护系统，三面封板，前双复板移门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                                              5、含1/1深150mm份数盘连盖5套                                          6、功率：380V6kw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7、重力脚Φ60*150不锈钢重力脚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E89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DC5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97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589280</wp:posOffset>
                  </wp:positionV>
                  <wp:extent cx="622935" cy="441960"/>
                  <wp:effectExtent l="0" t="0" r="5715" b="5715"/>
                  <wp:wrapNone/>
                  <wp:docPr id="22" name="图片_13"/>
                  <wp:cNvGraphicFramePr/>
                  <a:graphic xmlns:a="http://schemas.openxmlformats.org/drawingml/2006/main">
                    <a:graphicData uri="http://schemas.openxmlformats.org/drawingml/2006/picture">
                      <pic:pic xmlns:pic="http://schemas.openxmlformats.org/drawingml/2006/picture">
                        <pic:nvPicPr>
                          <pic:cNvPr id="22" name="图片_13"/>
                          <pic:cNvPicPr/>
                        </pic:nvPicPr>
                        <pic:blipFill>
                          <a:blip r:embed="rId98"/>
                          <a:stretch>
                            <a:fillRect/>
                          </a:stretch>
                        </pic:blipFill>
                        <pic:spPr>
                          <a:xfrm>
                            <a:off x="0" y="0"/>
                            <a:ext cx="622935" cy="441960"/>
                          </a:xfrm>
                          <a:prstGeom prst="rect">
                            <a:avLst/>
                          </a:prstGeom>
                          <a:noFill/>
                          <a:ln>
                            <a:noFill/>
                          </a:ln>
                        </pic:spPr>
                      </pic:pic>
                    </a:graphicData>
                  </a:graphic>
                </wp:anchor>
              </w:drawing>
            </w:r>
          </w:p>
        </w:tc>
      </w:tr>
      <w:tr w14:paraId="2B5A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B239">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N1</w:t>
            </w:r>
            <w:r>
              <w:rPr>
                <w:rFonts w:hint="eastAsia" w:ascii="宋体" w:hAnsi="宋体" w:cs="宋体"/>
                <w:i w:val="0"/>
                <w:iCs w:val="0"/>
                <w:color w:val="auto"/>
                <w:kern w:val="0"/>
                <w:sz w:val="21"/>
                <w:szCs w:val="21"/>
                <w:highlight w:val="none"/>
                <w:u w:val="none"/>
                <w:lang w:val="en-US" w:eastAsia="zh-CN" w:bidi="ar"/>
              </w:rPr>
              <w:t>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0EB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保温米饭台连前置菜保温</w:t>
            </w:r>
          </w:p>
          <w:p w14:paraId="3BE6FF3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700*950*800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E92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1、产品整体材质：采用SUS304拉丝不锈钢板，带缺水保护系统，三面封板，前双复板移门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2、台面板，层底板，侧板，门板材料采用SUS304拉丝，加强筋、后背板与门封板采用SUS201拉丝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3、整体柜体板厚为1.0mm(实厚≥0.9mm)，台面板厚为1.2mm(实厚≥1.1mm)，后背板厚为0.8mm(实厚≥0.7mm)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4、门板厚0.8mm(实厚≥0.70mm),门拉手与门板为整体折弯成型，移门板左右面都需门拉手，方便推拉                                              5、含¢450mm304不锈钢汤桶连盖2套                                        6、功率：380V3kw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7、重力脚Φ60*150不锈钢重力脚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7F9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252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767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2459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8D97">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N1</w:t>
            </w:r>
            <w:r>
              <w:rPr>
                <w:rFonts w:hint="eastAsia" w:ascii="宋体" w:hAnsi="宋体" w:cs="宋体"/>
                <w:i w:val="0"/>
                <w:iCs w:val="0"/>
                <w:color w:val="auto"/>
                <w:kern w:val="0"/>
                <w:sz w:val="21"/>
                <w:szCs w:val="21"/>
                <w:highlight w:val="none"/>
                <w:u w:val="none"/>
                <w:lang w:val="en-US" w:eastAsia="zh-CN" w:bidi="ar"/>
              </w:rPr>
              <w:t>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898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六眼电磁煲仔炉连柜座</w:t>
            </w:r>
          </w:p>
          <w:p w14:paraId="7C62735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938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1.多眼工作配置，可根据客户需求定制，配独立开关，可分开或同时工作。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2.底部双开门柜式设计，增加储物位置，节约厨房空间。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3.优质黑色微晶面板，骤冷骤热不裂，长时高温不裂，硬度高，防刮耐磨，承重力强。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4.火力输出热值高，加热均匀、加热面积大。。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5.散热快捷，充分保障了IGBT及机芯各元器件的正常工作，具有故障自检并能显示故障代码。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6.全不锈钢联众板材精工细制，台面一体成型，防虫，防漏电，防辐射三防结构，IPX6标准防水设计，炉身面板国标厚1.2MM，其余国标厚1.0MM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5D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129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6CE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696595</wp:posOffset>
                  </wp:positionV>
                  <wp:extent cx="552450" cy="441960"/>
                  <wp:effectExtent l="0" t="0" r="0" b="5715"/>
                  <wp:wrapNone/>
                  <wp:docPr id="23" name="图片_49"/>
                  <wp:cNvGraphicFramePr/>
                  <a:graphic xmlns:a="http://schemas.openxmlformats.org/drawingml/2006/main">
                    <a:graphicData uri="http://schemas.openxmlformats.org/drawingml/2006/picture">
                      <pic:pic xmlns:pic="http://schemas.openxmlformats.org/drawingml/2006/picture">
                        <pic:nvPicPr>
                          <pic:cNvPr id="23" name="图片_49"/>
                          <pic:cNvPicPr/>
                        </pic:nvPicPr>
                        <pic:blipFill>
                          <a:blip r:embed="rId99"/>
                          <a:stretch>
                            <a:fillRect/>
                          </a:stretch>
                        </pic:blipFill>
                        <pic:spPr>
                          <a:xfrm>
                            <a:off x="0" y="0"/>
                            <a:ext cx="552450" cy="441960"/>
                          </a:xfrm>
                          <a:prstGeom prst="rect">
                            <a:avLst/>
                          </a:prstGeom>
                          <a:noFill/>
                          <a:ln>
                            <a:noFill/>
                          </a:ln>
                        </pic:spPr>
                      </pic:pic>
                    </a:graphicData>
                  </a:graphic>
                </wp:anchor>
              </w:drawing>
            </w:r>
          </w:p>
        </w:tc>
      </w:tr>
      <w:tr w14:paraId="5EF3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8719">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N1</w:t>
            </w:r>
            <w:r>
              <w:rPr>
                <w:rFonts w:hint="eastAsia" w:ascii="宋体" w:hAnsi="宋体" w:cs="宋体"/>
                <w:i w:val="0"/>
                <w:iCs w:val="0"/>
                <w:color w:val="auto"/>
                <w:kern w:val="0"/>
                <w:sz w:val="21"/>
                <w:szCs w:val="21"/>
                <w:highlight w:val="none"/>
                <w:u w:val="none"/>
                <w:lang w:val="en-US" w:eastAsia="zh-CN" w:bidi="ar"/>
              </w:rPr>
              <w:t>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73C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扒炉连柜座</w:t>
            </w:r>
          </w:p>
          <w:p w14:paraId="2E773EA4">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850*800*800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CAD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1.本机适用于制作铁板鱿鱼、牛排、手抓饼、鸡蛋饼、煎饼果子、铜锣烧、煎饺、炒饭等。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2.加厚铁板，超大工作台面，轻松应对各类食材，可以加设油渣分离隔油槽，轻松隔油。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3.温控开关控制范围50-250度，可自由调节，系统精确恒温。380V电压为8档火力调节，控制烹饪效果。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4.火力输出热值高，加热均匀、加热面积大</w:t>
            </w:r>
          </w:p>
          <w:p w14:paraId="79682C3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全不锈钢联众板材精工细制，台面一体成型，防虫，防漏电，防辐射三防结构，IPX6标准防水设计，炉身面板国标厚1.2MM，其余国标厚1.0MM（1、提供符合GB4706.1-2005/GB4706.52.2008的检测报告）。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★5、10档数码显示调节，精准掌控火力，宽电压范围，恒功率输出。开关组件在30℃环境中0到10档，实验20万次能正常使用。开关实验次数判分，提供开关20万次摇摆测试验检报告。                                                                                                                                                  ★6、产品线盘支架具有足够的机械强度，其结构能受住在正常使用中可能会出现的粗鲁对待和处置，并能提供机械强度及耐热耐燃检测报告GB 4706.1—2005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GB 4706.34—2008                                                                                                                                                         功率：380V</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15kw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030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D41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1A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1375410</wp:posOffset>
                  </wp:positionV>
                  <wp:extent cx="478790" cy="454025"/>
                  <wp:effectExtent l="0" t="0" r="6985" b="3175"/>
                  <wp:wrapNone/>
                  <wp:docPr id="11" name="图片_50"/>
                  <wp:cNvGraphicFramePr/>
                  <a:graphic xmlns:a="http://schemas.openxmlformats.org/drawingml/2006/main">
                    <a:graphicData uri="http://schemas.openxmlformats.org/drawingml/2006/picture">
                      <pic:pic xmlns:pic="http://schemas.openxmlformats.org/drawingml/2006/picture">
                        <pic:nvPicPr>
                          <pic:cNvPr id="11" name="图片_50"/>
                          <pic:cNvPicPr/>
                        </pic:nvPicPr>
                        <pic:blipFill>
                          <a:blip r:embed="rId100"/>
                          <a:stretch>
                            <a:fillRect/>
                          </a:stretch>
                        </pic:blipFill>
                        <pic:spPr>
                          <a:xfrm>
                            <a:off x="0" y="0"/>
                            <a:ext cx="478790" cy="454025"/>
                          </a:xfrm>
                          <a:prstGeom prst="rect">
                            <a:avLst/>
                          </a:prstGeom>
                          <a:noFill/>
                          <a:ln>
                            <a:noFill/>
                          </a:ln>
                        </pic:spPr>
                      </pic:pic>
                    </a:graphicData>
                  </a:graphic>
                </wp:anchor>
              </w:drawing>
            </w:r>
          </w:p>
        </w:tc>
      </w:tr>
      <w:tr w14:paraId="03130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5558">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N1</w:t>
            </w:r>
            <w:r>
              <w:rPr>
                <w:rFonts w:hint="eastAsia" w:ascii="宋体" w:hAnsi="宋体" w:cs="宋体"/>
                <w:i w:val="0"/>
                <w:iCs w:val="0"/>
                <w:color w:val="auto"/>
                <w:kern w:val="0"/>
                <w:sz w:val="21"/>
                <w:szCs w:val="21"/>
                <w:highlight w:val="none"/>
                <w:u w:val="none"/>
                <w:lang w:val="en-US" w:eastAsia="zh-CN" w:bidi="ar"/>
              </w:rPr>
              <w:t>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FFC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电磁10眼煮面炉连柜座</w:t>
            </w:r>
          </w:p>
          <w:p w14:paraId="25CD6BE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1050*800*800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DDC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1、全不锈钢联众板材精工细制，台面一体成型，防虫，防漏电，防辐射三防结构，IPX6标准防水设计，炉身面板国标厚1.2MM，其余国标厚1.0MM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10档数码显示调节，精准掌控火力，宽电压范围，恒功率输出。开关组件在30℃环境中0到10档，实验20万次能正常使用。一、开关实验次数判分，提供开关20万次摇摆测试验检报告。二、提供档位开关（IP68测试)检验报告），开关防尘等级达到IP6X ，开关防水等级达到IPX8 （等级判分）                                         3、提供由省级或以上机构根据GB4706.1-2005/GB4706.52-2008检测的工作温度下的泄漏电流和电气强度丶稳定性和机械危险丶输入功率和电流丶接地措施检测报告。                                             4、显示器外壳具有耐热耐燃能力，并提供GB 4706.1—2005，GB 4706.34—2008检测报告                                                     5、产品线盘支架具有足够的机械强度，其结构能受住在正常使用中可能会出现的粗鲁对待和处置，并能提供机械强度及耐热耐燃检测报告GB 4706.1—2005GB 4706.34—2008                                                      6、提供电磁灶厂家第三方产品责任保险，且承保金额达到8000万（保险金额判分）                                                                                                     功率：380V15kw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627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D08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A63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F40E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3614">
            <w:pPr>
              <w:keepNext w:val="0"/>
              <w:keepLines w:val="0"/>
              <w:widowControl/>
              <w:suppressLineNumbers w:val="0"/>
              <w:shd w:val="clear"/>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N1</w:t>
            </w:r>
            <w:r>
              <w:rPr>
                <w:rFonts w:hint="eastAsia" w:ascii="宋体" w:hAnsi="宋体" w:cs="宋体"/>
                <w:i w:val="0"/>
                <w:iCs w:val="0"/>
                <w:color w:val="auto"/>
                <w:kern w:val="0"/>
                <w:sz w:val="21"/>
                <w:szCs w:val="21"/>
                <w:highlight w:val="none"/>
                <w:u w:val="none"/>
                <w:lang w:val="en-US" w:eastAsia="zh-CN" w:bidi="ar"/>
              </w:rPr>
              <w:t>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B33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拼台柜</w:t>
            </w:r>
          </w:p>
          <w:p w14:paraId="590575D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500*800*800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A82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1全不锈钢联众板材精工细制，台面一体成型,国标厚1.2MM,三面封板，前开门，防虫结构，其余国标厚1.0MM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84C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AD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980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43815</wp:posOffset>
                  </wp:positionV>
                  <wp:extent cx="330835" cy="471805"/>
                  <wp:effectExtent l="0" t="0" r="2540" b="4445"/>
                  <wp:wrapNone/>
                  <wp:docPr id="25" name="图片_51_SpCnt_1"/>
                  <wp:cNvGraphicFramePr/>
                  <a:graphic xmlns:a="http://schemas.openxmlformats.org/drawingml/2006/main">
                    <a:graphicData uri="http://schemas.openxmlformats.org/drawingml/2006/picture">
                      <pic:pic xmlns:pic="http://schemas.openxmlformats.org/drawingml/2006/picture">
                        <pic:nvPicPr>
                          <pic:cNvPr id="25" name="图片_51_SpCnt_1"/>
                          <pic:cNvPicPr/>
                        </pic:nvPicPr>
                        <pic:blipFill>
                          <a:blip r:embed="rId101"/>
                          <a:stretch>
                            <a:fillRect/>
                          </a:stretch>
                        </pic:blipFill>
                        <pic:spPr>
                          <a:xfrm>
                            <a:off x="0" y="0"/>
                            <a:ext cx="330835" cy="471805"/>
                          </a:xfrm>
                          <a:prstGeom prst="rect">
                            <a:avLst/>
                          </a:prstGeom>
                          <a:noFill/>
                          <a:ln>
                            <a:noFill/>
                          </a:ln>
                        </pic:spPr>
                      </pic:pic>
                    </a:graphicData>
                  </a:graphic>
                </wp:anchor>
              </w:drawing>
            </w:r>
          </w:p>
        </w:tc>
      </w:tr>
      <w:tr w14:paraId="17235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90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675FB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职工餐厅洗消间</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D3FD">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1BC2">
            <w:pPr>
              <w:shd w:val="clear"/>
              <w:jc w:val="center"/>
              <w:rPr>
                <w:rFonts w:hint="eastAsia" w:ascii="宋体" w:hAnsi="宋体" w:eastAsia="宋体" w:cs="宋体"/>
                <w:i w:val="0"/>
                <w:iCs w:val="0"/>
                <w:color w:val="auto"/>
                <w:sz w:val="21"/>
                <w:szCs w:val="21"/>
                <w:highlight w:val="none"/>
                <w:u w:val="none"/>
              </w:rPr>
            </w:pPr>
          </w:p>
        </w:tc>
      </w:tr>
      <w:tr w14:paraId="2530B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AE1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17C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回收线</w:t>
            </w:r>
          </w:p>
          <w:p w14:paraId="4DACB58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7000*500*950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1F3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2.一体成型台面，正面封板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3.调频高速电机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4.PU皮筋输送带。</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0201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3F9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69215</wp:posOffset>
                  </wp:positionV>
                  <wp:extent cx="689610" cy="292735"/>
                  <wp:effectExtent l="0" t="0" r="5715" b="2540"/>
                  <wp:wrapNone/>
                  <wp:docPr id="26" name="图片_1885"/>
                  <wp:cNvGraphicFramePr/>
                  <a:graphic xmlns:a="http://schemas.openxmlformats.org/drawingml/2006/main">
                    <a:graphicData uri="http://schemas.openxmlformats.org/drawingml/2006/picture">
                      <pic:pic xmlns:pic="http://schemas.openxmlformats.org/drawingml/2006/picture">
                        <pic:nvPicPr>
                          <pic:cNvPr id="26" name="图片_1885"/>
                          <pic:cNvPicPr/>
                        </pic:nvPicPr>
                        <pic:blipFill>
                          <a:blip r:embed="rId102"/>
                          <a:stretch>
                            <a:fillRect/>
                          </a:stretch>
                        </pic:blipFill>
                        <pic:spPr>
                          <a:xfrm>
                            <a:off x="0" y="0"/>
                            <a:ext cx="689610" cy="292735"/>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组</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E01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p>
        </w:tc>
      </w:tr>
      <w:tr w14:paraId="0C883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411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3E3B">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残食小件回收柜</w:t>
            </w:r>
          </w:p>
          <w:p w14:paraId="02752CE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5300*280*850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5CD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2.一体成型台面，正面开门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3.锥型收残口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4.内配60L垃圾桶。</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216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B66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wp:posOffset>
                  </wp:positionH>
                  <wp:positionV relativeFrom="paragraph">
                    <wp:posOffset>-54610</wp:posOffset>
                  </wp:positionV>
                  <wp:extent cx="709295" cy="347980"/>
                  <wp:effectExtent l="0" t="0" r="5080" b="4445"/>
                  <wp:wrapNone/>
                  <wp:docPr id="16" name="图片_1885_SpCnt_1"/>
                  <wp:cNvGraphicFramePr/>
                  <a:graphic xmlns:a="http://schemas.openxmlformats.org/drawingml/2006/main">
                    <a:graphicData uri="http://schemas.openxmlformats.org/drawingml/2006/picture">
                      <pic:pic xmlns:pic="http://schemas.openxmlformats.org/drawingml/2006/picture">
                        <pic:nvPicPr>
                          <pic:cNvPr id="16" name="图片_1885_SpCnt_1"/>
                          <pic:cNvPicPr/>
                        </pic:nvPicPr>
                        <pic:blipFill>
                          <a:blip r:embed="rId103"/>
                          <a:stretch>
                            <a:fillRect/>
                          </a:stretch>
                        </pic:blipFill>
                        <pic:spPr>
                          <a:xfrm>
                            <a:off x="0" y="0"/>
                            <a:ext cx="709295" cy="34798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5BA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p>
        </w:tc>
      </w:tr>
      <w:tr w14:paraId="6559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630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E3E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前置加热不锈钢浸泡池</w:t>
            </w:r>
          </w:p>
          <w:p w14:paraId="5E30282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1200*800*850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C83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5.脚为150mm全钢重力可调节脚                                      6.水斗深350mm                                                          7.功率：380V9kw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EDD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11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17D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5653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DFB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805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长龙式洗碗机带烘干含药水分配器</w:t>
            </w:r>
          </w:p>
          <w:p w14:paraId="3B8FDF7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2600*800*1750</w:t>
            </w:r>
            <w:r>
              <w:rPr>
                <w:rFonts w:hint="eastAsia" w:ascii="宋体" w:hAnsi="宋体" w:eastAsia="宋体" w:cs="宋体"/>
                <w:b/>
                <w:bCs/>
                <w:i w:val="0"/>
                <w:iCs w:val="0"/>
                <w:color w:val="auto"/>
                <w:kern w:val="0"/>
                <w:sz w:val="21"/>
                <w:szCs w:val="21"/>
                <w:highlight w:val="none"/>
                <w:u w:val="none"/>
                <w:lang w:val="en-US" w:eastAsia="zh-CN" w:bidi="ar"/>
              </w:rPr>
              <w:t>（核心产品）</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3A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功能：主洗、漂洗、烘干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总功率：49.7kw 适用于中大型食堂等需要清洗大量餐具的单位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1、全不锈钢结构，确保产品耐用可靠；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2、大容量、多品种洗涤，可对各种形状的餐具、器具、保温箱等食器进行强力清洗 、高温消毒，实用性强、效率高、使用范围广；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3、机器平放式传送，传送履带速度电脑变频，最大速度：3 米/分钟；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4、主洗区温度：65 –80°C，漂洗温度：85 – 95°C，烘干温度：50-400°C 根据餐具类型自动调节。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5、所投产品“餐盘输送机的传送带”须提供权威检测机构出具的：依据GB/T 228.1-2021，进行拉伸强度、拉断力的检测，检测结果为拉伸强度≥915Mpa，拉断力≥21.9kN的检测报告。报告带CNAS\CMA资质、认监委可查；                                             ★6、所投产品“商用洗碗机的内壁”通过国家认可的省级检测机构出具的检测依据GB/T2423.16-2022长霉试验 严酷等级2:≥56天 试验菌种：黑曲霉、土曲霉、绿色木霉，绳状青霉，球毛壳霉，短帚霉，宛氏拟青霉，树脂子囊菌。检测结果符合长霉检测等级0 级(显微镜放大 50 倍下观察未生长)。报告带CNAS\CMA资质、认监委可查                                                        7、投标人所投“洗碗机餐盘输送机外壳材料”需提供检测机构根据：GB/T 16145-2022标准，对304不锈钢板材进行：γ 放射性核素检测，含：钠-22（＜2.0Bq/kg）、铬-51（＜10Bq/kg）、锰-54（＜1.2Bq/kg）、钴-57（＜1.2Bq/kg）、钴-60（＜6Bq/kg）、钇-88（＜1.2Bq/kg）、钌- 103（＜1.2Bq/kg）、钌- 106（＜10Bq/kg）、镉- 109（＜10Bq/kg）、碘- 125（＜10Bq/kg）、碘- 129（＜10Bq/kg），碘- 131（＜2.0Bq/kg）、铯- 134（＜1.2Bq/kg）、铯- 137（＜1.2Bq/kg）、铈- 141（＜2.0Bq/kg）、铈- 144（＜10Bq/kg）、铕- 152（＜10Bq/kg）、铊-208（＜10Bq/kg）、铋-214（＜10Bq/kg）、铅-210（＜10Bq/kg）、铀-235（＜10Bq/kg）、镅-241（＜1.2Bq/kg）以上元素均未检出，达到国家标准及测试要求。报告带CNAS\CMA资质、认监委可查；                                           ★8、所投产品“商用洗碗机”通过国家认可的检测机构出具的检测依据随机振动标准GB/T 2423.56-2023，频率5~200Hz，功率谱密度 Grms 0.781，三轴向（X、Y、Z轴）各随机振动试验60min，试验后，样机机构完整，无明显变形和未出现破损，接入电源，样机可以点亮并且可以运行。报告带CNAS\CMA资质、认监委可查；                             </w:t>
            </w:r>
          </w:p>
          <w:p w14:paraId="266AC0A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★9、提供洗碗机整机测试报告并明确标注洗碗机采用电磁能脉冲加热装置。报告带CNAS\CMA资质、认监委可查；                                         10、电器部分采用多重防护装置，电控箱防护等级IP68。</w:t>
            </w:r>
            <w:r>
              <w:rPr>
                <w:rFonts w:hint="eastAsia" w:ascii="宋体" w:hAnsi="宋体" w:cs="宋体"/>
                <w:i w:val="0"/>
                <w:iCs w:val="0"/>
                <w:color w:val="auto"/>
                <w:kern w:val="0"/>
                <w:sz w:val="21"/>
                <w:szCs w:val="21"/>
                <w:highlight w:val="none"/>
                <w:u w:val="none"/>
                <w:lang w:val="en-US" w:eastAsia="zh-CN" w:bidi="ar"/>
              </w:rPr>
              <w:t>需提供具有检测资质的检测机构出具的检测报告复印件。</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9CC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40F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C1A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1588135</wp:posOffset>
                  </wp:positionV>
                  <wp:extent cx="515620" cy="268605"/>
                  <wp:effectExtent l="0" t="0" r="8255" b="7620"/>
                  <wp:wrapNone/>
                  <wp:docPr id="34" name="图片_10_SpCnt_1"/>
                  <wp:cNvGraphicFramePr/>
                  <a:graphic xmlns:a="http://schemas.openxmlformats.org/drawingml/2006/main">
                    <a:graphicData uri="http://schemas.openxmlformats.org/drawingml/2006/picture">
                      <pic:pic xmlns:pic="http://schemas.openxmlformats.org/drawingml/2006/picture">
                        <pic:nvPicPr>
                          <pic:cNvPr id="34" name="图片_10_SpCnt_1"/>
                          <pic:cNvPicPr/>
                        </pic:nvPicPr>
                        <pic:blipFill>
                          <a:blip r:embed="rId104"/>
                          <a:stretch>
                            <a:fillRect/>
                          </a:stretch>
                        </pic:blipFill>
                        <pic:spPr>
                          <a:xfrm>
                            <a:off x="0" y="0"/>
                            <a:ext cx="515620" cy="268605"/>
                          </a:xfrm>
                          <a:prstGeom prst="rect">
                            <a:avLst/>
                          </a:prstGeom>
                          <a:noFill/>
                          <a:ln>
                            <a:noFill/>
                          </a:ln>
                        </pic:spPr>
                      </pic:pic>
                    </a:graphicData>
                  </a:graphic>
                </wp:anchor>
              </w:drawing>
            </w:r>
          </w:p>
        </w:tc>
      </w:tr>
      <w:tr w14:paraId="7BA07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E1EB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AB08">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洗碗机牛耳连不锈钢连接管</w:t>
            </w:r>
          </w:p>
          <w:p w14:paraId="3C14592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680*300+L</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19C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1.产品整体材质：采用SUS304拉丝不锈钢板，材料厚度1.0mm(实厚≥0.9mm)</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86C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2FD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97B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6A8E2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D45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687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活动双层洁碟车</w:t>
            </w:r>
          </w:p>
          <w:p w14:paraId="0999D20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1000*600*800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B4E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1.产品整体材质：采用SUS304拉丝不锈钢板，板厚1.2mm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2.上一层斗深250mm，带滤水功能                                      3.下一层斗深100mm,带4分排水阀                                   4"重力静音轮</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EF6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AE0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CD7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03CFA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683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O07</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7FD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三星盆台</w:t>
            </w:r>
          </w:p>
          <w:p w14:paraId="0C42A1D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1800*750*850+100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FE3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5.脚为150mm全钢重力可调节脚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6.单个水池斗规格：550*550*300，配提笼式落水口</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854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6CB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F28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243205</wp:posOffset>
                  </wp:positionV>
                  <wp:extent cx="384810" cy="285750"/>
                  <wp:effectExtent l="0" t="0" r="5715" b="0"/>
                  <wp:wrapNone/>
                  <wp:docPr id="29" name="图片_164"/>
                  <wp:cNvGraphicFramePr/>
                  <a:graphic xmlns:a="http://schemas.openxmlformats.org/drawingml/2006/main">
                    <a:graphicData uri="http://schemas.openxmlformats.org/drawingml/2006/picture">
                      <pic:pic xmlns:pic="http://schemas.openxmlformats.org/drawingml/2006/picture">
                        <pic:nvPicPr>
                          <pic:cNvPr id="29" name="图片_164"/>
                          <pic:cNvPicPr/>
                        </pic:nvPicPr>
                        <pic:blipFill>
                          <a:blip r:embed="rId105"/>
                          <a:stretch>
                            <a:fillRect/>
                          </a:stretch>
                        </pic:blipFill>
                        <pic:spPr>
                          <a:xfrm>
                            <a:off x="0" y="0"/>
                            <a:ext cx="384810" cy="285750"/>
                          </a:xfrm>
                          <a:prstGeom prst="rect">
                            <a:avLst/>
                          </a:prstGeom>
                          <a:noFill/>
                          <a:ln>
                            <a:noFill/>
                          </a:ln>
                        </pic:spPr>
                      </pic:pic>
                    </a:graphicData>
                  </a:graphic>
                </wp:anchor>
              </w:drawing>
            </w:r>
          </w:p>
        </w:tc>
      </w:tr>
      <w:tr w14:paraId="5736C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C28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O08</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626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65E6B31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0B5B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座台式双孔双温低铅铜铸造本体，表面抛光镀铬处理，增加表面硬度防止磕碰造成划痕的同时提升了外观光洁与美观度。                                                                    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 xml:space="preserve">.产品符合中国环境标志产品认证实施规则ECC-1057EL-A/0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174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C65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1AB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588010</wp:posOffset>
                  </wp:positionV>
                  <wp:extent cx="517525" cy="506095"/>
                  <wp:effectExtent l="0" t="0" r="6350" b="8255"/>
                  <wp:wrapNone/>
                  <wp:docPr id="32" name="图片_4_SpCnt_18"/>
                  <wp:cNvGraphicFramePr/>
                  <a:graphic xmlns:a="http://schemas.openxmlformats.org/drawingml/2006/main">
                    <a:graphicData uri="http://schemas.openxmlformats.org/drawingml/2006/picture">
                      <pic:pic xmlns:pic="http://schemas.openxmlformats.org/drawingml/2006/picture">
                        <pic:nvPicPr>
                          <pic:cNvPr id="32" name="图片_4_SpCnt_18"/>
                          <pic:cNvPicPr/>
                        </pic:nvPicPr>
                        <pic:blipFill>
                          <a:blip r:embed="rId106"/>
                          <a:stretch>
                            <a:fillRect/>
                          </a:stretch>
                        </pic:blipFill>
                        <pic:spPr>
                          <a:xfrm>
                            <a:off x="0" y="0"/>
                            <a:ext cx="517525" cy="506095"/>
                          </a:xfrm>
                          <a:prstGeom prst="rect">
                            <a:avLst/>
                          </a:prstGeom>
                          <a:noFill/>
                          <a:ln>
                            <a:noFill/>
                          </a:ln>
                        </pic:spPr>
                      </pic:pic>
                    </a:graphicData>
                  </a:graphic>
                </wp:anchor>
              </w:drawing>
            </w:r>
          </w:p>
        </w:tc>
      </w:tr>
      <w:tr w14:paraId="109C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CFB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O09</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0819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四层平板货架</w:t>
            </w:r>
          </w:p>
          <w:p w14:paraId="1EC2034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1200*500*1700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39B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2.层板采用不锈钢板制作,材料厚度1.0mm(实厚≥0.9mm)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3.立柱为Φ38mm*δ=1.0mm(实厚≥0.9mm)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96F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08E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D1D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1606550</wp:posOffset>
                  </wp:positionV>
                  <wp:extent cx="407035" cy="0"/>
                  <wp:effectExtent l="0" t="0" r="0" b="0"/>
                  <wp:wrapNone/>
                  <wp:docPr id="33" name="Picture_81_SpCnt_4"/>
                  <wp:cNvGraphicFramePr/>
                  <a:graphic xmlns:a="http://schemas.openxmlformats.org/drawingml/2006/main">
                    <a:graphicData uri="http://schemas.openxmlformats.org/drawingml/2006/picture">
                      <pic:pic xmlns:pic="http://schemas.openxmlformats.org/drawingml/2006/picture">
                        <pic:nvPicPr>
                          <pic:cNvPr id="33" name="Picture_81_SpCnt_4"/>
                          <pic:cNvPicPr/>
                        </pic:nvPicPr>
                        <pic:blipFill>
                          <a:blip r:embed="rId86"/>
                          <a:stretch>
                            <a:fillRect/>
                          </a:stretch>
                        </pic:blipFill>
                        <pic:spPr>
                          <a:xfrm>
                            <a:off x="0" y="0"/>
                            <a:ext cx="407035" cy="0"/>
                          </a:xfrm>
                          <a:prstGeom prst="rect">
                            <a:avLst/>
                          </a:prstGeom>
                          <a:noFill/>
                          <a:ln>
                            <a:noFill/>
                          </a:ln>
                        </pic:spPr>
                      </pic:pic>
                    </a:graphicData>
                  </a:graphic>
                </wp:anchor>
              </w:drawing>
            </w: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163195</wp:posOffset>
                  </wp:positionH>
                  <wp:positionV relativeFrom="paragraph">
                    <wp:posOffset>69850</wp:posOffset>
                  </wp:positionV>
                  <wp:extent cx="326390" cy="377825"/>
                  <wp:effectExtent l="0" t="0" r="6985" b="3175"/>
                  <wp:wrapNone/>
                  <wp:docPr id="27" name="Picture_81_SpCnt_5"/>
                  <wp:cNvGraphicFramePr/>
                  <a:graphic xmlns:a="http://schemas.openxmlformats.org/drawingml/2006/main">
                    <a:graphicData uri="http://schemas.openxmlformats.org/drawingml/2006/picture">
                      <pic:pic xmlns:pic="http://schemas.openxmlformats.org/drawingml/2006/picture">
                        <pic:nvPicPr>
                          <pic:cNvPr id="27" name="Picture_81_SpCnt_5"/>
                          <pic:cNvPicPr/>
                        </pic:nvPicPr>
                        <pic:blipFill>
                          <a:blip r:embed="rId107"/>
                          <a:stretch>
                            <a:fillRect/>
                          </a:stretch>
                        </pic:blipFill>
                        <pic:spPr>
                          <a:xfrm>
                            <a:off x="0" y="0"/>
                            <a:ext cx="326390" cy="377825"/>
                          </a:xfrm>
                          <a:prstGeom prst="rect">
                            <a:avLst/>
                          </a:prstGeom>
                          <a:noFill/>
                          <a:ln>
                            <a:noFill/>
                          </a:ln>
                        </pic:spPr>
                      </pic:pic>
                    </a:graphicData>
                  </a:graphic>
                </wp:anchor>
              </w:drawing>
            </w:r>
          </w:p>
        </w:tc>
      </w:tr>
      <w:tr w14:paraId="152AE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365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O10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193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四门保洁柜（双移门、双翻门）</w:t>
            </w:r>
          </w:p>
          <w:p w14:paraId="60C9918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1200*500*1800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3FED">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2.整体柜体板厚为1.0mm(实厚≥0.9mm)，顶板厚为1.0mm(实厚≥0.9mm)，后背板厚为0.8mm(实厚≥0.7mm)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3.门板板厚为0.8mm(实厚≥0.7mm),门封板厚0.6mm(实厚≥0.52mm)，门拉手与门板为整体折弯成型，移门板左右面都需门拉手，方便推拉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4.配Φ60*150不锈钢重力脚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75C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51B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AD4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1FEC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C88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O11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F3F8">
            <w:pPr>
              <w:shd w:val="clear"/>
              <w:jc w:val="left"/>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热风循环消毒柜</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3183">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整机采用优质201不锈钢，采用聚氨酯发泡+硅酸铝保温隔热                                                                   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四套光波加热装置+四套耐高温风机                                     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功率：4.4千瓦                                                        4.配置2/4个碗筐+2/4个快餐盘深筐                                         5.时间调节≤90分钟                                                          6.加重不锈钢调节柜脚                                          7.柜内最高温度≤125℃                                                     8.油膜钢板                                                              9.凹面控制器面板。</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C9A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75B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6BE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371475</wp:posOffset>
                  </wp:positionV>
                  <wp:extent cx="489585" cy="704850"/>
                  <wp:effectExtent l="0" t="0" r="5715" b="0"/>
                  <wp:wrapNone/>
                  <wp:docPr id="9" name="图片_71"/>
                  <wp:cNvGraphicFramePr/>
                  <a:graphic xmlns:a="http://schemas.openxmlformats.org/drawingml/2006/main">
                    <a:graphicData uri="http://schemas.openxmlformats.org/drawingml/2006/picture">
                      <pic:pic xmlns:pic="http://schemas.openxmlformats.org/drawingml/2006/picture">
                        <pic:nvPicPr>
                          <pic:cNvPr id="9" name="图片_71"/>
                          <pic:cNvPicPr/>
                        </pic:nvPicPr>
                        <pic:blipFill>
                          <a:blip r:embed="rId108"/>
                          <a:stretch>
                            <a:fillRect/>
                          </a:stretch>
                        </pic:blipFill>
                        <pic:spPr>
                          <a:xfrm>
                            <a:off x="0" y="0"/>
                            <a:ext cx="489585" cy="704850"/>
                          </a:xfrm>
                          <a:prstGeom prst="rect">
                            <a:avLst/>
                          </a:prstGeom>
                          <a:noFill/>
                          <a:ln>
                            <a:noFill/>
                          </a:ln>
                        </pic:spPr>
                      </pic:pic>
                    </a:graphicData>
                  </a:graphic>
                </wp:anchor>
              </w:drawing>
            </w:r>
          </w:p>
        </w:tc>
      </w:tr>
      <w:tr w14:paraId="66E81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8D1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O12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C98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双孔残食台</w:t>
            </w:r>
          </w:p>
          <w:p w14:paraId="45E4A65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1500*750*800+100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0A7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2.台面板采用SUS304整体折弯成型，台面整体折弯使台面无卫生死角,材料厚度：1.2mm(实厚≥1.1mm)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3.立柱采用不锈钢管38*38mm*1.2mm(实厚≥1.1mm),横档采用不锈钢38*25*1.2mm(实厚≥1.1mm)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4.餐食口为整体拉伸成型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5.加强筋与台面板采用焊接方式连接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6.脚为38*38mm不锈钢全钢可调节脚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320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42F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A8D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80645</wp:posOffset>
                  </wp:positionH>
                  <wp:positionV relativeFrom="paragraph">
                    <wp:posOffset>377190</wp:posOffset>
                  </wp:positionV>
                  <wp:extent cx="550545" cy="419100"/>
                  <wp:effectExtent l="0" t="0" r="1905" b="0"/>
                  <wp:wrapNone/>
                  <wp:docPr id="17" name="Picture_156_SpCnt_1"/>
                  <wp:cNvGraphicFramePr/>
                  <a:graphic xmlns:a="http://schemas.openxmlformats.org/drawingml/2006/main">
                    <a:graphicData uri="http://schemas.openxmlformats.org/drawingml/2006/picture">
                      <pic:pic xmlns:pic="http://schemas.openxmlformats.org/drawingml/2006/picture">
                        <pic:nvPicPr>
                          <pic:cNvPr id="17" name="Picture_156_SpCnt_1"/>
                          <pic:cNvPicPr/>
                        </pic:nvPicPr>
                        <pic:blipFill>
                          <a:blip r:embed="rId13"/>
                          <a:stretch>
                            <a:fillRect/>
                          </a:stretch>
                        </pic:blipFill>
                        <pic:spPr>
                          <a:xfrm>
                            <a:off x="0" y="0"/>
                            <a:ext cx="550545" cy="419100"/>
                          </a:xfrm>
                          <a:prstGeom prst="rect">
                            <a:avLst/>
                          </a:prstGeom>
                          <a:noFill/>
                          <a:ln>
                            <a:noFill/>
                          </a:ln>
                        </pic:spPr>
                      </pic:pic>
                    </a:graphicData>
                  </a:graphic>
                </wp:anchor>
              </w:drawing>
            </w:r>
          </w:p>
        </w:tc>
      </w:tr>
      <w:tr w14:paraId="3478A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DC8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O13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8F8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拖把水池连挂架</w:t>
            </w:r>
          </w:p>
          <w:p w14:paraId="27F9AE6F">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1200*500*1900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7E9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1.产品整体材质：采用SUS304拉丝不锈钢板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2.台面板采用SUS304整体折弯成型，材料厚度：1.2mm(实厚≥1.1mm)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3.星盆采用SUS304不锈钢板，材料厚度:1.2mm(实厚≥1.1mm)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4.左右侧板采用SUS304不锈钢板，材料厚度:1.0mm(实厚≥0.9mm)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5.横档采用不锈钢方管38*25*1.2mm(实厚≥1.1mm)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6.开门板为双复式结构,门板厚度1.0mm(实厚≥0.9mm),门封厚度0.8mm(实厚≥0.72mm)，门拉手与门板为整体折弯成型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7.脚为150mm全钢重力可调节脚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F60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5E9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CB6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r>
      <w:tr w14:paraId="27D9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4"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3C2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O13a</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107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双温龙头连上下水连接</w:t>
            </w:r>
          </w:p>
          <w:p w14:paraId="45C4D3C9">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203*230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C3A5">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座台式双孔双温低铅铜铸造本体，表面抛光镀铬处理，增加表面硬度防止磕碰造成划痕的同时提升了外观光洁与美观度。                                                                    2  配1/4转陶瓷阀芯一字型手柄。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  开孔尺寸25mm*2,左右开孔间距203mm(偏芯设计可调范围15mm)，进水接口为标准G1/2外螺纹。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通体材质为低铅铜，有益于饮用水健康，杜绝饮用水铅含量超标。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.属节水产品，水嘴技术要求须符合 GB25501-2019《水嘴水效限定值及水效等级》要求，并提供认证证书复印件。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 xml:space="preserve">.产品符合中国环境标志产品认证实施规则ECC-1057EL-A/0 的要求属环境标志产品，并提供相应证书复印件。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DB0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54D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60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588010</wp:posOffset>
                  </wp:positionV>
                  <wp:extent cx="517525" cy="506095"/>
                  <wp:effectExtent l="0" t="0" r="6350" b="8255"/>
                  <wp:wrapNone/>
                  <wp:docPr id="19" name="图片_4_SpCnt_19"/>
                  <wp:cNvGraphicFramePr/>
                  <a:graphic xmlns:a="http://schemas.openxmlformats.org/drawingml/2006/main">
                    <a:graphicData uri="http://schemas.openxmlformats.org/drawingml/2006/picture">
                      <pic:pic xmlns:pic="http://schemas.openxmlformats.org/drawingml/2006/picture">
                        <pic:nvPicPr>
                          <pic:cNvPr id="19" name="图片_4_SpCnt_19"/>
                          <pic:cNvPicPr/>
                        </pic:nvPicPr>
                        <pic:blipFill>
                          <a:blip r:embed="rId106"/>
                          <a:stretch>
                            <a:fillRect/>
                          </a:stretch>
                        </pic:blipFill>
                        <pic:spPr>
                          <a:xfrm>
                            <a:off x="0" y="0"/>
                            <a:ext cx="517525" cy="506095"/>
                          </a:xfrm>
                          <a:prstGeom prst="rect">
                            <a:avLst/>
                          </a:prstGeom>
                          <a:noFill/>
                          <a:ln>
                            <a:noFill/>
                          </a:ln>
                        </pic:spPr>
                      </pic:pic>
                    </a:graphicData>
                  </a:graphic>
                </wp:anchor>
              </w:drawing>
            </w:r>
          </w:p>
        </w:tc>
      </w:tr>
      <w:tr w14:paraId="32ED7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83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E1CCA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冷库</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FFBD">
            <w:pPr>
              <w:shd w:val="clear"/>
              <w:jc w:val="center"/>
              <w:rPr>
                <w:rFonts w:hint="eastAsia" w:ascii="宋体" w:hAnsi="宋体" w:eastAsia="宋体" w:cs="宋体"/>
                <w:i w:val="0"/>
                <w:iCs w:val="0"/>
                <w:color w:val="auto"/>
                <w:sz w:val="21"/>
                <w:szCs w:val="21"/>
                <w:highlight w:val="none"/>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7654">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0C31">
            <w:pPr>
              <w:shd w:val="clear"/>
              <w:jc w:val="center"/>
              <w:rPr>
                <w:rFonts w:hint="eastAsia" w:ascii="宋体" w:hAnsi="宋体" w:eastAsia="宋体" w:cs="宋体"/>
                <w:i w:val="0"/>
                <w:iCs w:val="0"/>
                <w:color w:val="auto"/>
                <w:sz w:val="21"/>
                <w:szCs w:val="21"/>
                <w:highlight w:val="none"/>
                <w:u w:val="none"/>
              </w:rPr>
            </w:pPr>
          </w:p>
        </w:tc>
      </w:tr>
      <w:tr w14:paraId="60F17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D95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07D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高温冷库库板连自动回归门含安装辅材（底板铺3mm厚防滑铝板）铜管长30米</w:t>
            </w:r>
          </w:p>
          <w:p w14:paraId="720BDD3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5300*2700*2600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043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•物理性能：冷库墙板密度：≥40 kg / M3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冷库地台密度：≥46 kg / M3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导热系数：≤0.024W/m·K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抗压强度：≥160kPa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粘结强度：＞0.100Mpa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抗弯承载能力：≤8.80mm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•冷库板的表面金属材料及厚度：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墙板和天花板：双面彩钢板，厚度：0.6mm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•保温材料：厚度为100mm硬聚氨酯发泡料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•锌合金冷库平门拉手、内部安全锁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•冷库板外露面需做防撞条，安装高度根据边上防撞条的高度一致（由其它单位负责）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•电子显示温度表及冷库LED三防灯等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•冷库温度：-5℃~+10℃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•冷库的天花板与墙板、墙板与墙板、墙板与地面/地台的圆角拼接处必须采用R=20mm的成型生产工艺的圆角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•冷库进门区域底板需加固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•冷库板使用凹凸拼接并由镀锌金属偏心钩/锁固定，冷库板垂直面至少使用三组偏心钩/锁；冷库板水平面至少使用两组偏心钩/锁。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•冷库板边缘预置橡胶密封垫。</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35B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A78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5FA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1339215</wp:posOffset>
                  </wp:positionV>
                  <wp:extent cx="433070" cy="490220"/>
                  <wp:effectExtent l="0" t="0" r="5080" b="5080"/>
                  <wp:wrapNone/>
                  <wp:docPr id="12" name="Picture_6"/>
                  <wp:cNvGraphicFramePr/>
                  <a:graphic xmlns:a="http://schemas.openxmlformats.org/drawingml/2006/main">
                    <a:graphicData uri="http://schemas.openxmlformats.org/drawingml/2006/picture">
                      <pic:pic xmlns:pic="http://schemas.openxmlformats.org/drawingml/2006/picture">
                        <pic:nvPicPr>
                          <pic:cNvPr id="12" name="Picture_6"/>
                          <pic:cNvPicPr/>
                        </pic:nvPicPr>
                        <pic:blipFill>
                          <a:blip r:embed="rId109"/>
                          <a:stretch>
                            <a:fillRect/>
                          </a:stretch>
                        </pic:blipFill>
                        <pic:spPr>
                          <a:xfrm>
                            <a:off x="0" y="0"/>
                            <a:ext cx="433070" cy="490220"/>
                          </a:xfrm>
                          <a:prstGeom prst="rect">
                            <a:avLst/>
                          </a:prstGeom>
                          <a:noFill/>
                          <a:ln>
                            <a:noFill/>
                          </a:ln>
                        </pic:spPr>
                      </pic:pic>
                    </a:graphicData>
                  </a:graphic>
                </wp:anchor>
              </w:drawing>
            </w:r>
          </w:p>
        </w:tc>
      </w:tr>
      <w:tr w14:paraId="6B157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571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B4B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—冷风机</w:t>
            </w:r>
          </w:p>
          <w:p w14:paraId="1567201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1155*470*430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B687">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•冷风机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•型号:F4024B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•尺寸:1155*470*430mm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•功率:220V/144W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88D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BEA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075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106680</wp:posOffset>
                  </wp:positionV>
                  <wp:extent cx="568325" cy="353060"/>
                  <wp:effectExtent l="0" t="0" r="3175" b="8890"/>
                  <wp:wrapNone/>
                  <wp:docPr id="13" name="图片_145"/>
                  <wp:cNvGraphicFramePr/>
                  <a:graphic xmlns:a="http://schemas.openxmlformats.org/drawingml/2006/main">
                    <a:graphicData uri="http://schemas.openxmlformats.org/drawingml/2006/picture">
                      <pic:pic xmlns:pic="http://schemas.openxmlformats.org/drawingml/2006/picture">
                        <pic:nvPicPr>
                          <pic:cNvPr id="13" name="图片_145"/>
                          <pic:cNvPicPr/>
                        </pic:nvPicPr>
                        <pic:blipFill>
                          <a:blip r:embed="rId110"/>
                          <a:stretch>
                            <a:fillRect/>
                          </a:stretch>
                        </pic:blipFill>
                        <pic:spPr>
                          <a:xfrm>
                            <a:off x="0" y="0"/>
                            <a:ext cx="568325" cy="353060"/>
                          </a:xfrm>
                          <a:prstGeom prst="rect">
                            <a:avLst/>
                          </a:prstGeom>
                          <a:noFill/>
                          <a:ln>
                            <a:noFill/>
                          </a:ln>
                        </pic:spPr>
                      </pic:pic>
                    </a:graphicData>
                  </a:graphic>
                </wp:anchor>
              </w:drawing>
            </w:r>
          </w:p>
        </w:tc>
      </w:tr>
      <w:tr w14:paraId="5B27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AE3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986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—压缩机</w:t>
            </w:r>
          </w:p>
          <w:p w14:paraId="5D4E0F7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955*365*1220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184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•压缩机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•尺寸:955*365*1220mm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•制冷量：12400w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•功率:风冷机组ZB38KQ/5P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•预留散热排风量：2800m³/h</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31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EA8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2F7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109220</wp:posOffset>
                  </wp:positionV>
                  <wp:extent cx="434975" cy="544195"/>
                  <wp:effectExtent l="0" t="0" r="3175" b="8255"/>
                  <wp:wrapNone/>
                  <wp:docPr id="14" name="图片_142"/>
                  <wp:cNvGraphicFramePr/>
                  <a:graphic xmlns:a="http://schemas.openxmlformats.org/drawingml/2006/main">
                    <a:graphicData uri="http://schemas.openxmlformats.org/drawingml/2006/picture">
                      <pic:pic xmlns:pic="http://schemas.openxmlformats.org/drawingml/2006/picture">
                        <pic:nvPicPr>
                          <pic:cNvPr id="14" name="图片_142"/>
                          <pic:cNvPicPr/>
                        </pic:nvPicPr>
                        <pic:blipFill>
                          <a:blip r:embed="rId111"/>
                          <a:stretch>
                            <a:fillRect/>
                          </a:stretch>
                        </pic:blipFill>
                        <pic:spPr>
                          <a:xfrm>
                            <a:off x="0" y="0"/>
                            <a:ext cx="434975" cy="544195"/>
                          </a:xfrm>
                          <a:prstGeom prst="rect">
                            <a:avLst/>
                          </a:prstGeom>
                          <a:noFill/>
                          <a:ln>
                            <a:noFill/>
                          </a:ln>
                        </pic:spPr>
                      </pic:pic>
                    </a:graphicData>
                  </a:graphic>
                </wp:anchor>
              </w:drawing>
            </w:r>
          </w:p>
        </w:tc>
      </w:tr>
      <w:tr w14:paraId="784E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6"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D85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B4DA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低温冷库库板连自动回归门含安装辅材（底板铺3mm厚防滑铝板）铜管长30米</w:t>
            </w:r>
          </w:p>
          <w:p w14:paraId="3624BAB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5300*2700*2600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0A5A">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•物理性能：冷库墙板密度：≥40 kg / M3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冷库地台密度：≥46 kg / M3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导热系数：≤0.024W/m·K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抗压强度：≥160kPa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粘结强度：＞0.100Mpa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抗弯承载能力：≤8.80mm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•冷库板的表面金属材料及厚度：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墙板和天花板：双面彩钢板，厚度：0.6mm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•保温材料：厚度为100mm硬聚氨酯发泡料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•锌合金冷库平门拉手、内部安全锁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•冷库板外露面需做防撞条，安装高度根据边上防撞条的高度一致（由其它单位负责）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•电子显示温度表及冷库LED三防灯等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•冷库温度：-5℃~+10℃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•冷库的天花板与墙板、墙板与墙板、墙板与地面/地台的圆角拼接处必须采用R=20mm的成型生产工艺的圆角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•冷库进门区域底板需加固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•冷库板使用凹凸拼接并由镀锌金属偏心钩/锁固定，冷库板垂直面至少使用三组偏心钩/锁；冷库板水平面至少使用两组偏心钩/锁。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•冷库板边缘预置橡胶密封垫。</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6F5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680F7">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E08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52070</wp:posOffset>
                  </wp:positionH>
                  <wp:positionV relativeFrom="paragraph">
                    <wp:posOffset>1263015</wp:posOffset>
                  </wp:positionV>
                  <wp:extent cx="433070" cy="501650"/>
                  <wp:effectExtent l="0" t="0" r="5080" b="3175"/>
                  <wp:wrapNone/>
                  <wp:docPr id="40" name="Picture_6_SpCnt_1"/>
                  <wp:cNvGraphicFramePr/>
                  <a:graphic xmlns:a="http://schemas.openxmlformats.org/drawingml/2006/main">
                    <a:graphicData uri="http://schemas.openxmlformats.org/drawingml/2006/picture">
                      <pic:pic xmlns:pic="http://schemas.openxmlformats.org/drawingml/2006/picture">
                        <pic:nvPicPr>
                          <pic:cNvPr id="40" name="Picture_6_SpCnt_1"/>
                          <pic:cNvPicPr/>
                        </pic:nvPicPr>
                        <pic:blipFill>
                          <a:blip r:embed="rId112"/>
                          <a:stretch>
                            <a:fillRect/>
                          </a:stretch>
                        </pic:blipFill>
                        <pic:spPr>
                          <a:xfrm>
                            <a:off x="0" y="0"/>
                            <a:ext cx="433070" cy="501650"/>
                          </a:xfrm>
                          <a:prstGeom prst="rect">
                            <a:avLst/>
                          </a:prstGeom>
                          <a:noFill/>
                          <a:ln>
                            <a:noFill/>
                          </a:ln>
                        </pic:spPr>
                      </pic:pic>
                    </a:graphicData>
                  </a:graphic>
                </wp:anchor>
              </w:drawing>
            </w:r>
          </w:p>
        </w:tc>
      </w:tr>
      <w:tr w14:paraId="7D4B8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AD8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P05</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B9A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—冷风机</w:t>
            </w:r>
          </w:p>
          <w:p w14:paraId="791E50C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1155*470*430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481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•冷风机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•型号:F4024B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•尺寸:1155*470*430mm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•功率:220V/144W</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8DF94">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714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4C2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34925</wp:posOffset>
                  </wp:positionV>
                  <wp:extent cx="568325" cy="351155"/>
                  <wp:effectExtent l="0" t="0" r="3175" b="1270"/>
                  <wp:wrapNone/>
                  <wp:docPr id="38" name="图片_144"/>
                  <wp:cNvGraphicFramePr/>
                  <a:graphic xmlns:a="http://schemas.openxmlformats.org/drawingml/2006/main">
                    <a:graphicData uri="http://schemas.openxmlformats.org/drawingml/2006/picture">
                      <pic:pic xmlns:pic="http://schemas.openxmlformats.org/drawingml/2006/picture">
                        <pic:nvPicPr>
                          <pic:cNvPr id="38" name="图片_144"/>
                          <pic:cNvPicPr/>
                        </pic:nvPicPr>
                        <pic:blipFill>
                          <a:blip r:embed="rId113"/>
                          <a:stretch>
                            <a:fillRect/>
                          </a:stretch>
                        </pic:blipFill>
                        <pic:spPr>
                          <a:xfrm>
                            <a:off x="0" y="0"/>
                            <a:ext cx="568325" cy="351155"/>
                          </a:xfrm>
                          <a:prstGeom prst="rect">
                            <a:avLst/>
                          </a:prstGeom>
                          <a:noFill/>
                          <a:ln>
                            <a:noFill/>
                          </a:ln>
                        </pic:spPr>
                      </pic:pic>
                    </a:graphicData>
                  </a:graphic>
                </wp:anchor>
              </w:drawing>
            </w:r>
          </w:p>
        </w:tc>
      </w:tr>
      <w:tr w14:paraId="746E6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251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P06</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086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—压缩机</w:t>
            </w:r>
          </w:p>
          <w:p w14:paraId="5CF4526F">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955*365*1220</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C8B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•压缩机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•尺寸:955*365*1220mm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•制冷量：12400w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•功率:风冷机组ZSI15/5P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•预留散热排风量：2800m³/h</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EF2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69F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EE5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-149860</wp:posOffset>
                  </wp:positionV>
                  <wp:extent cx="427990" cy="539115"/>
                  <wp:effectExtent l="0" t="0" r="635" b="3810"/>
                  <wp:wrapNone/>
                  <wp:docPr id="39" name="图片_143"/>
                  <wp:cNvGraphicFramePr/>
                  <a:graphic xmlns:a="http://schemas.openxmlformats.org/drawingml/2006/main">
                    <a:graphicData uri="http://schemas.openxmlformats.org/drawingml/2006/picture">
                      <pic:pic xmlns:pic="http://schemas.openxmlformats.org/drawingml/2006/picture">
                        <pic:nvPicPr>
                          <pic:cNvPr id="39" name="图片_143"/>
                          <pic:cNvPicPr/>
                        </pic:nvPicPr>
                        <pic:blipFill>
                          <a:blip r:embed="rId114"/>
                          <a:stretch>
                            <a:fillRect/>
                          </a:stretch>
                        </pic:blipFill>
                        <pic:spPr>
                          <a:xfrm>
                            <a:off x="0" y="0"/>
                            <a:ext cx="427990" cy="539115"/>
                          </a:xfrm>
                          <a:prstGeom prst="rect">
                            <a:avLst/>
                          </a:prstGeom>
                          <a:noFill/>
                          <a:ln>
                            <a:noFill/>
                          </a:ln>
                        </pic:spPr>
                      </pic:pic>
                    </a:graphicData>
                  </a:graphic>
                </wp:anchor>
              </w:drawing>
            </w:r>
          </w:p>
        </w:tc>
      </w:tr>
      <w:tr w14:paraId="3924D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83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9FD21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通风</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7DAA">
            <w:pPr>
              <w:shd w:val="clear"/>
              <w:jc w:val="center"/>
              <w:rPr>
                <w:rFonts w:hint="eastAsia" w:ascii="宋体" w:hAnsi="宋体" w:eastAsia="宋体" w:cs="宋体"/>
                <w:i w:val="0"/>
                <w:iCs w:val="0"/>
                <w:color w:val="auto"/>
                <w:sz w:val="21"/>
                <w:szCs w:val="21"/>
                <w:highlight w:val="none"/>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A8A6">
            <w:pPr>
              <w:shd w:val="clear"/>
              <w:jc w:val="center"/>
              <w:rPr>
                <w:rFonts w:hint="eastAsia" w:ascii="宋体" w:hAnsi="宋体" w:eastAsia="宋体" w:cs="宋体"/>
                <w:i w:val="0"/>
                <w:iCs w:val="0"/>
                <w:color w:val="auto"/>
                <w:sz w:val="21"/>
                <w:szCs w:val="21"/>
                <w:highlight w:val="none"/>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5E1B">
            <w:pPr>
              <w:shd w:val="clear"/>
              <w:jc w:val="center"/>
              <w:rPr>
                <w:rFonts w:hint="eastAsia" w:ascii="宋体" w:hAnsi="宋体" w:eastAsia="宋体" w:cs="宋体"/>
                <w:i w:val="0"/>
                <w:iCs w:val="0"/>
                <w:color w:val="auto"/>
                <w:sz w:val="21"/>
                <w:szCs w:val="21"/>
                <w:highlight w:val="none"/>
                <w:u w:val="none"/>
              </w:rPr>
            </w:pPr>
          </w:p>
        </w:tc>
      </w:tr>
      <w:tr w14:paraId="54F70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B248">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Q01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4B1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w:t>
            </w:r>
            <w:r>
              <w:rPr>
                <w:rStyle w:val="137"/>
                <w:rFonts w:hint="eastAsia" w:ascii="宋体" w:hAnsi="宋体" w:eastAsia="宋体" w:cs="宋体"/>
                <w:color w:val="auto"/>
                <w:sz w:val="21"/>
                <w:szCs w:val="21"/>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防火阀</w:t>
            </w:r>
          </w:p>
          <w:p w14:paraId="4A9BBC3E">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和排烟管相配</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FC82">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说明：采用碳钢板制作，当管道温度达到150度时，熔断器动作，阀门自动关闭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连接方式：与风管相对接                                工作压强：20P</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92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978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F41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38735</wp:posOffset>
                  </wp:positionV>
                  <wp:extent cx="466725" cy="437515"/>
                  <wp:effectExtent l="0" t="0" r="0" b="635"/>
                  <wp:wrapNone/>
                  <wp:docPr id="37" name="图片_157"/>
                  <wp:cNvGraphicFramePr/>
                  <a:graphic xmlns:a="http://schemas.openxmlformats.org/drawingml/2006/main">
                    <a:graphicData uri="http://schemas.openxmlformats.org/drawingml/2006/picture">
                      <pic:pic xmlns:pic="http://schemas.openxmlformats.org/drawingml/2006/picture">
                        <pic:nvPicPr>
                          <pic:cNvPr id="37" name="图片_157"/>
                          <pic:cNvPicPr/>
                        </pic:nvPicPr>
                        <pic:blipFill>
                          <a:blip r:embed="rId115"/>
                          <a:stretch>
                            <a:fillRect/>
                          </a:stretch>
                        </pic:blipFill>
                        <pic:spPr>
                          <a:xfrm>
                            <a:off x="0" y="0"/>
                            <a:ext cx="466725" cy="437515"/>
                          </a:xfrm>
                          <a:prstGeom prst="rect">
                            <a:avLst/>
                          </a:prstGeom>
                          <a:noFill/>
                          <a:ln>
                            <a:noFill/>
                          </a:ln>
                        </pic:spPr>
                      </pic:pic>
                    </a:graphicData>
                  </a:graphic>
                </wp:anchor>
              </w:drawing>
            </w:r>
          </w:p>
        </w:tc>
      </w:tr>
      <w:tr w14:paraId="1F9B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A18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Q02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BB33">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不锈钢排烟风管（含墙洞开孔）</w:t>
            </w:r>
          </w:p>
          <w:p w14:paraId="22606D80">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和原有排烟管相配</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13586">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说明：采用SUS201不锈钢板制作，板厚1.0mm(实厚≥0.9mm)，配国标3#镀锌法兰，三面折90°，一面焊缝，安装时焊缝面往上。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224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455</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6E4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B69D">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111760</wp:posOffset>
                  </wp:positionV>
                  <wp:extent cx="560070" cy="544195"/>
                  <wp:effectExtent l="0" t="0" r="1905" b="8255"/>
                  <wp:wrapNone/>
                  <wp:docPr id="41" name="Picture_238"/>
                  <wp:cNvGraphicFramePr/>
                  <a:graphic xmlns:a="http://schemas.openxmlformats.org/drawingml/2006/main">
                    <a:graphicData uri="http://schemas.openxmlformats.org/drawingml/2006/picture">
                      <pic:pic xmlns:pic="http://schemas.openxmlformats.org/drawingml/2006/picture">
                        <pic:nvPicPr>
                          <pic:cNvPr id="41" name="Picture_238"/>
                          <pic:cNvPicPr/>
                        </pic:nvPicPr>
                        <pic:blipFill>
                          <a:blip r:embed="rId116"/>
                          <a:stretch>
                            <a:fillRect/>
                          </a:stretch>
                        </pic:blipFill>
                        <pic:spPr>
                          <a:xfrm>
                            <a:off x="0" y="0"/>
                            <a:ext cx="560070" cy="544195"/>
                          </a:xfrm>
                          <a:prstGeom prst="rect">
                            <a:avLst/>
                          </a:prstGeom>
                          <a:noFill/>
                          <a:ln>
                            <a:noFill/>
                          </a:ln>
                        </pic:spPr>
                      </pic:pic>
                    </a:graphicData>
                  </a:graphic>
                </wp:anchor>
              </w:drawing>
            </w:r>
          </w:p>
        </w:tc>
      </w:tr>
      <w:tr w14:paraId="2010C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F63C">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Q03</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CB1D">
            <w:pPr>
              <w:keepNext w:val="0"/>
              <w:keepLines w:val="0"/>
              <w:widowControl/>
              <w:suppressLineNumbers w:val="0"/>
              <w:shd w:val="clear"/>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轴流风机4# 5#</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BD9C">
            <w:pPr>
              <w:keepNext w:val="0"/>
              <w:keepLines w:val="0"/>
              <w:widowControl/>
              <w:suppressLineNumbers w:val="0"/>
              <w:shd w:val="clear"/>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380V</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506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5C0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C0DD">
            <w:pPr>
              <w:shd w:val="clear"/>
              <w:jc w:val="center"/>
              <w:rPr>
                <w:rFonts w:hint="eastAsia" w:ascii="宋体" w:hAnsi="宋体" w:eastAsia="宋体" w:cs="宋体"/>
                <w:i w:val="0"/>
                <w:iCs w:val="0"/>
                <w:color w:val="auto"/>
                <w:sz w:val="21"/>
                <w:szCs w:val="21"/>
                <w:highlight w:val="none"/>
                <w:u w:val="none"/>
              </w:rPr>
            </w:pPr>
          </w:p>
        </w:tc>
      </w:tr>
      <w:tr w14:paraId="50EF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CA85A">
            <w:pPr>
              <w:keepNext w:val="0"/>
              <w:keepLines w:val="0"/>
              <w:widowControl/>
              <w:suppressLineNumbers w:val="0"/>
              <w:shd w:val="clea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Q04</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4CA5">
            <w:pPr>
              <w:shd w:val="clea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软连接</w:t>
            </w:r>
          </w:p>
        </w:tc>
        <w:tc>
          <w:tcPr>
            <w:tcW w:w="5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79D0">
            <w:pPr>
              <w:shd w:val="clear"/>
              <w:jc w:val="left"/>
              <w:rPr>
                <w:rFonts w:hint="default"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B0F4">
            <w:pPr>
              <w:keepNext w:val="0"/>
              <w:keepLines w:val="0"/>
              <w:widowControl/>
              <w:suppressLineNumbers w:val="0"/>
              <w:shd w:val="clea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3274">
            <w:pPr>
              <w:keepNext w:val="0"/>
              <w:keepLines w:val="0"/>
              <w:widowControl/>
              <w:suppressLineNumbers w:val="0"/>
              <w:shd w:val="clear"/>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9923">
            <w:pPr>
              <w:shd w:val="clear"/>
              <w:jc w:val="center"/>
              <w:rPr>
                <w:rFonts w:hint="eastAsia" w:ascii="宋体" w:hAnsi="宋体" w:eastAsia="宋体" w:cs="宋体"/>
                <w:i w:val="0"/>
                <w:iCs w:val="0"/>
                <w:color w:val="auto"/>
                <w:sz w:val="18"/>
                <w:szCs w:val="18"/>
                <w:highlight w:val="none"/>
                <w:u w:val="none"/>
              </w:rPr>
            </w:pPr>
          </w:p>
        </w:tc>
      </w:tr>
    </w:tbl>
    <w:p w14:paraId="47B0CAB4">
      <w:pPr>
        <w:pStyle w:val="48"/>
        <w:numPr>
          <w:ilvl w:val="0"/>
          <w:numId w:val="0"/>
        </w:numPr>
        <w:shd w:val="clear"/>
        <w:ind w:leftChars="0"/>
        <w:rPr>
          <w:rFonts w:hint="default" w:ascii="宋体" w:hAnsi="宋体" w:cs="宋体"/>
          <w:b/>
          <w:bCs/>
          <w:color w:val="auto"/>
          <w:sz w:val="24"/>
          <w:szCs w:val="24"/>
          <w:highlight w:val="none"/>
          <w:lang w:val="en-US" w:eastAsia="zh-CN"/>
        </w:rPr>
      </w:pPr>
    </w:p>
    <w:p w14:paraId="7A1B22A2">
      <w:pPr>
        <w:shd w:val="clear"/>
        <w:spacing w:line="360" w:lineRule="auto"/>
        <w:rPr>
          <w:rFonts w:hint="default" w:ascii="宋体" w:hAnsi="宋体" w:cs="宋体"/>
          <w:b/>
          <w:color w:val="auto"/>
          <w:sz w:val="24"/>
          <w:highlight w:val="none"/>
          <w:lang w:val="en-US" w:eastAsia="zh-CN"/>
        </w:rPr>
      </w:pPr>
      <w:r>
        <w:rPr>
          <w:rFonts w:hint="eastAsia" w:ascii="宋体" w:hAnsi="宋体" w:cs="宋体"/>
          <w:b/>
          <w:color w:val="auto"/>
          <w:sz w:val="24"/>
          <w:highlight w:val="none"/>
        </w:rPr>
        <w:t>注：标“</w:t>
      </w:r>
      <w:r>
        <w:rPr>
          <w:rFonts w:hint="eastAsia" w:ascii="宋体" w:hAnsi="宋体" w:cs="宋体"/>
          <w:b/>
          <w:bCs/>
          <w:color w:val="auto"/>
          <w:sz w:val="24"/>
          <w:highlight w:val="none"/>
        </w:rPr>
        <w:t>★”为重要指标</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以上设备外观尺寸允许</w:t>
      </w:r>
      <w:r>
        <w:rPr>
          <w:rFonts w:hint="eastAsia" w:ascii="宋体" w:hAnsi="宋体" w:eastAsia="宋体" w:cs="宋体"/>
          <w:b/>
          <w:bCs/>
          <w:color w:val="auto"/>
          <w:sz w:val="22"/>
          <w:szCs w:val="22"/>
          <w:highlight w:val="none"/>
          <w:lang w:val="en-US" w:eastAsia="zh-CN"/>
        </w:rPr>
        <w:t>±30mm</w:t>
      </w:r>
      <w:r>
        <w:rPr>
          <w:rFonts w:hint="eastAsia" w:ascii="宋体" w:hAnsi="宋体" w:cs="宋体"/>
          <w:b/>
          <w:bCs/>
          <w:color w:val="auto"/>
          <w:sz w:val="22"/>
          <w:szCs w:val="22"/>
          <w:highlight w:val="none"/>
          <w:lang w:val="en-US" w:eastAsia="zh-CN"/>
        </w:rPr>
        <w:t>偏差。</w:t>
      </w:r>
    </w:p>
    <w:p w14:paraId="3FD544B7">
      <w:pPr>
        <w:pStyle w:val="15"/>
        <w:numPr>
          <w:ilvl w:val="0"/>
          <w:numId w:val="0"/>
        </w:numPr>
        <w:shd w:val="clear"/>
        <w:ind w:firstLine="482" w:firstLineChars="200"/>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五、样品</w:t>
      </w:r>
    </w:p>
    <w:p w14:paraId="3D48620A">
      <w:pPr>
        <w:numPr>
          <w:ilvl w:val="0"/>
          <w:numId w:val="14"/>
        </w:numPr>
        <w:shd w:val="clear"/>
        <w:spacing w:line="360" w:lineRule="auto"/>
        <w:ind w:firstLine="482" w:firstLineChars="200"/>
        <w:rPr>
          <w:rFonts w:hint="eastAsia" w:ascii="宋体" w:hAnsi="宋体" w:cs="宋体"/>
          <w:bCs/>
          <w:color w:val="auto"/>
          <w:sz w:val="24"/>
          <w:highlight w:val="none"/>
        </w:rPr>
      </w:pPr>
      <w:r>
        <w:rPr>
          <w:rFonts w:hint="eastAsia" w:ascii="宋体" w:hAnsi="宋体" w:cs="宋体"/>
          <w:b/>
          <w:color w:val="auto"/>
          <w:sz w:val="24"/>
          <w:highlight w:val="none"/>
          <w:lang w:val="en-US" w:eastAsia="zh-CN"/>
        </w:rPr>
        <w:t>样品清单：</w:t>
      </w:r>
    </w:p>
    <w:tbl>
      <w:tblPr>
        <w:tblStyle w:val="39"/>
        <w:tblW w:w="9629"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681"/>
        <w:gridCol w:w="844"/>
        <w:gridCol w:w="983"/>
        <w:gridCol w:w="2452"/>
        <w:gridCol w:w="1817"/>
      </w:tblGrid>
      <w:tr w14:paraId="5CF4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52" w:type="dxa"/>
            <w:noWrap w:val="0"/>
            <w:vAlign w:val="center"/>
          </w:tcPr>
          <w:p w14:paraId="1F34DE5F">
            <w:pPr>
              <w:shd w:val="clear"/>
              <w:tabs>
                <w:tab w:val="left" w:pos="851"/>
                <w:tab w:val="center" w:pos="5812"/>
                <w:tab w:val="decimal" w:pos="6804"/>
                <w:tab w:val="decimal" w:pos="8789"/>
              </w:tabs>
              <w:spacing w:line="360" w:lineRule="auto"/>
              <w:ind w:right="-6"/>
              <w:jc w:val="center"/>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序号</w:t>
            </w:r>
          </w:p>
        </w:tc>
        <w:tc>
          <w:tcPr>
            <w:tcW w:w="2681" w:type="dxa"/>
            <w:noWrap w:val="0"/>
            <w:vAlign w:val="center"/>
          </w:tcPr>
          <w:p w14:paraId="21DCACF6">
            <w:pPr>
              <w:shd w:val="clear"/>
              <w:tabs>
                <w:tab w:val="left" w:pos="851"/>
                <w:tab w:val="center" w:pos="5812"/>
                <w:tab w:val="decimal" w:pos="6804"/>
                <w:tab w:val="decimal" w:pos="8789"/>
              </w:tabs>
              <w:spacing w:line="360" w:lineRule="auto"/>
              <w:ind w:right="-6"/>
              <w:jc w:val="center"/>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名称</w:t>
            </w:r>
          </w:p>
        </w:tc>
        <w:tc>
          <w:tcPr>
            <w:tcW w:w="844" w:type="dxa"/>
            <w:noWrap w:val="0"/>
            <w:vAlign w:val="center"/>
          </w:tcPr>
          <w:p w14:paraId="3DF83998">
            <w:pPr>
              <w:shd w:val="clear"/>
              <w:tabs>
                <w:tab w:val="left" w:pos="851"/>
                <w:tab w:val="center" w:pos="5812"/>
                <w:tab w:val="decimal" w:pos="6804"/>
                <w:tab w:val="decimal" w:pos="8789"/>
              </w:tabs>
              <w:spacing w:line="360" w:lineRule="auto"/>
              <w:ind w:right="-6"/>
              <w:jc w:val="center"/>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数量</w:t>
            </w:r>
          </w:p>
        </w:tc>
        <w:tc>
          <w:tcPr>
            <w:tcW w:w="983" w:type="dxa"/>
            <w:noWrap w:val="0"/>
            <w:vAlign w:val="center"/>
          </w:tcPr>
          <w:p w14:paraId="0779837A">
            <w:pPr>
              <w:shd w:val="clear"/>
              <w:tabs>
                <w:tab w:val="left" w:pos="851"/>
                <w:tab w:val="center" w:pos="5812"/>
                <w:tab w:val="decimal" w:pos="6804"/>
                <w:tab w:val="decimal" w:pos="8789"/>
              </w:tabs>
              <w:spacing w:line="360" w:lineRule="auto"/>
              <w:ind w:right="-6"/>
              <w:jc w:val="center"/>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单位</w:t>
            </w:r>
          </w:p>
        </w:tc>
        <w:tc>
          <w:tcPr>
            <w:tcW w:w="2452" w:type="dxa"/>
            <w:noWrap w:val="0"/>
            <w:vAlign w:val="center"/>
          </w:tcPr>
          <w:p w14:paraId="40864A12">
            <w:pPr>
              <w:shd w:val="clear"/>
              <w:tabs>
                <w:tab w:val="left" w:pos="851"/>
                <w:tab w:val="center" w:pos="5812"/>
                <w:tab w:val="decimal" w:pos="6804"/>
                <w:tab w:val="decimal" w:pos="8789"/>
              </w:tabs>
              <w:spacing w:line="360" w:lineRule="auto"/>
              <w:ind w:right="-6" w:rightChars="0"/>
              <w:jc w:val="center"/>
              <w:rPr>
                <w:rFonts w:hint="eastAsia" w:ascii="宋体" w:hAnsi="宋体" w:eastAsia="宋体" w:cs="宋体"/>
                <w:color w:val="auto"/>
                <w:sz w:val="24"/>
                <w:szCs w:val="24"/>
                <w:highlight w:val="none"/>
                <w:u w:val="none"/>
                <w:vertAlign w:val="baseline"/>
                <w:lang w:val="en-US" w:eastAsia="zh-CN"/>
              </w:rPr>
            </w:pPr>
            <w:r>
              <w:rPr>
                <w:rFonts w:hint="eastAsia" w:ascii="宋体" w:hAnsi="宋体" w:eastAsia="宋体" w:cs="宋体"/>
                <w:color w:val="auto"/>
                <w:sz w:val="24"/>
                <w:szCs w:val="24"/>
                <w:highlight w:val="none"/>
                <w:u w:val="none"/>
                <w:vertAlign w:val="baseline"/>
                <w:lang w:val="en-US" w:eastAsia="zh-CN"/>
              </w:rPr>
              <w:t>规格</w:t>
            </w:r>
          </w:p>
        </w:tc>
        <w:tc>
          <w:tcPr>
            <w:tcW w:w="1817" w:type="dxa"/>
            <w:noWrap w:val="0"/>
            <w:vAlign w:val="center"/>
          </w:tcPr>
          <w:p w14:paraId="4FFC5BEE">
            <w:pPr>
              <w:shd w:val="clear"/>
              <w:tabs>
                <w:tab w:val="left" w:pos="851"/>
                <w:tab w:val="center" w:pos="5812"/>
                <w:tab w:val="decimal" w:pos="6804"/>
                <w:tab w:val="decimal" w:pos="8789"/>
              </w:tabs>
              <w:spacing w:line="360" w:lineRule="auto"/>
              <w:ind w:right="-6" w:rightChars="0"/>
              <w:jc w:val="center"/>
              <w:rPr>
                <w:rFonts w:hint="default" w:ascii="宋体" w:hAnsi="宋体" w:eastAsia="宋体" w:cs="宋体"/>
                <w:color w:val="auto"/>
                <w:sz w:val="24"/>
                <w:szCs w:val="24"/>
                <w:highlight w:val="none"/>
                <w:u w:val="none"/>
                <w:vertAlign w:val="baseline"/>
                <w:lang w:val="en-US" w:eastAsia="zh-CN"/>
              </w:rPr>
            </w:pPr>
            <w:r>
              <w:rPr>
                <w:rFonts w:hint="eastAsia" w:ascii="宋体" w:hAnsi="宋体" w:cs="宋体"/>
                <w:color w:val="auto"/>
                <w:sz w:val="24"/>
                <w:szCs w:val="24"/>
                <w:highlight w:val="none"/>
                <w:u w:val="none"/>
                <w:vertAlign w:val="baseline"/>
                <w:lang w:val="en-US" w:eastAsia="zh-CN"/>
              </w:rPr>
              <w:t>备注</w:t>
            </w:r>
          </w:p>
        </w:tc>
      </w:tr>
      <w:tr w14:paraId="6F4F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852" w:type="dxa"/>
            <w:noWrap w:val="0"/>
            <w:vAlign w:val="center"/>
          </w:tcPr>
          <w:p w14:paraId="5C417DE7">
            <w:pPr>
              <w:shd w:val="clear"/>
              <w:tabs>
                <w:tab w:val="left" w:pos="851"/>
                <w:tab w:val="center" w:pos="5812"/>
                <w:tab w:val="decimal" w:pos="6804"/>
                <w:tab w:val="decimal" w:pos="8789"/>
              </w:tabs>
              <w:spacing w:line="240" w:lineRule="auto"/>
              <w:ind w:right="-6"/>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1</w:t>
            </w:r>
          </w:p>
        </w:tc>
        <w:tc>
          <w:tcPr>
            <w:tcW w:w="2681" w:type="dxa"/>
            <w:noWrap w:val="0"/>
            <w:vAlign w:val="center"/>
          </w:tcPr>
          <w:p w14:paraId="702705A8">
            <w:pPr>
              <w:shd w:val="clear"/>
              <w:tabs>
                <w:tab w:val="left" w:pos="851"/>
                <w:tab w:val="center" w:pos="5812"/>
                <w:tab w:val="decimal" w:pos="6804"/>
                <w:tab w:val="decimal" w:pos="8789"/>
              </w:tabs>
              <w:spacing w:line="240" w:lineRule="auto"/>
              <w:ind w:right="-6"/>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bookmarkStart w:id="14" w:name="OLE_LINK21"/>
            <w:r>
              <w:rPr>
                <w:rFonts w:hint="eastAsia" w:asciiTheme="minorEastAsia" w:hAnsiTheme="minorEastAsia" w:eastAsiaTheme="minorEastAsia" w:cstheme="minorEastAsia"/>
                <w:i w:val="0"/>
                <w:iCs w:val="0"/>
                <w:color w:val="auto"/>
                <w:kern w:val="0"/>
                <w:sz w:val="24"/>
                <w:szCs w:val="24"/>
                <w:highlight w:val="none"/>
                <w:u w:val="none"/>
                <w:lang w:val="en-US" w:eastAsia="zh-CN" w:bidi="ar"/>
              </w:rPr>
              <w:t>左星剖鱼台</w:t>
            </w:r>
            <w:bookmarkEnd w:id="14"/>
          </w:p>
        </w:tc>
        <w:tc>
          <w:tcPr>
            <w:tcW w:w="844" w:type="dxa"/>
            <w:noWrap w:val="0"/>
            <w:vAlign w:val="center"/>
          </w:tcPr>
          <w:p w14:paraId="4A08E751">
            <w:pPr>
              <w:shd w:val="clear"/>
              <w:tabs>
                <w:tab w:val="left" w:pos="851"/>
                <w:tab w:val="center" w:pos="5812"/>
                <w:tab w:val="decimal" w:pos="6804"/>
                <w:tab w:val="decimal" w:pos="8789"/>
              </w:tabs>
              <w:spacing w:line="240" w:lineRule="auto"/>
              <w:ind w:right="-6" w:rightChars="0"/>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1</w:t>
            </w:r>
          </w:p>
        </w:tc>
        <w:tc>
          <w:tcPr>
            <w:tcW w:w="983" w:type="dxa"/>
            <w:noWrap w:val="0"/>
            <w:vAlign w:val="center"/>
          </w:tcPr>
          <w:p w14:paraId="3EB23B63">
            <w:pPr>
              <w:shd w:val="clear"/>
              <w:tabs>
                <w:tab w:val="left" w:pos="851"/>
                <w:tab w:val="center" w:pos="5812"/>
                <w:tab w:val="decimal" w:pos="6804"/>
                <w:tab w:val="decimal" w:pos="8789"/>
              </w:tabs>
              <w:spacing w:line="240" w:lineRule="auto"/>
              <w:ind w:right="-6" w:rightChars="0"/>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个</w:t>
            </w:r>
          </w:p>
        </w:tc>
        <w:tc>
          <w:tcPr>
            <w:tcW w:w="2452" w:type="dxa"/>
            <w:noWrap w:val="0"/>
            <w:vAlign w:val="center"/>
          </w:tcPr>
          <w:p w14:paraId="0307AB92">
            <w:pPr>
              <w:shd w:val="clear"/>
              <w:tabs>
                <w:tab w:val="left" w:pos="851"/>
                <w:tab w:val="center" w:pos="5812"/>
                <w:tab w:val="decimal" w:pos="6804"/>
                <w:tab w:val="decimal" w:pos="8789"/>
              </w:tabs>
              <w:spacing w:line="240" w:lineRule="auto"/>
              <w:ind w:right="-6" w:rightChars="0"/>
              <w:jc w:val="center"/>
              <w:rPr>
                <w:rFonts w:hint="default" w:asciiTheme="minorEastAsia" w:hAnsiTheme="minorEastAsia" w:eastAsiaTheme="minorEastAsia" w:cstheme="minorEastAsia"/>
                <w:color w:val="auto"/>
                <w:sz w:val="32"/>
                <w:szCs w:val="32"/>
                <w:highlight w:val="none"/>
                <w:u w:val="none"/>
                <w:lang w:val="en-US" w:eastAsia="zh-CN"/>
              </w:rPr>
            </w:pPr>
            <w:r>
              <w:rPr>
                <w:rFonts w:hint="eastAsia" w:ascii="宋体" w:hAnsi="宋体" w:eastAsia="宋体" w:cs="宋体"/>
                <w:i w:val="0"/>
                <w:iCs w:val="0"/>
                <w:color w:val="auto"/>
                <w:kern w:val="0"/>
                <w:sz w:val="24"/>
                <w:szCs w:val="24"/>
                <w:highlight w:val="none"/>
                <w:u w:val="none"/>
                <w:lang w:val="en-US" w:eastAsia="zh-CN" w:bidi="ar"/>
              </w:rPr>
              <w:t>1400*750*850+10</w:t>
            </w:r>
            <w:r>
              <w:rPr>
                <w:rFonts w:hint="eastAsia" w:ascii="宋体" w:hAnsi="宋体" w:cs="宋体"/>
                <w:i w:val="0"/>
                <w:iCs w:val="0"/>
                <w:color w:val="auto"/>
                <w:kern w:val="0"/>
                <w:sz w:val="24"/>
                <w:szCs w:val="24"/>
                <w:highlight w:val="none"/>
                <w:u w:val="none"/>
                <w:lang w:val="en-US" w:eastAsia="zh-CN" w:bidi="ar"/>
              </w:rPr>
              <w:t>0mm</w:t>
            </w:r>
          </w:p>
        </w:tc>
        <w:tc>
          <w:tcPr>
            <w:tcW w:w="1817" w:type="dxa"/>
            <w:vMerge w:val="restart"/>
            <w:noWrap w:val="0"/>
            <w:vAlign w:val="center"/>
          </w:tcPr>
          <w:p w14:paraId="122153EB">
            <w:pPr>
              <w:pStyle w:val="5"/>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color w:val="auto"/>
                <w:sz w:val="22"/>
                <w:szCs w:val="22"/>
                <w:highlight w:val="none"/>
                <w:lang w:val="en-US" w:eastAsia="zh-CN"/>
              </w:rPr>
              <w:t>样品外观尺寸允许有±30mm偏差</w:t>
            </w:r>
          </w:p>
        </w:tc>
      </w:tr>
      <w:tr w14:paraId="7B1E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52" w:type="dxa"/>
            <w:noWrap w:val="0"/>
            <w:vAlign w:val="center"/>
          </w:tcPr>
          <w:p w14:paraId="5D1ADD6B">
            <w:pPr>
              <w:shd w:val="clear"/>
              <w:tabs>
                <w:tab w:val="left" w:pos="851"/>
                <w:tab w:val="center" w:pos="5812"/>
                <w:tab w:val="decimal" w:pos="6804"/>
                <w:tab w:val="decimal" w:pos="8789"/>
              </w:tabs>
              <w:spacing w:line="240" w:lineRule="auto"/>
              <w:ind w:right="-6"/>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2</w:t>
            </w:r>
          </w:p>
        </w:tc>
        <w:tc>
          <w:tcPr>
            <w:tcW w:w="2681" w:type="dxa"/>
            <w:noWrap w:val="0"/>
            <w:vAlign w:val="center"/>
          </w:tcPr>
          <w:p w14:paraId="198489D3">
            <w:pPr>
              <w:shd w:val="clear"/>
              <w:tabs>
                <w:tab w:val="left" w:pos="851"/>
                <w:tab w:val="center" w:pos="5812"/>
                <w:tab w:val="decimal" w:pos="6804"/>
                <w:tab w:val="decimal" w:pos="8789"/>
              </w:tabs>
              <w:spacing w:line="240" w:lineRule="auto"/>
              <w:ind w:right="-6"/>
              <w:jc w:val="center"/>
              <w:rPr>
                <w:rFonts w:hint="eastAsia" w:asciiTheme="minorEastAsia" w:hAnsiTheme="minorEastAsia" w:eastAsiaTheme="minorEastAsia" w:cstheme="minorEastAsia"/>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color w:val="auto"/>
                <w:kern w:val="0"/>
                <w:sz w:val="24"/>
                <w:szCs w:val="24"/>
                <w:highlight w:val="none"/>
                <w:u w:val="none"/>
                <w:lang w:val="en-US" w:eastAsia="zh-CN" w:bidi="ar"/>
              </w:rPr>
              <w:t>智电双门热米饭机</w:t>
            </w:r>
          </w:p>
        </w:tc>
        <w:tc>
          <w:tcPr>
            <w:tcW w:w="844" w:type="dxa"/>
            <w:noWrap w:val="0"/>
            <w:vAlign w:val="center"/>
          </w:tcPr>
          <w:p w14:paraId="01BF0007">
            <w:pPr>
              <w:shd w:val="clear"/>
              <w:tabs>
                <w:tab w:val="left" w:pos="851"/>
                <w:tab w:val="center" w:pos="5812"/>
                <w:tab w:val="decimal" w:pos="6804"/>
                <w:tab w:val="decimal" w:pos="8789"/>
              </w:tabs>
              <w:spacing w:line="240" w:lineRule="auto"/>
              <w:ind w:right="-6" w:rightChars="0"/>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1</w:t>
            </w:r>
          </w:p>
        </w:tc>
        <w:tc>
          <w:tcPr>
            <w:tcW w:w="983" w:type="dxa"/>
            <w:noWrap w:val="0"/>
            <w:vAlign w:val="center"/>
          </w:tcPr>
          <w:p w14:paraId="36DBF975">
            <w:pPr>
              <w:shd w:val="clear"/>
              <w:tabs>
                <w:tab w:val="left" w:pos="851"/>
                <w:tab w:val="center" w:pos="5812"/>
                <w:tab w:val="decimal" w:pos="6804"/>
                <w:tab w:val="decimal" w:pos="8789"/>
              </w:tabs>
              <w:spacing w:line="240" w:lineRule="auto"/>
              <w:ind w:right="-6" w:rightChars="0"/>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u w:val="none"/>
                <w:lang w:val="en-US" w:eastAsia="zh-CN"/>
              </w:rPr>
              <w:t>台</w:t>
            </w:r>
          </w:p>
        </w:tc>
        <w:tc>
          <w:tcPr>
            <w:tcW w:w="2452" w:type="dxa"/>
            <w:noWrap w:val="0"/>
            <w:vAlign w:val="center"/>
          </w:tcPr>
          <w:p w14:paraId="544C41A1">
            <w:pPr>
              <w:shd w:val="clear"/>
              <w:tabs>
                <w:tab w:val="left" w:pos="851"/>
                <w:tab w:val="center" w:pos="5812"/>
                <w:tab w:val="decimal" w:pos="6804"/>
                <w:tab w:val="decimal" w:pos="8789"/>
              </w:tabs>
              <w:spacing w:line="240" w:lineRule="auto"/>
              <w:ind w:right="-6" w:rightChars="0"/>
              <w:jc w:val="center"/>
              <w:rPr>
                <w:rFonts w:hint="eastAsia" w:asciiTheme="minorEastAsia" w:hAnsiTheme="minorEastAsia" w:eastAsiaTheme="minorEastAsia" w:cstheme="minorEastAsia"/>
                <w:color w:val="auto"/>
                <w:sz w:val="32"/>
                <w:szCs w:val="32"/>
                <w:highlight w:val="none"/>
                <w:u w:val="none"/>
                <w:lang w:val="en-US" w:eastAsia="zh-CN"/>
              </w:rPr>
            </w:pPr>
            <w:r>
              <w:rPr>
                <w:rFonts w:hint="eastAsia" w:ascii="宋体" w:hAnsi="宋体" w:eastAsia="宋体" w:cs="宋体"/>
                <w:i w:val="0"/>
                <w:iCs w:val="0"/>
                <w:color w:val="auto"/>
                <w:kern w:val="0"/>
                <w:sz w:val="24"/>
                <w:szCs w:val="24"/>
                <w:highlight w:val="none"/>
                <w:u w:val="none"/>
                <w:lang w:val="en-US" w:eastAsia="zh-CN" w:bidi="ar"/>
              </w:rPr>
              <w:t>850*800*1650</w:t>
            </w:r>
            <w:r>
              <w:rPr>
                <w:rFonts w:hint="eastAsia" w:ascii="宋体" w:hAnsi="宋体" w:cs="宋体"/>
                <w:i w:val="0"/>
                <w:iCs w:val="0"/>
                <w:color w:val="auto"/>
                <w:kern w:val="0"/>
                <w:sz w:val="24"/>
                <w:szCs w:val="24"/>
                <w:highlight w:val="none"/>
                <w:u w:val="none"/>
                <w:lang w:val="en-US" w:eastAsia="zh-CN" w:bidi="ar"/>
              </w:rPr>
              <w:t>mm</w:t>
            </w:r>
          </w:p>
        </w:tc>
        <w:tc>
          <w:tcPr>
            <w:tcW w:w="1817" w:type="dxa"/>
            <w:vMerge w:val="continue"/>
            <w:noWrap w:val="0"/>
            <w:vAlign w:val="center"/>
          </w:tcPr>
          <w:p w14:paraId="26F1C74E">
            <w:pPr>
              <w:shd w:val="clear"/>
              <w:tabs>
                <w:tab w:val="left" w:pos="851"/>
                <w:tab w:val="center" w:pos="5812"/>
                <w:tab w:val="decimal" w:pos="6804"/>
                <w:tab w:val="decimal" w:pos="8789"/>
              </w:tabs>
              <w:spacing w:line="240" w:lineRule="auto"/>
              <w:ind w:right="-6" w:rightChars="0"/>
              <w:jc w:val="center"/>
              <w:rPr>
                <w:rFonts w:hint="eastAsia" w:ascii="宋体" w:hAnsi="宋体" w:eastAsia="宋体" w:cs="宋体"/>
                <w:i w:val="0"/>
                <w:iCs w:val="0"/>
                <w:color w:val="auto"/>
                <w:kern w:val="0"/>
                <w:sz w:val="24"/>
                <w:szCs w:val="24"/>
                <w:highlight w:val="none"/>
                <w:u w:val="none"/>
                <w:lang w:val="en-US" w:eastAsia="zh-CN" w:bidi="ar"/>
              </w:rPr>
            </w:pPr>
          </w:p>
        </w:tc>
      </w:tr>
      <w:tr w14:paraId="3A8F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52" w:type="dxa"/>
            <w:noWrap w:val="0"/>
            <w:vAlign w:val="center"/>
          </w:tcPr>
          <w:p w14:paraId="17FAB1F3">
            <w:pPr>
              <w:shd w:val="clear"/>
              <w:tabs>
                <w:tab w:val="left" w:pos="851"/>
                <w:tab w:val="center" w:pos="5812"/>
                <w:tab w:val="decimal" w:pos="6804"/>
                <w:tab w:val="decimal" w:pos="8789"/>
              </w:tabs>
              <w:spacing w:line="240" w:lineRule="auto"/>
              <w:ind w:right="-6"/>
              <w:jc w:val="center"/>
              <w:rPr>
                <w:rFonts w:hint="eastAsia" w:asciiTheme="minorEastAsia" w:hAnsiTheme="minorEastAsia" w:eastAsiaTheme="minorEastAsia" w:cstheme="minorEastAsia"/>
                <w:strike/>
                <w:dstrike w:val="0"/>
                <w:color w:val="auto"/>
                <w:sz w:val="24"/>
                <w:szCs w:val="24"/>
                <w:highlight w:val="none"/>
                <w:u w:val="none"/>
                <w:lang w:val="en-US" w:eastAsia="zh-CN"/>
              </w:rPr>
            </w:pPr>
            <w:r>
              <w:rPr>
                <w:rFonts w:hint="eastAsia" w:asciiTheme="minorEastAsia" w:hAnsiTheme="minorEastAsia" w:eastAsiaTheme="minorEastAsia" w:cstheme="minorEastAsia"/>
                <w:strike w:val="0"/>
                <w:dstrike w:val="0"/>
                <w:color w:val="auto"/>
                <w:sz w:val="24"/>
                <w:szCs w:val="24"/>
                <w:highlight w:val="none"/>
                <w:u w:val="none"/>
                <w:lang w:val="en-US" w:eastAsia="zh-CN"/>
              </w:rPr>
              <w:t>3</w:t>
            </w:r>
          </w:p>
        </w:tc>
        <w:tc>
          <w:tcPr>
            <w:tcW w:w="2681" w:type="dxa"/>
            <w:noWrap w:val="0"/>
            <w:vAlign w:val="center"/>
          </w:tcPr>
          <w:p w14:paraId="5C7DD2F1">
            <w:pPr>
              <w:shd w:val="clear"/>
              <w:tabs>
                <w:tab w:val="left" w:pos="851"/>
                <w:tab w:val="center" w:pos="5812"/>
                <w:tab w:val="decimal" w:pos="6804"/>
                <w:tab w:val="decimal" w:pos="8789"/>
              </w:tabs>
              <w:spacing w:line="240" w:lineRule="auto"/>
              <w:ind w:right="-6"/>
              <w:jc w:val="center"/>
              <w:rPr>
                <w:rFonts w:hint="eastAsia" w:asciiTheme="minorEastAsia" w:hAnsiTheme="minorEastAsia" w:eastAsiaTheme="minorEastAsia" w:cstheme="minorEastAsia"/>
                <w:i w:val="0"/>
                <w:iCs w:val="0"/>
                <w:strike w:val="0"/>
                <w:dstrike w:val="0"/>
                <w:color w:val="auto"/>
                <w:kern w:val="0"/>
                <w:sz w:val="24"/>
                <w:szCs w:val="24"/>
                <w:highlight w:val="none"/>
                <w:u w:val="none"/>
                <w:lang w:val="en-US" w:eastAsia="zh-CN" w:bidi="ar"/>
              </w:rPr>
            </w:pPr>
            <w:bookmarkStart w:id="15" w:name="OLE_LINK44"/>
            <w:r>
              <w:rPr>
                <w:rFonts w:hint="eastAsia" w:asciiTheme="minorEastAsia" w:hAnsiTheme="minorEastAsia" w:eastAsiaTheme="minorEastAsia" w:cstheme="minorEastAsia"/>
                <w:i w:val="0"/>
                <w:iCs w:val="0"/>
                <w:strike w:val="0"/>
                <w:dstrike w:val="0"/>
                <w:color w:val="auto"/>
                <w:kern w:val="0"/>
                <w:sz w:val="24"/>
                <w:szCs w:val="24"/>
                <w:highlight w:val="none"/>
                <w:u w:val="none"/>
                <w:lang w:val="en-US" w:eastAsia="zh-CN" w:bidi="ar"/>
              </w:rPr>
              <w:t>明档排烟罩</w:t>
            </w:r>
            <w:bookmarkEnd w:id="15"/>
          </w:p>
        </w:tc>
        <w:tc>
          <w:tcPr>
            <w:tcW w:w="844" w:type="dxa"/>
            <w:noWrap w:val="0"/>
            <w:vAlign w:val="center"/>
          </w:tcPr>
          <w:p w14:paraId="6B284B97">
            <w:pPr>
              <w:keepNext w:val="0"/>
              <w:keepLines w:val="0"/>
              <w:widowControl/>
              <w:suppressLineNumbers w:val="0"/>
              <w:shd w:val="clear"/>
              <w:jc w:val="center"/>
              <w:textAlignment w:val="center"/>
              <w:rPr>
                <w:rFonts w:hint="eastAsia" w:asciiTheme="minorEastAsia" w:hAnsiTheme="minorEastAsia" w:eastAsiaTheme="minorEastAsia" w:cstheme="minorEastAsia"/>
                <w:strike w:val="0"/>
                <w:dstrike w:val="0"/>
                <w:color w:val="auto"/>
                <w:sz w:val="24"/>
                <w:szCs w:val="24"/>
                <w:highlight w:val="none"/>
                <w:u w:val="none"/>
                <w:lang w:val="en-US" w:eastAsia="zh-CN"/>
              </w:rPr>
            </w:pPr>
            <w:r>
              <w:rPr>
                <w:rFonts w:hint="eastAsia" w:asciiTheme="minorEastAsia" w:hAnsiTheme="minorEastAsia" w:eastAsiaTheme="minorEastAsia" w:cstheme="minorEastAsia"/>
                <w:i w:val="0"/>
                <w:iCs w:val="0"/>
                <w:strike w:val="0"/>
                <w:dstrike w:val="0"/>
                <w:color w:val="auto"/>
                <w:kern w:val="0"/>
                <w:sz w:val="24"/>
                <w:szCs w:val="24"/>
                <w:highlight w:val="none"/>
                <w:u w:val="none"/>
                <w:lang w:val="en-US" w:eastAsia="zh-CN" w:bidi="ar"/>
              </w:rPr>
              <w:t>1</w:t>
            </w:r>
          </w:p>
        </w:tc>
        <w:tc>
          <w:tcPr>
            <w:tcW w:w="983" w:type="dxa"/>
            <w:noWrap w:val="0"/>
            <w:vAlign w:val="center"/>
          </w:tcPr>
          <w:p w14:paraId="32008155">
            <w:pPr>
              <w:keepNext w:val="0"/>
              <w:keepLines w:val="0"/>
              <w:widowControl/>
              <w:suppressLineNumbers w:val="0"/>
              <w:shd w:val="clear"/>
              <w:jc w:val="center"/>
              <w:textAlignment w:val="center"/>
              <w:rPr>
                <w:rFonts w:hint="eastAsia" w:asciiTheme="minorEastAsia" w:hAnsiTheme="minorEastAsia" w:eastAsiaTheme="minorEastAsia" w:cstheme="minorEastAsia"/>
                <w:strike w:val="0"/>
                <w:dstrike w:val="0"/>
                <w:color w:val="auto"/>
                <w:sz w:val="24"/>
                <w:szCs w:val="24"/>
                <w:highlight w:val="none"/>
                <w:u w:val="none"/>
                <w:lang w:val="en-US" w:eastAsia="zh-CN"/>
              </w:rPr>
            </w:pPr>
            <w:r>
              <w:rPr>
                <w:rFonts w:hint="eastAsia" w:asciiTheme="minorEastAsia" w:hAnsiTheme="minorEastAsia" w:eastAsiaTheme="minorEastAsia" w:cstheme="minorEastAsia"/>
                <w:i w:val="0"/>
                <w:iCs w:val="0"/>
                <w:strike w:val="0"/>
                <w:dstrike w:val="0"/>
                <w:color w:val="auto"/>
                <w:kern w:val="0"/>
                <w:sz w:val="24"/>
                <w:szCs w:val="24"/>
                <w:highlight w:val="none"/>
                <w:u w:val="none"/>
                <w:lang w:val="en-US" w:eastAsia="zh-CN" w:bidi="ar"/>
              </w:rPr>
              <w:t>个</w:t>
            </w:r>
          </w:p>
        </w:tc>
        <w:tc>
          <w:tcPr>
            <w:tcW w:w="4269" w:type="dxa"/>
            <w:gridSpan w:val="2"/>
            <w:noWrap w:val="0"/>
            <w:vAlign w:val="center"/>
          </w:tcPr>
          <w:p w14:paraId="185B68BE">
            <w:pPr>
              <w:shd w:val="clear"/>
              <w:tabs>
                <w:tab w:val="left" w:pos="851"/>
                <w:tab w:val="center" w:pos="5812"/>
                <w:tab w:val="decimal" w:pos="6804"/>
                <w:tab w:val="decimal" w:pos="8789"/>
              </w:tabs>
              <w:spacing w:line="240" w:lineRule="auto"/>
              <w:ind w:right="-6" w:rightChars="0"/>
              <w:jc w:val="center"/>
              <w:rPr>
                <w:rFonts w:hint="eastAsia" w:ascii="宋体" w:hAnsi="宋体" w:cs="宋体"/>
                <w:i w:val="0"/>
                <w:iCs w:val="0"/>
                <w:color w:val="auto"/>
                <w:kern w:val="0"/>
                <w:sz w:val="24"/>
                <w:szCs w:val="24"/>
                <w:highlight w:val="none"/>
                <w:u w:val="none"/>
                <w:lang w:val="en-US" w:eastAsia="zh-CN" w:bidi="ar"/>
              </w:rPr>
            </w:pPr>
            <w:r>
              <w:rPr>
                <w:rFonts w:hint="eastAsia" w:asciiTheme="minorEastAsia" w:hAnsiTheme="minorEastAsia" w:eastAsiaTheme="minorEastAsia" w:cstheme="minorEastAsia"/>
                <w:i w:val="0"/>
                <w:iCs w:val="0"/>
                <w:strike w:val="0"/>
                <w:dstrike w:val="0"/>
                <w:color w:val="auto"/>
                <w:kern w:val="0"/>
                <w:sz w:val="28"/>
                <w:szCs w:val="28"/>
                <w:highlight w:val="none"/>
                <w:u w:val="none"/>
                <w:lang w:val="en-US" w:eastAsia="zh-CN" w:bidi="ar"/>
              </w:rPr>
              <w:t>尺寸不作要求</w:t>
            </w:r>
          </w:p>
        </w:tc>
      </w:tr>
    </w:tbl>
    <w:p w14:paraId="16EEF026">
      <w:pPr>
        <w:pStyle w:val="5"/>
        <w:keepNext w:val="0"/>
        <w:keepLines w:val="0"/>
        <w:pageBreakBefore w:val="0"/>
        <w:widowControl w:val="0"/>
        <w:shd w:val="clear"/>
        <w:kinsoku/>
        <w:wordWrap/>
        <w:overflowPunct/>
        <w:topLinePunct w:val="0"/>
        <w:autoSpaceDE/>
        <w:autoSpaceDN/>
        <w:bidi w:val="0"/>
        <w:adjustRightInd/>
        <w:snapToGrid/>
        <w:spacing w:line="360" w:lineRule="auto"/>
        <w:ind w:left="0" w:leftChars="0" w:firstLine="281" w:firstLineChars="100"/>
        <w:textAlignment w:val="auto"/>
        <w:rPr>
          <w:rFonts w:ascii="宋体" w:hAnsi="宋体" w:eastAsia="宋体" w:cs="宋体"/>
          <w:bCs w:val="0"/>
          <w:color w:val="auto"/>
          <w:sz w:val="24"/>
          <w:highlight w:val="none"/>
        </w:rPr>
      </w:pPr>
      <w:r>
        <w:rPr>
          <w:rFonts w:hint="eastAsia" w:ascii="宋体" w:hAnsi="宋体" w:eastAsia="宋体" w:cs="宋体"/>
          <w:b/>
          <w:bCs/>
          <w:color w:val="auto"/>
          <w:sz w:val="28"/>
          <w:szCs w:val="28"/>
          <w:highlight w:val="none"/>
          <w:lang w:val="en-US" w:eastAsia="zh-CN"/>
        </w:rPr>
        <w:t>▲</w:t>
      </w:r>
      <w:r>
        <w:rPr>
          <w:rFonts w:hint="eastAsia" w:ascii="宋体" w:hAnsi="宋体" w:eastAsia="宋体" w:cs="宋体"/>
          <w:color w:val="auto"/>
          <w:sz w:val="24"/>
          <w:highlight w:val="none"/>
        </w:rPr>
        <w:t>（2）</w:t>
      </w:r>
      <w:r>
        <w:rPr>
          <w:rFonts w:hint="eastAsia" w:ascii="宋体" w:hAnsi="宋体" w:eastAsia="宋体" w:cs="宋体"/>
          <w:bCs w:val="0"/>
          <w:color w:val="auto"/>
          <w:sz w:val="24"/>
          <w:highlight w:val="none"/>
        </w:rPr>
        <w:t>投标人提供的样品，不能出现投标单位名称等能确定投标人的信息，若样品中出现相关信息投标人应自行用不干胶粘贴加以遮盖，否则，作无效标处理。</w:t>
      </w:r>
    </w:p>
    <w:p w14:paraId="3C6524BD">
      <w:pPr>
        <w:pStyle w:val="5"/>
        <w:keepNext w:val="0"/>
        <w:keepLines w:val="0"/>
        <w:pageBreakBefore w:val="0"/>
        <w:widowControl w:val="0"/>
        <w:shd w:val="clear"/>
        <w:kinsoku/>
        <w:wordWrap/>
        <w:overflowPunct/>
        <w:topLinePunct w:val="0"/>
        <w:autoSpaceDE/>
        <w:autoSpaceDN/>
        <w:bidi w:val="0"/>
        <w:adjustRightInd/>
        <w:snapToGrid/>
        <w:spacing w:line="360" w:lineRule="auto"/>
        <w:ind w:left="239" w:leftChars="114" w:firstLine="240" w:firstLineChars="100"/>
        <w:textAlignment w:val="auto"/>
        <w:rPr>
          <w:rFonts w:hint="eastAsia" w:ascii="宋体" w:hAnsi="宋体" w:eastAsia="宋体" w:cs="宋体"/>
          <w:bCs w:val="0"/>
          <w:color w:val="auto"/>
          <w:sz w:val="24"/>
          <w:highlight w:val="none"/>
        </w:rPr>
      </w:pPr>
      <w:r>
        <w:rPr>
          <w:rFonts w:hint="eastAsia" w:ascii="宋体" w:hAnsi="宋体" w:eastAsia="宋体" w:cs="宋体"/>
          <w:bCs w:val="0"/>
          <w:color w:val="auto"/>
          <w:sz w:val="24"/>
          <w:highlight w:val="none"/>
        </w:rPr>
        <w:t>（3）请各投标人将样品</w:t>
      </w:r>
      <w:r>
        <w:rPr>
          <w:rFonts w:hint="eastAsia" w:ascii="宋体" w:hAnsi="宋体" w:eastAsia="宋体" w:cs="宋体"/>
          <w:bCs w:val="0"/>
          <w:color w:val="auto"/>
          <w:sz w:val="24"/>
          <w:highlight w:val="none"/>
          <w:lang w:val="en-US" w:eastAsia="zh-CN"/>
        </w:rPr>
        <w:t>送</w:t>
      </w:r>
      <w:r>
        <w:rPr>
          <w:rFonts w:hint="eastAsia" w:ascii="宋体" w:hAnsi="宋体" w:eastAsia="宋体" w:cs="宋体"/>
          <w:bCs w:val="0"/>
          <w:color w:val="auto"/>
          <w:sz w:val="24"/>
          <w:highlight w:val="none"/>
        </w:rPr>
        <w:t>至东阳市鑫盛工程咨询有限公司，应于202</w:t>
      </w:r>
      <w:r>
        <w:rPr>
          <w:rFonts w:hint="eastAsia" w:ascii="宋体" w:hAnsi="宋体" w:eastAsia="宋体" w:cs="宋体"/>
          <w:bCs w:val="0"/>
          <w:color w:val="auto"/>
          <w:sz w:val="24"/>
          <w:highlight w:val="none"/>
          <w:lang w:val="en-US" w:eastAsia="zh-CN"/>
        </w:rPr>
        <w:t>4</w:t>
      </w:r>
      <w:r>
        <w:rPr>
          <w:rFonts w:hint="eastAsia" w:ascii="宋体" w:hAnsi="宋体" w:eastAsia="宋体" w:cs="宋体"/>
          <w:bCs w:val="0"/>
          <w:color w:val="auto"/>
          <w:sz w:val="24"/>
          <w:highlight w:val="none"/>
        </w:rPr>
        <w:t>年</w:t>
      </w:r>
      <w:r>
        <w:rPr>
          <w:rFonts w:hint="eastAsia" w:ascii="宋体" w:hAnsi="宋体" w:eastAsia="宋体" w:cs="宋体"/>
          <w:bCs w:val="0"/>
          <w:color w:val="auto"/>
          <w:sz w:val="24"/>
          <w:highlight w:val="none"/>
          <w:lang w:val="en-US" w:eastAsia="zh-CN"/>
        </w:rPr>
        <w:t>12</w:t>
      </w:r>
      <w:r>
        <w:rPr>
          <w:rFonts w:hint="eastAsia" w:ascii="宋体" w:hAnsi="宋体" w:eastAsia="宋体" w:cs="宋体"/>
          <w:bCs w:val="0"/>
          <w:color w:val="auto"/>
          <w:sz w:val="24"/>
          <w:highlight w:val="none"/>
        </w:rPr>
        <w:t>月</w:t>
      </w:r>
      <w:r>
        <w:rPr>
          <w:rFonts w:hint="eastAsia" w:ascii="宋体" w:hAnsi="宋体" w:eastAsia="宋体" w:cs="宋体"/>
          <w:bCs w:val="0"/>
          <w:color w:val="auto"/>
          <w:sz w:val="24"/>
          <w:highlight w:val="none"/>
          <w:lang w:val="en-US" w:eastAsia="zh-CN"/>
        </w:rPr>
        <w:t>10</w:t>
      </w:r>
      <w:r>
        <w:rPr>
          <w:rFonts w:hint="eastAsia" w:ascii="宋体" w:hAnsi="宋体" w:eastAsia="宋体" w:cs="宋体"/>
          <w:bCs w:val="0"/>
          <w:color w:val="auto"/>
          <w:sz w:val="24"/>
          <w:highlight w:val="none"/>
        </w:rPr>
        <w:t>日</w:t>
      </w:r>
      <w:r>
        <w:rPr>
          <w:rFonts w:hint="eastAsia" w:ascii="宋体" w:hAnsi="宋体" w:eastAsia="宋体" w:cs="宋体"/>
          <w:bCs w:val="0"/>
          <w:color w:val="auto"/>
          <w:sz w:val="24"/>
          <w:highlight w:val="none"/>
          <w:lang w:val="en-US" w:eastAsia="zh-CN"/>
        </w:rPr>
        <w:t>16</w:t>
      </w:r>
      <w:r>
        <w:rPr>
          <w:rFonts w:hint="eastAsia" w:ascii="宋体" w:hAnsi="宋体" w:eastAsia="宋体" w:cs="宋体"/>
          <w:bCs w:val="0"/>
          <w:color w:val="auto"/>
          <w:sz w:val="24"/>
          <w:highlight w:val="none"/>
        </w:rPr>
        <w:t>时</w:t>
      </w:r>
      <w:r>
        <w:rPr>
          <w:rFonts w:hint="eastAsia" w:ascii="宋体" w:hAnsi="宋体" w:eastAsia="宋体" w:cs="宋体"/>
          <w:bCs w:val="0"/>
          <w:color w:val="auto"/>
          <w:sz w:val="24"/>
          <w:highlight w:val="none"/>
          <w:lang w:val="en-US" w:eastAsia="zh-CN"/>
        </w:rPr>
        <w:t>00</w:t>
      </w:r>
      <w:r>
        <w:rPr>
          <w:rFonts w:hint="eastAsia" w:ascii="宋体" w:hAnsi="宋体" w:eastAsia="宋体" w:cs="宋体"/>
          <w:bCs w:val="0"/>
          <w:color w:val="auto"/>
          <w:sz w:val="24"/>
          <w:highlight w:val="none"/>
        </w:rPr>
        <w:t>分前送达东阳市鑫盛工程咨询有限公司</w:t>
      </w:r>
      <w:r>
        <w:rPr>
          <w:rFonts w:hint="eastAsia" w:ascii="宋体" w:hAnsi="宋体" w:eastAsia="宋体" w:cs="宋体"/>
          <w:bCs w:val="0"/>
          <w:color w:val="auto"/>
          <w:sz w:val="24"/>
          <w:highlight w:val="none"/>
          <w:lang w:val="en-US" w:eastAsia="zh-CN"/>
        </w:rPr>
        <w:t>指定地点</w:t>
      </w:r>
      <w:r>
        <w:rPr>
          <w:rFonts w:hint="eastAsia" w:ascii="宋体" w:hAnsi="宋体" w:eastAsia="宋体" w:cs="宋体"/>
          <w:bCs w:val="0"/>
          <w:color w:val="auto"/>
          <w:sz w:val="24"/>
          <w:highlight w:val="none"/>
        </w:rPr>
        <w:t>，</w:t>
      </w:r>
      <w:r>
        <w:rPr>
          <w:rFonts w:hint="eastAsia" w:ascii="宋体" w:hAnsi="宋体" w:eastAsia="宋体" w:cs="宋体"/>
          <w:bCs w:val="0"/>
          <w:color w:val="auto"/>
          <w:sz w:val="24"/>
          <w:highlight w:val="none"/>
          <w:lang w:val="en-US" w:eastAsia="zh-CN"/>
        </w:rPr>
        <w:t>并派专业人员现场安装，</w:t>
      </w:r>
      <w:r>
        <w:rPr>
          <w:rFonts w:hint="eastAsia" w:ascii="宋体" w:hAnsi="宋体" w:eastAsia="宋体" w:cs="宋体"/>
          <w:bCs w:val="0"/>
          <w:color w:val="auto"/>
          <w:sz w:val="24"/>
          <w:highlight w:val="none"/>
        </w:rPr>
        <w:t>逾期未送达的视为未提供样品实物。</w:t>
      </w:r>
    </w:p>
    <w:p w14:paraId="3D5561A4">
      <w:pPr>
        <w:pStyle w:val="5"/>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ascii="宋体" w:hAnsi="宋体" w:eastAsia="宋体" w:cs="宋体"/>
          <w:bCs w:val="0"/>
          <w:color w:val="auto"/>
          <w:sz w:val="24"/>
          <w:highlight w:val="none"/>
          <w:lang w:val="en-US" w:eastAsia="zh-CN"/>
        </w:rPr>
        <w:t>（4）未中标人样品请在开标后3个工作日内</w:t>
      </w:r>
      <w:r>
        <w:rPr>
          <w:rFonts w:hint="eastAsia" w:ascii="宋体" w:hAnsi="宋体" w:eastAsia="宋体" w:cs="宋体"/>
          <w:bCs w:val="0"/>
          <w:color w:val="auto"/>
          <w:sz w:val="24"/>
          <w:highlight w:val="none"/>
        </w:rPr>
        <w:t>自行至东阳市鑫盛工程咨询有限公司</w:t>
      </w:r>
      <w:r>
        <w:rPr>
          <w:rFonts w:hint="eastAsia" w:ascii="宋体" w:hAnsi="宋体" w:eastAsia="宋体" w:cs="宋体"/>
          <w:bCs w:val="0"/>
          <w:color w:val="auto"/>
          <w:sz w:val="24"/>
          <w:highlight w:val="none"/>
          <w:lang w:val="en-US" w:eastAsia="zh-CN"/>
        </w:rPr>
        <w:t>指定地点</w:t>
      </w:r>
      <w:r>
        <w:rPr>
          <w:rFonts w:hint="eastAsia" w:ascii="宋体" w:hAnsi="宋体" w:eastAsia="宋体" w:cs="宋体"/>
          <w:bCs w:val="0"/>
          <w:color w:val="auto"/>
          <w:sz w:val="24"/>
          <w:highlight w:val="none"/>
        </w:rPr>
        <w:t>领取</w:t>
      </w:r>
      <w:r>
        <w:rPr>
          <w:rFonts w:hint="eastAsia" w:ascii="宋体" w:hAnsi="宋体" w:eastAsia="宋体" w:cs="宋体"/>
          <w:bCs w:val="0"/>
          <w:color w:val="auto"/>
          <w:sz w:val="24"/>
          <w:highlight w:val="none"/>
          <w:lang w:eastAsia="zh-CN"/>
        </w:rPr>
        <w:t>。</w:t>
      </w:r>
      <w:r>
        <w:rPr>
          <w:rFonts w:hint="eastAsia" w:ascii="宋体" w:hAnsi="宋体" w:eastAsia="宋体" w:cs="宋体"/>
          <w:bCs w:val="0"/>
          <w:color w:val="auto"/>
          <w:sz w:val="24"/>
          <w:highlight w:val="none"/>
          <w:lang w:val="en-US" w:eastAsia="zh-CN"/>
        </w:rPr>
        <w:t>逾期未领回的将被视为放弃领取样品。</w:t>
      </w:r>
      <w:bookmarkStart w:id="185" w:name="_GoBack"/>
      <w:bookmarkEnd w:id="185"/>
    </w:p>
    <w:p w14:paraId="7213877D">
      <w:pPr>
        <w:pageBreakBefore/>
        <w:shd w:val="clear"/>
        <w:spacing w:line="360" w:lineRule="auto"/>
        <w:rPr>
          <w:rFonts w:hint="eastAsia" w:ascii="宋体" w:hAnsi="宋体" w:eastAsia="宋体" w:cs="宋体"/>
          <w:b/>
          <w:color w:val="auto"/>
          <w:sz w:val="32"/>
          <w:szCs w:val="32"/>
          <w:highlight w:val="none"/>
        </w:rPr>
      </w:pPr>
      <w:r>
        <w:rPr>
          <w:rFonts w:hint="eastAsia" w:ascii="宋体" w:hAnsi="宋体" w:cs="宋体"/>
          <w:b/>
          <w:bCs w:val="0"/>
          <w:color w:val="auto"/>
          <w:sz w:val="24"/>
          <w:szCs w:val="24"/>
          <w:highlight w:val="none"/>
          <w:lang w:val="en-US" w:eastAsia="zh-CN"/>
        </w:rPr>
        <w:t>六</w:t>
      </w:r>
      <w:r>
        <w:rPr>
          <w:rFonts w:hint="eastAsia" w:ascii="宋体" w:hAnsi="宋体" w:eastAsia="宋体" w:cs="宋体"/>
          <w:b/>
          <w:bCs w:val="0"/>
          <w:color w:val="auto"/>
          <w:sz w:val="24"/>
          <w:szCs w:val="24"/>
          <w:highlight w:val="none"/>
          <w:lang w:val="en-US" w:eastAsia="zh-CN"/>
        </w:rPr>
        <w:t>、</w:t>
      </w:r>
      <w:r>
        <w:rPr>
          <w:rFonts w:hint="eastAsia" w:ascii="宋体" w:hAnsi="宋体" w:eastAsia="宋体" w:cs="宋体"/>
          <w:b/>
          <w:color w:val="auto"/>
          <w:sz w:val="32"/>
          <w:szCs w:val="32"/>
          <w:highlight w:val="none"/>
        </w:rPr>
        <w:t>商务要求</w:t>
      </w:r>
    </w:p>
    <w:tbl>
      <w:tblPr>
        <w:tblStyle w:val="38"/>
        <w:tblW w:w="9776"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2732"/>
        <w:gridCol w:w="7044"/>
      </w:tblGrid>
      <w:tr w14:paraId="57FAC69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59" w:hRule="atLeast"/>
          <w:jc w:val="center"/>
        </w:trPr>
        <w:tc>
          <w:tcPr>
            <w:tcW w:w="2732" w:type="dxa"/>
            <w:vMerge w:val="restart"/>
            <w:tcBorders>
              <w:top w:val="double" w:color="auto" w:sz="4" w:space="0"/>
              <w:left w:val="double" w:color="auto" w:sz="4" w:space="0"/>
              <w:bottom w:val="double" w:color="auto" w:sz="4" w:space="0"/>
              <w:right w:val="double" w:color="auto" w:sz="4" w:space="0"/>
            </w:tcBorders>
            <w:noWrap w:val="0"/>
            <w:vAlign w:val="center"/>
          </w:tcPr>
          <w:p w14:paraId="040FC7C7">
            <w:pPr>
              <w:shd w:val="clear"/>
              <w:snapToGrid w:val="0"/>
              <w:spacing w:before="120" w:beforeLines="50" w:after="120" w:afterLines="50" w:line="360" w:lineRule="auto"/>
              <w:jc w:val="center"/>
              <w:rPr>
                <w:rFonts w:hint="eastAsia" w:ascii="宋体" w:hAnsi="宋体" w:eastAsia="宋体" w:cs="宋体"/>
                <w:color w:val="auto"/>
                <w:sz w:val="24"/>
                <w:highlight w:val="none"/>
              </w:rPr>
            </w:pPr>
            <w:bookmarkStart w:id="16" w:name="_Toc404778372"/>
            <w:bookmarkStart w:id="17" w:name="_Toc508353613"/>
            <w:bookmarkStart w:id="18" w:name="_Toc404778651"/>
            <w:bookmarkStart w:id="19" w:name="_Toc404778589"/>
            <w:r>
              <w:rPr>
                <w:rFonts w:hint="eastAsia" w:ascii="宋体" w:hAnsi="宋体" w:eastAsia="宋体" w:cs="宋体"/>
                <w:color w:val="auto"/>
                <w:sz w:val="24"/>
                <w:highlight w:val="none"/>
              </w:rPr>
              <w:t>一、免费</w:t>
            </w:r>
            <w:bookmarkStart w:id="20" w:name="OLE_LINK27"/>
            <w:r>
              <w:rPr>
                <w:rFonts w:hint="eastAsia" w:ascii="宋体" w:hAnsi="宋体" w:eastAsia="宋体" w:cs="宋体"/>
                <w:color w:val="auto"/>
                <w:sz w:val="24"/>
                <w:highlight w:val="none"/>
              </w:rPr>
              <w:t>质保期</w:t>
            </w:r>
            <w:bookmarkEnd w:id="16"/>
            <w:bookmarkEnd w:id="17"/>
            <w:bookmarkEnd w:id="18"/>
            <w:bookmarkEnd w:id="19"/>
            <w:bookmarkEnd w:id="20"/>
          </w:p>
        </w:tc>
        <w:tc>
          <w:tcPr>
            <w:tcW w:w="7044" w:type="dxa"/>
            <w:tcBorders>
              <w:top w:val="double" w:color="auto" w:sz="4" w:space="0"/>
              <w:left w:val="double" w:color="auto" w:sz="4" w:space="0"/>
              <w:bottom w:val="double" w:color="auto" w:sz="4" w:space="0"/>
              <w:right w:val="double" w:color="auto" w:sz="4" w:space="0"/>
            </w:tcBorders>
            <w:noWrap w:val="0"/>
            <w:vAlign w:val="center"/>
          </w:tcPr>
          <w:p w14:paraId="66BBDB90">
            <w:pPr>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质保期≥2年,终身维修。</w:t>
            </w:r>
          </w:p>
        </w:tc>
      </w:tr>
      <w:tr w14:paraId="3B19EC5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65" w:hRule="atLeast"/>
          <w:jc w:val="center"/>
        </w:trPr>
        <w:tc>
          <w:tcPr>
            <w:tcW w:w="2732" w:type="dxa"/>
            <w:vMerge w:val="continue"/>
            <w:tcBorders>
              <w:top w:val="double" w:color="auto" w:sz="4" w:space="0"/>
              <w:left w:val="double" w:color="auto" w:sz="4" w:space="0"/>
              <w:bottom w:val="double" w:color="auto" w:sz="4" w:space="0"/>
              <w:right w:val="double" w:color="auto" w:sz="4" w:space="0"/>
            </w:tcBorders>
            <w:noWrap w:val="0"/>
            <w:vAlign w:val="center"/>
          </w:tcPr>
          <w:p w14:paraId="2FB6354D">
            <w:pPr>
              <w:widowControl/>
              <w:shd w:val="clear"/>
              <w:spacing w:line="360" w:lineRule="auto"/>
              <w:jc w:val="center"/>
              <w:rPr>
                <w:rFonts w:hint="eastAsia" w:ascii="宋体" w:hAnsi="宋体" w:eastAsia="宋体" w:cs="宋体"/>
                <w:color w:val="auto"/>
                <w:sz w:val="24"/>
                <w:highlight w:val="none"/>
              </w:rPr>
            </w:pPr>
          </w:p>
        </w:tc>
        <w:tc>
          <w:tcPr>
            <w:tcW w:w="7044" w:type="dxa"/>
            <w:tcBorders>
              <w:top w:val="double" w:color="auto" w:sz="4" w:space="0"/>
              <w:left w:val="double" w:color="auto" w:sz="4" w:space="0"/>
              <w:bottom w:val="double" w:color="auto" w:sz="4" w:space="0"/>
              <w:right w:val="double" w:color="auto" w:sz="4" w:space="0"/>
            </w:tcBorders>
            <w:noWrap w:val="0"/>
            <w:vAlign w:val="center"/>
          </w:tcPr>
          <w:p w14:paraId="41919275">
            <w:pPr>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质保期外不收取任何维修、差旅费等，仅收取配件费。</w:t>
            </w:r>
          </w:p>
        </w:tc>
      </w:tr>
      <w:tr w14:paraId="66D262F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13" w:hRule="atLeast"/>
          <w:jc w:val="center"/>
        </w:trPr>
        <w:tc>
          <w:tcPr>
            <w:tcW w:w="2732" w:type="dxa"/>
            <w:vMerge w:val="restart"/>
            <w:tcBorders>
              <w:top w:val="double" w:color="auto" w:sz="4" w:space="0"/>
              <w:left w:val="double" w:color="auto" w:sz="4" w:space="0"/>
              <w:bottom w:val="double" w:color="auto" w:sz="4" w:space="0"/>
              <w:right w:val="double" w:color="auto" w:sz="4" w:space="0"/>
            </w:tcBorders>
            <w:noWrap w:val="0"/>
            <w:vAlign w:val="center"/>
          </w:tcPr>
          <w:p w14:paraId="13ADACF3">
            <w:pPr>
              <w:shd w:val="clear"/>
              <w:snapToGrid w:val="0"/>
              <w:spacing w:before="120" w:beforeLines="50" w:after="120" w:afterLines="50" w:line="360" w:lineRule="auto"/>
              <w:jc w:val="center"/>
              <w:rPr>
                <w:rFonts w:hint="eastAsia" w:ascii="宋体" w:hAnsi="宋体" w:eastAsia="宋体" w:cs="宋体"/>
                <w:color w:val="auto"/>
                <w:sz w:val="24"/>
                <w:highlight w:val="none"/>
              </w:rPr>
            </w:pPr>
            <w:bookmarkStart w:id="21" w:name="_Toc404778590"/>
            <w:bookmarkStart w:id="22" w:name="_Toc404778373"/>
            <w:bookmarkStart w:id="23" w:name="_Toc508353614"/>
            <w:bookmarkStart w:id="24" w:name="_Toc404778652"/>
            <w:r>
              <w:rPr>
                <w:rFonts w:hint="eastAsia" w:ascii="宋体" w:hAnsi="宋体" w:eastAsia="宋体" w:cs="宋体"/>
                <w:color w:val="auto"/>
                <w:sz w:val="24"/>
                <w:highlight w:val="none"/>
              </w:rPr>
              <w:t>二、售后服务要求</w:t>
            </w:r>
            <w:bookmarkEnd w:id="21"/>
            <w:bookmarkEnd w:id="22"/>
            <w:bookmarkEnd w:id="23"/>
            <w:bookmarkEnd w:id="24"/>
          </w:p>
        </w:tc>
        <w:tc>
          <w:tcPr>
            <w:tcW w:w="7044" w:type="dxa"/>
            <w:tcBorders>
              <w:top w:val="double" w:color="auto" w:sz="4" w:space="0"/>
              <w:left w:val="double" w:color="auto" w:sz="4" w:space="0"/>
              <w:bottom w:val="double" w:color="auto" w:sz="4" w:space="0"/>
              <w:right w:val="double" w:color="auto" w:sz="4" w:space="0"/>
            </w:tcBorders>
            <w:noWrap w:val="0"/>
            <w:vAlign w:val="center"/>
          </w:tcPr>
          <w:p w14:paraId="1888D90E">
            <w:pPr>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1.设有维修点及零配件供应点；</w:t>
            </w:r>
          </w:p>
        </w:tc>
      </w:tr>
      <w:tr w14:paraId="559E0E2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816" w:hRule="atLeast"/>
          <w:jc w:val="center"/>
        </w:trPr>
        <w:tc>
          <w:tcPr>
            <w:tcW w:w="2732" w:type="dxa"/>
            <w:vMerge w:val="continue"/>
            <w:tcBorders>
              <w:top w:val="double" w:color="auto" w:sz="4" w:space="0"/>
              <w:left w:val="double" w:color="auto" w:sz="4" w:space="0"/>
              <w:bottom w:val="double" w:color="auto" w:sz="4" w:space="0"/>
              <w:right w:val="double" w:color="auto" w:sz="4" w:space="0"/>
            </w:tcBorders>
            <w:noWrap w:val="0"/>
            <w:vAlign w:val="center"/>
          </w:tcPr>
          <w:p w14:paraId="3D066118">
            <w:pPr>
              <w:widowControl/>
              <w:shd w:val="clear"/>
              <w:spacing w:line="360" w:lineRule="auto"/>
              <w:jc w:val="center"/>
              <w:rPr>
                <w:rFonts w:hint="eastAsia" w:ascii="宋体" w:hAnsi="宋体" w:eastAsia="宋体" w:cs="宋体"/>
                <w:color w:val="auto"/>
                <w:sz w:val="24"/>
                <w:highlight w:val="none"/>
              </w:rPr>
            </w:pPr>
          </w:p>
        </w:tc>
        <w:tc>
          <w:tcPr>
            <w:tcW w:w="7044" w:type="dxa"/>
            <w:tcBorders>
              <w:top w:val="double" w:color="auto" w:sz="4" w:space="0"/>
              <w:left w:val="double" w:color="auto" w:sz="4" w:space="0"/>
              <w:bottom w:val="double" w:color="auto" w:sz="4" w:space="0"/>
              <w:right w:val="double" w:color="auto" w:sz="4" w:space="0"/>
            </w:tcBorders>
            <w:noWrap w:val="0"/>
            <w:vAlign w:val="center"/>
          </w:tcPr>
          <w:p w14:paraId="3FCE04CB">
            <w:pPr>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2.须明确承诺维修响应时间、保修期内巡视保养措施及保修期后维护保养承诺。</w:t>
            </w:r>
          </w:p>
        </w:tc>
      </w:tr>
      <w:tr w14:paraId="00CC997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2732" w:type="dxa"/>
            <w:tcBorders>
              <w:top w:val="double" w:color="auto" w:sz="4" w:space="0"/>
              <w:left w:val="double" w:color="auto" w:sz="4" w:space="0"/>
              <w:bottom w:val="double" w:color="auto" w:sz="4" w:space="0"/>
              <w:right w:val="double" w:color="auto" w:sz="4" w:space="0"/>
            </w:tcBorders>
            <w:noWrap w:val="0"/>
            <w:vAlign w:val="center"/>
          </w:tcPr>
          <w:p w14:paraId="35B96470">
            <w:pPr>
              <w:shd w:val="clear"/>
              <w:snapToGrid w:val="0"/>
              <w:spacing w:before="120" w:beforeLines="50" w:after="120" w:afterLines="50" w:line="360" w:lineRule="auto"/>
              <w:jc w:val="center"/>
              <w:rPr>
                <w:rFonts w:hint="eastAsia" w:ascii="宋体" w:hAnsi="宋体" w:eastAsia="宋体" w:cs="宋体"/>
                <w:color w:val="auto"/>
                <w:sz w:val="24"/>
                <w:highlight w:val="none"/>
              </w:rPr>
            </w:pPr>
            <w:bookmarkStart w:id="25" w:name="_Toc404778374"/>
            <w:bookmarkStart w:id="26" w:name="_Toc508353615"/>
            <w:bookmarkStart w:id="27" w:name="_Toc404778591"/>
            <w:bookmarkStart w:id="28" w:name="_Toc404778653"/>
            <w:r>
              <w:rPr>
                <w:rFonts w:hint="eastAsia" w:ascii="宋体" w:hAnsi="宋体" w:eastAsia="宋体" w:cs="宋体"/>
                <w:color w:val="auto"/>
                <w:sz w:val="24"/>
                <w:highlight w:val="none"/>
              </w:rPr>
              <w:t>三、售后服务保障或维修响应时间要求</w:t>
            </w:r>
            <w:bookmarkEnd w:id="25"/>
            <w:bookmarkEnd w:id="26"/>
            <w:bookmarkEnd w:id="27"/>
            <w:bookmarkEnd w:id="28"/>
          </w:p>
        </w:tc>
        <w:tc>
          <w:tcPr>
            <w:tcW w:w="7044" w:type="dxa"/>
            <w:tcBorders>
              <w:top w:val="double" w:color="auto" w:sz="4" w:space="0"/>
              <w:left w:val="double" w:color="auto" w:sz="4" w:space="0"/>
              <w:bottom w:val="double" w:color="auto" w:sz="4" w:space="0"/>
              <w:right w:val="double" w:color="auto" w:sz="4" w:space="0"/>
            </w:tcBorders>
            <w:noWrap w:val="0"/>
            <w:vAlign w:val="center"/>
          </w:tcPr>
          <w:p w14:paraId="62259A97">
            <w:pPr>
              <w:shd w:val="clea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如设备在使用时出现故障，中标人接到采购人电话后1小时内响应，必须在24小时内赶到现场维修，并保证在48小时内修复完毕。如不能修复则提供备机使用，质保期内，与维修相关的所有费用由中标方负责。</w:t>
            </w:r>
          </w:p>
        </w:tc>
      </w:tr>
      <w:tr w14:paraId="378C63D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978" w:hRule="atLeast"/>
          <w:jc w:val="center"/>
        </w:trPr>
        <w:tc>
          <w:tcPr>
            <w:tcW w:w="2732" w:type="dxa"/>
            <w:tcBorders>
              <w:top w:val="double" w:color="auto" w:sz="4" w:space="0"/>
              <w:left w:val="double" w:color="auto" w:sz="4" w:space="0"/>
              <w:bottom w:val="double" w:color="auto" w:sz="4" w:space="0"/>
              <w:right w:val="double" w:color="auto" w:sz="4" w:space="0"/>
            </w:tcBorders>
            <w:noWrap w:val="0"/>
            <w:vAlign w:val="center"/>
          </w:tcPr>
          <w:p w14:paraId="20AC32D3">
            <w:pPr>
              <w:shd w:val="clear"/>
              <w:snapToGrid w:val="0"/>
              <w:spacing w:before="120" w:beforeLines="50" w:after="120" w:afterLines="50" w:line="360" w:lineRule="auto"/>
              <w:jc w:val="center"/>
              <w:rPr>
                <w:rFonts w:hint="eastAsia" w:ascii="宋体" w:hAnsi="宋体" w:eastAsia="宋体" w:cs="宋体"/>
                <w:color w:val="auto"/>
                <w:sz w:val="24"/>
                <w:highlight w:val="none"/>
              </w:rPr>
            </w:pPr>
            <w:bookmarkStart w:id="29" w:name="_Toc404778375"/>
            <w:bookmarkStart w:id="30" w:name="_Toc404778592"/>
            <w:bookmarkStart w:id="31" w:name="_Toc508353616"/>
            <w:bookmarkStart w:id="32" w:name="_Toc404778654"/>
            <w:r>
              <w:rPr>
                <w:rFonts w:hint="eastAsia" w:ascii="宋体" w:hAnsi="宋体" w:eastAsia="宋体" w:cs="宋体"/>
                <w:color w:val="auto"/>
                <w:sz w:val="24"/>
                <w:highlight w:val="none"/>
              </w:rPr>
              <w:t>四、交货时间及地点</w:t>
            </w:r>
            <w:bookmarkEnd w:id="29"/>
            <w:bookmarkEnd w:id="30"/>
            <w:bookmarkEnd w:id="31"/>
            <w:bookmarkEnd w:id="32"/>
          </w:p>
        </w:tc>
        <w:tc>
          <w:tcPr>
            <w:tcW w:w="7044" w:type="dxa"/>
            <w:tcBorders>
              <w:top w:val="double" w:color="auto" w:sz="4" w:space="0"/>
              <w:left w:val="double" w:color="auto" w:sz="4" w:space="0"/>
              <w:bottom w:val="double" w:color="auto" w:sz="4" w:space="0"/>
              <w:right w:val="double" w:color="auto" w:sz="4" w:space="0"/>
            </w:tcBorders>
            <w:noWrap w:val="0"/>
            <w:vAlign w:val="center"/>
          </w:tcPr>
          <w:p w14:paraId="0C1ABEEE">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交货时间：合同签订后30天内完成。</w:t>
            </w:r>
          </w:p>
          <w:p w14:paraId="472AD469">
            <w:pPr>
              <w:shd w:val="clea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交货地点：</w:t>
            </w:r>
            <w:r>
              <w:rPr>
                <w:rFonts w:hint="eastAsia" w:ascii="宋体" w:hAnsi="宋体" w:eastAsia="宋体" w:cs="宋体"/>
                <w:color w:val="auto"/>
                <w:sz w:val="24"/>
                <w:highlight w:val="none"/>
              </w:rPr>
              <w:t>按采购人实际要求，送到采购人指定地点。</w:t>
            </w:r>
          </w:p>
        </w:tc>
      </w:tr>
      <w:tr w14:paraId="4D9B2A4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2732" w:type="dxa"/>
            <w:tcBorders>
              <w:top w:val="double" w:color="auto" w:sz="4" w:space="0"/>
              <w:left w:val="double" w:color="auto" w:sz="4" w:space="0"/>
              <w:bottom w:val="double" w:color="auto" w:sz="4" w:space="0"/>
              <w:right w:val="double" w:color="auto" w:sz="4" w:space="0"/>
            </w:tcBorders>
            <w:noWrap w:val="0"/>
            <w:vAlign w:val="center"/>
          </w:tcPr>
          <w:p w14:paraId="2C621826">
            <w:pPr>
              <w:shd w:val="clear"/>
              <w:snapToGrid w:val="0"/>
              <w:spacing w:before="120" w:beforeLines="50" w:after="120" w:afterLines="50"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五、付款方式</w:t>
            </w:r>
          </w:p>
        </w:tc>
        <w:tc>
          <w:tcPr>
            <w:tcW w:w="7044" w:type="dxa"/>
            <w:tcBorders>
              <w:top w:val="double" w:color="auto" w:sz="4" w:space="0"/>
              <w:left w:val="double" w:color="auto" w:sz="4" w:space="0"/>
              <w:bottom w:val="double" w:color="auto" w:sz="4" w:space="0"/>
              <w:right w:val="double" w:color="auto" w:sz="4" w:space="0"/>
            </w:tcBorders>
            <w:noWrap w:val="0"/>
            <w:vAlign w:val="center"/>
          </w:tcPr>
          <w:p w14:paraId="0CE02828">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付款方式：</w:t>
            </w:r>
          </w:p>
          <w:p w14:paraId="6674E4C4">
            <w:pPr>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合同生效以及具备实施条件后7个工作日内支付合同价款的40%（采购人根据项目特点、供应商诚信等因素，可以要求中标人提交预付款保函）；</w:t>
            </w:r>
          </w:p>
          <w:p w14:paraId="4C9CFC3B">
            <w:pPr>
              <w:shd w:val="clea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所有设备</w:t>
            </w:r>
            <w:r>
              <w:rPr>
                <w:rFonts w:hint="eastAsia" w:ascii="宋体" w:hAnsi="宋体" w:eastAsia="宋体" w:cs="宋体"/>
                <w:color w:val="auto"/>
                <w:sz w:val="24"/>
                <w:highlight w:val="none"/>
              </w:rPr>
              <w:t>安装</w:t>
            </w:r>
            <w:r>
              <w:rPr>
                <w:rFonts w:hint="eastAsia" w:ascii="宋体" w:hAnsi="宋体" w:eastAsia="宋体" w:cs="宋体"/>
                <w:color w:val="auto"/>
                <w:sz w:val="24"/>
                <w:highlight w:val="none"/>
                <w:lang w:val="en-US" w:eastAsia="zh-CN"/>
              </w:rPr>
              <w:t>调试</w:t>
            </w:r>
            <w:r>
              <w:rPr>
                <w:rFonts w:hint="eastAsia" w:ascii="宋体" w:hAnsi="宋体" w:eastAsia="宋体" w:cs="宋体"/>
                <w:color w:val="auto"/>
                <w:sz w:val="24"/>
                <w:highlight w:val="none"/>
              </w:rPr>
              <w:t>完成，并经采购人验收合格后，支付至合同价款的100%（中标人需出具正式税务发票）。</w:t>
            </w:r>
          </w:p>
        </w:tc>
      </w:tr>
      <w:tr w14:paraId="0C5FAE4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247" w:hRule="atLeast"/>
          <w:jc w:val="center"/>
        </w:trPr>
        <w:tc>
          <w:tcPr>
            <w:tcW w:w="2732" w:type="dxa"/>
            <w:tcBorders>
              <w:top w:val="double" w:color="auto" w:sz="4" w:space="0"/>
              <w:left w:val="double" w:color="auto" w:sz="4" w:space="0"/>
              <w:bottom w:val="double" w:color="auto" w:sz="4" w:space="0"/>
              <w:right w:val="double" w:color="auto" w:sz="4" w:space="0"/>
            </w:tcBorders>
            <w:noWrap w:val="0"/>
            <w:vAlign w:val="center"/>
          </w:tcPr>
          <w:p w14:paraId="4733FE42">
            <w:pPr>
              <w:shd w:val="clear"/>
              <w:snapToGrid w:val="0"/>
              <w:spacing w:before="120" w:beforeLines="50" w:after="120" w:afterLines="50" w:line="360" w:lineRule="auto"/>
              <w:jc w:val="center"/>
              <w:rPr>
                <w:rFonts w:hint="eastAsia" w:ascii="宋体" w:hAnsi="宋体" w:eastAsia="宋体" w:cs="宋体"/>
                <w:color w:val="auto"/>
                <w:sz w:val="24"/>
                <w:highlight w:val="none"/>
              </w:rPr>
            </w:pPr>
            <w:bookmarkStart w:id="33" w:name="_Toc404778593"/>
            <w:bookmarkStart w:id="34" w:name="_Toc404778655"/>
            <w:bookmarkStart w:id="35" w:name="_Toc508353617"/>
            <w:bookmarkStart w:id="36" w:name="_Toc404778376"/>
            <w:r>
              <w:rPr>
                <w:rFonts w:hint="eastAsia" w:ascii="宋体" w:hAnsi="宋体" w:eastAsia="宋体" w:cs="宋体"/>
                <w:color w:val="auto"/>
                <w:sz w:val="24"/>
                <w:highlight w:val="none"/>
              </w:rPr>
              <w:t>六、安装</w:t>
            </w:r>
            <w:bookmarkEnd w:id="33"/>
            <w:bookmarkEnd w:id="34"/>
            <w:bookmarkEnd w:id="35"/>
            <w:bookmarkEnd w:id="36"/>
          </w:p>
        </w:tc>
        <w:tc>
          <w:tcPr>
            <w:tcW w:w="7044" w:type="dxa"/>
            <w:tcBorders>
              <w:top w:val="double" w:color="auto" w:sz="4" w:space="0"/>
              <w:left w:val="double" w:color="auto" w:sz="4" w:space="0"/>
              <w:bottom w:val="double" w:color="auto" w:sz="4" w:space="0"/>
              <w:right w:val="double" w:color="auto" w:sz="4" w:space="0"/>
            </w:tcBorders>
            <w:noWrap w:val="0"/>
            <w:vAlign w:val="center"/>
          </w:tcPr>
          <w:p w14:paraId="5D307003">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中标人及时提供有关的安装调试、检测验收、运行维护、维修等相应全过程服务。安装必须符合合同要求和国家有关的技术规范及标准。</w:t>
            </w:r>
          </w:p>
        </w:tc>
      </w:tr>
      <w:tr w14:paraId="7E6AFF4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675" w:hRule="atLeast"/>
          <w:jc w:val="center"/>
        </w:trPr>
        <w:tc>
          <w:tcPr>
            <w:tcW w:w="2732" w:type="dxa"/>
            <w:tcBorders>
              <w:top w:val="double" w:color="auto" w:sz="4" w:space="0"/>
              <w:left w:val="double" w:color="auto" w:sz="4" w:space="0"/>
              <w:bottom w:val="double" w:color="auto" w:sz="4" w:space="0"/>
              <w:right w:val="double" w:color="auto" w:sz="4" w:space="0"/>
            </w:tcBorders>
            <w:noWrap w:val="0"/>
            <w:vAlign w:val="center"/>
          </w:tcPr>
          <w:p w14:paraId="54A55909">
            <w:pPr>
              <w:shd w:val="clear"/>
              <w:snapToGrid w:val="0"/>
              <w:spacing w:before="120" w:beforeLines="50" w:after="120" w:afterLines="50" w:line="360" w:lineRule="auto"/>
              <w:jc w:val="center"/>
              <w:rPr>
                <w:rFonts w:hint="eastAsia" w:ascii="宋体" w:hAnsi="宋体" w:eastAsia="宋体" w:cs="宋体"/>
                <w:color w:val="auto"/>
                <w:sz w:val="24"/>
                <w:highlight w:val="none"/>
              </w:rPr>
            </w:pPr>
            <w:bookmarkStart w:id="37" w:name="_Toc404778594"/>
            <w:bookmarkStart w:id="38" w:name="_Toc508353618"/>
            <w:bookmarkStart w:id="39" w:name="_Toc404778377"/>
            <w:bookmarkStart w:id="40" w:name="_Toc404778656"/>
            <w:r>
              <w:rPr>
                <w:rFonts w:hint="eastAsia" w:ascii="宋体" w:hAnsi="宋体" w:eastAsia="宋体" w:cs="宋体"/>
                <w:color w:val="auto"/>
                <w:sz w:val="24"/>
                <w:highlight w:val="none"/>
              </w:rPr>
              <w:t>七、培训</w:t>
            </w:r>
            <w:bookmarkEnd w:id="37"/>
            <w:bookmarkEnd w:id="38"/>
            <w:bookmarkEnd w:id="39"/>
            <w:bookmarkEnd w:id="40"/>
          </w:p>
        </w:tc>
        <w:tc>
          <w:tcPr>
            <w:tcW w:w="7044" w:type="dxa"/>
            <w:tcBorders>
              <w:top w:val="double" w:color="auto" w:sz="4" w:space="0"/>
              <w:left w:val="double" w:color="auto" w:sz="4" w:space="0"/>
              <w:bottom w:val="double" w:color="auto" w:sz="4" w:space="0"/>
              <w:right w:val="double" w:color="auto" w:sz="4" w:space="0"/>
            </w:tcBorders>
            <w:noWrap w:val="0"/>
            <w:vAlign w:val="center"/>
          </w:tcPr>
          <w:p w14:paraId="5EF2CF1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必须提供就设备的操作、安装、启动、调试、运行、维护和修理对采购方操作人员进行培训，并向培训人员提供维修所需的特殊工具、口令、图纸及维修手册。提供详细的操作和维护软件。培训计划须包括计划</w:t>
            </w:r>
            <w:r>
              <w:rPr>
                <w:rFonts w:hint="eastAsia" w:ascii="宋体" w:hAnsi="宋体" w:eastAsia="宋体" w:cs="宋体"/>
                <w:color w:val="auto"/>
                <w:kern w:val="0"/>
                <w:sz w:val="24"/>
                <w:highlight w:val="none"/>
              </w:rPr>
              <w:t>培训的人数、时间、地点</w:t>
            </w:r>
            <w:r>
              <w:rPr>
                <w:rFonts w:hint="eastAsia" w:ascii="宋体" w:hAnsi="宋体" w:eastAsia="宋体" w:cs="宋体"/>
                <w:color w:val="auto"/>
                <w:sz w:val="24"/>
                <w:highlight w:val="none"/>
              </w:rPr>
              <w:t>，所有的培训费用必须计入投标总价。</w:t>
            </w:r>
          </w:p>
        </w:tc>
      </w:tr>
      <w:tr w14:paraId="7BA62A3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2732" w:type="dxa"/>
            <w:vMerge w:val="restart"/>
            <w:tcBorders>
              <w:top w:val="double" w:color="auto" w:sz="4" w:space="0"/>
              <w:left w:val="double" w:color="auto" w:sz="4" w:space="0"/>
              <w:right w:val="double" w:color="auto" w:sz="4" w:space="0"/>
            </w:tcBorders>
            <w:noWrap w:val="0"/>
            <w:vAlign w:val="center"/>
          </w:tcPr>
          <w:p w14:paraId="359EF89A">
            <w:pPr>
              <w:shd w:val="clear"/>
              <w:snapToGrid w:val="0"/>
              <w:spacing w:before="120" w:beforeLines="50" w:after="120" w:afterLines="50"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八、验收</w:t>
            </w:r>
          </w:p>
        </w:tc>
        <w:tc>
          <w:tcPr>
            <w:tcW w:w="7044" w:type="dxa"/>
            <w:tcBorders>
              <w:top w:val="double" w:color="auto" w:sz="4" w:space="0"/>
              <w:left w:val="double" w:color="auto" w:sz="4" w:space="0"/>
              <w:bottom w:val="double" w:color="auto" w:sz="4" w:space="0"/>
              <w:right w:val="double" w:color="auto" w:sz="4" w:space="0"/>
            </w:tcBorders>
            <w:noWrap w:val="0"/>
            <w:vAlign w:val="center"/>
          </w:tcPr>
          <w:p w14:paraId="5B09F4C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设备安装调试，采购人将按规定对货物的品牌、外观、规格、参数配置、数量、配件及安装调试后的使用性能、运行状况、技术资料及其他进行验收，中标人必须在验收现场提供必要的技术支持，验收费用由中标人承担。</w:t>
            </w:r>
          </w:p>
        </w:tc>
      </w:tr>
      <w:tr w14:paraId="1DD732C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2732" w:type="dxa"/>
            <w:vMerge w:val="continue"/>
            <w:tcBorders>
              <w:left w:val="double" w:color="auto" w:sz="4" w:space="0"/>
              <w:right w:val="double" w:color="auto" w:sz="4" w:space="0"/>
            </w:tcBorders>
            <w:noWrap w:val="0"/>
            <w:vAlign w:val="center"/>
          </w:tcPr>
          <w:p w14:paraId="7ABCB786">
            <w:pPr>
              <w:shd w:val="clear"/>
              <w:snapToGrid w:val="0"/>
              <w:spacing w:before="120" w:beforeLines="50" w:after="120" w:afterLines="50" w:line="360" w:lineRule="auto"/>
              <w:jc w:val="center"/>
              <w:rPr>
                <w:rFonts w:hint="eastAsia" w:ascii="宋体" w:hAnsi="宋体" w:eastAsia="宋体" w:cs="宋体"/>
                <w:color w:val="auto"/>
                <w:sz w:val="24"/>
                <w:highlight w:val="none"/>
              </w:rPr>
            </w:pPr>
          </w:p>
        </w:tc>
        <w:tc>
          <w:tcPr>
            <w:tcW w:w="7044" w:type="dxa"/>
            <w:tcBorders>
              <w:top w:val="double" w:color="auto" w:sz="4" w:space="0"/>
              <w:left w:val="double" w:color="auto" w:sz="4" w:space="0"/>
              <w:bottom w:val="double" w:color="auto" w:sz="4" w:space="0"/>
              <w:right w:val="double" w:color="auto" w:sz="4" w:space="0"/>
            </w:tcBorders>
            <w:noWrap w:val="0"/>
            <w:vAlign w:val="center"/>
          </w:tcPr>
          <w:p w14:paraId="40CA83F5">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如发生所供设备与招标文件中规定的设备不符，由此产生的一切责任和后果由中标人承担，采购方有权要求中标人赔偿相关损失。</w:t>
            </w:r>
          </w:p>
        </w:tc>
      </w:tr>
      <w:tr w14:paraId="746C66E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2732" w:type="dxa"/>
            <w:vMerge w:val="continue"/>
            <w:tcBorders>
              <w:left w:val="double" w:color="auto" w:sz="4" w:space="0"/>
              <w:bottom w:val="double" w:color="auto" w:sz="4" w:space="0"/>
              <w:right w:val="double" w:color="auto" w:sz="4" w:space="0"/>
            </w:tcBorders>
            <w:noWrap w:val="0"/>
            <w:vAlign w:val="center"/>
          </w:tcPr>
          <w:p w14:paraId="626A6FA1">
            <w:pPr>
              <w:shd w:val="clear"/>
              <w:snapToGrid w:val="0"/>
              <w:spacing w:before="120" w:beforeLines="50" w:after="120" w:afterLines="50" w:line="360" w:lineRule="auto"/>
              <w:jc w:val="center"/>
              <w:rPr>
                <w:rFonts w:hint="eastAsia" w:ascii="宋体" w:hAnsi="宋体" w:eastAsia="宋体" w:cs="宋体"/>
                <w:color w:val="auto"/>
                <w:sz w:val="24"/>
                <w:highlight w:val="none"/>
              </w:rPr>
            </w:pPr>
          </w:p>
        </w:tc>
        <w:tc>
          <w:tcPr>
            <w:tcW w:w="7044" w:type="dxa"/>
            <w:tcBorders>
              <w:top w:val="double" w:color="auto" w:sz="4" w:space="0"/>
              <w:left w:val="double" w:color="auto" w:sz="4" w:space="0"/>
              <w:bottom w:val="double" w:color="auto" w:sz="4" w:space="0"/>
              <w:right w:val="double" w:color="auto" w:sz="4" w:space="0"/>
            </w:tcBorders>
            <w:noWrap w:val="0"/>
            <w:vAlign w:val="center"/>
          </w:tcPr>
          <w:p w14:paraId="472D8DF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质量符合国际或国家通用标准，满足招标文件技术标准部分所规定的全部功能。如出现质量问题或系假冒伪劣产品，中标人负责包退、包换，因此而涉及的全部违约责任和费用由中标人承担。</w:t>
            </w:r>
          </w:p>
        </w:tc>
      </w:tr>
    </w:tbl>
    <w:p w14:paraId="36D433A0">
      <w:pPr>
        <w:keepNext w:val="0"/>
        <w:keepLines w:val="0"/>
        <w:pageBreakBefore w:val="0"/>
        <w:widowControl w:val="0"/>
        <w:numPr>
          <w:ilvl w:val="0"/>
          <w:numId w:val="0"/>
        </w:numPr>
        <w:shd w:val="clea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p>
    <w:p w14:paraId="5F3AC6FC">
      <w:pPr>
        <w:pStyle w:val="16"/>
        <w:shd w:val="clear"/>
        <w:ind w:left="0" w:leftChars="0" w:firstLine="0" w:firstLineChars="0"/>
        <w:rPr>
          <w:rFonts w:hint="default"/>
          <w:color w:val="auto"/>
          <w:highlight w:val="none"/>
          <w:lang w:val="en-US" w:eastAsia="zh-CN"/>
        </w:rPr>
      </w:pPr>
    </w:p>
    <w:bookmarkEnd w:id="13"/>
    <w:p w14:paraId="4C0120D8">
      <w:pPr>
        <w:pStyle w:val="7"/>
        <w:keepNext w:val="0"/>
        <w:keepLines w:val="0"/>
        <w:pageBreakBefore/>
        <w:shd w:val="clear"/>
        <w:spacing w:line="240" w:lineRule="auto"/>
        <w:jc w:val="center"/>
        <w:rPr>
          <w:rFonts w:hint="eastAsia" w:ascii="宋体" w:hAnsi="宋体" w:eastAsia="宋体" w:cs="宋体"/>
          <w:color w:val="auto"/>
          <w:kern w:val="0"/>
          <w:sz w:val="24"/>
          <w:szCs w:val="24"/>
          <w:highlight w:val="none"/>
        </w:rPr>
      </w:pPr>
      <w:bookmarkStart w:id="41" w:name="_Toc6454"/>
      <w:r>
        <w:rPr>
          <w:rFonts w:hint="eastAsia" w:ascii="宋体" w:hAnsi="宋体" w:eastAsia="宋体" w:cs="宋体"/>
          <w:color w:val="auto"/>
          <w:sz w:val="24"/>
          <w:szCs w:val="24"/>
          <w:highlight w:val="none"/>
        </w:rPr>
        <w:t>第三章   投标人须知</w:t>
      </w:r>
      <w:bookmarkEnd w:id="41"/>
    </w:p>
    <w:p w14:paraId="19B7D245">
      <w:pPr>
        <w:pStyle w:val="22"/>
        <w:shd w:val="clear"/>
        <w:snapToGrid w:val="0"/>
        <w:spacing w:before="120" w:after="120"/>
        <w:ind w:firstLine="472" w:firstLineChars="196"/>
        <w:jc w:val="center"/>
        <w:outlineLvl w:val="1"/>
        <w:rPr>
          <w:rFonts w:hint="eastAsia" w:ascii="宋体" w:hAnsi="宋体" w:eastAsia="宋体" w:cs="宋体"/>
          <w:b/>
          <w:color w:val="auto"/>
          <w:szCs w:val="24"/>
          <w:highlight w:val="none"/>
        </w:rPr>
      </w:pPr>
      <w:bookmarkStart w:id="42" w:name="_Toc25043"/>
      <w:r>
        <w:rPr>
          <w:rFonts w:hint="eastAsia" w:ascii="宋体" w:hAnsi="宋体" w:eastAsia="宋体" w:cs="宋体"/>
          <w:b/>
          <w:color w:val="auto"/>
          <w:szCs w:val="24"/>
          <w:highlight w:val="none"/>
        </w:rPr>
        <w:t>前附表</w:t>
      </w:r>
      <w:bookmarkEnd w:id="42"/>
    </w:p>
    <w:tbl>
      <w:tblPr>
        <w:tblStyle w:val="38"/>
        <w:tblW w:w="98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0"/>
        <w:gridCol w:w="4"/>
        <w:gridCol w:w="9045"/>
      </w:tblGrid>
      <w:tr w14:paraId="7240A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737C1177">
            <w:pPr>
              <w:shd w:val="clea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049" w:type="dxa"/>
            <w:gridSpan w:val="2"/>
            <w:tcBorders>
              <w:top w:val="single" w:color="auto" w:sz="4" w:space="0"/>
              <w:left w:val="single" w:color="auto" w:sz="4" w:space="0"/>
              <w:bottom w:val="single" w:color="auto" w:sz="4" w:space="0"/>
              <w:right w:val="single" w:color="auto" w:sz="4" w:space="0"/>
            </w:tcBorders>
            <w:vAlign w:val="center"/>
          </w:tcPr>
          <w:p w14:paraId="449E78E9">
            <w:pPr>
              <w:shd w:val="clea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内容、要求</w:t>
            </w:r>
          </w:p>
        </w:tc>
      </w:tr>
      <w:tr w14:paraId="6B13CC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67CBED47">
            <w:pPr>
              <w:shd w:val="clear"/>
              <w:snapToGrid w:val="0"/>
              <w:spacing w:line="360" w:lineRule="auto"/>
              <w:ind w:firstLine="240" w:firstLineChars="1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9049" w:type="dxa"/>
            <w:gridSpan w:val="2"/>
            <w:tcBorders>
              <w:top w:val="single" w:color="auto" w:sz="4" w:space="0"/>
              <w:left w:val="single" w:color="auto" w:sz="4" w:space="0"/>
              <w:bottom w:val="single" w:color="auto" w:sz="4" w:space="0"/>
              <w:right w:val="single" w:color="auto" w:sz="4" w:space="0"/>
            </w:tcBorders>
            <w:vAlign w:val="center"/>
          </w:tcPr>
          <w:p w14:paraId="54B9C23A">
            <w:pPr>
              <w:shd w:val="clear"/>
              <w:snapToGrid w:val="0"/>
              <w:spacing w:line="360" w:lineRule="auto"/>
              <w:jc w:val="left"/>
              <w:rPr>
                <w:rFonts w:hint="default" w:ascii="宋体" w:hAnsi="宋体" w:eastAsia="宋体" w:cs="宋体"/>
                <w:b/>
                <w:bCs/>
                <w:color w:val="auto"/>
                <w:sz w:val="24"/>
                <w:highlight w:val="non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val="en-US" w:eastAsia="zh-CN"/>
              </w:rPr>
              <w:t>东阳市江北综合医院（东阳市红会医院迁建工程）厨房设备采购项目</w:t>
            </w:r>
          </w:p>
        </w:tc>
      </w:tr>
      <w:tr w14:paraId="15369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2FF1D139">
            <w:pPr>
              <w:shd w:val="clea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9049" w:type="dxa"/>
            <w:gridSpan w:val="2"/>
            <w:tcBorders>
              <w:top w:val="single" w:color="auto" w:sz="4" w:space="0"/>
              <w:left w:val="single" w:color="auto" w:sz="4" w:space="0"/>
              <w:bottom w:val="single" w:color="auto" w:sz="4" w:space="0"/>
              <w:right w:val="single" w:color="auto" w:sz="4" w:space="0"/>
            </w:tcBorders>
            <w:vAlign w:val="center"/>
          </w:tcPr>
          <w:p w14:paraId="2C6B0A5D">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投标报价及费用：1、本项目投标应以</w:t>
            </w:r>
            <w:r>
              <w:rPr>
                <w:rFonts w:hint="eastAsia" w:ascii="宋体" w:hAnsi="宋体" w:cs="宋体"/>
                <w:color w:val="auto"/>
                <w:sz w:val="24"/>
                <w:highlight w:val="none"/>
                <w:lang w:val="en-US" w:eastAsia="zh-CN"/>
              </w:rPr>
              <w:t>人民币</w:t>
            </w:r>
            <w:r>
              <w:rPr>
                <w:rFonts w:hint="eastAsia" w:ascii="宋体" w:hAnsi="宋体" w:eastAsia="宋体" w:cs="宋体"/>
                <w:color w:val="auto"/>
                <w:sz w:val="24"/>
                <w:highlight w:val="none"/>
              </w:rPr>
              <w:t>报价；2、不论投标结果如何，投标人均应自行承担所有与投标有关的全部费用；3、投标费用：东阳市鑫盛工程咨询有限公司按照本招标文件总则第（五）条规定向中标人收取中标服务费。</w:t>
            </w:r>
          </w:p>
        </w:tc>
      </w:tr>
      <w:tr w14:paraId="0CA78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14:paraId="77A88EBC">
            <w:pPr>
              <w:keepNext w:val="0"/>
              <w:keepLines w:val="0"/>
              <w:pageBreakBefore w:val="0"/>
              <w:widowControl w:val="0"/>
              <w:shd w:val="clear"/>
              <w:kinsoku/>
              <w:wordWrap/>
              <w:overflowPunct/>
              <w:topLinePunct w:val="0"/>
              <w:bidi w:val="0"/>
              <w:adjustRightInd/>
              <w:snapToGrid w:val="0"/>
              <w:spacing w:line="42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9049" w:type="dxa"/>
            <w:gridSpan w:val="2"/>
            <w:tcBorders>
              <w:top w:val="single" w:color="auto" w:sz="4" w:space="0"/>
              <w:left w:val="single" w:color="auto" w:sz="4" w:space="0"/>
              <w:bottom w:val="single" w:color="auto" w:sz="4" w:space="0"/>
              <w:right w:val="single" w:color="auto" w:sz="4" w:space="0"/>
            </w:tcBorders>
            <w:vAlign w:val="center"/>
          </w:tcPr>
          <w:p w14:paraId="2076A6A3">
            <w:pPr>
              <w:keepNext w:val="0"/>
              <w:keepLines w:val="0"/>
              <w:pageBreakBefore w:val="0"/>
              <w:widowControl w:val="0"/>
              <w:shd w:val="clear"/>
              <w:kinsoku/>
              <w:wordWrap/>
              <w:overflowPunct/>
              <w:topLinePunct w:val="0"/>
              <w:bidi w:val="0"/>
              <w:adjustRightInd/>
              <w:snapToGrid w:val="0"/>
              <w:spacing w:line="420" w:lineRule="exact"/>
              <w:rPr>
                <w:rFonts w:hint="eastAsia" w:ascii="宋体" w:hAnsi="宋体" w:eastAsia="宋体" w:cs="宋体"/>
                <w:color w:val="auto"/>
                <w:kern w:val="2"/>
                <w:sz w:val="24"/>
                <w:szCs w:val="24"/>
                <w:highlight w:val="none"/>
                <w:lang w:val="en-US" w:eastAsia="zh-CN" w:bidi="ar-SA"/>
              </w:rPr>
            </w:pPr>
            <w:r>
              <w:rPr>
                <w:rFonts w:hint="eastAsia" w:ascii="宋体" w:hAnsi="宋体" w:cs="宋体"/>
                <w:b/>
                <w:bCs/>
                <w:color w:val="auto"/>
                <w:sz w:val="24"/>
                <w:szCs w:val="24"/>
                <w:highlight w:val="none"/>
              </w:rPr>
              <w:t>根据《政府采购促进中小企业管理办法》及《关于印发中小企业划型标准规定的通</w:t>
            </w:r>
            <w:r>
              <w:rPr>
                <w:rFonts w:hint="eastAsia" w:ascii="宋体" w:hAnsi="宋体" w:cs="宋体"/>
                <w:b/>
                <w:bCs/>
                <w:color w:val="auto"/>
                <w:sz w:val="24"/>
                <w:szCs w:val="24"/>
                <w:highlight w:val="none"/>
                <w:shd w:val="clear"/>
              </w:rPr>
              <w:t>知工信部联企业》（〔2011〕300号）有关规定，本采购标的对应的所属行业为</w:t>
            </w:r>
            <w:r>
              <w:rPr>
                <w:rFonts w:hint="eastAsia" w:ascii="宋体" w:hAnsi="宋体" w:cs="宋体"/>
                <w:b/>
                <w:bCs/>
                <w:color w:val="auto"/>
                <w:sz w:val="24"/>
                <w:szCs w:val="24"/>
                <w:highlight w:val="none"/>
                <w:shd w:val="clear"/>
                <w:lang w:eastAsia="zh-CN"/>
              </w:rPr>
              <w:t>：</w:t>
            </w:r>
            <w:r>
              <w:rPr>
                <w:rFonts w:hint="eastAsia" w:ascii="宋体" w:hAnsi="宋体" w:cs="宋体"/>
                <w:b/>
                <w:bCs/>
                <w:color w:val="auto"/>
                <w:sz w:val="24"/>
                <w:highlight w:val="none"/>
              </w:rPr>
              <w:t>工业。</w:t>
            </w:r>
          </w:p>
        </w:tc>
      </w:tr>
      <w:tr w14:paraId="4E54EE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24339B94">
            <w:pPr>
              <w:keepNext w:val="0"/>
              <w:keepLines w:val="0"/>
              <w:pageBreakBefore w:val="0"/>
              <w:widowControl w:val="0"/>
              <w:shd w:val="clear"/>
              <w:kinsoku/>
              <w:wordWrap/>
              <w:overflowPunct/>
              <w:topLinePunct w:val="0"/>
              <w:bidi w:val="0"/>
              <w:adjustRightInd/>
              <w:snapToGrid w:val="0"/>
              <w:spacing w:line="42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045" w:type="dxa"/>
            <w:tcBorders>
              <w:top w:val="single" w:color="auto" w:sz="4" w:space="0"/>
              <w:left w:val="single" w:color="auto" w:sz="4" w:space="0"/>
              <w:bottom w:val="single" w:color="auto" w:sz="4" w:space="0"/>
              <w:right w:val="single" w:color="auto" w:sz="4" w:space="0"/>
            </w:tcBorders>
            <w:vAlign w:val="center"/>
          </w:tcPr>
          <w:p w14:paraId="02498A87">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根据《关于在政府采购活动中查询及使用信用记录有关问题的通知》财库[2016]125号的规定：</w:t>
            </w:r>
          </w:p>
          <w:p w14:paraId="3D16088A">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采购人</w:t>
            </w:r>
            <w:r>
              <w:rPr>
                <w:rFonts w:hint="eastAsia" w:ascii="宋体" w:hAnsi="宋体" w:eastAsia="宋体" w:cs="宋体"/>
                <w:color w:val="auto"/>
                <w:sz w:val="24"/>
                <w:highlight w:val="none"/>
              </w:rPr>
              <w:t>或采购代理机构将对本项目供应商的信用记录进行查询。查询渠道为信用中国网站（www.creditchina.gov.cn）、中国政府采购网（www.ccgp.gov.cn）；</w:t>
            </w:r>
          </w:p>
          <w:p w14:paraId="0BDB72E1">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（2）截止时点：提交投标文件（响应文件）截止时间前3年内；</w:t>
            </w:r>
          </w:p>
          <w:p w14:paraId="4341D1C2">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（3）查询记录和证据的留存：信用信息查询记录和证据以网页截图等方式留存。</w:t>
            </w:r>
          </w:p>
          <w:p w14:paraId="73F58858">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（4）使用规则：被列入失信被执行人、重大税收违法案件当事人名单、政府采购严重违法失信行为记录名单及其它不符合《中华人民共和国政府采购法》第二十二条规定条件的，其投标将被拒绝。</w:t>
            </w:r>
          </w:p>
          <w:p w14:paraId="3B57ED3F">
            <w:pPr>
              <w:shd w:val="clear"/>
              <w:snapToGrid w:val="0"/>
              <w:spacing w:line="360" w:lineRule="auto"/>
              <w:rPr>
                <w:rFonts w:hint="eastAsia" w:ascii="宋体" w:hAnsi="宋体" w:cs="宋体"/>
                <w:b/>
                <w:bCs/>
                <w:color w:val="auto"/>
                <w:sz w:val="24"/>
                <w:szCs w:val="24"/>
                <w:highlight w:val="none"/>
              </w:rPr>
            </w:pPr>
            <w:r>
              <w:rPr>
                <w:rFonts w:hint="eastAsia" w:ascii="宋体" w:hAnsi="宋体" w:eastAsia="宋体" w:cs="宋体"/>
                <w:color w:val="auto"/>
                <w:sz w:val="24"/>
                <w:highlight w:val="none"/>
              </w:rPr>
              <w:t>（5）联合体成员任意一方存在不良信用记录的，视同联合体存在不良信用记录。</w:t>
            </w:r>
          </w:p>
        </w:tc>
      </w:tr>
      <w:tr w14:paraId="6CA91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1C82BA3C">
            <w:pPr>
              <w:shd w:val="clear"/>
              <w:snapToGrid w:val="0"/>
              <w:spacing w:line="420" w:lineRule="exact"/>
              <w:jc w:val="center"/>
              <w:rPr>
                <w:rFonts w:hint="eastAsia"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eastAsia="zh-CN"/>
              </w:rPr>
              <w:t>5</w:t>
            </w:r>
          </w:p>
        </w:tc>
        <w:tc>
          <w:tcPr>
            <w:tcW w:w="9045" w:type="dxa"/>
            <w:tcBorders>
              <w:top w:val="single" w:color="auto" w:sz="4" w:space="0"/>
              <w:left w:val="single" w:color="auto" w:sz="4" w:space="0"/>
              <w:bottom w:val="single" w:color="auto" w:sz="4" w:space="0"/>
              <w:right w:val="single" w:color="auto" w:sz="4" w:space="0"/>
            </w:tcBorders>
            <w:vAlign w:val="center"/>
          </w:tcPr>
          <w:p w14:paraId="48128320">
            <w:pPr>
              <w:shd w:val="clear"/>
              <w:snapToGrid w:val="0"/>
              <w:spacing w:line="348" w:lineRule="auto"/>
              <w:rPr>
                <w:rFonts w:ascii="宋体" w:hAnsi="宋体" w:cs="宋体"/>
                <w:color w:val="auto"/>
                <w:sz w:val="24"/>
                <w:highlight w:val="none"/>
              </w:rPr>
            </w:pPr>
            <w:r>
              <w:rPr>
                <w:rFonts w:hint="eastAsia" w:ascii="宋体" w:hAnsi="宋体" w:cs="宋体"/>
                <w:color w:val="auto"/>
                <w:sz w:val="24"/>
                <w:highlight w:val="none"/>
              </w:rPr>
              <w:t>1、节能产品、环境标志产品的强制采购政策</w:t>
            </w:r>
          </w:p>
          <w:p w14:paraId="4088F14E">
            <w:pPr>
              <w:shd w:val="clear"/>
              <w:snapToGrid w:val="0"/>
              <w:spacing w:line="348" w:lineRule="auto"/>
              <w:rPr>
                <w:rFonts w:ascii="宋体" w:hAnsi="宋体" w:cs="宋体"/>
                <w:color w:val="auto"/>
                <w:sz w:val="24"/>
                <w:highlight w:val="none"/>
              </w:rPr>
            </w:pPr>
            <w:r>
              <w:rPr>
                <w:rFonts w:hint="eastAsia" w:ascii="宋体" w:hAnsi="宋体" w:cs="宋体"/>
                <w:color w:val="auto"/>
                <w:sz w:val="24"/>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0A398B58">
            <w:pPr>
              <w:shd w:val="clear"/>
              <w:snapToGrid w:val="0"/>
              <w:spacing w:line="348" w:lineRule="auto"/>
              <w:rPr>
                <w:rFonts w:ascii="宋体" w:hAnsi="宋体" w:cs="宋体"/>
                <w:color w:val="auto"/>
                <w:sz w:val="24"/>
                <w:highlight w:val="none"/>
              </w:rPr>
            </w:pPr>
            <w:r>
              <w:rPr>
                <w:rFonts w:hint="eastAsia" w:ascii="宋体" w:hAnsi="宋体" w:cs="宋体"/>
                <w:color w:val="auto"/>
                <w:sz w:val="24"/>
                <w:highlight w:val="none"/>
              </w:rPr>
              <w:t>2、节能产品、环境标志产品的优先采购政策</w:t>
            </w:r>
          </w:p>
          <w:p w14:paraId="3841EA37">
            <w:pPr>
              <w:shd w:val="clear"/>
              <w:snapToGri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5A8FB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216218EB">
            <w:pPr>
              <w:shd w:val="clea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9045" w:type="dxa"/>
            <w:tcBorders>
              <w:top w:val="single" w:color="auto" w:sz="4" w:space="0"/>
              <w:left w:val="single" w:color="auto" w:sz="4" w:space="0"/>
              <w:bottom w:val="single" w:color="auto" w:sz="4" w:space="0"/>
              <w:right w:val="single" w:color="auto" w:sz="4" w:space="0"/>
            </w:tcBorders>
            <w:vAlign w:val="center"/>
          </w:tcPr>
          <w:p w14:paraId="1EC112B0">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答疑与澄清：投标人如认为招标文件表述不清晰、存在歧视性、排他性或者其他违法内容的，应当按照公开招标公告第</w:t>
            </w:r>
            <w:r>
              <w:rPr>
                <w:rFonts w:hint="eastAsia" w:ascii="宋体" w:hAnsi="宋体" w:eastAsia="宋体" w:cs="宋体"/>
                <w:color w:val="auto"/>
                <w:sz w:val="24"/>
                <w:highlight w:val="none"/>
                <w:lang w:eastAsia="zh-CN"/>
              </w:rPr>
              <w:t>三、</w:t>
            </w: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条规定以书面形式要求招标方作出书面解释、澄清或者向招标方提出书面质疑；</w:t>
            </w:r>
            <w:r>
              <w:rPr>
                <w:rFonts w:hint="eastAsia" w:ascii="宋体" w:hAnsi="宋体" w:eastAsia="宋体" w:cs="宋体"/>
                <w:b/>
                <w:color w:val="auto"/>
                <w:sz w:val="24"/>
                <w:highlight w:val="none"/>
              </w:rPr>
              <w:t>在质疑截止时间前，未对招标文件提出质疑时，视投标人对招标文件的默认；</w:t>
            </w:r>
            <w:r>
              <w:rPr>
                <w:rFonts w:hint="eastAsia" w:ascii="宋体" w:hAnsi="宋体" w:eastAsia="宋体" w:cs="宋体"/>
                <w:color w:val="auto"/>
                <w:sz w:val="24"/>
                <w:highlight w:val="none"/>
              </w:rPr>
              <w:t>招标采购单位对已发出的招标文件进行必要澄清、答复、修改或者补充的，在财政部门指定的政府采购信息发布媒体上发布更正公告，并以书面形式通知所有已获取招标文件的投标人；答疑内容是招标文件的组成部分；澄清或者修改的内容可能影响投标文件编制的，应当在投标截止时间至少15日前，以书面形式通知所有获取招标文件的潜在投标人；不足15日的，顺延提交投标文件的截止时间。</w:t>
            </w:r>
          </w:p>
        </w:tc>
      </w:tr>
      <w:tr w14:paraId="0DD6EB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0A2F2185">
            <w:pPr>
              <w:shd w:val="clea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9045" w:type="dxa"/>
            <w:tcBorders>
              <w:top w:val="single" w:color="auto" w:sz="4" w:space="0"/>
              <w:left w:val="single" w:color="auto" w:sz="4" w:space="0"/>
              <w:bottom w:val="single" w:color="auto" w:sz="4" w:space="0"/>
              <w:right w:val="single" w:color="auto" w:sz="4" w:space="0"/>
            </w:tcBorders>
            <w:vAlign w:val="center"/>
          </w:tcPr>
          <w:p w14:paraId="13200FD8">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投标文件的递交：</w:t>
            </w:r>
          </w:p>
          <w:p w14:paraId="37B876C6">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本项目投标文件由资格审查文件、商务技术文件和报价文件三部分组成。投标人应按以下方式递交投标文件：</w:t>
            </w:r>
          </w:p>
          <w:p w14:paraId="2E1C5AD2">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cs="宋体"/>
                <w:b/>
                <w:color w:val="auto"/>
                <w:sz w:val="24"/>
                <w:highlight w:val="none"/>
              </w:rPr>
              <w:t>▲</w:t>
            </w:r>
            <w:r>
              <w:rPr>
                <w:rFonts w:hint="eastAsia" w:ascii="宋体" w:hAnsi="宋体" w:eastAsia="宋体" w:cs="宋体"/>
                <w:color w:val="auto"/>
                <w:sz w:val="24"/>
                <w:highlight w:val="none"/>
              </w:rPr>
              <w:t>1、本项目实行“网上投标、电子评标”，投标人应于投标截止时间前在“政采云”（电子交易平台）上传输、递交电子版投标文件（包括资格审查文件、商务技术文件和报价文件）；</w:t>
            </w:r>
          </w:p>
          <w:p w14:paraId="31290761">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2、为了避免由于电子交易平台无法正常运行等技术、安全故障原因造成投标文件无法解密或解密失败，导致投标无效的情况，投标人可以在投标截止时间前将电子备份投标文件（经政采云电子交易客户端和CA驱动制作出的后缀名为“bfbs”的加密电子备份投标文件）发送至东阳市鑫盛工程咨询有限公司邮箱：1816352277@qq.com，逾期发送或发错后缀名的备份投标文件将被视为无效；</w:t>
            </w:r>
          </w:p>
          <w:p w14:paraId="7C1EA272">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3、投标人仅提交电子备份投标文件的，投标无效；</w:t>
            </w:r>
          </w:p>
          <w:p w14:paraId="12F74DC2">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4、本项目不强制投标人提交电子备份投标文件；如在开评标时出现电子投标文件无法解密或解密失败等情况，因投标人未提供电子备份投标文件而造成投标无效等一切后果和风险由投标人自行承担。</w:t>
            </w:r>
          </w:p>
        </w:tc>
      </w:tr>
      <w:tr w14:paraId="3F3C7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60548A20">
            <w:pPr>
              <w:shd w:val="clear"/>
              <w:snapToGrid w:val="0"/>
              <w:spacing w:line="360" w:lineRule="auto"/>
              <w:jc w:val="center"/>
              <w:rPr>
                <w:rFonts w:hint="default" w:ascii="宋体" w:hAnsi="宋体" w:cs="宋体"/>
                <w:color w:val="auto"/>
                <w:sz w:val="24"/>
                <w:highlight w:val="none"/>
                <w:lang w:val="en-US" w:eastAsia="zh-CN"/>
              </w:rPr>
            </w:pPr>
          </w:p>
          <w:p w14:paraId="59012BE1">
            <w:pPr>
              <w:shd w:val="clear"/>
              <w:snapToGrid w:val="0"/>
              <w:spacing w:line="360" w:lineRule="auto"/>
              <w:jc w:val="center"/>
              <w:rPr>
                <w:rFonts w:hint="default" w:ascii="宋体" w:hAnsi="宋体" w:cs="宋体"/>
                <w:color w:val="auto"/>
                <w:sz w:val="24"/>
                <w:highlight w:val="none"/>
                <w:lang w:val="en-US" w:eastAsia="zh-CN"/>
              </w:rPr>
            </w:pPr>
          </w:p>
          <w:p w14:paraId="0F87425B">
            <w:pPr>
              <w:shd w:val="clear"/>
              <w:snapToGrid w:val="0"/>
              <w:spacing w:line="360" w:lineRule="auto"/>
              <w:jc w:val="center"/>
              <w:rPr>
                <w:rFonts w:hint="default" w:ascii="宋体" w:hAnsi="宋体" w:cs="宋体"/>
                <w:color w:val="auto"/>
                <w:sz w:val="24"/>
                <w:highlight w:val="none"/>
                <w:lang w:val="en-US" w:eastAsia="zh-CN"/>
              </w:rPr>
            </w:pPr>
          </w:p>
          <w:p w14:paraId="65807500">
            <w:pPr>
              <w:shd w:val="clear"/>
              <w:snapToGrid w:val="0"/>
              <w:spacing w:line="360" w:lineRule="auto"/>
              <w:jc w:val="center"/>
              <w:rPr>
                <w:rFonts w:hint="default" w:ascii="宋体" w:hAnsi="宋体" w:eastAsia="宋体" w:cs="宋体"/>
                <w:color w:val="auto"/>
                <w:sz w:val="24"/>
                <w:highlight w:val="none"/>
                <w:lang w:val="en-US" w:eastAsia="zh-CN"/>
              </w:rPr>
            </w:pPr>
            <w:r>
              <w:rPr>
                <w:rFonts w:hint="default" w:ascii="宋体" w:hAnsi="宋体" w:cs="宋体"/>
                <w:color w:val="auto"/>
                <w:sz w:val="24"/>
                <w:highlight w:val="none"/>
                <w:lang w:val="en-US" w:eastAsia="zh-CN"/>
              </w:rPr>
              <w:t>8</w:t>
            </w:r>
          </w:p>
        </w:tc>
        <w:tc>
          <w:tcPr>
            <w:tcW w:w="9045" w:type="dxa"/>
            <w:tcBorders>
              <w:top w:val="single" w:color="auto" w:sz="4" w:space="0"/>
              <w:left w:val="single" w:color="auto" w:sz="4" w:space="0"/>
              <w:bottom w:val="single" w:color="auto" w:sz="4" w:space="0"/>
              <w:right w:val="single" w:color="auto" w:sz="4" w:space="0"/>
            </w:tcBorders>
            <w:vAlign w:val="center"/>
          </w:tcPr>
          <w:p w14:paraId="29A664F0">
            <w:pPr>
              <w:shd w:val="clear"/>
              <w:snapToGrid w:val="0"/>
              <w:spacing w:line="360" w:lineRule="auto"/>
              <w:rPr>
                <w:rFonts w:hint="default"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投标截止时间：</w:t>
            </w:r>
            <w:r>
              <w:rPr>
                <w:rFonts w:hint="eastAsia" w:ascii="宋体" w:hAnsi="宋体" w:cs="宋体"/>
                <w:color w:val="auto"/>
                <w:sz w:val="24"/>
                <w:highlight w:val="none"/>
                <w:lang w:eastAsia="zh-CN"/>
              </w:rPr>
              <w:t>2024年12月11日8时30分</w:t>
            </w:r>
            <w:r>
              <w:rPr>
                <w:rFonts w:hint="eastAsia" w:ascii="宋体" w:hAnsi="宋体" w:cs="宋体"/>
                <w:color w:val="auto"/>
                <w:sz w:val="24"/>
                <w:highlight w:val="none"/>
                <w:lang w:val="en-US" w:eastAsia="zh-CN"/>
              </w:rPr>
              <w:t>前</w:t>
            </w:r>
          </w:p>
          <w:p w14:paraId="6A4F48E2">
            <w:pPr>
              <w:pStyle w:val="22"/>
              <w:shd w:val="clear"/>
              <w:spacing w:line="360" w:lineRule="auto"/>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1、投标人应当在投标截止时间前在“政采云”（电子交易平台）上自行上传加密的电子投标文件。投标截止时间前未完成传输的，视为撤回电子投标文件。投标截止时间后递交的电子投标文件，将被政采云平台拒收。</w:t>
            </w:r>
          </w:p>
          <w:p w14:paraId="6DC2838C">
            <w:pPr>
              <w:shd w:val="clea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2、电子备份投标文件的递交时间：投标人应当在投标截止时间前，逾期未递交的视为自动放弃。</w:t>
            </w:r>
          </w:p>
          <w:p w14:paraId="0B46A7C0">
            <w:pPr>
              <w:pStyle w:val="22"/>
              <w:shd w:val="clear"/>
              <w:spacing w:line="360" w:lineRule="auto"/>
              <w:rPr>
                <w:rFonts w:hint="eastAsia" w:ascii="宋体" w:hAnsi="宋体" w:eastAsia="宋体" w:cs="宋体"/>
                <w:color w:val="auto"/>
                <w:szCs w:val="24"/>
                <w:highlight w:val="none"/>
              </w:rPr>
            </w:pPr>
            <w:r>
              <w:rPr>
                <w:rFonts w:hint="eastAsia" w:ascii="宋体" w:hAnsi="宋体" w:eastAsia="宋体" w:cs="宋体"/>
                <w:bCs/>
                <w:color w:val="auto"/>
                <w:szCs w:val="24"/>
                <w:highlight w:val="none"/>
              </w:rPr>
              <w:t>3、投标人应当在投标截止时间前完成投标准备事宜（应具备上网的技术条件并保持网络及联系方式畅通）及电子投标文件的传输递交，可以补充、修改或者撤回电子投标文件。补充或者修改电子投标文件的，应当先行撤回原文件，补充、修改后重新传输递交。</w:t>
            </w:r>
          </w:p>
        </w:tc>
      </w:tr>
      <w:tr w14:paraId="7F52C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6C064E80">
            <w:pPr>
              <w:shd w:val="clear"/>
              <w:snapToGrid w:val="0"/>
              <w:spacing w:line="360" w:lineRule="auto"/>
              <w:jc w:val="center"/>
              <w:rPr>
                <w:rFonts w:hint="eastAsia" w:ascii="宋体" w:hAnsi="宋体" w:eastAsia="宋体" w:cs="宋体"/>
                <w:color w:val="auto"/>
                <w:sz w:val="24"/>
                <w:highlight w:val="none"/>
                <w:lang w:eastAsia="zh-CN"/>
              </w:rPr>
            </w:pPr>
            <w:r>
              <w:rPr>
                <w:rFonts w:hint="default" w:ascii="宋体" w:hAnsi="宋体" w:cs="宋体"/>
                <w:color w:val="auto"/>
                <w:sz w:val="24"/>
                <w:highlight w:val="none"/>
                <w:lang w:val="en-US" w:eastAsia="zh-CN"/>
              </w:rPr>
              <w:t>9</w:t>
            </w:r>
          </w:p>
        </w:tc>
        <w:tc>
          <w:tcPr>
            <w:tcW w:w="9045" w:type="dxa"/>
            <w:tcBorders>
              <w:top w:val="single" w:color="auto" w:sz="4" w:space="0"/>
              <w:left w:val="single" w:color="auto" w:sz="4" w:space="0"/>
              <w:bottom w:val="single" w:color="auto" w:sz="4" w:space="0"/>
              <w:right w:val="single" w:color="auto" w:sz="4" w:space="0"/>
            </w:tcBorders>
            <w:vAlign w:val="center"/>
          </w:tcPr>
          <w:p w14:paraId="50DDEB37">
            <w:pPr>
              <w:shd w:val="clear"/>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开标时间：</w:t>
            </w:r>
            <w:r>
              <w:rPr>
                <w:rFonts w:hint="eastAsia" w:ascii="宋体" w:hAnsi="宋体" w:cs="宋体"/>
                <w:color w:val="auto"/>
                <w:sz w:val="24"/>
                <w:highlight w:val="none"/>
                <w:lang w:eastAsia="zh-CN"/>
              </w:rPr>
              <w:t>2024年12月11日8时30分</w:t>
            </w:r>
          </w:p>
          <w:p w14:paraId="176C1B16">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要求投标人到开标现场开标，但投标人应派法定代表人或委托代理人【委托代理人应当是投标人的在职正式职工（以投标人本单位缴纳社保花名册为准）】准时在线出席电子开标会议，随时关注开标进度，如在开标过程中有电子询标，应在规定的时间内对电子询标函进行澄清回复。</w:t>
            </w:r>
          </w:p>
          <w:p w14:paraId="69F4B9D3">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tc>
      </w:tr>
      <w:tr w14:paraId="131CA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65EA1B3E">
            <w:pPr>
              <w:shd w:val="clear"/>
              <w:snapToGrid w:val="0"/>
              <w:spacing w:line="360" w:lineRule="auto"/>
              <w:jc w:val="center"/>
              <w:rPr>
                <w:rFonts w:hint="default" w:ascii="宋体" w:hAnsi="宋体" w:eastAsia="宋体" w:cs="宋体"/>
                <w:color w:val="auto"/>
                <w:sz w:val="24"/>
                <w:highlight w:val="none"/>
                <w:lang w:val="en-US" w:eastAsia="zh-CN"/>
              </w:rPr>
            </w:pPr>
            <w:r>
              <w:rPr>
                <w:rFonts w:hint="default" w:ascii="宋体" w:hAnsi="宋体" w:cs="宋体"/>
                <w:color w:val="auto"/>
                <w:sz w:val="24"/>
                <w:highlight w:val="none"/>
                <w:lang w:val="en-US" w:eastAsia="zh-CN"/>
              </w:rPr>
              <w:t>10</w:t>
            </w:r>
          </w:p>
        </w:tc>
        <w:tc>
          <w:tcPr>
            <w:tcW w:w="9045" w:type="dxa"/>
            <w:tcBorders>
              <w:top w:val="single" w:color="auto" w:sz="4" w:space="0"/>
              <w:left w:val="single" w:color="auto" w:sz="4" w:space="0"/>
              <w:bottom w:val="single" w:color="auto" w:sz="4" w:space="0"/>
              <w:right w:val="single" w:color="auto" w:sz="4" w:space="0"/>
            </w:tcBorders>
            <w:vAlign w:val="center"/>
          </w:tcPr>
          <w:p w14:paraId="50DA61AB">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评标办法：综合评分法</w:t>
            </w:r>
          </w:p>
        </w:tc>
      </w:tr>
      <w:tr w14:paraId="37C44C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4CED5E8D">
            <w:pPr>
              <w:shd w:val="clea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default" w:ascii="宋体" w:hAnsi="宋体" w:cs="宋体"/>
                <w:color w:val="auto"/>
                <w:sz w:val="24"/>
                <w:highlight w:val="none"/>
                <w:lang w:val="en-US" w:eastAsia="zh-CN"/>
              </w:rPr>
              <w:t>1</w:t>
            </w:r>
          </w:p>
        </w:tc>
        <w:tc>
          <w:tcPr>
            <w:tcW w:w="9045" w:type="dxa"/>
            <w:tcBorders>
              <w:top w:val="single" w:color="auto" w:sz="4" w:space="0"/>
              <w:left w:val="single" w:color="auto" w:sz="4" w:space="0"/>
              <w:bottom w:val="single" w:color="auto" w:sz="4" w:space="0"/>
              <w:right w:val="single" w:color="auto" w:sz="4" w:space="0"/>
            </w:tcBorders>
            <w:vAlign w:val="center"/>
          </w:tcPr>
          <w:p w14:paraId="02CCF477">
            <w:pPr>
              <w:shd w:val="clear"/>
              <w:autoSpaceDE w:val="0"/>
              <w:autoSpaceDN w:val="0"/>
              <w:snapToGrid w:val="0"/>
              <w:spacing w:line="360" w:lineRule="auto"/>
              <w:textAlignment w:val="bottom"/>
              <w:rPr>
                <w:rFonts w:hint="eastAsia" w:ascii="宋体" w:hAnsi="宋体" w:eastAsia="宋体" w:cs="宋体"/>
                <w:color w:val="auto"/>
                <w:sz w:val="24"/>
                <w:highlight w:val="none"/>
              </w:rPr>
            </w:pPr>
            <w:bookmarkStart w:id="43" w:name="_Toc457480905"/>
            <w:r>
              <w:rPr>
                <w:rFonts w:hint="eastAsia" w:ascii="宋体" w:hAnsi="宋体" w:eastAsia="宋体" w:cs="宋体"/>
                <w:color w:val="auto"/>
                <w:sz w:val="24"/>
                <w:highlight w:val="none"/>
              </w:rPr>
              <w:t>中标结果公告：自中标人确定之日起2个工作日内，中标结果公告于浙江省政府采购网(http://zfcg.czt.zj.gov.cn/)、东阳市公共资源交易网(http://www.dongyang.gov.cn/ggzyjy/index.html)，公告1个工作日</w:t>
            </w:r>
            <w:bookmarkEnd w:id="43"/>
            <w:r>
              <w:rPr>
                <w:rFonts w:hint="eastAsia" w:ascii="宋体" w:hAnsi="宋体" w:eastAsia="宋体" w:cs="宋体"/>
                <w:color w:val="auto"/>
                <w:sz w:val="24"/>
                <w:highlight w:val="none"/>
              </w:rPr>
              <w:t>。</w:t>
            </w:r>
          </w:p>
        </w:tc>
      </w:tr>
      <w:tr w14:paraId="677EF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2D7D44B1">
            <w:pPr>
              <w:shd w:val="clea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default" w:ascii="宋体" w:hAnsi="宋体" w:cs="宋体"/>
                <w:color w:val="auto"/>
                <w:sz w:val="24"/>
                <w:highlight w:val="none"/>
                <w:lang w:val="en-US" w:eastAsia="zh-CN"/>
              </w:rPr>
              <w:t>2</w:t>
            </w:r>
          </w:p>
        </w:tc>
        <w:tc>
          <w:tcPr>
            <w:tcW w:w="9045" w:type="dxa"/>
            <w:tcBorders>
              <w:top w:val="single" w:color="auto" w:sz="4" w:space="0"/>
              <w:left w:val="single" w:color="auto" w:sz="4" w:space="0"/>
              <w:bottom w:val="single" w:color="auto" w:sz="4" w:space="0"/>
              <w:right w:val="single" w:color="auto" w:sz="4" w:space="0"/>
            </w:tcBorders>
            <w:vAlign w:val="center"/>
          </w:tcPr>
          <w:p w14:paraId="35CB15BC">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《中标通知书》的领取时间：中标人应自中标结果公告结束日起，在3个工作日内领取，否则按放弃中标资格处理，并因违反诚信原则，提交财政部门列入政府采购黑名单。</w:t>
            </w:r>
          </w:p>
        </w:tc>
      </w:tr>
      <w:tr w14:paraId="0CF83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46520648">
            <w:pPr>
              <w:shd w:val="clea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w:t>
            </w:r>
            <w:r>
              <w:rPr>
                <w:rFonts w:hint="default" w:ascii="宋体" w:hAnsi="宋体" w:cs="宋体"/>
                <w:color w:val="auto"/>
                <w:sz w:val="24"/>
                <w:highlight w:val="none"/>
                <w:lang w:val="en-US" w:eastAsia="zh-CN"/>
              </w:rPr>
              <w:t>3</w:t>
            </w:r>
          </w:p>
        </w:tc>
        <w:tc>
          <w:tcPr>
            <w:tcW w:w="9045" w:type="dxa"/>
            <w:tcBorders>
              <w:top w:val="single" w:color="auto" w:sz="4" w:space="0"/>
              <w:left w:val="single" w:color="auto" w:sz="4" w:space="0"/>
              <w:bottom w:val="single" w:color="auto" w:sz="4" w:space="0"/>
              <w:right w:val="single" w:color="auto" w:sz="4" w:space="0"/>
            </w:tcBorders>
            <w:vAlign w:val="center"/>
          </w:tcPr>
          <w:p w14:paraId="1EB095F7">
            <w:pP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履约保证金：</w:t>
            </w:r>
            <w:r>
              <w:rPr>
                <w:rFonts w:hint="eastAsia" w:ascii="宋体" w:hAnsi="宋体" w:eastAsia="宋体" w:cs="宋体"/>
                <w:color w:val="auto"/>
                <w:sz w:val="24"/>
                <w:highlight w:val="none"/>
              </w:rPr>
              <w:t>中标人在收到中标通知书后，需向采购人提供</w:t>
            </w:r>
            <w:bookmarkStart w:id="44" w:name="OLE_LINK12"/>
            <w:r>
              <w:rPr>
                <w:rFonts w:hint="eastAsia" w:ascii="宋体" w:hAnsi="宋体" w:eastAsia="宋体" w:cs="宋体"/>
                <w:color w:val="auto"/>
                <w:sz w:val="24"/>
                <w:szCs w:val="24"/>
                <w:highlight w:val="none"/>
                <w:lang w:val="en-US" w:eastAsia="zh-CN"/>
              </w:rPr>
              <w:t>中标价的1</w:t>
            </w:r>
            <w:r>
              <w:rPr>
                <w:rFonts w:hint="eastAsia" w:ascii="宋体" w:hAnsi="宋体" w:eastAsia="宋体" w:cs="宋体"/>
                <w:color w:val="auto"/>
                <w:sz w:val="24"/>
                <w:szCs w:val="24"/>
                <w:highlight w:val="none"/>
              </w:rPr>
              <w:t>%的履约保证金</w:t>
            </w:r>
            <w:bookmarkEnd w:id="44"/>
            <w:r>
              <w:rPr>
                <w:rFonts w:hint="eastAsia" w:ascii="宋体" w:hAnsi="宋体" w:eastAsia="宋体" w:cs="宋体"/>
                <w:color w:val="auto"/>
                <w:sz w:val="24"/>
                <w:highlight w:val="none"/>
              </w:rPr>
              <w:t>，在中标人与采购人签订合同前递交，投标人需以支票、汇票、本票或者金融机构、保险公司、担保机构出具的保函（可在政采云平台购买，咨询热线4009039583）等非现金形式提交(保函期限应大于履约期限2个月)。</w:t>
            </w:r>
          </w:p>
          <w:p w14:paraId="07F80249">
            <w:pPr>
              <w:shd w:val="clear"/>
              <w:autoSpaceDE w:val="0"/>
              <w:autoSpaceDN w:val="0"/>
              <w:snapToGrid w:val="0"/>
              <w:spacing w:line="360" w:lineRule="auto"/>
              <w:textAlignment w:val="bottom"/>
              <w:rPr>
                <w:rFonts w:hint="default" w:eastAsia="宋体"/>
                <w:color w:val="auto"/>
                <w:highlight w:val="none"/>
                <w:lang w:val="en-US" w:eastAsia="zh-CN"/>
              </w:rPr>
            </w:pPr>
            <w:r>
              <w:rPr>
                <w:rFonts w:hint="eastAsia" w:ascii="宋体" w:hAnsi="宋体" w:eastAsia="宋体" w:cs="宋体"/>
                <w:color w:val="auto"/>
                <w:sz w:val="24"/>
                <w:highlight w:val="none"/>
                <w:lang w:val="en-US" w:eastAsia="zh-CN"/>
              </w:rPr>
              <w:t>中标人也</w:t>
            </w:r>
            <w:r>
              <w:rPr>
                <w:rFonts w:hint="eastAsia" w:ascii="宋体" w:hAnsi="宋体" w:eastAsia="宋体" w:cs="宋体"/>
                <w:color w:val="auto"/>
                <w:sz w:val="24"/>
                <w:highlight w:val="none"/>
              </w:rPr>
              <w:t>可登录政采云平台-【金融服务】—【我的项目】—【已备案合同】以保函形式提供：</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在合同列表选择需要投保的合同，点击[保函推荐]。</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在弹框里查看推荐的保函产品，</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自行选择保函产品，点击[立即申请]。</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在弹框里填写保函申请信息。具体步骤：选择产品—填写供应商信息—选择中标项目—确认信息—等待保险/保函受理—确认保单—支付保费—成功出单。政采云金融专线400-903-9583。</w:t>
            </w:r>
          </w:p>
        </w:tc>
      </w:tr>
      <w:tr w14:paraId="3C64D0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05B26027">
            <w:pPr>
              <w:shd w:val="clea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1</w:t>
            </w:r>
            <w:r>
              <w:rPr>
                <w:rFonts w:hint="default" w:ascii="宋体" w:hAnsi="宋体" w:cs="宋体"/>
                <w:color w:val="auto"/>
                <w:sz w:val="24"/>
                <w:highlight w:val="none"/>
                <w:lang w:val="en-US" w:eastAsia="zh-CN"/>
              </w:rPr>
              <w:t>4</w:t>
            </w:r>
          </w:p>
        </w:tc>
        <w:tc>
          <w:tcPr>
            <w:tcW w:w="9045" w:type="dxa"/>
            <w:tcBorders>
              <w:top w:val="single" w:color="auto" w:sz="4" w:space="0"/>
              <w:left w:val="single" w:color="auto" w:sz="4" w:space="0"/>
              <w:bottom w:val="single" w:color="auto" w:sz="4" w:space="0"/>
              <w:right w:val="single" w:color="auto" w:sz="4" w:space="0"/>
            </w:tcBorders>
            <w:vAlign w:val="center"/>
          </w:tcPr>
          <w:p w14:paraId="67317F51">
            <w:pPr>
              <w:shd w:val="clea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5179AD56">
            <w:pPr>
              <w:shd w:val="clea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政府采购金融服务提示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 xml:space="preserve">为扩大政府采购金融服务面，除政采云网上金融服务合作银行外，东阳市范围内增加浙商银行金华分行东阳支行作为线下合作银行。   </w:t>
            </w:r>
          </w:p>
          <w:p w14:paraId="6D3363FC">
            <w:pPr>
              <w:shd w:val="clear"/>
              <w:snapToGrid w:val="0"/>
              <w:spacing w:line="360" w:lineRule="auto"/>
              <w:jc w:val="left"/>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rPr>
              <w:t>浙商银行金华东阳支行联系人：</w:t>
            </w:r>
            <w:r>
              <w:rPr>
                <w:rFonts w:hint="eastAsia" w:ascii="宋体" w:hAnsi="宋体" w:cs="宋体"/>
                <w:color w:val="auto"/>
                <w:sz w:val="24"/>
                <w:highlight w:val="none"/>
              </w:rPr>
              <w:t xml:space="preserve">许燕  联系电话：13967983441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0579-86222992</w:t>
            </w:r>
          </w:p>
        </w:tc>
      </w:tr>
      <w:tr w14:paraId="306098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43216415">
            <w:pPr>
              <w:shd w:val="clear"/>
              <w:snapToGrid w:val="0"/>
              <w:spacing w:line="360" w:lineRule="auto"/>
              <w:jc w:val="center"/>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1</w:t>
            </w:r>
            <w:r>
              <w:rPr>
                <w:rFonts w:hint="default" w:ascii="宋体" w:hAnsi="宋体" w:eastAsia="宋体" w:cs="宋体"/>
                <w:bCs/>
                <w:color w:val="auto"/>
                <w:sz w:val="24"/>
                <w:highlight w:val="none"/>
                <w:lang w:val="en-US"/>
              </w:rPr>
              <w:t>5</w:t>
            </w:r>
          </w:p>
        </w:tc>
        <w:tc>
          <w:tcPr>
            <w:tcW w:w="9045" w:type="dxa"/>
            <w:tcBorders>
              <w:top w:val="single" w:color="auto" w:sz="4" w:space="0"/>
              <w:left w:val="single" w:color="auto" w:sz="4" w:space="0"/>
              <w:bottom w:val="single" w:color="auto" w:sz="4" w:space="0"/>
              <w:right w:val="single" w:color="auto" w:sz="4" w:space="0"/>
            </w:tcBorders>
            <w:vAlign w:val="center"/>
          </w:tcPr>
          <w:p w14:paraId="3C27C6BE">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eastAsia="宋体" w:cs="宋体"/>
                <w:color w:val="auto"/>
                <w:sz w:val="24"/>
                <w:highlight w:val="none"/>
              </w:rPr>
              <w:t>签订合同时间：发出《中标通知书》之日起</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0天内。</w:t>
            </w:r>
          </w:p>
        </w:tc>
      </w:tr>
      <w:tr w14:paraId="20D9F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4D9337BB">
            <w:pPr>
              <w:shd w:val="clear"/>
              <w:snapToGrid w:val="0"/>
              <w:spacing w:line="360" w:lineRule="auto"/>
              <w:jc w:val="center"/>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1</w:t>
            </w:r>
            <w:r>
              <w:rPr>
                <w:rFonts w:hint="default" w:ascii="宋体" w:hAnsi="宋体" w:eastAsia="宋体" w:cs="宋体"/>
                <w:bCs/>
                <w:color w:val="auto"/>
                <w:sz w:val="24"/>
                <w:highlight w:val="none"/>
                <w:lang w:val="en-US" w:eastAsia="zh-CN"/>
              </w:rPr>
              <w:t>6</w:t>
            </w:r>
          </w:p>
        </w:tc>
        <w:tc>
          <w:tcPr>
            <w:tcW w:w="9045" w:type="dxa"/>
            <w:tcBorders>
              <w:top w:val="single" w:color="auto" w:sz="4" w:space="0"/>
              <w:left w:val="single" w:color="auto" w:sz="4" w:space="0"/>
              <w:bottom w:val="single" w:color="auto" w:sz="4" w:space="0"/>
              <w:right w:val="single" w:color="auto" w:sz="4" w:space="0"/>
            </w:tcBorders>
            <w:vAlign w:val="center"/>
          </w:tcPr>
          <w:p w14:paraId="34FE275C">
            <w:pPr>
              <w:shd w:val="clear"/>
              <w:autoSpaceDE w:val="0"/>
              <w:autoSpaceDN w:val="0"/>
              <w:snapToGrid w:val="0"/>
              <w:spacing w:line="360" w:lineRule="auto"/>
              <w:textAlignment w:val="bottom"/>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中标人与</w:t>
            </w:r>
            <w:r>
              <w:rPr>
                <w:rFonts w:hint="eastAsia" w:ascii="宋体" w:hAnsi="宋体" w:cs="宋体"/>
                <w:color w:val="auto"/>
                <w:sz w:val="24"/>
                <w:highlight w:val="none"/>
                <w:lang w:val="en-US" w:eastAsia="zh-CN"/>
              </w:rPr>
              <w:t>东阳市红会医院</w:t>
            </w:r>
            <w:r>
              <w:rPr>
                <w:rFonts w:hint="eastAsia" w:ascii="宋体" w:hAnsi="宋体" w:eastAsia="宋体" w:cs="宋体"/>
                <w:color w:val="auto"/>
                <w:sz w:val="24"/>
                <w:highlight w:val="none"/>
                <w:lang w:eastAsia="zh-CN"/>
              </w:rPr>
              <w:t>签订政府采购合同</w:t>
            </w:r>
            <w:r>
              <w:rPr>
                <w:rFonts w:hint="eastAsia" w:ascii="宋体" w:hAnsi="宋体" w:cs="宋体"/>
                <w:color w:val="auto"/>
                <w:sz w:val="24"/>
                <w:highlight w:val="none"/>
                <w:lang w:eastAsia="zh-CN"/>
              </w:rPr>
              <w:t>。</w:t>
            </w:r>
          </w:p>
        </w:tc>
      </w:tr>
      <w:tr w14:paraId="095AD9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526C729C">
            <w:pPr>
              <w:shd w:val="clear"/>
              <w:snapToGrid w:val="0"/>
              <w:spacing w:line="360" w:lineRule="auto"/>
              <w:jc w:val="center"/>
              <w:rPr>
                <w:rFonts w:hint="default" w:ascii="宋体" w:hAnsi="宋体" w:eastAsia="宋体" w:cs="宋体"/>
                <w:bCs/>
                <w:color w:val="auto"/>
                <w:sz w:val="24"/>
                <w:highlight w:val="none"/>
                <w:lang w:val="en-US" w:eastAsia="zh-CN"/>
              </w:rPr>
            </w:pPr>
            <w:r>
              <w:rPr>
                <w:rFonts w:hint="default" w:ascii="宋体" w:hAnsi="宋体" w:eastAsia="宋体" w:cs="宋体"/>
                <w:bCs/>
                <w:color w:val="auto"/>
                <w:sz w:val="24"/>
                <w:highlight w:val="none"/>
                <w:lang w:val="en-US"/>
              </w:rPr>
              <w:t>17</w:t>
            </w:r>
          </w:p>
        </w:tc>
        <w:tc>
          <w:tcPr>
            <w:tcW w:w="9045" w:type="dxa"/>
            <w:tcBorders>
              <w:top w:val="single" w:color="auto" w:sz="4" w:space="0"/>
              <w:left w:val="single" w:color="auto" w:sz="4" w:space="0"/>
              <w:bottom w:val="single" w:color="auto" w:sz="4" w:space="0"/>
              <w:right w:val="single" w:color="auto" w:sz="4" w:space="0"/>
            </w:tcBorders>
            <w:vAlign w:val="center"/>
          </w:tcPr>
          <w:p w14:paraId="236B1EFF">
            <w:pPr>
              <w:shd w:val="clea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付款方式：</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合同生效以及具备实施条件后7个工作日内支付合同价款的40%（采购人根据项目特点、供应商诚信等因素，可以要求中标人提交预付款保函）；（2）</w:t>
            </w:r>
            <w:r>
              <w:rPr>
                <w:rFonts w:hint="eastAsia" w:ascii="宋体" w:hAnsi="宋体" w:eastAsia="宋体" w:cs="宋体"/>
                <w:color w:val="auto"/>
                <w:sz w:val="24"/>
                <w:szCs w:val="24"/>
                <w:highlight w:val="none"/>
                <w:lang w:val="en-US" w:eastAsia="zh-CN"/>
              </w:rPr>
              <w:t>所</w:t>
            </w:r>
            <w:r>
              <w:rPr>
                <w:rFonts w:hint="eastAsia" w:ascii="宋体" w:hAnsi="宋体" w:cs="宋体"/>
                <w:color w:val="auto"/>
                <w:sz w:val="24"/>
                <w:szCs w:val="24"/>
                <w:highlight w:val="none"/>
                <w:lang w:val="en-US" w:eastAsia="zh-CN"/>
              </w:rPr>
              <w:t>有设备</w:t>
            </w:r>
            <w:r>
              <w:rPr>
                <w:rFonts w:hint="eastAsia" w:ascii="宋体" w:hAnsi="宋体" w:eastAsia="宋体" w:cs="宋体"/>
                <w:color w:val="auto"/>
                <w:sz w:val="24"/>
                <w:szCs w:val="24"/>
                <w:highlight w:val="none"/>
              </w:rPr>
              <w:t>安装</w:t>
            </w:r>
            <w:r>
              <w:rPr>
                <w:rFonts w:hint="eastAsia" w:ascii="宋体" w:hAnsi="宋体" w:eastAsia="宋体" w:cs="宋体"/>
                <w:color w:val="auto"/>
                <w:sz w:val="24"/>
                <w:szCs w:val="24"/>
                <w:highlight w:val="none"/>
                <w:lang w:val="en-US" w:eastAsia="zh-CN"/>
              </w:rPr>
              <w:t>调试</w:t>
            </w:r>
            <w:r>
              <w:rPr>
                <w:rFonts w:hint="eastAsia" w:ascii="宋体" w:hAnsi="宋体" w:eastAsia="宋体" w:cs="宋体"/>
                <w:color w:val="auto"/>
                <w:sz w:val="24"/>
                <w:szCs w:val="24"/>
                <w:highlight w:val="none"/>
              </w:rPr>
              <w:t>完成，并经采购人验收合格后，支付至合同价款的100%（中标人需出具正式税务发票）。</w:t>
            </w:r>
          </w:p>
        </w:tc>
      </w:tr>
      <w:tr w14:paraId="0EF128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6F44F436">
            <w:pPr>
              <w:shd w:val="clea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r>
              <w:rPr>
                <w:rFonts w:hint="default" w:ascii="宋体" w:hAnsi="宋体" w:cs="宋体"/>
                <w:color w:val="auto"/>
                <w:sz w:val="24"/>
                <w:highlight w:val="none"/>
                <w:lang w:val="en-US" w:eastAsia="zh-CN"/>
              </w:rPr>
              <w:t>8</w:t>
            </w:r>
          </w:p>
        </w:tc>
        <w:tc>
          <w:tcPr>
            <w:tcW w:w="9045" w:type="dxa"/>
            <w:tcBorders>
              <w:top w:val="single" w:color="auto" w:sz="4" w:space="0"/>
              <w:left w:val="single" w:color="auto" w:sz="4" w:space="0"/>
              <w:bottom w:val="single" w:color="auto" w:sz="4" w:space="0"/>
              <w:right w:val="single" w:color="auto" w:sz="4" w:space="0"/>
            </w:tcBorders>
            <w:vAlign w:val="center"/>
          </w:tcPr>
          <w:p w14:paraId="2E33C59B">
            <w:pPr>
              <w:shd w:val="clear"/>
              <w:autoSpaceDE w:val="0"/>
              <w:autoSpaceDN w:val="0"/>
              <w:snapToGrid w:val="0"/>
              <w:spacing w:line="360" w:lineRule="auto"/>
              <w:textAlignment w:val="bottom"/>
              <w:rPr>
                <w:rFonts w:hint="eastAsia" w:ascii="宋体" w:hAnsi="宋体" w:eastAsia="宋体" w:cs="宋体"/>
                <w:color w:val="auto"/>
                <w:sz w:val="24"/>
                <w:highlight w:val="none"/>
              </w:rPr>
            </w:pPr>
            <w:r>
              <w:rPr>
                <w:rFonts w:hint="eastAsia" w:ascii="宋体" w:hAnsi="宋体" w:cs="宋体"/>
                <w:color w:val="auto"/>
                <w:sz w:val="24"/>
                <w:highlight w:val="none"/>
              </w:rPr>
              <w:t>货物交付/服务地点</w:t>
            </w:r>
            <w:r>
              <w:rPr>
                <w:rFonts w:hint="eastAsia" w:ascii="宋体" w:hAnsi="宋体" w:eastAsia="宋体" w:cs="宋体"/>
                <w:color w:val="auto"/>
                <w:sz w:val="24"/>
                <w:highlight w:val="none"/>
              </w:rPr>
              <w:t>：东阳市内，采购人指定的地点。</w:t>
            </w:r>
          </w:p>
          <w:p w14:paraId="73E44E64">
            <w:pPr>
              <w:shd w:val="clear"/>
              <w:autoSpaceDE w:val="0"/>
              <w:autoSpaceDN w:val="0"/>
              <w:snapToGrid w:val="0"/>
              <w:spacing w:line="360" w:lineRule="auto"/>
              <w:textAlignment w:val="bottom"/>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验收：</w:t>
            </w:r>
          </w:p>
          <w:p w14:paraId="7067D40A">
            <w:pPr>
              <w:shd w:val="clea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1.采购人组织</w:t>
            </w:r>
            <w:r>
              <w:rPr>
                <w:rFonts w:hint="eastAsia" w:ascii="宋体" w:hAnsi="宋体" w:cs="宋体"/>
                <w:color w:val="auto"/>
                <w:sz w:val="24"/>
                <w:highlight w:val="none"/>
                <w:lang w:eastAsia="zh-CN"/>
              </w:rPr>
              <w:t>相关人员</w:t>
            </w:r>
            <w:r>
              <w:rPr>
                <w:rFonts w:hint="eastAsia" w:ascii="宋体" w:hAnsi="宋体" w:cs="宋体"/>
                <w:color w:val="auto"/>
                <w:sz w:val="24"/>
                <w:highlight w:val="none"/>
              </w:rPr>
              <w:t>对供应商履约的验收</w:t>
            </w:r>
            <w:r>
              <w:rPr>
                <w:rFonts w:hint="eastAsia" w:ascii="宋体" w:hAnsi="宋体" w:cs="宋体"/>
                <w:color w:val="auto"/>
                <w:sz w:val="24"/>
                <w:highlight w:val="none"/>
                <w:lang w:eastAsia="zh-CN"/>
              </w:rPr>
              <w:t>，验收费用由中标人承担；采购人出具一式二份验收报告，一份由中标人保管，一份由东阳市鑫盛工程咨询有限公司（原件）存档</w:t>
            </w:r>
            <w:r>
              <w:rPr>
                <w:rFonts w:hint="eastAsia" w:ascii="宋体" w:hAnsi="宋体" w:cs="宋体"/>
                <w:color w:val="auto"/>
                <w:sz w:val="24"/>
                <w:highlight w:val="none"/>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C9E3456">
            <w:pPr>
              <w:shd w:val="clea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2.采购人可以邀请参加本项目的其他供应商或者第三方机构参与验收。参与验收的供应商或者第三方机构的意见作为验收书的参考资料一并存档。</w:t>
            </w:r>
          </w:p>
          <w:p w14:paraId="3939E836">
            <w:pPr>
              <w:shd w:val="clea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37EF233">
            <w:pPr>
              <w:shd w:val="clea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4.采购人原则上应当在履约验收之日起2个工作日内，将履约验收结果在浙江政府采购网上公告。</w:t>
            </w:r>
          </w:p>
          <w:p w14:paraId="50A16DC8">
            <w:pPr>
              <w:shd w:val="clear"/>
              <w:snapToGrid w:val="0"/>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5.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tc>
      </w:tr>
      <w:tr w14:paraId="2704FB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56B9794B">
            <w:pPr>
              <w:shd w:val="clea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19</w:t>
            </w:r>
          </w:p>
        </w:tc>
        <w:tc>
          <w:tcPr>
            <w:tcW w:w="9045" w:type="dxa"/>
            <w:tcBorders>
              <w:top w:val="single" w:color="auto" w:sz="4" w:space="0"/>
              <w:left w:val="single" w:color="auto" w:sz="4" w:space="0"/>
              <w:bottom w:val="single" w:color="auto" w:sz="4" w:space="0"/>
              <w:right w:val="single" w:color="auto" w:sz="4" w:space="0"/>
            </w:tcBorders>
            <w:vAlign w:val="center"/>
          </w:tcPr>
          <w:p w14:paraId="66D7E256">
            <w:pPr>
              <w:shd w:val="clear"/>
              <w:snapToGrid w:val="0"/>
              <w:spacing w:before="120" w:beforeLines="50" w:line="360" w:lineRule="auto"/>
              <w:outlineLvl w:val="2"/>
              <w:rPr>
                <w:rFonts w:hint="eastAsia" w:ascii="宋体" w:hAnsi="宋体"/>
                <w:b/>
                <w:color w:val="auto"/>
                <w:sz w:val="24"/>
                <w:highlight w:val="none"/>
              </w:rPr>
            </w:pPr>
            <w:r>
              <w:rPr>
                <w:rFonts w:hint="eastAsia" w:ascii="宋体" w:hAnsi="宋体"/>
                <w:b/>
                <w:color w:val="auto"/>
                <w:sz w:val="24"/>
                <w:highlight w:val="none"/>
              </w:rPr>
              <w:t>供应商有下列情形之一的，列入失信名单，同时依照《政府采购法》第七十七条及《中华人民共和国政府采购法实施条例》第七十二条规定处罚并追求法律责任。</w:t>
            </w:r>
          </w:p>
          <w:p w14:paraId="1F89A679">
            <w:pPr>
              <w:shd w:val="clear"/>
              <w:snapToGrid w:val="0"/>
              <w:spacing w:line="360" w:lineRule="auto"/>
              <w:jc w:val="left"/>
              <w:rPr>
                <w:rFonts w:hint="eastAsia" w:ascii="宋体" w:hAnsi="宋体" w:eastAsia="宋体"/>
                <w:color w:val="auto"/>
                <w:sz w:val="24"/>
                <w:highlight w:val="none"/>
                <w:lang w:eastAsia="zh-CN"/>
              </w:rPr>
            </w:pPr>
            <w:r>
              <w:rPr>
                <w:rFonts w:hint="eastAsia" w:ascii="宋体" w:hAnsi="宋体"/>
                <w:color w:val="auto"/>
                <w:sz w:val="24"/>
                <w:highlight w:val="none"/>
              </w:rPr>
              <w:t xml:space="preserve">1、提供虚假材料谋取中标、成交的； </w:t>
            </w:r>
          </w:p>
          <w:p w14:paraId="2F6E980E">
            <w:pPr>
              <w:shd w:val="clear"/>
              <w:snapToGrid w:val="0"/>
              <w:spacing w:line="360" w:lineRule="auto"/>
              <w:jc w:val="left"/>
              <w:rPr>
                <w:rFonts w:hint="eastAsia" w:ascii="宋体" w:hAnsi="宋体" w:eastAsia="宋体"/>
                <w:color w:val="auto"/>
                <w:sz w:val="24"/>
                <w:highlight w:val="none"/>
                <w:lang w:eastAsia="zh-CN"/>
              </w:rPr>
            </w:pPr>
            <w:r>
              <w:rPr>
                <w:rFonts w:hint="eastAsia" w:ascii="宋体" w:hAnsi="宋体"/>
                <w:color w:val="auto"/>
                <w:sz w:val="24"/>
                <w:highlight w:val="none"/>
              </w:rPr>
              <w:t xml:space="preserve">2、采取不正当手段诋毁、排挤其他供应商的； </w:t>
            </w:r>
          </w:p>
          <w:p w14:paraId="5D06D49E">
            <w:pPr>
              <w:shd w:val="clear"/>
              <w:snapToGrid w:val="0"/>
              <w:spacing w:line="360" w:lineRule="auto"/>
              <w:jc w:val="left"/>
              <w:rPr>
                <w:rFonts w:hint="eastAsia" w:ascii="宋体" w:hAnsi="宋体" w:eastAsia="宋体"/>
                <w:color w:val="auto"/>
                <w:sz w:val="24"/>
                <w:highlight w:val="none"/>
                <w:lang w:eastAsia="zh-CN"/>
              </w:rPr>
            </w:pPr>
            <w:r>
              <w:rPr>
                <w:rFonts w:hint="eastAsia" w:ascii="宋体" w:hAnsi="宋体"/>
                <w:color w:val="auto"/>
                <w:sz w:val="24"/>
                <w:highlight w:val="none"/>
              </w:rPr>
              <w:t xml:space="preserve">3、与采购人、其他供应商或者采购代理机构恶意串通的； </w:t>
            </w:r>
          </w:p>
          <w:p w14:paraId="432EA8B3">
            <w:pPr>
              <w:shd w:val="clear"/>
              <w:snapToGrid w:val="0"/>
              <w:spacing w:line="360" w:lineRule="auto"/>
              <w:jc w:val="left"/>
              <w:rPr>
                <w:rFonts w:hint="eastAsia" w:ascii="宋体" w:hAnsi="宋体" w:eastAsia="宋体"/>
                <w:color w:val="auto"/>
                <w:sz w:val="24"/>
                <w:highlight w:val="none"/>
                <w:lang w:eastAsia="zh-CN"/>
              </w:rPr>
            </w:pPr>
            <w:r>
              <w:rPr>
                <w:rFonts w:hint="eastAsia" w:ascii="宋体" w:hAnsi="宋体"/>
                <w:color w:val="auto"/>
                <w:sz w:val="24"/>
                <w:highlight w:val="none"/>
              </w:rPr>
              <w:t xml:space="preserve">4、向采购人、采购代理机构行贿或者提供其他不正当利益的； </w:t>
            </w:r>
          </w:p>
          <w:p w14:paraId="22A7CD57">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 xml:space="preserve">5、在招标采购过程中与采购人进行协商谈判的； </w:t>
            </w:r>
          </w:p>
          <w:p w14:paraId="778A0078">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6、向评标委员会、竞争性谈判小组或者询价小组成员行贿或者提供其他不正当利益；</w:t>
            </w:r>
          </w:p>
          <w:p w14:paraId="667D8C06">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7、中标或者成交后无正当理由拒不与采购人签订政府采购合同；</w:t>
            </w:r>
          </w:p>
          <w:p w14:paraId="3AD9463B">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8、未按照采购文件确定的事项签订政府采购合同；</w:t>
            </w:r>
          </w:p>
          <w:p w14:paraId="2F65E52F">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9、将政府采购合同转包；</w:t>
            </w:r>
          </w:p>
          <w:p w14:paraId="0C205386">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10、提供假冒伪劣产品；</w:t>
            </w:r>
          </w:p>
          <w:p w14:paraId="3125066B">
            <w:pPr>
              <w:shd w:val="clea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11、擅自变更、中止或者终止政府采购合同。</w:t>
            </w:r>
          </w:p>
          <w:p w14:paraId="2618BD92">
            <w:pPr>
              <w:shd w:val="clear"/>
              <w:snapToGrid w:val="0"/>
              <w:spacing w:line="360" w:lineRule="auto"/>
              <w:rPr>
                <w:rFonts w:hint="eastAsia" w:ascii="宋体" w:hAnsi="宋体" w:eastAsia="宋体" w:cs="宋体"/>
                <w:color w:val="auto"/>
                <w:sz w:val="24"/>
                <w:highlight w:val="none"/>
              </w:rPr>
            </w:pPr>
            <w:r>
              <w:rPr>
                <w:rFonts w:hint="eastAsia" w:ascii="宋体" w:hAnsi="宋体"/>
                <w:color w:val="auto"/>
                <w:sz w:val="24"/>
                <w:highlight w:val="none"/>
              </w:rPr>
              <w:t>12、其他严重扰乱招投标程序的。</w:t>
            </w:r>
          </w:p>
        </w:tc>
      </w:tr>
      <w:tr w14:paraId="65732C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022B0489">
            <w:pPr>
              <w:shd w:val="clea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20</w:t>
            </w:r>
          </w:p>
        </w:tc>
        <w:tc>
          <w:tcPr>
            <w:tcW w:w="9045" w:type="dxa"/>
            <w:tcBorders>
              <w:top w:val="single" w:color="auto" w:sz="4" w:space="0"/>
              <w:left w:val="single" w:color="auto" w:sz="4" w:space="0"/>
              <w:bottom w:val="single" w:color="auto" w:sz="4" w:space="0"/>
              <w:right w:val="single" w:color="auto" w:sz="4" w:space="0"/>
            </w:tcBorders>
            <w:vAlign w:val="center"/>
          </w:tcPr>
          <w:p w14:paraId="1E551122">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投标文件有效期：</w:t>
            </w:r>
            <w:r>
              <w:rPr>
                <w:rFonts w:hint="eastAsia" w:ascii="宋体" w:hAnsi="宋体" w:eastAsia="宋体" w:cs="宋体"/>
                <w:color w:val="auto"/>
                <w:sz w:val="24"/>
                <w:highlight w:val="none"/>
                <w:u w:val="single"/>
              </w:rPr>
              <w:t>60</w:t>
            </w:r>
            <w:r>
              <w:rPr>
                <w:rFonts w:hint="eastAsia" w:ascii="宋体" w:hAnsi="宋体" w:eastAsia="宋体" w:cs="宋体"/>
                <w:color w:val="auto"/>
                <w:sz w:val="24"/>
                <w:highlight w:val="none"/>
              </w:rPr>
              <w:t>天</w:t>
            </w:r>
          </w:p>
        </w:tc>
      </w:tr>
      <w:tr w14:paraId="40E156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16831F6D">
            <w:pPr>
              <w:shd w:val="clea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21</w:t>
            </w:r>
          </w:p>
        </w:tc>
        <w:tc>
          <w:tcPr>
            <w:tcW w:w="9045" w:type="dxa"/>
            <w:tcBorders>
              <w:top w:val="single" w:color="auto" w:sz="4" w:space="0"/>
              <w:left w:val="single" w:color="auto" w:sz="4" w:space="0"/>
              <w:bottom w:val="single" w:color="auto" w:sz="4" w:space="0"/>
              <w:right w:val="single" w:color="auto" w:sz="4" w:space="0"/>
            </w:tcBorders>
            <w:vAlign w:val="center"/>
          </w:tcPr>
          <w:p w14:paraId="262CDAEA">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本招标文件未尽事宜根据相关法律法规执行。</w:t>
            </w:r>
          </w:p>
        </w:tc>
      </w:tr>
      <w:tr w14:paraId="76BC4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4718213F">
            <w:pPr>
              <w:shd w:val="clea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22</w:t>
            </w:r>
          </w:p>
        </w:tc>
        <w:tc>
          <w:tcPr>
            <w:tcW w:w="9045" w:type="dxa"/>
            <w:tcBorders>
              <w:top w:val="single" w:color="auto" w:sz="4" w:space="0"/>
              <w:left w:val="single" w:color="auto" w:sz="4" w:space="0"/>
              <w:bottom w:val="single" w:color="auto" w:sz="4" w:space="0"/>
              <w:right w:val="single" w:color="auto" w:sz="4" w:space="0"/>
            </w:tcBorders>
            <w:vAlign w:val="center"/>
          </w:tcPr>
          <w:p w14:paraId="33B074A4">
            <w:pPr>
              <w:shd w:val="clea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招标方对投标人的落选不作出任何解释。</w:t>
            </w:r>
          </w:p>
        </w:tc>
      </w:tr>
      <w:tr w14:paraId="4D4C5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74F04EBD">
            <w:pPr>
              <w:shd w:val="clea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23</w:t>
            </w:r>
          </w:p>
        </w:tc>
        <w:tc>
          <w:tcPr>
            <w:tcW w:w="9045" w:type="dxa"/>
            <w:tcBorders>
              <w:top w:val="single" w:color="auto" w:sz="4" w:space="0"/>
              <w:left w:val="single" w:color="auto" w:sz="4" w:space="0"/>
              <w:bottom w:val="single" w:color="auto" w:sz="4" w:space="0"/>
              <w:right w:val="single" w:color="auto" w:sz="4" w:space="0"/>
            </w:tcBorders>
            <w:vAlign w:val="center"/>
          </w:tcPr>
          <w:p w14:paraId="17EA4788">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采购人和招标代理机构的任何工作人员对投标人所作的任何口头解释、介绍、答复，仅供投标人参考，不作为招标依据，对采购人、招标代理机构和投标人无任何约束力，一切以网上公告及书面形式为准。</w:t>
            </w:r>
          </w:p>
        </w:tc>
      </w:tr>
      <w:tr w14:paraId="3D8D3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4" w:type="dxa"/>
            <w:gridSpan w:val="2"/>
            <w:tcBorders>
              <w:top w:val="single" w:color="auto" w:sz="4" w:space="0"/>
              <w:left w:val="single" w:color="auto" w:sz="4" w:space="0"/>
              <w:bottom w:val="single" w:color="auto" w:sz="4" w:space="0"/>
              <w:right w:val="single" w:color="auto" w:sz="4" w:space="0"/>
            </w:tcBorders>
            <w:vAlign w:val="center"/>
          </w:tcPr>
          <w:p w14:paraId="2BF30DA0">
            <w:pPr>
              <w:shd w:val="clea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24</w:t>
            </w:r>
          </w:p>
        </w:tc>
        <w:tc>
          <w:tcPr>
            <w:tcW w:w="9045" w:type="dxa"/>
            <w:tcBorders>
              <w:top w:val="single" w:color="auto" w:sz="4" w:space="0"/>
              <w:left w:val="single" w:color="auto" w:sz="4" w:space="0"/>
              <w:bottom w:val="single" w:color="auto" w:sz="4" w:space="0"/>
              <w:right w:val="single" w:color="auto" w:sz="4" w:space="0"/>
            </w:tcBorders>
            <w:vAlign w:val="center"/>
          </w:tcPr>
          <w:p w14:paraId="460C8683">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解释：本招标文件的解释权属于东阳市鑫盛工程咨询有限公司。</w:t>
            </w:r>
          </w:p>
        </w:tc>
      </w:tr>
    </w:tbl>
    <w:p w14:paraId="17B6F276">
      <w:pPr>
        <w:pStyle w:val="22"/>
        <w:shd w:val="clear"/>
        <w:snapToGrid w:val="0"/>
        <w:spacing w:before="120" w:after="120" w:line="360" w:lineRule="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注：如本招标文件后面的条款与本表有矛盾的以本表的内容为准。</w:t>
      </w:r>
    </w:p>
    <w:p w14:paraId="4F1ED76F">
      <w:pPr>
        <w:pStyle w:val="22"/>
        <w:pageBreakBefore/>
        <w:numPr>
          <w:ilvl w:val="0"/>
          <w:numId w:val="15"/>
        </w:numPr>
        <w:shd w:val="clear"/>
        <w:snapToGrid w:val="0"/>
        <w:spacing w:line="360" w:lineRule="auto"/>
        <w:ind w:left="826" w:hanging="826" w:hangingChars="343"/>
        <w:jc w:val="center"/>
        <w:outlineLvl w:val="1"/>
        <w:rPr>
          <w:rFonts w:hint="eastAsia" w:ascii="宋体" w:hAnsi="宋体" w:eastAsia="宋体" w:cs="宋体"/>
          <w:b/>
          <w:color w:val="auto"/>
          <w:szCs w:val="24"/>
          <w:highlight w:val="none"/>
        </w:rPr>
      </w:pPr>
      <w:bookmarkStart w:id="45" w:name="_Toc6590"/>
      <w:r>
        <w:rPr>
          <w:rFonts w:hint="eastAsia" w:ascii="宋体" w:hAnsi="宋体" w:eastAsia="宋体" w:cs="宋体"/>
          <w:b/>
          <w:color w:val="auto"/>
          <w:szCs w:val="24"/>
          <w:highlight w:val="none"/>
        </w:rPr>
        <w:t>总则</w:t>
      </w:r>
      <w:bookmarkEnd w:id="45"/>
    </w:p>
    <w:p w14:paraId="7AC42C27">
      <w:pPr>
        <w:shd w:val="clear"/>
        <w:spacing w:line="440" w:lineRule="exact"/>
        <w:rPr>
          <w:rFonts w:hint="eastAsia" w:ascii="宋体" w:hAnsi="宋体" w:eastAsia="宋体" w:cs="宋体"/>
          <w:b/>
          <w:color w:val="auto"/>
          <w:sz w:val="24"/>
          <w:highlight w:val="none"/>
        </w:rPr>
      </w:pPr>
      <w:bookmarkStart w:id="46" w:name="_Toc407182093"/>
      <w:r>
        <w:rPr>
          <w:rFonts w:hint="eastAsia" w:ascii="宋体" w:hAnsi="宋体" w:eastAsia="宋体" w:cs="宋体"/>
          <w:b/>
          <w:color w:val="auto"/>
          <w:sz w:val="24"/>
          <w:highlight w:val="none"/>
        </w:rPr>
        <w:t>（一） 适用范围</w:t>
      </w:r>
      <w:bookmarkEnd w:id="46"/>
    </w:p>
    <w:p w14:paraId="5656F063">
      <w:pPr>
        <w:shd w:val="clear"/>
        <w:spacing w:line="44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本招标文件适用于</w:t>
      </w:r>
      <w:r>
        <w:rPr>
          <w:rFonts w:hint="eastAsia" w:ascii="宋体" w:hAnsi="宋体" w:cs="宋体"/>
          <w:color w:val="auto"/>
          <w:sz w:val="24"/>
          <w:highlight w:val="none"/>
          <w:lang w:val="en-US" w:eastAsia="zh-CN"/>
        </w:rPr>
        <w:t>东阳市江北综合医院（东阳市红会医院迁建工程）厨房设备采购项目</w:t>
      </w:r>
      <w:r>
        <w:rPr>
          <w:rFonts w:hint="eastAsia" w:ascii="宋体" w:hAnsi="宋体" w:eastAsia="宋体" w:cs="宋体"/>
          <w:color w:val="auto"/>
          <w:sz w:val="24"/>
          <w:highlight w:val="none"/>
        </w:rPr>
        <w:t>的招标、投标、评标、定标、验收、合同履约、付款等行为（法律、法规另有规定的，从其规定）。</w:t>
      </w:r>
    </w:p>
    <w:p w14:paraId="38C9C1E5">
      <w:pPr>
        <w:shd w:val="clear"/>
        <w:spacing w:line="440" w:lineRule="exact"/>
        <w:rPr>
          <w:rFonts w:hint="eastAsia" w:ascii="宋体" w:hAnsi="宋体" w:eastAsia="宋体" w:cs="宋体"/>
          <w:b/>
          <w:color w:val="auto"/>
          <w:sz w:val="24"/>
          <w:highlight w:val="none"/>
          <w:lang w:val="en-US" w:eastAsia="zh-CN"/>
        </w:rPr>
      </w:pPr>
      <w:bookmarkStart w:id="47" w:name="_Toc407182094"/>
      <w:r>
        <w:rPr>
          <w:rFonts w:hint="eastAsia" w:ascii="宋体" w:hAnsi="宋体" w:eastAsia="宋体" w:cs="宋体"/>
          <w:b/>
          <w:color w:val="auto"/>
          <w:sz w:val="24"/>
          <w:highlight w:val="none"/>
        </w:rPr>
        <w:t>（二）定义</w:t>
      </w:r>
      <w:bookmarkEnd w:id="47"/>
      <w:r>
        <w:rPr>
          <w:rFonts w:hint="eastAsia" w:ascii="宋体" w:hAnsi="宋体" w:cs="宋体"/>
          <w:b/>
          <w:color w:val="auto"/>
          <w:sz w:val="24"/>
          <w:highlight w:val="none"/>
          <w:lang w:val="en-US" w:eastAsia="zh-CN"/>
        </w:rPr>
        <w:t>及</w:t>
      </w:r>
      <w:r>
        <w:rPr>
          <w:rFonts w:hint="eastAsia" w:ascii="宋体" w:hAnsi="宋体" w:eastAsia="宋体" w:cs="宋体"/>
          <w:b/>
          <w:color w:val="auto"/>
          <w:sz w:val="24"/>
          <w:highlight w:val="none"/>
        </w:rPr>
        <w:t>采购项目需要落实的政府采购政策</w:t>
      </w:r>
    </w:p>
    <w:p w14:paraId="0C47536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1.招标采购单位系指组织本次招标的东阳市鑫盛工程咨询有限公司（“招标方”）和</w:t>
      </w:r>
      <w:r>
        <w:rPr>
          <w:rFonts w:hint="eastAsia" w:ascii="宋体" w:hAnsi="宋体" w:cs="宋体"/>
          <w:color w:val="auto"/>
          <w:sz w:val="24"/>
          <w:highlight w:val="none"/>
          <w:lang w:val="en-US" w:eastAsia="zh-CN"/>
        </w:rPr>
        <w:t>东阳市红会医院</w:t>
      </w:r>
      <w:r>
        <w:rPr>
          <w:rFonts w:hint="eastAsia" w:ascii="宋体" w:hAnsi="宋体" w:eastAsia="宋体" w:cs="宋体"/>
          <w:color w:val="auto"/>
          <w:sz w:val="24"/>
          <w:highlight w:val="none"/>
          <w:lang w:val="en-US" w:eastAsia="zh-CN"/>
        </w:rPr>
        <w:t>（“采购人”）。</w:t>
      </w:r>
    </w:p>
    <w:p w14:paraId="60A554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2.“投标人”系指向招标方提交投标文件的单位或个人。</w:t>
      </w:r>
    </w:p>
    <w:p w14:paraId="26E931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3.“产品”系指供方按招标文件规定，须向采购人提供的一切货物、保险、税金、备品备件、工具、手册及其它有关技术资料和材料。</w:t>
      </w:r>
    </w:p>
    <w:p w14:paraId="2D9E6C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“服务”系指招标文件规定投标人须承担的安装、调试、技术协助、校准、培训、技术指导以及其他类似的义务。</w:t>
      </w:r>
    </w:p>
    <w:p w14:paraId="4A1CD17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5.“项目”系指投标人按招标文件规定向采购人提供的产品和服务。</w:t>
      </w:r>
    </w:p>
    <w:p w14:paraId="4535A67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6.“书面形式”包括信函、传真、电报等。</w:t>
      </w:r>
    </w:p>
    <w:p w14:paraId="0EDDAE7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7.“▲”系指实质性要求条款</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rPr>
        <w:t>“★”系指重要指标。</w:t>
      </w:r>
    </w:p>
    <w:p w14:paraId="0619F51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8. 采购项目需要落实的政府采购政策</w:t>
      </w:r>
    </w:p>
    <w:p w14:paraId="3CCD33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7E8E52A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8.2 支持绿色发展</w:t>
      </w:r>
    </w:p>
    <w:p w14:paraId="23EA3CA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宋体" w:hAnsi="宋体" w:cs="宋体"/>
          <w:b/>
          <w:bCs/>
          <w:color w:val="auto"/>
          <w:sz w:val="24"/>
          <w:highlight w:val="none"/>
        </w:rPr>
        <w:t>▲</w:t>
      </w:r>
      <w:r>
        <w:rPr>
          <w:rFonts w:hint="eastAsia" w:ascii="宋体" w:hAnsi="宋体" w:cs="宋体"/>
          <w:color w:val="auto"/>
          <w:sz w:val="24"/>
          <w:highlight w:val="none"/>
          <w:lang w:val="en-US" w:eastAsia="zh-CN"/>
        </w:rPr>
        <w:t>采购人拟采购的产品属于政府强制采购的节能产品品目清单范围的，供应商未按采购文件要求提供国家确定的认证机构出具的、处于有效期之内的节能产品认证证书的，投标无效。</w:t>
      </w:r>
    </w:p>
    <w:p w14:paraId="1A93E9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C6FA73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8.3支持中小企业发展</w:t>
      </w:r>
    </w:p>
    <w:p w14:paraId="047F4E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8.3.1中小企业，是指在中华人民共和国境内依法设立，依据国务院批准的中小企业划分标准确定的中型企业、小型企业和微型企业，但与大企业的负责人为同一人，或者与大企业存在直接控股、管理关系的除外。</w:t>
      </w:r>
    </w:p>
    <w:p w14:paraId="74D37D7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符合中小企业划分标准的个体工商户，在政府采购活动中视同中小企业。</w:t>
      </w:r>
    </w:p>
    <w:p w14:paraId="103F61A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8.3.2在政府采购活动中，供应商提供的货物、工程或者服务符合下列情形的，享受中小企业扶持政策：</w:t>
      </w:r>
    </w:p>
    <w:p w14:paraId="7FD7392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8.3.2.1在货物采购项目中，货物由中小企业制造，即货物由中小企业生产且使用该中小企业商号或者注册商标；</w:t>
      </w:r>
    </w:p>
    <w:p w14:paraId="3BDD27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8.3.2.2在工程采购项目中，工程由中小企业承建，即工程施工单位为中小企业；</w:t>
      </w:r>
    </w:p>
    <w:p w14:paraId="41DF2E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8.3.2.3在服务采购项目中，服务由中小企业承接，即提供服务的人员为中小企业依照《中华人民共和国劳动合同法》订立劳动合同的从业人员。</w:t>
      </w:r>
    </w:p>
    <w:p w14:paraId="4EA534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在货物采购项目中，供应商提供的货物既有中小企业制造货物，也有大型企业制造货物的，不享受中小企业扶持政策。</w:t>
      </w:r>
    </w:p>
    <w:p w14:paraId="6E37610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以联合体形式参加政府采购活动，联合体各方均为中小企业的，联合体视同中小企业。其中，联合体各方均为小微企业的，联合体视同小微企业。</w:t>
      </w:r>
    </w:p>
    <w:p w14:paraId="33E2B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8.3.3符合《关于促进残疾人就业政府采购政策的通知》（财库〔2017〕141号）规定的条件并提供《残疾人福利性单位声明函》（附件1）的残疾人福利性单位视同小型、微型企业；</w:t>
      </w:r>
    </w:p>
    <w:p w14:paraId="57A0173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8.3.4符合《关于政府采购支持监狱企业发展有关问题的通知》（财库[2014]68号）规定的监狱企业并提供由省级以上监狱管理局、戒毒管理局（含新疆生产建设兵团）出具的属于监狱企业证明文件的，视同为小型、微型企业。</w:t>
      </w:r>
    </w:p>
    <w:p w14:paraId="7BA7E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8.3.5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638FE1D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8.3.6中小企业享受扶持政策获得政府采购合同的，小微企业不得将合同分包给大中型企业，中型企业不得将合同分包给大型企业。</w:t>
      </w:r>
    </w:p>
    <w:p w14:paraId="02699E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8.4支持创新发展</w:t>
      </w:r>
    </w:p>
    <w:p w14:paraId="3D592D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8.4.1 采购人优先采购被认定为首台套产品和“制造精品”的自主创新产品。</w:t>
      </w:r>
    </w:p>
    <w:p w14:paraId="1CD056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D1E2B3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https://zfcg.czt.zj.gov.cn)的中小企业信用融资栏目了解相关信息。 供应商可以通过浙江政府采购网(https://zfcg. czt.zj. gov.cn/)首页的“浙江政采贷”模块进入申请，还可以通过政府采购云平台(https://wwwzcygov.cn/)首页的“金融服务”模块进入申请。</w:t>
      </w:r>
    </w:p>
    <w:p w14:paraId="170E3A17">
      <w:pPr>
        <w:shd w:val="clea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（三）招标方式</w:t>
      </w:r>
    </w:p>
    <w:p w14:paraId="689F1703">
      <w:pPr>
        <w:shd w:val="clea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本次招标采用公开招标方式进行。</w:t>
      </w:r>
    </w:p>
    <w:p w14:paraId="575B4120">
      <w:pPr>
        <w:shd w:val="clea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（四）投标委托</w:t>
      </w:r>
    </w:p>
    <w:p w14:paraId="51E13B73">
      <w:pPr>
        <w:shd w:val="clea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如投标人代表不是法定代表人，须有法定代表人出具的授权委托书，委托代理人必须为投标人的在职正式职工（以投标人本单位缴纳社保花名册为准）。</w:t>
      </w:r>
    </w:p>
    <w:p w14:paraId="2B40B548">
      <w:pPr>
        <w:shd w:val="clear"/>
        <w:spacing w:line="440" w:lineRule="exact"/>
        <w:rPr>
          <w:rFonts w:hint="eastAsia" w:ascii="宋体" w:hAnsi="宋体" w:eastAsia="宋体" w:cs="宋体"/>
          <w:b/>
          <w:color w:val="auto"/>
          <w:sz w:val="24"/>
          <w:highlight w:val="none"/>
        </w:rPr>
      </w:pPr>
      <w:r>
        <w:rPr>
          <w:rFonts w:hint="eastAsia" w:ascii="宋体" w:hAnsi="宋体" w:cs="宋体"/>
          <w:b/>
          <w:bCs/>
          <w:color w:val="auto"/>
          <w:sz w:val="24"/>
          <w:highlight w:val="none"/>
        </w:rPr>
        <w:t>▲</w:t>
      </w:r>
      <w:r>
        <w:rPr>
          <w:rFonts w:hint="eastAsia" w:ascii="宋体" w:hAnsi="宋体" w:eastAsia="宋体" w:cs="宋体"/>
          <w:b/>
          <w:color w:val="auto"/>
          <w:sz w:val="24"/>
          <w:highlight w:val="none"/>
        </w:rPr>
        <w:t>（五）投标费用</w:t>
      </w:r>
    </w:p>
    <w:p w14:paraId="2968B0DA">
      <w:pPr>
        <w:shd w:val="clear"/>
        <w:spacing w:line="44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1.不论投标结果如何，投标人均应自行承担所有与投标有关的全部费用（招标文件有相反规定除外）。</w:t>
      </w:r>
    </w:p>
    <w:p w14:paraId="6CE705BE">
      <w:pPr>
        <w:shd w:val="clear"/>
        <w:spacing w:line="440" w:lineRule="exact"/>
        <w:ind w:firstLine="482" w:firstLineChars="200"/>
        <w:rPr>
          <w:rFonts w:hint="eastAsia" w:ascii="宋体" w:hAnsi="宋体" w:cs="宋体"/>
          <w:b/>
          <w:color w:val="auto"/>
          <w:sz w:val="24"/>
          <w:highlight w:val="none"/>
        </w:rPr>
      </w:pPr>
      <w:r>
        <w:rPr>
          <w:rFonts w:hint="eastAsia" w:ascii="宋体" w:hAnsi="宋体" w:eastAsia="宋体" w:cs="宋体"/>
          <w:b/>
          <w:bCs w:val="0"/>
          <w:color w:val="auto"/>
          <w:sz w:val="24"/>
          <w:szCs w:val="24"/>
          <w:highlight w:val="none"/>
        </w:rPr>
        <w:t>2</w:t>
      </w:r>
      <w:r>
        <w:rPr>
          <w:rFonts w:hint="eastAsia" w:ascii="宋体" w:hAnsi="宋体" w:eastAsia="宋体" w:cs="宋体"/>
          <w:b w:val="0"/>
          <w:bCs/>
          <w:color w:val="auto"/>
          <w:sz w:val="24"/>
          <w:szCs w:val="24"/>
          <w:highlight w:val="none"/>
          <w:lang w:eastAsia="zh-CN"/>
        </w:rPr>
        <w:t>.</w:t>
      </w:r>
      <w:r>
        <w:rPr>
          <w:rFonts w:hint="eastAsia" w:ascii="宋体" w:hAnsi="宋体" w:cs="宋体"/>
          <w:b/>
          <w:color w:val="auto"/>
          <w:sz w:val="24"/>
          <w:highlight w:val="none"/>
        </w:rPr>
        <w:t>东阳市鑫盛工程咨询有限公司按中标价的1.5%向中标单位收取中标服务费，在中标结果公示结束之日起3天内（在领取中标通知书前）交纳。</w:t>
      </w:r>
    </w:p>
    <w:p w14:paraId="155CBDE8">
      <w:pPr>
        <w:shd w:val="clea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中标服务费由中标人汇至以下账户：</w:t>
      </w:r>
    </w:p>
    <w:p w14:paraId="2D62EB7C">
      <w:pPr>
        <w:shd w:val="clear"/>
        <w:spacing w:line="440" w:lineRule="exact"/>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帐户名称：东阳市鑫盛工程咨询有限公司</w:t>
      </w:r>
    </w:p>
    <w:p w14:paraId="719FAC7B">
      <w:pPr>
        <w:shd w:val="clear"/>
        <w:spacing w:line="440" w:lineRule="exact"/>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开户银行：兴业银行股份有限公司金华东阳支行</w:t>
      </w:r>
    </w:p>
    <w:p w14:paraId="5F16D0B6">
      <w:pPr>
        <w:shd w:val="clear"/>
        <w:spacing w:line="440" w:lineRule="exact"/>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账号：356090100100082625</w:t>
      </w:r>
    </w:p>
    <w:p w14:paraId="2190932E">
      <w:pPr>
        <w:numPr>
          <w:ilvl w:val="0"/>
          <w:numId w:val="16"/>
        </w:numPr>
        <w:shd w:val="clear"/>
        <w:spacing w:line="44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联合体投标</w:t>
      </w:r>
      <w:r>
        <w:rPr>
          <w:rFonts w:hint="eastAsia" w:ascii="宋体" w:hAnsi="宋体" w:eastAsia="宋体" w:cs="宋体"/>
          <w:b/>
          <w:color w:val="auto"/>
          <w:sz w:val="24"/>
          <w:highlight w:val="none"/>
        </w:rPr>
        <w:tab/>
      </w:r>
    </w:p>
    <w:p w14:paraId="6F183B22">
      <w:pPr>
        <w:shd w:val="clear"/>
        <w:spacing w:line="440" w:lineRule="exact"/>
        <w:ind w:firstLine="240" w:firstLineChars="100"/>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本项目接受联合体投标</w:t>
      </w:r>
      <w:r>
        <w:rPr>
          <w:rFonts w:hint="eastAsia" w:ascii="宋体" w:hAnsi="宋体" w:cs="宋体"/>
          <w:color w:val="auto"/>
          <w:kern w:val="0"/>
          <w:sz w:val="24"/>
          <w:highlight w:val="none"/>
          <w:lang w:eastAsia="zh-CN"/>
        </w:rPr>
        <w:t>。</w:t>
      </w:r>
    </w:p>
    <w:p w14:paraId="5B798335">
      <w:pPr>
        <w:shd w:val="clear"/>
        <w:spacing w:line="440" w:lineRule="exact"/>
        <w:rPr>
          <w:rFonts w:hint="eastAsia" w:ascii="宋体" w:hAnsi="宋体" w:eastAsia="宋体" w:cs="宋体"/>
          <w:b/>
          <w:color w:val="auto"/>
          <w:kern w:val="0"/>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kern w:val="0"/>
          <w:sz w:val="24"/>
          <w:highlight w:val="none"/>
        </w:rPr>
        <w:t>转包与分包</w:t>
      </w:r>
    </w:p>
    <w:p w14:paraId="7E7114B4">
      <w:pPr>
        <w:shd w:val="clear"/>
        <w:spacing w:line="440" w:lineRule="exact"/>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1.本项目不允许转包。</w:t>
      </w:r>
    </w:p>
    <w:p w14:paraId="3C0878A5">
      <w:pPr>
        <w:shd w:val="clear"/>
        <w:spacing w:line="440" w:lineRule="exact"/>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2.本项目允许分包。</w:t>
      </w:r>
    </w:p>
    <w:p w14:paraId="42AA1BE7">
      <w:pPr>
        <w:shd w:val="clear"/>
        <w:spacing w:line="440" w:lineRule="exact"/>
        <w:rPr>
          <w:rFonts w:hint="eastAsia" w:ascii="宋体" w:hAnsi="宋体" w:eastAsia="宋体" w:cs="宋体"/>
          <w:b/>
          <w:bCs/>
          <w:color w:val="auto"/>
          <w:sz w:val="24"/>
          <w:highlight w:val="none"/>
        </w:rPr>
      </w:pPr>
      <w:r>
        <w:rPr>
          <w:rFonts w:hint="eastAsia" w:ascii="宋体" w:hAnsi="宋体" w:cs="宋体"/>
          <w:b/>
          <w:bCs/>
          <w:color w:val="auto"/>
          <w:sz w:val="24"/>
          <w:highlight w:val="none"/>
        </w:rPr>
        <w:t>▲</w:t>
      </w:r>
      <w:r>
        <w:rPr>
          <w:rFonts w:hint="eastAsia" w:ascii="宋体" w:hAnsi="宋体" w:eastAsia="宋体" w:cs="宋体"/>
          <w:b/>
          <w:bCs/>
          <w:color w:val="auto"/>
          <w:sz w:val="24"/>
          <w:highlight w:val="none"/>
        </w:rPr>
        <w:t>（八）特别说明：</w:t>
      </w:r>
    </w:p>
    <w:p w14:paraId="5059ED9B">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1.多家供应商参加投标，如其中两家或两家以上供应商的法定代表人为同一人或相互之间存在投资关系且达到控股的，同时提供的是同一品牌产品的，应当按一个供应商认定。</w:t>
      </w:r>
    </w:p>
    <w:p w14:paraId="1751A1EE">
      <w:pPr>
        <w:shd w:val="clea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评审时，提供相同品牌产品且通过资格审查、符合性审查的不同投标人参加同一合同下投标的，按一家投标人计算，评审后得分最高的同品牌投标人获得中标人推荐资格；评审得分相同的由采购人或者采购人委托评标委员会确定一个投标人获得中标人推荐资格，招标文件未规定的采取随机抽取方式确定，其他同品牌投标人不作为中标候选人。</w:t>
      </w:r>
    </w:p>
    <w:p w14:paraId="5986627B">
      <w:pPr>
        <w:shd w:val="clea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多家代理商或经销商参加投标，如其中两家或两家以上供应商存在分级代理或代销关系，且提供的是其所代理品牌产品的，评审时，按上述规定确定其中一家为有效供应商。</w:t>
      </w:r>
    </w:p>
    <w:p w14:paraId="6A92B356">
      <w:pPr>
        <w:shd w:val="clear"/>
        <w:spacing w:line="44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非单一产品采购项目，多家投标人提供相同品牌核心产品的，按前款规定处理。</w:t>
      </w:r>
    </w:p>
    <w:p w14:paraId="58F9998C">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2.投标人投标所使用的资格、信誉、荣誉与企业认证必须为本法人所拥有。投标人投标所使用的采购项目实施人员必须为本法人员工（或必须为本法人或控股公司正式员工）。</w:t>
      </w:r>
    </w:p>
    <w:p w14:paraId="5D765680">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3.投标人应仔细阅读招标文件的所有内容，按照招标文件的要求提交投标文件，并对所提供的全部资料的真实性承担法律责任。</w:t>
      </w:r>
    </w:p>
    <w:p w14:paraId="6C9FE816">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4.投标人在投标活动中提供任何虚假材料,其投标无效，并报监管部门查处；中标后发现的,中标人须依照《中华人民共和国消费者权益保护法》第49条之规定，按中标价双倍赔偿采购人，且民事赔偿并不免除违法投标人的行政与刑事责任。</w:t>
      </w:r>
    </w:p>
    <w:p w14:paraId="267A3A5C">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委员会认为预中标人的投标报价明显低于其他通过符合性审查投标人的报价，有可能影响产品质量或者不能诚信履约的，应当要求其在评标现场合理的时间内提供书面说明，必要时提交相关证明材料，预中标人不能证明其报价合理性的，评标委员会应当将其作为无效投标处理。</w:t>
      </w:r>
    </w:p>
    <w:p w14:paraId="673E123E">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6.招标方不保证最低报价者为中标方。</w:t>
      </w:r>
    </w:p>
    <w:p w14:paraId="539A71C8">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7.“政采云”平台运营机构，以及与该机构有直接控股或者管理关系可能影响采购公正性的任何单位和个人，不得在该平台进行的政府采购项目电子交易中投标、响应政府采购项目。</w:t>
      </w:r>
    </w:p>
    <w:p w14:paraId="70BB1E5C">
      <w:pPr>
        <w:shd w:val="clear"/>
        <w:spacing w:line="44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（九）质疑和投诉</w:t>
      </w:r>
    </w:p>
    <w:p w14:paraId="1473D58A">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认为招标文件、招标过程或中标结果使自己的合法权益受到损害的，应当在知道或者应知其权益受到损害之日起七个工作日内，以书面形式向采购人、招标方提出质疑。投标人对招标方的质疑答复不满意或者招标方未在规定时间内作出答复的，可以在答复期满后十五个工作日内向同级采购监管部门投诉。</w:t>
      </w:r>
    </w:p>
    <w:p w14:paraId="4492948B">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14:paraId="5CBCA385">
      <w:pPr>
        <w:shd w:val="clear"/>
        <w:spacing w:line="440" w:lineRule="exact"/>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3.采购人、招标方应当按照《浙江省政府采购供应商质疑处理办法》、中华人民共和国财政部第94号令《政府采购质疑和投诉办法》进行受理与答复质疑。</w:t>
      </w:r>
    </w:p>
    <w:p w14:paraId="58E2B5C5">
      <w:pPr>
        <w:pStyle w:val="8"/>
        <w:keepNext w:val="0"/>
        <w:keepLines w:val="0"/>
        <w:pageBreakBefore/>
        <w:shd w:val="clear"/>
        <w:spacing w:line="360" w:lineRule="auto"/>
        <w:jc w:val="center"/>
        <w:rPr>
          <w:rFonts w:hint="eastAsia" w:ascii="宋体" w:hAnsi="宋体" w:eastAsia="宋体" w:cs="宋体"/>
          <w:b/>
          <w:bCs/>
          <w:color w:val="auto"/>
          <w:sz w:val="24"/>
          <w:szCs w:val="24"/>
          <w:highlight w:val="none"/>
        </w:rPr>
      </w:pPr>
      <w:bookmarkStart w:id="48" w:name="_Toc454196066"/>
      <w:bookmarkStart w:id="49" w:name="_Toc17577"/>
      <w:bookmarkStart w:id="50" w:name="_Toc458697268"/>
      <w:r>
        <w:rPr>
          <w:rFonts w:hint="eastAsia" w:ascii="宋体" w:hAnsi="宋体" w:eastAsia="宋体" w:cs="宋体"/>
          <w:b/>
          <w:bCs/>
          <w:color w:val="auto"/>
          <w:sz w:val="24"/>
          <w:szCs w:val="24"/>
          <w:highlight w:val="none"/>
        </w:rPr>
        <w:t>二、招标文件</w:t>
      </w:r>
      <w:bookmarkEnd w:id="48"/>
      <w:bookmarkEnd w:id="49"/>
      <w:bookmarkEnd w:id="50"/>
    </w:p>
    <w:p w14:paraId="32B3E330">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（一）招标文件的构成。本招标文件由以下部分组成：</w:t>
      </w:r>
    </w:p>
    <w:p w14:paraId="19E5165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1.招标公告</w:t>
      </w:r>
    </w:p>
    <w:p w14:paraId="526D153F">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2.招标需求</w:t>
      </w:r>
    </w:p>
    <w:p w14:paraId="4A06ADF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3.投标人须知</w:t>
      </w:r>
    </w:p>
    <w:p w14:paraId="13FCA9E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4.评标办法及标准</w:t>
      </w:r>
    </w:p>
    <w:p w14:paraId="3A0B98F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5.合同主要条款</w:t>
      </w:r>
    </w:p>
    <w:p w14:paraId="6F8E7735">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6.投标文件格式</w:t>
      </w:r>
    </w:p>
    <w:p w14:paraId="052E8C73">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7.本项目招标文件的澄清、答复、修改、补充的内容</w:t>
      </w:r>
    </w:p>
    <w:p w14:paraId="4C8F2259">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（二）投标人的风险</w:t>
      </w:r>
    </w:p>
    <w:p w14:paraId="04CAA94B">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投标人没有按照招标文件要求提供全部资料，或者投标人没有对招标文件在各方面作出实质性响应是投标人的风险，并可能导致其投标被拒绝。</w:t>
      </w:r>
    </w:p>
    <w:p w14:paraId="70AE63C6">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（三）招标文件的澄清与修改 </w:t>
      </w:r>
    </w:p>
    <w:p w14:paraId="7C476C5E">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bCs/>
          <w:color w:val="auto"/>
          <w:sz w:val="24"/>
          <w:highlight w:val="none"/>
        </w:rPr>
        <w:t>投标人应认真阅读本招标文件，发现其中有误或有不合理要求的，投标人应当按照公开招标公告第</w:t>
      </w:r>
      <w:r>
        <w:rPr>
          <w:rFonts w:hint="eastAsia" w:ascii="宋体" w:hAnsi="宋体" w:eastAsia="宋体" w:cs="宋体"/>
          <w:bCs/>
          <w:color w:val="auto"/>
          <w:sz w:val="24"/>
          <w:highlight w:val="none"/>
          <w:lang w:eastAsia="zh-CN"/>
        </w:rPr>
        <w:t>三、</w:t>
      </w:r>
      <w:r>
        <w:rPr>
          <w:rFonts w:hint="eastAsia" w:ascii="宋体" w:hAnsi="宋体" w:cs="宋体"/>
          <w:bCs/>
          <w:color w:val="auto"/>
          <w:sz w:val="24"/>
          <w:highlight w:val="none"/>
          <w:lang w:val="en-US" w:eastAsia="zh-CN"/>
        </w:rPr>
        <w:t>七</w:t>
      </w:r>
      <w:r>
        <w:rPr>
          <w:rFonts w:hint="eastAsia" w:ascii="宋体" w:hAnsi="宋体" w:eastAsia="宋体" w:cs="宋体"/>
          <w:bCs/>
          <w:color w:val="auto"/>
          <w:sz w:val="24"/>
          <w:highlight w:val="none"/>
        </w:rPr>
        <w:t>条规定以书面形式要求招标方澄清</w:t>
      </w:r>
      <w:r>
        <w:rPr>
          <w:rFonts w:hint="eastAsia" w:ascii="宋体" w:hAnsi="宋体" w:eastAsia="宋体" w:cs="宋体"/>
          <w:color w:val="auto"/>
          <w:sz w:val="24"/>
          <w:highlight w:val="none"/>
        </w:rPr>
        <w:t>。招标方对已发出的招标文件进行必要澄清、答复、修改或补充的，应当在招标文件要求提交投标文件截止时间15日前，在财政部门指定的政府采购信息发布媒体上发布更正公告，并以书面形式通知所有招标文件收受人。</w:t>
      </w:r>
    </w:p>
    <w:p w14:paraId="309FA333">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2.招标方必须以书面形式答复投标人要求澄清的问题，并将不包含问题来源的答复书面通知所有购买招标文件的投标人；除书面答复以外的其他澄清方式及澄清内容均无效。</w:t>
      </w:r>
    </w:p>
    <w:p w14:paraId="09EAE001">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3.招标文件澄清、答复、修改、补充的内容为招标文件的组成部分。当招标文件与招标文件的答复、澄清、修改、补充通知就同一内容的表述不一致时，以最后发出的书面文件为准。</w:t>
      </w:r>
    </w:p>
    <w:p w14:paraId="4FDE3940">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4.招标文件的澄清、答复、修改或补充都应该通过本招标机构以法定形式发布，采购人非通过本机构，不得擅自澄清、答复、修改或补充招标文件。</w:t>
      </w:r>
    </w:p>
    <w:p w14:paraId="0005E28F">
      <w:pPr>
        <w:pStyle w:val="8"/>
        <w:keepNext w:val="0"/>
        <w:keepLines w:val="0"/>
        <w:pageBreakBefore/>
        <w:shd w:val="clear"/>
        <w:spacing w:line="360" w:lineRule="auto"/>
        <w:jc w:val="center"/>
        <w:rPr>
          <w:rFonts w:hint="eastAsia" w:ascii="宋体" w:hAnsi="宋体" w:eastAsia="宋体" w:cs="宋体"/>
          <w:b/>
          <w:bCs/>
          <w:color w:val="auto"/>
          <w:sz w:val="24"/>
          <w:szCs w:val="24"/>
          <w:highlight w:val="none"/>
        </w:rPr>
      </w:pPr>
      <w:bookmarkStart w:id="51" w:name="_Toc454196067"/>
      <w:bookmarkStart w:id="52" w:name="_Toc29716"/>
      <w:bookmarkStart w:id="53" w:name="_Toc458697269"/>
      <w:r>
        <w:rPr>
          <w:rFonts w:hint="eastAsia" w:ascii="宋体" w:hAnsi="宋体" w:eastAsia="宋体" w:cs="宋体"/>
          <w:b/>
          <w:bCs/>
          <w:color w:val="auto"/>
          <w:sz w:val="24"/>
          <w:szCs w:val="24"/>
          <w:highlight w:val="none"/>
        </w:rPr>
        <w:t>三、投标文件的编制</w:t>
      </w:r>
      <w:bookmarkEnd w:id="51"/>
      <w:bookmarkEnd w:id="52"/>
      <w:bookmarkEnd w:id="53"/>
    </w:p>
    <w:p w14:paraId="15FE2531">
      <w:pPr>
        <w:shd w:val="clear"/>
        <w:spacing w:line="360" w:lineRule="auto"/>
        <w:rPr>
          <w:rFonts w:hint="eastAsia" w:ascii="宋体" w:hAnsi="宋体" w:eastAsia="宋体" w:cs="宋体"/>
          <w:b/>
          <w:color w:val="auto"/>
          <w:sz w:val="24"/>
          <w:highlight w:val="none"/>
        </w:rPr>
      </w:pPr>
      <w:r>
        <w:rPr>
          <w:rFonts w:hint="eastAsia" w:ascii="宋体" w:hAnsi="宋体" w:cs="宋体"/>
          <w:b/>
          <w:bCs/>
          <w:color w:val="auto"/>
          <w:sz w:val="24"/>
          <w:highlight w:val="none"/>
        </w:rPr>
        <w:t>▲</w:t>
      </w:r>
      <w:r>
        <w:rPr>
          <w:rFonts w:hint="eastAsia" w:ascii="宋体" w:hAnsi="宋体" w:eastAsia="宋体" w:cs="宋体"/>
          <w:b/>
          <w:color w:val="auto"/>
          <w:sz w:val="24"/>
          <w:highlight w:val="none"/>
        </w:rPr>
        <w:t>（一）投标文件的组成</w:t>
      </w:r>
    </w:p>
    <w:p w14:paraId="488C01D4">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投标文件由资格审查文件、商务技术文件、报价文件三部分组成。</w:t>
      </w:r>
    </w:p>
    <w:p w14:paraId="630FD297">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1.资格审查文件：</w:t>
      </w:r>
    </w:p>
    <w:p w14:paraId="7C2CF25D">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（1）具有独立承担民事责任的能力：投标人须在投标文件中出具符合以下情况的证明材料复印件（五选一）：</w:t>
      </w:r>
    </w:p>
    <w:p w14:paraId="7564B3F1">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①如投标人是企业（包括合伙企业），提供在工商部门注册的有效“企业法人营业执照”或“营业执照”；</w:t>
      </w:r>
    </w:p>
    <w:p w14:paraId="75D42E61">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②如投标人是事业单位，提供有效的“事业单位法人证书”；</w:t>
      </w:r>
    </w:p>
    <w:p w14:paraId="79CEACBD">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③如投标人是非企业专业服务机构的，提供执业许可证等证明文件；</w:t>
      </w:r>
    </w:p>
    <w:p w14:paraId="73073328">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④如投标人是个体工商户，提供有效的“个体工商户营业执照”；</w:t>
      </w:r>
    </w:p>
    <w:p w14:paraId="635EC0C1">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⑤如投标人是自然人，提供有效的自然人身份证明（居民身份证正反面或公安机关出具的临时居民身份证正反面或港澳台胞证或护照）。</w:t>
      </w:r>
    </w:p>
    <w:p w14:paraId="4C06DFEE">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（2）法定代表人身份证复印件或法定代表人授权委托书(格式见附件)；</w:t>
      </w:r>
    </w:p>
    <w:p w14:paraId="2EB297C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（3）符合参加政府采购活动应当具备的一般条件的承诺函（格式见附件）；</w:t>
      </w:r>
    </w:p>
    <w:p w14:paraId="0C7A3595">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583CFE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（5）浙江政府采购网注册正式供应商的网络截图或承诺中标后30天内注册为浙江政府采购网正式供应商（须提供承诺书）；</w:t>
      </w:r>
    </w:p>
    <w:p w14:paraId="06DF1E66">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）东阳市政府采购代理机构社会评价表（格式见附件）；</w:t>
      </w:r>
    </w:p>
    <w:p w14:paraId="6603BDC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）投标声明书 (格式见附件) ；</w:t>
      </w:r>
    </w:p>
    <w:p w14:paraId="1BBDEA64">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rPr>
        <w:t>）政府采购活动现场确认声明书 (格式见附件) ；</w:t>
      </w:r>
    </w:p>
    <w:p w14:paraId="258C8303">
      <w:pPr>
        <w:shd w:val="clear"/>
        <w:spacing w:line="360" w:lineRule="auto"/>
        <w:rPr>
          <w:rFonts w:ascii="宋体" w:hAnsi="宋体" w:cs="宋体"/>
          <w:b/>
          <w:bCs/>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rPr>
        <w:t>）</w:t>
      </w:r>
      <w:r>
        <w:rPr>
          <w:rFonts w:hint="eastAsia" w:ascii="宋体" w:hAnsi="宋体" w:cs="宋体"/>
          <w:color w:val="auto"/>
          <w:sz w:val="24"/>
          <w:highlight w:val="none"/>
        </w:rPr>
        <w:t>联合体协议书（联合体投标时提供）/分包意向协议（分包投标时提供）（格式见附件）；</w:t>
      </w:r>
    </w:p>
    <w:p w14:paraId="5DA7D070">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cs="宋体"/>
          <w:b/>
          <w:bCs/>
          <w:color w:val="auto"/>
          <w:sz w:val="24"/>
          <w:highlight w:val="none"/>
          <w:lang w:val="en-US" w:eastAsia="zh-CN"/>
        </w:rPr>
        <w:t>10</w:t>
      </w:r>
      <w:r>
        <w:rPr>
          <w:rFonts w:hint="eastAsia" w:ascii="宋体" w:hAnsi="宋体" w:eastAsia="宋体" w:cs="宋体"/>
          <w:b/>
          <w:bCs/>
          <w:color w:val="auto"/>
          <w:sz w:val="24"/>
          <w:highlight w:val="none"/>
        </w:rPr>
        <w:t>）落实政府采购政策需满足的资格：供应商为中小企业/小微企业，提供《中小企业声明函》（格式见附件）；</w:t>
      </w:r>
    </w:p>
    <w:p w14:paraId="134532EC">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11</w:t>
      </w:r>
      <w:r>
        <w:rPr>
          <w:rFonts w:hint="eastAsia" w:ascii="宋体" w:hAnsi="宋体" w:eastAsia="宋体" w:cs="宋体"/>
          <w:color w:val="auto"/>
          <w:sz w:val="24"/>
          <w:highlight w:val="none"/>
        </w:rPr>
        <w:t>）投标人情况介绍；</w:t>
      </w:r>
    </w:p>
    <w:p w14:paraId="5F9E54C5">
      <w:pPr>
        <w:shd w:val="clear"/>
        <w:spacing w:line="360" w:lineRule="auto"/>
        <w:rPr>
          <w:rFonts w:ascii="宋体" w:hAnsi="宋体" w:cs="宋体"/>
          <w:color w:val="auto"/>
          <w:sz w:val="24"/>
          <w:highlight w:val="none"/>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）投标人认为有必要提供的其它文件。</w:t>
      </w:r>
    </w:p>
    <w:p w14:paraId="18E8C439">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2.商务技术文件</w:t>
      </w:r>
    </w:p>
    <w:p w14:paraId="5D839EC5">
      <w:pPr>
        <w:shd w:val="clear"/>
        <w:spacing w:line="360" w:lineRule="auto"/>
        <w:rPr>
          <w:rFonts w:hint="eastAsia" w:ascii="宋体" w:hAnsi="宋体" w:cs="宋体"/>
          <w:color w:val="auto"/>
          <w:sz w:val="24"/>
          <w:highlight w:val="none"/>
        </w:rPr>
      </w:pPr>
      <w:bookmarkStart w:id="54" w:name="OLE_LINK11"/>
      <w:r>
        <w:rPr>
          <w:rFonts w:hint="eastAsia" w:ascii="宋体" w:hAnsi="宋体" w:cs="宋体"/>
          <w:color w:val="auto"/>
          <w:sz w:val="24"/>
          <w:highlight w:val="none"/>
        </w:rPr>
        <w:t>（1）投标人资信商务、技术自评得分表（格式见附件）；</w:t>
      </w:r>
    </w:p>
    <w:p w14:paraId="189BD7F5">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（2）商务响应表（格式见附件）；</w:t>
      </w:r>
    </w:p>
    <w:p w14:paraId="3CBC3F91">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（3）技术响应表（格式见附件）；</w:t>
      </w:r>
    </w:p>
    <w:p w14:paraId="27C56E60">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（4）</w:t>
      </w:r>
      <w:r>
        <w:rPr>
          <w:rFonts w:hint="default" w:ascii="宋体" w:hAnsi="宋体" w:cs="宋体"/>
          <w:color w:val="auto"/>
          <w:sz w:val="24"/>
          <w:highlight w:val="none"/>
          <w:lang w:val="en-US"/>
        </w:rPr>
        <w:t>产品配置清单</w:t>
      </w:r>
      <w:r>
        <w:rPr>
          <w:rFonts w:hint="eastAsia" w:ascii="宋体" w:hAnsi="宋体" w:cs="宋体"/>
          <w:color w:val="auto"/>
          <w:sz w:val="24"/>
          <w:highlight w:val="none"/>
        </w:rPr>
        <w:t>（格式见附件）；</w:t>
      </w:r>
    </w:p>
    <w:p w14:paraId="1DFA22EE">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样品</w:t>
      </w:r>
      <w:r>
        <w:rPr>
          <w:rFonts w:hint="eastAsia" w:ascii="宋体" w:hAnsi="宋体" w:cs="宋体"/>
          <w:color w:val="auto"/>
          <w:sz w:val="24"/>
          <w:highlight w:val="none"/>
        </w:rPr>
        <w:t xml:space="preserve">；  </w:t>
      </w:r>
    </w:p>
    <w:p w14:paraId="3FBEF670">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eastAsia="宋体" w:cs="宋体"/>
          <w:color w:val="auto"/>
          <w:sz w:val="24"/>
          <w:highlight w:val="none"/>
        </w:rPr>
        <w:t>技术响应</w:t>
      </w:r>
      <w:r>
        <w:rPr>
          <w:rFonts w:hint="eastAsia" w:ascii="宋体" w:hAnsi="宋体" w:cs="宋体"/>
          <w:color w:val="auto"/>
          <w:sz w:val="24"/>
          <w:highlight w:val="none"/>
          <w:lang w:val="en-US" w:eastAsia="zh-CN"/>
        </w:rPr>
        <w:t>情况</w:t>
      </w:r>
      <w:r>
        <w:rPr>
          <w:rFonts w:hint="eastAsia" w:ascii="宋体" w:hAnsi="宋体" w:cs="宋体"/>
          <w:color w:val="auto"/>
          <w:sz w:val="24"/>
          <w:highlight w:val="none"/>
        </w:rPr>
        <w:t xml:space="preserve">； </w:t>
      </w:r>
    </w:p>
    <w:p w14:paraId="140DABA2">
      <w:pPr>
        <w:pStyle w:val="37"/>
        <w:shd w:val="clear"/>
        <w:ind w:left="0" w:leftChars="0" w:firstLine="0" w:firstLineChars="0"/>
        <w:rPr>
          <w:rFonts w:hint="eastAsia"/>
          <w:color w:val="auto"/>
          <w:highlight w:val="none"/>
        </w:rPr>
      </w:pPr>
      <w:r>
        <w:rPr>
          <w:rFonts w:hint="eastAsia" w:ascii="宋体" w:hAnsi="宋体" w:eastAsia="宋体" w:cs="仿宋"/>
          <w:b w:val="0"/>
          <w:color w:val="auto"/>
          <w:kern w:val="0"/>
          <w:sz w:val="24"/>
          <w:szCs w:val="24"/>
          <w:highlight w:val="none"/>
          <w:lang w:val="en-US" w:eastAsia="zh-CN" w:bidi="ar-SA"/>
        </w:rPr>
        <w:t>（7）</w:t>
      </w:r>
      <w:r>
        <w:rPr>
          <w:rFonts w:hint="eastAsia" w:ascii="宋体" w:hAnsi="宋体" w:cs="宋体"/>
          <w:color w:val="auto"/>
          <w:sz w:val="24"/>
          <w:szCs w:val="24"/>
          <w:highlight w:val="none"/>
          <w:lang w:val="en-US" w:eastAsia="zh-CN"/>
        </w:rPr>
        <w:t>进度计划</w:t>
      </w:r>
      <w:r>
        <w:rPr>
          <w:rFonts w:hint="eastAsia" w:ascii="宋体" w:hAnsi="宋体" w:cs="仿宋"/>
          <w:b w:val="0"/>
          <w:color w:val="auto"/>
          <w:kern w:val="0"/>
          <w:sz w:val="24"/>
          <w:szCs w:val="24"/>
          <w:highlight w:val="none"/>
          <w:lang w:val="en-US" w:eastAsia="zh-CN" w:bidi="ar-SA"/>
        </w:rPr>
        <w:t>；</w:t>
      </w:r>
    </w:p>
    <w:p w14:paraId="1383FF48">
      <w:pPr>
        <w:shd w:val="clea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eastAsia="宋体" w:cs="宋体"/>
          <w:color w:val="auto"/>
          <w:sz w:val="24"/>
          <w:szCs w:val="24"/>
          <w:highlight w:val="none"/>
        </w:rPr>
        <w:t>安装实施方案</w:t>
      </w:r>
      <w:r>
        <w:rPr>
          <w:rFonts w:hint="eastAsia" w:ascii="宋体" w:hAnsi="宋体" w:cs="宋体"/>
          <w:color w:val="auto"/>
          <w:sz w:val="24"/>
          <w:highlight w:val="none"/>
        </w:rPr>
        <w:t xml:space="preserve">；  </w:t>
      </w:r>
    </w:p>
    <w:p w14:paraId="7FD1C293">
      <w:pPr>
        <w:shd w:val="clea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eastAsia="宋体" w:cs="宋体"/>
          <w:color w:val="auto"/>
          <w:sz w:val="24"/>
          <w:szCs w:val="24"/>
          <w:highlight w:val="none"/>
          <w:lang w:val="en-US" w:eastAsia="zh-CN"/>
        </w:rPr>
        <w:t>质量保障措施</w:t>
      </w:r>
      <w:r>
        <w:rPr>
          <w:rFonts w:hint="eastAsia" w:ascii="宋体" w:hAnsi="宋体" w:cs="宋体"/>
          <w:color w:val="auto"/>
          <w:sz w:val="24"/>
          <w:highlight w:val="none"/>
        </w:rPr>
        <w:t xml:space="preserve">； </w:t>
      </w:r>
    </w:p>
    <w:p w14:paraId="172321A7">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w:t>
      </w:r>
      <w:r>
        <w:rPr>
          <w:rFonts w:hint="eastAsia" w:ascii="宋体" w:hAnsi="宋体" w:eastAsia="宋体" w:cs="宋体"/>
          <w:color w:val="auto"/>
          <w:sz w:val="24"/>
          <w:szCs w:val="24"/>
          <w:highlight w:val="none"/>
        </w:rPr>
        <w:t>团队</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配备</w:t>
      </w:r>
      <w:r>
        <w:rPr>
          <w:rFonts w:hint="eastAsia" w:ascii="宋体" w:hAnsi="宋体" w:cs="宋体"/>
          <w:color w:val="auto"/>
          <w:sz w:val="24"/>
          <w:highlight w:val="none"/>
        </w:rPr>
        <w:t>；</w:t>
      </w:r>
    </w:p>
    <w:p w14:paraId="1F2E1589">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11</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质保期；</w:t>
      </w:r>
      <w:r>
        <w:rPr>
          <w:rFonts w:hint="eastAsia" w:ascii="宋体" w:hAnsi="宋体" w:cs="宋体"/>
          <w:color w:val="auto"/>
          <w:sz w:val="24"/>
          <w:highlight w:val="none"/>
        </w:rPr>
        <w:t xml:space="preserve"> </w:t>
      </w:r>
    </w:p>
    <w:p w14:paraId="1F97DC5B">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认证证书</w:t>
      </w:r>
      <w:r>
        <w:rPr>
          <w:rFonts w:hint="eastAsia" w:ascii="宋体" w:hAnsi="宋体" w:cs="宋体"/>
          <w:color w:val="auto"/>
          <w:sz w:val="24"/>
          <w:highlight w:val="none"/>
        </w:rPr>
        <w:t>；</w:t>
      </w:r>
    </w:p>
    <w:p w14:paraId="5E9EF4F7">
      <w:pPr>
        <w:shd w:val="clear"/>
        <w:spacing w:line="360" w:lineRule="auto"/>
        <w:rPr>
          <w:rFonts w:hint="eastAsia" w:ascii="宋体" w:hAnsi="宋体" w:cs="宋体"/>
          <w:color w:val="auto"/>
          <w:sz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售后服务方案</w:t>
      </w:r>
      <w:r>
        <w:rPr>
          <w:rFonts w:hint="eastAsia" w:ascii="宋体" w:hAnsi="宋体" w:cs="宋体"/>
          <w:color w:val="auto"/>
          <w:sz w:val="24"/>
          <w:szCs w:val="24"/>
          <w:highlight w:val="none"/>
          <w:lang w:eastAsia="zh-CN"/>
        </w:rPr>
        <w:t>；</w:t>
      </w:r>
      <w:r>
        <w:rPr>
          <w:rFonts w:hint="eastAsia" w:ascii="宋体" w:hAnsi="宋体" w:cs="宋体"/>
          <w:color w:val="auto"/>
          <w:sz w:val="24"/>
          <w:highlight w:val="none"/>
        </w:rPr>
        <w:t xml:space="preserve"> </w:t>
      </w:r>
    </w:p>
    <w:p w14:paraId="085FBEB9">
      <w:pPr>
        <w:numPr>
          <w:ilvl w:val="0"/>
          <w:numId w:val="17"/>
        </w:numPr>
        <w:shd w:val="clea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同类业绩</w:t>
      </w:r>
      <w:r>
        <w:rPr>
          <w:rFonts w:hint="eastAsia" w:ascii="宋体" w:hAnsi="宋体" w:cs="宋体"/>
          <w:color w:val="auto"/>
          <w:sz w:val="24"/>
          <w:highlight w:val="none"/>
        </w:rPr>
        <w:t>；</w:t>
      </w:r>
    </w:p>
    <w:p w14:paraId="12C631CD">
      <w:pPr>
        <w:shd w:val="clea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）环保节能产品；</w:t>
      </w:r>
    </w:p>
    <w:p w14:paraId="561B77CA">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16</w:t>
      </w:r>
      <w:r>
        <w:rPr>
          <w:rFonts w:hint="eastAsia" w:ascii="宋体" w:hAnsi="宋体" w:cs="宋体"/>
          <w:color w:val="auto"/>
          <w:sz w:val="24"/>
          <w:highlight w:val="none"/>
        </w:rPr>
        <w:t>）服务费承诺书（格式见附件）；</w:t>
      </w:r>
    </w:p>
    <w:p w14:paraId="31D0893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）投标人需要说明的其他文件和说明。</w:t>
      </w:r>
    </w:p>
    <w:bookmarkEnd w:id="54"/>
    <w:p w14:paraId="08E7492F">
      <w:pPr>
        <w:numPr>
          <w:ilvl w:val="0"/>
          <w:numId w:val="18"/>
        </w:num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报价文件</w:t>
      </w:r>
    </w:p>
    <w:p w14:paraId="74E614D1">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（1）投标函（格式见附件）； </w:t>
      </w:r>
    </w:p>
    <w:p w14:paraId="6AE6A663">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 xml:space="preserve">）开标一览表（格式见附件）； </w:t>
      </w:r>
    </w:p>
    <w:p w14:paraId="7589A59B">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）投标人针对报价需要说明的其他文件和说明（格式自拟）。</w:t>
      </w:r>
    </w:p>
    <w:p w14:paraId="47355D63">
      <w:pPr>
        <w:shd w:val="clear"/>
        <w:spacing w:line="360" w:lineRule="auto"/>
        <w:rPr>
          <w:rFonts w:hint="eastAsia" w:ascii="宋体" w:hAnsi="宋体" w:eastAsia="宋体" w:cs="宋体"/>
          <w:b/>
          <w:color w:val="auto"/>
          <w:sz w:val="24"/>
          <w:highlight w:val="none"/>
        </w:rPr>
      </w:pPr>
      <w:r>
        <w:rPr>
          <w:rFonts w:hint="eastAsia" w:ascii="宋体" w:hAnsi="宋体" w:cs="宋体"/>
          <w:b/>
          <w:bCs/>
          <w:color w:val="auto"/>
          <w:sz w:val="24"/>
          <w:highlight w:val="none"/>
        </w:rPr>
        <w:t>▲</w:t>
      </w:r>
      <w:r>
        <w:rPr>
          <w:rFonts w:hint="eastAsia" w:ascii="宋体" w:hAnsi="宋体" w:eastAsia="宋体" w:cs="宋体"/>
          <w:b/>
          <w:color w:val="auto"/>
          <w:sz w:val="24"/>
          <w:highlight w:val="none"/>
        </w:rPr>
        <w:t>（二）投标文件的语言及计量</w:t>
      </w:r>
    </w:p>
    <w:p w14:paraId="1D3E0D6E">
      <w:pPr>
        <w:shd w:val="clea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1．投标文件以及投标方与招标方就有关投标事宜的所有来往函电，均应以中文汉语书写。除签名、盖章、专用名称等特殊情形外，以中文汉语以外的文字表述的投标文件视同未提供。</w:t>
      </w:r>
    </w:p>
    <w:p w14:paraId="19FF4EA1">
      <w:pPr>
        <w:shd w:val="clea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2.投标计量单位，应采用中华人民共和国法定计量单位（货币单位：人民币元），否则视同未响应。</w:t>
      </w:r>
    </w:p>
    <w:p w14:paraId="46762D72">
      <w:pPr>
        <w:shd w:val="clear"/>
        <w:spacing w:line="360" w:lineRule="auto"/>
        <w:rPr>
          <w:rFonts w:hint="eastAsia" w:ascii="宋体" w:hAnsi="宋体" w:eastAsia="宋体" w:cs="宋体"/>
          <w:b/>
          <w:bCs/>
          <w:color w:val="auto"/>
          <w:sz w:val="24"/>
          <w:highlight w:val="none"/>
        </w:rPr>
      </w:pPr>
      <w:r>
        <w:rPr>
          <w:rFonts w:hint="eastAsia" w:ascii="宋体" w:hAnsi="宋体" w:cs="宋体"/>
          <w:b/>
          <w:bCs/>
          <w:color w:val="auto"/>
          <w:sz w:val="24"/>
          <w:highlight w:val="none"/>
        </w:rPr>
        <w:t>▲</w:t>
      </w:r>
      <w:r>
        <w:rPr>
          <w:rFonts w:hint="eastAsia" w:ascii="宋体" w:hAnsi="宋体" w:eastAsia="宋体" w:cs="宋体"/>
          <w:b/>
          <w:bCs/>
          <w:color w:val="auto"/>
          <w:sz w:val="24"/>
          <w:highlight w:val="none"/>
        </w:rPr>
        <w:t>（三）投标报价</w:t>
      </w:r>
    </w:p>
    <w:p w14:paraId="58950D0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1.投标报价应按招标文件中相关附表格式填写。</w:t>
      </w:r>
    </w:p>
    <w:p w14:paraId="291877A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2.投标报价是履行合同的最终价格，</w:t>
      </w:r>
      <w:bookmarkStart w:id="55" w:name="OLE_LINK33"/>
      <w:r>
        <w:rPr>
          <w:rFonts w:hint="eastAsia" w:ascii="宋体" w:hAnsi="宋体" w:eastAsia="宋体" w:cs="宋体"/>
          <w:color w:val="auto"/>
          <w:sz w:val="24"/>
          <w:highlight w:val="none"/>
        </w:rPr>
        <w:t>应包括货款、标准附件、备品备件、专用工具、包装、运输、装卸、保险、货到就位、人工等本项目相关的一切费用和税金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投标人投标报价为投标人所能承受的整个项目的一次性最终最低报价，如有漏项，视同已包含在本项目投标报价中，合同单价和总价不做调整。</w:t>
      </w:r>
    </w:p>
    <w:bookmarkEnd w:id="55"/>
    <w:p w14:paraId="18AE2AC0">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（四）投标文件的有效期</w:t>
      </w:r>
    </w:p>
    <w:p w14:paraId="4B03F36E">
      <w:pPr>
        <w:shd w:val="clear"/>
        <w:spacing w:line="360" w:lineRule="auto"/>
        <w:rPr>
          <w:rFonts w:hint="eastAsia" w:ascii="宋体" w:hAnsi="宋体" w:eastAsia="宋体" w:cs="宋体"/>
          <w:color w:val="auto"/>
          <w:sz w:val="24"/>
          <w:highlight w:val="none"/>
        </w:rPr>
      </w:pPr>
      <w:bookmarkStart w:id="56" w:name="_Toc405368930"/>
      <w:bookmarkStart w:id="57" w:name="_Toc450548873"/>
      <w:r>
        <w:rPr>
          <w:rFonts w:hint="eastAsia" w:ascii="宋体" w:hAnsi="宋体" w:cs="宋体"/>
          <w:b/>
          <w:bCs/>
          <w:color w:val="auto"/>
          <w:sz w:val="24"/>
          <w:highlight w:val="none"/>
        </w:rPr>
        <w:t>▲</w:t>
      </w:r>
      <w:r>
        <w:rPr>
          <w:rFonts w:hint="eastAsia" w:ascii="宋体" w:hAnsi="宋体" w:eastAsia="宋体" w:cs="宋体"/>
          <w:color w:val="auto"/>
          <w:sz w:val="24"/>
          <w:highlight w:val="none"/>
        </w:rPr>
        <w:t>1.自投标截止日起</w:t>
      </w:r>
      <w:r>
        <w:rPr>
          <w:rFonts w:hint="eastAsia" w:ascii="宋体" w:hAnsi="宋体" w:eastAsia="宋体" w:cs="宋体"/>
          <w:color w:val="auto"/>
          <w:sz w:val="24"/>
          <w:highlight w:val="none"/>
          <w:u w:val="single"/>
        </w:rPr>
        <w:t>60</w:t>
      </w:r>
      <w:r>
        <w:rPr>
          <w:rFonts w:hint="eastAsia" w:ascii="宋体" w:hAnsi="宋体" w:eastAsia="宋体" w:cs="宋体"/>
          <w:color w:val="auto"/>
          <w:sz w:val="24"/>
          <w:highlight w:val="none"/>
        </w:rPr>
        <w:t>天投标文件应保持有效。有效期不足的投标文件将被拒绝。</w:t>
      </w:r>
    </w:p>
    <w:p w14:paraId="2265A60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2.在特殊情况下，招标人可与投标人协商延长投标书的有效期，这种要求和答复均以书面形式进行。</w:t>
      </w:r>
    </w:p>
    <w:p w14:paraId="15FC961B">
      <w:pPr>
        <w:shd w:val="clear"/>
        <w:spacing w:line="360" w:lineRule="auto"/>
        <w:rPr>
          <w:rFonts w:hint="eastAsia" w:ascii="宋体" w:hAnsi="宋体" w:eastAsia="宋体" w:cs="宋体"/>
          <w:color w:val="auto"/>
          <w:sz w:val="24"/>
          <w:highlight w:val="none"/>
        </w:rPr>
      </w:pPr>
      <w:bookmarkStart w:id="58" w:name="_Toc407182105"/>
      <w:r>
        <w:rPr>
          <w:rFonts w:hint="eastAsia" w:ascii="宋体" w:hAnsi="宋体" w:eastAsia="宋体" w:cs="宋体"/>
          <w:color w:val="auto"/>
          <w:sz w:val="24"/>
          <w:highlight w:val="none"/>
        </w:rPr>
        <w:t>3.投标人可拒绝接受延期要求，若同意延长有效期的投标人，则不能修改投标文件。</w:t>
      </w:r>
      <w:bookmarkEnd w:id="58"/>
      <w:r>
        <w:rPr>
          <w:rFonts w:hint="eastAsia" w:ascii="宋体" w:hAnsi="宋体" w:eastAsia="宋体" w:cs="宋体"/>
          <w:color w:val="auto"/>
          <w:sz w:val="24"/>
          <w:highlight w:val="none"/>
        </w:rPr>
        <w:t xml:space="preserve"> </w:t>
      </w:r>
    </w:p>
    <w:p w14:paraId="1D2E64AD">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4.中标人的投标文件自开标之日起至合同履行完毕止均应保持有效。</w:t>
      </w:r>
    </w:p>
    <w:bookmarkEnd w:id="56"/>
    <w:bookmarkEnd w:id="57"/>
    <w:p w14:paraId="67854CC7">
      <w:pPr>
        <w:spacing w:line="360" w:lineRule="auto"/>
        <w:rPr>
          <w:rFonts w:hint="eastAsia" w:ascii="宋体" w:hAnsi="宋体" w:cs="宋体"/>
          <w:b/>
          <w:color w:val="auto"/>
          <w:sz w:val="24"/>
          <w:highlight w:val="none"/>
        </w:rPr>
      </w:pPr>
      <w:bookmarkStart w:id="59" w:name="_Toc458697270"/>
      <w:r>
        <w:rPr>
          <w:rFonts w:hint="eastAsia" w:ascii="宋体" w:hAnsi="宋体" w:cs="宋体"/>
          <w:b/>
          <w:color w:val="auto"/>
          <w:sz w:val="24"/>
          <w:highlight w:val="none"/>
        </w:rPr>
        <w:t>（五）履约保证金：</w:t>
      </w:r>
    </w:p>
    <w:p w14:paraId="1C84D05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▲1.保证金形式：</w:t>
      </w:r>
      <w:r>
        <w:rPr>
          <w:rFonts w:hint="eastAsia" w:ascii="宋体" w:hAnsi="宋体" w:cs="宋体"/>
          <w:color w:val="auto"/>
          <w:sz w:val="24"/>
          <w:highlight w:val="none"/>
          <w:u w:val="single"/>
          <w:lang w:val="en-US" w:eastAsia="zh-CN"/>
        </w:rPr>
        <w:t>支票</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汇票</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本票</w:t>
      </w:r>
      <w:r>
        <w:rPr>
          <w:rFonts w:hint="eastAsia" w:ascii="宋体" w:hAnsi="宋体" w:eastAsia="宋体" w:cs="宋体"/>
          <w:color w:val="auto"/>
          <w:sz w:val="24"/>
          <w:highlight w:val="none"/>
          <w:u w:val="single"/>
        </w:rPr>
        <w:t>、保函</w:t>
      </w:r>
      <w:r>
        <w:rPr>
          <w:rFonts w:hint="eastAsia" w:ascii="宋体" w:hAnsi="宋体" w:eastAsia="宋体" w:cs="宋体"/>
          <w:color w:val="auto"/>
          <w:sz w:val="24"/>
          <w:highlight w:val="none"/>
        </w:rPr>
        <w:t xml:space="preserve">   </w:t>
      </w:r>
    </w:p>
    <w:p w14:paraId="2E9D99A9">
      <w:pPr>
        <w:numPr>
          <w:ilvl w:val="0"/>
          <w:numId w:val="0"/>
        </w:num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▲2.中标人在收到中标通知书后，需向采购人提供中标价的1%的履约保证金，在中标人与采购人签订合同前递交，</w:t>
      </w:r>
      <w:r>
        <w:rPr>
          <w:rFonts w:hint="eastAsia" w:ascii="宋体" w:hAnsi="宋体" w:eastAsia="宋体" w:cs="宋体"/>
          <w:color w:val="auto"/>
          <w:sz w:val="24"/>
          <w:highlight w:val="none"/>
          <w:lang w:val="en-US" w:eastAsia="zh-CN"/>
        </w:rPr>
        <w:t>中标人</w:t>
      </w:r>
      <w:r>
        <w:rPr>
          <w:rFonts w:hint="eastAsia" w:ascii="宋体" w:hAnsi="宋体" w:eastAsia="宋体" w:cs="宋体"/>
          <w:color w:val="auto"/>
          <w:sz w:val="24"/>
          <w:highlight w:val="none"/>
        </w:rPr>
        <w:t>需以支票、汇票、本票或者金融机构、保险公司、担保机构出具的</w:t>
      </w:r>
      <w:r>
        <w:rPr>
          <w:rFonts w:hint="eastAsia" w:ascii="宋体" w:hAnsi="宋体" w:cs="宋体"/>
          <w:color w:val="auto"/>
          <w:sz w:val="24"/>
          <w:highlight w:val="none"/>
          <w:lang w:val="en-US" w:eastAsia="zh-CN"/>
        </w:rPr>
        <w:t>保函/保险（可在政采云平台购买，咨询热线4009039583）等非现金形式</w:t>
      </w:r>
      <w:r>
        <w:rPr>
          <w:rFonts w:hint="eastAsia" w:ascii="宋体" w:hAnsi="宋体" w:eastAsia="宋体" w:cs="宋体"/>
          <w:color w:val="auto"/>
          <w:sz w:val="24"/>
          <w:highlight w:val="none"/>
          <w:lang w:val="en-US" w:eastAsia="zh-CN"/>
        </w:rPr>
        <w:t>提交（保函期限应大于履约期限2个月）</w:t>
      </w:r>
      <w:r>
        <w:rPr>
          <w:rFonts w:hint="eastAsia" w:ascii="宋体" w:hAnsi="宋体" w:eastAsia="宋体" w:cs="宋体"/>
          <w:color w:val="auto"/>
          <w:sz w:val="24"/>
          <w:highlight w:val="none"/>
        </w:rPr>
        <w:t>。</w:t>
      </w:r>
    </w:p>
    <w:p w14:paraId="717F880B">
      <w:pPr>
        <w:numPr>
          <w:ilvl w:val="0"/>
          <w:numId w:val="0"/>
        </w:numPr>
        <w:spacing w:line="360" w:lineRule="auto"/>
        <w:ind w:firstLine="480" w:firstLineChars="200"/>
        <w:rPr>
          <w:rFonts w:hint="eastAsia" w:ascii="宋体" w:hAnsi="宋体" w:cs="宋体"/>
          <w:b/>
          <w:color w:val="auto"/>
          <w:sz w:val="24"/>
          <w:highlight w:val="none"/>
        </w:rPr>
      </w:pPr>
      <w:r>
        <w:rPr>
          <w:rFonts w:hint="eastAsia" w:ascii="宋体" w:hAnsi="宋体" w:eastAsia="宋体" w:cs="宋体"/>
          <w:color w:val="auto"/>
          <w:sz w:val="24"/>
          <w:highlight w:val="none"/>
          <w:lang w:val="en-US" w:eastAsia="zh-CN"/>
        </w:rPr>
        <w:t>中标人也可登录政采云平台-【金融服务】—【我的项目】—【已备案合同】以保函形式提供：（1）中标人在合同列表选择需要投保的合同，点击[保函推荐]。（2）在弹框里查看推荐的保函产品，中标人自行选择保函产品，点击[立即申请]。（3）在弹框里填写保函申请信息。具体步骤：选择产品—填写供应商信息—选择中标项目—确认信息—等待保险/保函受理—确认保单—支付保费—成功出单。政采云金融专线400-903-9583。</w:t>
      </w:r>
    </w:p>
    <w:p w14:paraId="42497DEA">
      <w:pPr>
        <w:shd w:val="clear"/>
        <w:spacing w:line="360" w:lineRule="auto"/>
        <w:rPr>
          <w:rFonts w:ascii="宋体" w:hAnsi="宋体" w:cs="宋体"/>
          <w:b/>
          <w:color w:val="auto"/>
          <w:sz w:val="24"/>
          <w:highlight w:val="none"/>
        </w:rPr>
      </w:pPr>
      <w:r>
        <w:rPr>
          <w:rFonts w:hint="eastAsia" w:ascii="宋体" w:hAnsi="宋体" w:cs="宋体"/>
          <w:b/>
          <w:bCs/>
          <w:color w:val="auto"/>
          <w:sz w:val="24"/>
          <w:highlight w:val="none"/>
        </w:rPr>
        <w:t>▲</w:t>
      </w:r>
      <w:r>
        <w:rPr>
          <w:rFonts w:hint="eastAsia" w:ascii="宋体" w:hAnsi="宋体" w:cs="宋体"/>
          <w:b/>
          <w:color w:val="auto"/>
          <w:sz w:val="24"/>
          <w:highlight w:val="none"/>
        </w:rPr>
        <w:t>（六）投标文件的签署和份数</w:t>
      </w:r>
    </w:p>
    <w:p w14:paraId="46C5FE69">
      <w:pPr>
        <w:numPr>
          <w:ilvl w:val="0"/>
          <w:numId w:val="19"/>
        </w:numPr>
        <w:shd w:val="clear"/>
        <w:spacing w:line="360" w:lineRule="auto"/>
        <w:rPr>
          <w:rFonts w:ascii="宋体" w:hAnsi="宋体" w:cs="宋体"/>
          <w:color w:val="auto"/>
          <w:sz w:val="24"/>
          <w:highlight w:val="none"/>
        </w:rPr>
      </w:pPr>
      <w:r>
        <w:rPr>
          <w:rFonts w:hint="eastAsia" w:ascii="宋体" w:hAnsi="宋体" w:cs="宋体"/>
          <w:color w:val="auto"/>
          <w:sz w:val="24"/>
          <w:highlight w:val="none"/>
        </w:rPr>
        <w:t>投标人应按本招标文件规定的格式和顺序编制投标文件并标注页码，因投标文件内容不完整、编排混乱、放弃关联点或关联点错误等原因导致投标文件被误读、漏读或者查找不到相关内容等风险由投标人自行承担。</w:t>
      </w:r>
    </w:p>
    <w:p w14:paraId="1A46DD1B">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2. 投标文件需盖章签字的地方必须由投标人法定代表人或法定代表人的授权委托人签署并加盖单位公章，投标人应写全称。</w:t>
      </w:r>
    </w:p>
    <w:p w14:paraId="0E5D054E">
      <w:pPr>
        <w:shd w:val="clear"/>
        <w:spacing w:line="360" w:lineRule="auto"/>
        <w:rPr>
          <w:rFonts w:ascii="宋体" w:hAnsi="宋体" w:cs="宋体"/>
          <w:color w:val="auto"/>
          <w:sz w:val="24"/>
          <w:highlight w:val="none"/>
        </w:rPr>
      </w:pPr>
      <w:r>
        <w:rPr>
          <w:rFonts w:hint="eastAsia" w:ascii="宋体" w:hAnsi="宋体" w:cs="宋体"/>
          <w:color w:val="auto"/>
          <w:sz w:val="24"/>
          <w:highlight w:val="none"/>
        </w:rPr>
        <w:t>3.投标文件不得涂改，若有修改错漏处，须加盖单位公章和由法定代表人或授权委托人签字或盖章。投标文件因字迹潦草或表达不清所引起的后果由投标人负责。</w:t>
      </w:r>
    </w:p>
    <w:p w14:paraId="65F46C55">
      <w:pPr>
        <w:shd w:val="clear"/>
        <w:spacing w:line="360" w:lineRule="auto"/>
        <w:rPr>
          <w:rFonts w:hint="eastAsia" w:ascii="宋体" w:hAnsi="宋体" w:eastAsia="宋体"/>
          <w:b/>
          <w:color w:val="auto"/>
          <w:sz w:val="24"/>
          <w:highlight w:val="none"/>
          <w:lang w:eastAsia="zh-CN"/>
        </w:rPr>
      </w:pPr>
      <w:r>
        <w:rPr>
          <w:rFonts w:hint="eastAsia" w:ascii="宋体" w:hAnsi="宋体" w:cs="宋体"/>
          <w:b/>
          <w:color w:val="auto"/>
          <w:sz w:val="24"/>
          <w:highlight w:val="none"/>
        </w:rPr>
        <w:t>（七）</w:t>
      </w:r>
      <w:r>
        <w:rPr>
          <w:rFonts w:hint="eastAsia" w:ascii="宋体" w:hAnsi="宋体"/>
          <w:b/>
          <w:color w:val="auto"/>
          <w:sz w:val="24"/>
          <w:highlight w:val="none"/>
        </w:rPr>
        <w:t>样品递交</w:t>
      </w:r>
      <w:r>
        <w:rPr>
          <w:rFonts w:hint="eastAsia" w:ascii="宋体" w:hAnsi="宋体"/>
          <w:b/>
          <w:color w:val="auto"/>
          <w:sz w:val="24"/>
          <w:highlight w:val="none"/>
          <w:lang w:eastAsia="zh-CN"/>
        </w:rPr>
        <w:t>、</w:t>
      </w:r>
      <w:r>
        <w:rPr>
          <w:rFonts w:hint="eastAsia" w:ascii="宋体" w:hAnsi="宋体"/>
          <w:b/>
          <w:color w:val="auto"/>
          <w:sz w:val="24"/>
          <w:highlight w:val="none"/>
          <w:lang w:val="en-US" w:eastAsia="zh-CN"/>
        </w:rPr>
        <w:t>领取</w:t>
      </w:r>
    </w:p>
    <w:p w14:paraId="00DCFFC8">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1.样品：请各投标人将所投标项的样品于202</w:t>
      </w:r>
      <w:r>
        <w:rPr>
          <w:rFonts w:hint="eastAsia" w:ascii="宋体" w:hAnsi="宋体"/>
          <w:b/>
          <w:color w:val="auto"/>
          <w:sz w:val="24"/>
          <w:highlight w:val="none"/>
          <w:lang w:val="en-US" w:eastAsia="zh-CN"/>
        </w:rPr>
        <w:t>4</w:t>
      </w:r>
      <w:r>
        <w:rPr>
          <w:rFonts w:hint="eastAsia" w:ascii="宋体" w:hAnsi="宋体"/>
          <w:b/>
          <w:color w:val="auto"/>
          <w:sz w:val="24"/>
          <w:highlight w:val="none"/>
        </w:rPr>
        <w:t>年</w:t>
      </w:r>
      <w:r>
        <w:rPr>
          <w:rFonts w:hint="eastAsia" w:ascii="宋体" w:hAnsi="宋体"/>
          <w:b/>
          <w:color w:val="auto"/>
          <w:sz w:val="24"/>
          <w:highlight w:val="none"/>
          <w:lang w:val="en-US" w:eastAsia="zh-CN"/>
        </w:rPr>
        <w:t>12</w:t>
      </w:r>
      <w:r>
        <w:rPr>
          <w:rFonts w:hint="eastAsia" w:ascii="宋体" w:hAnsi="宋体"/>
          <w:b/>
          <w:color w:val="auto"/>
          <w:sz w:val="24"/>
          <w:highlight w:val="none"/>
        </w:rPr>
        <w:t>月</w:t>
      </w:r>
      <w:r>
        <w:rPr>
          <w:rFonts w:hint="eastAsia" w:ascii="宋体" w:hAnsi="宋体"/>
          <w:b/>
          <w:color w:val="auto"/>
          <w:sz w:val="24"/>
          <w:highlight w:val="none"/>
          <w:lang w:val="en-US" w:eastAsia="zh-CN"/>
        </w:rPr>
        <w:t>10</w:t>
      </w:r>
      <w:r>
        <w:rPr>
          <w:rFonts w:hint="eastAsia" w:ascii="宋体" w:hAnsi="宋体"/>
          <w:b/>
          <w:color w:val="auto"/>
          <w:sz w:val="24"/>
          <w:highlight w:val="none"/>
        </w:rPr>
        <w:t>日</w:t>
      </w:r>
      <w:r>
        <w:rPr>
          <w:rFonts w:hint="eastAsia" w:ascii="宋体" w:hAnsi="宋体"/>
          <w:b/>
          <w:color w:val="auto"/>
          <w:sz w:val="24"/>
          <w:highlight w:val="none"/>
          <w:lang w:val="en-US" w:eastAsia="zh-CN"/>
        </w:rPr>
        <w:t>16</w:t>
      </w:r>
      <w:r>
        <w:rPr>
          <w:rFonts w:hint="eastAsia" w:ascii="宋体" w:hAnsi="宋体"/>
          <w:b/>
          <w:color w:val="auto"/>
          <w:sz w:val="24"/>
          <w:highlight w:val="none"/>
        </w:rPr>
        <w:t>时</w:t>
      </w:r>
      <w:r>
        <w:rPr>
          <w:rFonts w:hint="eastAsia" w:ascii="宋体" w:hAnsi="宋体"/>
          <w:b/>
          <w:color w:val="auto"/>
          <w:sz w:val="24"/>
          <w:highlight w:val="none"/>
          <w:lang w:val="en-US" w:eastAsia="zh-CN"/>
        </w:rPr>
        <w:t>00</w:t>
      </w:r>
      <w:r>
        <w:rPr>
          <w:rFonts w:hint="eastAsia" w:ascii="宋体" w:hAnsi="宋体"/>
          <w:b/>
          <w:color w:val="auto"/>
          <w:sz w:val="24"/>
          <w:highlight w:val="none"/>
        </w:rPr>
        <w:t>分前送达东阳市鑫盛工程咨询有限公司</w:t>
      </w:r>
      <w:r>
        <w:rPr>
          <w:rFonts w:hint="eastAsia" w:ascii="宋体" w:hAnsi="宋体"/>
          <w:b/>
          <w:color w:val="auto"/>
          <w:sz w:val="24"/>
          <w:highlight w:val="none"/>
          <w:lang w:val="en-US" w:eastAsia="zh-CN"/>
        </w:rPr>
        <w:t>指定地点</w:t>
      </w:r>
      <w:r>
        <w:rPr>
          <w:rFonts w:hint="eastAsia" w:ascii="宋体" w:hAnsi="宋体"/>
          <w:b/>
          <w:color w:val="auto"/>
          <w:sz w:val="24"/>
          <w:highlight w:val="none"/>
        </w:rPr>
        <w:t>（联系电话：0579-</w:t>
      </w:r>
      <w:r>
        <w:rPr>
          <w:rFonts w:hint="eastAsia" w:ascii="宋体" w:hAnsi="宋体"/>
          <w:b/>
          <w:color w:val="auto"/>
          <w:sz w:val="24"/>
          <w:highlight w:val="none"/>
          <w:lang w:val="en-US" w:eastAsia="zh-CN"/>
        </w:rPr>
        <w:t>86633123</w:t>
      </w:r>
      <w:r>
        <w:rPr>
          <w:rFonts w:hint="eastAsia" w:ascii="宋体" w:hAnsi="宋体"/>
          <w:b/>
          <w:color w:val="auto"/>
          <w:sz w:val="24"/>
          <w:highlight w:val="none"/>
        </w:rPr>
        <w:t>，联系人：</w:t>
      </w:r>
      <w:r>
        <w:rPr>
          <w:rFonts w:hint="eastAsia" w:ascii="宋体" w:hAnsi="宋体"/>
          <w:b/>
          <w:color w:val="auto"/>
          <w:sz w:val="24"/>
          <w:highlight w:val="none"/>
          <w:lang w:val="en-US" w:eastAsia="zh-CN"/>
        </w:rPr>
        <w:t>王晓菲</w:t>
      </w:r>
      <w:r>
        <w:rPr>
          <w:rFonts w:hint="eastAsia" w:ascii="宋体" w:hAnsi="宋体"/>
          <w:b/>
          <w:color w:val="auto"/>
          <w:sz w:val="24"/>
          <w:highlight w:val="none"/>
        </w:rPr>
        <w:t>），逾期未送达的视为未提供样品实物。东阳市鑫盛工程咨询有限公司对投标单位的样品分别进行编号，由评标委员会对所有样品进行评审。</w:t>
      </w:r>
    </w:p>
    <w:p w14:paraId="5569EA95">
      <w:pPr>
        <w:shd w:val="clear"/>
        <w:spacing w:line="360" w:lineRule="auto"/>
        <w:ind w:firstLine="495"/>
        <w:rPr>
          <w:rFonts w:ascii="宋体" w:hAnsi="宋体"/>
          <w:b/>
          <w:color w:val="auto"/>
          <w:sz w:val="24"/>
          <w:highlight w:val="none"/>
        </w:rPr>
      </w:pPr>
      <w:r>
        <w:rPr>
          <w:rFonts w:hint="eastAsia" w:ascii="宋体" w:hAnsi="宋体"/>
          <w:b/>
          <w:color w:val="auto"/>
          <w:sz w:val="24"/>
          <w:highlight w:val="none"/>
          <w:lang w:val="en-US" w:eastAsia="zh-CN"/>
        </w:rPr>
        <w:t>2.</w:t>
      </w:r>
      <w:r>
        <w:rPr>
          <w:rFonts w:hint="eastAsia" w:ascii="宋体" w:hAnsi="宋体"/>
          <w:b/>
          <w:color w:val="auto"/>
          <w:sz w:val="24"/>
          <w:highlight w:val="none"/>
        </w:rPr>
        <w:t>中标人的样品</w:t>
      </w:r>
      <w:r>
        <w:rPr>
          <w:rFonts w:hint="eastAsia" w:ascii="宋体" w:hAnsi="宋体"/>
          <w:b/>
          <w:color w:val="auto"/>
          <w:sz w:val="24"/>
          <w:highlight w:val="none"/>
          <w:lang w:val="en-US" w:eastAsia="zh-CN"/>
        </w:rPr>
        <w:t>送至</w:t>
      </w:r>
      <w:r>
        <w:rPr>
          <w:rFonts w:hint="eastAsia" w:ascii="宋体" w:hAnsi="宋体"/>
          <w:b/>
          <w:color w:val="auto"/>
          <w:sz w:val="24"/>
          <w:highlight w:val="none"/>
        </w:rPr>
        <w:t>东阳市鑫盛工程咨询有限公司</w:t>
      </w:r>
      <w:r>
        <w:rPr>
          <w:rFonts w:hint="eastAsia" w:ascii="宋体" w:hAnsi="宋体"/>
          <w:b/>
          <w:color w:val="auto"/>
          <w:sz w:val="24"/>
          <w:highlight w:val="none"/>
          <w:lang w:val="en-US" w:eastAsia="zh-CN"/>
        </w:rPr>
        <w:t>指定地点</w:t>
      </w:r>
      <w:r>
        <w:rPr>
          <w:rFonts w:hint="eastAsia" w:ascii="宋体" w:hAnsi="宋体"/>
          <w:b/>
          <w:color w:val="auto"/>
          <w:sz w:val="24"/>
          <w:highlight w:val="none"/>
        </w:rPr>
        <w:t>，作为验收的依据</w:t>
      </w:r>
      <w:r>
        <w:rPr>
          <w:rFonts w:hint="eastAsia" w:ascii="宋体" w:hAnsi="宋体"/>
          <w:b/>
          <w:color w:val="auto"/>
          <w:sz w:val="24"/>
          <w:highlight w:val="none"/>
          <w:lang w:eastAsia="zh-CN"/>
        </w:rPr>
        <w:t>。</w:t>
      </w:r>
      <w:r>
        <w:rPr>
          <w:rFonts w:hint="eastAsia" w:ascii="宋体" w:hAnsi="宋体"/>
          <w:b/>
          <w:color w:val="auto"/>
          <w:sz w:val="24"/>
          <w:highlight w:val="none"/>
        </w:rPr>
        <w:t>未中标人样品请在开标后3个工作日内自行至东阳市鑫盛工程咨询有限公司指定地点领取</w:t>
      </w:r>
      <w:r>
        <w:rPr>
          <w:rFonts w:hint="eastAsia" w:ascii="宋体" w:hAnsi="宋体"/>
          <w:b/>
          <w:color w:val="auto"/>
          <w:sz w:val="24"/>
          <w:highlight w:val="none"/>
          <w:lang w:eastAsia="zh-CN"/>
        </w:rPr>
        <w:t>，</w:t>
      </w:r>
      <w:r>
        <w:rPr>
          <w:rFonts w:hint="eastAsia" w:ascii="宋体" w:hAnsi="宋体"/>
          <w:b/>
          <w:color w:val="auto"/>
          <w:sz w:val="24"/>
          <w:highlight w:val="none"/>
        </w:rPr>
        <w:t>逾期未领回的将被视为放弃领取样品。</w:t>
      </w:r>
    </w:p>
    <w:p w14:paraId="01DD0984">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八</w:t>
      </w:r>
      <w:r>
        <w:rPr>
          <w:rFonts w:hint="eastAsia" w:ascii="宋体" w:hAnsi="宋体" w:cs="宋体"/>
          <w:b/>
          <w:color w:val="auto"/>
          <w:sz w:val="24"/>
          <w:highlight w:val="none"/>
        </w:rPr>
        <w:t>）投标文件的上传、递交、修改和撤回</w:t>
      </w:r>
    </w:p>
    <w:p w14:paraId="1D0E9947">
      <w:pPr>
        <w:shd w:val="clear"/>
        <w:spacing w:line="360" w:lineRule="auto"/>
        <w:ind w:firstLine="495"/>
        <w:rPr>
          <w:rFonts w:ascii="宋体" w:hAnsi="宋体" w:cs="宋体"/>
          <w:color w:val="auto"/>
          <w:sz w:val="24"/>
          <w:highlight w:val="none"/>
        </w:rPr>
      </w:pPr>
      <w:r>
        <w:rPr>
          <w:rFonts w:hint="eastAsia" w:ascii="宋体" w:hAnsi="宋体" w:cs="宋体"/>
          <w:color w:val="auto"/>
          <w:sz w:val="24"/>
          <w:highlight w:val="none"/>
        </w:rPr>
        <w:t>1. 投标人应当在投标截止时间前在“政采云”（电子交易平台）上自行上传加密的电子投标文件。</w:t>
      </w:r>
    </w:p>
    <w:p w14:paraId="5279C140">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2.未按规定上传的投标文件将被拒绝，由此造成投标文件解密失败或被误投的风险由投标人承担。</w:t>
      </w:r>
    </w:p>
    <w:p w14:paraId="461AAAAD">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 投标人未在“政采云”（电子交易平台）上自行上传加密的电子投标文件，仅提交电子备份投标文件的，投标无效。</w:t>
      </w:r>
    </w:p>
    <w:p w14:paraId="6CC4B2DF">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 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上传的投标响应文件，将被政采云平台拒收。</w:t>
      </w:r>
    </w:p>
    <w:p w14:paraId="15633EB7">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在投标截止时间之前，可以对已提交的电子备份投标文件进行修改或撤回，并书面通知招标采购单位；修改后重新递交的电子备份投标文件应当按本招标文件的要求签署、盖章。投标截止时间后，投标人不得撤回、修改电子备份投标文件。</w:t>
      </w:r>
    </w:p>
    <w:p w14:paraId="423C9CA7">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p w14:paraId="3209ED93">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 电子投标文件无法解密或解密失败时，投标人提供了电子备份投标文件的，以电子备份投标文件作为评审依据，否则视为投标文件撤回。投标文件已按时解密的，电子备份投标文件自动失效。</w:t>
      </w:r>
    </w:p>
    <w:p w14:paraId="6A05A6B9">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九</w:t>
      </w:r>
      <w:r>
        <w:rPr>
          <w:rFonts w:hint="eastAsia" w:ascii="宋体" w:hAnsi="宋体" w:cs="宋体"/>
          <w:b/>
          <w:color w:val="auto"/>
          <w:sz w:val="24"/>
          <w:highlight w:val="none"/>
        </w:rPr>
        <w:t>）投标无效的情形</w:t>
      </w:r>
    </w:p>
    <w:p w14:paraId="7C192143">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限期内不补正或经补正后仍不符合招标文件要求的，应认定其投标无效。投标人修改、补正投标文件后，不影响评标委员会对其投标文件所作的评价和评分结果。</w:t>
      </w:r>
    </w:p>
    <w:p w14:paraId="367E7604">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1.在符合性审查和商务评审时，如发现下列情形之一的，投标文件将被视为无效：</w:t>
      </w:r>
    </w:p>
    <w:p w14:paraId="5382921C">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（1）投标人仅提交电子备份投标文件的；</w:t>
      </w:r>
    </w:p>
    <w:p w14:paraId="1565324E">
      <w:pPr>
        <w:shd w:val="clea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(2) 在开评标时出现电子投标文件无法解密或解密失败等情况，投标人未提供电子备份投标文件，无法对投标人继续进行评审的；</w:t>
      </w:r>
    </w:p>
    <w:p w14:paraId="3B7B9A6E">
      <w:pPr>
        <w:shd w:val="clear"/>
        <w:spacing w:line="360" w:lineRule="auto"/>
        <w:rPr>
          <w:rFonts w:ascii="宋体" w:hAnsi="宋体" w:cs="宋体"/>
          <w:color w:val="auto"/>
          <w:sz w:val="24"/>
          <w:highlight w:val="none"/>
        </w:rPr>
      </w:pPr>
      <w:r>
        <w:rPr>
          <w:rFonts w:hint="eastAsia" w:ascii="宋体" w:hAnsi="宋体" w:cs="宋体"/>
          <w:color w:val="auto"/>
          <w:sz w:val="24"/>
          <w:highlight w:val="none"/>
        </w:rPr>
        <w:t>（3）投标人未在规定的时间内对电子询标函进行澄清回复、拒绝澄清回复或澄清回复的内容改变了投标文件的实质性内容的；</w:t>
      </w:r>
    </w:p>
    <w:p w14:paraId="526AD74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（4）网上下载的证明文件，不能通过真实性验证的（发现提供虚假资料的，按照提供虚假资料处理）； </w:t>
      </w:r>
    </w:p>
    <w:p w14:paraId="02769D47">
      <w:pPr>
        <w:shd w:val="clear"/>
        <w:spacing w:line="450" w:lineRule="exact"/>
        <w:rPr>
          <w:rFonts w:ascii="宋体" w:hAnsi="宋体" w:cs="宋体"/>
          <w:color w:val="auto"/>
          <w:sz w:val="24"/>
          <w:highlight w:val="none"/>
        </w:rPr>
      </w:pPr>
      <w:r>
        <w:rPr>
          <w:rFonts w:hint="eastAsia" w:ascii="宋体" w:hAnsi="宋体" w:cs="宋体"/>
          <w:color w:val="auto"/>
          <w:sz w:val="24"/>
          <w:highlight w:val="none"/>
        </w:rPr>
        <w:t>（5）资格证明文件不全的，或者不符合招标文件标明的资格要求的，及未提供招标文件中标有“</w:t>
      </w:r>
      <w:r>
        <w:rPr>
          <w:rFonts w:hint="eastAsia" w:ascii="宋体" w:hAnsi="宋体" w:cs="宋体"/>
          <w:b/>
          <w:color w:val="auto"/>
          <w:sz w:val="24"/>
          <w:highlight w:val="none"/>
        </w:rPr>
        <w:t>▲</w:t>
      </w:r>
      <w:r>
        <w:rPr>
          <w:rFonts w:hint="eastAsia" w:ascii="宋体" w:hAnsi="宋体" w:cs="宋体"/>
          <w:color w:val="auto"/>
          <w:sz w:val="24"/>
          <w:highlight w:val="none"/>
        </w:rPr>
        <w:t>”特殊符号的证明文件的；</w:t>
      </w:r>
    </w:p>
    <w:p w14:paraId="09EC3FFA">
      <w:pPr>
        <w:shd w:val="clear"/>
        <w:spacing w:line="450" w:lineRule="exact"/>
        <w:rPr>
          <w:rFonts w:ascii="宋体" w:hAnsi="宋体" w:cs="宋体"/>
          <w:color w:val="auto"/>
          <w:sz w:val="24"/>
          <w:highlight w:val="none"/>
        </w:rPr>
      </w:pPr>
      <w:r>
        <w:rPr>
          <w:rFonts w:hint="eastAsia" w:ascii="宋体" w:hAnsi="宋体" w:cs="宋体"/>
          <w:color w:val="auto"/>
          <w:sz w:val="24"/>
          <w:highlight w:val="none"/>
        </w:rPr>
        <w:t>（6）本项目投标截止之日前三年内，在“信用中国”网站、中国政府采购网有失信行为或被列入受惩黑名单。</w:t>
      </w:r>
    </w:p>
    <w:p w14:paraId="0F78540E">
      <w:pPr>
        <w:pStyle w:val="15"/>
        <w:shd w:val="clear"/>
        <w:rPr>
          <w:color w:val="auto"/>
          <w:highlight w:val="none"/>
        </w:rPr>
      </w:pPr>
    </w:p>
    <w:p w14:paraId="12F8974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（7）投标文件无法定代表人签字,或未提供法定代表人授权委托书、投标声明书或者填写项目不齐全的；</w:t>
      </w:r>
    </w:p>
    <w:p w14:paraId="13BCF777">
      <w:pPr>
        <w:shd w:val="clear"/>
        <w:spacing w:line="360" w:lineRule="auto"/>
        <w:rPr>
          <w:rFonts w:ascii="宋体" w:hAnsi="宋体" w:cs="宋体"/>
          <w:color w:val="auto"/>
          <w:sz w:val="24"/>
          <w:highlight w:val="none"/>
        </w:rPr>
      </w:pPr>
      <w:r>
        <w:rPr>
          <w:rFonts w:hint="eastAsia" w:ascii="宋体" w:hAnsi="宋体" w:cs="宋体"/>
          <w:color w:val="auto"/>
          <w:sz w:val="24"/>
          <w:highlight w:val="none"/>
        </w:rPr>
        <w:t xml:space="preserve">（8）投标代表人未能出具身份证明或与法定代表人授权委托人身份不符的； </w:t>
      </w:r>
    </w:p>
    <w:p w14:paraId="24BCC939">
      <w:pPr>
        <w:shd w:val="clear"/>
        <w:spacing w:line="360" w:lineRule="auto"/>
        <w:rPr>
          <w:rFonts w:ascii="宋体" w:hAnsi="宋体" w:cs="宋体"/>
          <w:color w:val="auto"/>
          <w:sz w:val="24"/>
          <w:highlight w:val="none"/>
        </w:rPr>
      </w:pPr>
      <w:r>
        <w:rPr>
          <w:rFonts w:hint="eastAsia" w:ascii="宋体" w:hAnsi="宋体" w:cs="宋体"/>
          <w:color w:val="auto"/>
          <w:sz w:val="24"/>
          <w:highlight w:val="none"/>
        </w:rPr>
        <w:t>（9）投标文件格式未按招标文件附件规定的格式、未按招标文件规定的内容编制投标文件的或者内容虚假的、未按规定签字或盖章的；</w:t>
      </w:r>
    </w:p>
    <w:p w14:paraId="6E9DA38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（10）投标文件的实质性内容未使用中文表述的或意思表述不明确、前后矛盾的或者使用计量单位不符合招标文件要求的（经评标委员会认定并允许其当场更正的笔误除外）；</w:t>
      </w:r>
    </w:p>
    <w:p w14:paraId="19288AE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（11）投标有效期、服务期（交货期）、质保期、付款方式等商务条款不能满足招标文件要求的；</w:t>
      </w:r>
    </w:p>
    <w:p w14:paraId="7D8E210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（12）未实质性响应招标文件要求或者投标文件有招标方不能接受的附加条件的；</w:t>
      </w:r>
    </w:p>
    <w:p w14:paraId="5846E4C0">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（13）招标文件规定的其它投标无效的情况；</w:t>
      </w:r>
    </w:p>
    <w:p w14:paraId="21B92BF6">
      <w:pPr>
        <w:shd w:val="clear"/>
        <w:tabs>
          <w:tab w:val="left" w:pos="401"/>
        </w:tabs>
        <w:spacing w:line="360" w:lineRule="auto"/>
        <w:rPr>
          <w:rFonts w:ascii="宋体" w:hAnsi="宋体" w:cs="宋体"/>
          <w:color w:val="auto"/>
          <w:sz w:val="24"/>
          <w:highlight w:val="none"/>
        </w:rPr>
      </w:pPr>
      <w:r>
        <w:rPr>
          <w:rFonts w:hint="eastAsia" w:ascii="宋体" w:hAnsi="宋体" w:cs="宋体"/>
          <w:color w:val="auto"/>
          <w:sz w:val="24"/>
          <w:highlight w:val="none"/>
        </w:rPr>
        <w:t>（14）法律、法规规定的其它投标无效情况。</w:t>
      </w:r>
    </w:p>
    <w:p w14:paraId="5BA70B50">
      <w:pPr>
        <w:shd w:val="clea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2.在技术资信评审时，如发现下列情形之一的，投标文件将被视为无效：</w:t>
      </w:r>
    </w:p>
    <w:p w14:paraId="08FF73AB">
      <w:pPr>
        <w:shd w:val="clear"/>
        <w:spacing w:line="360" w:lineRule="auto"/>
        <w:rPr>
          <w:color w:val="auto"/>
          <w:highlight w:val="none"/>
        </w:rPr>
      </w:pPr>
      <w:r>
        <w:rPr>
          <w:rFonts w:hint="eastAsia" w:ascii="宋体" w:hAnsi="宋体"/>
          <w:b/>
          <w:bCs/>
          <w:color w:val="auto"/>
          <w:sz w:val="24"/>
          <w:highlight w:val="none"/>
        </w:rPr>
        <w:t>（1）样品出现投标单位名称等能确定投标人的信息的(若出现相关信息投标人应自行用不干胶粘贴加以遮盖)；</w:t>
      </w:r>
    </w:p>
    <w:p w14:paraId="1A362FA6">
      <w:pPr>
        <w:shd w:val="clear"/>
        <w:spacing w:line="360" w:lineRule="auto"/>
        <w:rPr>
          <w:rFonts w:ascii="宋体" w:hAnsi="宋体" w:cs="宋体"/>
          <w:b/>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）投标人未在规定的时间内对电子询标函进行澄清回复、拒绝澄清回复或澄清回复的内容改变了投标文件的实质性内容的；</w:t>
      </w:r>
    </w:p>
    <w:p w14:paraId="7B36E69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）投标文件标明的响应或偏离与事实不符的或虚假投标的；</w:t>
      </w:r>
    </w:p>
    <w:p w14:paraId="578847CD">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）明显不符合招标文件质量标准的，或者与招标文件中标有“</w:t>
      </w:r>
      <w:r>
        <w:rPr>
          <w:rFonts w:hint="eastAsia" w:ascii="宋体" w:hAnsi="宋体" w:cs="宋体"/>
          <w:b/>
          <w:color w:val="auto"/>
          <w:sz w:val="24"/>
          <w:highlight w:val="none"/>
        </w:rPr>
        <w:t>▲</w:t>
      </w:r>
      <w:r>
        <w:rPr>
          <w:rFonts w:hint="eastAsia" w:ascii="宋体" w:hAnsi="宋体" w:cs="宋体"/>
          <w:color w:val="auto"/>
          <w:sz w:val="24"/>
          <w:highlight w:val="none"/>
        </w:rPr>
        <w:t>”特殊符号的技术指标、主要功能项目发生实质性偏离的；</w:t>
      </w:r>
    </w:p>
    <w:p w14:paraId="03CD5B75">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）招标文件中允许偏离的技术、性能指标或者辅助功能发生较大负偏离的，经评标委员会认定对项目实际使用造成影响的；</w:t>
      </w:r>
    </w:p>
    <w:p w14:paraId="20D4CE2A">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）投标技术方案不明确，存在一个或一个以上备选（替代）投标方案的；</w:t>
      </w:r>
    </w:p>
    <w:p w14:paraId="4EEC4B1C">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）与其他参加本次投标供应商的投标文件的文字表述内容相同连续20行以上或者差错相同2处以上的；</w:t>
      </w:r>
    </w:p>
    <w:p w14:paraId="76EAEEA5">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）在资信及商务标、技术标内出现商务报价；</w:t>
      </w:r>
    </w:p>
    <w:p w14:paraId="5DA649B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）招标文件规定的其它投标无效的情况；</w:t>
      </w:r>
    </w:p>
    <w:p w14:paraId="5810EEA9">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）法律、法规规定的其它投标无效情况。</w:t>
      </w:r>
    </w:p>
    <w:p w14:paraId="292728BB">
      <w:pPr>
        <w:shd w:val="clear"/>
        <w:spacing w:line="360" w:lineRule="auto"/>
        <w:rPr>
          <w:rFonts w:ascii="宋体" w:hAnsi="宋体" w:cs="宋体"/>
          <w:b/>
          <w:color w:val="auto"/>
          <w:sz w:val="24"/>
          <w:highlight w:val="none"/>
        </w:rPr>
      </w:pPr>
      <w:r>
        <w:rPr>
          <w:rFonts w:hint="eastAsia" w:ascii="宋体" w:hAnsi="宋体" w:cs="宋体"/>
          <w:b/>
          <w:color w:val="auto"/>
          <w:sz w:val="24"/>
          <w:highlight w:val="none"/>
        </w:rPr>
        <w:t>3.在报价评审时，如发现下列情形之一的，投标文件将被视为无效：</w:t>
      </w:r>
    </w:p>
    <w:p w14:paraId="02306106">
      <w:pPr>
        <w:shd w:val="clear"/>
        <w:spacing w:line="360" w:lineRule="auto"/>
        <w:rPr>
          <w:rFonts w:ascii="宋体" w:hAnsi="宋体" w:cs="宋体"/>
          <w:color w:val="auto"/>
          <w:sz w:val="24"/>
          <w:highlight w:val="none"/>
        </w:rPr>
      </w:pPr>
      <w:r>
        <w:rPr>
          <w:rFonts w:hint="eastAsia" w:ascii="宋体" w:hAnsi="宋体" w:cs="宋体"/>
          <w:color w:val="auto"/>
          <w:sz w:val="24"/>
          <w:highlight w:val="none"/>
        </w:rPr>
        <w:t>（1）投标人未在规定的时间内对电子询标函进行澄清回复、拒绝澄清回复或者澄清回复的内容改变了投标文件的实质性内容的；</w:t>
      </w:r>
    </w:p>
    <w:p w14:paraId="3ED71626">
      <w:pPr>
        <w:shd w:val="clear"/>
        <w:spacing w:line="360" w:lineRule="auto"/>
        <w:rPr>
          <w:rFonts w:ascii="宋体" w:hAnsi="宋体" w:cs="宋体"/>
          <w:color w:val="auto"/>
          <w:sz w:val="24"/>
          <w:highlight w:val="none"/>
        </w:rPr>
      </w:pPr>
      <w:r>
        <w:rPr>
          <w:rFonts w:hint="eastAsia" w:ascii="宋体" w:hAnsi="宋体" w:cs="宋体"/>
          <w:color w:val="auto"/>
          <w:sz w:val="24"/>
          <w:highlight w:val="none"/>
        </w:rPr>
        <w:t>（2）未填写投标报价或未采用人民币报价或者未按照招标文件标明的币种报价的；</w:t>
      </w:r>
    </w:p>
    <w:p w14:paraId="65CF440F">
      <w:pPr>
        <w:shd w:val="clear"/>
        <w:spacing w:line="360" w:lineRule="auto"/>
        <w:rPr>
          <w:rFonts w:ascii="宋体" w:hAnsi="宋体" w:cs="宋体"/>
          <w:color w:val="auto"/>
          <w:sz w:val="24"/>
          <w:highlight w:val="none"/>
        </w:rPr>
      </w:pPr>
      <w:r>
        <w:rPr>
          <w:rFonts w:hint="eastAsia" w:ascii="宋体" w:hAnsi="宋体" w:cs="宋体"/>
          <w:color w:val="auto"/>
          <w:sz w:val="24"/>
          <w:highlight w:val="none"/>
        </w:rPr>
        <w:t>（3）投标报价具有选择性的，或者开标价格与投标文件承诺的优惠（折扣）价格不一致的；</w:t>
      </w:r>
    </w:p>
    <w:p w14:paraId="66360541">
      <w:pPr>
        <w:shd w:val="clear"/>
        <w:spacing w:line="360" w:lineRule="auto"/>
        <w:rPr>
          <w:rFonts w:ascii="宋体" w:hAnsi="宋体" w:cs="宋体"/>
          <w:color w:val="auto"/>
          <w:sz w:val="24"/>
          <w:highlight w:val="none"/>
        </w:rPr>
      </w:pPr>
      <w:r>
        <w:rPr>
          <w:rFonts w:hint="eastAsia" w:ascii="宋体" w:hAnsi="宋体" w:cs="宋体"/>
          <w:color w:val="auto"/>
          <w:sz w:val="24"/>
          <w:highlight w:val="none"/>
        </w:rPr>
        <w:t>（4）报价高于用户设定的最高限价或预算金额的；</w:t>
      </w:r>
    </w:p>
    <w:p w14:paraId="4A1B92C2">
      <w:pPr>
        <w:shd w:val="clear"/>
        <w:spacing w:line="360" w:lineRule="auto"/>
        <w:rPr>
          <w:rFonts w:ascii="宋体" w:hAnsi="宋体" w:cs="宋体"/>
          <w:color w:val="auto"/>
          <w:sz w:val="24"/>
          <w:highlight w:val="none"/>
        </w:rPr>
      </w:pPr>
      <w:r>
        <w:rPr>
          <w:rFonts w:hint="eastAsia" w:ascii="宋体" w:hAnsi="宋体" w:cs="宋体"/>
          <w:color w:val="auto"/>
          <w:sz w:val="24"/>
          <w:highlight w:val="none"/>
        </w:rPr>
        <w:t>（5）招标文件规定的其它投标无效的情况；</w:t>
      </w:r>
    </w:p>
    <w:p w14:paraId="693D20A5">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（6）法律、法规规定的其它投标无效情况。</w:t>
      </w:r>
    </w:p>
    <w:p w14:paraId="6A99DCA5">
      <w:pPr>
        <w:shd w:val="clear"/>
        <w:spacing w:line="360" w:lineRule="auto"/>
        <w:rPr>
          <w:rFonts w:ascii="宋体" w:hAnsi="宋体" w:cs="宋体"/>
          <w:b/>
          <w:color w:val="auto"/>
          <w:sz w:val="24"/>
          <w:highlight w:val="none"/>
        </w:rPr>
      </w:pP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.被拒绝的投标文件为无效。</w:t>
      </w:r>
    </w:p>
    <w:p w14:paraId="6CD6393A">
      <w:pPr>
        <w:shd w:val="clear"/>
        <w:spacing w:line="360" w:lineRule="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.根据有关法律、法规规定为无效、废标的，按法律、法规规定执行。</w:t>
      </w:r>
    </w:p>
    <w:p w14:paraId="17A5AF7E">
      <w:pPr>
        <w:shd w:val="clear"/>
        <w:spacing w:line="360" w:lineRule="auto"/>
        <w:rPr>
          <w:rFonts w:hint="eastAsia" w:ascii="宋体" w:hAnsi="宋体" w:cs="宋体"/>
          <w:b/>
          <w:color w:val="auto"/>
          <w:sz w:val="24"/>
          <w:highlight w:val="none"/>
        </w:rPr>
      </w:pP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除政府采购法律法规规定的恶意串通、视同串通投标情形外，在不影响公平竞争的前提下，采购人、采购代理机构应在采购文件中明确规定参与同一个标段(包)的供应商存在下列情形之一的，其投标(响应)文件无效：</w:t>
      </w:r>
    </w:p>
    <w:p w14:paraId="65634EB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)不同供应商制作电子投标(响应)文件的计算机网卡MAC地址相同的；</w:t>
      </w:r>
    </w:p>
    <w:p w14:paraId="2579287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)不同供应商制作电子投标(响应)文件的计算机硬盘序列号相同的；</w:t>
      </w:r>
    </w:p>
    <w:p w14:paraId="29CE823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olor w:val="auto"/>
          <w:sz w:val="24"/>
          <w:highlight w:val="none"/>
        </w:rPr>
      </w:pP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)不同供应商的投标(响应)文件的内容存在两处以上细节错误一致，且无法合理解释的。</w:t>
      </w:r>
    </w:p>
    <w:p w14:paraId="24502E42">
      <w:pPr>
        <w:pStyle w:val="2"/>
        <w:shd w:val="clear"/>
        <w:rPr>
          <w:color w:val="auto"/>
          <w:highlight w:val="none"/>
        </w:rPr>
      </w:pPr>
    </w:p>
    <w:p w14:paraId="55041A3A">
      <w:pPr>
        <w:pStyle w:val="8"/>
        <w:keepNext w:val="0"/>
        <w:keepLines w:val="0"/>
        <w:pageBreakBefore/>
        <w:shd w:val="clear"/>
        <w:spacing w:line="360" w:lineRule="auto"/>
        <w:jc w:val="center"/>
        <w:rPr>
          <w:rFonts w:hint="eastAsia" w:ascii="宋体" w:hAnsi="宋体" w:eastAsia="宋体" w:cs="宋体"/>
          <w:b/>
          <w:bCs/>
          <w:color w:val="auto"/>
          <w:sz w:val="24"/>
          <w:szCs w:val="24"/>
          <w:highlight w:val="none"/>
        </w:rPr>
      </w:pPr>
      <w:bookmarkStart w:id="60" w:name="_Toc7360"/>
      <w:r>
        <w:rPr>
          <w:rFonts w:hint="eastAsia" w:ascii="宋体" w:hAnsi="宋体" w:eastAsia="宋体" w:cs="宋体"/>
          <w:b/>
          <w:bCs/>
          <w:color w:val="auto"/>
          <w:sz w:val="24"/>
          <w:szCs w:val="24"/>
          <w:highlight w:val="none"/>
        </w:rPr>
        <w:t>四、开标</w:t>
      </w:r>
      <w:bookmarkEnd w:id="59"/>
      <w:bookmarkEnd w:id="60"/>
    </w:p>
    <w:p w14:paraId="5D465571">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（一）开标准备   </w:t>
      </w:r>
    </w:p>
    <w:p w14:paraId="669A817E">
      <w:pPr>
        <w:shd w:val="clear"/>
        <w:spacing w:line="360" w:lineRule="auto"/>
        <w:ind w:firstLine="720" w:firstLineChars="3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采购代理机构将在规定的时间和地点进行电子开标，投标人的法定代表人或其委托代理人【委托代理人应当是投标人的在职正式职工（以投标人本单位缴纳社保花名册为准）】应做好投标准备，准时在线参加电子开标会议，随时关注开标进度。</w:t>
      </w:r>
    </w:p>
    <w:p w14:paraId="49F9CB8D">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（二）电子招投标开标程序</w:t>
      </w:r>
    </w:p>
    <w:p w14:paraId="06F2FE29">
      <w:pPr>
        <w:shd w:val="clea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1.开标会由招标代理机构主持，主持人宣布开标会议开始；</w:t>
      </w:r>
    </w:p>
    <w:p w14:paraId="5DAB59E3">
      <w:pPr>
        <w:shd w:val="clear"/>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2.主持人宣布评标室会议纪律及评标期间的有关事项；告知应当回避的情形,提请有关人员回避；</w:t>
      </w:r>
    </w:p>
    <w:p w14:paraId="7E4BCAE8">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3.开标及评审程序</w:t>
      </w:r>
    </w:p>
    <w:p w14:paraId="6E6E949C">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3.1在开标时间截止后30分钟内由各投标人自行对投标文件进行解密；</w:t>
      </w:r>
    </w:p>
    <w:p w14:paraId="14FEC83E">
      <w:pPr>
        <w:shd w:val="clear"/>
        <w:spacing w:line="360" w:lineRule="auto"/>
        <w:ind w:left="48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3.2由采购人进行资格审查，通过资格审查的投标人进入商务技术响应文件进行评审；</w:t>
      </w:r>
    </w:p>
    <w:p w14:paraId="38B1E7E4">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3.3系统对各投标人的商务技术进行汇总</w:t>
      </w:r>
      <w:r>
        <w:rPr>
          <w:rFonts w:hint="eastAsia" w:ascii="宋体" w:hAnsi="宋体" w:cs="宋体"/>
          <w:color w:val="auto"/>
          <w:sz w:val="24"/>
          <w:szCs w:val="24"/>
          <w:highlight w:val="none"/>
          <w:lang w:eastAsia="zh-CN"/>
        </w:rPr>
        <w:t>并公布商务技术得分</w:t>
      </w:r>
      <w:r>
        <w:rPr>
          <w:rFonts w:hint="eastAsia" w:ascii="宋体" w:hAnsi="宋体" w:eastAsia="宋体" w:cs="宋体"/>
          <w:color w:val="auto"/>
          <w:sz w:val="24"/>
          <w:highlight w:val="none"/>
        </w:rPr>
        <w:t>；</w:t>
      </w:r>
    </w:p>
    <w:p w14:paraId="02DAFABF">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3.4在系统上公开报价开标情况；</w:t>
      </w:r>
    </w:p>
    <w:p w14:paraId="35FD5C8E">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3.5评标委员会对报价情况进行评审；</w:t>
      </w:r>
    </w:p>
    <w:p w14:paraId="2C186560">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3.6在系统上公布评审结果。</w:t>
      </w:r>
    </w:p>
    <w:p w14:paraId="51C08733">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2C3BC4A1">
      <w:pPr>
        <w:numPr>
          <w:ilvl w:val="0"/>
          <w:numId w:val="0"/>
        </w:numPr>
        <w:shd w:val="clear"/>
        <w:spacing w:line="360" w:lineRule="auto"/>
        <w:rPr>
          <w:rFonts w:hint="eastAsia" w:ascii="宋体" w:hAnsi="宋体" w:eastAsia="宋体" w:cs="宋体"/>
          <w:color w:val="auto"/>
          <w:sz w:val="24"/>
          <w:highlight w:val="none"/>
        </w:rPr>
      </w:pPr>
      <w:bookmarkStart w:id="61" w:name="_Toc458697271"/>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highlight w:val="none"/>
        </w:rPr>
        <w:t>本项目采用政采云电子招投标开标及评审程序，开评标时出现电子投标文件无法解密或解密失败等情况时，采购代理机构可上传投标人的电子备份投标文件继续评审。</w:t>
      </w:r>
    </w:p>
    <w:p w14:paraId="6C2C82A3">
      <w:pPr>
        <w:pStyle w:val="8"/>
        <w:keepNext w:val="0"/>
        <w:keepLines w:val="0"/>
        <w:pageBreakBefore/>
        <w:shd w:val="clear"/>
        <w:spacing w:line="360" w:lineRule="auto"/>
        <w:jc w:val="center"/>
        <w:rPr>
          <w:rFonts w:hint="eastAsia" w:ascii="宋体" w:hAnsi="宋体" w:eastAsia="宋体" w:cs="宋体"/>
          <w:b/>
          <w:bCs/>
          <w:color w:val="auto"/>
          <w:sz w:val="24"/>
          <w:szCs w:val="24"/>
          <w:highlight w:val="none"/>
        </w:rPr>
      </w:pPr>
      <w:bookmarkStart w:id="62" w:name="_Toc26529"/>
      <w:r>
        <w:rPr>
          <w:rFonts w:hint="eastAsia" w:ascii="宋体" w:hAnsi="宋体" w:eastAsia="宋体" w:cs="宋体"/>
          <w:b/>
          <w:bCs/>
          <w:color w:val="auto"/>
          <w:sz w:val="24"/>
          <w:szCs w:val="24"/>
          <w:highlight w:val="none"/>
        </w:rPr>
        <w:t>五、评标</w:t>
      </w:r>
      <w:bookmarkEnd w:id="61"/>
      <w:bookmarkEnd w:id="62"/>
    </w:p>
    <w:p w14:paraId="2428DB20">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（一）组建评标委员会</w:t>
      </w:r>
    </w:p>
    <w:p w14:paraId="5405368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本项目评标委员会由政府采购评审专家</w:t>
      </w:r>
      <w:r>
        <w:rPr>
          <w:rFonts w:hint="eastAsia" w:ascii="宋体" w:hAnsi="宋体" w:cs="宋体"/>
          <w:color w:val="auto"/>
          <w:sz w:val="24"/>
          <w:highlight w:val="none"/>
          <w:u w:val="single"/>
          <w:lang w:val="en-US" w:eastAsia="zh-CN"/>
        </w:rPr>
        <w:t>4</w:t>
      </w:r>
      <w:r>
        <w:rPr>
          <w:rFonts w:hint="eastAsia" w:ascii="宋体" w:hAnsi="宋体" w:eastAsia="宋体" w:cs="宋体"/>
          <w:color w:val="auto"/>
          <w:sz w:val="24"/>
          <w:highlight w:val="none"/>
        </w:rPr>
        <w:t>人和采购人代表</w:t>
      </w:r>
      <w:r>
        <w:rPr>
          <w:rFonts w:hint="eastAsia" w:ascii="宋体" w:hAnsi="宋体" w:cs="宋体"/>
          <w:color w:val="auto"/>
          <w:sz w:val="24"/>
          <w:highlight w:val="none"/>
          <w:u w:val="single"/>
          <w:lang w:val="en-US" w:eastAsia="zh-CN"/>
        </w:rPr>
        <w:t>1</w:t>
      </w:r>
      <w:r>
        <w:rPr>
          <w:rFonts w:hint="eastAsia" w:ascii="宋体" w:hAnsi="宋体" w:eastAsia="宋体" w:cs="宋体"/>
          <w:color w:val="auto"/>
          <w:sz w:val="24"/>
          <w:highlight w:val="none"/>
        </w:rPr>
        <w:t>人,共</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人组成</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评审专家从评标专家库中抽取</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w:t>
      </w:r>
    </w:p>
    <w:p w14:paraId="5F896B4B">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（二）评标的方式</w:t>
      </w:r>
    </w:p>
    <w:p w14:paraId="403B0E5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本项目采用不公开方式评标，评标的依据为招标文件和投标文件。</w:t>
      </w:r>
    </w:p>
    <w:p w14:paraId="35744AFA">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（三）评标程序</w:t>
      </w:r>
    </w:p>
    <w:p w14:paraId="10028AE9">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1.形式审查</w:t>
      </w:r>
    </w:p>
    <w:p w14:paraId="77E7BAE6">
      <w:pPr>
        <w:shd w:val="clea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招标方工作人员协助评标委员会对投标人的商务技术文件、报价投标文件的完整性、合法性等进行审查。</w:t>
      </w:r>
    </w:p>
    <w:p w14:paraId="0A2AE87D">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2.实质审查与比较</w:t>
      </w:r>
    </w:p>
    <w:p w14:paraId="167C239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（1）评标委员会审查投标文件的实质性内容是否符合招标文件的实质性要求。</w:t>
      </w:r>
    </w:p>
    <w:p w14:paraId="7B8BD06A">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（2）评标委员会将对投标人的投标文件进行审查、核对,如有疑问,将对投标人进行电子询标,投标人须在规定的时间内向评标委员会澄清有关问题,并在政采云上进行询标答复。</w:t>
      </w:r>
    </w:p>
    <w:p w14:paraId="4CC09D85">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投标人代表未在规定的时间内进行澄清、拒绝澄清或者澄清的内容改变了投标文件的实质性内容的，评标委员会有权对该投标文件作出不利于投标人的评判。</w:t>
      </w:r>
    </w:p>
    <w:p w14:paraId="1F6511CD">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（3）各投标人的技术得分为所有评委的有效评分的算术平均数，由指定专人进行计算复核。</w:t>
      </w:r>
    </w:p>
    <w:p w14:paraId="434F3279">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（4）招标方工作人员协助评标委员会审核商务报价有无计算错误，并根据本项目的评分标准计算各投标人的商务报价得分。</w:t>
      </w:r>
    </w:p>
    <w:p w14:paraId="66FECF9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（5）评标委员会完成评标后, 招标方工作人员对系统中的得分汇总进行复核,计算出本项目最终得分，评标委员会按评标原则推荐中标候选人并起草评标报告。</w:t>
      </w:r>
    </w:p>
    <w:p w14:paraId="7D6382E9">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（四）澄清问题的形式</w:t>
      </w:r>
    </w:p>
    <w:p w14:paraId="2769F7B4">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对投标文件中含义不明确、同类问题表述不一致或者有明显文字和计算错误的内容，评标委员会可要求投标人作出必要的澄清、说明或者纠正，投标人应在询标规定时间内进行澄清或说明（需盖CA电子签章或实体公章），并不得超出投标文件的范围或者改变投标文件的实质性内容。</w:t>
      </w:r>
    </w:p>
    <w:p w14:paraId="2A1B5ED4">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（五）错误修正</w:t>
      </w:r>
    </w:p>
    <w:p w14:paraId="40BCC658">
      <w:pPr>
        <w:shd w:val="clea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投标文件如果出现计算或表达上的错误，修正错误的原则如下：</w:t>
      </w:r>
    </w:p>
    <w:p w14:paraId="6DE3450C">
      <w:pPr>
        <w:shd w:val="clea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1.投标文件中开标一览表（报价表）内容与与投标文件中相应内容不一致的，以开标一览表（报价表）为准；</w:t>
      </w:r>
    </w:p>
    <w:p w14:paraId="011B30E6">
      <w:pPr>
        <w:shd w:val="clea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2.大写金额和小写金额不一致的，以大写金额为准；</w:t>
      </w:r>
    </w:p>
    <w:p w14:paraId="26E1FD5D">
      <w:pPr>
        <w:shd w:val="clea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3.单价金额小数点或者百分比有明显错位的，以开标一览表的总价为准，并修改单价；</w:t>
      </w:r>
    </w:p>
    <w:p w14:paraId="4105A1F4">
      <w:pPr>
        <w:shd w:val="clea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4.总价金额与按单价汇总金额不一致的，以单价金额计算结果为准；</w:t>
      </w:r>
    </w:p>
    <w:p w14:paraId="4B8D1D73">
      <w:pPr>
        <w:pStyle w:val="37"/>
        <w:shd w:val="clear"/>
        <w:spacing w:line="360" w:lineRule="auto"/>
        <w:ind w:left="0" w:leftChars="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5.政采云系统投标报价与投标文件中开标一览表（报价表）相应内容不一致的，以开标一览表（报价表）为准。</w:t>
      </w:r>
    </w:p>
    <w:p w14:paraId="78E55D04">
      <w:pPr>
        <w:shd w:val="clea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6.对不同文字文本投标文件的解释发生异议的，以中文文本为准。</w:t>
      </w:r>
    </w:p>
    <w:p w14:paraId="4B316B4F">
      <w:pPr>
        <w:shd w:val="clea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前款规定的顺序修正。修正后的报价按照《政府采购货物和服务招标投标管理办法》（第87号令）第五十一条第二款规定：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14:paraId="75FCB931">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（六）评标原则和评标办法</w:t>
      </w:r>
    </w:p>
    <w:p w14:paraId="16215A54">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评审专家必须公平、公正评审，遵纪守法，客观、廉洁地履行职责。</w:t>
      </w:r>
    </w:p>
    <w:p w14:paraId="3D38127D">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评审专家在评审开始前，应关闭并上交随身携带的各种通信工具。</w:t>
      </w:r>
    </w:p>
    <w:p w14:paraId="3F416BE3">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评审专家在评审过程中，未经许可不得中途离开评审现场，不得迟到早退。</w:t>
      </w:r>
    </w:p>
    <w:p w14:paraId="1FD17FAB">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评审专家和工作人员不得透露评审过程中的讨论情况和评审结果。</w:t>
      </w:r>
    </w:p>
    <w:p w14:paraId="2912BC66">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0A47D3AA">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6.采购人、采购代理机构不得向评审委员会的评审专家作倾向性、误导性的解释或者说明。</w:t>
      </w:r>
    </w:p>
    <w:p w14:paraId="4279311E">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4C1BB022">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评审专家在评审过程中不得将自己的观点强加给其他评审专家，评审专家应自主发表见解，对评审意见承担个人责任。</w:t>
      </w:r>
    </w:p>
    <w:p w14:paraId="5570A200">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6CB9D16A">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评审专家应当独立、客观、公正地提出评审意见，不得带有倾向性，不得影响其他评审专家评审，并在评审报告上签字；如对评审报告有异议的，可在报告上签署不同意见，并说明理由，否则将视为同意。</w:t>
      </w:r>
    </w:p>
    <w:p w14:paraId="4F03C682">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评审专家应当遵守评审工作纪律，不得泄露评审文件、评审情况和评审中获悉的商业秘密。</w:t>
      </w:r>
    </w:p>
    <w:p w14:paraId="785DA9A4">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评审委员会在评审过程中发现投标人有行贿、提供虚假材料或者串通等违法行为的，应当及时向财政部门报告。</w:t>
      </w:r>
    </w:p>
    <w:p w14:paraId="30983D19">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招标文件内容违反国家有关强制性规定的，评审委员会应当停止评审并向采购代理机构说明情况。</w:t>
      </w:r>
    </w:p>
    <w:p w14:paraId="058530AA">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评审专家应当配合采购代理机构答复投标人提出的质疑。</w:t>
      </w:r>
    </w:p>
    <w:p w14:paraId="2CBBAC07">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评审专家应当配合财政部门的投诉处理工作。</w:t>
      </w:r>
    </w:p>
    <w:p w14:paraId="04802FA7">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评审专家有如下行为之一的，责令改正，给予警告，可以并处一千元以下的罚款：</w:t>
      </w:r>
    </w:p>
    <w:p w14:paraId="188E68E6">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eastAsia="zh-CN"/>
        </w:rPr>
        <w:t>①</w:t>
      </w:r>
      <w:r>
        <w:rPr>
          <w:rFonts w:hint="eastAsia" w:ascii="宋体" w:hAnsi="宋体" w:cs="宋体"/>
          <w:color w:val="auto"/>
          <w:sz w:val="24"/>
          <w:highlight w:val="none"/>
        </w:rPr>
        <w:t>明知应当回避而未主动回避的；</w:t>
      </w:r>
    </w:p>
    <w:p w14:paraId="074C8EEB">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eastAsia="zh-CN"/>
        </w:rPr>
        <w:t>②</w:t>
      </w:r>
      <w:r>
        <w:rPr>
          <w:rFonts w:hint="eastAsia" w:ascii="宋体" w:hAnsi="宋体" w:cs="宋体"/>
          <w:color w:val="auto"/>
          <w:sz w:val="24"/>
          <w:highlight w:val="none"/>
        </w:rPr>
        <w:t>在</w:t>
      </w:r>
      <w:r>
        <w:rPr>
          <w:rFonts w:hint="eastAsia" w:ascii="宋体" w:hAnsi="宋体" w:cs="宋体"/>
          <w:color w:val="auto"/>
          <w:sz w:val="24"/>
          <w:highlight w:val="none"/>
          <w:lang w:eastAsia="zh-CN"/>
        </w:rPr>
        <w:t>得知</w:t>
      </w:r>
      <w:r>
        <w:rPr>
          <w:rFonts w:hint="eastAsia" w:ascii="宋体" w:hAnsi="宋体" w:cs="宋体"/>
          <w:color w:val="auto"/>
          <w:sz w:val="24"/>
          <w:highlight w:val="none"/>
        </w:rPr>
        <w:t>自己为评审专家身份后至评审结束前时段内私下接触投标人的；</w:t>
      </w:r>
    </w:p>
    <w:p w14:paraId="304A1FEF">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eastAsia="zh-CN"/>
        </w:rPr>
        <w:t>③</w:t>
      </w:r>
      <w:r>
        <w:rPr>
          <w:rFonts w:hint="eastAsia" w:ascii="宋体" w:hAnsi="宋体" w:cs="宋体"/>
          <w:color w:val="auto"/>
          <w:sz w:val="24"/>
          <w:highlight w:val="none"/>
        </w:rPr>
        <w:t>在评审过程中擅离职守，影响评审程序正常进行的；</w:t>
      </w:r>
    </w:p>
    <w:p w14:paraId="29700E67">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eastAsia="zh-CN"/>
        </w:rPr>
        <w:t>④</w:t>
      </w:r>
      <w:r>
        <w:rPr>
          <w:rFonts w:hint="eastAsia" w:ascii="宋体" w:hAnsi="宋体" w:cs="宋体"/>
          <w:color w:val="auto"/>
          <w:sz w:val="24"/>
          <w:highlight w:val="none"/>
        </w:rPr>
        <w:t>在评审过程有明显不合理或者不正当倾向性的；</w:t>
      </w:r>
    </w:p>
    <w:p w14:paraId="32EAAA3A">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eastAsia="zh-CN"/>
        </w:rPr>
        <w:t>⑤</w:t>
      </w:r>
      <w:r>
        <w:rPr>
          <w:rFonts w:hint="eastAsia" w:ascii="宋体" w:hAnsi="宋体" w:cs="宋体"/>
          <w:color w:val="auto"/>
          <w:sz w:val="24"/>
          <w:highlight w:val="none"/>
        </w:rPr>
        <w:t>未按招标文件规定的评审方法和标准进行评审的。</w:t>
      </w:r>
    </w:p>
    <w:p w14:paraId="3A5C363A">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eastAsia="zh-CN"/>
        </w:rPr>
        <w:t>⑥</w:t>
      </w:r>
      <w:r>
        <w:rPr>
          <w:rFonts w:hint="eastAsia" w:ascii="宋体" w:hAnsi="宋体" w:cs="宋体"/>
          <w:color w:val="auto"/>
          <w:sz w:val="24"/>
          <w:highlight w:val="none"/>
        </w:rPr>
        <w:t>上述</w:t>
      </w:r>
      <w:r>
        <w:rPr>
          <w:rFonts w:hint="eastAsia" w:ascii="宋体" w:hAnsi="宋体" w:cs="宋体"/>
          <w:color w:val="auto"/>
          <w:sz w:val="24"/>
          <w:highlight w:val="none"/>
          <w:lang w:eastAsia="zh-CN"/>
        </w:rPr>
        <w:t>①</w:t>
      </w:r>
      <w:r>
        <w:rPr>
          <w:rFonts w:hint="eastAsia" w:ascii="宋体" w:hAnsi="宋体" w:cs="宋体"/>
          <w:color w:val="auto"/>
          <w:sz w:val="24"/>
          <w:highlight w:val="none"/>
        </w:rPr>
        <w:t>至</w:t>
      </w:r>
      <w:r>
        <w:rPr>
          <w:rFonts w:hint="eastAsia" w:ascii="宋体" w:hAnsi="宋体" w:cs="宋体"/>
          <w:color w:val="auto"/>
          <w:sz w:val="24"/>
          <w:highlight w:val="none"/>
          <w:lang w:eastAsia="zh-CN"/>
        </w:rPr>
        <w:t>⑤</w:t>
      </w:r>
      <w:r>
        <w:rPr>
          <w:rFonts w:hint="eastAsia" w:ascii="宋体" w:hAnsi="宋体" w:cs="宋体"/>
          <w:color w:val="auto"/>
          <w:sz w:val="24"/>
          <w:highlight w:val="none"/>
        </w:rPr>
        <w:t>行为影响中标结果的，中标结果无效。</w:t>
      </w:r>
    </w:p>
    <w:p w14:paraId="16AED51D">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54855A9F">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政府采购评审专家与投标人存在利害关系未回避的，处2万元以上5万元以下的罚款，禁止其参加政府采购评审活动。</w:t>
      </w:r>
    </w:p>
    <w:p w14:paraId="20F08BFC">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政府采购评审专家收受采购人、采购代理机构、投标人贿赂或者获取其他不正当利益，构成犯罪的，依法追究刑事责任；尚不构成犯罪的，处2万元以上5万元以下的罚款，禁止其参加政府采购评审活动。</w:t>
      </w:r>
    </w:p>
    <w:p w14:paraId="731FF185">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政府采购评审专家有上述违法行为的，其评审意见无效，不得获取评审费；有违法所得的，没收违法所得；给他人造成损失的，依法承担民事责任。</w:t>
      </w:r>
    </w:p>
    <w:p w14:paraId="7B9AC9ED">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.评标办法。</w:t>
      </w:r>
    </w:p>
    <w:p w14:paraId="3A4038B8">
      <w:pPr>
        <w:shd w:val="clea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本项目评标办法是：综合评分法，具体评标内容及评分标准等详见《第四章：评标办法及评分标准》。</w:t>
      </w:r>
    </w:p>
    <w:p w14:paraId="6EF57812">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（七）评标过程的监控</w:t>
      </w:r>
    </w:p>
    <w:p w14:paraId="1F8AD5C5">
      <w:pPr>
        <w:shd w:val="clear"/>
        <w:spacing w:line="360" w:lineRule="auto"/>
        <w:ind w:firstLine="120" w:firstLineChars="5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本项目评标过程实行全程录音、录像监控，投标人在评标过程中所进行的试图影响评标结果的不公正活动，可能导致其投标被拒绝。</w:t>
      </w:r>
    </w:p>
    <w:p w14:paraId="14E8904D">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（八）其他</w:t>
      </w:r>
    </w:p>
    <w:p w14:paraId="14940B3C">
      <w:pPr>
        <w:shd w:val="clear"/>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采购过程中出现以下情形，导致电子交易平台无法正常运行，或者无法保证电子交易的公平、公正和安全时，采购组织机构可中止电子交易活动：</w:t>
      </w:r>
    </w:p>
    <w:p w14:paraId="639032EC">
      <w:pPr>
        <w:shd w:val="clear"/>
        <w:spacing w:line="360" w:lineRule="auto"/>
        <w:ind w:firstLine="352" w:firstLineChars="147"/>
        <w:rPr>
          <w:rFonts w:hint="eastAsia" w:ascii="宋体" w:hAnsi="宋体" w:eastAsia="宋体" w:cs="宋体"/>
          <w:color w:val="auto"/>
          <w:sz w:val="24"/>
          <w:highlight w:val="none"/>
        </w:rPr>
      </w:pPr>
      <w:r>
        <w:rPr>
          <w:rFonts w:hint="eastAsia" w:ascii="宋体" w:hAnsi="宋体" w:eastAsia="宋体" w:cs="宋体"/>
          <w:color w:val="auto"/>
          <w:sz w:val="24"/>
          <w:highlight w:val="none"/>
        </w:rPr>
        <w:t>1、电子交易平台发生故障而无法登录访问的；</w:t>
      </w:r>
    </w:p>
    <w:p w14:paraId="4FA805EA">
      <w:pPr>
        <w:shd w:val="clear"/>
        <w:spacing w:line="360" w:lineRule="auto"/>
        <w:ind w:firstLine="352" w:firstLineChars="147"/>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2、电子交易平台应用或数据库出现错误，不能进行正常操作的；</w:t>
      </w:r>
    </w:p>
    <w:p w14:paraId="207F31AF">
      <w:pPr>
        <w:shd w:val="clear"/>
        <w:spacing w:line="360" w:lineRule="auto"/>
        <w:ind w:firstLine="352" w:firstLineChars="147"/>
        <w:rPr>
          <w:rFonts w:hint="eastAsia" w:ascii="宋体" w:hAnsi="宋体" w:eastAsia="宋体" w:cs="宋体"/>
          <w:color w:val="auto"/>
          <w:sz w:val="24"/>
          <w:highlight w:val="none"/>
        </w:rPr>
      </w:pPr>
      <w:r>
        <w:rPr>
          <w:rFonts w:hint="eastAsia" w:ascii="宋体" w:hAnsi="宋体" w:eastAsia="宋体" w:cs="宋体"/>
          <w:color w:val="auto"/>
          <w:sz w:val="24"/>
          <w:highlight w:val="none"/>
        </w:rPr>
        <w:t>3、电子交易平台发现严重安全漏洞，有潜在泄密危险的；</w:t>
      </w:r>
    </w:p>
    <w:p w14:paraId="167217E6">
      <w:pPr>
        <w:shd w:val="clear"/>
        <w:spacing w:line="360" w:lineRule="auto"/>
        <w:ind w:firstLine="352" w:firstLineChars="147"/>
        <w:rPr>
          <w:rFonts w:hint="eastAsia" w:ascii="宋体" w:hAnsi="宋体" w:eastAsia="宋体" w:cs="宋体"/>
          <w:color w:val="auto"/>
          <w:sz w:val="24"/>
          <w:highlight w:val="none"/>
        </w:rPr>
      </w:pPr>
      <w:r>
        <w:rPr>
          <w:rFonts w:hint="eastAsia" w:ascii="宋体" w:hAnsi="宋体" w:eastAsia="宋体" w:cs="宋体"/>
          <w:color w:val="auto"/>
          <w:sz w:val="24"/>
          <w:highlight w:val="none"/>
        </w:rPr>
        <w:t>4、病毒发作导致不能进行正常操作的；</w:t>
      </w:r>
    </w:p>
    <w:p w14:paraId="21074644">
      <w:pPr>
        <w:shd w:val="clear"/>
        <w:spacing w:line="360" w:lineRule="auto"/>
        <w:ind w:firstLine="352" w:firstLineChars="147"/>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5、其他无法保证电子交易的公平、公正和安全的情况。</w:t>
      </w:r>
    </w:p>
    <w:p w14:paraId="159E8274">
      <w:pPr>
        <w:shd w:val="clear"/>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出现前款规定情形，不影响采购公平、公正性的，采购组织机构可以待上述情形消除后继续组织电子交易活动；影响或可能影响采购公平、公正性的，应当重新采购。</w:t>
      </w:r>
    </w:p>
    <w:p w14:paraId="3F19B231">
      <w:pPr>
        <w:pStyle w:val="8"/>
        <w:keepNext w:val="0"/>
        <w:keepLines w:val="0"/>
        <w:pageBreakBefore/>
        <w:shd w:val="clear"/>
        <w:spacing w:line="360" w:lineRule="auto"/>
        <w:jc w:val="center"/>
        <w:rPr>
          <w:rFonts w:hint="eastAsia" w:ascii="宋体" w:hAnsi="宋体" w:eastAsia="宋体" w:cs="宋体"/>
          <w:b/>
          <w:bCs/>
          <w:color w:val="auto"/>
          <w:sz w:val="24"/>
          <w:szCs w:val="24"/>
          <w:highlight w:val="none"/>
        </w:rPr>
      </w:pPr>
      <w:bookmarkStart w:id="63" w:name="_Toc458697272"/>
      <w:bookmarkStart w:id="64" w:name="_Toc15169"/>
      <w:r>
        <w:rPr>
          <w:rFonts w:hint="eastAsia" w:ascii="宋体" w:hAnsi="宋体" w:eastAsia="宋体" w:cs="宋体"/>
          <w:b/>
          <w:bCs/>
          <w:color w:val="auto"/>
          <w:sz w:val="24"/>
          <w:szCs w:val="24"/>
          <w:highlight w:val="none"/>
        </w:rPr>
        <w:t>六、定标</w:t>
      </w:r>
      <w:bookmarkEnd w:id="63"/>
      <w:bookmarkEnd w:id="64"/>
    </w:p>
    <w:p w14:paraId="14E1BED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（一）确定中标人 </w:t>
      </w:r>
    </w:p>
    <w:p w14:paraId="53A5B014">
      <w:pPr>
        <w:shd w:val="clea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本项目由采购人授权评标委员会确定中标人。</w:t>
      </w:r>
    </w:p>
    <w:p w14:paraId="7276A6AB">
      <w:pPr>
        <w:shd w:val="clear"/>
        <w:spacing w:line="360" w:lineRule="auto"/>
        <w:rPr>
          <w:rFonts w:hint="eastAsia" w:ascii="宋体" w:hAnsi="宋体" w:cs="宋体"/>
          <w:color w:val="auto"/>
          <w:sz w:val="24"/>
          <w:szCs w:val="24"/>
          <w:highlight w:val="none"/>
        </w:rPr>
      </w:pPr>
      <w:bookmarkStart w:id="65" w:name="_Toc458697273"/>
      <w:r>
        <w:rPr>
          <w:rFonts w:hint="eastAsia" w:ascii="宋体" w:hAnsi="宋体" w:cs="宋体"/>
          <w:color w:val="auto"/>
          <w:sz w:val="24"/>
          <w:szCs w:val="24"/>
          <w:highlight w:val="none"/>
        </w:rPr>
        <w:t>1.招标方在评标结束后2个工作日内将评标报告交采购人确认。</w:t>
      </w:r>
    </w:p>
    <w:p w14:paraId="7B3AC15B">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2.采购人应在收到评标报告后5个工作日内对评标结果进行确认。如有投标人对评标结果提出质疑的，采购人可在质疑处理完毕后确定中标人。</w:t>
      </w:r>
    </w:p>
    <w:p w14:paraId="165C0EC8">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3.采购人依法确定中标人后2个工作日内，招标方以书面形式发出《中标通知书》,并同时在相关网站上发布中标公告。</w:t>
      </w:r>
    </w:p>
    <w:p w14:paraId="61884CAB">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 确定中标人后，中标人应在三个工作日内，向招标方领取《中标通知书》，否则按放弃中标资格处理，并因违反诚信原则，提交财政部门列入政府采购黑名单。</w:t>
      </w:r>
    </w:p>
    <w:p w14:paraId="109696FD">
      <w:pPr>
        <w:pStyle w:val="8"/>
        <w:keepNext w:val="0"/>
        <w:keepLines w:val="0"/>
        <w:pageBreakBefore/>
        <w:shd w:val="clear"/>
        <w:spacing w:line="360" w:lineRule="auto"/>
        <w:jc w:val="center"/>
        <w:rPr>
          <w:rFonts w:hint="eastAsia" w:ascii="宋体" w:hAnsi="宋体" w:eastAsia="宋体" w:cs="宋体"/>
          <w:b/>
          <w:bCs/>
          <w:color w:val="auto"/>
          <w:sz w:val="24"/>
          <w:szCs w:val="24"/>
          <w:highlight w:val="none"/>
        </w:rPr>
      </w:pPr>
      <w:bookmarkStart w:id="66" w:name="_Toc23237"/>
      <w:r>
        <w:rPr>
          <w:rFonts w:hint="eastAsia" w:ascii="宋体" w:hAnsi="宋体" w:eastAsia="宋体" w:cs="宋体"/>
          <w:b/>
          <w:bCs/>
          <w:color w:val="auto"/>
          <w:sz w:val="24"/>
          <w:szCs w:val="24"/>
          <w:highlight w:val="none"/>
        </w:rPr>
        <w:t>七、合同授予</w:t>
      </w:r>
      <w:bookmarkEnd w:id="65"/>
      <w:bookmarkEnd w:id="66"/>
    </w:p>
    <w:p w14:paraId="64F4BF1A">
      <w:pPr>
        <w:shd w:val="clea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（一）签订合同</w:t>
      </w:r>
    </w:p>
    <w:p w14:paraId="4763C0B4">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除不可抗力等特殊情况外，采购人原则上应当在中标通知书发出之日起20日内，与成交人按照采购文件确定的事项签订政府采购合同，并在签订之日起2个工作日内将政府采购合同在浙江政府采购网上公告。</w:t>
      </w:r>
    </w:p>
    <w:p w14:paraId="07C49672">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成交人按规定的日期、时间、地点，由法定代表人或其授权代表与采购人代表签订合同。如成交人为联合体的，由联合体成员各方法定代表人或其授权代表与采购人代表签订合同。</w:t>
      </w:r>
    </w:p>
    <w:p w14:paraId="234EEEB5">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如签订合同并生效后，供应商无故拒绝或延期，除按照合同条款处理外，列入不良行为记录一次，并给予通报。</w:t>
      </w:r>
    </w:p>
    <w:p w14:paraId="5BDA2E5C">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成交人拒绝与采购人签订合同的，采购人可以按照评审报告推荐的中标或者成交候选人名单排序，确定下一候选人为成交人，也可以重新开展政府采购活动。</w:t>
      </w:r>
    </w:p>
    <w:p w14:paraId="5E4A5EAA">
      <w:pPr>
        <w:shd w:val="clea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采购合同由采购人与成交人根据采购文件、磋商响应文件等内容通过政府采购电子交易平台在线签订，自动备案。</w:t>
      </w:r>
    </w:p>
    <w:p w14:paraId="046593B4">
      <w:pPr>
        <w:shd w:val="clear"/>
        <w:spacing w:line="360" w:lineRule="auto"/>
        <w:rPr>
          <w:rFonts w:hint="eastAsia" w:ascii="宋体" w:hAnsi="宋体" w:cs="宋体"/>
          <w:color w:val="auto"/>
          <w:sz w:val="24"/>
          <w:szCs w:val="24"/>
          <w:highlight w:val="none"/>
        </w:rPr>
      </w:pPr>
      <w:r>
        <w:rPr>
          <w:rFonts w:hint="default" w:ascii="宋体" w:hAnsi="宋体" w:cs="宋体"/>
          <w:color w:val="auto"/>
          <w:sz w:val="24"/>
          <w:szCs w:val="24"/>
          <w:highlight w:val="none"/>
          <w:lang w:val="en-US"/>
        </w:rPr>
        <w:t>6.</w:t>
      </w:r>
      <w:r>
        <w:rPr>
          <w:rFonts w:hint="eastAsia" w:ascii="宋体" w:hAnsi="宋体" w:cs="宋体"/>
          <w:color w:val="auto"/>
          <w:sz w:val="24"/>
          <w:szCs w:val="24"/>
          <w:highlight w:val="none"/>
        </w:rPr>
        <w:t>政府采购货物和服务项目不得收取质量保证金。政府采购工程以及与工程建设有关的货物、服务，采用招标方式采购的，按国家和省有关规定执行。</w:t>
      </w:r>
    </w:p>
    <w:p w14:paraId="15323C5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（二）履约保证金</w:t>
      </w:r>
    </w:p>
    <w:p w14:paraId="169B98C1">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中标人在收到中标通知书后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需向采购人提供中标价的1%的履约保证金，在中标人与采购人签订合同前递交，投标人需以支票、汇票、本票或者金融机构、保险公司、担保机构出具的保函/保险（可在政采云平台购买，咨询热线4009039583）等非现金形式提交（保函期限应大于履约期限2个月）</w:t>
      </w:r>
      <w:r>
        <w:rPr>
          <w:rFonts w:hint="eastAsia" w:ascii="宋体" w:hAnsi="宋体" w:eastAsia="宋体" w:cs="宋体"/>
          <w:color w:val="auto"/>
          <w:sz w:val="24"/>
          <w:szCs w:val="24"/>
          <w:highlight w:val="none"/>
          <w:lang w:eastAsia="zh-CN"/>
        </w:rPr>
        <w:t>。</w:t>
      </w:r>
    </w:p>
    <w:p w14:paraId="110B9DD4">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中标人也</w:t>
      </w:r>
      <w:r>
        <w:rPr>
          <w:rFonts w:hint="eastAsia" w:ascii="宋体" w:hAnsi="宋体" w:eastAsia="宋体" w:cs="宋体"/>
          <w:color w:val="auto"/>
          <w:sz w:val="24"/>
          <w:szCs w:val="24"/>
          <w:highlight w:val="none"/>
        </w:rPr>
        <w:t>可登录政采云平台-【金融服务】—【我的项目】—【已备案合同】以保函形式提供：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在合同列表选择需要投保的合同，点击[保函推荐]。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在弹框里查看推荐的保函产品，</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自行选择保函产品，点击[立即申请]。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在弹框里填写保函申请信息。具体步骤：选择产品—填写供应商信息—选择中标项目—确认信息—等待保险/保函受理—确认保单—支付保费—成功出单。政采云金融专线400-903-9583。</w:t>
      </w:r>
    </w:p>
    <w:p w14:paraId="314ECAD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2.签订合同后，如中标人不按双方合同约定履约，则没收其全部履约保证金，履约保证金不足以赔偿损失的，按实际损失赔偿。</w:t>
      </w:r>
    </w:p>
    <w:p w14:paraId="158C5559">
      <w:pPr>
        <w:pStyle w:val="48"/>
        <w:shd w:val="clear"/>
        <w:rPr>
          <w:rFonts w:hint="eastAsia"/>
          <w:color w:val="auto"/>
          <w:highlight w:val="none"/>
        </w:rPr>
      </w:pPr>
    </w:p>
    <w:p w14:paraId="0FAC9CF6">
      <w:pPr>
        <w:pStyle w:val="22"/>
        <w:pageBreakBefore/>
        <w:shd w:val="clear"/>
        <w:snapToGrid w:val="0"/>
        <w:spacing w:before="120" w:after="120" w:line="360" w:lineRule="auto"/>
        <w:jc w:val="center"/>
        <w:outlineLvl w:val="0"/>
        <w:rPr>
          <w:rFonts w:hint="eastAsia" w:ascii="宋体" w:hAnsi="宋体" w:eastAsia="宋体" w:cs="宋体"/>
          <w:b/>
          <w:color w:val="auto"/>
          <w:szCs w:val="24"/>
          <w:highlight w:val="none"/>
        </w:rPr>
      </w:pPr>
      <w:bookmarkStart w:id="67" w:name="_Toc18303"/>
      <w:r>
        <w:rPr>
          <w:rFonts w:hint="eastAsia" w:ascii="宋体" w:hAnsi="宋体" w:eastAsia="宋体" w:cs="宋体"/>
          <w:b/>
          <w:color w:val="auto"/>
          <w:szCs w:val="24"/>
          <w:highlight w:val="none"/>
        </w:rPr>
        <w:t>第四章  评标办法及评分标准</w:t>
      </w:r>
      <w:bookmarkEnd w:id="67"/>
    </w:p>
    <w:p w14:paraId="0B8BD98D">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为公正、公平、科学地选择中标人，根据《中华人民共和国政府采购法》等有关法律法规的规定，并结合本项目的实际，制定本办法。</w:t>
      </w:r>
    </w:p>
    <w:p w14:paraId="536DBD10">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本办法适用于</w:t>
      </w:r>
      <w:r>
        <w:rPr>
          <w:rFonts w:hint="eastAsia" w:ascii="宋体" w:hAnsi="宋体" w:cs="宋体"/>
          <w:color w:val="auto"/>
          <w:sz w:val="24"/>
          <w:highlight w:val="none"/>
          <w:lang w:val="en-US" w:eastAsia="zh-CN"/>
        </w:rPr>
        <w:t>东阳市江北综合医院（东阳市红会医院迁建工程）厨房设备采购项目</w:t>
      </w:r>
      <w:r>
        <w:rPr>
          <w:rFonts w:hint="eastAsia" w:ascii="宋体" w:hAnsi="宋体" w:eastAsia="宋体" w:cs="宋体"/>
          <w:color w:val="auto"/>
          <w:sz w:val="24"/>
          <w:highlight w:val="none"/>
        </w:rPr>
        <w:t>的评标。</w:t>
      </w:r>
    </w:p>
    <w:p w14:paraId="77D78077">
      <w:pPr>
        <w:shd w:val="clear"/>
        <w:spacing w:line="360" w:lineRule="auto"/>
        <w:rPr>
          <w:rFonts w:hint="eastAsia" w:ascii="宋体" w:hAnsi="宋体" w:eastAsia="宋体" w:cs="宋体"/>
          <w:b/>
          <w:color w:val="auto"/>
          <w:sz w:val="24"/>
          <w:highlight w:val="none"/>
        </w:rPr>
      </w:pPr>
      <w:bookmarkStart w:id="68" w:name="_Toc26574"/>
      <w:bookmarkStart w:id="69" w:name="_Toc12525"/>
      <w:bookmarkStart w:id="70" w:name="_Toc452728219"/>
      <w:bookmarkStart w:id="71" w:name="_Toc31315"/>
      <w:r>
        <w:rPr>
          <w:rFonts w:hint="eastAsia" w:ascii="宋体" w:hAnsi="宋体" w:eastAsia="宋体" w:cs="宋体"/>
          <w:b/>
          <w:color w:val="auto"/>
          <w:sz w:val="24"/>
          <w:highlight w:val="none"/>
        </w:rPr>
        <w:t>一、总则</w:t>
      </w:r>
      <w:bookmarkEnd w:id="68"/>
      <w:bookmarkEnd w:id="69"/>
      <w:bookmarkEnd w:id="70"/>
      <w:bookmarkEnd w:id="71"/>
    </w:p>
    <w:p w14:paraId="03AA03CF">
      <w:pPr>
        <w:keepNext w:val="0"/>
        <w:keepLines w:val="0"/>
        <w:widowControl w:val="0"/>
        <w:shd w:val="clear"/>
        <w:kinsoku/>
        <w:wordWrap/>
        <w:overflowPunct/>
        <w:topLinePunct w:val="0"/>
        <w:autoSpaceDE/>
        <w:autoSpaceDN/>
        <w:bidi w:val="0"/>
        <w:adjustRightInd/>
        <w:spacing w:line="408"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本次评标采用综合评分法，总分为100分，其中价格分</w:t>
      </w:r>
      <w:r>
        <w:rPr>
          <w:rFonts w:hint="eastAsia" w:ascii="宋体" w:hAnsi="宋体" w:cs="宋体"/>
          <w:color w:val="auto"/>
          <w:sz w:val="24"/>
          <w:highlight w:val="none"/>
          <w:lang w:val="en-US" w:eastAsia="zh-CN"/>
        </w:rPr>
        <w:t>4</w:t>
      </w:r>
      <w:r>
        <w:rPr>
          <w:rFonts w:hint="default" w:ascii="宋体" w:hAnsi="宋体" w:cs="宋体"/>
          <w:color w:val="auto"/>
          <w:sz w:val="24"/>
          <w:highlight w:val="none"/>
          <w:lang w:val="en-US" w:eastAsia="zh-CN"/>
        </w:rPr>
        <w:t>0</w:t>
      </w:r>
      <w:r>
        <w:rPr>
          <w:rFonts w:hint="eastAsia" w:ascii="宋体" w:hAnsi="宋体" w:eastAsia="宋体" w:cs="宋体"/>
          <w:color w:val="auto"/>
          <w:sz w:val="24"/>
          <w:highlight w:val="none"/>
        </w:rPr>
        <w:t>分，技术、商务、资信及其他分</w:t>
      </w:r>
      <w:r>
        <w:rPr>
          <w:rFonts w:hint="eastAsia" w:ascii="宋体" w:hAnsi="宋体" w:cs="宋体"/>
          <w:color w:val="auto"/>
          <w:sz w:val="24"/>
          <w:highlight w:val="none"/>
          <w:lang w:val="en-US" w:eastAsia="zh-CN"/>
        </w:rPr>
        <w:t>6</w:t>
      </w:r>
      <w:r>
        <w:rPr>
          <w:rFonts w:hint="default" w:ascii="宋体" w:hAnsi="宋体" w:cs="宋体"/>
          <w:color w:val="auto"/>
          <w:sz w:val="24"/>
          <w:highlight w:val="none"/>
          <w:lang w:val="en-US" w:eastAsia="zh-CN"/>
        </w:rPr>
        <w:t>0</w:t>
      </w:r>
      <w:r>
        <w:rPr>
          <w:rFonts w:hint="eastAsia" w:ascii="宋体" w:hAnsi="宋体" w:eastAsia="宋体" w:cs="宋体"/>
          <w:color w:val="auto"/>
          <w:sz w:val="24"/>
          <w:highlight w:val="none"/>
        </w:rPr>
        <w:t>分；合格投标人的评标得分为各项目汇总得分，中标候选资格按评标综合得分由高到低顺序排列，得分相同的，按投标报价由低到高顺序排列；得分且投标报价相同的，按技术得分由高到低顺序排列。</w:t>
      </w:r>
      <w:r>
        <w:rPr>
          <w:rFonts w:hint="eastAsia" w:ascii="宋体" w:hAnsi="宋体" w:cs="宋体"/>
          <w:color w:val="auto"/>
          <w:sz w:val="24"/>
          <w:highlight w:val="none"/>
        </w:rPr>
        <w:t>排名第一的投标人为中标候选人,排名第二的投标人为候补中标候选人(有效投标人为 3家时推荐2名中标候选人，有效标大于 3 家时，推荐 3名中标候选人)……其他投标人中标候选资格依此类推。评分过程中采用四舍五入法，并保留小数2位。</w:t>
      </w:r>
    </w:p>
    <w:p w14:paraId="6F01B970">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投标人评标综合得分=价格分+(技术分+商务分+资信及其他分)</w:t>
      </w:r>
    </w:p>
    <w:p w14:paraId="310476F8">
      <w:pPr>
        <w:keepNext w:val="0"/>
        <w:keepLines w:val="0"/>
        <w:widowControl w:val="0"/>
        <w:numPr>
          <w:ilvl w:val="0"/>
          <w:numId w:val="15"/>
        </w:numPr>
        <w:shd w:val="clear"/>
        <w:kinsoku/>
        <w:wordWrap/>
        <w:overflowPunct/>
        <w:topLinePunct w:val="0"/>
        <w:autoSpaceDE/>
        <w:autoSpaceDN/>
        <w:bidi w:val="0"/>
        <w:adjustRightInd/>
        <w:spacing w:line="408" w:lineRule="auto"/>
        <w:rPr>
          <w:rFonts w:ascii="宋体" w:hAnsi="宋体" w:cs="宋体"/>
          <w:b/>
          <w:color w:val="auto"/>
          <w:sz w:val="24"/>
          <w:highlight w:val="none"/>
        </w:rPr>
      </w:pPr>
      <w:bookmarkStart w:id="72" w:name="_Toc452728220"/>
      <w:bookmarkStart w:id="73" w:name="_Toc16785"/>
      <w:bookmarkStart w:id="74" w:name="_Toc12387"/>
      <w:bookmarkStart w:id="75" w:name="_Toc6122"/>
      <w:bookmarkStart w:id="76" w:name="_Toc502652282"/>
      <w:bookmarkStart w:id="77" w:name="_Hlt452359757"/>
      <w:bookmarkStart w:id="78" w:name="_Hlt452359758"/>
      <w:r>
        <w:rPr>
          <w:rFonts w:hint="eastAsia" w:ascii="宋体" w:hAnsi="宋体" w:cs="宋体"/>
          <w:b/>
          <w:color w:val="auto"/>
          <w:sz w:val="24"/>
          <w:highlight w:val="none"/>
        </w:rPr>
        <w:t>评标内容及标准</w:t>
      </w:r>
      <w:bookmarkEnd w:id="72"/>
      <w:bookmarkEnd w:id="73"/>
      <w:bookmarkEnd w:id="74"/>
      <w:bookmarkEnd w:id="75"/>
    </w:p>
    <w:p w14:paraId="4A1E50CA">
      <w:pPr>
        <w:pStyle w:val="22"/>
        <w:keepNext w:val="0"/>
        <w:keepLines w:val="0"/>
        <w:widowControl w:val="0"/>
        <w:shd w:val="clear"/>
        <w:kinsoku/>
        <w:wordWrap/>
        <w:overflowPunct/>
        <w:topLinePunct w:val="0"/>
        <w:autoSpaceDE/>
        <w:autoSpaceDN/>
        <w:bidi w:val="0"/>
        <w:adjustRightInd/>
        <w:spacing w:before="120" w:after="120" w:line="408" w:lineRule="auto"/>
        <w:rPr>
          <w:rFonts w:ascii="宋体" w:hAnsi="宋体" w:cs="宋体"/>
          <w:b/>
          <w:bCs/>
          <w:color w:val="auto"/>
          <w:szCs w:val="24"/>
          <w:highlight w:val="none"/>
        </w:rPr>
      </w:pPr>
      <w:r>
        <w:rPr>
          <w:rFonts w:hint="eastAsia" w:ascii="宋体" w:hAnsi="宋体" w:cs="宋体"/>
          <w:b/>
          <w:bCs/>
          <w:color w:val="auto"/>
          <w:szCs w:val="24"/>
          <w:highlight w:val="none"/>
        </w:rPr>
        <w:t>（一）技术、商务、资信及其他分（</w:t>
      </w:r>
      <w:r>
        <w:rPr>
          <w:rFonts w:hint="eastAsia" w:ascii="宋体" w:hAnsi="宋体" w:cs="宋体"/>
          <w:b/>
          <w:bCs/>
          <w:color w:val="auto"/>
          <w:szCs w:val="24"/>
          <w:highlight w:val="none"/>
          <w:lang w:val="en-US" w:eastAsia="zh-CN"/>
        </w:rPr>
        <w:t>6</w:t>
      </w:r>
      <w:r>
        <w:rPr>
          <w:rFonts w:hint="eastAsia" w:ascii="宋体" w:hAnsi="宋体" w:cs="宋体"/>
          <w:b/>
          <w:bCs/>
          <w:color w:val="auto"/>
          <w:szCs w:val="24"/>
          <w:highlight w:val="none"/>
        </w:rPr>
        <w:t>0分）</w:t>
      </w:r>
    </w:p>
    <w:p w14:paraId="1DF39C69">
      <w:pPr>
        <w:keepNext w:val="0"/>
        <w:keepLines w:val="0"/>
        <w:widowControl w:val="0"/>
        <w:shd w:val="clear"/>
        <w:kinsoku/>
        <w:wordWrap/>
        <w:overflowPunct/>
        <w:topLinePunct w:val="0"/>
        <w:autoSpaceDE/>
        <w:autoSpaceDN/>
        <w:bidi w:val="0"/>
        <w:adjustRightInd/>
        <w:spacing w:line="40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技术、商务资信及其他分响应标书要求的投标单位全部进入商务报价评审。</w:t>
      </w:r>
    </w:p>
    <w:p w14:paraId="2BC6DF3D">
      <w:pPr>
        <w:pStyle w:val="16"/>
        <w:keepNext w:val="0"/>
        <w:keepLines w:val="0"/>
        <w:widowControl w:val="0"/>
        <w:numPr>
          <w:ilvl w:val="0"/>
          <w:numId w:val="20"/>
        </w:numPr>
        <w:shd w:val="clear"/>
        <w:kinsoku/>
        <w:wordWrap/>
        <w:overflowPunct/>
        <w:topLinePunct w:val="0"/>
        <w:autoSpaceDE/>
        <w:autoSpaceDN/>
        <w:bidi w:val="0"/>
        <w:adjustRightInd/>
        <w:spacing w:line="408" w:lineRule="auto"/>
        <w:ind w:left="0" w:leftChars="0"/>
        <w:rPr>
          <w:rFonts w:ascii="宋体" w:hAnsi="宋体" w:cs="宋体"/>
          <w:b/>
          <w:bCs/>
          <w:color w:val="auto"/>
          <w:sz w:val="24"/>
          <w:highlight w:val="none"/>
        </w:rPr>
      </w:pPr>
      <w:r>
        <w:rPr>
          <w:rFonts w:hint="eastAsia" w:ascii="宋体" w:hAnsi="宋体" w:cs="宋体"/>
          <w:b/>
          <w:bCs/>
          <w:color w:val="auto"/>
          <w:sz w:val="24"/>
          <w:highlight w:val="none"/>
        </w:rPr>
        <w:t>价格分（</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 xml:space="preserve">0分） </w:t>
      </w:r>
    </w:p>
    <w:p w14:paraId="534528B5">
      <w:pPr>
        <w:keepNext w:val="0"/>
        <w:keepLines w:val="0"/>
        <w:pageBreakBefore w:val="0"/>
        <w:widowControl w:val="0"/>
        <w:shd w:val="clear"/>
        <w:kinsoku/>
        <w:wordWrap/>
        <w:overflowPunct/>
        <w:topLinePunct w:val="0"/>
        <w:autoSpaceDE/>
        <w:autoSpaceDN/>
        <w:bidi w:val="0"/>
        <w:adjustRightInd/>
        <w:spacing w:before="120" w:beforeLines="50" w:after="120" w:afterLines="50" w:line="40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价格分采用低价优先法计算，取所有技术、资信商务得分入围投标人中，投标价格最低的投标报价为评标基准价，其他投标人的价格分按照下列公式计算：</w:t>
      </w:r>
    </w:p>
    <w:p w14:paraId="1B34C5C7">
      <w:pPr>
        <w:keepNext w:val="0"/>
        <w:keepLines w:val="0"/>
        <w:pageBreakBefore w:val="0"/>
        <w:widowControl w:val="0"/>
        <w:shd w:val="clear"/>
        <w:kinsoku/>
        <w:wordWrap/>
        <w:overflowPunct/>
        <w:topLinePunct w:val="0"/>
        <w:autoSpaceDE/>
        <w:autoSpaceDN/>
        <w:bidi w:val="0"/>
        <w:adjustRightInd/>
        <w:spacing w:before="120" w:beforeLines="50" w:after="120" w:afterLines="50" w:line="408" w:lineRule="auto"/>
        <w:ind w:firstLine="464" w:firstLineChars="200"/>
        <w:rPr>
          <w:color w:val="auto"/>
          <w:highlight w:val="none"/>
        </w:rPr>
      </w:pPr>
      <w:r>
        <w:rPr>
          <w:rFonts w:hint="eastAsia" w:ascii="宋体" w:hAnsi="宋体" w:cs="宋体"/>
          <w:bCs/>
          <w:color w:val="auto"/>
          <w:spacing w:val="-4"/>
          <w:sz w:val="24"/>
          <w:szCs w:val="20"/>
          <w:highlight w:val="none"/>
        </w:rPr>
        <w:t>价格分=评标基准价/投标报价×</w:t>
      </w:r>
      <w:r>
        <w:rPr>
          <w:rFonts w:hint="eastAsia" w:ascii="宋体" w:hAnsi="宋体" w:cs="宋体"/>
          <w:bCs/>
          <w:color w:val="auto"/>
          <w:spacing w:val="-4"/>
          <w:sz w:val="24"/>
          <w:szCs w:val="20"/>
          <w:highlight w:val="none"/>
          <w:lang w:val="en-US" w:eastAsia="zh-CN"/>
        </w:rPr>
        <w:t>4</w:t>
      </w:r>
      <w:r>
        <w:rPr>
          <w:rFonts w:hint="eastAsia" w:ascii="宋体" w:hAnsi="宋体" w:cs="宋体"/>
          <w:bCs/>
          <w:color w:val="auto"/>
          <w:spacing w:val="-4"/>
          <w:sz w:val="24"/>
          <w:szCs w:val="20"/>
          <w:highlight w:val="none"/>
        </w:rPr>
        <w:t>0</w:t>
      </w:r>
    </w:p>
    <w:p w14:paraId="5C2D1FE2">
      <w:pPr>
        <w:keepNext w:val="0"/>
        <w:keepLines w:val="0"/>
        <w:pageBreakBefore w:val="0"/>
        <w:widowControl w:val="0"/>
        <w:shd w:val="clear"/>
        <w:kinsoku/>
        <w:wordWrap/>
        <w:overflowPunct/>
        <w:topLinePunct w:val="0"/>
        <w:autoSpaceDE/>
        <w:autoSpaceDN/>
        <w:bidi w:val="0"/>
        <w:adjustRightInd/>
        <w:spacing w:line="408" w:lineRule="auto"/>
        <w:rPr>
          <w:rFonts w:ascii="宋体" w:hAnsi="宋体" w:cs="宋体"/>
          <w:b/>
          <w:bCs/>
          <w:color w:val="auto"/>
          <w:sz w:val="24"/>
          <w:highlight w:val="none"/>
        </w:rPr>
      </w:pPr>
      <w:r>
        <w:rPr>
          <w:rFonts w:hint="eastAsia" w:ascii="宋体" w:hAnsi="宋体" w:cs="宋体"/>
          <w:b/>
          <w:bCs/>
          <w:color w:val="auto"/>
          <w:sz w:val="24"/>
          <w:highlight w:val="none"/>
        </w:rPr>
        <w:t>（三）技术、商务、资信及其他分的计算</w:t>
      </w:r>
    </w:p>
    <w:p w14:paraId="199AE78C">
      <w:pPr>
        <w:keepNext w:val="0"/>
        <w:keepLines w:val="0"/>
        <w:pageBreakBefore w:val="0"/>
        <w:widowControl w:val="0"/>
        <w:shd w:val="clear"/>
        <w:kinsoku/>
        <w:wordWrap/>
        <w:overflowPunct/>
        <w:topLinePunct w:val="0"/>
        <w:autoSpaceDE/>
        <w:autoSpaceDN/>
        <w:bidi w:val="0"/>
        <w:adjustRightInd/>
        <w:spacing w:before="120" w:beforeLines="50" w:after="120" w:afterLines="50" w:line="40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技术、商务、资信及其他分按照评标委员会成员的独立评分结果的算术平均分计算，计算公式为：</w:t>
      </w:r>
    </w:p>
    <w:p w14:paraId="0D25D8FA">
      <w:pPr>
        <w:keepNext w:val="0"/>
        <w:keepLines w:val="0"/>
        <w:pageBreakBefore w:val="0"/>
        <w:widowControl w:val="0"/>
        <w:shd w:val="clear"/>
        <w:kinsoku/>
        <w:wordWrap/>
        <w:overflowPunct/>
        <w:topLinePunct w:val="0"/>
        <w:autoSpaceDE/>
        <w:autoSpaceDN/>
        <w:bidi w:val="0"/>
        <w:adjustRightInd/>
        <w:spacing w:before="120" w:beforeLines="50" w:after="120" w:afterLines="50" w:line="408"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技术商务资信及其他分=评标委员会所有成员有效评分合计数/5</w:t>
      </w:r>
    </w:p>
    <w:p w14:paraId="5348A145">
      <w:pPr>
        <w:numPr>
          <w:ilvl w:val="0"/>
          <w:numId w:val="21"/>
        </w:num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技术分、商务分、资信及其他分评分标准，</w:t>
      </w:r>
      <w:r>
        <w:rPr>
          <w:rFonts w:hint="default" w:ascii="宋体" w:hAnsi="宋体" w:cs="宋体"/>
          <w:b/>
          <w:bCs/>
          <w:color w:val="auto"/>
          <w:sz w:val="24"/>
          <w:highlight w:val="none"/>
          <w:lang w:val="en-US"/>
        </w:rPr>
        <w:t>共</w:t>
      </w:r>
      <w:r>
        <w:rPr>
          <w:rFonts w:hint="eastAsia" w:ascii="宋体" w:hAnsi="宋体" w:cs="宋体"/>
          <w:b/>
          <w:bCs/>
          <w:color w:val="auto"/>
          <w:sz w:val="24"/>
          <w:highlight w:val="none"/>
          <w:lang w:val="en-US" w:eastAsia="zh-CN"/>
        </w:rPr>
        <w:t>6</w:t>
      </w:r>
      <w:r>
        <w:rPr>
          <w:rFonts w:hint="default" w:ascii="宋体" w:hAnsi="宋体" w:cs="宋体"/>
          <w:b/>
          <w:bCs/>
          <w:color w:val="auto"/>
          <w:sz w:val="24"/>
          <w:highlight w:val="none"/>
          <w:lang w:val="en-US"/>
        </w:rPr>
        <w:t>0</w:t>
      </w:r>
      <w:r>
        <w:rPr>
          <w:rFonts w:hint="eastAsia" w:ascii="宋体" w:hAnsi="宋体" w:eastAsia="宋体" w:cs="宋体"/>
          <w:b/>
          <w:bCs/>
          <w:color w:val="auto"/>
          <w:sz w:val="24"/>
          <w:highlight w:val="none"/>
        </w:rPr>
        <w:t>分</w:t>
      </w:r>
    </w:p>
    <w:tbl>
      <w:tblPr>
        <w:tblStyle w:val="38"/>
        <w:tblpPr w:leftFromText="180" w:rightFromText="180" w:vertAnchor="text" w:tblpXSpec="center" w:tblpY="1"/>
        <w:tblOverlap w:val="never"/>
        <w:tblW w:w="99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7"/>
        <w:gridCol w:w="382"/>
        <w:gridCol w:w="1485"/>
        <w:gridCol w:w="6610"/>
        <w:gridCol w:w="764"/>
      </w:tblGrid>
      <w:tr w14:paraId="6A38F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197E79BE">
            <w:pPr>
              <w:widowControl/>
              <w:shd w:val="clea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867" w:type="dxa"/>
            <w:gridSpan w:val="2"/>
            <w:tcBorders>
              <w:top w:val="single" w:color="auto" w:sz="4" w:space="0"/>
              <w:left w:val="single" w:color="auto" w:sz="4" w:space="0"/>
              <w:bottom w:val="single" w:color="auto" w:sz="4" w:space="0"/>
              <w:right w:val="single" w:color="auto" w:sz="4" w:space="0"/>
            </w:tcBorders>
            <w:noWrap w:val="0"/>
            <w:vAlign w:val="center"/>
          </w:tcPr>
          <w:p w14:paraId="311E0A9D">
            <w:pPr>
              <w:widowControl/>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评审内容</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13F86B62">
            <w:pPr>
              <w:widowControl/>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6CE29FBA">
            <w:pPr>
              <w:widowControl/>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分值</w:t>
            </w:r>
          </w:p>
        </w:tc>
      </w:tr>
      <w:tr w14:paraId="1C3F5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0"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430B60AD">
            <w:pPr>
              <w:widowControl/>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p>
        </w:tc>
        <w:tc>
          <w:tcPr>
            <w:tcW w:w="8477" w:type="dxa"/>
            <w:gridSpan w:val="3"/>
            <w:tcBorders>
              <w:top w:val="single" w:color="auto" w:sz="4" w:space="0"/>
              <w:left w:val="single" w:color="auto" w:sz="4" w:space="0"/>
              <w:bottom w:val="single" w:color="auto" w:sz="4" w:space="0"/>
              <w:right w:val="single" w:color="auto" w:sz="4" w:space="0"/>
            </w:tcBorders>
            <w:noWrap w:val="0"/>
            <w:vAlign w:val="center"/>
          </w:tcPr>
          <w:p w14:paraId="404ECFF5">
            <w:pPr>
              <w:widowControl/>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技术分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02485589">
            <w:pPr>
              <w:widowControl/>
              <w:shd w:val="clear"/>
              <w:spacing w:line="360" w:lineRule="auto"/>
              <w:jc w:val="center"/>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47</w:t>
            </w:r>
            <w:r>
              <w:rPr>
                <w:rFonts w:hint="eastAsia" w:ascii="宋体" w:hAnsi="宋体" w:eastAsia="宋体" w:cs="宋体"/>
                <w:b/>
                <w:bCs/>
                <w:color w:val="auto"/>
                <w:sz w:val="24"/>
                <w:szCs w:val="24"/>
                <w:highlight w:val="none"/>
              </w:rPr>
              <w:t>分</w:t>
            </w:r>
          </w:p>
        </w:tc>
      </w:tr>
      <w:tr w14:paraId="7C6FFD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20C9A8A5">
            <w:pPr>
              <w:widowControl/>
              <w:shd w:val="clear"/>
              <w:spacing w:line="360" w:lineRule="auto"/>
              <w:jc w:val="center"/>
              <w:rPr>
                <w:rFonts w:hint="default" w:ascii="宋体" w:hAnsi="宋体" w:cs="宋体"/>
                <w:b w:val="0"/>
                <w:bCs w:val="0"/>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382" w:type="dxa"/>
            <w:vMerge w:val="restart"/>
            <w:tcBorders>
              <w:left w:val="single" w:color="auto" w:sz="4" w:space="0"/>
              <w:right w:val="single" w:color="auto" w:sz="4" w:space="0"/>
            </w:tcBorders>
            <w:noWrap w:val="0"/>
            <w:vAlign w:val="center"/>
          </w:tcPr>
          <w:p w14:paraId="3F200BEA">
            <w:pPr>
              <w:widowControl/>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技术服务水</w:t>
            </w:r>
          </w:p>
          <w:p w14:paraId="0120F426">
            <w:pPr>
              <w:widowControl/>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平</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1186219">
            <w:pPr>
              <w:shd w:val="clear"/>
              <w:spacing w:line="240" w:lineRule="auto"/>
              <w:jc w:val="center"/>
              <w:rPr>
                <w:rFonts w:hint="eastAsia" w:ascii="宋体" w:hAnsi="宋体" w:eastAsia="宋体" w:cs="宋体"/>
                <w:color w:val="auto"/>
                <w:sz w:val="24"/>
                <w:szCs w:val="24"/>
                <w:highlight w:val="none"/>
              </w:rPr>
            </w:pPr>
            <w:bookmarkStart w:id="79" w:name="OLE_LINK4"/>
            <w:r>
              <w:rPr>
                <w:rFonts w:hint="eastAsia" w:ascii="宋体" w:hAnsi="宋体" w:eastAsia="宋体" w:cs="宋体"/>
                <w:color w:val="auto"/>
                <w:kern w:val="0"/>
                <w:sz w:val="24"/>
                <w:highlight w:val="none"/>
                <w:lang w:eastAsia="zh-CN"/>
              </w:rPr>
              <w:t>样品</w:t>
            </w:r>
            <w:bookmarkEnd w:id="79"/>
          </w:p>
        </w:tc>
        <w:tc>
          <w:tcPr>
            <w:tcW w:w="6610" w:type="dxa"/>
            <w:tcBorders>
              <w:top w:val="single" w:color="auto" w:sz="4" w:space="0"/>
              <w:left w:val="single" w:color="auto" w:sz="4" w:space="0"/>
              <w:bottom w:val="single" w:color="auto" w:sz="4" w:space="0"/>
              <w:right w:val="single" w:color="auto" w:sz="4" w:space="0"/>
            </w:tcBorders>
            <w:noWrap w:val="0"/>
            <w:vAlign w:val="center"/>
          </w:tcPr>
          <w:p w14:paraId="2C01B64B">
            <w:pPr>
              <w:shd w:val="clear"/>
              <w:spacing w:line="360" w:lineRule="auto"/>
              <w:rPr>
                <w:rFonts w:hint="default" w:ascii="宋体" w:hAnsi="宋体" w:eastAsia="宋体"/>
                <w:b w:val="0"/>
                <w:bCs w:val="0"/>
                <w:color w:val="auto"/>
                <w:sz w:val="24"/>
                <w:szCs w:val="24"/>
                <w:highlight w:val="none"/>
                <w:lang w:val="en-US" w:eastAsia="zh-CN"/>
              </w:rPr>
            </w:pPr>
            <w:r>
              <w:rPr>
                <w:rFonts w:hint="eastAsia" w:ascii="宋体" w:hAnsi="宋体" w:eastAsia="宋体" w:cs="宋体"/>
                <w:color w:val="auto"/>
                <w:sz w:val="24"/>
                <w:szCs w:val="24"/>
                <w:highlight w:val="none"/>
              </w:rPr>
              <w:t>对投标人提供的样品，主要从外观、材质、</w:t>
            </w:r>
            <w:r>
              <w:rPr>
                <w:rFonts w:hint="eastAsia" w:ascii="宋体" w:hAnsi="宋体" w:cs="宋体"/>
                <w:color w:val="auto"/>
                <w:sz w:val="24"/>
                <w:szCs w:val="24"/>
                <w:highlight w:val="none"/>
                <w:lang w:val="en-US" w:eastAsia="zh-CN"/>
              </w:rPr>
              <w:t>尺寸、</w:t>
            </w:r>
            <w:r>
              <w:rPr>
                <w:rFonts w:hint="eastAsia" w:ascii="宋体" w:hAnsi="宋体" w:eastAsia="宋体" w:cs="宋体"/>
                <w:color w:val="auto"/>
                <w:sz w:val="24"/>
                <w:szCs w:val="24"/>
                <w:highlight w:val="none"/>
              </w:rPr>
              <w:t>工艺等方面进行评定，</w:t>
            </w:r>
            <w:r>
              <w:rPr>
                <w:rFonts w:hint="eastAsia" w:ascii="宋体" w:hAnsi="宋体" w:eastAsia="宋体" w:cs="宋体"/>
                <w:color w:val="auto"/>
                <w:sz w:val="24"/>
                <w:szCs w:val="24"/>
                <w:highlight w:val="none"/>
                <w:lang w:eastAsia="zh-CN"/>
              </w:rPr>
              <w:t>共计</w:t>
            </w:r>
            <w:r>
              <w:rPr>
                <w:rFonts w:hint="eastAsia" w:ascii="宋体" w:hAnsi="宋体" w:eastAsia="宋体" w:cs="宋体"/>
                <w:color w:val="auto"/>
                <w:sz w:val="24"/>
                <w:szCs w:val="24"/>
                <w:highlight w:val="none"/>
                <w:lang w:val="en-US" w:eastAsia="zh-CN"/>
              </w:rPr>
              <w:t>3个样品，</w:t>
            </w:r>
            <w:r>
              <w:rPr>
                <w:rFonts w:hint="eastAsia" w:ascii="宋体" w:hAnsi="宋体" w:eastAsia="宋体" w:cs="宋体"/>
                <w:color w:val="auto"/>
                <w:sz w:val="24"/>
                <w:szCs w:val="24"/>
                <w:highlight w:val="none"/>
              </w:rPr>
              <w:t>每个样品</w:t>
            </w:r>
            <w:r>
              <w:rPr>
                <w:rFonts w:hint="eastAsia" w:ascii="宋体" w:hAnsi="宋体" w:cs="宋体"/>
                <w:color w:val="auto"/>
                <w:sz w:val="24"/>
                <w:szCs w:val="24"/>
                <w:highlight w:val="none"/>
                <w:lang w:val="en-US" w:eastAsia="zh-CN"/>
              </w:rPr>
              <w:t>（0-3）</w:t>
            </w:r>
            <w:r>
              <w:rPr>
                <w:rFonts w:hint="eastAsia" w:ascii="宋体" w:hAnsi="宋体" w:eastAsia="宋体" w:cs="宋体"/>
                <w:color w:val="auto"/>
                <w:sz w:val="24"/>
                <w:szCs w:val="24"/>
                <w:highlight w:val="none"/>
                <w:lang w:val="en-GB"/>
              </w:rPr>
              <w:t>分，</w:t>
            </w:r>
            <w:r>
              <w:rPr>
                <w:rFonts w:hint="eastAsia" w:ascii="宋体" w:hAnsi="宋体" w:eastAsia="宋体" w:cs="宋体"/>
                <w:color w:val="auto"/>
                <w:sz w:val="24"/>
                <w:szCs w:val="24"/>
                <w:highlight w:val="none"/>
                <w:lang w:val="en-GB" w:eastAsia="zh-CN"/>
              </w:rPr>
              <w:t>专家根据每个样品情况</w:t>
            </w:r>
            <w:r>
              <w:rPr>
                <w:rFonts w:hint="eastAsia" w:ascii="宋体" w:hAnsi="宋体" w:cs="宋体"/>
                <w:color w:val="auto"/>
                <w:sz w:val="24"/>
                <w:szCs w:val="24"/>
                <w:highlight w:val="none"/>
                <w:lang w:val="en-US" w:eastAsia="zh-CN"/>
              </w:rPr>
              <w:t>进行</w:t>
            </w:r>
            <w:r>
              <w:rPr>
                <w:rFonts w:hint="eastAsia" w:ascii="宋体" w:hAnsi="宋体" w:eastAsia="宋体" w:cs="宋体"/>
                <w:color w:val="auto"/>
                <w:sz w:val="24"/>
                <w:szCs w:val="24"/>
                <w:highlight w:val="none"/>
                <w:lang w:val="en-GB" w:eastAsia="zh-CN"/>
              </w:rPr>
              <w:t>打分</w:t>
            </w:r>
            <w:r>
              <w:rPr>
                <w:rFonts w:hint="eastAsia" w:ascii="宋体" w:hAnsi="宋体" w:eastAsia="宋体" w:cs="宋体"/>
                <w:color w:val="auto"/>
                <w:sz w:val="24"/>
                <w:szCs w:val="24"/>
                <w:highlight w:val="none"/>
                <w:lang w:val="en-GB"/>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7F7A4531">
            <w:pPr>
              <w:widowControl/>
              <w:shd w:val="clear"/>
              <w:spacing w:line="240" w:lineRule="auto"/>
              <w:jc w:val="center"/>
              <w:rPr>
                <w:rFonts w:hint="default" w:ascii="宋体" w:hAnsi="宋体" w:cs="宋体"/>
                <w:color w:val="auto"/>
                <w:sz w:val="24"/>
                <w:szCs w:val="24"/>
                <w:highlight w:val="none"/>
                <w:lang w:val="en-US" w:eastAsia="zh-CN"/>
              </w:rPr>
            </w:pPr>
            <w:r>
              <w:rPr>
                <w:rFonts w:hint="eastAsia" w:ascii="宋体" w:hAnsi="宋体" w:eastAsia="宋体" w:cs="宋体"/>
                <w:color w:val="auto"/>
                <w:kern w:val="0"/>
                <w:sz w:val="24"/>
                <w:highlight w:val="none"/>
                <w:lang w:val="en-US" w:eastAsia="zh-CN"/>
              </w:rPr>
              <w:t>9</w:t>
            </w:r>
          </w:p>
        </w:tc>
      </w:tr>
      <w:tr w14:paraId="56F808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3"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0FE01B8C">
            <w:pPr>
              <w:widowControl/>
              <w:shd w:val="clear"/>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382" w:type="dxa"/>
            <w:vMerge w:val="continue"/>
            <w:tcBorders>
              <w:left w:val="single" w:color="auto" w:sz="4" w:space="0"/>
              <w:right w:val="single" w:color="auto" w:sz="4" w:space="0"/>
            </w:tcBorders>
            <w:noWrap w:val="0"/>
            <w:vAlign w:val="center"/>
          </w:tcPr>
          <w:p w14:paraId="78E86FD9">
            <w:pPr>
              <w:widowControl/>
              <w:shd w:val="clear"/>
              <w:spacing w:line="360" w:lineRule="auto"/>
              <w:jc w:val="center"/>
              <w:rPr>
                <w:rFonts w:hint="default" w:ascii="宋体" w:hAnsi="宋体" w:eastAsia="宋体" w:cs="宋体"/>
                <w:color w:val="auto"/>
                <w:sz w:val="24"/>
                <w:szCs w:val="24"/>
                <w:highlight w:val="no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C13D4B7">
            <w:pPr>
              <w:widowControl/>
              <w:shd w:val="clear"/>
              <w:snapToGrid w:val="0"/>
              <w:spacing w:line="360" w:lineRule="auto"/>
              <w:ind w:firstLine="14" w:firstLineChars="6"/>
              <w:jc w:val="center"/>
              <w:rPr>
                <w:rFonts w:hint="eastAsia" w:ascii="宋体" w:hAnsi="宋体" w:eastAsia="宋体" w:cs="宋体"/>
                <w:color w:val="auto"/>
                <w:kern w:val="0"/>
                <w:sz w:val="24"/>
                <w:szCs w:val="24"/>
                <w:highlight w:val="none"/>
                <w:lang w:val="en-US" w:eastAsia="zh-CN"/>
              </w:rPr>
            </w:pPr>
            <w:bookmarkStart w:id="80" w:name="OLE_LINK5"/>
            <w:r>
              <w:rPr>
                <w:rFonts w:hint="eastAsia" w:ascii="宋体" w:hAnsi="宋体" w:eastAsia="宋体" w:cs="宋体"/>
                <w:color w:val="auto"/>
                <w:sz w:val="24"/>
                <w:highlight w:val="none"/>
              </w:rPr>
              <w:t>技术响应</w:t>
            </w:r>
            <w:r>
              <w:rPr>
                <w:rFonts w:hint="eastAsia" w:ascii="宋体" w:hAnsi="宋体" w:cs="宋体"/>
                <w:color w:val="auto"/>
                <w:sz w:val="24"/>
                <w:highlight w:val="none"/>
                <w:lang w:val="en-US" w:eastAsia="zh-CN"/>
              </w:rPr>
              <w:t>情况</w:t>
            </w:r>
            <w:bookmarkEnd w:id="80"/>
          </w:p>
        </w:tc>
        <w:tc>
          <w:tcPr>
            <w:tcW w:w="6610" w:type="dxa"/>
            <w:tcBorders>
              <w:top w:val="single" w:color="auto" w:sz="4" w:space="0"/>
              <w:left w:val="single" w:color="auto" w:sz="4" w:space="0"/>
              <w:bottom w:val="single" w:color="auto" w:sz="4" w:space="0"/>
              <w:right w:val="single" w:color="auto" w:sz="4" w:space="0"/>
            </w:tcBorders>
            <w:noWrap w:val="0"/>
            <w:vAlign w:val="center"/>
          </w:tcPr>
          <w:p w14:paraId="4865C3D6">
            <w:pPr>
              <w:shd w:val="clear"/>
              <w:spacing w:line="360" w:lineRule="auto"/>
              <w:jc w:val="left"/>
              <w:rPr>
                <w:rFonts w:hint="eastAsia" w:ascii="宋体" w:hAnsi="宋体" w:eastAsia="宋体" w:cs="宋体"/>
                <w:color w:val="auto"/>
                <w:sz w:val="24"/>
                <w:szCs w:val="24"/>
                <w:highlight w:val="none"/>
              </w:rPr>
            </w:pPr>
            <w:r>
              <w:rPr>
                <w:rFonts w:hint="eastAsia" w:ascii="宋体" w:hAnsi="宋体" w:cs="宋体"/>
                <w:color w:val="auto"/>
                <w:kern w:val="0"/>
                <w:sz w:val="24"/>
                <w:highlight w:val="none"/>
                <w:lang w:val="en-US" w:eastAsia="zh-CN"/>
              </w:rPr>
              <w:t>根据投标人所</w:t>
            </w:r>
            <w:r>
              <w:rPr>
                <w:rFonts w:hint="eastAsia" w:ascii="宋体" w:hAnsi="宋体" w:eastAsia="宋体" w:cs="宋体"/>
                <w:color w:val="auto"/>
                <w:kern w:val="0"/>
                <w:sz w:val="24"/>
                <w:highlight w:val="none"/>
              </w:rPr>
              <w:t>投产品全部满足招标货物的性能及技术指标要求的得</w:t>
            </w:r>
            <w:r>
              <w:rPr>
                <w:rFonts w:hint="eastAsia" w:ascii="宋体" w:hAnsi="宋体" w:cs="宋体"/>
                <w:color w:val="auto"/>
                <w:kern w:val="0"/>
                <w:sz w:val="24"/>
                <w:highlight w:val="none"/>
                <w:lang w:val="en-US" w:eastAsia="zh-CN"/>
              </w:rPr>
              <w:t>22</w:t>
            </w:r>
            <w:r>
              <w:rPr>
                <w:rFonts w:hint="eastAsia" w:ascii="宋体" w:hAnsi="宋体" w:eastAsia="宋体" w:cs="宋体"/>
                <w:color w:val="auto"/>
                <w:kern w:val="0"/>
                <w:sz w:val="24"/>
                <w:highlight w:val="none"/>
              </w:rPr>
              <w:t>分；</w:t>
            </w:r>
            <w:r>
              <w:rPr>
                <w:rFonts w:hint="eastAsia" w:ascii="宋体" w:hAnsi="宋体" w:eastAsia="宋体" w:cs="宋体"/>
                <w:color w:val="auto"/>
                <w:sz w:val="24"/>
                <w:szCs w:val="24"/>
                <w:highlight w:val="none"/>
              </w:rPr>
              <w:t>标“★”项为重要技术参数，负偏离一条扣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分，其余参数每负偏离一条扣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分，扣完为止。</w:t>
            </w:r>
          </w:p>
          <w:p w14:paraId="484C69DD">
            <w:pPr>
              <w:shd w:val="clear"/>
              <w:spacing w:line="360" w:lineRule="auto"/>
              <w:jc w:val="left"/>
              <w:rPr>
                <w:rFonts w:hint="eastAsia"/>
                <w:color w:val="auto"/>
                <w:highlight w:val="none"/>
                <w:lang w:val="en-US" w:eastAsia="zh-CN"/>
              </w:rPr>
            </w:pPr>
            <w:r>
              <w:rPr>
                <w:rFonts w:hint="eastAsia" w:ascii="宋体" w:hAnsi="宋体" w:cs="宋体"/>
                <w:color w:val="auto"/>
                <w:sz w:val="24"/>
                <w:szCs w:val="24"/>
                <w:highlight w:val="none"/>
                <w:lang w:val="en-US" w:eastAsia="zh-CN"/>
              </w:rPr>
              <w:t>注：</w:t>
            </w:r>
            <w:r>
              <w:rPr>
                <w:rFonts w:hint="eastAsia" w:ascii="宋体" w:hAnsi="宋体" w:cs="宋体"/>
                <w:color w:val="auto"/>
                <w:sz w:val="24"/>
                <w:highlight w:val="none"/>
              </w:rPr>
              <w:t>要求投标人</w:t>
            </w:r>
            <w:r>
              <w:rPr>
                <w:rFonts w:hint="eastAsia" w:hAnsi="宋体" w:cs="宋体"/>
                <w:color w:val="auto"/>
                <w:sz w:val="24"/>
                <w:highlight w:val="none"/>
              </w:rPr>
              <w:t>提供检测报告等证明材料，</w:t>
            </w:r>
            <w:r>
              <w:rPr>
                <w:rFonts w:hint="eastAsia" w:ascii="宋体" w:hAnsi="宋体" w:cs="宋体"/>
                <w:color w:val="auto"/>
                <w:sz w:val="24"/>
                <w:highlight w:val="none"/>
              </w:rPr>
              <w:t>未提供的不得分</w:t>
            </w:r>
            <w:r>
              <w:rPr>
                <w:rFonts w:hint="eastAsia" w:ascii="宋体" w:hAnsi="宋体" w:cs="宋体"/>
                <w:color w:val="auto"/>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33DD2349">
            <w:pPr>
              <w:widowControl/>
              <w:shd w:val="clear"/>
              <w:spacing w:line="360" w:lineRule="auto"/>
              <w:jc w:val="center"/>
              <w:rPr>
                <w:rFonts w:hint="default" w:eastAsia="宋体"/>
                <w:color w:val="auto"/>
                <w:highlight w:val="none"/>
                <w:lang w:val="en-US" w:eastAsia="zh-CN"/>
              </w:rPr>
            </w:pPr>
            <w:r>
              <w:rPr>
                <w:rFonts w:hint="eastAsia" w:ascii="宋体" w:hAnsi="宋体" w:cs="宋体"/>
                <w:color w:val="auto"/>
                <w:sz w:val="24"/>
                <w:highlight w:val="none"/>
                <w:lang w:val="en-US" w:eastAsia="zh-CN"/>
              </w:rPr>
              <w:t>22</w:t>
            </w:r>
          </w:p>
        </w:tc>
      </w:tr>
      <w:tr w14:paraId="794895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36F6DDD6">
            <w:pPr>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382" w:type="dxa"/>
            <w:vMerge w:val="continue"/>
            <w:tcBorders>
              <w:left w:val="single" w:color="auto" w:sz="4" w:space="0"/>
              <w:right w:val="single" w:color="auto" w:sz="4" w:space="0"/>
            </w:tcBorders>
            <w:noWrap w:val="0"/>
            <w:vAlign w:val="center"/>
          </w:tcPr>
          <w:p w14:paraId="697E0296">
            <w:pPr>
              <w:shd w:val="clear"/>
              <w:spacing w:line="360" w:lineRule="auto"/>
              <w:jc w:val="center"/>
              <w:rPr>
                <w:rFonts w:hint="eastAsia" w:ascii="宋体" w:hAnsi="宋体" w:eastAsia="宋体" w:cs="宋体"/>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8033BFA">
            <w:pPr>
              <w:shd w:val="clear"/>
              <w:spacing w:line="360" w:lineRule="auto"/>
              <w:jc w:val="center"/>
              <w:rPr>
                <w:rFonts w:hint="default" w:ascii="宋体" w:hAnsi="宋体" w:eastAsia="宋体" w:cs="仿宋_GB2312"/>
                <w:color w:val="auto"/>
                <w:sz w:val="24"/>
                <w:highlight w:val="none"/>
                <w:lang w:val="en-US" w:eastAsia="zh-CN"/>
              </w:rPr>
            </w:pPr>
            <w:bookmarkStart w:id="81" w:name="OLE_LINK6"/>
            <w:r>
              <w:rPr>
                <w:rFonts w:hint="eastAsia" w:ascii="宋体" w:hAnsi="宋体" w:cs="宋体"/>
                <w:color w:val="auto"/>
                <w:sz w:val="24"/>
                <w:szCs w:val="24"/>
                <w:highlight w:val="none"/>
                <w:lang w:val="en-US" w:eastAsia="zh-CN"/>
              </w:rPr>
              <w:t>进度计划</w:t>
            </w:r>
            <w:bookmarkEnd w:id="81"/>
          </w:p>
        </w:tc>
        <w:tc>
          <w:tcPr>
            <w:tcW w:w="6610" w:type="dxa"/>
            <w:tcBorders>
              <w:top w:val="single" w:color="auto" w:sz="4" w:space="0"/>
              <w:left w:val="single" w:color="auto" w:sz="4" w:space="0"/>
              <w:bottom w:val="single" w:color="auto" w:sz="4" w:space="0"/>
              <w:right w:val="single" w:color="auto" w:sz="4" w:space="0"/>
            </w:tcBorders>
            <w:noWrap w:val="0"/>
            <w:vAlign w:val="center"/>
          </w:tcPr>
          <w:p w14:paraId="145B0D48">
            <w:pPr>
              <w:shd w:val="clear"/>
              <w:spacing w:line="360" w:lineRule="auto"/>
              <w:jc w:val="left"/>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根据投标人对本项目实施进度计划情况</w:t>
            </w:r>
            <w:r>
              <w:rPr>
                <w:rFonts w:hint="eastAsia" w:ascii="宋体" w:hAnsi="宋体" w:cs="宋体"/>
                <w:color w:val="auto"/>
                <w:sz w:val="24"/>
                <w:szCs w:val="24"/>
                <w:highlight w:val="none"/>
                <w:lang w:val="en-US" w:eastAsia="zh-CN"/>
              </w:rPr>
              <w:t>进行</w:t>
            </w:r>
            <w:r>
              <w:rPr>
                <w:rFonts w:hint="eastAsia" w:ascii="宋体" w:hAnsi="宋体" w:eastAsia="宋体" w:cs="宋体"/>
                <w:color w:val="auto"/>
                <w:sz w:val="24"/>
                <w:szCs w:val="24"/>
                <w:highlight w:val="none"/>
                <w:lang w:val="en-US" w:eastAsia="zh-CN"/>
              </w:rPr>
              <w:t>打分。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19D4B75C">
            <w:pPr>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r>
      <w:tr w14:paraId="2B109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6A6459F9">
            <w:pPr>
              <w:widowControl/>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kern w:val="0"/>
                <w:sz w:val="24"/>
                <w:szCs w:val="24"/>
                <w:highlight w:val="none"/>
                <w:lang w:val="en-US" w:eastAsia="zh-CN"/>
              </w:rPr>
              <w:t>4</w:t>
            </w:r>
          </w:p>
        </w:tc>
        <w:tc>
          <w:tcPr>
            <w:tcW w:w="382" w:type="dxa"/>
            <w:vMerge w:val="continue"/>
            <w:tcBorders>
              <w:left w:val="single" w:color="auto" w:sz="4" w:space="0"/>
              <w:right w:val="single" w:color="auto" w:sz="4" w:space="0"/>
            </w:tcBorders>
            <w:noWrap w:val="0"/>
            <w:vAlign w:val="center"/>
          </w:tcPr>
          <w:p w14:paraId="04931AE8">
            <w:pPr>
              <w:widowControl/>
              <w:shd w:val="clear"/>
              <w:spacing w:line="360" w:lineRule="auto"/>
              <w:jc w:val="center"/>
              <w:rPr>
                <w:rFonts w:hint="eastAsia" w:ascii="宋体" w:hAnsi="宋体" w:eastAsia="宋体" w:cs="宋体"/>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697F6BB">
            <w:pPr>
              <w:shd w:val="clear"/>
              <w:spacing w:line="360" w:lineRule="auto"/>
              <w:jc w:val="center"/>
              <w:rPr>
                <w:rFonts w:hint="eastAsia" w:ascii="宋体" w:hAnsi="宋体" w:eastAsia="宋体" w:cs="宋体"/>
                <w:color w:val="auto"/>
                <w:sz w:val="24"/>
                <w:szCs w:val="24"/>
                <w:highlight w:val="none"/>
              </w:rPr>
            </w:pPr>
            <w:bookmarkStart w:id="82" w:name="OLE_LINK7"/>
            <w:r>
              <w:rPr>
                <w:rFonts w:hint="eastAsia" w:ascii="宋体" w:hAnsi="宋体" w:eastAsia="宋体" w:cs="宋体"/>
                <w:color w:val="auto"/>
                <w:sz w:val="24"/>
                <w:szCs w:val="24"/>
                <w:highlight w:val="none"/>
              </w:rPr>
              <w:t>安装实施</w:t>
            </w:r>
          </w:p>
          <w:p w14:paraId="3CB11638">
            <w:pPr>
              <w:shd w:val="clear"/>
              <w:spacing w:line="360" w:lineRule="auto"/>
              <w:jc w:val="center"/>
              <w:rPr>
                <w:rFonts w:hint="default" w:ascii="宋体" w:hAnsi="宋体" w:eastAsia="宋体" w:cs="仿宋_GB2312"/>
                <w:color w:val="auto"/>
                <w:sz w:val="24"/>
                <w:highlight w:val="none"/>
                <w:lang w:val="en-US" w:eastAsia="zh-CN"/>
              </w:rPr>
            </w:pPr>
            <w:r>
              <w:rPr>
                <w:rFonts w:hint="eastAsia" w:ascii="宋体" w:hAnsi="宋体" w:eastAsia="宋体" w:cs="宋体"/>
                <w:color w:val="auto"/>
                <w:sz w:val="24"/>
                <w:szCs w:val="24"/>
                <w:highlight w:val="none"/>
              </w:rPr>
              <w:t>方案</w:t>
            </w:r>
            <w:bookmarkEnd w:id="82"/>
          </w:p>
        </w:tc>
        <w:tc>
          <w:tcPr>
            <w:tcW w:w="6610" w:type="dxa"/>
            <w:tcBorders>
              <w:top w:val="single" w:color="auto" w:sz="4" w:space="0"/>
              <w:left w:val="single" w:color="auto" w:sz="4" w:space="0"/>
              <w:bottom w:val="single" w:color="auto" w:sz="4" w:space="0"/>
              <w:right w:val="single" w:color="auto" w:sz="4" w:space="0"/>
            </w:tcBorders>
            <w:noWrap w:val="0"/>
            <w:vAlign w:val="center"/>
          </w:tcPr>
          <w:p w14:paraId="372D67FB">
            <w:pPr>
              <w:widowControl/>
              <w:shd w:val="clear"/>
              <w:spacing w:line="360" w:lineRule="auto"/>
              <w:jc w:val="left"/>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根据投标人</w:t>
            </w:r>
            <w:r>
              <w:rPr>
                <w:rFonts w:hint="eastAsia" w:ascii="宋体" w:hAnsi="宋体" w:eastAsia="宋体" w:cs="宋体"/>
                <w:color w:val="auto"/>
                <w:sz w:val="24"/>
                <w:szCs w:val="24"/>
                <w:highlight w:val="none"/>
              </w:rPr>
              <w:t>结合本项目采购需求，就如何完成本项目的各项任务</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，并针对本项目管理特点提出具体实施方案的科学性、合理性、有效性（包括但不限于确保项目供货的措施或方案，进度计划，安装调试方案，质量标准，验收方案等）等方面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0-2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进行</w:t>
            </w:r>
            <w:r>
              <w:rPr>
                <w:rFonts w:hint="eastAsia" w:ascii="宋体" w:hAnsi="宋体" w:eastAsia="宋体" w:cs="宋体"/>
                <w:color w:val="auto"/>
                <w:sz w:val="24"/>
                <w:szCs w:val="24"/>
                <w:highlight w:val="none"/>
              </w:rPr>
              <w:t>打分；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44155439">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2DB10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3"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387AE798">
            <w:pPr>
              <w:widowControl/>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kern w:val="0"/>
                <w:sz w:val="24"/>
                <w:szCs w:val="24"/>
                <w:highlight w:val="none"/>
                <w:lang w:val="en-US" w:eastAsia="zh-CN"/>
              </w:rPr>
              <w:t>5</w:t>
            </w:r>
          </w:p>
        </w:tc>
        <w:tc>
          <w:tcPr>
            <w:tcW w:w="382" w:type="dxa"/>
            <w:vMerge w:val="continue"/>
            <w:tcBorders>
              <w:left w:val="single" w:color="auto" w:sz="4" w:space="0"/>
              <w:right w:val="single" w:color="auto" w:sz="4" w:space="0"/>
            </w:tcBorders>
            <w:noWrap w:val="0"/>
            <w:vAlign w:val="center"/>
          </w:tcPr>
          <w:p w14:paraId="286BC7C5">
            <w:pPr>
              <w:widowControl/>
              <w:shd w:val="clear"/>
              <w:spacing w:line="360" w:lineRule="auto"/>
              <w:jc w:val="center"/>
              <w:rPr>
                <w:rFonts w:hint="eastAsia" w:ascii="宋体" w:hAnsi="宋体" w:eastAsia="宋体" w:cs="宋体"/>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34CA45A">
            <w:pPr>
              <w:shd w:val="clear"/>
              <w:spacing w:line="360" w:lineRule="auto"/>
              <w:jc w:val="center"/>
              <w:rPr>
                <w:rFonts w:hint="eastAsia" w:ascii="宋体" w:hAnsi="宋体" w:eastAsia="宋体" w:cs="宋体"/>
                <w:color w:val="auto"/>
                <w:sz w:val="24"/>
                <w:szCs w:val="24"/>
                <w:highlight w:val="none"/>
                <w:lang w:val="en-US" w:eastAsia="zh-CN"/>
              </w:rPr>
            </w:pPr>
            <w:bookmarkStart w:id="83" w:name="OLE_LINK8"/>
            <w:r>
              <w:rPr>
                <w:rFonts w:hint="eastAsia" w:ascii="宋体" w:hAnsi="宋体" w:eastAsia="宋体" w:cs="宋体"/>
                <w:color w:val="auto"/>
                <w:sz w:val="24"/>
                <w:szCs w:val="24"/>
                <w:highlight w:val="none"/>
                <w:lang w:val="en-US" w:eastAsia="zh-CN"/>
              </w:rPr>
              <w:t>质量保障</w:t>
            </w:r>
          </w:p>
          <w:p w14:paraId="50DE6A1F">
            <w:pPr>
              <w:shd w:val="clear"/>
              <w:spacing w:line="360" w:lineRule="auto"/>
              <w:jc w:val="center"/>
              <w:rPr>
                <w:rFonts w:hint="eastAsia" w:ascii="宋体" w:hAnsi="宋体" w:eastAsia="宋体" w:cs="仿宋"/>
                <w:color w:val="auto"/>
                <w:kern w:val="0"/>
                <w:sz w:val="24"/>
                <w:highlight w:val="none"/>
                <w:lang w:val="en-US" w:eastAsia="zh-CN"/>
              </w:rPr>
            </w:pPr>
            <w:r>
              <w:rPr>
                <w:rFonts w:hint="eastAsia" w:ascii="宋体" w:hAnsi="宋体" w:eastAsia="宋体" w:cs="宋体"/>
                <w:color w:val="auto"/>
                <w:sz w:val="24"/>
                <w:szCs w:val="24"/>
                <w:highlight w:val="none"/>
                <w:lang w:val="en-US" w:eastAsia="zh-CN"/>
              </w:rPr>
              <w:t>措施</w:t>
            </w:r>
            <w:bookmarkEnd w:id="83"/>
          </w:p>
        </w:tc>
        <w:tc>
          <w:tcPr>
            <w:tcW w:w="6610" w:type="dxa"/>
            <w:tcBorders>
              <w:top w:val="single" w:color="auto" w:sz="4" w:space="0"/>
              <w:left w:val="single" w:color="auto" w:sz="4" w:space="0"/>
              <w:bottom w:val="single" w:color="auto" w:sz="4" w:space="0"/>
              <w:right w:val="single" w:color="auto" w:sz="4" w:space="0"/>
            </w:tcBorders>
            <w:noWrap w:val="0"/>
            <w:vAlign w:val="center"/>
          </w:tcPr>
          <w:p w14:paraId="55954089">
            <w:pPr>
              <w:widowControl/>
              <w:shd w:val="clear"/>
              <w:spacing w:line="360" w:lineRule="auto"/>
              <w:jc w:val="left"/>
              <w:rPr>
                <w:rFonts w:hint="eastAsia" w:hAnsi="宋体" w:cs="宋体"/>
                <w:color w:val="auto"/>
                <w:sz w:val="24"/>
                <w:highlight w:val="none"/>
              </w:rPr>
            </w:pPr>
            <w:r>
              <w:rPr>
                <w:rFonts w:hint="eastAsia" w:ascii="宋体" w:hAnsi="宋体" w:eastAsia="宋体" w:cs="宋体"/>
                <w:color w:val="auto"/>
                <w:sz w:val="24"/>
                <w:szCs w:val="24"/>
                <w:highlight w:val="none"/>
                <w:lang w:val="en-US" w:eastAsia="zh-CN"/>
              </w:rPr>
              <w:t>根据项目实施过程中</w:t>
            </w:r>
            <w:r>
              <w:rPr>
                <w:rFonts w:hint="eastAsia" w:ascii="宋体" w:hAnsi="宋体" w:eastAsia="宋体" w:cs="宋体"/>
                <w:color w:val="auto"/>
                <w:sz w:val="24"/>
                <w:szCs w:val="24"/>
                <w:highlight w:val="none"/>
                <w:lang w:val="en-US"/>
              </w:rPr>
              <w:t>品质管理管控，</w:t>
            </w:r>
            <w:r>
              <w:rPr>
                <w:rFonts w:hint="eastAsia" w:ascii="宋体" w:hAnsi="宋体" w:eastAsia="宋体" w:cs="宋体"/>
                <w:color w:val="auto"/>
                <w:sz w:val="24"/>
                <w:szCs w:val="24"/>
                <w:highlight w:val="none"/>
                <w:lang w:val="en-US" w:eastAsia="zh-CN"/>
              </w:rPr>
              <w:t>保障</w:t>
            </w:r>
            <w:r>
              <w:rPr>
                <w:rFonts w:hint="eastAsia" w:ascii="宋体" w:hAnsi="宋体" w:eastAsia="宋体" w:cs="宋体"/>
                <w:color w:val="auto"/>
                <w:sz w:val="24"/>
                <w:szCs w:val="24"/>
                <w:highlight w:val="none"/>
                <w:lang w:val="en-US"/>
              </w:rPr>
              <w:t>产品生产</w:t>
            </w:r>
            <w:r>
              <w:rPr>
                <w:rFonts w:hint="eastAsia" w:ascii="宋体" w:hAnsi="宋体" w:eastAsia="宋体" w:cs="宋体"/>
                <w:color w:val="auto"/>
                <w:sz w:val="24"/>
                <w:szCs w:val="24"/>
                <w:highlight w:val="none"/>
                <w:lang w:val="en-US" w:eastAsia="zh-CN"/>
              </w:rPr>
              <w:t>、安装、运输等过程</w:t>
            </w:r>
            <w:r>
              <w:rPr>
                <w:rFonts w:hint="eastAsia" w:ascii="宋体" w:hAnsi="宋体" w:eastAsia="宋体" w:cs="宋体"/>
                <w:color w:val="auto"/>
                <w:sz w:val="24"/>
                <w:szCs w:val="24"/>
                <w:highlight w:val="none"/>
                <w:lang w:val="en-US"/>
              </w:rPr>
              <w:t>中的质量控制</w:t>
            </w:r>
            <w:r>
              <w:rPr>
                <w:rFonts w:hint="eastAsia" w:ascii="宋体" w:hAnsi="宋体" w:eastAsia="宋体" w:cs="宋体"/>
                <w:color w:val="auto"/>
                <w:sz w:val="24"/>
                <w:szCs w:val="24"/>
                <w:highlight w:val="none"/>
                <w:lang w:val="en-US" w:eastAsia="zh-CN"/>
              </w:rPr>
              <w:t>及保障措施，</w:t>
            </w:r>
            <w:r>
              <w:rPr>
                <w:rFonts w:hint="eastAsia" w:ascii="宋体" w:hAnsi="宋体" w:cs="宋体"/>
                <w:color w:val="auto"/>
                <w:sz w:val="24"/>
                <w:szCs w:val="24"/>
                <w:highlight w:val="none"/>
                <w:lang w:val="en-US" w:eastAsia="zh-CN"/>
              </w:rPr>
              <w:t>进行</w:t>
            </w:r>
            <w:r>
              <w:rPr>
                <w:rFonts w:hint="eastAsia" w:ascii="宋体" w:hAnsi="宋体" w:eastAsia="宋体" w:cs="宋体"/>
                <w:color w:val="auto"/>
                <w:sz w:val="24"/>
                <w:szCs w:val="24"/>
                <w:highlight w:val="none"/>
                <w:lang w:val="en-US" w:eastAsia="zh-CN"/>
              </w:rPr>
              <w:t>打分</w:t>
            </w:r>
            <w:r>
              <w:rPr>
                <w:rFonts w:hint="eastAsia" w:ascii="宋体" w:hAnsi="宋体" w:eastAsia="宋体" w:cs="宋体"/>
                <w:color w:val="auto"/>
                <w:sz w:val="24"/>
                <w:szCs w:val="24"/>
                <w:highlight w:val="none"/>
                <w:lang w:val="en-US"/>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7B263130">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46DEB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9"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00CAB745">
            <w:pPr>
              <w:widowControl/>
              <w:shd w:val="clear"/>
              <w:spacing w:line="360" w:lineRule="auto"/>
              <w:jc w:val="center"/>
              <w:rPr>
                <w:rFonts w:hint="eastAsia" w:ascii="宋体" w:hAnsi="宋体" w:eastAsia="宋体" w:cs="宋体"/>
                <w:b/>
                <w:color w:val="auto"/>
                <w:sz w:val="24"/>
                <w:szCs w:val="24"/>
                <w:highlight w:val="none"/>
              </w:rPr>
            </w:pPr>
            <w:r>
              <w:rPr>
                <w:rFonts w:hint="eastAsia" w:ascii="宋体" w:hAnsi="宋体" w:cs="宋体"/>
                <w:color w:val="auto"/>
                <w:sz w:val="24"/>
                <w:szCs w:val="24"/>
                <w:highlight w:val="none"/>
                <w:lang w:val="en-US" w:eastAsia="zh-CN"/>
              </w:rPr>
              <w:t>6</w:t>
            </w:r>
          </w:p>
        </w:tc>
        <w:tc>
          <w:tcPr>
            <w:tcW w:w="382" w:type="dxa"/>
            <w:vMerge w:val="continue"/>
            <w:tcBorders>
              <w:top w:val="single" w:color="auto" w:sz="4" w:space="0"/>
              <w:left w:val="single" w:color="auto" w:sz="4" w:space="0"/>
              <w:bottom w:val="single" w:color="auto" w:sz="4" w:space="0"/>
              <w:right w:val="single" w:color="auto" w:sz="4" w:space="0"/>
            </w:tcBorders>
            <w:noWrap w:val="0"/>
            <w:vAlign w:val="center"/>
          </w:tcPr>
          <w:p w14:paraId="38DE9847">
            <w:pPr>
              <w:widowControl/>
              <w:shd w:val="clear"/>
              <w:spacing w:line="360" w:lineRule="auto"/>
              <w:jc w:val="center"/>
              <w:rPr>
                <w:rFonts w:hint="eastAsia" w:ascii="宋体" w:hAnsi="宋体" w:eastAsia="宋体" w:cs="宋体"/>
                <w:b/>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A13602">
            <w:pPr>
              <w:shd w:val="clear"/>
              <w:spacing w:line="360" w:lineRule="auto"/>
              <w:jc w:val="center"/>
              <w:rPr>
                <w:color w:val="auto"/>
                <w:highlight w:val="none"/>
              </w:rPr>
            </w:pPr>
            <w:bookmarkStart w:id="84" w:name="OLE_LINK9"/>
            <w:r>
              <w:rPr>
                <w:rFonts w:hint="eastAsia" w:ascii="宋体" w:hAnsi="宋体" w:eastAsia="宋体" w:cs="宋体"/>
                <w:color w:val="auto"/>
                <w:sz w:val="24"/>
                <w:szCs w:val="24"/>
                <w:highlight w:val="none"/>
              </w:rPr>
              <w:t>团队</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配备</w:t>
            </w:r>
            <w:bookmarkEnd w:id="84"/>
          </w:p>
        </w:tc>
        <w:tc>
          <w:tcPr>
            <w:tcW w:w="6610" w:type="dxa"/>
            <w:tcBorders>
              <w:top w:val="single" w:color="auto" w:sz="4" w:space="0"/>
              <w:left w:val="single" w:color="auto" w:sz="4" w:space="0"/>
              <w:bottom w:val="single" w:color="auto" w:sz="4" w:space="0"/>
              <w:right w:val="single" w:color="auto" w:sz="4" w:space="0"/>
            </w:tcBorders>
            <w:noWrap w:val="0"/>
            <w:vAlign w:val="center"/>
          </w:tcPr>
          <w:p w14:paraId="6519A9A9">
            <w:pPr>
              <w:widowControl/>
              <w:shd w:val="clear"/>
              <w:spacing w:line="360" w:lineRule="auto"/>
              <w:jc w:val="left"/>
              <w:rPr>
                <w:color w:val="auto"/>
                <w:highlight w:val="none"/>
              </w:rPr>
            </w:pPr>
            <w:r>
              <w:rPr>
                <w:rFonts w:hint="eastAsia" w:ascii="宋体" w:hAnsi="宋体" w:eastAsia="宋体" w:cs="宋体"/>
                <w:color w:val="auto"/>
                <w:sz w:val="24"/>
                <w:szCs w:val="24"/>
                <w:highlight w:val="none"/>
              </w:rPr>
              <w:t>根据拟派项目组成员的结构、专业配备的合理性、</w:t>
            </w:r>
            <w:r>
              <w:rPr>
                <w:rFonts w:hint="eastAsia" w:ascii="宋体" w:hAnsi="宋体" w:cs="宋体"/>
                <w:color w:val="auto"/>
                <w:sz w:val="24"/>
                <w:szCs w:val="24"/>
                <w:highlight w:val="none"/>
                <w:lang w:val="en-US" w:eastAsia="zh-CN"/>
              </w:rPr>
              <w:t>人员</w:t>
            </w:r>
            <w:r>
              <w:rPr>
                <w:rFonts w:hint="eastAsia" w:ascii="宋体" w:hAnsi="宋体" w:eastAsia="宋体" w:cs="宋体"/>
                <w:color w:val="auto"/>
                <w:sz w:val="24"/>
                <w:szCs w:val="24"/>
                <w:highlight w:val="none"/>
              </w:rPr>
              <w:t>从业经验等，保证项目实施的技术力量和人力资源安排，根据本项目需求状况，项目实施技术力量的人力资源安排充足、合理、科学的</w:t>
            </w:r>
            <w:r>
              <w:rPr>
                <w:rFonts w:hint="eastAsia" w:ascii="宋体" w:hAnsi="宋体" w:cs="宋体"/>
                <w:color w:val="auto"/>
                <w:sz w:val="24"/>
                <w:szCs w:val="24"/>
                <w:highlight w:val="none"/>
                <w:lang w:val="en-US" w:eastAsia="zh-CN"/>
              </w:rPr>
              <w:t>进行</w:t>
            </w:r>
            <w:r>
              <w:rPr>
                <w:rFonts w:hint="eastAsia" w:ascii="宋体" w:hAnsi="宋体" w:eastAsia="宋体" w:cs="宋体"/>
                <w:color w:val="auto"/>
                <w:sz w:val="24"/>
                <w:szCs w:val="24"/>
                <w:highlight w:val="none"/>
              </w:rPr>
              <w:t>打分；（注：</w:t>
            </w:r>
            <w:r>
              <w:rPr>
                <w:rFonts w:hint="eastAsia" w:ascii="宋体" w:hAnsi="宋体" w:cs="宋体"/>
                <w:color w:val="auto"/>
                <w:sz w:val="24"/>
                <w:szCs w:val="24"/>
                <w:highlight w:val="none"/>
                <w:lang w:val="en-US" w:eastAsia="zh-CN"/>
              </w:rPr>
              <w:t>须是</w:t>
            </w:r>
            <w:r>
              <w:rPr>
                <w:rFonts w:hint="eastAsia" w:ascii="Times New Roman" w:hAnsi="Times New Roman" w:eastAsia="宋体" w:cs="Times New Roman"/>
                <w:color w:val="auto"/>
                <w:kern w:val="2"/>
                <w:sz w:val="24"/>
                <w:szCs w:val="24"/>
                <w:highlight w:val="none"/>
                <w:lang w:val="en-US" w:eastAsia="zh-CN" w:bidi="ar-SA"/>
              </w:rPr>
              <w:t>投标人本单位在职员工，还须提供已在本单位缴纳社保的承诺书并加盖投标人公章</w:t>
            </w:r>
            <w:r>
              <w:rPr>
                <w:rFonts w:hint="eastAsia" w:ascii="宋体" w:hAnsi="宋体" w:eastAsia="宋体" w:cs="宋体"/>
                <w:color w:val="auto"/>
                <w:sz w:val="24"/>
                <w:szCs w:val="24"/>
                <w:highlight w:val="none"/>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4AE5A1A9">
            <w:pPr>
              <w:widowControl/>
              <w:shd w:val="clear"/>
              <w:spacing w:line="360" w:lineRule="auto"/>
              <w:jc w:val="center"/>
              <w:rPr>
                <w:rFonts w:hint="eastAsia" w:ascii="宋体" w:hAnsi="宋体" w:eastAsia="宋体" w:cs="宋体"/>
                <w:b/>
                <w:color w:val="auto"/>
                <w:sz w:val="24"/>
                <w:szCs w:val="24"/>
                <w:highlight w:val="none"/>
              </w:rPr>
            </w:pPr>
            <w:r>
              <w:rPr>
                <w:rFonts w:hint="eastAsia" w:ascii="宋体" w:hAnsi="宋体" w:cs="宋体"/>
                <w:color w:val="auto"/>
                <w:sz w:val="24"/>
                <w:szCs w:val="24"/>
                <w:highlight w:val="none"/>
                <w:lang w:val="en-US" w:eastAsia="zh-CN"/>
              </w:rPr>
              <w:t>3</w:t>
            </w:r>
          </w:p>
        </w:tc>
      </w:tr>
      <w:tr w14:paraId="34A222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9"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752BA2CD">
            <w:pPr>
              <w:widowControl/>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7CF06462">
            <w:pPr>
              <w:widowControl/>
              <w:shd w:val="clear"/>
              <w:spacing w:line="360" w:lineRule="auto"/>
              <w:jc w:val="center"/>
              <w:rPr>
                <w:rFonts w:hint="eastAsia" w:ascii="宋体" w:hAnsi="宋体" w:eastAsia="宋体" w:cs="宋体"/>
                <w:b/>
                <w:color w:val="auto"/>
                <w:sz w:val="24"/>
                <w:szCs w:val="24"/>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348D783">
            <w:pPr>
              <w:shd w:val="clea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质保期</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63B02E5D">
            <w:pPr>
              <w:widowControl/>
              <w:shd w:val="clear"/>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质保期满足招标文件要求2年的不得分，每增加1年得1分，最高得2分。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7652BCD9">
            <w:pPr>
              <w:widowControl/>
              <w:shd w:val="clea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74CB1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688A1AC5">
            <w:pPr>
              <w:widowControl/>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eastAsia="宋体" w:cs="宋体"/>
                <w:b/>
                <w:color w:val="auto"/>
                <w:sz w:val="24"/>
                <w:szCs w:val="24"/>
                <w:highlight w:val="none"/>
              </w:rPr>
              <w:t>二</w:t>
            </w:r>
          </w:p>
        </w:tc>
        <w:tc>
          <w:tcPr>
            <w:tcW w:w="8477" w:type="dxa"/>
            <w:gridSpan w:val="3"/>
            <w:tcBorders>
              <w:top w:val="single" w:color="auto" w:sz="4" w:space="0"/>
              <w:left w:val="single" w:color="auto" w:sz="4" w:space="0"/>
              <w:bottom w:val="single" w:color="auto" w:sz="4" w:space="0"/>
              <w:right w:val="single" w:color="auto" w:sz="4" w:space="0"/>
            </w:tcBorders>
            <w:noWrap w:val="0"/>
            <w:vAlign w:val="center"/>
          </w:tcPr>
          <w:p w14:paraId="7468971A">
            <w:pPr>
              <w:widowControl/>
              <w:shd w:val="clear"/>
              <w:spacing w:line="360" w:lineRule="auto"/>
              <w:jc w:val="center"/>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宋体"/>
                <w:b/>
                <w:color w:val="auto"/>
                <w:sz w:val="24"/>
                <w:szCs w:val="24"/>
                <w:highlight w:val="none"/>
              </w:rPr>
              <w:t>商务、资信及其他分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2E5AD265">
            <w:pPr>
              <w:widowControl/>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b/>
                <w:color w:val="auto"/>
                <w:sz w:val="24"/>
                <w:szCs w:val="24"/>
                <w:highlight w:val="none"/>
                <w:lang w:val="en-US" w:eastAsia="zh-CN"/>
              </w:rPr>
              <w:t>13</w:t>
            </w:r>
            <w:r>
              <w:rPr>
                <w:rFonts w:hint="eastAsia" w:ascii="宋体" w:hAnsi="宋体" w:eastAsia="宋体" w:cs="宋体"/>
                <w:b/>
                <w:color w:val="auto"/>
                <w:sz w:val="24"/>
                <w:szCs w:val="24"/>
                <w:highlight w:val="none"/>
              </w:rPr>
              <w:t>分</w:t>
            </w:r>
          </w:p>
        </w:tc>
      </w:tr>
      <w:tr w14:paraId="7681C9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79"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797E0917">
            <w:pPr>
              <w:widowControl/>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82" w:type="dxa"/>
            <w:vMerge w:val="restart"/>
            <w:tcBorders>
              <w:top w:val="single" w:color="auto" w:sz="4" w:space="0"/>
              <w:left w:val="single" w:color="auto" w:sz="4" w:space="0"/>
              <w:right w:val="single" w:color="auto" w:sz="4" w:space="0"/>
            </w:tcBorders>
            <w:noWrap w:val="0"/>
            <w:vAlign w:val="center"/>
          </w:tcPr>
          <w:p w14:paraId="5EAE3EB1">
            <w:pPr>
              <w:widowControl/>
              <w:shd w:val="clear"/>
              <w:spacing w:line="360" w:lineRule="auto"/>
              <w:jc w:val="center"/>
              <w:rPr>
                <w:rFonts w:hint="eastAsia" w:ascii="宋体" w:hAnsi="宋体" w:eastAsia="宋体" w:cs="宋体"/>
                <w:color w:val="auto"/>
                <w:sz w:val="24"/>
                <w:szCs w:val="24"/>
                <w:highlight w:val="none"/>
              </w:rPr>
            </w:pPr>
          </w:p>
          <w:p w14:paraId="128CD692">
            <w:pPr>
              <w:widowControl/>
              <w:shd w:val="clear"/>
              <w:spacing w:line="360" w:lineRule="auto"/>
              <w:jc w:val="center"/>
              <w:rPr>
                <w:rFonts w:hint="eastAsia" w:ascii="宋体" w:hAnsi="宋体" w:eastAsia="宋体" w:cs="宋体"/>
                <w:color w:val="auto"/>
                <w:sz w:val="24"/>
                <w:szCs w:val="24"/>
                <w:highlight w:val="none"/>
              </w:rPr>
            </w:pPr>
          </w:p>
          <w:p w14:paraId="46F38C94">
            <w:pPr>
              <w:widowControl/>
              <w:shd w:val="clear"/>
              <w:spacing w:line="360" w:lineRule="auto"/>
              <w:jc w:val="center"/>
              <w:rPr>
                <w:rFonts w:hint="eastAsia" w:ascii="宋体" w:hAnsi="宋体" w:eastAsia="宋体" w:cs="宋体"/>
                <w:color w:val="auto"/>
                <w:sz w:val="24"/>
                <w:szCs w:val="24"/>
                <w:highlight w:val="none"/>
              </w:rPr>
            </w:pPr>
          </w:p>
          <w:p w14:paraId="408EE5FA">
            <w:pPr>
              <w:widowControl/>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履约能力</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FD595BF">
            <w:pPr>
              <w:widowControl/>
              <w:shd w:val="clear"/>
              <w:snapToGrid w:val="0"/>
              <w:spacing w:line="360" w:lineRule="auto"/>
              <w:ind w:firstLine="14" w:firstLineChars="6"/>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认证</w:t>
            </w:r>
          </w:p>
          <w:p w14:paraId="048B0783">
            <w:pPr>
              <w:widowControl/>
              <w:shd w:val="clear"/>
              <w:snapToGrid w:val="0"/>
              <w:spacing w:line="360" w:lineRule="auto"/>
              <w:ind w:firstLine="14" w:firstLineChars="6"/>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证书</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7595A627">
            <w:pPr>
              <w:widowControl/>
              <w:shd w:val="clea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投标人或投标制造商具有有效的质量管理体系认证证书、环境管理体系认证证书、职业健康安全管理体系认证证书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每项证书得1分，最高得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14:paraId="71C0A343">
            <w:pPr>
              <w:pStyle w:val="2"/>
              <w:shd w:val="clear"/>
              <w:spacing w:line="360" w:lineRule="auto"/>
              <w:jc w:val="left"/>
              <w:rPr>
                <w:rFonts w:hint="default"/>
                <w:color w:val="auto"/>
                <w:highlight w:val="none"/>
                <w:lang w:val="en-US" w:eastAsia="zh-CN"/>
              </w:rPr>
            </w:pPr>
            <w:r>
              <w:rPr>
                <w:rFonts w:hint="eastAsia" w:ascii="宋体" w:hAnsi="宋体" w:cs="仿宋_GB2312"/>
                <w:color w:val="auto"/>
                <w:kern w:val="2"/>
                <w:sz w:val="24"/>
                <w:szCs w:val="24"/>
                <w:highlight w:val="none"/>
                <w:lang w:val="en-US" w:eastAsia="zh-CN" w:bidi="ar-SA"/>
              </w:rPr>
              <w:t>（须</w:t>
            </w:r>
            <w:r>
              <w:rPr>
                <w:rFonts w:hint="eastAsia" w:ascii="宋体" w:hAnsi="宋体" w:cs="宋体"/>
                <w:color w:val="auto"/>
                <w:sz w:val="24"/>
                <w:highlight w:val="none"/>
              </w:rPr>
              <w:t>提供相关证书</w:t>
            </w:r>
            <w:r>
              <w:rPr>
                <w:rFonts w:hint="eastAsia" w:ascii="宋体" w:hAnsi="宋体" w:cs="宋体"/>
                <w:color w:val="auto"/>
                <w:sz w:val="24"/>
                <w:highlight w:val="none"/>
                <w:lang w:val="en-US" w:eastAsia="zh-CN"/>
              </w:rPr>
              <w:t>复印件及</w:t>
            </w:r>
            <w:r>
              <w:rPr>
                <w:rFonts w:hint="eastAsia" w:ascii="宋体" w:hAnsi="宋体" w:cs="宋体"/>
                <w:color w:val="auto"/>
                <w:sz w:val="24"/>
                <w:highlight w:val="none"/>
                <w:lang w:eastAsia="zh-CN"/>
              </w:rPr>
              <w:t>www.cnca.gov.cn认监委官方网站</w:t>
            </w:r>
            <w:r>
              <w:rPr>
                <w:rFonts w:hint="eastAsia" w:ascii="宋体" w:hAnsi="宋体" w:cs="宋体"/>
                <w:color w:val="auto"/>
                <w:sz w:val="24"/>
                <w:highlight w:val="none"/>
                <w:lang w:val="en-US" w:eastAsia="zh-CN"/>
              </w:rPr>
              <w:t>截图，未提供不得分</w:t>
            </w:r>
            <w:r>
              <w:rPr>
                <w:rFonts w:hint="eastAsia" w:ascii="宋体" w:hAnsi="宋体" w:cs="宋体"/>
                <w:color w:val="auto"/>
                <w:sz w:val="24"/>
                <w:highlight w:val="none"/>
                <w:lang w:eastAsia="zh-CN"/>
              </w:rPr>
              <w:t>）</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156DD186">
            <w:pPr>
              <w:widowControl/>
              <w:shd w:val="clear"/>
              <w:spacing w:line="360" w:lineRule="auto"/>
              <w:jc w:val="center"/>
              <w:rPr>
                <w:rFonts w:hint="default" w:ascii="宋体" w:hAnsi="宋体" w:eastAsia="宋体" w:cs="宋体"/>
                <w:b w:val="0"/>
                <w:bCs w:val="0"/>
                <w:strike w:val="0"/>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r>
      <w:tr w14:paraId="512C5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47F52914">
            <w:pPr>
              <w:widowControl/>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82" w:type="dxa"/>
            <w:vMerge w:val="continue"/>
            <w:tcBorders>
              <w:left w:val="single" w:color="auto" w:sz="4" w:space="0"/>
              <w:right w:val="single" w:color="auto" w:sz="4" w:space="0"/>
            </w:tcBorders>
            <w:noWrap w:val="0"/>
            <w:vAlign w:val="center"/>
          </w:tcPr>
          <w:p w14:paraId="5FCE0E12">
            <w:pPr>
              <w:widowControl/>
              <w:shd w:val="clear"/>
              <w:spacing w:line="360" w:lineRule="auto"/>
              <w:rPr>
                <w:color w:val="auto"/>
                <w:highlight w:val="none"/>
              </w:rPr>
            </w:pPr>
          </w:p>
        </w:tc>
        <w:tc>
          <w:tcPr>
            <w:tcW w:w="1485" w:type="dxa"/>
            <w:vMerge w:val="restart"/>
            <w:tcBorders>
              <w:top w:val="single" w:color="auto" w:sz="4" w:space="0"/>
              <w:left w:val="single" w:color="auto" w:sz="4" w:space="0"/>
              <w:right w:val="single" w:color="auto" w:sz="4" w:space="0"/>
            </w:tcBorders>
            <w:noWrap w:val="0"/>
            <w:vAlign w:val="center"/>
          </w:tcPr>
          <w:p w14:paraId="36863440">
            <w:pPr>
              <w:widowControl/>
              <w:shd w:val="clear"/>
              <w:snapToGrid w:val="0"/>
              <w:spacing w:line="360" w:lineRule="auto"/>
              <w:ind w:firstLine="14" w:firstLineChars="6"/>
              <w:jc w:val="center"/>
              <w:rPr>
                <w:rFonts w:hint="eastAsia" w:hAnsi="宋体" w:cs="宋体"/>
                <w:color w:val="auto"/>
                <w:sz w:val="24"/>
                <w:highlight w:val="none"/>
              </w:rPr>
            </w:pPr>
            <w:bookmarkStart w:id="85" w:name="OLE_LINK10"/>
            <w:r>
              <w:rPr>
                <w:rFonts w:hint="eastAsia" w:ascii="宋体" w:hAnsi="宋体" w:eastAsia="宋体" w:cs="宋体"/>
                <w:color w:val="auto"/>
                <w:sz w:val="24"/>
                <w:szCs w:val="24"/>
                <w:highlight w:val="none"/>
              </w:rPr>
              <w:t>售后服务方案</w:t>
            </w:r>
            <w:bookmarkEnd w:id="85"/>
          </w:p>
        </w:tc>
        <w:tc>
          <w:tcPr>
            <w:tcW w:w="6610" w:type="dxa"/>
            <w:tcBorders>
              <w:top w:val="single" w:color="auto" w:sz="4" w:space="0"/>
              <w:left w:val="single" w:color="auto" w:sz="4" w:space="0"/>
              <w:bottom w:val="single" w:color="auto" w:sz="4" w:space="0"/>
              <w:right w:val="single" w:color="auto" w:sz="4" w:space="0"/>
            </w:tcBorders>
            <w:noWrap w:val="0"/>
            <w:vAlign w:val="center"/>
          </w:tcPr>
          <w:p w14:paraId="1F16712D">
            <w:pPr>
              <w:shd w:val="clear"/>
              <w:adjustRightInd w:val="0"/>
              <w:spacing w:line="360" w:lineRule="auto"/>
              <w:jc w:val="left"/>
              <w:rPr>
                <w:rFonts w:hint="eastAsia" w:hAnsi="宋体" w:cs="宋体"/>
                <w:color w:val="auto"/>
                <w:sz w:val="24"/>
                <w:highlight w:val="none"/>
              </w:rPr>
            </w:pPr>
            <w:r>
              <w:rPr>
                <w:rFonts w:hint="eastAsia" w:hAnsi="宋体" w:cs="宋体"/>
                <w:color w:val="auto"/>
                <w:sz w:val="24"/>
                <w:highlight w:val="none"/>
              </w:rPr>
              <w:t>根据售后服务承诺和保障、维修维护响应能力（包括</w:t>
            </w:r>
            <w:r>
              <w:rPr>
                <w:rFonts w:hint="eastAsia" w:ascii="宋体" w:hAnsi="宋体"/>
                <w:color w:val="auto"/>
                <w:sz w:val="24"/>
                <w:highlight w:val="none"/>
              </w:rPr>
              <w:t>响应时间、维修时间等</w:t>
            </w:r>
            <w:r>
              <w:rPr>
                <w:rFonts w:hint="eastAsia" w:hAnsi="宋体" w:cs="宋体"/>
                <w:color w:val="auto"/>
                <w:sz w:val="24"/>
                <w:highlight w:val="none"/>
              </w:rPr>
              <w:t>）、备品备件情况等方面</w:t>
            </w:r>
            <w:r>
              <w:rPr>
                <w:rFonts w:hint="eastAsia" w:hAnsi="宋体" w:cs="宋体"/>
                <w:color w:val="auto"/>
                <w:sz w:val="24"/>
                <w:highlight w:val="none"/>
                <w:lang w:val="en-US" w:eastAsia="zh-CN"/>
              </w:rPr>
              <w:t>进行</w:t>
            </w:r>
            <w:r>
              <w:rPr>
                <w:rFonts w:hint="eastAsia" w:hAnsi="宋体" w:cs="宋体"/>
                <w:color w:val="auto"/>
                <w:sz w:val="24"/>
                <w:highlight w:val="none"/>
              </w:rPr>
              <w:t>评分。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347D4797">
            <w:pPr>
              <w:shd w:val="clear"/>
              <w:spacing w:line="360" w:lineRule="auto"/>
              <w:jc w:val="center"/>
              <w:rPr>
                <w:rFonts w:hint="default" w:ascii="宋体" w:hAnsi="宋体" w:cs="宋体"/>
                <w:color w:val="auto"/>
                <w:kern w:val="0"/>
                <w:sz w:val="24"/>
                <w:szCs w:val="24"/>
                <w:highlight w:val="none"/>
                <w:u w:val="none" w:color="0000FF"/>
                <w:lang w:val="en-US" w:eastAsia="zh-CN" w:bidi="ar-SA"/>
              </w:rPr>
            </w:pPr>
            <w:r>
              <w:rPr>
                <w:rFonts w:hint="eastAsia" w:ascii="宋体" w:hAnsi="宋体" w:cs="宋体"/>
                <w:color w:val="auto"/>
                <w:sz w:val="24"/>
                <w:highlight w:val="none"/>
                <w:lang w:val="en-US" w:eastAsia="zh-CN"/>
              </w:rPr>
              <w:t>3</w:t>
            </w:r>
          </w:p>
        </w:tc>
      </w:tr>
      <w:tr w14:paraId="43A8AB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19"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602ED2CD">
            <w:pPr>
              <w:widowControl/>
              <w:shd w:val="clear"/>
              <w:spacing w:line="360" w:lineRule="auto"/>
              <w:jc w:val="center"/>
              <w:rPr>
                <w:rFonts w:hint="default" w:eastAsia="宋体"/>
                <w:color w:val="auto"/>
                <w:highlight w:val="none"/>
                <w:lang w:val="en-US" w:eastAsia="zh-CN"/>
              </w:rPr>
            </w:pPr>
            <w:r>
              <w:rPr>
                <w:rFonts w:hint="eastAsia"/>
                <w:color w:val="auto"/>
                <w:highlight w:val="none"/>
                <w:lang w:val="en-US" w:eastAsia="zh-CN"/>
              </w:rPr>
              <w:t>10</w:t>
            </w:r>
          </w:p>
        </w:tc>
        <w:tc>
          <w:tcPr>
            <w:tcW w:w="382" w:type="dxa"/>
            <w:vMerge w:val="continue"/>
            <w:tcBorders>
              <w:left w:val="single" w:color="auto" w:sz="4" w:space="0"/>
              <w:right w:val="single" w:color="auto" w:sz="4" w:space="0"/>
            </w:tcBorders>
            <w:noWrap w:val="0"/>
            <w:vAlign w:val="center"/>
          </w:tcPr>
          <w:p w14:paraId="189DBA08">
            <w:pPr>
              <w:widowControl/>
              <w:shd w:val="clear"/>
              <w:spacing w:line="360" w:lineRule="auto"/>
              <w:jc w:val="left"/>
              <w:rPr>
                <w:color w:val="auto"/>
                <w:highlight w:val="none"/>
              </w:rPr>
            </w:pPr>
          </w:p>
        </w:tc>
        <w:tc>
          <w:tcPr>
            <w:tcW w:w="1485" w:type="dxa"/>
            <w:vMerge w:val="continue"/>
            <w:tcBorders>
              <w:left w:val="single" w:color="auto" w:sz="4" w:space="0"/>
              <w:bottom w:val="single" w:color="auto" w:sz="4" w:space="0"/>
              <w:right w:val="single" w:color="auto" w:sz="4" w:space="0"/>
            </w:tcBorders>
            <w:noWrap w:val="0"/>
            <w:vAlign w:val="center"/>
          </w:tcPr>
          <w:p w14:paraId="0D99DCE3">
            <w:pPr>
              <w:widowControl/>
              <w:shd w:val="clear"/>
              <w:spacing w:line="360" w:lineRule="auto"/>
              <w:jc w:val="left"/>
              <w:rPr>
                <w:color w:val="auto"/>
                <w:highlight w:val="none"/>
              </w:rPr>
            </w:pPr>
          </w:p>
        </w:tc>
        <w:tc>
          <w:tcPr>
            <w:tcW w:w="6610" w:type="dxa"/>
            <w:tcBorders>
              <w:top w:val="single" w:color="auto" w:sz="4" w:space="0"/>
              <w:left w:val="single" w:color="auto" w:sz="4" w:space="0"/>
              <w:bottom w:val="single" w:color="auto" w:sz="4" w:space="0"/>
              <w:right w:val="single" w:color="auto" w:sz="4" w:space="0"/>
            </w:tcBorders>
            <w:noWrap w:val="0"/>
            <w:vAlign w:val="center"/>
          </w:tcPr>
          <w:p w14:paraId="15282ABD">
            <w:pPr>
              <w:shd w:val="clear"/>
              <w:adjustRightIn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highlight w:val="none"/>
              </w:rPr>
              <w:t>根据投标人提供的培训计划，包括人员、时间、培训内容和目标等</w:t>
            </w:r>
            <w:r>
              <w:rPr>
                <w:rFonts w:hint="eastAsia" w:hAnsi="宋体" w:cs="宋体"/>
                <w:color w:val="auto"/>
                <w:sz w:val="24"/>
                <w:highlight w:val="none"/>
                <w:lang w:val="en-US" w:eastAsia="zh-CN"/>
              </w:rPr>
              <w:t>进行</w:t>
            </w:r>
            <w:r>
              <w:rPr>
                <w:rFonts w:hint="eastAsia" w:hAnsi="宋体" w:cs="宋体"/>
                <w:color w:val="auto"/>
                <w:sz w:val="24"/>
                <w:highlight w:val="none"/>
              </w:rPr>
              <w:t>打分。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377F4F6A">
            <w:pPr>
              <w:shd w:val="clear"/>
              <w:spacing w:line="360" w:lineRule="auto"/>
              <w:jc w:val="center"/>
              <w:rPr>
                <w:rFonts w:hint="eastAsia" w:ascii="宋体" w:hAnsi="宋体" w:eastAsia="宋体" w:cs="宋体"/>
                <w:color w:val="auto"/>
                <w:sz w:val="24"/>
                <w:szCs w:val="24"/>
                <w:highlight w:val="none"/>
              </w:rPr>
            </w:pPr>
            <w:r>
              <w:rPr>
                <w:rFonts w:hint="eastAsia" w:ascii="宋体" w:hAnsi="宋体" w:cs="宋体"/>
                <w:color w:val="auto"/>
                <w:sz w:val="24"/>
                <w:highlight w:val="none"/>
                <w:lang w:val="en-US" w:eastAsia="zh-CN"/>
              </w:rPr>
              <w:t>2</w:t>
            </w:r>
          </w:p>
        </w:tc>
      </w:tr>
      <w:tr w14:paraId="203E62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5"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4422E879">
            <w:pPr>
              <w:widowControl/>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382" w:type="dxa"/>
            <w:vMerge w:val="continue"/>
            <w:tcBorders>
              <w:left w:val="single" w:color="auto" w:sz="4" w:space="0"/>
              <w:bottom w:val="single" w:color="auto" w:sz="4" w:space="0"/>
              <w:right w:val="single" w:color="auto" w:sz="4" w:space="0"/>
            </w:tcBorders>
            <w:noWrap w:val="0"/>
            <w:vAlign w:val="center"/>
          </w:tcPr>
          <w:p w14:paraId="61D120E5">
            <w:pPr>
              <w:widowControl/>
              <w:shd w:val="clear"/>
              <w:spacing w:line="360" w:lineRule="auto"/>
              <w:jc w:val="left"/>
              <w:rPr>
                <w:rFonts w:hint="eastAsia" w:ascii="宋体" w:hAnsi="宋体" w:eastAsia="宋体" w:cs="宋体"/>
                <w:color w:val="auto"/>
                <w:kern w:val="0"/>
                <w:sz w:val="24"/>
                <w:szCs w:val="24"/>
                <w:highlight w:val="none"/>
                <w:u w:val="none" w:color="0000FF"/>
                <w:lang w:val="en-US" w:eastAsia="zh-CN" w:bidi="ar-SA"/>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A7D999F">
            <w:pPr>
              <w:widowControl/>
              <w:shd w:val="clear"/>
              <w:snapToGrid w:val="0"/>
              <w:spacing w:line="360" w:lineRule="auto"/>
              <w:ind w:firstLine="14" w:firstLineChars="6"/>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同类</w:t>
            </w:r>
          </w:p>
          <w:p w14:paraId="666BAFA7">
            <w:pPr>
              <w:widowControl/>
              <w:shd w:val="clear"/>
              <w:snapToGrid w:val="0"/>
              <w:spacing w:line="360" w:lineRule="auto"/>
              <w:ind w:firstLine="14" w:firstLineChars="6"/>
              <w:jc w:val="center"/>
              <w:rPr>
                <w:rFonts w:hint="eastAsia" w:ascii="宋体" w:hAnsi="宋体" w:eastAsia="宋体" w:cs="宋体"/>
                <w:color w:val="auto"/>
                <w:kern w:val="0"/>
                <w:sz w:val="24"/>
                <w:szCs w:val="24"/>
                <w:highlight w:val="none"/>
                <w:u w:val="none" w:color="0000FF"/>
                <w:lang w:val="en-US" w:eastAsia="zh-CN" w:bidi="ar-SA"/>
              </w:rPr>
            </w:pPr>
            <w:r>
              <w:rPr>
                <w:rFonts w:hint="eastAsia" w:ascii="宋体" w:hAnsi="宋体" w:eastAsia="宋体" w:cs="宋体"/>
                <w:color w:val="auto"/>
                <w:sz w:val="24"/>
                <w:szCs w:val="24"/>
                <w:highlight w:val="none"/>
              </w:rPr>
              <w:t>业绩</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51F8A6A6">
            <w:pPr>
              <w:widowControl/>
              <w:shd w:val="clea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投标人提供20</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rPr>
              <w:t>年1月以来</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合同以签订日期为准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承接过</w:t>
            </w:r>
            <w:r>
              <w:rPr>
                <w:rFonts w:hint="eastAsia" w:ascii="宋体" w:hAnsi="宋体" w:eastAsia="宋体" w:cs="宋体"/>
                <w:color w:val="auto"/>
                <w:sz w:val="24"/>
                <w:szCs w:val="24"/>
                <w:highlight w:val="none"/>
              </w:rPr>
              <w:t>同类项目的业绩的，每个得1分，最多得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须提供</w:t>
            </w:r>
            <w:r>
              <w:rPr>
                <w:rFonts w:hint="eastAsia" w:ascii="宋体" w:hAnsi="宋体" w:eastAsia="宋体" w:cs="宋体"/>
                <w:color w:val="auto"/>
                <w:sz w:val="24"/>
                <w:szCs w:val="24"/>
                <w:highlight w:val="none"/>
              </w:rPr>
              <w:t>合同复印件或中标通知书复印件）；</w:t>
            </w:r>
          </w:p>
          <w:p w14:paraId="3E78E455">
            <w:pPr>
              <w:widowControl/>
              <w:shd w:val="clear"/>
              <w:spacing w:line="360" w:lineRule="auto"/>
              <w:jc w:val="left"/>
              <w:rPr>
                <w:rFonts w:hint="eastAsia" w:ascii="宋体" w:hAnsi="宋体" w:eastAsia="宋体" w:cs="宋体"/>
                <w:color w:val="auto"/>
                <w:kern w:val="0"/>
                <w:sz w:val="24"/>
                <w:szCs w:val="24"/>
                <w:highlight w:val="none"/>
                <w:u w:val="none" w:color="0000FF"/>
                <w:lang w:val="en-US" w:eastAsia="zh-CN" w:bidi="ar-SA"/>
              </w:rPr>
            </w:pPr>
            <w:r>
              <w:rPr>
                <w:rFonts w:hint="eastAsia" w:ascii="宋体" w:hAnsi="宋体" w:eastAsia="宋体" w:cs="宋体"/>
                <w:spacing w:val="-8"/>
                <w:sz w:val="24"/>
                <w:highlight w:val="none"/>
                <w:lang w:val="en-US" w:eastAsia="zh-CN"/>
              </w:rPr>
              <w:t>(对省级以上主管部门认定的首台套产品，自纳入《省推厂应用指导目录》起三年内参加政府采购活动，视同已具备相应销售业绩，业绩分为满分，提供相关的证明)</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4617FCC2">
            <w:pPr>
              <w:widowControl/>
              <w:shd w:val="clear"/>
              <w:spacing w:line="360" w:lineRule="auto"/>
              <w:jc w:val="center"/>
              <w:rPr>
                <w:rFonts w:hint="eastAsia" w:ascii="宋体" w:hAnsi="宋体" w:eastAsia="宋体" w:cs="宋体"/>
                <w:color w:val="auto"/>
                <w:kern w:val="0"/>
                <w:sz w:val="24"/>
                <w:szCs w:val="24"/>
                <w:highlight w:val="none"/>
                <w:u w:val="none" w:color="0000FF"/>
                <w:lang w:val="en-US" w:eastAsia="zh-CN" w:bidi="ar-SA"/>
              </w:rPr>
            </w:pPr>
            <w:r>
              <w:rPr>
                <w:rFonts w:hint="eastAsia" w:ascii="宋体" w:hAnsi="宋体" w:cs="宋体"/>
                <w:color w:val="auto"/>
                <w:sz w:val="24"/>
                <w:szCs w:val="24"/>
                <w:highlight w:val="none"/>
                <w:lang w:val="en-US" w:eastAsia="zh-CN"/>
              </w:rPr>
              <w:t>3</w:t>
            </w:r>
          </w:p>
        </w:tc>
      </w:tr>
      <w:tr w14:paraId="4B264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54" w:hRule="atLeast"/>
          <w:jc w:val="center"/>
        </w:trPr>
        <w:tc>
          <w:tcPr>
            <w:tcW w:w="757" w:type="dxa"/>
            <w:tcBorders>
              <w:top w:val="single" w:color="auto" w:sz="4" w:space="0"/>
              <w:left w:val="single" w:color="auto" w:sz="4" w:space="0"/>
              <w:bottom w:val="single" w:color="auto" w:sz="4" w:space="0"/>
              <w:right w:val="single" w:color="auto" w:sz="4" w:space="0"/>
            </w:tcBorders>
            <w:noWrap w:val="0"/>
            <w:vAlign w:val="center"/>
          </w:tcPr>
          <w:p w14:paraId="2AF89A48">
            <w:pPr>
              <w:widowControl/>
              <w:shd w:val="clea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867" w:type="dxa"/>
            <w:gridSpan w:val="2"/>
            <w:tcBorders>
              <w:top w:val="single" w:color="auto" w:sz="4" w:space="0"/>
              <w:left w:val="single" w:color="auto" w:sz="4" w:space="0"/>
              <w:right w:val="single" w:color="auto" w:sz="4" w:space="0"/>
            </w:tcBorders>
            <w:noWrap w:val="0"/>
            <w:vAlign w:val="center"/>
          </w:tcPr>
          <w:p w14:paraId="51991D6F">
            <w:pPr>
              <w:widowControl/>
              <w:shd w:val="clear"/>
              <w:spacing w:line="360" w:lineRule="auto"/>
              <w:jc w:val="center"/>
              <w:rPr>
                <w:color w:val="auto"/>
                <w:highlight w:val="none"/>
              </w:rPr>
            </w:pPr>
            <w:r>
              <w:rPr>
                <w:rFonts w:hint="eastAsia" w:hAnsi="宋体" w:cs="宋体"/>
                <w:color w:val="auto"/>
                <w:sz w:val="24"/>
                <w:highlight w:val="none"/>
              </w:rPr>
              <w:t>环保节能产品</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0B597BB0">
            <w:pPr>
              <w:keepNext w:val="0"/>
              <w:keepLines w:val="0"/>
              <w:pageBreakBefore w:val="0"/>
              <w:widowControl/>
              <w:shd w:val="clear"/>
              <w:kinsoku/>
              <w:wordWrap/>
              <w:overflowPunct/>
              <w:topLinePunct w:val="0"/>
              <w:autoSpaceDE/>
              <w:autoSpaceDN/>
              <w:bidi w:val="0"/>
              <w:spacing w:line="360" w:lineRule="auto"/>
              <w:jc w:val="left"/>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1）投标产品列入财政部、发展改革委发布的节能产品品目清单的，提供国家市场监督管理总局公布的《参与实施政府采购节能产品认证机构名录》内的认证机构出具的、处于有效期之内的节能标志产品认证证书的，</w:t>
            </w:r>
            <w:r>
              <w:rPr>
                <w:rFonts w:hint="eastAsia" w:ascii="宋体" w:hAnsi="宋体"/>
                <w:color w:val="auto"/>
                <w:sz w:val="24"/>
                <w:highlight w:val="none"/>
              </w:rPr>
              <w:t>，每个得</w:t>
            </w:r>
            <w:r>
              <w:rPr>
                <w:rFonts w:hint="eastAsia" w:ascii="宋体" w:hAnsi="宋体" w:cs="宋体"/>
                <w:color w:val="auto"/>
                <w:sz w:val="24"/>
                <w:highlight w:val="none"/>
                <w:lang w:val="en-US" w:eastAsia="zh-CN"/>
              </w:rPr>
              <w:t>0.5</w:t>
            </w:r>
            <w:r>
              <w:rPr>
                <w:rFonts w:hint="eastAsia" w:ascii="宋体" w:hAnsi="宋体"/>
                <w:color w:val="auto"/>
                <w:sz w:val="24"/>
                <w:highlight w:val="none"/>
              </w:rPr>
              <w:t>分，最高得</w:t>
            </w:r>
            <w:r>
              <w:rPr>
                <w:rFonts w:hint="eastAsia" w:ascii="宋体" w:hAnsi="宋体" w:cs="宋体"/>
                <w:color w:val="auto"/>
                <w:sz w:val="24"/>
                <w:highlight w:val="none"/>
                <w:lang w:val="en-US" w:eastAsia="zh-CN"/>
              </w:rPr>
              <w:t>1</w:t>
            </w:r>
            <w:r>
              <w:rPr>
                <w:rFonts w:hint="eastAsia" w:ascii="宋体" w:hAnsi="宋体"/>
                <w:color w:val="auto"/>
                <w:sz w:val="24"/>
                <w:highlight w:val="none"/>
              </w:rPr>
              <w:t>分。</w:t>
            </w:r>
          </w:p>
          <w:p w14:paraId="3B2AFBE1">
            <w:pPr>
              <w:keepNext w:val="0"/>
              <w:keepLines w:val="0"/>
              <w:pageBreakBefore w:val="0"/>
              <w:widowControl/>
              <w:shd w:val="clear"/>
              <w:kinsoku/>
              <w:wordWrap/>
              <w:overflowPunct/>
              <w:topLinePunct w:val="0"/>
              <w:autoSpaceDE/>
              <w:autoSpaceDN/>
              <w:bidi w:val="0"/>
              <w:spacing w:line="360" w:lineRule="auto"/>
              <w:jc w:val="left"/>
              <w:rPr>
                <w:rFonts w:hint="eastAsia" w:ascii="宋体" w:hAnsi="宋体" w:eastAsia="宋体" w:cs="仿宋_GB2312"/>
                <w:color w:val="auto"/>
                <w:kern w:val="2"/>
                <w:sz w:val="24"/>
                <w:szCs w:val="24"/>
                <w:highlight w:val="none"/>
                <w:lang w:val="en-US" w:eastAsia="zh-CN" w:bidi="ar-SA"/>
              </w:rPr>
            </w:pPr>
            <w:r>
              <w:rPr>
                <w:rFonts w:hint="eastAsia" w:ascii="宋体" w:hAnsi="宋体" w:eastAsia="宋体" w:cs="仿宋_GB2312"/>
                <w:color w:val="auto"/>
                <w:kern w:val="2"/>
                <w:sz w:val="24"/>
                <w:szCs w:val="24"/>
                <w:highlight w:val="none"/>
                <w:lang w:val="en-US" w:eastAsia="zh-CN" w:bidi="ar-SA"/>
              </w:rPr>
              <w:t>2）投标产品列入财政部、生态环境部发布的环境标志产品品目清单的，提供国家市场监督管理总局公布的《参与实施政府采购环境标志产品认证机构名录》内的认证机构出具的、处于有效期之内的环境标志产品认证证书，</w:t>
            </w:r>
            <w:r>
              <w:rPr>
                <w:rFonts w:hint="eastAsia" w:ascii="宋体" w:hAnsi="宋体"/>
                <w:color w:val="auto"/>
                <w:sz w:val="24"/>
                <w:highlight w:val="none"/>
              </w:rPr>
              <w:t>每个得</w:t>
            </w:r>
            <w:r>
              <w:rPr>
                <w:rFonts w:hint="eastAsia" w:ascii="宋体" w:hAnsi="宋体" w:cs="宋体"/>
                <w:color w:val="auto"/>
                <w:sz w:val="24"/>
                <w:highlight w:val="none"/>
                <w:lang w:val="en-US" w:eastAsia="zh-CN"/>
              </w:rPr>
              <w:t>0.5</w:t>
            </w:r>
            <w:r>
              <w:rPr>
                <w:rFonts w:hint="eastAsia" w:ascii="宋体" w:hAnsi="宋体"/>
                <w:color w:val="auto"/>
                <w:sz w:val="24"/>
                <w:highlight w:val="none"/>
              </w:rPr>
              <w:t>分，最高得</w:t>
            </w:r>
            <w:r>
              <w:rPr>
                <w:rFonts w:hint="eastAsia" w:ascii="宋体" w:hAnsi="宋体" w:cs="宋体"/>
                <w:color w:val="auto"/>
                <w:sz w:val="24"/>
                <w:highlight w:val="none"/>
                <w:lang w:val="en-US" w:eastAsia="zh-CN"/>
              </w:rPr>
              <w:t>1</w:t>
            </w:r>
            <w:r>
              <w:rPr>
                <w:rFonts w:hint="eastAsia" w:ascii="宋体" w:hAnsi="宋体"/>
                <w:color w:val="auto"/>
                <w:sz w:val="24"/>
                <w:highlight w:val="none"/>
              </w:rPr>
              <w:t>分。</w:t>
            </w:r>
          </w:p>
        </w:tc>
        <w:tc>
          <w:tcPr>
            <w:tcW w:w="764" w:type="dxa"/>
            <w:tcBorders>
              <w:top w:val="single" w:color="auto" w:sz="4" w:space="0"/>
              <w:left w:val="single" w:color="auto" w:sz="4" w:space="0"/>
              <w:bottom w:val="single" w:color="auto" w:sz="4" w:space="0"/>
              <w:right w:val="single" w:color="auto" w:sz="4" w:space="0"/>
            </w:tcBorders>
            <w:noWrap w:val="0"/>
            <w:vAlign w:val="center"/>
          </w:tcPr>
          <w:p w14:paraId="2CD2C67D">
            <w:pPr>
              <w:widowControl/>
              <w:shd w:val="clear"/>
              <w:spacing w:line="360" w:lineRule="auto"/>
              <w:jc w:val="center"/>
              <w:rPr>
                <w:rFonts w:hint="default" w:ascii="宋体" w:hAnsi="宋体" w:cs="宋体"/>
                <w:color w:val="auto"/>
                <w:kern w:val="0"/>
                <w:sz w:val="24"/>
                <w:szCs w:val="24"/>
                <w:highlight w:val="none"/>
                <w:u w:val="none" w:color="0000FF"/>
                <w:lang w:val="en-US" w:eastAsia="zh-CN" w:bidi="ar-SA"/>
              </w:rPr>
            </w:pPr>
            <w:r>
              <w:rPr>
                <w:rFonts w:hint="eastAsia" w:ascii="宋体" w:hAnsi="宋体" w:cs="宋体"/>
                <w:color w:val="auto"/>
                <w:sz w:val="24"/>
                <w:highlight w:val="none"/>
                <w:lang w:val="en-US" w:eastAsia="zh-CN"/>
              </w:rPr>
              <w:t xml:space="preserve">2 </w:t>
            </w:r>
          </w:p>
        </w:tc>
      </w:tr>
    </w:tbl>
    <w:p w14:paraId="07FB3765">
      <w:pPr>
        <w:pStyle w:val="7"/>
        <w:keepNext w:val="0"/>
        <w:keepLines w:val="0"/>
        <w:pageBreakBefore/>
        <w:numPr>
          <w:ilvl w:val="0"/>
          <w:numId w:val="22"/>
        </w:numPr>
        <w:shd w:val="clear"/>
        <w:spacing w:line="240" w:lineRule="auto"/>
        <w:jc w:val="center"/>
        <w:rPr>
          <w:rFonts w:hint="eastAsia" w:ascii="宋体" w:hAnsi="宋体" w:eastAsia="宋体" w:cs="宋体"/>
          <w:bCs w:val="0"/>
          <w:color w:val="auto"/>
          <w:sz w:val="32"/>
          <w:szCs w:val="32"/>
          <w:highlight w:val="none"/>
        </w:rPr>
      </w:pPr>
      <w:bookmarkStart w:id="86" w:name="_Toc4146"/>
      <w:r>
        <w:rPr>
          <w:rFonts w:hint="eastAsia" w:ascii="宋体" w:hAnsi="宋体" w:cs="宋体"/>
          <w:bCs w:val="0"/>
          <w:color w:val="auto"/>
          <w:sz w:val="32"/>
          <w:szCs w:val="32"/>
          <w:highlight w:val="none"/>
          <w:lang w:val="en-US" w:eastAsia="zh-CN"/>
        </w:rPr>
        <w:t>合同主要</w:t>
      </w:r>
      <w:r>
        <w:rPr>
          <w:rFonts w:hint="eastAsia" w:ascii="宋体" w:hAnsi="宋体" w:eastAsia="宋体" w:cs="宋体"/>
          <w:bCs w:val="0"/>
          <w:color w:val="auto"/>
          <w:sz w:val="32"/>
          <w:szCs w:val="32"/>
          <w:highlight w:val="none"/>
        </w:rPr>
        <w:t>条款</w:t>
      </w:r>
      <w:bookmarkEnd w:id="76"/>
      <w:bookmarkEnd w:id="86"/>
    </w:p>
    <w:p w14:paraId="3A5A8A72">
      <w:pPr>
        <w:pStyle w:val="8"/>
        <w:shd w:val="clear"/>
        <w:jc w:val="center"/>
        <w:rPr>
          <w:rFonts w:hint="eastAsia" w:ascii="宋体" w:hAnsi="宋体" w:eastAsia="宋体" w:cs="宋体"/>
          <w:bCs w:val="0"/>
          <w:color w:val="auto"/>
          <w:sz w:val="24"/>
          <w:szCs w:val="24"/>
          <w:highlight w:val="none"/>
        </w:rPr>
      </w:pPr>
      <w:bookmarkStart w:id="87" w:name="_Toc30561"/>
      <w:bookmarkStart w:id="88" w:name="_Toc22775"/>
      <w:bookmarkStart w:id="89" w:name="_Toc14942605"/>
      <w:bookmarkStart w:id="90" w:name="_Toc26017"/>
      <w:r>
        <w:rPr>
          <w:rFonts w:hint="eastAsia" w:ascii="宋体" w:hAnsi="宋体" w:eastAsia="宋体" w:cs="宋体"/>
          <w:bCs w:val="0"/>
          <w:color w:val="auto"/>
          <w:sz w:val="24"/>
          <w:szCs w:val="24"/>
          <w:highlight w:val="none"/>
        </w:rPr>
        <w:t>东阳市政府采购合同（样本）</w:t>
      </w:r>
      <w:bookmarkEnd w:id="87"/>
      <w:bookmarkEnd w:id="88"/>
      <w:bookmarkEnd w:id="89"/>
      <w:bookmarkEnd w:id="90"/>
    </w:p>
    <w:p w14:paraId="6AC6E047">
      <w:pPr>
        <w:shd w:val="clear"/>
        <w:spacing w:line="420" w:lineRule="exact"/>
        <w:rPr>
          <w:rFonts w:hint="eastAsia" w:ascii="宋体" w:hAnsi="宋体"/>
          <w:color w:val="auto"/>
          <w:sz w:val="24"/>
          <w:highlight w:val="none"/>
        </w:rPr>
      </w:pPr>
      <w:r>
        <w:rPr>
          <w:rFonts w:hint="eastAsia" w:ascii="宋体" w:hAnsi="宋体"/>
          <w:color w:val="auto"/>
          <w:sz w:val="24"/>
          <w:highlight w:val="none"/>
        </w:rPr>
        <w:t>项目名称：                   项目编号：               合同号：</w:t>
      </w:r>
    </w:p>
    <w:p w14:paraId="305222B7">
      <w:pPr>
        <w:shd w:val="clear"/>
        <w:spacing w:line="420" w:lineRule="exact"/>
        <w:rPr>
          <w:rFonts w:hint="eastAsia" w:ascii="宋体" w:hAnsi="宋体"/>
          <w:color w:val="auto"/>
          <w:sz w:val="24"/>
          <w:highlight w:val="none"/>
        </w:rPr>
      </w:pPr>
      <w:r>
        <w:rPr>
          <w:rFonts w:hint="eastAsia" w:ascii="宋体" w:hAnsi="宋体"/>
          <w:color w:val="auto"/>
          <w:sz w:val="24"/>
          <w:highlight w:val="none"/>
        </w:rPr>
        <w:t>甲方（买方）：</w:t>
      </w:r>
    </w:p>
    <w:p w14:paraId="007389B4">
      <w:pPr>
        <w:shd w:val="clear"/>
        <w:spacing w:line="420" w:lineRule="exact"/>
        <w:rPr>
          <w:rFonts w:hint="eastAsia" w:ascii="宋体" w:hAnsi="宋体"/>
          <w:color w:val="auto"/>
          <w:sz w:val="24"/>
          <w:highlight w:val="none"/>
        </w:rPr>
      </w:pPr>
      <w:r>
        <w:rPr>
          <w:rFonts w:hint="eastAsia" w:ascii="宋体" w:hAnsi="宋体"/>
          <w:color w:val="auto"/>
          <w:sz w:val="24"/>
          <w:highlight w:val="none"/>
        </w:rPr>
        <w:t>乙方（卖方）：</w:t>
      </w:r>
    </w:p>
    <w:p w14:paraId="7B9E7233">
      <w:pPr>
        <w:shd w:val="clear"/>
        <w:spacing w:line="420" w:lineRule="exact"/>
        <w:rPr>
          <w:rFonts w:hint="eastAsia" w:ascii="宋体" w:hAnsi="宋体"/>
          <w:color w:val="auto"/>
          <w:sz w:val="24"/>
          <w:highlight w:val="none"/>
        </w:rPr>
      </w:pPr>
      <w:r>
        <w:rPr>
          <w:rFonts w:hint="eastAsia" w:ascii="宋体" w:hAnsi="宋体"/>
          <w:color w:val="auto"/>
          <w:sz w:val="24"/>
          <w:highlight w:val="none"/>
        </w:rPr>
        <w:t>鉴证方（招标方）：</w:t>
      </w:r>
    </w:p>
    <w:p w14:paraId="41EE7018">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 xml:space="preserve">   </w:t>
      </w:r>
      <w:r>
        <w:rPr>
          <w:rFonts w:hint="eastAsia" w:ascii="宋体" w:hAnsi="宋体"/>
          <w:color w:val="auto"/>
          <w:sz w:val="24"/>
          <w:highlight w:val="none"/>
        </w:rPr>
        <w:t>甲、乙双方根据</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日东阳市鑫盛工程咨询有限公司关于</w:t>
      </w:r>
      <w:r>
        <w:rPr>
          <w:rFonts w:hint="eastAsia" w:ascii="宋体" w:hAnsi="宋体"/>
          <w:color w:val="auto"/>
          <w:sz w:val="24"/>
          <w:highlight w:val="none"/>
          <w:u w:val="single"/>
        </w:rPr>
        <w:t xml:space="preserve">        </w:t>
      </w:r>
      <w:r>
        <w:rPr>
          <w:rFonts w:hint="eastAsia" w:ascii="宋体" w:hAnsi="宋体"/>
          <w:color w:val="auto"/>
          <w:sz w:val="24"/>
          <w:highlight w:val="none"/>
        </w:rPr>
        <w:t>项目公开招标的结果，签署本合同。</w:t>
      </w:r>
    </w:p>
    <w:p w14:paraId="179D2C64">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一、货物内容</w:t>
      </w:r>
    </w:p>
    <w:p w14:paraId="7C0372DC">
      <w:pPr>
        <w:shd w:val="clear"/>
        <w:spacing w:line="420" w:lineRule="exact"/>
        <w:rPr>
          <w:rFonts w:hint="eastAsia" w:ascii="宋体" w:hAnsi="宋体"/>
          <w:color w:val="auto"/>
          <w:sz w:val="24"/>
          <w:highlight w:val="none"/>
        </w:rPr>
      </w:pPr>
      <w:r>
        <w:rPr>
          <w:rFonts w:hint="eastAsia" w:ascii="宋体" w:hAnsi="宋体"/>
          <w:color w:val="auto"/>
          <w:sz w:val="24"/>
          <w:highlight w:val="none"/>
        </w:rPr>
        <w:t>1. 货物名称：</w:t>
      </w:r>
    </w:p>
    <w:p w14:paraId="07816B6E">
      <w:pPr>
        <w:shd w:val="clear"/>
        <w:spacing w:line="420" w:lineRule="exact"/>
        <w:rPr>
          <w:rFonts w:hint="eastAsia" w:ascii="宋体" w:hAnsi="宋体"/>
          <w:color w:val="auto"/>
          <w:sz w:val="24"/>
          <w:highlight w:val="none"/>
        </w:rPr>
      </w:pPr>
      <w:r>
        <w:rPr>
          <w:rFonts w:hint="eastAsia" w:ascii="宋体" w:hAnsi="宋体"/>
          <w:color w:val="auto"/>
          <w:sz w:val="24"/>
          <w:highlight w:val="none"/>
        </w:rPr>
        <w:t>2. 型号规格：</w:t>
      </w:r>
    </w:p>
    <w:p w14:paraId="1B801A09">
      <w:pPr>
        <w:shd w:val="clear"/>
        <w:spacing w:line="420" w:lineRule="exact"/>
        <w:rPr>
          <w:rFonts w:hint="eastAsia" w:ascii="宋体" w:hAnsi="宋体"/>
          <w:color w:val="auto"/>
          <w:sz w:val="24"/>
          <w:highlight w:val="none"/>
        </w:rPr>
      </w:pPr>
      <w:r>
        <w:rPr>
          <w:rFonts w:hint="eastAsia" w:ascii="宋体" w:hAnsi="宋体"/>
          <w:color w:val="auto"/>
          <w:sz w:val="24"/>
          <w:highlight w:val="none"/>
        </w:rPr>
        <w:t>3. 技术参数：</w:t>
      </w:r>
    </w:p>
    <w:p w14:paraId="1B1EA135">
      <w:pPr>
        <w:shd w:val="clear"/>
        <w:spacing w:line="420" w:lineRule="exact"/>
        <w:rPr>
          <w:rFonts w:hint="eastAsia" w:ascii="宋体" w:hAnsi="宋体"/>
          <w:color w:val="auto"/>
          <w:sz w:val="24"/>
          <w:highlight w:val="none"/>
        </w:rPr>
      </w:pPr>
      <w:r>
        <w:rPr>
          <w:rFonts w:hint="eastAsia" w:ascii="宋体" w:hAnsi="宋体"/>
          <w:color w:val="auto"/>
          <w:sz w:val="24"/>
          <w:highlight w:val="none"/>
        </w:rPr>
        <w:t>4. 数量（单位）：</w:t>
      </w:r>
    </w:p>
    <w:p w14:paraId="6D452D36">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二、合同金额</w:t>
      </w:r>
    </w:p>
    <w:p w14:paraId="5257FE57">
      <w:pPr>
        <w:shd w:val="clear"/>
        <w:spacing w:line="420" w:lineRule="exact"/>
        <w:rPr>
          <w:rFonts w:hint="eastAsia" w:ascii="宋体" w:hAnsi="宋体"/>
          <w:color w:val="auto"/>
          <w:sz w:val="24"/>
          <w:highlight w:val="none"/>
        </w:rPr>
      </w:pPr>
      <w:r>
        <w:rPr>
          <w:rFonts w:hint="eastAsia" w:ascii="宋体" w:hAnsi="宋体"/>
          <w:color w:val="auto"/>
          <w:sz w:val="24"/>
          <w:highlight w:val="none"/>
        </w:rPr>
        <w:t xml:space="preserve"> 本合同金额为（大写）：_______________元（￥_______________元）人民币。</w:t>
      </w:r>
    </w:p>
    <w:p w14:paraId="7E1B468D">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三、技术资料</w:t>
      </w:r>
    </w:p>
    <w:p w14:paraId="280926A6">
      <w:pPr>
        <w:shd w:val="clear"/>
        <w:spacing w:line="420" w:lineRule="exact"/>
        <w:rPr>
          <w:rFonts w:hint="eastAsia" w:ascii="宋体" w:hAnsi="宋体"/>
          <w:color w:val="auto"/>
          <w:sz w:val="24"/>
          <w:highlight w:val="none"/>
        </w:rPr>
      </w:pPr>
      <w:r>
        <w:rPr>
          <w:rFonts w:hint="eastAsia" w:ascii="宋体" w:hAnsi="宋体"/>
          <w:color w:val="auto"/>
          <w:sz w:val="24"/>
          <w:highlight w:val="none"/>
        </w:rPr>
        <w:t>1.乙方应按招标文件规定的时间向甲方提供使用货物的有关技术资料。</w:t>
      </w:r>
    </w:p>
    <w:p w14:paraId="0D66F2B4">
      <w:pPr>
        <w:shd w:val="clear"/>
        <w:spacing w:line="420" w:lineRule="exact"/>
        <w:rPr>
          <w:rFonts w:hint="eastAsia" w:ascii="宋体" w:hAnsi="宋体"/>
          <w:color w:val="auto"/>
          <w:sz w:val="24"/>
          <w:highlight w:val="none"/>
        </w:rPr>
      </w:pPr>
      <w:r>
        <w:rPr>
          <w:rFonts w:hint="eastAsia" w:ascii="宋体" w:hAnsi="宋体"/>
          <w:color w:val="auto"/>
          <w:sz w:val="24"/>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8828851">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四、知识产权</w:t>
      </w:r>
    </w:p>
    <w:p w14:paraId="6B8DE33F">
      <w:pPr>
        <w:shd w:val="clear"/>
        <w:spacing w:line="420" w:lineRule="exact"/>
        <w:rPr>
          <w:rFonts w:hint="eastAsia" w:ascii="宋体" w:hAnsi="宋体" w:eastAsia="宋体" w:cs="Times New Roman"/>
          <w:b/>
          <w:color w:val="auto"/>
          <w:sz w:val="24"/>
          <w:highlight w:val="none"/>
        </w:rPr>
      </w:pPr>
      <w:r>
        <w:rPr>
          <w:rFonts w:hint="eastAsia" w:ascii="宋体" w:hAnsi="宋体"/>
          <w:color w:val="auto"/>
          <w:sz w:val="24"/>
          <w:highlight w:val="none"/>
        </w:rPr>
        <w:t>乙方应保证所提供的货物或其任何一部分均不会侵犯任何第三方的知识产权</w:t>
      </w:r>
      <w:r>
        <w:rPr>
          <w:rFonts w:hint="eastAsia" w:ascii="宋体" w:hAnsi="宋体"/>
          <w:bCs/>
          <w:color w:val="auto"/>
          <w:sz w:val="24"/>
          <w:highlight w:val="none"/>
        </w:rPr>
        <w:t>。</w:t>
      </w:r>
    </w:p>
    <w:p w14:paraId="2F559649">
      <w:pPr>
        <w:numPr>
          <w:ilvl w:val="0"/>
          <w:numId w:val="0"/>
        </w:numPr>
        <w:shd w:val="clear"/>
        <w:spacing w:line="420" w:lineRule="exact"/>
        <w:ind w:leftChars="0"/>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五、履约保证金：</w:t>
      </w:r>
      <w:r>
        <w:rPr>
          <w:rFonts w:hint="default" w:ascii="宋体" w:hAnsi="宋体"/>
          <w:b/>
          <w:color w:val="auto"/>
          <w:sz w:val="24"/>
          <w:highlight w:val="none"/>
          <w:lang w:val="en-US" w:eastAsia="zh-CN"/>
        </w:rPr>
        <w:t>/</w:t>
      </w:r>
    </w:p>
    <w:p w14:paraId="695FDAC7">
      <w:pPr>
        <w:numPr>
          <w:ilvl w:val="0"/>
          <w:numId w:val="6"/>
        </w:numPr>
        <w:shd w:val="clear"/>
        <w:spacing w:line="420" w:lineRule="exact"/>
        <w:ind w:left="0" w:leftChars="0" w:firstLine="0" w:firstLineChars="0"/>
        <w:rPr>
          <w:rFonts w:hint="eastAsia" w:ascii="宋体" w:hAnsi="宋体"/>
          <w:color w:val="auto"/>
          <w:sz w:val="24"/>
          <w:highlight w:val="none"/>
          <w:u w:val="single"/>
        </w:rPr>
      </w:pPr>
      <w:r>
        <w:rPr>
          <w:rFonts w:hint="eastAsia" w:ascii="宋体" w:hAnsi="宋体"/>
          <w:b/>
          <w:color w:val="auto"/>
          <w:sz w:val="24"/>
          <w:highlight w:val="none"/>
        </w:rPr>
        <w:t>产权担保</w:t>
      </w:r>
    </w:p>
    <w:p w14:paraId="633C44CF">
      <w:pPr>
        <w:shd w:val="clear"/>
        <w:spacing w:line="420" w:lineRule="exact"/>
        <w:rPr>
          <w:rFonts w:hint="eastAsia" w:ascii="宋体" w:hAnsi="宋体"/>
          <w:color w:val="auto"/>
          <w:sz w:val="24"/>
          <w:highlight w:val="none"/>
          <w:u w:val="single"/>
        </w:rPr>
      </w:pPr>
      <w:r>
        <w:rPr>
          <w:rFonts w:hint="eastAsia" w:ascii="宋体" w:hAnsi="宋体"/>
          <w:color w:val="auto"/>
          <w:sz w:val="24"/>
          <w:highlight w:val="none"/>
        </w:rPr>
        <w:t>乙方保证所交付的货物的所有权完全属于乙方且无任何抵押、查封等产权瑕疵。</w:t>
      </w:r>
    </w:p>
    <w:p w14:paraId="11816A03">
      <w:pPr>
        <w:shd w:val="clea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七</w:t>
      </w:r>
      <w:r>
        <w:rPr>
          <w:rFonts w:hint="eastAsia" w:ascii="宋体" w:hAnsi="宋体"/>
          <w:b/>
          <w:color w:val="auto"/>
          <w:sz w:val="24"/>
          <w:highlight w:val="none"/>
        </w:rPr>
        <w:t>、转包</w:t>
      </w:r>
    </w:p>
    <w:p w14:paraId="34428B54">
      <w:pPr>
        <w:shd w:val="clear"/>
        <w:spacing w:line="420" w:lineRule="exact"/>
        <w:rPr>
          <w:rFonts w:hint="eastAsia" w:ascii="宋体" w:hAnsi="宋体"/>
          <w:color w:val="auto"/>
          <w:sz w:val="24"/>
          <w:highlight w:val="none"/>
        </w:rPr>
      </w:pPr>
      <w:r>
        <w:rPr>
          <w:rFonts w:hint="eastAsia" w:ascii="宋体" w:hAnsi="宋体"/>
          <w:color w:val="auto"/>
          <w:sz w:val="24"/>
          <w:highlight w:val="none"/>
        </w:rPr>
        <w:t>1.本合同范围的货物，应由乙方直接供应，不得转包他人供应；</w:t>
      </w:r>
    </w:p>
    <w:p w14:paraId="218BC086">
      <w:pPr>
        <w:shd w:val="clear"/>
        <w:spacing w:line="420" w:lineRule="exact"/>
        <w:rPr>
          <w:rFonts w:hint="eastAsia" w:ascii="宋体" w:hAnsi="宋体"/>
          <w:color w:val="auto"/>
          <w:sz w:val="24"/>
          <w:highlight w:val="none"/>
        </w:rPr>
      </w:pPr>
      <w:r>
        <w:rPr>
          <w:rFonts w:hint="eastAsia" w:ascii="宋体" w:hAnsi="宋体"/>
          <w:color w:val="auto"/>
          <w:sz w:val="24"/>
          <w:highlight w:val="none"/>
        </w:rPr>
        <w:t>2.乙方如有转包行为，甲方有权解除合同，并追究乙方的违约责任。</w:t>
      </w:r>
    </w:p>
    <w:p w14:paraId="165256C8">
      <w:pPr>
        <w:shd w:val="clear"/>
        <w:spacing w:line="420" w:lineRule="exact"/>
        <w:rPr>
          <w:rFonts w:hint="eastAsia" w:ascii="宋体" w:hAnsi="宋体"/>
          <w:color w:val="auto"/>
          <w:sz w:val="24"/>
          <w:highlight w:val="none"/>
        </w:rPr>
      </w:pPr>
      <w:r>
        <w:rPr>
          <w:rFonts w:hint="eastAsia" w:ascii="宋体" w:hAnsi="宋体"/>
          <w:b/>
          <w:color w:val="auto"/>
          <w:sz w:val="24"/>
          <w:highlight w:val="none"/>
          <w:lang w:val="en-US" w:eastAsia="zh-CN"/>
        </w:rPr>
        <w:t>八</w:t>
      </w:r>
      <w:r>
        <w:rPr>
          <w:rFonts w:hint="eastAsia" w:ascii="宋体" w:hAnsi="宋体"/>
          <w:b/>
          <w:color w:val="auto"/>
          <w:sz w:val="24"/>
          <w:highlight w:val="none"/>
        </w:rPr>
        <w:t>、质保期</w:t>
      </w:r>
    </w:p>
    <w:p w14:paraId="0C341607">
      <w:pPr>
        <w:shd w:val="clear"/>
        <w:spacing w:line="420" w:lineRule="exact"/>
        <w:rPr>
          <w:rFonts w:hint="eastAsia" w:ascii="宋体" w:hAnsi="宋体"/>
          <w:color w:val="auto"/>
          <w:sz w:val="24"/>
          <w:highlight w:val="none"/>
        </w:rPr>
      </w:pPr>
      <w:r>
        <w:rPr>
          <w:rFonts w:hint="eastAsia" w:ascii="宋体" w:hAnsi="宋体"/>
          <w:color w:val="auto"/>
          <w:sz w:val="24"/>
          <w:highlight w:val="none"/>
        </w:rPr>
        <w:t xml:space="preserve"> 质保期</w:t>
      </w:r>
      <w:r>
        <w:rPr>
          <w:rFonts w:hint="eastAsia" w:ascii="宋体" w:hAnsi="宋体"/>
          <w:color w:val="auto"/>
          <w:sz w:val="24"/>
          <w:highlight w:val="none"/>
          <w:u w:val="single"/>
        </w:rPr>
        <w:t xml:space="preserve">      </w:t>
      </w:r>
      <w:r>
        <w:rPr>
          <w:rFonts w:hint="eastAsia" w:ascii="宋体" w:hAnsi="宋体"/>
          <w:color w:val="auto"/>
          <w:sz w:val="24"/>
          <w:highlight w:val="none"/>
        </w:rPr>
        <w:t>年。（自交货验收合格之日起计）</w:t>
      </w:r>
    </w:p>
    <w:p w14:paraId="1DB42442">
      <w:pPr>
        <w:shd w:val="clea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九</w:t>
      </w:r>
      <w:r>
        <w:rPr>
          <w:rFonts w:hint="eastAsia" w:ascii="宋体" w:hAnsi="宋体"/>
          <w:b/>
          <w:color w:val="auto"/>
          <w:sz w:val="24"/>
          <w:highlight w:val="none"/>
        </w:rPr>
        <w:t>、交货期、交货地点</w:t>
      </w:r>
    </w:p>
    <w:p w14:paraId="0A9F636D">
      <w:pPr>
        <w:shd w:val="clear"/>
        <w:spacing w:line="420" w:lineRule="exact"/>
        <w:rPr>
          <w:rFonts w:hint="eastAsia" w:ascii="宋体" w:hAnsi="宋体"/>
          <w:bCs/>
          <w:color w:val="auto"/>
          <w:sz w:val="24"/>
          <w:highlight w:val="none"/>
          <w:u w:val="single"/>
        </w:rPr>
      </w:pPr>
      <w:r>
        <w:rPr>
          <w:rFonts w:hint="eastAsia" w:ascii="宋体" w:hAnsi="宋体"/>
          <w:bCs/>
          <w:color w:val="auto"/>
          <w:sz w:val="24"/>
          <w:highlight w:val="none"/>
        </w:rPr>
        <w:t>1. 交货期：</w:t>
      </w:r>
      <w:r>
        <w:rPr>
          <w:rFonts w:hint="eastAsia" w:ascii="宋体" w:hAnsi="宋体"/>
          <w:bCs/>
          <w:color w:val="auto"/>
          <w:sz w:val="24"/>
          <w:highlight w:val="none"/>
          <w:u w:val="single"/>
        </w:rPr>
        <w:t xml:space="preserve">                 </w:t>
      </w:r>
    </w:p>
    <w:p w14:paraId="467717C7">
      <w:pPr>
        <w:shd w:val="clear"/>
        <w:spacing w:line="420" w:lineRule="exact"/>
        <w:rPr>
          <w:rFonts w:hint="eastAsia" w:ascii="宋体" w:hAnsi="宋体"/>
          <w:b/>
          <w:color w:val="auto"/>
          <w:sz w:val="24"/>
          <w:highlight w:val="none"/>
          <w:u w:val="single"/>
        </w:rPr>
      </w:pPr>
      <w:r>
        <w:rPr>
          <w:rFonts w:hint="eastAsia" w:ascii="宋体" w:hAnsi="宋体"/>
          <w:bCs/>
          <w:color w:val="auto"/>
          <w:sz w:val="24"/>
          <w:highlight w:val="none"/>
        </w:rPr>
        <w:t>2.交货地点：</w:t>
      </w:r>
      <w:r>
        <w:rPr>
          <w:rFonts w:hint="eastAsia" w:ascii="宋体" w:hAnsi="宋体"/>
          <w:bCs/>
          <w:color w:val="auto"/>
          <w:sz w:val="24"/>
          <w:highlight w:val="none"/>
          <w:u w:val="single"/>
        </w:rPr>
        <w:t xml:space="preserve">                </w:t>
      </w:r>
    </w:p>
    <w:p w14:paraId="2A300B9E">
      <w:pPr>
        <w:shd w:val="clear"/>
        <w:spacing w:line="420" w:lineRule="exact"/>
        <w:rPr>
          <w:rFonts w:hint="eastAsia" w:ascii="宋体" w:hAnsi="宋体"/>
          <w:b/>
          <w:color w:val="auto"/>
          <w:sz w:val="24"/>
          <w:highlight w:val="none"/>
        </w:rPr>
      </w:pPr>
      <w:r>
        <w:rPr>
          <w:rFonts w:hint="eastAsia" w:ascii="宋体" w:hAnsi="宋体"/>
          <w:b/>
          <w:color w:val="auto"/>
          <w:sz w:val="24"/>
          <w:highlight w:val="none"/>
          <w:lang w:val="en-US" w:eastAsia="zh-CN"/>
        </w:rPr>
        <w:t>十</w:t>
      </w:r>
      <w:r>
        <w:rPr>
          <w:rFonts w:hint="eastAsia" w:ascii="宋体" w:hAnsi="宋体"/>
          <w:b/>
          <w:color w:val="auto"/>
          <w:sz w:val="24"/>
          <w:highlight w:val="none"/>
        </w:rPr>
        <w:t>、</w:t>
      </w:r>
      <w:r>
        <w:rPr>
          <w:rFonts w:hint="eastAsia" w:ascii="宋体" w:hAnsi="宋体"/>
          <w:b/>
          <w:bCs/>
          <w:color w:val="auto"/>
          <w:sz w:val="24"/>
          <w:highlight w:val="none"/>
        </w:rPr>
        <w:t>付款方式：</w:t>
      </w:r>
    </w:p>
    <w:p w14:paraId="73BEF545">
      <w:pPr>
        <w:shd w:val="clear"/>
        <w:spacing w:line="420" w:lineRule="exact"/>
        <w:rPr>
          <w:rFonts w:hint="eastAsia" w:ascii="宋体" w:hAnsi="宋体"/>
          <w:b/>
          <w:color w:val="auto"/>
          <w:sz w:val="24"/>
          <w:szCs w:val="20"/>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一</w:t>
      </w:r>
      <w:r>
        <w:rPr>
          <w:rFonts w:hint="eastAsia" w:ascii="宋体" w:hAnsi="宋体"/>
          <w:b/>
          <w:color w:val="auto"/>
          <w:sz w:val="24"/>
          <w:highlight w:val="none"/>
        </w:rPr>
        <w:t>、税费</w:t>
      </w:r>
    </w:p>
    <w:p w14:paraId="4C5185BD">
      <w:pPr>
        <w:shd w:val="clear"/>
        <w:spacing w:line="420" w:lineRule="exact"/>
        <w:rPr>
          <w:rFonts w:hint="eastAsia" w:ascii="宋体" w:hAnsi="宋体"/>
          <w:color w:val="auto"/>
          <w:sz w:val="24"/>
          <w:szCs w:val="20"/>
          <w:highlight w:val="none"/>
        </w:rPr>
      </w:pPr>
      <w:r>
        <w:rPr>
          <w:rFonts w:hint="eastAsia" w:ascii="宋体" w:hAnsi="宋体"/>
          <w:color w:val="auto"/>
          <w:sz w:val="24"/>
          <w:highlight w:val="none"/>
        </w:rPr>
        <w:t>本合同执行中相关的一切税费均由乙方负担。</w:t>
      </w:r>
    </w:p>
    <w:p w14:paraId="2125E55C">
      <w:pPr>
        <w:shd w:val="clear"/>
        <w:spacing w:line="420" w:lineRule="exact"/>
        <w:rPr>
          <w:rFonts w:hint="eastAsia" w:ascii="宋体" w:hAnsi="宋体"/>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二</w:t>
      </w:r>
      <w:r>
        <w:rPr>
          <w:rFonts w:hint="eastAsia" w:ascii="宋体" w:hAnsi="宋体"/>
          <w:b/>
          <w:color w:val="auto"/>
          <w:sz w:val="24"/>
          <w:highlight w:val="none"/>
        </w:rPr>
        <w:t>、质量保证及售后服务</w:t>
      </w:r>
    </w:p>
    <w:p w14:paraId="761813A3">
      <w:pPr>
        <w:shd w:val="clear"/>
        <w:spacing w:line="420" w:lineRule="exact"/>
        <w:rPr>
          <w:rFonts w:hint="eastAsia" w:ascii="宋体" w:hAnsi="宋体"/>
          <w:color w:val="auto"/>
          <w:sz w:val="24"/>
          <w:highlight w:val="none"/>
        </w:rPr>
      </w:pPr>
      <w:r>
        <w:rPr>
          <w:rFonts w:hint="eastAsia" w:ascii="宋体" w:hAnsi="宋体"/>
          <w:color w:val="auto"/>
          <w:sz w:val="24"/>
          <w:highlight w:val="none"/>
        </w:rPr>
        <w:t>1. 乙方应按招标文件规定的货物性能、技术要求、质量标准向甲方提供未经使用的全新产品。</w:t>
      </w:r>
    </w:p>
    <w:p w14:paraId="55D059E5">
      <w:pPr>
        <w:shd w:val="clear"/>
        <w:spacing w:line="420" w:lineRule="exact"/>
        <w:rPr>
          <w:rFonts w:hint="eastAsia" w:ascii="宋体" w:hAnsi="宋体"/>
          <w:color w:val="auto"/>
          <w:sz w:val="24"/>
          <w:highlight w:val="none"/>
        </w:rPr>
      </w:pPr>
      <w:r>
        <w:rPr>
          <w:rFonts w:hint="eastAsia" w:ascii="宋体" w:hAnsi="宋体"/>
          <w:color w:val="auto"/>
          <w:sz w:val="24"/>
          <w:highlight w:val="none"/>
        </w:rPr>
        <w:t>2. 乙方提供的货物在质保期内因货物本身的质量问题发生故障，乙方应负责免费更换。对达不到技术要求者，根据实际情况，经双方协商，可按以下办法处理：</w:t>
      </w:r>
    </w:p>
    <w:p w14:paraId="7C447378">
      <w:pPr>
        <w:shd w:val="clear"/>
        <w:spacing w:line="420" w:lineRule="exact"/>
        <w:rPr>
          <w:rFonts w:hint="eastAsia" w:ascii="宋体" w:hAnsi="宋体"/>
          <w:color w:val="auto"/>
          <w:sz w:val="24"/>
          <w:highlight w:val="none"/>
        </w:rPr>
      </w:pPr>
      <w:r>
        <w:rPr>
          <w:rFonts w:hint="eastAsia" w:ascii="宋体" w:hAnsi="宋体"/>
          <w:color w:val="auto"/>
          <w:sz w:val="24"/>
          <w:highlight w:val="none"/>
        </w:rPr>
        <w:t>⑴更换：由乙方承担所发生的全部费用。</w:t>
      </w:r>
    </w:p>
    <w:p w14:paraId="7D1509A9">
      <w:pPr>
        <w:shd w:val="clear"/>
        <w:spacing w:line="420" w:lineRule="exact"/>
        <w:rPr>
          <w:rFonts w:hint="eastAsia" w:ascii="宋体" w:hAnsi="宋体"/>
          <w:color w:val="auto"/>
          <w:sz w:val="24"/>
          <w:highlight w:val="none"/>
        </w:rPr>
      </w:pPr>
      <w:r>
        <w:rPr>
          <w:rFonts w:hint="eastAsia" w:ascii="宋体" w:hAnsi="宋体"/>
          <w:color w:val="auto"/>
          <w:sz w:val="24"/>
          <w:highlight w:val="none"/>
        </w:rPr>
        <w:t>⑵贬值处理：由甲乙双方合议定价。</w:t>
      </w:r>
    </w:p>
    <w:p w14:paraId="36CA07C7">
      <w:pPr>
        <w:shd w:val="clear"/>
        <w:spacing w:line="420" w:lineRule="exact"/>
        <w:rPr>
          <w:rFonts w:hint="eastAsia" w:ascii="宋体" w:hAnsi="宋体"/>
          <w:color w:val="auto"/>
          <w:sz w:val="24"/>
          <w:highlight w:val="none"/>
        </w:rPr>
      </w:pPr>
      <w:r>
        <w:rPr>
          <w:rFonts w:hint="eastAsia" w:ascii="宋体" w:hAnsi="宋体"/>
          <w:color w:val="auto"/>
          <w:sz w:val="24"/>
          <w:highlight w:val="none"/>
        </w:rPr>
        <w:t>⑶退货处理：乙方应退还甲方支付的合同款，同时应承担该货物的直接费用（运输、保险、检验、货款利息及银行手续费等）。</w:t>
      </w:r>
    </w:p>
    <w:p w14:paraId="2811AF66">
      <w:pPr>
        <w:shd w:val="clear"/>
        <w:spacing w:line="420" w:lineRule="exact"/>
        <w:rPr>
          <w:rFonts w:hint="eastAsia" w:ascii="宋体" w:hAnsi="宋体"/>
          <w:color w:val="auto"/>
          <w:sz w:val="24"/>
          <w:highlight w:val="none"/>
        </w:rPr>
      </w:pPr>
      <w:r>
        <w:rPr>
          <w:rFonts w:hint="eastAsia" w:ascii="宋体" w:hAnsi="宋体"/>
          <w:color w:val="auto"/>
          <w:sz w:val="24"/>
          <w:highlight w:val="none"/>
        </w:rPr>
        <w:t>3. 如在使用过程中发生质量问题，乙方在接到甲方通知后在</w:t>
      </w:r>
      <w:r>
        <w:rPr>
          <w:rFonts w:hint="eastAsia" w:ascii="宋体" w:hAnsi="宋体"/>
          <w:color w:val="auto"/>
          <w:sz w:val="24"/>
          <w:highlight w:val="none"/>
          <w:u w:val="single"/>
        </w:rPr>
        <w:t xml:space="preserve">    </w:t>
      </w:r>
      <w:r>
        <w:rPr>
          <w:rFonts w:hint="eastAsia" w:ascii="宋体" w:hAnsi="宋体"/>
          <w:color w:val="auto"/>
          <w:sz w:val="24"/>
          <w:highlight w:val="none"/>
        </w:rPr>
        <w:t>小时内到达甲方现场。</w:t>
      </w:r>
    </w:p>
    <w:p w14:paraId="0C8AA81B">
      <w:pPr>
        <w:shd w:val="clear"/>
        <w:spacing w:line="420" w:lineRule="exact"/>
        <w:rPr>
          <w:rFonts w:hint="eastAsia" w:ascii="宋体" w:hAnsi="宋体"/>
          <w:color w:val="auto"/>
          <w:sz w:val="24"/>
          <w:highlight w:val="none"/>
        </w:rPr>
      </w:pPr>
      <w:r>
        <w:rPr>
          <w:rFonts w:hint="eastAsia" w:ascii="宋体" w:hAnsi="宋体"/>
          <w:color w:val="auto"/>
          <w:sz w:val="24"/>
          <w:highlight w:val="none"/>
        </w:rPr>
        <w:t>4. 在质保期内，乙方应对货物出现的质量及安全问题负责处理解决并承担一切</w:t>
      </w:r>
    </w:p>
    <w:p w14:paraId="7344AF52">
      <w:pPr>
        <w:shd w:val="clear"/>
        <w:spacing w:line="420" w:lineRule="exact"/>
        <w:rPr>
          <w:rFonts w:hint="eastAsia" w:ascii="宋体" w:hAnsi="宋体"/>
          <w:color w:val="auto"/>
          <w:sz w:val="24"/>
          <w:highlight w:val="none"/>
        </w:rPr>
      </w:pPr>
      <w:r>
        <w:rPr>
          <w:rFonts w:hint="eastAsia" w:ascii="宋体" w:hAnsi="宋体"/>
          <w:color w:val="auto"/>
          <w:sz w:val="24"/>
          <w:highlight w:val="none"/>
        </w:rPr>
        <w:t>费用。</w:t>
      </w:r>
    </w:p>
    <w:p w14:paraId="7D94A050">
      <w:pPr>
        <w:shd w:val="clear"/>
        <w:spacing w:line="420" w:lineRule="exact"/>
        <w:rPr>
          <w:rFonts w:hint="eastAsia" w:ascii="宋体" w:hAnsi="宋体"/>
          <w:color w:val="auto"/>
          <w:sz w:val="24"/>
          <w:highlight w:val="none"/>
        </w:rPr>
      </w:pPr>
      <w:r>
        <w:rPr>
          <w:rFonts w:hint="eastAsia" w:ascii="宋体" w:hAnsi="宋体"/>
          <w:color w:val="auto"/>
          <w:sz w:val="24"/>
          <w:highlight w:val="none"/>
        </w:rPr>
        <w:t>5.上述的货物免费保修期为</w:t>
      </w:r>
      <w:r>
        <w:rPr>
          <w:rFonts w:hint="eastAsia" w:ascii="宋体" w:hAnsi="宋体"/>
          <w:color w:val="auto"/>
          <w:sz w:val="24"/>
          <w:highlight w:val="none"/>
          <w:u w:val="single"/>
        </w:rPr>
        <w:t xml:space="preserve">     </w:t>
      </w:r>
      <w:r>
        <w:rPr>
          <w:rFonts w:hint="eastAsia" w:ascii="宋体" w:hAnsi="宋体"/>
          <w:color w:val="auto"/>
          <w:sz w:val="24"/>
          <w:highlight w:val="none"/>
        </w:rPr>
        <w:t>年，因人为因素出现的故障不在免费保修范围内。超过保修期的机器货物，终生维修，维修时只收部件成本费。</w:t>
      </w:r>
    </w:p>
    <w:p w14:paraId="0763E109">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三</w:t>
      </w:r>
      <w:r>
        <w:rPr>
          <w:rFonts w:hint="eastAsia" w:ascii="宋体" w:hAnsi="宋体"/>
          <w:b/>
          <w:color w:val="auto"/>
          <w:sz w:val="24"/>
          <w:highlight w:val="none"/>
        </w:rPr>
        <w:t>、调试和验收</w:t>
      </w:r>
    </w:p>
    <w:p w14:paraId="5FB095F7">
      <w:pPr>
        <w:shd w:val="clear"/>
        <w:spacing w:line="420" w:lineRule="exact"/>
        <w:rPr>
          <w:rFonts w:hint="eastAsia" w:ascii="宋体" w:hAnsi="宋体"/>
          <w:color w:val="auto"/>
          <w:sz w:val="24"/>
          <w:highlight w:val="none"/>
        </w:rPr>
      </w:pPr>
      <w:r>
        <w:rPr>
          <w:rFonts w:hint="eastAsia" w:ascii="宋体" w:hAnsi="宋体"/>
          <w:color w:val="auto"/>
          <w:sz w:val="24"/>
          <w:highlight w:val="none"/>
        </w:rPr>
        <w:t>1. 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674203AF">
      <w:pPr>
        <w:shd w:val="clear"/>
        <w:spacing w:line="420" w:lineRule="exact"/>
        <w:rPr>
          <w:rFonts w:hint="eastAsia" w:ascii="宋体" w:hAnsi="宋体"/>
          <w:color w:val="auto"/>
          <w:sz w:val="24"/>
          <w:highlight w:val="none"/>
        </w:rPr>
      </w:pPr>
      <w:r>
        <w:rPr>
          <w:rFonts w:hint="eastAsia" w:ascii="宋体" w:hAnsi="宋体"/>
          <w:color w:val="auto"/>
          <w:sz w:val="24"/>
          <w:highlight w:val="none"/>
        </w:rPr>
        <w:t>2. 乙方交货前应对产品作出全面检查和对验收文件进行整理，并列出清单，作为甲方收货验收和使用的技术条件依据，检验的结果应随货物交甲方。</w:t>
      </w:r>
    </w:p>
    <w:p w14:paraId="41D319C1">
      <w:pPr>
        <w:shd w:val="clear"/>
        <w:spacing w:line="420" w:lineRule="exact"/>
        <w:rPr>
          <w:rFonts w:hint="eastAsia" w:ascii="宋体" w:hAnsi="宋体"/>
          <w:color w:val="auto"/>
          <w:sz w:val="24"/>
          <w:highlight w:val="none"/>
          <w:u w:val="single"/>
        </w:rPr>
      </w:pPr>
      <w:r>
        <w:rPr>
          <w:rFonts w:hint="eastAsia" w:ascii="宋体" w:hAnsi="宋体"/>
          <w:color w:val="auto"/>
          <w:sz w:val="24"/>
          <w:highlight w:val="none"/>
        </w:rPr>
        <w:t>3. 甲方对乙方提供的货物在使用前进行调试时，乙方需负责安装并培训甲方的使用操作人员，并协助甲方一起调试，直到符合技术要求，甲方才做最终验收。</w:t>
      </w:r>
    </w:p>
    <w:p w14:paraId="43315FB8">
      <w:pPr>
        <w:shd w:val="clear"/>
        <w:spacing w:line="420" w:lineRule="exact"/>
        <w:rPr>
          <w:rFonts w:hint="eastAsia" w:ascii="宋体" w:hAnsi="宋体"/>
          <w:color w:val="auto"/>
          <w:sz w:val="24"/>
          <w:highlight w:val="none"/>
        </w:rPr>
      </w:pPr>
      <w:r>
        <w:rPr>
          <w:rFonts w:hint="eastAsia" w:ascii="宋体" w:hAnsi="宋体"/>
          <w:color w:val="auto"/>
          <w:sz w:val="24"/>
          <w:highlight w:val="none"/>
        </w:rPr>
        <w:t>4. 对技术复杂的货物，甲方应请国家认可的专业检测机构参与初步验收及最终验收，并由其出具质量检测报告。</w:t>
      </w:r>
    </w:p>
    <w:p w14:paraId="463CFC11">
      <w:pPr>
        <w:shd w:val="clear"/>
        <w:spacing w:line="420" w:lineRule="exact"/>
        <w:rPr>
          <w:rFonts w:hint="eastAsia" w:ascii="宋体" w:hAnsi="宋体"/>
          <w:color w:val="auto"/>
          <w:sz w:val="24"/>
          <w:highlight w:val="none"/>
        </w:rPr>
      </w:pPr>
      <w:r>
        <w:rPr>
          <w:rFonts w:hint="eastAsia" w:ascii="宋体" w:hAnsi="宋体"/>
          <w:color w:val="auto"/>
          <w:sz w:val="24"/>
          <w:highlight w:val="none"/>
        </w:rPr>
        <w:t>5. 验收时乙方必须在现场，验收完毕后作出验收结果报告；验收费用由乙方负责。</w:t>
      </w:r>
    </w:p>
    <w:p w14:paraId="431E7731">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四</w:t>
      </w:r>
      <w:r>
        <w:rPr>
          <w:rFonts w:hint="eastAsia" w:ascii="宋体" w:hAnsi="宋体"/>
          <w:b/>
          <w:color w:val="auto"/>
          <w:sz w:val="24"/>
          <w:highlight w:val="none"/>
        </w:rPr>
        <w:t>、货物包装、发运及运输</w:t>
      </w:r>
    </w:p>
    <w:p w14:paraId="5FFF8E3C">
      <w:pPr>
        <w:shd w:val="clear"/>
        <w:spacing w:line="420" w:lineRule="exact"/>
        <w:rPr>
          <w:rFonts w:hint="eastAsia" w:ascii="宋体" w:hAnsi="宋体"/>
          <w:color w:val="auto"/>
          <w:sz w:val="24"/>
          <w:highlight w:val="none"/>
        </w:rPr>
      </w:pPr>
      <w:r>
        <w:rPr>
          <w:rFonts w:hint="eastAsia" w:ascii="宋体" w:hAnsi="宋体"/>
          <w:color w:val="auto"/>
          <w:sz w:val="24"/>
          <w:highlight w:val="none"/>
        </w:rPr>
        <w:t>1. 乙方应在货物发运前对其进行满足运输距离、防潮、防震、防锈和防破损装卸等要求包装，以保证货物安全运达甲方指定地点。</w:t>
      </w:r>
    </w:p>
    <w:p w14:paraId="62E188E9">
      <w:pPr>
        <w:shd w:val="clear"/>
        <w:spacing w:line="420" w:lineRule="exact"/>
        <w:rPr>
          <w:rFonts w:hint="eastAsia" w:ascii="宋体" w:hAnsi="宋体"/>
          <w:color w:val="auto"/>
          <w:sz w:val="24"/>
          <w:highlight w:val="none"/>
        </w:rPr>
      </w:pPr>
      <w:r>
        <w:rPr>
          <w:rFonts w:hint="eastAsia" w:ascii="宋体" w:hAnsi="宋体"/>
          <w:color w:val="auto"/>
          <w:sz w:val="24"/>
          <w:highlight w:val="none"/>
        </w:rPr>
        <w:t>2. 使用说明书、质量检验证明书、随配附件和工具以及清单一并附于货物内。</w:t>
      </w:r>
    </w:p>
    <w:p w14:paraId="6D7929EF">
      <w:pPr>
        <w:shd w:val="clear"/>
        <w:spacing w:line="420" w:lineRule="exact"/>
        <w:rPr>
          <w:rFonts w:hint="eastAsia" w:ascii="宋体" w:hAnsi="宋体"/>
          <w:color w:val="auto"/>
          <w:sz w:val="24"/>
          <w:highlight w:val="none"/>
        </w:rPr>
      </w:pPr>
      <w:r>
        <w:rPr>
          <w:rFonts w:hint="eastAsia" w:ascii="宋体" w:hAnsi="宋体"/>
          <w:color w:val="auto"/>
          <w:sz w:val="24"/>
          <w:highlight w:val="none"/>
        </w:rPr>
        <w:t>3. 乙方在货物发运手续办理完毕后24小时内或货到甲方48小时前通知甲方，以准备接货。</w:t>
      </w:r>
    </w:p>
    <w:p w14:paraId="46AED59D">
      <w:pPr>
        <w:shd w:val="clear"/>
        <w:spacing w:line="420" w:lineRule="exact"/>
        <w:rPr>
          <w:rFonts w:hint="eastAsia" w:ascii="宋体" w:hAnsi="宋体"/>
          <w:color w:val="auto"/>
          <w:sz w:val="24"/>
          <w:highlight w:val="none"/>
        </w:rPr>
      </w:pPr>
      <w:r>
        <w:rPr>
          <w:rFonts w:hint="eastAsia" w:ascii="宋体" w:hAnsi="宋体"/>
          <w:color w:val="auto"/>
          <w:sz w:val="24"/>
          <w:highlight w:val="none"/>
        </w:rPr>
        <w:t>4. 货物在交付甲方前发生的风险均由乙方负责。</w:t>
      </w:r>
    </w:p>
    <w:p w14:paraId="187A5771">
      <w:pPr>
        <w:shd w:val="clear"/>
        <w:spacing w:line="420" w:lineRule="exact"/>
        <w:rPr>
          <w:rFonts w:hint="eastAsia" w:ascii="宋体" w:hAnsi="宋体"/>
          <w:color w:val="auto"/>
          <w:sz w:val="24"/>
          <w:highlight w:val="none"/>
        </w:rPr>
      </w:pPr>
      <w:r>
        <w:rPr>
          <w:rFonts w:hint="eastAsia" w:ascii="宋体" w:hAnsi="宋体"/>
          <w:color w:val="auto"/>
          <w:sz w:val="24"/>
          <w:highlight w:val="none"/>
        </w:rPr>
        <w:t>5. 货物在规定的交付期限内由乙方送达甲方指定的地点视为交付，乙方同时需通知甲方货物已送达。</w:t>
      </w:r>
    </w:p>
    <w:p w14:paraId="21A164C1">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五</w:t>
      </w:r>
      <w:r>
        <w:rPr>
          <w:rFonts w:hint="eastAsia" w:ascii="宋体" w:hAnsi="宋体"/>
          <w:b/>
          <w:color w:val="auto"/>
          <w:sz w:val="24"/>
          <w:highlight w:val="none"/>
        </w:rPr>
        <w:t>、违约责任</w:t>
      </w:r>
    </w:p>
    <w:p w14:paraId="6C838D51">
      <w:pPr>
        <w:shd w:val="clear"/>
        <w:spacing w:line="420" w:lineRule="exact"/>
        <w:rPr>
          <w:rFonts w:hint="eastAsia" w:ascii="宋体" w:hAnsi="宋体"/>
          <w:color w:val="auto"/>
          <w:sz w:val="24"/>
          <w:highlight w:val="none"/>
        </w:rPr>
      </w:pPr>
      <w:r>
        <w:rPr>
          <w:rFonts w:hint="eastAsia" w:ascii="宋体" w:hAnsi="宋体"/>
          <w:color w:val="auto"/>
          <w:sz w:val="24"/>
          <w:highlight w:val="none"/>
        </w:rPr>
        <w:t>1. 甲方无正当理由拒收货物的，甲方向乙方偿付拒收货款总值的百分之五违约金。</w:t>
      </w:r>
    </w:p>
    <w:p w14:paraId="5B4EF6CD">
      <w:pPr>
        <w:shd w:val="clear"/>
        <w:spacing w:line="420" w:lineRule="exact"/>
        <w:rPr>
          <w:rFonts w:hint="eastAsia" w:ascii="宋体" w:hAnsi="宋体"/>
          <w:color w:val="auto"/>
          <w:sz w:val="24"/>
          <w:highlight w:val="none"/>
        </w:rPr>
      </w:pPr>
      <w:r>
        <w:rPr>
          <w:rFonts w:hint="eastAsia" w:ascii="宋体" w:hAnsi="宋体"/>
          <w:color w:val="auto"/>
          <w:sz w:val="24"/>
          <w:highlight w:val="none"/>
        </w:rPr>
        <w:t>2. 甲方无故逾期验收和办理货款支付手续的,甲方应按逾期付款总额每日万分之五向乙方支付违约金。</w:t>
      </w:r>
    </w:p>
    <w:p w14:paraId="5756E796">
      <w:pPr>
        <w:shd w:val="clear"/>
        <w:spacing w:line="420" w:lineRule="exact"/>
        <w:rPr>
          <w:rFonts w:hint="eastAsia" w:ascii="宋体" w:hAnsi="宋体"/>
          <w:color w:val="auto"/>
          <w:sz w:val="24"/>
          <w:highlight w:val="none"/>
        </w:rPr>
      </w:pPr>
      <w:r>
        <w:rPr>
          <w:rFonts w:hint="eastAsia" w:ascii="宋体" w:hAnsi="宋体"/>
          <w:color w:val="auto"/>
          <w:sz w:val="24"/>
          <w:highlight w:val="none"/>
        </w:rPr>
        <w:t xml:space="preserve">3. 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50792E1C">
      <w:pPr>
        <w:shd w:val="clear"/>
        <w:spacing w:line="420" w:lineRule="exact"/>
        <w:rPr>
          <w:rFonts w:hint="eastAsia" w:ascii="宋体" w:hAnsi="宋体"/>
          <w:color w:val="auto"/>
          <w:sz w:val="24"/>
          <w:highlight w:val="none"/>
        </w:rPr>
      </w:pPr>
      <w:r>
        <w:rPr>
          <w:rFonts w:hint="eastAsia" w:ascii="宋体" w:hAnsi="宋体"/>
          <w:color w:val="auto"/>
          <w:sz w:val="24"/>
          <w:highlight w:val="none"/>
        </w:rPr>
        <w:t>4.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9BD9381">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六</w:t>
      </w:r>
      <w:r>
        <w:rPr>
          <w:rFonts w:hint="eastAsia" w:ascii="宋体" w:hAnsi="宋体"/>
          <w:b/>
          <w:color w:val="auto"/>
          <w:sz w:val="24"/>
          <w:highlight w:val="none"/>
        </w:rPr>
        <w:t>、不可抗力事件处理</w:t>
      </w:r>
    </w:p>
    <w:p w14:paraId="4828FE87">
      <w:pPr>
        <w:shd w:val="clear"/>
        <w:spacing w:line="420" w:lineRule="exact"/>
        <w:rPr>
          <w:rFonts w:hint="eastAsia" w:ascii="宋体" w:hAnsi="宋体"/>
          <w:color w:val="auto"/>
          <w:sz w:val="24"/>
          <w:highlight w:val="none"/>
        </w:rPr>
      </w:pPr>
      <w:r>
        <w:rPr>
          <w:rFonts w:hint="eastAsia" w:ascii="宋体" w:hAnsi="宋体"/>
          <w:color w:val="auto"/>
          <w:sz w:val="24"/>
          <w:highlight w:val="none"/>
        </w:rPr>
        <w:t>1. 在合同有效期内，任何一方因不可抗力事件导致不能履行合同，则合同履行期可延长，其延长期与不可抗力影响期相同。</w:t>
      </w:r>
    </w:p>
    <w:p w14:paraId="780FCA71">
      <w:pPr>
        <w:shd w:val="clear"/>
        <w:spacing w:line="420" w:lineRule="exact"/>
        <w:rPr>
          <w:rFonts w:hint="eastAsia" w:ascii="宋体" w:hAnsi="宋体"/>
          <w:color w:val="auto"/>
          <w:sz w:val="24"/>
          <w:highlight w:val="none"/>
        </w:rPr>
      </w:pPr>
      <w:r>
        <w:rPr>
          <w:rFonts w:hint="eastAsia" w:ascii="宋体" w:hAnsi="宋体"/>
          <w:color w:val="auto"/>
          <w:sz w:val="24"/>
          <w:highlight w:val="none"/>
        </w:rPr>
        <w:t>2. 不可抗力事件发生后，应立即通知对方，并寄送有关权威机构出具的证明。</w:t>
      </w:r>
    </w:p>
    <w:p w14:paraId="4F3DFB07">
      <w:pPr>
        <w:shd w:val="clear"/>
        <w:spacing w:line="420" w:lineRule="exact"/>
        <w:rPr>
          <w:rFonts w:hint="eastAsia" w:ascii="宋体" w:hAnsi="宋体"/>
          <w:color w:val="auto"/>
          <w:sz w:val="24"/>
          <w:highlight w:val="none"/>
        </w:rPr>
      </w:pPr>
      <w:r>
        <w:rPr>
          <w:rFonts w:hint="eastAsia" w:ascii="宋体" w:hAnsi="宋体"/>
          <w:color w:val="auto"/>
          <w:sz w:val="24"/>
          <w:highlight w:val="none"/>
        </w:rPr>
        <w:t>3. 不可抗力事件延续120天以上，双方应通过友好协商，确定是否继续履行合同。</w:t>
      </w:r>
    </w:p>
    <w:p w14:paraId="1E3EF030">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七</w:t>
      </w:r>
      <w:r>
        <w:rPr>
          <w:rFonts w:hint="eastAsia" w:ascii="宋体" w:hAnsi="宋体"/>
          <w:b/>
          <w:color w:val="auto"/>
          <w:sz w:val="24"/>
          <w:highlight w:val="none"/>
        </w:rPr>
        <w:t>、诉讼</w:t>
      </w:r>
    </w:p>
    <w:p w14:paraId="60740702">
      <w:pPr>
        <w:shd w:val="clear"/>
        <w:spacing w:line="420" w:lineRule="exact"/>
        <w:rPr>
          <w:rFonts w:hint="eastAsia" w:ascii="宋体" w:hAnsi="宋体"/>
          <w:color w:val="auto"/>
          <w:sz w:val="24"/>
          <w:highlight w:val="none"/>
        </w:rPr>
      </w:pPr>
      <w:r>
        <w:rPr>
          <w:rFonts w:hint="eastAsia" w:ascii="宋体" w:hAnsi="宋体"/>
          <w:color w:val="auto"/>
          <w:sz w:val="24"/>
          <w:highlight w:val="none"/>
        </w:rPr>
        <w:t xml:space="preserve"> 双方在执行合同中所发生的一切争议，应通过协商解决。如协商不成，可向甲方所在地法院起诉。</w:t>
      </w:r>
    </w:p>
    <w:p w14:paraId="748F61D2">
      <w:pPr>
        <w:shd w:val="clear"/>
        <w:spacing w:line="420" w:lineRule="exact"/>
        <w:rPr>
          <w:rFonts w:hint="eastAsia"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八</w:t>
      </w:r>
      <w:r>
        <w:rPr>
          <w:rFonts w:hint="eastAsia" w:ascii="宋体" w:hAnsi="宋体"/>
          <w:b/>
          <w:color w:val="auto"/>
          <w:sz w:val="24"/>
          <w:highlight w:val="none"/>
        </w:rPr>
        <w:t>、合同生效及其它</w:t>
      </w:r>
    </w:p>
    <w:p w14:paraId="42F2DC7A">
      <w:pPr>
        <w:shd w:val="clear"/>
        <w:spacing w:line="420" w:lineRule="exact"/>
        <w:rPr>
          <w:rFonts w:hint="eastAsia" w:ascii="宋体" w:hAnsi="宋体"/>
          <w:color w:val="auto"/>
          <w:sz w:val="24"/>
          <w:highlight w:val="none"/>
        </w:rPr>
      </w:pPr>
      <w:r>
        <w:rPr>
          <w:rFonts w:hint="eastAsia" w:ascii="宋体" w:hAnsi="宋体"/>
          <w:color w:val="auto"/>
          <w:sz w:val="24"/>
          <w:highlight w:val="none"/>
        </w:rPr>
        <w:t>1. 合同经三方法定代表人或委托代理人签字并加盖单位公章后，报东阳市财政局采监科备案后生效。</w:t>
      </w:r>
    </w:p>
    <w:p w14:paraId="59277756">
      <w:pPr>
        <w:shd w:val="clear"/>
        <w:spacing w:line="420" w:lineRule="exact"/>
        <w:rPr>
          <w:rFonts w:hint="eastAsia" w:ascii="宋体" w:hAnsi="宋体"/>
          <w:color w:val="auto"/>
          <w:sz w:val="24"/>
          <w:highlight w:val="none"/>
        </w:rPr>
      </w:pPr>
      <w:r>
        <w:rPr>
          <w:rFonts w:hint="eastAsia" w:ascii="宋体" w:hAnsi="宋体"/>
          <w:color w:val="auto"/>
          <w:sz w:val="24"/>
          <w:highlight w:val="none"/>
        </w:rPr>
        <w:t>2.合同执行中涉及采购资金和采购内容修改或补充的，须经财政部门审批，并签书面补充协议报政府采购监督管理部门备案，方可作为主合同不可分割的一部分。</w:t>
      </w:r>
    </w:p>
    <w:p w14:paraId="59C16993">
      <w:pPr>
        <w:shd w:val="clear"/>
        <w:spacing w:line="420" w:lineRule="exact"/>
        <w:rPr>
          <w:rFonts w:hint="eastAsia" w:ascii="宋体" w:hAnsi="宋体"/>
          <w:color w:val="auto"/>
          <w:sz w:val="24"/>
          <w:highlight w:val="none"/>
        </w:rPr>
      </w:pPr>
      <w:r>
        <w:rPr>
          <w:rFonts w:hint="eastAsia" w:ascii="宋体" w:hAnsi="宋体"/>
          <w:color w:val="auto"/>
          <w:sz w:val="24"/>
          <w:highlight w:val="none"/>
        </w:rPr>
        <w:t>3.本合同未尽事宜，遵照《中华人民共和国民法典》有关条文执行。</w:t>
      </w:r>
    </w:p>
    <w:p w14:paraId="2F4312FF">
      <w:pPr>
        <w:shd w:val="clear"/>
        <w:spacing w:line="420" w:lineRule="exact"/>
        <w:rPr>
          <w:rFonts w:hint="eastAsia" w:ascii="宋体" w:hAnsi="宋体"/>
          <w:color w:val="auto"/>
          <w:sz w:val="24"/>
          <w:highlight w:val="none"/>
        </w:rPr>
      </w:pPr>
      <w:r>
        <w:rPr>
          <w:rFonts w:hint="eastAsia" w:ascii="宋体" w:hAnsi="宋体"/>
          <w:color w:val="auto"/>
          <w:sz w:val="24"/>
          <w:highlight w:val="none"/>
        </w:rPr>
        <w:t>4.本合同一式六份， 东阳市财政局采监科、招标代理机构各执一份，甲、乙双方各执二份，其都具有同等法律效力。</w:t>
      </w:r>
    </w:p>
    <w:p w14:paraId="6D804F49">
      <w:pPr>
        <w:shd w:val="clear"/>
        <w:spacing w:line="420" w:lineRule="exact"/>
        <w:rPr>
          <w:rFonts w:hint="eastAsia" w:ascii="宋体" w:hAnsi="宋体" w:eastAsia="宋体" w:cs="Times New Roman"/>
          <w:color w:val="auto"/>
          <w:sz w:val="24"/>
          <w:highlight w:val="none"/>
        </w:rPr>
      </w:pPr>
      <w:bookmarkStart w:id="91" w:name="OLE_LINK17"/>
      <w:r>
        <w:rPr>
          <w:rFonts w:hint="eastAsia" w:ascii="宋体" w:hAnsi="宋体" w:eastAsia="宋体" w:cs="Times New Roman"/>
          <w:color w:val="auto"/>
          <w:sz w:val="24"/>
          <w:highlight w:val="none"/>
          <w:lang w:val="en-US" w:eastAsia="zh-CN"/>
        </w:rPr>
        <w:t>5.</w:t>
      </w:r>
      <w:r>
        <w:rPr>
          <w:rFonts w:hint="eastAsia" w:ascii="宋体" w:hAnsi="宋体" w:eastAsia="宋体" w:cs="Times New Roman"/>
          <w:color w:val="auto"/>
          <w:sz w:val="24"/>
          <w:highlight w:val="none"/>
        </w:rPr>
        <w:t>声明：本合同样本仅供参考，甲乙双方可就招标文件的非实质性条款进行修改，但不能修改项目的服务期限、中标</w:t>
      </w:r>
      <w:r>
        <w:rPr>
          <w:rFonts w:hint="eastAsia" w:ascii="宋体" w:hAnsi="宋体" w:cs="Times New Roman"/>
          <w:color w:val="auto"/>
          <w:sz w:val="24"/>
          <w:highlight w:val="none"/>
          <w:lang w:val="en-US" w:eastAsia="zh-CN"/>
        </w:rPr>
        <w:t>价格</w:t>
      </w:r>
      <w:r>
        <w:rPr>
          <w:rFonts w:hint="eastAsia" w:ascii="宋体" w:hAnsi="宋体" w:eastAsia="宋体" w:cs="Times New Roman"/>
          <w:color w:val="auto"/>
          <w:sz w:val="24"/>
          <w:highlight w:val="none"/>
        </w:rPr>
        <w:t>、付款方式、质保期等实质性条款，甲乙双方对合同的真实性负责，鉴证方只负责见证项目招标的真实性。</w:t>
      </w:r>
      <w:bookmarkEnd w:id="91"/>
    </w:p>
    <w:p w14:paraId="53C52060">
      <w:pPr>
        <w:shd w:val="clear"/>
        <w:spacing w:line="420" w:lineRule="exact"/>
        <w:rPr>
          <w:rFonts w:hint="eastAsia" w:ascii="宋体" w:hAnsi="宋体" w:eastAsia="宋体" w:cs="Times New Roman"/>
          <w:color w:val="auto"/>
          <w:sz w:val="24"/>
          <w:highlight w:val="none"/>
        </w:rPr>
      </w:pPr>
      <w:r>
        <w:rPr>
          <w:rFonts w:hint="eastAsia" w:ascii="宋体" w:hAnsi="宋体" w:eastAsia="宋体" w:cs="Times New Roman"/>
          <w:b/>
          <w:bCs/>
          <w:color w:val="auto"/>
          <w:sz w:val="24"/>
          <w:highlight w:val="none"/>
          <w:lang w:val="en-US" w:eastAsia="zh-CN"/>
        </w:rPr>
        <w:t>6</w:t>
      </w:r>
      <w:r>
        <w:rPr>
          <w:rFonts w:hint="eastAsia" w:ascii="宋体" w:hAnsi="宋体" w:eastAsia="宋体" w:cs="Times New Roman"/>
          <w:b/>
          <w:bCs/>
          <w:color w:val="auto"/>
          <w:sz w:val="24"/>
          <w:highlight w:val="none"/>
        </w:rPr>
        <w:t>. 后附政府采购廉洁承诺书。</w:t>
      </w:r>
    </w:p>
    <w:p w14:paraId="3AE89FA6">
      <w:pPr>
        <w:shd w:val="clear"/>
        <w:spacing w:line="420" w:lineRule="exact"/>
        <w:rPr>
          <w:rFonts w:hint="eastAsia" w:ascii="宋体" w:hAnsi="宋体"/>
          <w:b/>
          <w:color w:val="auto"/>
          <w:sz w:val="24"/>
          <w:highlight w:val="none"/>
        </w:rPr>
      </w:pPr>
    </w:p>
    <w:p w14:paraId="1E44827D">
      <w:pPr>
        <w:shd w:val="clear"/>
        <w:spacing w:line="420" w:lineRule="exact"/>
        <w:rPr>
          <w:rFonts w:hint="eastAsia" w:ascii="宋体" w:hAnsi="宋体"/>
          <w:b/>
          <w:bCs/>
          <w:color w:val="auto"/>
          <w:sz w:val="24"/>
          <w:highlight w:val="none"/>
        </w:rPr>
      </w:pPr>
    </w:p>
    <w:p w14:paraId="0959ECA7">
      <w:pPr>
        <w:shd w:val="clear"/>
        <w:spacing w:line="420" w:lineRule="exact"/>
        <w:rPr>
          <w:rFonts w:hint="eastAsia" w:ascii="宋体" w:hAnsi="宋体"/>
          <w:color w:val="auto"/>
          <w:sz w:val="24"/>
          <w:highlight w:val="none"/>
        </w:rPr>
      </w:pPr>
      <w:r>
        <w:rPr>
          <w:rFonts w:hint="eastAsia" w:ascii="宋体" w:hAnsi="宋体"/>
          <w:b/>
          <w:bCs/>
          <w:color w:val="auto"/>
          <w:sz w:val="24"/>
          <w:highlight w:val="none"/>
        </w:rPr>
        <w:t>甲方（盖公章）：                     乙方（盖公章）：</w:t>
      </w:r>
    </w:p>
    <w:p w14:paraId="15B9E33C">
      <w:pPr>
        <w:shd w:val="clear"/>
        <w:spacing w:line="420" w:lineRule="exact"/>
        <w:rPr>
          <w:rFonts w:hint="eastAsia" w:ascii="宋体" w:hAnsi="宋体"/>
          <w:color w:val="auto"/>
          <w:sz w:val="24"/>
          <w:highlight w:val="none"/>
        </w:rPr>
      </w:pPr>
      <w:r>
        <w:rPr>
          <w:rFonts w:hint="eastAsia" w:ascii="宋体" w:hAnsi="宋体"/>
          <w:color w:val="auto"/>
          <w:sz w:val="24"/>
          <w:highlight w:val="none"/>
        </w:rPr>
        <w:t>法定代表人或受委托人                 法定代表人或受委托人</w:t>
      </w:r>
    </w:p>
    <w:p w14:paraId="1D24B7DE">
      <w:pPr>
        <w:shd w:val="clear"/>
        <w:spacing w:line="420" w:lineRule="exact"/>
        <w:rPr>
          <w:rFonts w:hint="eastAsia" w:ascii="宋体" w:hAnsi="宋体"/>
          <w:color w:val="auto"/>
          <w:sz w:val="24"/>
          <w:highlight w:val="none"/>
        </w:rPr>
      </w:pPr>
      <w:r>
        <w:rPr>
          <w:rFonts w:hint="eastAsia" w:ascii="宋体" w:hAnsi="宋体"/>
          <w:color w:val="auto"/>
          <w:sz w:val="24"/>
          <w:highlight w:val="none"/>
        </w:rPr>
        <w:t>（签字）                            （签字）</w:t>
      </w:r>
    </w:p>
    <w:p w14:paraId="4DBB79DD">
      <w:pPr>
        <w:shd w:val="clear"/>
        <w:spacing w:line="420" w:lineRule="exact"/>
        <w:rPr>
          <w:rFonts w:hint="eastAsia" w:ascii="宋体" w:hAnsi="宋体"/>
          <w:color w:val="auto"/>
          <w:sz w:val="24"/>
          <w:highlight w:val="none"/>
        </w:rPr>
      </w:pPr>
      <w:r>
        <w:rPr>
          <w:rFonts w:hint="eastAsia" w:ascii="宋体" w:hAnsi="宋体"/>
          <w:color w:val="auto"/>
          <w:sz w:val="24"/>
          <w:highlight w:val="none"/>
        </w:rPr>
        <w:t>地址：</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地址： </w:t>
      </w:r>
    </w:p>
    <w:p w14:paraId="56A058FD">
      <w:pPr>
        <w:shd w:val="clear"/>
        <w:spacing w:line="420" w:lineRule="exact"/>
        <w:rPr>
          <w:rFonts w:hint="eastAsia" w:ascii="宋体" w:hAnsi="宋体"/>
          <w:color w:val="auto"/>
          <w:sz w:val="24"/>
          <w:highlight w:val="none"/>
        </w:rPr>
      </w:pPr>
      <w:r>
        <w:rPr>
          <w:rFonts w:hint="eastAsia" w:ascii="宋体" w:hAnsi="宋体"/>
          <w:color w:val="auto"/>
          <w:sz w:val="24"/>
          <w:highlight w:val="none"/>
        </w:rPr>
        <w:t xml:space="preserve">邮编：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邮编：</w:t>
      </w:r>
    </w:p>
    <w:p w14:paraId="0D346B0D">
      <w:pPr>
        <w:shd w:val="clear"/>
        <w:spacing w:line="420" w:lineRule="exact"/>
        <w:rPr>
          <w:rFonts w:hint="eastAsia" w:ascii="宋体" w:hAnsi="宋体"/>
          <w:color w:val="auto"/>
          <w:sz w:val="24"/>
          <w:highlight w:val="none"/>
        </w:rPr>
      </w:pPr>
      <w:r>
        <w:rPr>
          <w:rFonts w:hint="eastAsia" w:ascii="宋体" w:hAnsi="宋体"/>
          <w:color w:val="auto"/>
          <w:sz w:val="24"/>
          <w:highlight w:val="none"/>
        </w:rPr>
        <w:t xml:space="preserve">电话：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电话：</w:t>
      </w:r>
    </w:p>
    <w:p w14:paraId="2AD80E7F">
      <w:pPr>
        <w:shd w:val="clear"/>
        <w:spacing w:line="420" w:lineRule="exact"/>
        <w:rPr>
          <w:rFonts w:hint="eastAsia" w:ascii="宋体" w:hAnsi="宋体"/>
          <w:color w:val="auto"/>
          <w:sz w:val="24"/>
          <w:highlight w:val="none"/>
        </w:rPr>
      </w:pPr>
      <w:r>
        <w:rPr>
          <w:rFonts w:hint="eastAsia" w:ascii="宋体" w:hAnsi="宋体"/>
          <w:color w:val="auto"/>
          <w:sz w:val="24"/>
          <w:highlight w:val="none"/>
        </w:rPr>
        <w:t>传真：                               传真：</w:t>
      </w:r>
    </w:p>
    <w:p w14:paraId="48343F7E">
      <w:pPr>
        <w:shd w:val="clear"/>
        <w:spacing w:line="420" w:lineRule="exact"/>
        <w:rPr>
          <w:rFonts w:hint="eastAsia" w:ascii="宋体" w:hAnsi="宋体"/>
          <w:color w:val="auto"/>
          <w:sz w:val="24"/>
          <w:highlight w:val="none"/>
        </w:rPr>
      </w:pPr>
      <w:r>
        <w:rPr>
          <w:rFonts w:hint="eastAsia" w:ascii="宋体" w:hAnsi="宋体"/>
          <w:color w:val="auto"/>
          <w:sz w:val="24"/>
          <w:highlight w:val="none"/>
        </w:rPr>
        <w:t>开户银行：                           开户银行：</w:t>
      </w:r>
    </w:p>
    <w:p w14:paraId="3A921D62">
      <w:pPr>
        <w:shd w:val="clear"/>
        <w:spacing w:line="420" w:lineRule="exact"/>
        <w:rPr>
          <w:rFonts w:hint="eastAsia" w:ascii="宋体" w:hAnsi="宋体"/>
          <w:color w:val="auto"/>
          <w:sz w:val="24"/>
          <w:highlight w:val="none"/>
        </w:rPr>
      </w:pPr>
      <w:r>
        <w:rPr>
          <w:rFonts w:hint="eastAsia" w:ascii="宋体" w:hAnsi="宋体"/>
          <w:color w:val="auto"/>
          <w:sz w:val="24"/>
          <w:highlight w:val="none"/>
        </w:rPr>
        <w:t>帐号：                               帐号：</w:t>
      </w:r>
    </w:p>
    <w:p w14:paraId="0B6B2156">
      <w:pPr>
        <w:shd w:val="clear"/>
        <w:spacing w:line="420" w:lineRule="exact"/>
        <w:rPr>
          <w:rFonts w:hint="eastAsia" w:ascii="宋体" w:hAnsi="宋体"/>
          <w:color w:val="auto"/>
          <w:sz w:val="24"/>
          <w:highlight w:val="none"/>
        </w:rPr>
      </w:pPr>
    </w:p>
    <w:p w14:paraId="7B3B2EEB">
      <w:pPr>
        <w:shd w:val="clear"/>
        <w:spacing w:line="420" w:lineRule="exact"/>
        <w:rPr>
          <w:rFonts w:hint="eastAsia" w:ascii="宋体" w:hAnsi="宋体"/>
          <w:color w:val="auto"/>
          <w:sz w:val="24"/>
          <w:highlight w:val="none"/>
        </w:rPr>
      </w:pPr>
    </w:p>
    <w:p w14:paraId="3C5DB2AD">
      <w:pPr>
        <w:shd w:val="clear"/>
        <w:spacing w:line="420" w:lineRule="exact"/>
        <w:rPr>
          <w:rFonts w:hint="eastAsia" w:ascii="宋体" w:hAnsi="宋体"/>
          <w:color w:val="auto"/>
          <w:sz w:val="24"/>
          <w:highlight w:val="none"/>
        </w:rPr>
      </w:pPr>
      <w:r>
        <w:rPr>
          <w:rFonts w:hint="eastAsia" w:ascii="宋体" w:hAnsi="宋体"/>
          <w:color w:val="auto"/>
          <w:sz w:val="24"/>
          <w:highlight w:val="none"/>
        </w:rPr>
        <w:t>鉴证方:</w:t>
      </w:r>
    </w:p>
    <w:p w14:paraId="74BBAC76">
      <w:pPr>
        <w:shd w:val="clear"/>
        <w:snapToGrid w:val="0"/>
        <w:spacing w:before="120" w:after="120" w:line="400" w:lineRule="exact"/>
        <w:ind w:leftChars="-1" w:hanging="2"/>
        <w:rPr>
          <w:rFonts w:hint="eastAsia"/>
          <w:color w:val="auto"/>
          <w:highlight w:val="none"/>
        </w:rPr>
      </w:pPr>
      <w:r>
        <w:rPr>
          <w:rFonts w:hint="eastAsia" w:ascii="宋体" w:hAnsi="宋体"/>
          <w:color w:val="auto"/>
          <w:sz w:val="24"/>
          <w:szCs w:val="24"/>
          <w:highlight w:val="none"/>
        </w:rPr>
        <w:t>法定代表人或受委托人</w:t>
      </w:r>
      <w:r>
        <w:rPr>
          <w:rFonts w:hint="eastAsia" w:ascii="宋体" w:hAnsi="宋体"/>
          <w:color w:val="auto"/>
          <w:sz w:val="24"/>
          <w:highlight w:val="none"/>
        </w:rPr>
        <w:t>（签字）</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 </w:t>
      </w:r>
    </w:p>
    <w:p w14:paraId="21684A23">
      <w:pPr>
        <w:shd w:val="clear"/>
        <w:spacing w:line="420" w:lineRule="exact"/>
        <w:rPr>
          <w:rFonts w:hint="eastAsia" w:ascii="宋体" w:hAnsi="宋体"/>
          <w:color w:val="auto"/>
          <w:sz w:val="24"/>
          <w:highlight w:val="none"/>
        </w:rPr>
      </w:pPr>
      <w:r>
        <w:rPr>
          <w:rFonts w:hint="eastAsia" w:ascii="宋体" w:hAnsi="宋体"/>
          <w:color w:val="auto"/>
          <w:sz w:val="24"/>
          <w:highlight w:val="none"/>
        </w:rPr>
        <w:t>签约地点：                           签约时间：</w:t>
      </w:r>
    </w:p>
    <w:p w14:paraId="100F1C01">
      <w:pPr>
        <w:shd w:val="clear"/>
        <w:spacing w:line="420" w:lineRule="exact"/>
        <w:jc w:val="center"/>
        <w:rPr>
          <w:rFonts w:hint="eastAsia" w:ascii="宋体" w:hAnsi="宋体"/>
          <w:b/>
          <w:color w:val="auto"/>
          <w:sz w:val="24"/>
          <w:highlight w:val="none"/>
        </w:rPr>
      </w:pPr>
    </w:p>
    <w:p w14:paraId="7AC212C7">
      <w:pPr>
        <w:shd w:val="clear"/>
        <w:spacing w:line="420" w:lineRule="exact"/>
        <w:jc w:val="center"/>
        <w:rPr>
          <w:rFonts w:hint="eastAsia" w:ascii="宋体" w:hAnsi="宋体"/>
          <w:b/>
          <w:color w:val="auto"/>
          <w:sz w:val="24"/>
          <w:highlight w:val="none"/>
        </w:rPr>
      </w:pPr>
    </w:p>
    <w:p w14:paraId="06554CF6">
      <w:pPr>
        <w:shd w:val="clear"/>
        <w:spacing w:line="420" w:lineRule="exact"/>
        <w:jc w:val="center"/>
        <w:rPr>
          <w:rFonts w:hint="eastAsia" w:ascii="宋体" w:hAnsi="宋体"/>
          <w:b/>
          <w:bCs/>
          <w:color w:val="auto"/>
          <w:sz w:val="24"/>
          <w:highlight w:val="none"/>
        </w:rPr>
      </w:pPr>
      <w:r>
        <w:rPr>
          <w:rFonts w:hint="eastAsia" w:ascii="宋体" w:hAnsi="宋体"/>
          <w:b/>
          <w:bCs/>
          <w:color w:val="auto"/>
          <w:sz w:val="24"/>
          <w:highlight w:val="none"/>
        </w:rPr>
        <w:t>注：签订合同时，可以使用项目相关国家标准合同文本。</w:t>
      </w:r>
    </w:p>
    <w:p w14:paraId="161C86F0">
      <w:pPr>
        <w:pageBreakBefore/>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政府采购廉洁承诺书</w:t>
      </w:r>
    </w:p>
    <w:p w14:paraId="11C4B2B3">
      <w:pPr>
        <w:shd w:val="clea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（中标人须将此表附在合同后）</w:t>
      </w:r>
    </w:p>
    <w:p w14:paraId="13A138E5">
      <w:pPr>
        <w:shd w:val="clear"/>
        <w:spacing w:line="360" w:lineRule="auto"/>
        <w:jc w:val="center"/>
        <w:rPr>
          <w:rFonts w:hint="eastAsia" w:ascii="宋体" w:hAnsi="宋体" w:eastAsia="宋体" w:cs="宋体"/>
          <w:b/>
          <w:color w:val="auto"/>
          <w:sz w:val="24"/>
          <w:highlight w:val="none"/>
        </w:rPr>
      </w:pPr>
    </w:p>
    <w:p w14:paraId="3F77A7A8">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                                     项目编号：</w:t>
      </w:r>
    </w:p>
    <w:p w14:paraId="161BD668">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中标人：</w:t>
      </w:r>
    </w:p>
    <w:p w14:paraId="27C01E7E">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为加强政府采购活动中的廉政建设，防止发生商业贿赂等违法违纪行为，保护国家、集体和当事人的合法权益，根据《中华人民共和国政府采购法》和党风廉政建设及反腐败工作有关规定，我方自愿签订本承诺书，并严格执行。</w:t>
      </w:r>
    </w:p>
    <w:p w14:paraId="1B95A66E">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第一条参与政府采购活动时，除具备采购文件规定的资格、资质要求外，我方还将严格遵守有关法律、法规、政策以及国家、地方关于廉政建设的各项规定。</w:t>
      </w:r>
    </w:p>
    <w:p w14:paraId="179694D0">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第二条遵循公开、公平、公正、诚实信用原则，不发生损害上述原则及各方当事人合法权益得不正当竞争行为。</w:t>
      </w:r>
    </w:p>
    <w:p w14:paraId="49F09D75">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第三条与政府采购各方当事人保持正常的业务交往，不向采购人、采购代理机构、监督机构、评审专家、工作人员及其他参与采购活动的人员提供不正当利益。主要有：</w:t>
      </w:r>
    </w:p>
    <w:p w14:paraId="615E34E1">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（一）向上述人员赠送礼金、有价证券、贵重物品及回扣、好处费、感谢费等。</w:t>
      </w:r>
    </w:p>
    <w:p w14:paraId="726C30E8">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（二）为上述人员或单位报销应由对方支付的费用。</w:t>
      </w:r>
    </w:p>
    <w:p w14:paraId="206D2555">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（三）暗示为上述人员装修住房、婚丧嫁娶、配偶子女的工作安排以及出国（境）、旅游等提供方便。</w:t>
      </w:r>
    </w:p>
    <w:p w14:paraId="71ECA72D">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（四）为上述人员或单位提供可能影响采购活动开展的宴请、健身、娱乐等活动。</w:t>
      </w:r>
    </w:p>
    <w:p w14:paraId="5E6B5350">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第四条严格执行采购合同，自觉按合同办事；在合同执行过程中，不发生本承诺书第三条中所列不良行为。    </w:t>
      </w:r>
    </w:p>
    <w:p w14:paraId="58E47233">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第五条 发现采购活动各方当事人有违规、违纪、违法行为的，及时提醒对方，情节严重的，主动向其主管部门或纪检监察、司法等机关举报。</w:t>
      </w:r>
    </w:p>
    <w:p w14:paraId="5A31D9A9">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第六条 自觉接受政府采购管理部门的监管。在采购活动中出现违反本承诺书规定行为的，自觉接受政府采购管理部门的处罚，因违法违规行为给其他当事人造成经济损失的，按规定予以赔偿。</w:t>
      </w:r>
    </w:p>
    <w:p w14:paraId="14B2F622">
      <w:pPr>
        <w:shd w:val="clea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第七条 本承诺书自签署之日起生效。</w:t>
      </w:r>
    </w:p>
    <w:p w14:paraId="2844896F">
      <w:pPr>
        <w:shd w:val="clear"/>
        <w:spacing w:line="360" w:lineRule="auto"/>
        <w:ind w:left="840" w:hanging="840" w:hangingChars="350"/>
        <w:jc w:val="center"/>
        <w:rPr>
          <w:rFonts w:hint="eastAsia" w:ascii="宋体" w:hAnsi="宋体" w:eastAsia="宋体" w:cs="宋体"/>
          <w:color w:val="auto"/>
          <w:sz w:val="24"/>
          <w:highlight w:val="none"/>
        </w:rPr>
      </w:pPr>
    </w:p>
    <w:p w14:paraId="39EE1E7F">
      <w:pPr>
        <w:shd w:val="clear"/>
        <w:spacing w:line="360" w:lineRule="auto"/>
        <w:ind w:left="840" w:hanging="840" w:hangingChars="3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投标人（盖章）：</w:t>
      </w:r>
    </w:p>
    <w:p w14:paraId="4C57A8E0">
      <w:pPr>
        <w:shd w:val="clear"/>
        <w:spacing w:line="360" w:lineRule="auto"/>
        <w:ind w:left="840" w:hanging="840" w:hanging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w:t>
      </w:r>
    </w:p>
    <w:p w14:paraId="38954810">
      <w:pPr>
        <w:shd w:val="clear"/>
        <w:spacing w:line="360" w:lineRule="auto"/>
        <w:ind w:left="840" w:hanging="840" w:hanging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7F6D736E">
      <w:pPr>
        <w:shd w:val="clear"/>
        <w:spacing w:line="360" w:lineRule="auto"/>
        <w:ind w:left="840" w:hanging="840" w:hangingChars="350"/>
        <w:rPr>
          <w:rFonts w:hint="eastAsia" w:ascii="宋体" w:hAnsi="宋体" w:eastAsia="宋体" w:cs="宋体"/>
          <w:color w:val="auto"/>
          <w:sz w:val="24"/>
          <w:highlight w:val="none"/>
        </w:rPr>
      </w:pPr>
    </w:p>
    <w:p w14:paraId="4F86CA19">
      <w:pPr>
        <w:pStyle w:val="7"/>
        <w:shd w:val="clear"/>
        <w:jc w:val="center"/>
        <w:rPr>
          <w:rFonts w:hint="eastAsia" w:ascii="宋体" w:hAnsi="宋体" w:eastAsia="宋体" w:cs="宋体"/>
          <w:color w:val="auto"/>
          <w:sz w:val="24"/>
          <w:szCs w:val="24"/>
          <w:highlight w:val="none"/>
        </w:rPr>
      </w:pPr>
      <w:bookmarkStart w:id="92" w:name="_Toc29743"/>
      <w:r>
        <w:rPr>
          <w:rFonts w:hint="eastAsia" w:ascii="宋体" w:hAnsi="宋体" w:eastAsia="宋体" w:cs="宋体"/>
          <w:color w:val="auto"/>
          <w:sz w:val="24"/>
          <w:szCs w:val="24"/>
          <w:highlight w:val="none"/>
        </w:rPr>
        <w:t>第六章　投标文件组成内容及格式</w:t>
      </w:r>
      <w:bookmarkEnd w:id="92"/>
    </w:p>
    <w:bookmarkEnd w:id="77"/>
    <w:bookmarkEnd w:id="78"/>
    <w:p w14:paraId="4C10E516">
      <w:pPr>
        <w:pStyle w:val="22"/>
        <w:shd w:val="clear"/>
        <w:spacing w:before="120" w:after="120" w:line="360" w:lineRule="auto"/>
        <w:rPr>
          <w:rFonts w:hint="eastAsia" w:ascii="宋体" w:hAnsi="宋体" w:eastAsia="宋体" w:cs="宋体"/>
          <w:color w:val="auto"/>
          <w:szCs w:val="24"/>
          <w:highlight w:val="none"/>
          <w:u w:val="single"/>
        </w:rPr>
      </w:pPr>
    </w:p>
    <w:p w14:paraId="7F3C06E2">
      <w:pPr>
        <w:shd w:val="clear"/>
        <w:jc w:val="center"/>
        <w:outlineLvl w:val="9"/>
        <w:rPr>
          <w:rFonts w:hint="eastAsia" w:ascii="宋体" w:hAnsi="宋体" w:eastAsia="宋体" w:cs="宋体"/>
          <w:b w:val="0"/>
          <w:color w:val="auto"/>
          <w:sz w:val="24"/>
          <w:szCs w:val="24"/>
          <w:highlight w:val="none"/>
        </w:rPr>
      </w:pPr>
      <w:bookmarkStart w:id="93" w:name="_Toc405368940"/>
      <w:r>
        <w:rPr>
          <w:rFonts w:hint="eastAsia" w:ascii="宋体" w:hAnsi="宋体" w:eastAsia="宋体" w:cs="宋体"/>
          <w:b w:val="0"/>
          <w:color w:val="auto"/>
          <w:sz w:val="24"/>
          <w:szCs w:val="24"/>
          <w:highlight w:val="none"/>
        </w:rPr>
        <w:t>一、投标文件封面格式</w:t>
      </w:r>
      <w:bookmarkEnd w:id="93"/>
    </w:p>
    <w:p w14:paraId="2DA6BCCD">
      <w:pPr>
        <w:shd w:val="clear"/>
        <w:outlineLvl w:val="1"/>
        <w:rPr>
          <w:rFonts w:hint="eastAsia" w:ascii="宋体" w:hAnsi="宋体" w:eastAsia="宋体" w:cs="宋体"/>
          <w:color w:val="auto"/>
          <w:sz w:val="24"/>
          <w:highlight w:val="none"/>
        </w:rPr>
      </w:pPr>
    </w:p>
    <w:p w14:paraId="0FA637CC">
      <w:pPr>
        <w:shd w:val="clear"/>
        <w:outlineLvl w:val="1"/>
        <w:rPr>
          <w:rFonts w:hint="eastAsia" w:ascii="宋体" w:hAnsi="宋体" w:eastAsia="宋体" w:cs="宋体"/>
          <w:color w:val="auto"/>
          <w:sz w:val="24"/>
          <w:highlight w:val="none"/>
        </w:rPr>
      </w:pPr>
    </w:p>
    <w:p w14:paraId="10565D2A">
      <w:pPr>
        <w:shd w:val="clear"/>
        <w:outlineLvl w:val="1"/>
        <w:rPr>
          <w:rFonts w:hint="eastAsia" w:ascii="宋体" w:hAnsi="宋体" w:eastAsia="宋体" w:cs="宋体"/>
          <w:color w:val="auto"/>
          <w:sz w:val="24"/>
          <w:highlight w:val="none"/>
        </w:rPr>
      </w:pPr>
    </w:p>
    <w:p w14:paraId="7576D27A">
      <w:pPr>
        <w:shd w:val="clea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1.投标文件封面格式： </w:t>
      </w:r>
    </w:p>
    <w:p w14:paraId="0DBE98BA">
      <w:pPr>
        <w:shd w:val="clea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正本/或副本</w:t>
      </w:r>
    </w:p>
    <w:p w14:paraId="17290C78">
      <w:pPr>
        <w:shd w:val="clear"/>
        <w:spacing w:line="360" w:lineRule="auto"/>
        <w:outlineLvl w:val="9"/>
        <w:rPr>
          <w:rFonts w:hint="eastAsia" w:ascii="宋体" w:hAnsi="宋体" w:eastAsia="宋体" w:cs="宋体"/>
          <w:color w:val="auto"/>
          <w:sz w:val="24"/>
          <w:highlight w:val="none"/>
        </w:rPr>
      </w:pPr>
    </w:p>
    <w:p w14:paraId="4C33B504">
      <w:pPr>
        <w:shd w:val="clear"/>
        <w:spacing w:line="360" w:lineRule="auto"/>
        <w:outlineLvl w:val="1"/>
        <w:rPr>
          <w:rFonts w:hint="eastAsia" w:ascii="宋体" w:hAnsi="宋体" w:eastAsia="宋体" w:cs="宋体"/>
          <w:color w:val="auto"/>
          <w:sz w:val="24"/>
          <w:highlight w:val="none"/>
        </w:rPr>
      </w:pPr>
    </w:p>
    <w:p w14:paraId="7102CF92">
      <w:pPr>
        <w:shd w:val="clear"/>
        <w:spacing w:line="360" w:lineRule="auto"/>
        <w:outlineLvl w:val="1"/>
        <w:rPr>
          <w:rFonts w:hint="eastAsia" w:ascii="宋体" w:hAnsi="宋体" w:eastAsia="宋体" w:cs="宋体"/>
          <w:color w:val="auto"/>
          <w:sz w:val="24"/>
          <w:highlight w:val="none"/>
        </w:rPr>
      </w:pPr>
    </w:p>
    <w:p w14:paraId="6C86C62A">
      <w:pPr>
        <w:shd w:val="clear"/>
        <w:spacing w:line="360" w:lineRule="auto"/>
        <w:outlineLvl w:val="1"/>
        <w:rPr>
          <w:rFonts w:hint="eastAsia" w:ascii="宋体" w:hAnsi="宋体" w:eastAsia="宋体" w:cs="宋体"/>
          <w:color w:val="auto"/>
          <w:sz w:val="24"/>
          <w:highlight w:val="none"/>
        </w:rPr>
      </w:pPr>
    </w:p>
    <w:p w14:paraId="5B9EC6BD">
      <w:pPr>
        <w:shd w:val="clear"/>
        <w:spacing w:line="360" w:lineRule="auto"/>
        <w:outlineLvl w:val="1"/>
        <w:rPr>
          <w:rFonts w:hint="eastAsia" w:ascii="宋体" w:hAnsi="宋体" w:eastAsia="宋体" w:cs="宋体"/>
          <w:color w:val="auto"/>
          <w:sz w:val="24"/>
          <w:highlight w:val="none"/>
        </w:rPr>
      </w:pPr>
    </w:p>
    <w:p w14:paraId="7DEA28B7">
      <w:pPr>
        <w:shd w:val="clear"/>
        <w:spacing w:line="48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资格审查文件、商务技术文件、报价文件（相应选择一个投标文件封面外包装名称）</w:t>
      </w:r>
    </w:p>
    <w:p w14:paraId="399CE3CC">
      <w:pPr>
        <w:shd w:val="clear"/>
        <w:spacing w:line="480" w:lineRule="auto"/>
        <w:outlineLvl w:val="9"/>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lang w:val="en-US" w:eastAsia="zh-CN"/>
        </w:rPr>
        <w:t>东阳市江北综合医院（东阳市红会医院迁建工程）厨房设备采购项目</w:t>
      </w:r>
    </w:p>
    <w:p w14:paraId="225FF75B">
      <w:pPr>
        <w:shd w:val="clear"/>
        <w:spacing w:line="480" w:lineRule="auto"/>
        <w:outlineLvl w:val="9"/>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lang w:val="en-US" w:eastAsia="zh-CN"/>
        </w:rPr>
        <w:t>XSZFCGDZ2024-302</w:t>
      </w:r>
    </w:p>
    <w:p w14:paraId="2EA88A4B">
      <w:pPr>
        <w:shd w:val="clear"/>
        <w:spacing w:line="48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标项：</w:t>
      </w:r>
    </w:p>
    <w:p w14:paraId="09F4B172">
      <w:pPr>
        <w:shd w:val="clear"/>
        <w:spacing w:line="48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w:t>
      </w:r>
    </w:p>
    <w:p w14:paraId="463ECD3E">
      <w:pPr>
        <w:shd w:val="clear"/>
        <w:spacing w:line="48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投标人地址：</w:t>
      </w:r>
    </w:p>
    <w:p w14:paraId="74F69A6C">
      <w:pPr>
        <w:shd w:val="clear"/>
        <w:spacing w:line="480" w:lineRule="auto"/>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622766C">
      <w:pPr>
        <w:shd w:val="clear"/>
        <w:spacing w:line="48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312D73A0">
      <w:pPr>
        <w:shd w:val="clear"/>
        <w:spacing w:line="360" w:lineRule="auto"/>
        <w:outlineLvl w:val="1"/>
        <w:rPr>
          <w:rFonts w:hint="eastAsia" w:ascii="宋体" w:hAnsi="宋体" w:eastAsia="宋体" w:cs="宋体"/>
          <w:color w:val="auto"/>
          <w:sz w:val="24"/>
          <w:highlight w:val="none"/>
        </w:rPr>
      </w:pPr>
    </w:p>
    <w:p w14:paraId="67DD0661">
      <w:pPr>
        <w:shd w:val="clear"/>
        <w:outlineLvl w:val="1"/>
        <w:rPr>
          <w:rFonts w:hint="eastAsia" w:ascii="宋体" w:hAnsi="宋体" w:eastAsia="宋体" w:cs="宋体"/>
          <w:color w:val="auto"/>
          <w:sz w:val="24"/>
          <w:highlight w:val="none"/>
        </w:rPr>
      </w:pPr>
    </w:p>
    <w:p w14:paraId="5FB60376">
      <w:pPr>
        <w:shd w:val="clear"/>
        <w:outlineLvl w:val="1"/>
        <w:rPr>
          <w:rFonts w:hint="eastAsia" w:ascii="宋体" w:hAnsi="宋体" w:eastAsia="宋体" w:cs="宋体"/>
          <w:color w:val="auto"/>
          <w:sz w:val="24"/>
          <w:highlight w:val="none"/>
        </w:rPr>
      </w:pPr>
    </w:p>
    <w:p w14:paraId="7560AEAE">
      <w:pPr>
        <w:shd w:val="clear"/>
        <w:spacing w:line="360" w:lineRule="auto"/>
        <w:outlineLvl w:val="1"/>
        <w:rPr>
          <w:rFonts w:hint="eastAsia" w:ascii="宋体" w:hAnsi="宋体" w:eastAsia="宋体" w:cs="宋体"/>
          <w:b/>
          <w:color w:val="auto"/>
          <w:sz w:val="24"/>
          <w:highlight w:val="none"/>
        </w:rPr>
      </w:pPr>
    </w:p>
    <w:p w14:paraId="7509265C">
      <w:pPr>
        <w:pStyle w:val="15"/>
        <w:shd w:val="clear"/>
        <w:outlineLvl w:val="1"/>
        <w:rPr>
          <w:rFonts w:hint="eastAsia" w:ascii="宋体" w:hAnsi="宋体" w:eastAsia="宋体" w:cs="宋体"/>
          <w:b/>
          <w:color w:val="auto"/>
          <w:sz w:val="24"/>
          <w:highlight w:val="none"/>
        </w:rPr>
      </w:pPr>
    </w:p>
    <w:p w14:paraId="5C7B6B22">
      <w:pPr>
        <w:pStyle w:val="16"/>
        <w:shd w:val="clear"/>
        <w:outlineLvl w:val="1"/>
        <w:rPr>
          <w:rFonts w:hint="eastAsia"/>
          <w:color w:val="auto"/>
          <w:highlight w:val="none"/>
        </w:rPr>
      </w:pPr>
    </w:p>
    <w:p w14:paraId="56CE2E02">
      <w:pPr>
        <w:shd w:val="clear"/>
        <w:spacing w:line="360" w:lineRule="auto"/>
        <w:outlineLvl w:val="1"/>
        <w:rPr>
          <w:rFonts w:hint="eastAsia" w:ascii="宋体" w:hAnsi="宋体" w:eastAsia="宋体" w:cs="宋体"/>
          <w:b/>
          <w:color w:val="auto"/>
          <w:sz w:val="24"/>
          <w:highlight w:val="none"/>
        </w:rPr>
      </w:pPr>
    </w:p>
    <w:p w14:paraId="054275A8">
      <w:pPr>
        <w:shd w:val="clear"/>
        <w:spacing w:line="360" w:lineRule="auto"/>
        <w:outlineLvl w:val="9"/>
        <w:rPr>
          <w:rFonts w:hint="eastAsia" w:ascii="宋体" w:hAnsi="宋体" w:eastAsia="宋体" w:cs="宋体"/>
          <w:b/>
          <w:color w:val="auto"/>
          <w:sz w:val="24"/>
          <w:highlight w:val="none"/>
        </w:rPr>
      </w:pPr>
      <w:r>
        <w:rPr>
          <w:rFonts w:hint="eastAsia" w:ascii="宋体" w:hAnsi="宋体" w:cs="宋体"/>
          <w:b/>
          <w:color w:val="auto"/>
          <w:sz w:val="24"/>
          <w:highlight w:val="none"/>
          <w:lang w:val="en-US" w:eastAsia="zh-CN"/>
        </w:rPr>
        <w:t>2</w:t>
      </w:r>
      <w:r>
        <w:rPr>
          <w:rFonts w:hint="eastAsia" w:ascii="宋体" w:hAnsi="宋体" w:eastAsia="宋体" w:cs="宋体"/>
          <w:b/>
          <w:color w:val="auto"/>
          <w:sz w:val="24"/>
          <w:highlight w:val="none"/>
        </w:rPr>
        <w:t>.资格审查文件：</w:t>
      </w:r>
    </w:p>
    <w:p w14:paraId="303DCE4B">
      <w:pPr>
        <w:shd w:val="clear"/>
        <w:spacing w:line="360" w:lineRule="auto"/>
        <w:rPr>
          <w:rFonts w:hint="eastAsia" w:ascii="宋体" w:hAnsi="宋体" w:eastAsia="宋体" w:cs="宋体"/>
          <w:color w:val="auto"/>
          <w:sz w:val="24"/>
          <w:highlight w:val="none"/>
        </w:rPr>
      </w:pPr>
      <w:bookmarkStart w:id="94" w:name="_Toc28647"/>
      <w:r>
        <w:rPr>
          <w:rFonts w:hint="eastAsia" w:ascii="宋体" w:hAnsi="宋体" w:eastAsia="宋体" w:cs="宋体"/>
          <w:color w:val="auto"/>
          <w:sz w:val="24"/>
          <w:highlight w:val="none"/>
        </w:rPr>
        <w:t>（1）具有独立承担民事责任的能力：投标人须在投标文件中出具符合以下情况的证明材料复印件（五选一）：</w:t>
      </w:r>
    </w:p>
    <w:p w14:paraId="1DEBE362">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①如投标人是企业（包括合伙企业），提供在工商部门注册的有效“企业法人营业执照”或“营业执照”；</w:t>
      </w:r>
    </w:p>
    <w:p w14:paraId="4A81EFD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②如投标人是事业单位，提供有效的“事业单位法人证书”；</w:t>
      </w:r>
    </w:p>
    <w:p w14:paraId="50A99F7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③如投标人是非企业专业服务机构的，提供执业许可证等证明文件；</w:t>
      </w:r>
    </w:p>
    <w:p w14:paraId="5F6282BC">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④如投标人是个体工商户，提供有效的“个体工商户营业执照”；</w:t>
      </w:r>
    </w:p>
    <w:p w14:paraId="78AC47BC">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⑤如投标人是自然人，提供有效的自然人身份证明（居民身份证正反面或公安机关出具的临时居民身份证正反面或港澳台胞证或护照）。</w:t>
      </w:r>
    </w:p>
    <w:p w14:paraId="71869D3A">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（2）法定代表人身份证复印件或法定代表人授权委托书(格式见附件)；</w:t>
      </w:r>
    </w:p>
    <w:p w14:paraId="7ADC89D7">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（3）符合参加政府采购活动应当具备的一般条件的承诺函（格式见附件）；</w:t>
      </w:r>
    </w:p>
    <w:p w14:paraId="4FC3C1E0">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信用记录网络查询页面截图（信用中国与中国政府采购网）；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7BD4640">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（5）浙江政府采购网注册正式供应商的网络截图或承诺中标后30天内注册为浙江政府采购网正式供应商（须提供承诺书）；</w:t>
      </w:r>
    </w:p>
    <w:p w14:paraId="5F3345F0">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）东阳市政府采购代理机构社会评价表（格式见附件）；</w:t>
      </w:r>
    </w:p>
    <w:p w14:paraId="6EFBA129">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7</w:t>
      </w:r>
      <w:r>
        <w:rPr>
          <w:rFonts w:hint="eastAsia" w:ascii="宋体" w:hAnsi="宋体" w:eastAsia="宋体" w:cs="宋体"/>
          <w:color w:val="auto"/>
          <w:sz w:val="24"/>
          <w:highlight w:val="none"/>
        </w:rPr>
        <w:t>）投标声明书 (格式见附件) ；</w:t>
      </w:r>
    </w:p>
    <w:p w14:paraId="0D43AD13">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rPr>
        <w:t>）政府采购活动现场确认声明书 (格式见附件) ；</w:t>
      </w:r>
    </w:p>
    <w:p w14:paraId="0C363413">
      <w:pPr>
        <w:shd w:val="clear"/>
        <w:spacing w:line="360" w:lineRule="auto"/>
        <w:rPr>
          <w:rFonts w:ascii="宋体" w:hAnsi="宋体" w:cs="宋体"/>
          <w:b/>
          <w:bCs/>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rPr>
        <w:t>）</w:t>
      </w:r>
      <w:r>
        <w:rPr>
          <w:rFonts w:hint="eastAsia" w:ascii="宋体" w:hAnsi="宋体" w:cs="宋体"/>
          <w:color w:val="auto"/>
          <w:sz w:val="24"/>
          <w:highlight w:val="none"/>
        </w:rPr>
        <w:t>联合体协议书（联合体投标时提供）/分包意向协议（分包投标时提供）（格式见附件）；</w:t>
      </w:r>
    </w:p>
    <w:p w14:paraId="31A43353">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w:t>
      </w:r>
      <w:r>
        <w:rPr>
          <w:rFonts w:hint="eastAsia" w:ascii="宋体" w:hAnsi="宋体" w:cs="宋体"/>
          <w:b/>
          <w:bCs/>
          <w:color w:val="auto"/>
          <w:sz w:val="24"/>
          <w:highlight w:val="none"/>
          <w:lang w:val="en-US" w:eastAsia="zh-CN"/>
        </w:rPr>
        <w:t>10</w:t>
      </w:r>
      <w:r>
        <w:rPr>
          <w:rFonts w:hint="eastAsia" w:ascii="宋体" w:hAnsi="宋体" w:eastAsia="宋体" w:cs="宋体"/>
          <w:b/>
          <w:bCs/>
          <w:color w:val="auto"/>
          <w:sz w:val="24"/>
          <w:highlight w:val="none"/>
        </w:rPr>
        <w:t>）落实政府采购政策需满足的资格：供应商为中小企业/小微企业，提供《中小企业声明函》（格式见附件）；</w:t>
      </w:r>
    </w:p>
    <w:p w14:paraId="04CE77E9">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11</w:t>
      </w:r>
      <w:r>
        <w:rPr>
          <w:rFonts w:hint="eastAsia" w:ascii="宋体" w:hAnsi="宋体" w:eastAsia="宋体" w:cs="宋体"/>
          <w:color w:val="auto"/>
          <w:sz w:val="24"/>
          <w:highlight w:val="none"/>
        </w:rPr>
        <w:t>）投标人情况介绍；</w:t>
      </w:r>
    </w:p>
    <w:p w14:paraId="4B1FA965">
      <w:pPr>
        <w:shd w:val="clear"/>
        <w:spacing w:line="360" w:lineRule="auto"/>
        <w:rPr>
          <w:rFonts w:ascii="宋体" w:hAnsi="宋体" w:cs="宋体"/>
          <w:color w:val="auto"/>
          <w:sz w:val="24"/>
          <w:highlight w:val="none"/>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）投标人认为有必要提供的其它文件。</w:t>
      </w:r>
    </w:p>
    <w:p w14:paraId="7E05B923">
      <w:pPr>
        <w:shd w:val="clear"/>
        <w:spacing w:line="360" w:lineRule="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.商务技术文件</w:t>
      </w:r>
    </w:p>
    <w:p w14:paraId="4541A6D6">
      <w:pPr>
        <w:shd w:val="clear"/>
        <w:spacing w:line="360" w:lineRule="auto"/>
        <w:rPr>
          <w:rFonts w:hint="eastAsia" w:ascii="宋体" w:hAnsi="宋体" w:cs="宋体"/>
          <w:color w:val="auto"/>
          <w:sz w:val="24"/>
          <w:highlight w:val="none"/>
        </w:rPr>
      </w:pPr>
      <w:bookmarkStart w:id="95" w:name="OLE_LINK36"/>
      <w:r>
        <w:rPr>
          <w:rFonts w:hint="eastAsia" w:ascii="宋体" w:hAnsi="宋体" w:cs="宋体"/>
          <w:color w:val="auto"/>
          <w:sz w:val="24"/>
          <w:highlight w:val="none"/>
        </w:rPr>
        <w:t>（1）投标人资信商务、技术自评得分表（格式见附件）；</w:t>
      </w:r>
    </w:p>
    <w:p w14:paraId="250BEE83">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（2）商务响应表（格式见附件）；</w:t>
      </w:r>
    </w:p>
    <w:p w14:paraId="7DE3A44E">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（3）技术响应表（格式见附件）；</w:t>
      </w:r>
    </w:p>
    <w:p w14:paraId="3C1246BC">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（4）</w:t>
      </w:r>
      <w:r>
        <w:rPr>
          <w:rFonts w:hint="default" w:ascii="宋体" w:hAnsi="宋体" w:cs="宋体"/>
          <w:color w:val="auto"/>
          <w:sz w:val="24"/>
          <w:highlight w:val="none"/>
          <w:lang w:val="en-US"/>
        </w:rPr>
        <w:t>产品配置清单</w:t>
      </w:r>
      <w:r>
        <w:rPr>
          <w:rFonts w:hint="eastAsia" w:ascii="宋体" w:hAnsi="宋体" w:cs="宋体"/>
          <w:color w:val="auto"/>
          <w:sz w:val="24"/>
          <w:highlight w:val="none"/>
        </w:rPr>
        <w:t>（格式见附件）；</w:t>
      </w:r>
    </w:p>
    <w:p w14:paraId="6F14C09B">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样品</w:t>
      </w:r>
      <w:r>
        <w:rPr>
          <w:rFonts w:hint="eastAsia" w:ascii="宋体" w:hAnsi="宋体" w:cs="宋体"/>
          <w:color w:val="auto"/>
          <w:sz w:val="24"/>
          <w:highlight w:val="none"/>
        </w:rPr>
        <w:t xml:space="preserve">；  </w:t>
      </w:r>
    </w:p>
    <w:p w14:paraId="173DEC41">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eastAsia="宋体" w:cs="宋体"/>
          <w:color w:val="auto"/>
          <w:sz w:val="24"/>
          <w:highlight w:val="none"/>
        </w:rPr>
        <w:t>技术响应</w:t>
      </w:r>
      <w:r>
        <w:rPr>
          <w:rFonts w:hint="eastAsia" w:ascii="宋体" w:hAnsi="宋体" w:cs="宋体"/>
          <w:color w:val="auto"/>
          <w:sz w:val="24"/>
          <w:highlight w:val="none"/>
          <w:lang w:val="en-US" w:eastAsia="zh-CN"/>
        </w:rPr>
        <w:t>情况</w:t>
      </w:r>
      <w:r>
        <w:rPr>
          <w:rFonts w:hint="eastAsia" w:ascii="宋体" w:hAnsi="宋体" w:cs="宋体"/>
          <w:color w:val="auto"/>
          <w:sz w:val="24"/>
          <w:highlight w:val="none"/>
        </w:rPr>
        <w:t xml:space="preserve">； </w:t>
      </w:r>
    </w:p>
    <w:p w14:paraId="49E8AB43">
      <w:pPr>
        <w:pStyle w:val="37"/>
        <w:shd w:val="clear"/>
        <w:ind w:left="0" w:leftChars="0" w:firstLine="0" w:firstLineChars="0"/>
        <w:rPr>
          <w:rFonts w:hint="eastAsia"/>
          <w:color w:val="auto"/>
          <w:highlight w:val="none"/>
        </w:rPr>
      </w:pPr>
      <w:r>
        <w:rPr>
          <w:rFonts w:hint="eastAsia" w:ascii="宋体" w:hAnsi="宋体" w:eastAsia="宋体" w:cs="仿宋"/>
          <w:b w:val="0"/>
          <w:color w:val="auto"/>
          <w:kern w:val="0"/>
          <w:sz w:val="24"/>
          <w:szCs w:val="24"/>
          <w:highlight w:val="none"/>
          <w:lang w:val="en-US" w:eastAsia="zh-CN" w:bidi="ar-SA"/>
        </w:rPr>
        <w:t>（7）</w:t>
      </w:r>
      <w:r>
        <w:rPr>
          <w:rFonts w:hint="eastAsia" w:ascii="宋体" w:hAnsi="宋体" w:cs="宋体"/>
          <w:color w:val="auto"/>
          <w:sz w:val="24"/>
          <w:szCs w:val="24"/>
          <w:highlight w:val="none"/>
          <w:lang w:val="en-US" w:eastAsia="zh-CN"/>
        </w:rPr>
        <w:t>进度计划</w:t>
      </w:r>
      <w:r>
        <w:rPr>
          <w:rFonts w:hint="eastAsia" w:ascii="宋体" w:hAnsi="宋体" w:cs="仿宋"/>
          <w:b w:val="0"/>
          <w:color w:val="auto"/>
          <w:kern w:val="0"/>
          <w:sz w:val="24"/>
          <w:szCs w:val="24"/>
          <w:highlight w:val="none"/>
          <w:lang w:val="en-US" w:eastAsia="zh-CN" w:bidi="ar-SA"/>
        </w:rPr>
        <w:t>；</w:t>
      </w:r>
    </w:p>
    <w:p w14:paraId="007A76A0">
      <w:pPr>
        <w:shd w:val="clea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eastAsia="宋体" w:cs="宋体"/>
          <w:color w:val="auto"/>
          <w:sz w:val="24"/>
          <w:szCs w:val="24"/>
          <w:highlight w:val="none"/>
        </w:rPr>
        <w:t>安装实施方案</w:t>
      </w:r>
      <w:r>
        <w:rPr>
          <w:rFonts w:hint="eastAsia" w:ascii="宋体" w:hAnsi="宋体" w:cs="宋体"/>
          <w:color w:val="auto"/>
          <w:sz w:val="24"/>
          <w:highlight w:val="none"/>
        </w:rPr>
        <w:t xml:space="preserve">；  </w:t>
      </w:r>
    </w:p>
    <w:p w14:paraId="57E53DB3">
      <w:pPr>
        <w:shd w:val="clear"/>
        <w:spacing w:line="360" w:lineRule="auto"/>
        <w:jc w:val="both"/>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eastAsia="宋体" w:cs="宋体"/>
          <w:color w:val="auto"/>
          <w:sz w:val="24"/>
          <w:szCs w:val="24"/>
          <w:highlight w:val="none"/>
          <w:lang w:val="en-US" w:eastAsia="zh-CN"/>
        </w:rPr>
        <w:t>质量保障措施</w:t>
      </w:r>
      <w:r>
        <w:rPr>
          <w:rFonts w:hint="eastAsia" w:ascii="宋体" w:hAnsi="宋体" w:cs="宋体"/>
          <w:color w:val="auto"/>
          <w:sz w:val="24"/>
          <w:highlight w:val="none"/>
        </w:rPr>
        <w:t xml:space="preserve">； </w:t>
      </w:r>
    </w:p>
    <w:p w14:paraId="76E5107C">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w:t>
      </w:r>
      <w:r>
        <w:rPr>
          <w:rFonts w:hint="eastAsia" w:ascii="宋体" w:hAnsi="宋体" w:eastAsia="宋体" w:cs="宋体"/>
          <w:color w:val="auto"/>
          <w:sz w:val="24"/>
          <w:szCs w:val="24"/>
          <w:highlight w:val="none"/>
        </w:rPr>
        <w:t>团队</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配备</w:t>
      </w:r>
      <w:r>
        <w:rPr>
          <w:rFonts w:hint="eastAsia" w:ascii="宋体" w:hAnsi="宋体" w:cs="宋体"/>
          <w:color w:val="auto"/>
          <w:sz w:val="24"/>
          <w:highlight w:val="none"/>
        </w:rPr>
        <w:t>；</w:t>
      </w:r>
    </w:p>
    <w:p w14:paraId="009BA8D6">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11</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质保期；</w:t>
      </w:r>
      <w:r>
        <w:rPr>
          <w:rFonts w:hint="eastAsia" w:ascii="宋体" w:hAnsi="宋体" w:cs="宋体"/>
          <w:color w:val="auto"/>
          <w:sz w:val="24"/>
          <w:highlight w:val="none"/>
        </w:rPr>
        <w:t xml:space="preserve"> </w:t>
      </w:r>
    </w:p>
    <w:p w14:paraId="7AC1310A">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认证证书</w:t>
      </w:r>
      <w:r>
        <w:rPr>
          <w:rFonts w:hint="eastAsia" w:ascii="宋体" w:hAnsi="宋体" w:cs="宋体"/>
          <w:color w:val="auto"/>
          <w:sz w:val="24"/>
          <w:highlight w:val="none"/>
        </w:rPr>
        <w:t>；</w:t>
      </w:r>
    </w:p>
    <w:p w14:paraId="2B05A63D">
      <w:pPr>
        <w:shd w:val="clear"/>
        <w:spacing w:line="360" w:lineRule="auto"/>
        <w:rPr>
          <w:rFonts w:hint="eastAsia" w:ascii="宋体" w:hAnsi="宋体" w:cs="宋体"/>
          <w:color w:val="auto"/>
          <w:sz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售后服务方案</w:t>
      </w:r>
      <w:r>
        <w:rPr>
          <w:rFonts w:hint="eastAsia" w:ascii="宋体" w:hAnsi="宋体" w:cs="宋体"/>
          <w:color w:val="auto"/>
          <w:sz w:val="24"/>
          <w:szCs w:val="24"/>
          <w:highlight w:val="none"/>
          <w:lang w:eastAsia="zh-CN"/>
        </w:rPr>
        <w:t>；</w:t>
      </w:r>
      <w:r>
        <w:rPr>
          <w:rFonts w:hint="eastAsia" w:ascii="宋体" w:hAnsi="宋体" w:cs="宋体"/>
          <w:color w:val="auto"/>
          <w:sz w:val="24"/>
          <w:highlight w:val="none"/>
        </w:rPr>
        <w:t xml:space="preserve"> </w:t>
      </w:r>
    </w:p>
    <w:p w14:paraId="3E7BAEAC">
      <w:pPr>
        <w:numPr>
          <w:ilvl w:val="0"/>
          <w:numId w:val="17"/>
        </w:numPr>
        <w:shd w:val="clea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同类业绩</w:t>
      </w:r>
      <w:r>
        <w:rPr>
          <w:rFonts w:hint="eastAsia" w:ascii="宋体" w:hAnsi="宋体" w:cs="宋体"/>
          <w:color w:val="auto"/>
          <w:sz w:val="24"/>
          <w:highlight w:val="none"/>
        </w:rPr>
        <w:t>；</w:t>
      </w:r>
    </w:p>
    <w:p w14:paraId="4CD06150">
      <w:pPr>
        <w:shd w:val="clea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）环保节能产品；</w:t>
      </w:r>
    </w:p>
    <w:p w14:paraId="6E51D0FC">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16</w:t>
      </w:r>
      <w:r>
        <w:rPr>
          <w:rFonts w:hint="eastAsia" w:ascii="宋体" w:hAnsi="宋体" w:cs="宋体"/>
          <w:color w:val="auto"/>
          <w:sz w:val="24"/>
          <w:highlight w:val="none"/>
        </w:rPr>
        <w:t>）服务费承诺书（格式见附件）；</w:t>
      </w:r>
    </w:p>
    <w:p w14:paraId="626ADCEA">
      <w:pPr>
        <w:shd w:val="clear"/>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17</w:t>
      </w:r>
      <w:r>
        <w:rPr>
          <w:rFonts w:hint="eastAsia" w:ascii="宋体" w:hAnsi="宋体" w:cs="宋体"/>
          <w:color w:val="auto"/>
          <w:sz w:val="24"/>
          <w:highlight w:val="none"/>
        </w:rPr>
        <w:t>）投标人需要说明的其他文件和说明。</w:t>
      </w:r>
    </w:p>
    <w:bookmarkEnd w:id="95"/>
    <w:p w14:paraId="7004915D">
      <w:pPr>
        <w:numPr>
          <w:ilvl w:val="0"/>
          <w:numId w:val="18"/>
        </w:numPr>
        <w:shd w:val="clear"/>
        <w:spacing w:line="360" w:lineRule="auto"/>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报价文件</w:t>
      </w:r>
    </w:p>
    <w:p w14:paraId="65D8318A">
      <w:pPr>
        <w:shd w:val="clea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（1）投标函（格式见附件）； </w:t>
      </w:r>
    </w:p>
    <w:p w14:paraId="3497B359">
      <w:pPr>
        <w:shd w:val="clea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 xml:space="preserve">）开标一览表（格式见附件）； </w:t>
      </w:r>
    </w:p>
    <w:p w14:paraId="2F56D2AD">
      <w:pPr>
        <w:shd w:val="clear"/>
        <w:spacing w:line="360" w:lineRule="auto"/>
        <w:outlineLvl w:val="9"/>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rPr>
        <w:t>）投标人针对报价需要说明的其他文件和说明（格式自拟）。</w:t>
      </w:r>
    </w:p>
    <w:p w14:paraId="2DC29175">
      <w:pPr>
        <w:pStyle w:val="8"/>
        <w:keepNext w:val="0"/>
        <w:keepLines w:val="0"/>
        <w:pageBreakBefore/>
        <w:shd w:val="clear"/>
        <w:spacing w:line="360" w:lineRule="auto"/>
        <w:rPr>
          <w:rFonts w:hint="eastAsia" w:ascii="宋体" w:hAnsi="宋体" w:eastAsia="宋体" w:cs="宋体"/>
          <w:b w:val="0"/>
          <w:color w:val="auto"/>
          <w:sz w:val="24"/>
          <w:szCs w:val="24"/>
          <w:highlight w:val="none"/>
        </w:rPr>
      </w:pPr>
      <w:bookmarkStart w:id="96" w:name="_Toc17450"/>
      <w:r>
        <w:rPr>
          <w:rFonts w:hint="eastAsia" w:ascii="宋体" w:hAnsi="宋体" w:eastAsia="宋体" w:cs="宋体"/>
          <w:b w:val="0"/>
          <w:color w:val="auto"/>
          <w:sz w:val="24"/>
          <w:szCs w:val="24"/>
          <w:highlight w:val="none"/>
          <w:lang w:val="en-US" w:eastAsia="zh-CN"/>
        </w:rPr>
        <w:t>附</w:t>
      </w:r>
      <w:r>
        <w:rPr>
          <w:rFonts w:hint="eastAsia" w:ascii="宋体" w:hAnsi="宋体" w:eastAsia="宋体" w:cs="宋体"/>
          <w:b w:val="0"/>
          <w:color w:val="auto"/>
          <w:sz w:val="24"/>
          <w:szCs w:val="24"/>
          <w:highlight w:val="none"/>
        </w:rPr>
        <w:t>件一：投标声明书</w:t>
      </w:r>
      <w:bookmarkEnd w:id="94"/>
      <w:bookmarkEnd w:id="96"/>
    </w:p>
    <w:p w14:paraId="6C5DC0C2">
      <w:pPr>
        <w:shd w:val="clea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投标声明书</w:t>
      </w:r>
    </w:p>
    <w:p w14:paraId="4AA66E39">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14:paraId="0587005C">
      <w:pPr>
        <w:shd w:val="clear"/>
        <w:snapToGrid w:val="0"/>
        <w:spacing w:before="120" w:beforeLines="50" w:after="50" w:line="276"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（投标人名称）系中华人民共和国合法企业，经营地址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0559906">
      <w:pPr>
        <w:shd w:val="clear"/>
        <w:snapToGrid w:val="0"/>
        <w:spacing w:before="120" w:beforeLines="50" w:after="50" w:line="276" w:lineRule="auto"/>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（投标人名称）的法定代表人，我方愿意参加贵方组织的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项目的投标，为便于贵方公正、择优地确定中标人及其投标服务，我方就本次投标有关事项郑重声明如下：</w:t>
      </w:r>
    </w:p>
    <w:p w14:paraId="459DC08A">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1.我方向贵方提交的所有投标文件、资料都是准确的和真实的。若有违背，我公司愿为由此而产生的一切后果负责。</w:t>
      </w:r>
    </w:p>
    <w:p w14:paraId="507F8CC0">
      <w:pPr>
        <w:shd w:val="clear"/>
        <w:snapToGrid w:val="0"/>
        <w:spacing w:before="120" w:beforeLines="50" w:line="27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2.我方不是采购人的附属机构；在获知本项目采购信息后，与采购人聘请的为此项目提供咨询服务的公司及其附属机构没有任何联系。</w:t>
      </w:r>
    </w:p>
    <w:p w14:paraId="41AE17BD">
      <w:pPr>
        <w:shd w:val="clear"/>
        <w:snapToGrid w:val="0"/>
        <w:spacing w:before="120" w:beforeLines="50"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 我方诚意提请贵方关注：近期有</w:t>
      </w:r>
      <w:r>
        <w:rPr>
          <w:rFonts w:hint="eastAsia" w:ascii="宋体" w:hAnsi="宋体" w:eastAsia="宋体" w:cs="宋体"/>
          <w:color w:val="auto"/>
          <w:sz w:val="24"/>
          <w:highlight w:val="none"/>
          <w:u w:val="single"/>
        </w:rPr>
        <w:t xml:space="preserve">                   （采购内容）</w:t>
      </w:r>
      <w:r>
        <w:rPr>
          <w:rFonts w:hint="eastAsia" w:ascii="宋体" w:hAnsi="宋体" w:eastAsia="宋体" w:cs="宋体"/>
          <w:color w:val="auto"/>
          <w:sz w:val="24"/>
          <w:highlight w:val="none"/>
        </w:rPr>
        <w:t>等方面的重大决策和事项有：</w:t>
      </w:r>
    </w:p>
    <w:p w14:paraId="2D0565C4">
      <w:pPr>
        <w:shd w:val="clear"/>
        <w:snapToGrid w:val="0"/>
        <w:spacing w:before="120" w:beforeLines="50" w:line="27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w:t>
      </w:r>
    </w:p>
    <w:p w14:paraId="6AC5653F">
      <w:pPr>
        <w:shd w:val="clear"/>
        <w:snapToGrid w:val="0"/>
        <w:spacing w:before="120" w:beforeLines="50"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w:t>
      </w:r>
    </w:p>
    <w:p w14:paraId="569F927D">
      <w:pPr>
        <w:pStyle w:val="16"/>
        <w:shd w:val="clear"/>
        <w:snapToGrid w:val="0"/>
        <w:spacing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4.我方及由本人担任法定代表人的其他机构最近三年内被通报或者被处罚的违法行为有：</w:t>
      </w:r>
    </w:p>
    <w:p w14:paraId="044ADE76">
      <w:pPr>
        <w:shd w:val="clear"/>
        <w:snapToGrid w:val="0"/>
        <w:spacing w:before="120" w:beforeLines="50" w:line="27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w:t>
      </w:r>
    </w:p>
    <w:p w14:paraId="5164036C">
      <w:pPr>
        <w:shd w:val="clear"/>
        <w:snapToGrid w:val="0"/>
        <w:spacing w:before="120" w:beforeLines="50" w:line="276"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w:t>
      </w:r>
    </w:p>
    <w:p w14:paraId="269260D9">
      <w:pPr>
        <w:shd w:val="clear"/>
        <w:snapToGrid w:val="0"/>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5.以上事项如有虚假或隐瞒，我方愿意承担一切后果，并不再寻求任何旨在减轻或免除法律责任的辩解。</w:t>
      </w:r>
    </w:p>
    <w:p w14:paraId="1381BCDF">
      <w:pPr>
        <w:pStyle w:val="21"/>
        <w:shd w:val="clear"/>
        <w:tabs>
          <w:tab w:val="left" w:pos="939"/>
        </w:tabs>
        <w:snapToGrid w:val="0"/>
        <w:spacing w:line="276" w:lineRule="auto"/>
        <w:ind w:left="773" w:leftChars="150" w:hanging="458" w:hangingChars="191"/>
        <w:rPr>
          <w:rFonts w:hint="eastAsia" w:ascii="宋体" w:hAnsi="宋体" w:eastAsia="宋体" w:cs="宋体"/>
          <w:color w:val="auto"/>
          <w:sz w:val="24"/>
          <w:highlight w:val="none"/>
        </w:rPr>
      </w:pPr>
    </w:p>
    <w:p w14:paraId="3C28700A">
      <w:pPr>
        <w:pStyle w:val="115"/>
        <w:shd w:val="clear"/>
        <w:snapToGrid w:val="0"/>
        <w:spacing w:before="120" w:beforeLines="50" w:line="276" w:lineRule="auto"/>
        <w:ind w:firstLine="200"/>
        <w:rPr>
          <w:rFonts w:hint="eastAsia" w:ascii="宋体" w:hAnsi="宋体" w:eastAsia="宋体" w:cs="宋体"/>
          <w:color w:val="auto"/>
          <w:szCs w:val="24"/>
          <w:highlight w:val="none"/>
        </w:rPr>
      </w:pPr>
    </w:p>
    <w:p w14:paraId="7F15B18A">
      <w:pPr>
        <w:shd w:val="clear"/>
        <w:snapToGrid w:val="0"/>
        <w:spacing w:before="120" w:beforeLines="50" w:line="276" w:lineRule="auto"/>
        <w:ind w:firstLine="319" w:firstLineChars="133"/>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法定代表人或委托代理人签字：</w:t>
      </w:r>
      <w:r>
        <w:rPr>
          <w:rFonts w:hint="eastAsia" w:ascii="宋体" w:hAnsi="宋体" w:eastAsia="宋体" w:cs="宋体"/>
          <w:color w:val="auto"/>
          <w:sz w:val="24"/>
          <w:highlight w:val="none"/>
          <w:u w:val="single"/>
        </w:rPr>
        <w:t xml:space="preserve">             </w:t>
      </w:r>
    </w:p>
    <w:p w14:paraId="08439A18">
      <w:pPr>
        <w:shd w:val="clear"/>
        <w:snapToGrid w:val="0"/>
        <w:spacing w:before="120" w:beforeLines="50" w:after="50" w:line="276"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0858F15C">
      <w:pPr>
        <w:shd w:val="clear"/>
        <w:snapToGrid w:val="0"/>
        <w:spacing w:before="120" w:beforeLines="50" w:after="50" w:line="276" w:lineRule="auto"/>
        <w:ind w:firstLine="6240" w:firstLineChars="2600"/>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19E90758">
      <w:pPr>
        <w:shd w:val="clear"/>
        <w:snapToGrid w:val="0"/>
        <w:spacing w:before="120" w:beforeLines="50" w:after="50" w:line="276" w:lineRule="auto"/>
        <w:ind w:firstLine="6240" w:firstLineChars="2600"/>
        <w:rPr>
          <w:rFonts w:hint="eastAsia" w:ascii="宋体" w:hAnsi="宋体" w:eastAsia="宋体" w:cs="宋体"/>
          <w:color w:val="auto"/>
          <w:sz w:val="24"/>
          <w:highlight w:val="none"/>
        </w:rPr>
      </w:pPr>
    </w:p>
    <w:p w14:paraId="1649A433">
      <w:pPr>
        <w:shd w:val="clear"/>
        <w:snapToGrid w:val="0"/>
        <w:spacing w:before="120" w:beforeLines="50" w:after="50" w:line="276" w:lineRule="auto"/>
        <w:rPr>
          <w:rFonts w:hint="eastAsia" w:ascii="宋体" w:hAnsi="宋体" w:eastAsia="宋体" w:cs="宋体"/>
          <w:color w:val="auto"/>
          <w:sz w:val="24"/>
          <w:highlight w:val="none"/>
        </w:rPr>
      </w:pPr>
    </w:p>
    <w:p w14:paraId="0D083540">
      <w:pPr>
        <w:pStyle w:val="8"/>
        <w:keepNext w:val="0"/>
        <w:keepLines w:val="0"/>
        <w:pageBreakBefore/>
        <w:shd w:val="clear"/>
        <w:spacing w:line="360" w:lineRule="auto"/>
        <w:rPr>
          <w:rFonts w:hint="eastAsia" w:ascii="宋体" w:hAnsi="宋体" w:eastAsia="宋体" w:cs="宋体"/>
          <w:b w:val="0"/>
          <w:bCs w:val="0"/>
          <w:color w:val="auto"/>
          <w:sz w:val="24"/>
          <w:szCs w:val="24"/>
          <w:highlight w:val="none"/>
          <w:lang w:eastAsia="zh-CN"/>
        </w:rPr>
      </w:pPr>
      <w:bookmarkStart w:id="97" w:name="_Toc30843"/>
      <w:bookmarkStart w:id="98" w:name="_Toc24340"/>
      <w:bookmarkStart w:id="99" w:name="_Toc10421"/>
      <w:bookmarkStart w:id="100" w:name="_Toc18228"/>
      <w:bookmarkStart w:id="101" w:name="_Toc23315"/>
      <w:bookmarkStart w:id="102" w:name="_Toc10320"/>
      <w:r>
        <w:rPr>
          <w:rFonts w:hint="eastAsia" w:ascii="宋体" w:hAnsi="宋体" w:eastAsia="宋体" w:cs="宋体"/>
          <w:b w:val="0"/>
          <w:bCs w:val="0"/>
          <w:color w:val="auto"/>
          <w:sz w:val="24"/>
          <w:szCs w:val="24"/>
          <w:highlight w:val="none"/>
        </w:rPr>
        <w:t>附件二：</w:t>
      </w:r>
      <w:bookmarkEnd w:id="97"/>
      <w:bookmarkEnd w:id="98"/>
      <w:r>
        <w:rPr>
          <w:rFonts w:hint="eastAsia" w:ascii="宋体" w:hAnsi="宋体" w:eastAsia="宋体" w:cs="宋体"/>
          <w:b w:val="0"/>
          <w:bCs w:val="0"/>
          <w:color w:val="auto"/>
          <w:sz w:val="24"/>
          <w:szCs w:val="24"/>
          <w:highlight w:val="none"/>
          <w:lang w:val="en-US" w:eastAsia="zh-CN"/>
        </w:rPr>
        <w:t>符合参加政府采购活动应当具备的一般条件的承诺函</w:t>
      </w:r>
      <w:bookmarkEnd w:id="99"/>
      <w:bookmarkEnd w:id="100"/>
      <w:bookmarkEnd w:id="101"/>
    </w:p>
    <w:p w14:paraId="097F6A45">
      <w:pPr>
        <w:pStyle w:val="34"/>
        <w:keepNext w:val="0"/>
        <w:keepLines w:val="0"/>
        <w:widowControl/>
        <w:suppressLineNumbers w:val="0"/>
        <w:shd w:val="clear"/>
        <w:spacing w:before="100" w:beforeAutospacing="0" w:after="100" w:afterAutospacing="0" w:line="360" w:lineRule="auto"/>
        <w:ind w:left="0" w:right="0"/>
        <w:jc w:val="center"/>
        <w:rPr>
          <w:rFonts w:hint="eastAsia" w:ascii="宋体" w:hAnsi="宋体" w:eastAsia="宋体" w:cs="宋体"/>
          <w:color w:val="auto"/>
          <w:highlight w:val="none"/>
        </w:rPr>
      </w:pPr>
      <w:r>
        <w:rPr>
          <w:rFonts w:hint="eastAsia" w:ascii="宋体" w:hAnsi="宋体" w:eastAsia="宋体" w:cs="宋体"/>
          <w:b/>
          <w:bCs/>
          <w:i w:val="0"/>
          <w:iCs w:val="0"/>
          <w:color w:val="auto"/>
          <w:spacing w:val="0"/>
          <w:w w:val="100"/>
          <w:sz w:val="27"/>
          <w:szCs w:val="27"/>
          <w:highlight w:val="none"/>
          <w:vertAlign w:val="baseline"/>
        </w:rPr>
        <w:t>符合参加政府采购活动应当具备的一般条件的承诺函</w:t>
      </w:r>
    </w:p>
    <w:p w14:paraId="23EA6A8F">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14:paraId="0793B59E">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我方参与</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 xml:space="preserve">  </w:t>
      </w:r>
      <w:r>
        <w:rPr>
          <w:rFonts w:hint="eastAsia" w:ascii="宋体" w:hAnsi="宋体" w:eastAsia="宋体" w:cs="宋体"/>
          <w:b w:val="0"/>
          <w:bCs w:val="0"/>
          <w:color w:val="auto"/>
          <w:kern w:val="2"/>
          <w:sz w:val="24"/>
          <w:szCs w:val="24"/>
          <w:highlight w:val="none"/>
          <w:lang w:val="en-US" w:eastAsia="zh-CN" w:bidi="ar-SA"/>
        </w:rPr>
        <w:t>项目【项目编号：</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 xml:space="preserve"> </w:t>
      </w:r>
      <w:r>
        <w:rPr>
          <w:rFonts w:hint="eastAsia" w:ascii="宋体" w:hAnsi="宋体" w:eastAsia="宋体" w:cs="宋体"/>
          <w:b w:val="0"/>
          <w:bCs w:val="0"/>
          <w:color w:val="auto"/>
          <w:kern w:val="2"/>
          <w:sz w:val="24"/>
          <w:szCs w:val="24"/>
          <w:highlight w:val="none"/>
          <w:lang w:val="en-US" w:eastAsia="zh-CN" w:bidi="ar-SA"/>
        </w:rPr>
        <w:t>】政府采购活动，郑重承诺：</w:t>
      </w:r>
    </w:p>
    <w:p w14:paraId="25C49E51">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（一）具备《中华人民共和国政府采购法》第二十二条第一款规定的条件：</w:t>
      </w:r>
    </w:p>
    <w:p w14:paraId="68BA0C71">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1、具有独立承担民事责任的能力；</w:t>
      </w:r>
    </w:p>
    <w:p w14:paraId="21E95193">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 xml:space="preserve">2、具有良好的商业信誉和健全的财务会计制度； </w:t>
      </w:r>
    </w:p>
    <w:p w14:paraId="74EC48D5">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3、具有履行合同所必需的设备和专业技术能力；</w:t>
      </w:r>
    </w:p>
    <w:p w14:paraId="545382B2">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4、有依法缴纳税收和社会保障资金的良好记录；</w:t>
      </w:r>
    </w:p>
    <w:p w14:paraId="0580A522">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5、参加政府采购活动前三年内，在经营活动中没有重大违法记录；</w:t>
      </w:r>
    </w:p>
    <w:p w14:paraId="7A8E6A45">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6、具有法律、行政法规规定的其他条件。</w:t>
      </w:r>
    </w:p>
    <w:p w14:paraId="47EC8D23">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（二）未被信用中国（www.creditchina.gov.cn)、中国政府采购网（www.ccgp.gov.cn）列入失信被执行人、重大税收违法案件当事人名单、政府采购严重违法失信行为记录名单。</w:t>
      </w:r>
    </w:p>
    <w:p w14:paraId="3B7F593F">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（三）不存在以下情况：</w:t>
      </w:r>
    </w:p>
    <w:p w14:paraId="66B99496">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1、单位负责人为同一人或者存在直接控股、管理关系的不同供应商参加同一合同项下的政府采购活动的；</w:t>
      </w:r>
    </w:p>
    <w:p w14:paraId="5C4D5A11">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2、为采购项目提供整体设计、规范编制或者项目管理、监理、检测等服务后再参加该采购项目的其他采购活动的。</w:t>
      </w:r>
    </w:p>
    <w:p w14:paraId="5690BAD1">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p>
    <w:p w14:paraId="069823CB">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p>
    <w:p w14:paraId="614BF6DE">
      <w:pPr>
        <w:pStyle w:val="34"/>
        <w:keepNext w:val="0"/>
        <w:keepLines w:val="0"/>
        <w:widowControl/>
        <w:suppressLineNumbers w:val="0"/>
        <w:shd w:val="clear"/>
        <w:spacing w:before="0" w:beforeAutospacing="0" w:after="0" w:afterAutospacing="0" w:line="360" w:lineRule="auto"/>
        <w:ind w:left="480" w:right="0"/>
        <w:jc w:val="both"/>
        <w:rPr>
          <w:rFonts w:hint="eastAsia" w:ascii="宋体" w:hAnsi="宋体" w:eastAsia="宋体" w:cs="宋体"/>
          <w:b w:val="0"/>
          <w:bCs w:val="0"/>
          <w:color w:val="auto"/>
          <w:kern w:val="2"/>
          <w:sz w:val="24"/>
          <w:szCs w:val="24"/>
          <w:highlight w:val="none"/>
          <w:lang w:val="en-US" w:eastAsia="zh-CN" w:bidi="ar-SA"/>
        </w:rPr>
      </w:pPr>
    </w:p>
    <w:p w14:paraId="5B178F2A">
      <w:pPr>
        <w:shd w:val="clear"/>
        <w:snapToGrid w:val="0"/>
        <w:spacing w:before="50" w:after="50"/>
        <w:rPr>
          <w:rFonts w:ascii="宋体" w:hAnsi="宋体" w:cs="宋体"/>
          <w:color w:val="auto"/>
          <w:spacing w:val="20"/>
          <w:sz w:val="24"/>
          <w:highlight w:val="none"/>
          <w:u w:val="single"/>
        </w:rPr>
      </w:pPr>
      <w:r>
        <w:rPr>
          <w:rFonts w:hint="eastAsia" w:ascii="宋体" w:hAnsi="宋体" w:cs="宋体"/>
          <w:color w:val="auto"/>
          <w:sz w:val="24"/>
          <w:highlight w:val="none"/>
        </w:rPr>
        <w:t>法定代表人或委托代理人签字</w:t>
      </w:r>
      <w:r>
        <w:rPr>
          <w:rFonts w:hint="eastAsia" w:ascii="宋体" w:hAnsi="宋体" w:cs="宋体"/>
          <w:color w:val="auto"/>
          <w:spacing w:val="20"/>
          <w:sz w:val="24"/>
          <w:highlight w:val="none"/>
        </w:rPr>
        <w:t>：</w:t>
      </w:r>
      <w:r>
        <w:rPr>
          <w:rFonts w:hint="eastAsia" w:ascii="宋体" w:hAnsi="宋体" w:cs="宋体"/>
          <w:color w:val="auto"/>
          <w:spacing w:val="20"/>
          <w:sz w:val="24"/>
          <w:highlight w:val="none"/>
          <w:u w:val="single"/>
        </w:rPr>
        <w:t xml:space="preserve">        </w:t>
      </w:r>
    </w:p>
    <w:p w14:paraId="02E5BB2D">
      <w:pPr>
        <w:shd w:val="clear"/>
        <w:snapToGrid w:val="0"/>
        <w:spacing w:before="120" w:beforeLines="50"/>
        <w:rPr>
          <w:rFonts w:ascii="宋体" w:hAnsi="宋体" w:cs="宋体"/>
          <w:color w:val="auto"/>
          <w:sz w:val="24"/>
          <w:highlight w:val="none"/>
        </w:rPr>
      </w:pPr>
      <w:r>
        <w:rPr>
          <w:rFonts w:hint="eastAsia" w:ascii="宋体" w:hAnsi="宋体" w:cs="宋体"/>
          <w:color w:val="auto"/>
          <w:spacing w:val="20"/>
          <w:sz w:val="24"/>
          <w:highlight w:val="none"/>
        </w:rPr>
        <w:t>投标人盖章：</w:t>
      </w:r>
      <w:r>
        <w:rPr>
          <w:rFonts w:hint="eastAsia" w:ascii="宋体" w:hAnsi="宋体" w:cs="宋体"/>
          <w:color w:val="auto"/>
          <w:spacing w:val="20"/>
          <w:sz w:val="24"/>
          <w:highlight w:val="none"/>
          <w:u w:val="single"/>
        </w:rPr>
        <w:t xml:space="preserve">            </w:t>
      </w:r>
      <w:r>
        <w:rPr>
          <w:rFonts w:hint="eastAsia" w:ascii="宋体" w:hAnsi="宋体" w:cs="宋体"/>
          <w:color w:val="auto"/>
          <w:spacing w:val="20"/>
          <w:sz w:val="24"/>
          <w:highlight w:val="none"/>
        </w:rPr>
        <w:t xml:space="preserve">              日 期：</w:t>
      </w:r>
      <w:r>
        <w:rPr>
          <w:rFonts w:hint="eastAsia" w:ascii="宋体" w:hAnsi="宋体" w:cs="宋体"/>
          <w:color w:val="auto"/>
          <w:spacing w:val="20"/>
          <w:sz w:val="24"/>
          <w:highlight w:val="none"/>
          <w:u w:val="single"/>
        </w:rPr>
        <w:t xml:space="preserve">            </w:t>
      </w:r>
    </w:p>
    <w:p w14:paraId="798D370D">
      <w:pPr>
        <w:shd w:val="clear"/>
        <w:rPr>
          <w:rFonts w:ascii="宋体" w:hAnsi="宋体" w:cs="宋体"/>
          <w:color w:val="auto"/>
          <w:sz w:val="24"/>
          <w:highlight w:val="none"/>
        </w:rPr>
      </w:pPr>
    </w:p>
    <w:p w14:paraId="66E754A0">
      <w:pPr>
        <w:pStyle w:val="8"/>
        <w:keepNext w:val="0"/>
        <w:keepLines w:val="0"/>
        <w:pageBreakBefore/>
        <w:shd w:val="clear"/>
        <w:spacing w:line="360" w:lineRule="auto"/>
        <w:rPr>
          <w:rFonts w:hint="eastAsia" w:ascii="宋体" w:hAnsi="宋体" w:eastAsia="宋体" w:cs="宋体"/>
          <w:b w:val="0"/>
          <w:bCs w:val="0"/>
          <w:color w:val="auto"/>
          <w:sz w:val="24"/>
          <w:szCs w:val="24"/>
          <w:highlight w:val="none"/>
        </w:rPr>
      </w:pPr>
      <w:bookmarkStart w:id="103" w:name="_Toc18061"/>
      <w:bookmarkStart w:id="104" w:name="_Toc16685"/>
      <w:r>
        <w:rPr>
          <w:rFonts w:hint="eastAsia" w:ascii="宋体" w:hAnsi="宋体" w:eastAsia="宋体" w:cs="宋体"/>
          <w:b w:val="0"/>
          <w:bCs w:val="0"/>
          <w:color w:val="auto"/>
          <w:sz w:val="24"/>
          <w:szCs w:val="24"/>
          <w:highlight w:val="none"/>
        </w:rPr>
        <w:t>附件</w:t>
      </w:r>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rPr>
        <w:t>：政府采购活动现场确认声明书</w:t>
      </w:r>
      <w:bookmarkEnd w:id="102"/>
      <w:bookmarkEnd w:id="103"/>
      <w:bookmarkEnd w:id="104"/>
    </w:p>
    <w:p w14:paraId="2F0C1CD0">
      <w:pPr>
        <w:shd w:val="clea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政府采购活动现场确认声明书</w:t>
      </w:r>
    </w:p>
    <w:p w14:paraId="6C33F0C0">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东阳市鑫盛工程咨询有限公司 :</w:t>
      </w:r>
    </w:p>
    <w:p w14:paraId="013D2EE6">
      <w:pPr>
        <w:shd w:val="clear"/>
        <w:snapToGrid w:val="0"/>
        <w:spacing w:before="120" w:beforeLines="50" w:after="50" w:line="276"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（授权代表姓名），经由</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w:t>
      </w:r>
    </w:p>
    <w:p w14:paraId="6E53547E">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（法定代表人姓名）合法授权参加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）政府采购活动．经与本单位法人代表（负责人）联系确认，现就有关公平竞争事项郑重声明如下:</w:t>
      </w:r>
    </w:p>
    <w:p w14:paraId="04C88C8B">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一、本单位与采购人之间口不存在利害关系口存在下列利害关系:</w:t>
      </w:r>
    </w:p>
    <w:p w14:paraId="7B30ADD8">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A．投资关系</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B．行政隶属关系</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C．业务指导关系  D．其他可能影响采购公正的利害关系（如有，请如实说明）。</w:t>
      </w:r>
    </w:p>
    <w:p w14:paraId="6ACEA005">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二、现己清楚知道参加本项目采购活动的其他所有供应商名称，本单位 口与其他所有供应商之间均不存在利害关系 口与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（供应商名称）之间存在下列利害关系:</w:t>
      </w:r>
    </w:p>
    <w:p w14:paraId="708BFA74">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A．法定代表人或负责人或实际控制人是同一人B．法定代表人或负责人或实际控制人是夫妻关系</w:t>
      </w:r>
    </w:p>
    <w:p w14:paraId="5BED61FC">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C.法定代表人或负责人或实际控制人是直系血亲关系</w:t>
      </w:r>
    </w:p>
    <w:p w14:paraId="681C20CB">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D.法定代表人或负责人或实际控制人存在三代以内旁系血亲关系</w:t>
      </w:r>
    </w:p>
    <w:p w14:paraId="32A5934F">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E．法定代表人或负责人或实际控制人存在近姻亲关系</w:t>
      </w:r>
    </w:p>
    <w:p w14:paraId="22B5F738">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F．法定代表人或负责人或实际控制人存在股份控制或实际控制关系</w:t>
      </w:r>
    </w:p>
    <w:p w14:paraId="6D17D72F">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G．存在共同直接或间接投资设立子公司、联营企业和合营企业情况</w:t>
      </w:r>
    </w:p>
    <w:p w14:paraId="69CBD8E6">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H.存在分级代理或代销关系、同一生产制造商关系、管理关系、重要业务（占主昔业务收入 50 ％以上）或重要财务往来关系（如融资）等其他实质性控制关系</w:t>
      </w:r>
    </w:p>
    <w:p w14:paraId="0338FAEF">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I.其他利害关系情况</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rPr>
        <w:t>。</w:t>
      </w:r>
    </w:p>
    <w:p w14:paraId="5EA2A080">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三、现己清楚知道并严格遵守政府采购法律法规和现场纪律。</w:t>
      </w:r>
    </w:p>
    <w:p w14:paraId="12BC6944">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四、我发现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供应商之间存在或可能存在上述第二条第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项利害关系。</w:t>
      </w:r>
    </w:p>
    <w:p w14:paraId="15FC055D">
      <w:pPr>
        <w:shd w:val="clear"/>
        <w:snapToGrid w:val="0"/>
        <w:spacing w:before="120" w:beforeLines="50" w:after="50" w:line="276" w:lineRule="auto"/>
        <w:rPr>
          <w:rFonts w:hint="eastAsia" w:ascii="宋体" w:hAnsi="宋体" w:eastAsia="宋体" w:cs="宋体"/>
          <w:color w:val="auto"/>
          <w:sz w:val="24"/>
          <w:highlight w:val="none"/>
        </w:rPr>
      </w:pPr>
    </w:p>
    <w:p w14:paraId="68F20D38">
      <w:pPr>
        <w:shd w:val="clear"/>
        <w:snapToGrid w:val="0"/>
        <w:spacing w:before="120" w:beforeLines="50" w:after="50" w:line="27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（供应商代表签名）: </w:t>
      </w:r>
    </w:p>
    <w:p w14:paraId="05BA3BED">
      <w:pPr>
        <w:shd w:val="clear"/>
        <w:snapToGrid w:val="0"/>
        <w:spacing w:before="120" w:beforeLines="50" w:after="50" w:line="276" w:lineRule="auto"/>
        <w:jc w:val="center"/>
        <w:rPr>
          <w:rFonts w:hint="eastAsia" w:ascii="宋体" w:hAnsi="宋体" w:eastAsia="宋体" w:cs="宋体"/>
          <w:b/>
          <w:color w:val="auto"/>
          <w:sz w:val="24"/>
          <w:highlight w:val="none"/>
        </w:rPr>
      </w:pPr>
      <w:r>
        <w:rPr>
          <w:rFonts w:hint="eastAsia" w:ascii="宋体" w:hAnsi="宋体" w:eastAsia="宋体" w:cs="宋体"/>
          <w:color w:val="auto"/>
          <w:sz w:val="24"/>
          <w:highlight w:val="none"/>
        </w:rPr>
        <w:t xml:space="preserve">                                                     年   月   日</w:t>
      </w:r>
    </w:p>
    <w:p w14:paraId="0A39B601">
      <w:pPr>
        <w:pStyle w:val="8"/>
        <w:keepNext w:val="0"/>
        <w:keepLines w:val="0"/>
        <w:pageBreakBefore/>
        <w:shd w:val="clear"/>
        <w:spacing w:line="276" w:lineRule="auto"/>
        <w:rPr>
          <w:rFonts w:hint="eastAsia" w:ascii="宋体" w:hAnsi="宋体" w:eastAsia="宋体" w:cs="宋体"/>
          <w:b w:val="0"/>
          <w:color w:val="auto"/>
          <w:sz w:val="24"/>
          <w:szCs w:val="24"/>
          <w:highlight w:val="none"/>
        </w:rPr>
      </w:pPr>
      <w:bookmarkStart w:id="105" w:name="_Toc19409"/>
      <w:bookmarkStart w:id="106" w:name="_Toc28622"/>
      <w:r>
        <w:rPr>
          <w:rFonts w:hint="eastAsia" w:ascii="宋体" w:hAnsi="宋体" w:eastAsia="宋体" w:cs="宋体"/>
          <w:b w:val="0"/>
          <w:color w:val="auto"/>
          <w:sz w:val="24"/>
          <w:szCs w:val="24"/>
          <w:highlight w:val="none"/>
        </w:rPr>
        <w:t>附件</w:t>
      </w:r>
      <w:r>
        <w:rPr>
          <w:rFonts w:hint="eastAsia" w:ascii="宋体" w:hAnsi="宋体" w:eastAsia="宋体" w:cs="宋体"/>
          <w:b w:val="0"/>
          <w:color w:val="auto"/>
          <w:sz w:val="24"/>
          <w:szCs w:val="24"/>
          <w:highlight w:val="none"/>
          <w:lang w:val="en-US" w:eastAsia="zh-CN"/>
        </w:rPr>
        <w:t>四</w:t>
      </w:r>
      <w:r>
        <w:rPr>
          <w:rFonts w:hint="eastAsia" w:ascii="宋体" w:hAnsi="宋体" w:eastAsia="宋体" w:cs="宋体"/>
          <w:b w:val="0"/>
          <w:color w:val="auto"/>
          <w:sz w:val="24"/>
          <w:szCs w:val="24"/>
          <w:highlight w:val="none"/>
        </w:rPr>
        <w:t>：法定代表人授权委托书</w:t>
      </w:r>
      <w:bookmarkEnd w:id="105"/>
      <w:bookmarkEnd w:id="106"/>
    </w:p>
    <w:p w14:paraId="3F3CC11F">
      <w:pPr>
        <w:shd w:val="clea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法定代表人授权委托书</w:t>
      </w:r>
    </w:p>
    <w:p w14:paraId="67542EBD">
      <w:pPr>
        <w:shd w:val="clear"/>
        <w:snapToGrid w:val="0"/>
        <w:spacing w:before="120" w:beforeLines="50" w:after="50" w:line="276" w:lineRule="auto"/>
        <w:rPr>
          <w:rFonts w:hint="eastAsia" w:ascii="宋体" w:hAnsi="宋体" w:eastAsia="宋体" w:cs="宋体"/>
          <w:b/>
          <w:bCs/>
          <w:color w:val="auto"/>
          <w:sz w:val="24"/>
          <w:highlight w:val="none"/>
        </w:rPr>
      </w:pPr>
      <w:r>
        <w:rPr>
          <w:rFonts w:hint="eastAsia" w:ascii="宋体" w:hAnsi="宋体" w:eastAsia="宋体" w:cs="宋体"/>
          <w:bCs/>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14:paraId="5C0027F4">
      <w:pPr>
        <w:shd w:val="clear"/>
        <w:snapToGrid w:val="0"/>
        <w:spacing w:before="120" w:beforeLines="50" w:after="50" w:line="276" w:lineRule="auto"/>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（姓名）系</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（投标人名称）的法定代表人，现授权委托本单位在职职工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（姓名）以我方的名义参加</w:t>
      </w:r>
      <w:r>
        <w:rPr>
          <w:rFonts w:hint="eastAsia" w:ascii="宋体" w:hAnsi="宋体" w:cs="宋体"/>
          <w:color w:val="auto"/>
          <w:sz w:val="24"/>
          <w:highlight w:val="none"/>
          <w:u w:val="single"/>
          <w:lang w:val="en-US" w:eastAsia="zh-CN"/>
        </w:rPr>
        <w:t>东阳市江北综合医院（东阳市红会医院迁建工程）厨房设备采购项目</w:t>
      </w:r>
      <w:r>
        <w:rPr>
          <w:rFonts w:hint="eastAsia" w:ascii="宋体" w:hAnsi="宋体" w:eastAsia="宋体" w:cs="宋体"/>
          <w:color w:val="auto"/>
          <w:sz w:val="24"/>
          <w:highlight w:val="none"/>
        </w:rPr>
        <w:t>的投标活动，并代表我方全权办理针对上述项目的投标、开标、评标、签约等具体事务和签署相关文件。</w:t>
      </w:r>
    </w:p>
    <w:p w14:paraId="1B5278E3">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我方对委托代理人的签名事项负全部责任。</w:t>
      </w:r>
    </w:p>
    <w:p w14:paraId="7AC0B0B8">
      <w:pPr>
        <w:shd w:val="clear"/>
        <w:snapToGrid w:val="0"/>
        <w:spacing w:before="120" w:beforeLines="50" w:after="50" w:line="276"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在撤销授权的书面通知以前，本授权书一直有效。</w:t>
      </w:r>
      <w:r>
        <w:rPr>
          <w:rFonts w:hint="eastAsia" w:ascii="宋体" w:hAnsi="宋体" w:eastAsia="宋体" w:cs="宋体"/>
          <w:color w:val="auto"/>
          <w:sz w:val="24"/>
          <w:highlight w:val="none"/>
        </w:rPr>
        <w:t>委托代理人在授权书有效期内签署的所有文件不因授权的撤销而失效。</w:t>
      </w:r>
    </w:p>
    <w:p w14:paraId="037830B1">
      <w:pPr>
        <w:shd w:val="clear"/>
        <w:snapToGrid w:val="0"/>
        <w:spacing w:before="120" w:beforeLines="50" w:after="50" w:line="276"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579BD318">
      <w:pPr>
        <w:shd w:val="clear"/>
        <w:snapToGrid w:val="0"/>
        <w:spacing w:before="120" w:beforeLines="50" w:after="50" w:line="276"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委托代理人签名：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法定代表人签名：</w:t>
      </w:r>
      <w:r>
        <w:rPr>
          <w:rFonts w:hint="eastAsia" w:ascii="宋体" w:hAnsi="宋体" w:eastAsia="宋体" w:cs="宋体"/>
          <w:color w:val="auto"/>
          <w:sz w:val="24"/>
          <w:highlight w:val="none"/>
          <w:u w:val="single"/>
        </w:rPr>
        <w:t xml:space="preserve">          </w:t>
      </w:r>
    </w:p>
    <w:p w14:paraId="049567EC">
      <w:pPr>
        <w:shd w:val="clear"/>
        <w:snapToGrid w:val="0"/>
        <w:spacing w:before="120" w:beforeLines="50" w:after="50" w:line="276"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职务：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职务：</w:t>
      </w:r>
      <w:r>
        <w:rPr>
          <w:rFonts w:hint="eastAsia" w:ascii="宋体" w:hAnsi="宋体" w:eastAsia="宋体" w:cs="宋体"/>
          <w:color w:val="auto"/>
          <w:sz w:val="24"/>
          <w:highlight w:val="none"/>
          <w:u w:val="single"/>
        </w:rPr>
        <w:t xml:space="preserve">          </w:t>
      </w:r>
    </w:p>
    <w:p w14:paraId="1ED0F567">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委托代理人身份证复印件（正反双面）：</w:t>
      </w:r>
    </w:p>
    <w:tbl>
      <w:tblPr>
        <w:tblStyle w:val="38"/>
        <w:tblpPr w:leftFromText="180" w:rightFromText="180" w:vertAnchor="text" w:tblpX="109" w:tblpY="151"/>
        <w:tblW w:w="0" w:type="auto"/>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328"/>
      </w:tblGrid>
      <w:tr w14:paraId="4247510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6232" w:hRule="atLeast"/>
        </w:trPr>
        <w:tc>
          <w:tcPr>
            <w:tcW w:w="5328" w:type="dxa"/>
          </w:tcPr>
          <w:p w14:paraId="596F1B11">
            <w:pPr>
              <w:shd w:val="clear"/>
              <w:snapToGrid w:val="0"/>
              <w:spacing w:before="120" w:beforeLines="50" w:after="50" w:line="276" w:lineRule="auto"/>
              <w:rPr>
                <w:rFonts w:hint="eastAsia" w:ascii="宋体" w:hAnsi="宋体" w:eastAsia="宋体" w:cs="宋体"/>
                <w:color w:val="auto"/>
                <w:sz w:val="24"/>
                <w:highlight w:val="none"/>
              </w:rPr>
            </w:pPr>
          </w:p>
          <w:p w14:paraId="5C71DE67">
            <w:pPr>
              <w:shd w:val="clear"/>
              <w:snapToGrid w:val="0"/>
              <w:spacing w:before="120" w:beforeLines="50" w:after="50" w:line="276" w:lineRule="auto"/>
              <w:rPr>
                <w:rFonts w:hint="eastAsia" w:ascii="宋体" w:hAnsi="宋体" w:eastAsia="宋体" w:cs="宋体"/>
                <w:color w:val="auto"/>
                <w:sz w:val="24"/>
                <w:highlight w:val="none"/>
              </w:rPr>
            </w:pPr>
          </w:p>
          <w:p w14:paraId="2F34C7F2">
            <w:pPr>
              <w:shd w:val="clear"/>
              <w:snapToGrid w:val="0"/>
              <w:spacing w:before="120" w:beforeLines="50" w:after="50" w:line="276" w:lineRule="auto"/>
              <w:rPr>
                <w:rFonts w:hint="eastAsia" w:ascii="宋体" w:hAnsi="宋体" w:eastAsia="宋体" w:cs="宋体"/>
                <w:color w:val="auto"/>
                <w:sz w:val="24"/>
                <w:highlight w:val="none"/>
              </w:rPr>
            </w:pPr>
          </w:p>
          <w:p w14:paraId="2C60207D">
            <w:pPr>
              <w:shd w:val="clear"/>
              <w:snapToGrid w:val="0"/>
              <w:spacing w:before="120" w:beforeLines="50" w:after="50" w:line="27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粘</w:t>
            </w:r>
          </w:p>
          <w:p w14:paraId="6462ACF3">
            <w:pPr>
              <w:shd w:val="clear"/>
              <w:snapToGrid w:val="0"/>
              <w:spacing w:before="120" w:beforeLines="50" w:after="50" w:line="276" w:lineRule="auto"/>
              <w:jc w:val="center"/>
              <w:rPr>
                <w:rFonts w:hint="eastAsia" w:ascii="宋体" w:hAnsi="宋体" w:eastAsia="宋体" w:cs="宋体"/>
                <w:color w:val="auto"/>
                <w:sz w:val="24"/>
                <w:highlight w:val="none"/>
              </w:rPr>
            </w:pPr>
          </w:p>
          <w:p w14:paraId="7D6EFE55">
            <w:pPr>
              <w:shd w:val="clear"/>
              <w:snapToGrid w:val="0"/>
              <w:spacing w:before="120" w:beforeLines="50" w:after="50" w:line="27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贴</w:t>
            </w:r>
          </w:p>
          <w:p w14:paraId="55E23D89">
            <w:pPr>
              <w:shd w:val="clear"/>
              <w:snapToGrid w:val="0"/>
              <w:spacing w:before="120" w:beforeLines="50" w:after="50" w:line="276" w:lineRule="auto"/>
              <w:jc w:val="center"/>
              <w:rPr>
                <w:rFonts w:hint="eastAsia" w:ascii="宋体" w:hAnsi="宋体" w:eastAsia="宋体" w:cs="宋体"/>
                <w:color w:val="auto"/>
                <w:sz w:val="24"/>
                <w:highlight w:val="none"/>
              </w:rPr>
            </w:pPr>
          </w:p>
          <w:p w14:paraId="76F3D215">
            <w:pPr>
              <w:shd w:val="clear"/>
              <w:snapToGrid w:val="0"/>
              <w:spacing w:before="120" w:beforeLines="50" w:after="50" w:line="27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处</w:t>
            </w:r>
          </w:p>
        </w:tc>
      </w:tr>
    </w:tbl>
    <w:p w14:paraId="5AD14B75">
      <w:pPr>
        <w:shd w:val="clear"/>
        <w:snapToGrid w:val="0"/>
        <w:spacing w:before="120" w:beforeLines="50" w:after="50" w:line="276" w:lineRule="auto"/>
        <w:rPr>
          <w:rFonts w:hint="eastAsia" w:ascii="宋体" w:hAnsi="宋体" w:eastAsia="宋体" w:cs="宋体"/>
          <w:color w:val="auto"/>
          <w:sz w:val="24"/>
          <w:highlight w:val="none"/>
        </w:rPr>
      </w:pPr>
    </w:p>
    <w:p w14:paraId="01560CB2">
      <w:pPr>
        <w:shd w:val="clear"/>
        <w:snapToGrid w:val="0"/>
        <w:spacing w:before="120" w:beforeLines="50" w:after="50" w:line="276" w:lineRule="auto"/>
        <w:rPr>
          <w:rFonts w:hint="eastAsia" w:ascii="宋体" w:hAnsi="宋体" w:eastAsia="宋体" w:cs="宋体"/>
          <w:color w:val="auto"/>
          <w:sz w:val="24"/>
          <w:highlight w:val="none"/>
        </w:rPr>
      </w:pPr>
    </w:p>
    <w:p w14:paraId="2BAD0F54">
      <w:pPr>
        <w:shd w:val="clear"/>
        <w:snapToGrid w:val="0"/>
        <w:spacing w:before="120" w:beforeLines="50" w:after="50" w:line="276" w:lineRule="auto"/>
        <w:rPr>
          <w:rFonts w:hint="eastAsia" w:ascii="宋体" w:hAnsi="宋体" w:eastAsia="宋体" w:cs="宋体"/>
          <w:color w:val="auto"/>
          <w:sz w:val="24"/>
          <w:highlight w:val="none"/>
        </w:rPr>
      </w:pPr>
    </w:p>
    <w:p w14:paraId="05499A6D">
      <w:pPr>
        <w:shd w:val="clear"/>
        <w:snapToGrid w:val="0"/>
        <w:spacing w:before="120" w:beforeLines="50" w:after="50" w:line="276" w:lineRule="auto"/>
        <w:rPr>
          <w:rFonts w:hint="eastAsia" w:ascii="宋体" w:hAnsi="宋体" w:eastAsia="宋体" w:cs="宋体"/>
          <w:color w:val="auto"/>
          <w:sz w:val="24"/>
          <w:highlight w:val="none"/>
        </w:rPr>
      </w:pPr>
    </w:p>
    <w:p w14:paraId="2B704C86">
      <w:pPr>
        <w:shd w:val="clear"/>
        <w:snapToGrid w:val="0"/>
        <w:spacing w:before="120" w:beforeLines="50" w:after="50" w:line="276" w:lineRule="auto"/>
        <w:rPr>
          <w:rFonts w:hint="eastAsia" w:ascii="宋体" w:hAnsi="宋体" w:eastAsia="宋体" w:cs="宋体"/>
          <w:color w:val="auto"/>
          <w:sz w:val="24"/>
          <w:highlight w:val="none"/>
        </w:rPr>
      </w:pPr>
    </w:p>
    <w:p w14:paraId="2938337C">
      <w:pPr>
        <w:shd w:val="clear"/>
        <w:snapToGrid w:val="0"/>
        <w:spacing w:before="120" w:beforeLines="50" w:after="50" w:line="276" w:lineRule="auto"/>
        <w:rPr>
          <w:rFonts w:hint="eastAsia" w:ascii="宋体" w:hAnsi="宋体" w:eastAsia="宋体" w:cs="宋体"/>
          <w:color w:val="auto"/>
          <w:sz w:val="24"/>
          <w:highlight w:val="none"/>
        </w:rPr>
      </w:pPr>
    </w:p>
    <w:p w14:paraId="5C0EEBCE">
      <w:pPr>
        <w:shd w:val="clear"/>
        <w:snapToGrid w:val="0"/>
        <w:spacing w:before="120" w:beforeLines="50" w:after="50" w:line="276" w:lineRule="auto"/>
        <w:rPr>
          <w:rFonts w:hint="eastAsia" w:ascii="宋体" w:hAnsi="宋体" w:eastAsia="宋体" w:cs="宋体"/>
          <w:color w:val="auto"/>
          <w:sz w:val="24"/>
          <w:highlight w:val="none"/>
        </w:rPr>
      </w:pPr>
    </w:p>
    <w:p w14:paraId="7AA9B132">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E089EC1">
      <w:pPr>
        <w:shd w:val="clear"/>
        <w:snapToGrid w:val="0"/>
        <w:spacing w:before="120" w:beforeLines="50" w:after="50" w:line="276" w:lineRule="auto"/>
        <w:rPr>
          <w:rFonts w:hint="eastAsia" w:ascii="宋体" w:hAnsi="宋体" w:eastAsia="宋体" w:cs="宋体"/>
          <w:color w:val="auto"/>
          <w:sz w:val="24"/>
          <w:highlight w:val="none"/>
        </w:rPr>
      </w:pPr>
    </w:p>
    <w:p w14:paraId="4DE0D866">
      <w:pPr>
        <w:shd w:val="clear"/>
        <w:snapToGrid w:val="0"/>
        <w:spacing w:before="120" w:beforeLines="50" w:after="50" w:line="276" w:lineRule="auto"/>
        <w:rPr>
          <w:rFonts w:hint="eastAsia" w:ascii="宋体" w:hAnsi="宋体" w:eastAsia="宋体" w:cs="宋体"/>
          <w:color w:val="auto"/>
          <w:sz w:val="24"/>
          <w:highlight w:val="none"/>
        </w:rPr>
      </w:pPr>
    </w:p>
    <w:p w14:paraId="69166A2F">
      <w:pPr>
        <w:shd w:val="clear"/>
        <w:snapToGrid w:val="0"/>
        <w:spacing w:before="120" w:beforeLines="50" w:after="50" w:line="276"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投标人公章：</w:t>
      </w:r>
    </w:p>
    <w:p w14:paraId="5094D4F7">
      <w:pPr>
        <w:shd w:val="clear"/>
        <w:snapToGrid w:val="0"/>
        <w:spacing w:before="120" w:beforeLines="50" w:after="50" w:line="27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9381A34">
      <w:pPr>
        <w:shd w:val="clear"/>
        <w:snapToGrid w:val="0"/>
        <w:spacing w:before="120" w:beforeLines="50" w:after="50" w:line="276"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eastAsia="宋体" w:cs="宋体"/>
          <w:color w:val="auto"/>
          <w:sz w:val="24"/>
          <w:highlight w:val="none"/>
        </w:rPr>
        <w:t>注；此表格格式不得修改。</w:t>
      </w:r>
    </w:p>
    <w:p w14:paraId="6819E144">
      <w:pPr>
        <w:shd w:val="clear"/>
        <w:snapToGrid w:val="0"/>
        <w:spacing w:before="120" w:beforeLines="50" w:after="50" w:line="276"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7ED84499">
      <w:pPr>
        <w:pStyle w:val="8"/>
        <w:keepNext w:val="0"/>
        <w:keepLines w:val="0"/>
        <w:pageBreakBefore/>
        <w:shd w:val="clear"/>
        <w:spacing w:line="276" w:lineRule="auto"/>
        <w:rPr>
          <w:rFonts w:hint="eastAsia" w:ascii="宋体" w:hAnsi="宋体" w:eastAsia="宋体" w:cs="宋体"/>
          <w:b w:val="0"/>
          <w:color w:val="auto"/>
          <w:sz w:val="24"/>
          <w:szCs w:val="24"/>
          <w:highlight w:val="none"/>
          <w:lang w:eastAsia="zh-CN"/>
        </w:rPr>
      </w:pPr>
      <w:bookmarkStart w:id="107" w:name="_Toc6569"/>
      <w:bookmarkStart w:id="108" w:name="_Toc31774"/>
      <w:bookmarkStart w:id="109" w:name="_Toc25167"/>
      <w:bookmarkStart w:id="110" w:name="_Toc3969"/>
      <w:bookmarkStart w:id="111" w:name="_Toc19951"/>
      <w:r>
        <w:rPr>
          <w:rFonts w:hint="eastAsia" w:ascii="宋体" w:hAnsi="宋体" w:eastAsia="宋体" w:cs="宋体"/>
          <w:b w:val="0"/>
          <w:color w:val="auto"/>
          <w:sz w:val="24"/>
          <w:szCs w:val="24"/>
          <w:highlight w:val="none"/>
        </w:rPr>
        <w:t>附件</w:t>
      </w:r>
      <w:r>
        <w:rPr>
          <w:rFonts w:hint="eastAsia" w:ascii="宋体" w:hAnsi="宋体" w:eastAsia="宋体" w:cs="宋体"/>
          <w:b w:val="0"/>
          <w:color w:val="auto"/>
          <w:sz w:val="24"/>
          <w:szCs w:val="24"/>
          <w:highlight w:val="none"/>
          <w:lang w:val="en-US" w:eastAsia="zh-CN"/>
        </w:rPr>
        <w:t>五</w:t>
      </w:r>
      <w:r>
        <w:rPr>
          <w:rFonts w:hint="eastAsia" w:ascii="宋体" w:hAnsi="宋体" w:eastAsia="宋体" w:cs="宋体"/>
          <w:b w:val="0"/>
          <w:color w:val="auto"/>
          <w:sz w:val="24"/>
          <w:szCs w:val="24"/>
          <w:highlight w:val="none"/>
        </w:rPr>
        <w:t>：</w:t>
      </w:r>
      <w:r>
        <w:rPr>
          <w:rFonts w:hint="eastAsia" w:ascii="宋体" w:hAnsi="宋体" w:eastAsia="宋体" w:cs="宋体"/>
          <w:b w:val="0"/>
          <w:color w:val="auto"/>
          <w:sz w:val="24"/>
          <w:szCs w:val="24"/>
          <w:highlight w:val="none"/>
          <w:lang w:eastAsia="zh-CN"/>
        </w:rPr>
        <w:t>联合体协议</w:t>
      </w:r>
      <w:bookmarkEnd w:id="107"/>
      <w:bookmarkEnd w:id="108"/>
      <w:bookmarkEnd w:id="109"/>
      <w:bookmarkEnd w:id="110"/>
      <w:bookmarkEnd w:id="111"/>
    </w:p>
    <w:p w14:paraId="2C5BE585">
      <w:pPr>
        <w:shd w:val="clear"/>
        <w:jc w:val="center"/>
        <w:rPr>
          <w:rFonts w:hint="eastAsia" w:ascii="宋体" w:hAnsi="宋体" w:cs="宋体"/>
          <w:b/>
          <w:bCs/>
          <w:color w:val="auto"/>
          <w:sz w:val="32"/>
          <w:szCs w:val="32"/>
          <w:highlight w:val="none"/>
          <w:lang w:eastAsia="zh-CN"/>
        </w:rPr>
      </w:pPr>
    </w:p>
    <w:p w14:paraId="78C6C49B">
      <w:pPr>
        <w:shd w:val="clear"/>
        <w:jc w:val="center"/>
        <w:rPr>
          <w:rFonts w:hint="eastAsia"/>
          <w:b/>
          <w:bCs/>
          <w:color w:val="auto"/>
          <w:sz w:val="32"/>
          <w:szCs w:val="32"/>
          <w:highlight w:val="none"/>
          <w:lang w:eastAsia="zh-CN"/>
        </w:rPr>
      </w:pPr>
      <w:r>
        <w:rPr>
          <w:rFonts w:hint="eastAsia" w:ascii="宋体" w:hAnsi="宋体" w:cs="宋体"/>
          <w:b/>
          <w:bCs/>
          <w:color w:val="auto"/>
          <w:sz w:val="32"/>
          <w:szCs w:val="32"/>
          <w:highlight w:val="none"/>
          <w:lang w:eastAsia="zh-CN"/>
        </w:rPr>
        <w:t>联合体协议</w:t>
      </w:r>
    </w:p>
    <w:p w14:paraId="4FA7E0E6">
      <w:pPr>
        <w:shd w:val="clear"/>
        <w:snapToGrid w:val="0"/>
        <w:spacing w:line="360" w:lineRule="auto"/>
        <w:ind w:firstLine="576"/>
        <w:rPr>
          <w:rFonts w:hint="eastAsia" w:ascii="仿宋_GB2312" w:hAnsi="仿宋" w:eastAsia="仿宋_GB2312" w:cs="仿宋_GB2312"/>
          <w:b/>
          <w:bCs/>
          <w:color w:val="auto"/>
          <w:kern w:val="0"/>
          <w:sz w:val="24"/>
          <w:highlight w:val="none"/>
          <w:u w:val="single"/>
        </w:rPr>
      </w:pPr>
      <w:r>
        <w:rPr>
          <w:rFonts w:hint="eastAsia" w:ascii="仿宋_GB2312" w:hAnsi="仿宋" w:eastAsia="仿宋_GB2312" w:cs="仿宋_GB2312"/>
          <w:b/>
          <w:bCs/>
          <w:color w:val="auto"/>
          <w:kern w:val="0"/>
          <w:sz w:val="24"/>
          <w:highlight w:val="none"/>
          <w:u w:val="single"/>
          <w:lang w:val="en-US" w:eastAsia="zh-CN"/>
        </w:rPr>
        <w:t>（以联</w:t>
      </w:r>
      <w:r>
        <w:rPr>
          <w:rFonts w:hint="eastAsia" w:ascii="仿宋_GB2312" w:hAnsi="仿宋" w:eastAsia="仿宋_GB2312" w:cs="仿宋_GB2312"/>
          <w:b/>
          <w:bCs/>
          <w:color w:val="auto"/>
          <w:kern w:val="0"/>
          <w:sz w:val="24"/>
          <w:highlight w:val="none"/>
          <w:u w:val="single"/>
        </w:rPr>
        <w:t>合体形式投标的，提供联合协议；本项目不接受联合体投标或者投标人不以联合体形式投标的，则不需要提供）</w:t>
      </w:r>
    </w:p>
    <w:p w14:paraId="6743665B">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（联合体所有成员名称）</w:t>
      </w:r>
      <w:r>
        <w:rPr>
          <w:rFonts w:hint="eastAsia" w:asciiTheme="minorEastAsia" w:hAnsiTheme="minorEastAsia" w:eastAsiaTheme="minorEastAsia" w:cstheme="minorEastAsia"/>
          <w:color w:val="auto"/>
          <w:kern w:val="0"/>
          <w:sz w:val="24"/>
          <w:highlight w:val="none"/>
        </w:rPr>
        <w:t>自愿</w:t>
      </w:r>
      <w:r>
        <w:rPr>
          <w:rFonts w:hint="eastAsia" w:asciiTheme="minorEastAsia" w:hAnsiTheme="minorEastAsia" w:eastAsiaTheme="minorEastAsia" w:cstheme="minorEastAsia"/>
          <w:color w:val="auto"/>
          <w:kern w:val="0"/>
          <w:sz w:val="24"/>
          <w:highlight w:val="none"/>
          <w:lang w:val="zh-CN"/>
        </w:rPr>
        <w:t>组成一个联合体，以一个投标人的身份</w:t>
      </w:r>
      <w:r>
        <w:rPr>
          <w:rFonts w:hint="eastAsia" w:asciiTheme="minorEastAsia" w:hAnsiTheme="minorEastAsia" w:eastAsiaTheme="minorEastAsia" w:cstheme="minorEastAsia"/>
          <w:color w:val="auto"/>
          <w:kern w:val="0"/>
          <w:sz w:val="24"/>
          <w:highlight w:val="none"/>
        </w:rPr>
        <w:t>参加</w:t>
      </w:r>
      <w:r>
        <w:rPr>
          <w:rFonts w:hint="eastAsia" w:asciiTheme="minorEastAsia" w:hAnsiTheme="minorEastAsia" w:eastAsiaTheme="minorEastAsia" w:cstheme="minorEastAsia"/>
          <w:color w:val="auto"/>
          <w:sz w:val="24"/>
          <w:highlight w:val="none"/>
        </w:rPr>
        <w:t>（项目名称）【招标编号：（采购编号）】</w:t>
      </w:r>
      <w:r>
        <w:rPr>
          <w:rFonts w:hint="eastAsia" w:asciiTheme="minorEastAsia" w:hAnsiTheme="minorEastAsia" w:eastAsiaTheme="minorEastAsia" w:cstheme="minorEastAsia"/>
          <w:color w:val="auto"/>
          <w:kern w:val="0"/>
          <w:sz w:val="24"/>
          <w:highlight w:val="none"/>
          <w:lang w:val="zh-CN"/>
        </w:rPr>
        <w:t xml:space="preserve">投标。 </w:t>
      </w:r>
    </w:p>
    <w:p w14:paraId="2317BB24">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一、各方一致决定，</w:t>
      </w:r>
      <w:r>
        <w:rPr>
          <w:rFonts w:hint="eastAsia" w:asciiTheme="minorEastAsia" w:hAnsiTheme="minorEastAsia" w:eastAsiaTheme="minorEastAsia" w:cstheme="minorEastAsia"/>
          <w:color w:val="auto"/>
          <w:kern w:val="0"/>
          <w:sz w:val="24"/>
          <w:highlight w:val="none"/>
          <w:u w:val="single"/>
        </w:rPr>
        <w:t>（某联合体成员名称）</w:t>
      </w:r>
      <w:r>
        <w:rPr>
          <w:rFonts w:hint="eastAsia" w:asciiTheme="minorEastAsia" w:hAnsiTheme="minorEastAsia" w:eastAsiaTheme="minorEastAsia" w:cstheme="minorEastAsia"/>
          <w:color w:val="auto"/>
          <w:kern w:val="0"/>
          <w:sz w:val="24"/>
          <w:highlight w:val="none"/>
        </w:rPr>
        <w:t>为联合体</w:t>
      </w:r>
      <w:r>
        <w:rPr>
          <w:rFonts w:hint="eastAsia" w:asciiTheme="minorEastAsia" w:hAnsiTheme="minorEastAsia" w:eastAsiaTheme="minorEastAsia" w:cstheme="minorEastAsia"/>
          <w:color w:val="auto"/>
          <w:kern w:val="0"/>
          <w:sz w:val="24"/>
          <w:highlight w:val="none"/>
          <w:lang w:val="zh-CN"/>
        </w:rPr>
        <w:t>牵头人</w:t>
      </w:r>
      <w:r>
        <w:rPr>
          <w:rFonts w:hint="eastAsia" w:asciiTheme="minorEastAsia" w:hAnsiTheme="minorEastAsia" w:eastAsiaTheme="minorEastAsia" w:cstheme="minorEastAsia"/>
          <w:color w:val="auto"/>
          <w:sz w:val="24"/>
          <w:highlight w:val="none"/>
        </w:rPr>
        <w:t>，代表所有联合体成员负责投标和合同实施阶段的主办、协调工作</w:t>
      </w:r>
      <w:r>
        <w:rPr>
          <w:rFonts w:hint="eastAsia" w:asciiTheme="minorEastAsia" w:hAnsiTheme="minorEastAsia" w:eastAsiaTheme="minorEastAsia" w:cstheme="minorEastAsia"/>
          <w:color w:val="auto"/>
          <w:kern w:val="0"/>
          <w:sz w:val="24"/>
          <w:highlight w:val="none"/>
          <w:lang w:val="zh-CN"/>
        </w:rPr>
        <w:t>。</w:t>
      </w:r>
    </w:p>
    <w:p w14:paraId="429B78D9">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w:t>
      </w:r>
      <w:r>
        <w:rPr>
          <w:rFonts w:hint="eastAsia" w:asciiTheme="minorEastAsia" w:hAnsiTheme="minorEastAsia" w:eastAsiaTheme="minorEastAsia" w:cstheme="minorEastAsia"/>
          <w:color w:val="auto"/>
          <w:sz w:val="24"/>
          <w:highlight w:val="none"/>
        </w:rPr>
        <w:t>所有联合体成员各方签署授权书，授权书载明的</w:t>
      </w:r>
      <w:r>
        <w:rPr>
          <w:rFonts w:hint="eastAsia" w:asciiTheme="minorEastAsia" w:hAnsiTheme="minorEastAsia" w:eastAsiaTheme="minorEastAsia" w:cstheme="minorEastAsia"/>
          <w:color w:val="auto"/>
          <w:kern w:val="0"/>
          <w:sz w:val="24"/>
          <w:highlight w:val="none"/>
          <w:lang w:val="zh-CN"/>
        </w:rPr>
        <w:t>授权代表根据招标文件规定及投标内容而对采购人、采购机构所作的任何合法承诺，包括书面澄清及相应等均对联合投标各方产生约束力。</w:t>
      </w:r>
    </w:p>
    <w:p w14:paraId="5DB92BEB">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三、本次联合投标中，分工如下：</w:t>
      </w:r>
      <w:r>
        <w:rPr>
          <w:rFonts w:hint="eastAsia" w:asciiTheme="minorEastAsia" w:hAnsiTheme="minorEastAsia" w:eastAsiaTheme="minorEastAsia" w:cstheme="minorEastAsia"/>
          <w:color w:val="auto"/>
          <w:kern w:val="0"/>
          <w:sz w:val="24"/>
          <w:highlight w:val="none"/>
          <w:u w:val="single"/>
        </w:rPr>
        <w:t>（联合体其中一方成员名称）</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14:paraId="6CDA5787">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w:t>
      </w:r>
      <w:r>
        <w:rPr>
          <w:rFonts w:hint="eastAsia" w:asciiTheme="minorEastAsia" w:hAnsiTheme="minorEastAsia" w:eastAsiaTheme="minorEastAsia" w:cstheme="minorEastAsia"/>
          <w:color w:val="auto"/>
          <w:kern w:val="0"/>
          <w:sz w:val="24"/>
          <w:highlight w:val="none"/>
          <w:u w:val="single"/>
        </w:rPr>
        <w:t>（联合体其中一方成员名称）</w:t>
      </w:r>
      <w:r>
        <w:rPr>
          <w:rFonts w:hint="eastAsia" w:asciiTheme="minorEastAsia" w:hAnsiTheme="minorEastAsia" w:eastAsiaTheme="minorEastAsia" w:cstheme="minorEastAsia"/>
          <w:color w:val="auto"/>
          <w:kern w:val="0"/>
          <w:sz w:val="24"/>
          <w:highlight w:val="none"/>
        </w:rPr>
        <w:t>提供的全部货物</w:t>
      </w:r>
      <w:r>
        <w:rPr>
          <w:rFonts w:hint="eastAsia" w:asciiTheme="minorEastAsia" w:hAnsiTheme="minorEastAsia" w:eastAsiaTheme="minorEastAsia" w:cstheme="minorEastAsia"/>
          <w:color w:val="auto"/>
          <w:kern w:val="0"/>
          <w:sz w:val="24"/>
          <w:highlight w:val="none"/>
          <w:lang w:val="en-US" w:eastAsia="zh-CN"/>
        </w:rPr>
        <w:t>/服务</w:t>
      </w:r>
      <w:r>
        <w:rPr>
          <w:rFonts w:hint="eastAsia" w:asciiTheme="minorEastAsia" w:hAnsiTheme="minorEastAsia" w:eastAsiaTheme="minorEastAsia" w:cstheme="minorEastAsia"/>
          <w:color w:val="auto"/>
          <w:kern w:val="0"/>
          <w:sz w:val="24"/>
          <w:highlight w:val="none"/>
        </w:rPr>
        <w:t>由小微企业制造</w:t>
      </w:r>
      <w:r>
        <w:rPr>
          <w:rFonts w:hint="eastAsia" w:asciiTheme="minorEastAsia" w:hAnsiTheme="minorEastAsia" w:eastAsiaTheme="minorEastAsia" w:cstheme="minorEastAsia"/>
          <w:color w:val="auto"/>
          <w:kern w:val="0"/>
          <w:sz w:val="24"/>
          <w:highlight w:val="none"/>
          <w:lang w:val="en-US" w:eastAsia="zh-CN"/>
        </w:rPr>
        <w:t>/服务</w:t>
      </w:r>
      <w:r>
        <w:rPr>
          <w:rFonts w:hint="eastAsia" w:asciiTheme="minorEastAsia" w:hAnsiTheme="minorEastAsia" w:eastAsiaTheme="minorEastAsia" w:cstheme="minorEastAsia"/>
          <w:color w:val="auto"/>
          <w:kern w:val="0"/>
          <w:sz w:val="24"/>
          <w:highlight w:val="none"/>
        </w:rPr>
        <w:t>，其合同份额占到合同总金额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kern w:val="0"/>
          <w:sz w:val="24"/>
          <w:highlight w:val="none"/>
          <w:lang w:val="zh-CN"/>
        </w:rPr>
        <w:t>……。</w:t>
      </w:r>
    </w:p>
    <w:p w14:paraId="1C50E25C">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五、如果中标，</w:t>
      </w:r>
      <w:r>
        <w:rPr>
          <w:rFonts w:hint="eastAsia" w:asciiTheme="minorEastAsia" w:hAnsiTheme="minorEastAsia" w:eastAsiaTheme="minorEastAsia" w:cstheme="minorEastAsia"/>
          <w:color w:val="auto"/>
          <w:sz w:val="24"/>
          <w:highlight w:val="none"/>
        </w:rPr>
        <w:t>联合体各成员方共同与采购人签订合同，并就采购合同约定的事项对采购人承担连带责任。</w:t>
      </w:r>
    </w:p>
    <w:p w14:paraId="49D992D4">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六、有关本次联合投标的其他事宜：</w:t>
      </w:r>
    </w:p>
    <w:p w14:paraId="090C56FB">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1、联合体各方不再单独参加或者与其他供应商另外组成联合体参加同一合同项下的政府采购活动。</w:t>
      </w:r>
    </w:p>
    <w:p w14:paraId="1B4FC0FC">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2、联合体中有同类资质的各方按照联合体分工承担相同工作的，按照资质等级较低的供应商确定资质等级。</w:t>
      </w:r>
    </w:p>
    <w:p w14:paraId="46DBBD4A">
      <w:pPr>
        <w:shd w:val="clear"/>
        <w:snapToGrid w:val="0"/>
        <w:spacing w:line="360"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3、本协议提交采购人、采购机构后，联合体各方不得以任何形式对上述内容进行修改或撤销。</w:t>
      </w:r>
    </w:p>
    <w:p w14:paraId="038D4706">
      <w:pPr>
        <w:shd w:val="clear"/>
        <w:snapToGrid w:val="0"/>
        <w:spacing w:line="360" w:lineRule="auto"/>
        <w:ind w:firstLine="504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联合体成员名称(公章)：</w:t>
      </w:r>
    </w:p>
    <w:p w14:paraId="1412A161">
      <w:pPr>
        <w:shd w:val="clear"/>
        <w:snapToGrid w:val="0"/>
        <w:spacing w:line="360" w:lineRule="auto"/>
        <w:rPr>
          <w:rFonts w:hint="eastAsia" w:asciiTheme="minorEastAsia" w:hAnsiTheme="minorEastAsia" w:eastAsiaTheme="minorEastAsia" w:cstheme="minorEastAsia"/>
          <w:b/>
          <w:color w:val="auto"/>
          <w:kern w:val="0"/>
          <w:sz w:val="32"/>
          <w:szCs w:val="32"/>
          <w:highlight w:val="none"/>
          <w:lang w:val="zh-CN"/>
        </w:rPr>
        <w:sectPr>
          <w:headerReference r:id="rId4" w:type="first"/>
          <w:footerReference r:id="rId6" w:type="first"/>
          <w:headerReference r:id="rId3" w:type="default"/>
          <w:footerReference r:id="rId5" w:type="default"/>
          <w:pgSz w:w="11906" w:h="16838"/>
          <w:pgMar w:top="1276" w:right="1191" w:bottom="1247" w:left="1191"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heme="minorEastAsia" w:hAnsiTheme="minorEastAsia" w:eastAsiaTheme="minorEastAsia" w:cstheme="minorEastAsia"/>
          <w:color w:val="auto"/>
          <w:kern w:val="0"/>
          <w:sz w:val="24"/>
          <w:highlight w:val="none"/>
          <w:lang w:val="zh-CN"/>
        </w:rPr>
        <w:t xml:space="preserve">                                               日期：  年  月   日</w:t>
      </w:r>
    </w:p>
    <w:p w14:paraId="13E7CF7F">
      <w:pPr>
        <w:pageBreakBefore/>
        <w:shd w:val="clear"/>
        <w:outlineLvl w:val="1"/>
        <w:rPr>
          <w:rFonts w:ascii="宋体" w:hAnsi="宋体"/>
          <w:bCs/>
          <w:color w:val="auto"/>
          <w:sz w:val="24"/>
          <w:highlight w:val="none"/>
        </w:rPr>
      </w:pPr>
      <w:bookmarkStart w:id="112" w:name="_Toc23001"/>
      <w:bookmarkStart w:id="113" w:name="_Toc19874"/>
      <w:bookmarkStart w:id="114" w:name="_Toc8328"/>
      <w:r>
        <w:rPr>
          <w:rFonts w:hint="eastAsia" w:ascii="宋体" w:hAnsi="宋体"/>
          <w:bCs/>
          <w:color w:val="auto"/>
          <w:sz w:val="24"/>
          <w:szCs w:val="32"/>
          <w:highlight w:val="none"/>
        </w:rPr>
        <w:t>附件六：</w:t>
      </w:r>
      <w:r>
        <w:rPr>
          <w:rFonts w:hint="eastAsia" w:ascii="宋体" w:hAnsi="宋体"/>
          <w:bCs/>
          <w:color w:val="auto"/>
          <w:sz w:val="24"/>
          <w:highlight w:val="none"/>
        </w:rPr>
        <w:t>分包意向协议</w:t>
      </w:r>
      <w:bookmarkEnd w:id="112"/>
      <w:bookmarkEnd w:id="113"/>
    </w:p>
    <w:p w14:paraId="2C71254F">
      <w:pPr>
        <w:shd w:val="clear"/>
        <w:snapToGrid w:val="0"/>
        <w:spacing w:before="120" w:beforeLines="50" w:after="50"/>
        <w:rPr>
          <w:rFonts w:ascii="Arial" w:hAnsi="Arial"/>
          <w:b/>
          <w:bCs/>
          <w:color w:val="auto"/>
          <w:sz w:val="28"/>
          <w:szCs w:val="32"/>
          <w:highlight w:val="none"/>
        </w:rPr>
      </w:pPr>
    </w:p>
    <w:p w14:paraId="6E413995">
      <w:pPr>
        <w:shd w:val="clear"/>
        <w:snapToGrid w:val="0"/>
        <w:spacing w:line="360" w:lineRule="auto"/>
        <w:ind w:firstLine="3855" w:firstLineChars="12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分包意向协议</w:t>
      </w:r>
    </w:p>
    <w:p w14:paraId="157D6BF4">
      <w:pPr>
        <w:widowControl/>
        <w:shd w:val="clear"/>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中标后以分包方式履行合同的，提供分包意向协议；投标人中标后不以分包方式履行合同的，则不需要提供。</w:t>
      </w:r>
      <w:r>
        <w:rPr>
          <w:rFonts w:hint="eastAsia" w:ascii="宋体" w:hAnsi="宋体" w:cs="宋体"/>
          <w:color w:val="auto"/>
          <w:sz w:val="24"/>
          <w:highlight w:val="none"/>
        </w:rPr>
        <w:t>）</w:t>
      </w:r>
    </w:p>
    <w:p w14:paraId="19378998">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39A28DAB">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C6E93CB">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（某分包供应商名称）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（某分包供应商名称），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6D79B08B">
      <w:pPr>
        <w:shd w:val="clear"/>
        <w:snapToGrid w:val="0"/>
        <w:spacing w:line="360" w:lineRule="auto"/>
        <w:ind w:firstLine="576"/>
        <w:rPr>
          <w:rFonts w:ascii="宋体" w:hAnsi="宋体" w:cs="宋体"/>
          <w:color w:val="auto"/>
          <w:highlight w:val="none"/>
        </w:rPr>
      </w:pPr>
      <w:r>
        <w:rPr>
          <w:rFonts w:hint="eastAsia" w:ascii="宋体" w:hAnsi="宋体" w:cs="宋体"/>
          <w:color w:val="auto"/>
          <w:kern w:val="0"/>
          <w:sz w:val="24"/>
          <w:highlight w:val="none"/>
        </w:rPr>
        <w:t>……</w:t>
      </w:r>
    </w:p>
    <w:p w14:paraId="636B21A1">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二、分包工作履行期限、地点、方式</w:t>
      </w:r>
    </w:p>
    <w:p w14:paraId="08236AE3">
      <w:pPr>
        <w:shd w:val="clear"/>
        <w:snapToGrid w:val="0"/>
        <w:spacing w:line="360" w:lineRule="auto"/>
        <w:rPr>
          <w:rFonts w:ascii="宋体" w:hAnsi="宋体" w:cs="宋体"/>
          <w:color w:val="auto"/>
          <w:highlight w:val="none"/>
          <w:u w:val="single"/>
        </w:rPr>
      </w:pPr>
      <w:r>
        <w:rPr>
          <w:rFonts w:hint="eastAsia" w:ascii="宋体" w:hAnsi="宋体" w:cs="宋体"/>
          <w:color w:val="auto"/>
          <w:highlight w:val="none"/>
          <w:u w:val="single"/>
        </w:rPr>
        <w:t xml:space="preserve">                                                                             </w:t>
      </w:r>
    </w:p>
    <w:p w14:paraId="7EECF400">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三、质量</w:t>
      </w:r>
    </w:p>
    <w:p w14:paraId="65C44525">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2EBC754">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四、价款或者报酬</w:t>
      </w:r>
    </w:p>
    <w:p w14:paraId="186B559D">
      <w:pPr>
        <w:shd w:val="clea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51D20C3">
      <w:pPr>
        <w:shd w:val="clea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五、违约责任</w:t>
      </w:r>
      <w:r>
        <w:rPr>
          <w:rFonts w:hint="eastAsia" w:ascii="宋体" w:hAnsi="宋体" w:cs="宋体"/>
          <w:color w:val="auto"/>
          <w:highlight w:val="none"/>
          <w:u w:val="single"/>
        </w:rPr>
        <w:t xml:space="preserve">                                                                            </w:t>
      </w:r>
    </w:p>
    <w:p w14:paraId="322FBB1F">
      <w:pPr>
        <w:shd w:val="clear"/>
        <w:snapToGrid w:val="0"/>
        <w:spacing w:line="360" w:lineRule="auto"/>
        <w:ind w:firstLine="576"/>
        <w:rPr>
          <w:rFonts w:ascii="宋体" w:hAnsi="宋体" w:cs="宋体"/>
          <w:color w:val="auto"/>
          <w:kern w:val="0"/>
          <w:sz w:val="24"/>
          <w:highlight w:val="none"/>
          <w:lang w:val="zh-CN"/>
        </w:rPr>
      </w:pPr>
    </w:p>
    <w:p w14:paraId="7DAE1D0D">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六、争议解决的办法</w:t>
      </w:r>
      <w:r>
        <w:rPr>
          <w:rFonts w:hint="eastAsia" w:ascii="宋体" w:hAnsi="宋体" w:cs="宋体"/>
          <w:color w:val="auto"/>
          <w:highlight w:val="none"/>
          <w:u w:val="single"/>
        </w:rPr>
        <w:t xml:space="preserve">                                                                              </w:t>
      </w:r>
    </w:p>
    <w:p w14:paraId="74478653">
      <w:pPr>
        <w:shd w:val="clear"/>
        <w:snapToGrid w:val="0"/>
        <w:spacing w:line="360" w:lineRule="auto"/>
        <w:rPr>
          <w:rFonts w:ascii="宋体" w:hAnsi="宋体" w:cs="宋体"/>
          <w:color w:val="auto"/>
          <w:kern w:val="0"/>
          <w:sz w:val="24"/>
          <w:highlight w:val="none"/>
          <w:lang w:val="zh-CN"/>
        </w:rPr>
      </w:pPr>
    </w:p>
    <w:p w14:paraId="0CB3E6F4">
      <w:pPr>
        <w:shd w:val="clea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七、其他</w:t>
      </w:r>
    </w:p>
    <w:p w14:paraId="6BD2539E">
      <w:pPr>
        <w:shd w:val="clear"/>
        <w:snapToGrid w:val="0"/>
        <w:spacing w:line="360" w:lineRule="auto"/>
        <w:ind w:firstLine="576"/>
        <w:rPr>
          <w:rFonts w:ascii="宋体" w:hAnsi="宋体" w:cs="宋体"/>
          <w:b/>
          <w:color w:val="auto"/>
          <w:kern w:val="0"/>
          <w:sz w:val="24"/>
          <w:highlight w:val="none"/>
          <w:lang w:val="zh-CN"/>
        </w:rPr>
      </w:pPr>
      <w:r>
        <w:rPr>
          <w:rFonts w:hint="eastAsia" w:ascii="宋体" w:hAnsi="宋体" w:cs="宋体"/>
          <w:bCs/>
          <w:color w:val="auto"/>
          <w:kern w:val="0"/>
          <w:sz w:val="24"/>
          <w:highlight w:val="none"/>
          <w:lang w:val="zh-CN"/>
        </w:rPr>
        <w:t>中小企业合同金额达到</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lang w:val="zh-CN"/>
        </w:rPr>
        <w:t>%</w:t>
      </w:r>
    </w:p>
    <w:p w14:paraId="5EF63F5D">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2E5D0035">
      <w:pPr>
        <w:shd w:val="clea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投标人名称(签名)：</w:t>
      </w:r>
    </w:p>
    <w:p w14:paraId="5C959F59">
      <w:pPr>
        <w:shd w:val="clear"/>
        <w:snapToGrid w:val="0"/>
        <w:spacing w:line="360" w:lineRule="auto"/>
        <w:ind w:firstLine="5640" w:firstLineChars="2350"/>
        <w:rPr>
          <w:color w:val="auto"/>
          <w:highlight w:val="none"/>
        </w:rPr>
      </w:pPr>
      <w:r>
        <w:rPr>
          <w:rFonts w:hint="eastAsia" w:ascii="宋体" w:hAnsi="宋体" w:cs="宋体"/>
          <w:color w:val="auto"/>
          <w:kern w:val="0"/>
          <w:sz w:val="24"/>
          <w:highlight w:val="none"/>
          <w:lang w:val="zh-CN"/>
        </w:rPr>
        <w:t>分包供应商名称：</w:t>
      </w:r>
    </w:p>
    <w:p w14:paraId="2C6A3508">
      <w:pPr>
        <w:shd w:val="clear"/>
        <w:snapToGrid w:val="0"/>
        <w:spacing w:line="360" w:lineRule="auto"/>
        <w:rPr>
          <w:rFonts w:ascii="宋体" w:hAnsi="宋体" w:cs="宋体"/>
          <w:color w:val="auto"/>
          <w:kern w:val="0"/>
          <w:sz w:val="24"/>
          <w:highlight w:val="none"/>
          <w:lang w:val="zh-CN"/>
        </w:rPr>
      </w:pPr>
      <w:r>
        <w:rPr>
          <w:rFonts w:ascii="仿宋_GB2312" w:hAnsi="仿宋" w:eastAsia="仿宋_GB2312" w:cs="仿宋_GB2312"/>
          <w:color w:val="auto"/>
          <w:kern w:val="0"/>
          <w:sz w:val="24"/>
          <w:highlight w:val="none"/>
          <w:lang w:val="zh-CN"/>
        </w:rPr>
        <w:t xml:space="preserve">                                              </w:t>
      </w:r>
      <w:r>
        <w:rPr>
          <w:rFonts w:hint="eastAsia" w:ascii="宋体" w:hAnsi="宋体" w:cs="宋体"/>
          <w:color w:val="auto"/>
          <w:kern w:val="0"/>
          <w:sz w:val="24"/>
          <w:highlight w:val="none"/>
          <w:lang w:val="zh-CN"/>
        </w:rPr>
        <w:t xml:space="preserve"> 日期：  年  月   日</w:t>
      </w:r>
    </w:p>
    <w:p w14:paraId="622517F7">
      <w:pPr>
        <w:shd w:val="clear"/>
        <w:rPr>
          <w:color w:val="auto"/>
          <w:highlight w:val="none"/>
        </w:rPr>
      </w:pPr>
    </w:p>
    <w:p w14:paraId="407AEC30">
      <w:pPr>
        <w:pStyle w:val="8"/>
        <w:keepNext/>
        <w:keepLines/>
        <w:pageBreakBefore/>
        <w:widowControl w:val="0"/>
        <w:shd w:val="clear"/>
        <w:kinsoku/>
        <w:wordWrap/>
        <w:overflowPunct/>
        <w:topLinePunct w:val="0"/>
        <w:autoSpaceDE/>
        <w:autoSpaceDN/>
        <w:bidi w:val="0"/>
        <w:adjustRightInd/>
        <w:snapToGrid/>
        <w:spacing w:line="416" w:lineRule="auto"/>
        <w:textAlignment w:val="auto"/>
        <w:rPr>
          <w:rFonts w:hint="eastAsia" w:ascii="宋体" w:hAnsi="宋体" w:eastAsia="宋体" w:cs="宋体"/>
          <w:b w:val="0"/>
          <w:color w:val="auto"/>
          <w:sz w:val="24"/>
          <w:szCs w:val="24"/>
          <w:highlight w:val="none"/>
        </w:rPr>
      </w:pPr>
      <w:bookmarkStart w:id="115" w:name="_Toc2474"/>
      <w:r>
        <w:rPr>
          <w:rFonts w:hint="eastAsia" w:ascii="宋体" w:hAnsi="宋体" w:eastAsia="宋体" w:cs="宋体"/>
          <w:b w:val="0"/>
          <w:color w:val="auto"/>
          <w:sz w:val="24"/>
          <w:szCs w:val="24"/>
          <w:highlight w:val="none"/>
        </w:rPr>
        <w:t>附件</w:t>
      </w:r>
      <w:r>
        <w:rPr>
          <w:rFonts w:hint="eastAsia" w:ascii="宋体" w:hAnsi="宋体" w:eastAsia="宋体" w:cs="宋体"/>
          <w:b w:val="0"/>
          <w:color w:val="auto"/>
          <w:sz w:val="24"/>
          <w:szCs w:val="24"/>
          <w:highlight w:val="none"/>
          <w:lang w:val="en-US" w:eastAsia="zh-CN"/>
        </w:rPr>
        <w:t>七</w:t>
      </w:r>
      <w:r>
        <w:rPr>
          <w:rFonts w:hint="eastAsia" w:ascii="宋体" w:hAnsi="宋体" w:eastAsia="宋体" w:cs="宋体"/>
          <w:b w:val="0"/>
          <w:color w:val="auto"/>
          <w:sz w:val="24"/>
          <w:szCs w:val="24"/>
          <w:highlight w:val="none"/>
        </w:rPr>
        <w:t>：投标人资信商务、技术自评得分表</w:t>
      </w:r>
      <w:bookmarkEnd w:id="114"/>
      <w:bookmarkEnd w:id="115"/>
    </w:p>
    <w:p w14:paraId="7E45CBC2">
      <w:pPr>
        <w:shd w:val="clea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投标人资信商务、技术自评得分表</w:t>
      </w:r>
    </w:p>
    <w:tbl>
      <w:tblPr>
        <w:tblStyle w:val="38"/>
        <w:tblW w:w="9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550"/>
        <w:gridCol w:w="3200"/>
        <w:gridCol w:w="916"/>
        <w:gridCol w:w="1219"/>
      </w:tblGrid>
      <w:tr w14:paraId="1A31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834" w:type="dxa"/>
            <w:vAlign w:val="center"/>
          </w:tcPr>
          <w:p w14:paraId="5F3270C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3550" w:type="dxa"/>
            <w:vAlign w:val="center"/>
          </w:tcPr>
          <w:p w14:paraId="0ECBCD3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评分标准</w:t>
            </w:r>
          </w:p>
        </w:tc>
        <w:tc>
          <w:tcPr>
            <w:tcW w:w="3200" w:type="dxa"/>
            <w:vAlign w:val="center"/>
          </w:tcPr>
          <w:p w14:paraId="5E102851">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得分内容</w:t>
            </w:r>
          </w:p>
        </w:tc>
        <w:tc>
          <w:tcPr>
            <w:tcW w:w="916" w:type="dxa"/>
            <w:vAlign w:val="center"/>
          </w:tcPr>
          <w:p w14:paraId="0CD2F660">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自评</w:t>
            </w:r>
          </w:p>
          <w:p w14:paraId="05AABA8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得分</w:t>
            </w:r>
          </w:p>
        </w:tc>
        <w:tc>
          <w:tcPr>
            <w:tcW w:w="1219" w:type="dxa"/>
            <w:vAlign w:val="center"/>
          </w:tcPr>
          <w:p w14:paraId="4E606075">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r>
      <w:tr w14:paraId="59B0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093DDD5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550" w:type="dxa"/>
            <w:vAlign w:val="center"/>
          </w:tcPr>
          <w:p w14:paraId="047BA1FC">
            <w:pPr>
              <w:shd w:val="clear"/>
              <w:jc w:val="center"/>
              <w:rPr>
                <w:rFonts w:hint="eastAsia" w:ascii="宋体" w:hAnsi="宋体" w:eastAsia="宋体" w:cs="宋体"/>
                <w:color w:val="auto"/>
                <w:sz w:val="24"/>
                <w:highlight w:val="none"/>
              </w:rPr>
            </w:pPr>
          </w:p>
        </w:tc>
        <w:tc>
          <w:tcPr>
            <w:tcW w:w="3200" w:type="dxa"/>
            <w:vAlign w:val="center"/>
          </w:tcPr>
          <w:p w14:paraId="050E1405">
            <w:pPr>
              <w:shd w:val="clear"/>
              <w:jc w:val="center"/>
              <w:rPr>
                <w:rFonts w:hint="eastAsia" w:ascii="宋体" w:hAnsi="宋体" w:eastAsia="宋体" w:cs="宋体"/>
                <w:color w:val="auto"/>
                <w:sz w:val="24"/>
                <w:highlight w:val="none"/>
              </w:rPr>
            </w:pPr>
          </w:p>
        </w:tc>
        <w:tc>
          <w:tcPr>
            <w:tcW w:w="916" w:type="dxa"/>
            <w:vAlign w:val="center"/>
          </w:tcPr>
          <w:p w14:paraId="6B572C03">
            <w:pPr>
              <w:shd w:val="clear"/>
              <w:jc w:val="center"/>
              <w:rPr>
                <w:rFonts w:hint="eastAsia" w:ascii="宋体" w:hAnsi="宋体" w:eastAsia="宋体" w:cs="宋体"/>
                <w:color w:val="auto"/>
                <w:sz w:val="24"/>
                <w:highlight w:val="none"/>
              </w:rPr>
            </w:pPr>
          </w:p>
        </w:tc>
        <w:tc>
          <w:tcPr>
            <w:tcW w:w="1219" w:type="dxa"/>
            <w:vAlign w:val="center"/>
          </w:tcPr>
          <w:p w14:paraId="6DB22565">
            <w:pPr>
              <w:shd w:val="clear"/>
              <w:jc w:val="center"/>
              <w:rPr>
                <w:rFonts w:hint="eastAsia" w:ascii="宋体" w:hAnsi="宋体" w:eastAsia="宋体" w:cs="宋体"/>
                <w:color w:val="auto"/>
                <w:sz w:val="24"/>
                <w:highlight w:val="none"/>
              </w:rPr>
            </w:pPr>
          </w:p>
        </w:tc>
      </w:tr>
      <w:tr w14:paraId="4210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54FB4DA8">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3550" w:type="dxa"/>
            <w:vAlign w:val="center"/>
          </w:tcPr>
          <w:p w14:paraId="64BB61F2">
            <w:pPr>
              <w:shd w:val="clear"/>
              <w:jc w:val="center"/>
              <w:rPr>
                <w:rFonts w:hint="eastAsia" w:ascii="宋体" w:hAnsi="宋体" w:eastAsia="宋体" w:cs="宋体"/>
                <w:color w:val="auto"/>
                <w:sz w:val="24"/>
                <w:highlight w:val="none"/>
              </w:rPr>
            </w:pPr>
          </w:p>
        </w:tc>
        <w:tc>
          <w:tcPr>
            <w:tcW w:w="3200" w:type="dxa"/>
            <w:vAlign w:val="center"/>
          </w:tcPr>
          <w:p w14:paraId="6B8B8FD0">
            <w:pPr>
              <w:shd w:val="clear"/>
              <w:jc w:val="center"/>
              <w:rPr>
                <w:rFonts w:hint="eastAsia" w:ascii="宋体" w:hAnsi="宋体" w:eastAsia="宋体" w:cs="宋体"/>
                <w:color w:val="auto"/>
                <w:sz w:val="24"/>
                <w:highlight w:val="none"/>
              </w:rPr>
            </w:pPr>
          </w:p>
        </w:tc>
        <w:tc>
          <w:tcPr>
            <w:tcW w:w="916" w:type="dxa"/>
            <w:vAlign w:val="center"/>
          </w:tcPr>
          <w:p w14:paraId="08325A5D">
            <w:pPr>
              <w:shd w:val="clear"/>
              <w:jc w:val="center"/>
              <w:rPr>
                <w:rFonts w:hint="eastAsia" w:ascii="宋体" w:hAnsi="宋体" w:eastAsia="宋体" w:cs="宋体"/>
                <w:color w:val="auto"/>
                <w:sz w:val="24"/>
                <w:highlight w:val="none"/>
              </w:rPr>
            </w:pPr>
          </w:p>
        </w:tc>
        <w:tc>
          <w:tcPr>
            <w:tcW w:w="1219" w:type="dxa"/>
            <w:vAlign w:val="center"/>
          </w:tcPr>
          <w:p w14:paraId="211C7CF0">
            <w:pPr>
              <w:shd w:val="clear"/>
              <w:jc w:val="center"/>
              <w:rPr>
                <w:rFonts w:hint="eastAsia" w:ascii="宋体" w:hAnsi="宋体" w:eastAsia="宋体" w:cs="宋体"/>
                <w:color w:val="auto"/>
                <w:sz w:val="24"/>
                <w:highlight w:val="none"/>
              </w:rPr>
            </w:pPr>
          </w:p>
        </w:tc>
      </w:tr>
      <w:tr w14:paraId="3C00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12E63D4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3550" w:type="dxa"/>
            <w:vAlign w:val="center"/>
          </w:tcPr>
          <w:p w14:paraId="20963098">
            <w:pPr>
              <w:shd w:val="clear"/>
              <w:jc w:val="center"/>
              <w:rPr>
                <w:rFonts w:hint="eastAsia" w:ascii="宋体" w:hAnsi="宋体" w:eastAsia="宋体" w:cs="宋体"/>
                <w:color w:val="auto"/>
                <w:sz w:val="24"/>
                <w:highlight w:val="none"/>
              </w:rPr>
            </w:pPr>
          </w:p>
        </w:tc>
        <w:tc>
          <w:tcPr>
            <w:tcW w:w="3200" w:type="dxa"/>
            <w:vAlign w:val="center"/>
          </w:tcPr>
          <w:p w14:paraId="44A106F1">
            <w:pPr>
              <w:shd w:val="clear"/>
              <w:jc w:val="center"/>
              <w:rPr>
                <w:rFonts w:hint="eastAsia" w:ascii="宋体" w:hAnsi="宋体" w:eastAsia="宋体" w:cs="宋体"/>
                <w:color w:val="auto"/>
                <w:sz w:val="24"/>
                <w:highlight w:val="none"/>
              </w:rPr>
            </w:pPr>
          </w:p>
        </w:tc>
        <w:tc>
          <w:tcPr>
            <w:tcW w:w="916" w:type="dxa"/>
            <w:vAlign w:val="center"/>
          </w:tcPr>
          <w:p w14:paraId="2F36005F">
            <w:pPr>
              <w:shd w:val="clear"/>
              <w:jc w:val="center"/>
              <w:rPr>
                <w:rFonts w:hint="eastAsia" w:ascii="宋体" w:hAnsi="宋体" w:eastAsia="宋体" w:cs="宋体"/>
                <w:color w:val="auto"/>
                <w:sz w:val="24"/>
                <w:highlight w:val="none"/>
              </w:rPr>
            </w:pPr>
          </w:p>
        </w:tc>
        <w:tc>
          <w:tcPr>
            <w:tcW w:w="1219" w:type="dxa"/>
            <w:vAlign w:val="center"/>
          </w:tcPr>
          <w:p w14:paraId="67744147">
            <w:pPr>
              <w:shd w:val="clear"/>
              <w:jc w:val="center"/>
              <w:rPr>
                <w:rFonts w:hint="eastAsia" w:ascii="宋体" w:hAnsi="宋体" w:eastAsia="宋体" w:cs="宋体"/>
                <w:color w:val="auto"/>
                <w:sz w:val="24"/>
                <w:highlight w:val="none"/>
              </w:rPr>
            </w:pPr>
          </w:p>
        </w:tc>
      </w:tr>
      <w:tr w14:paraId="322F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52A50F0A">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3550" w:type="dxa"/>
            <w:vAlign w:val="center"/>
          </w:tcPr>
          <w:p w14:paraId="2A5F61C9">
            <w:pPr>
              <w:shd w:val="clear"/>
              <w:jc w:val="center"/>
              <w:rPr>
                <w:rFonts w:hint="eastAsia" w:ascii="宋体" w:hAnsi="宋体" w:eastAsia="宋体" w:cs="宋体"/>
                <w:color w:val="auto"/>
                <w:sz w:val="24"/>
                <w:highlight w:val="none"/>
              </w:rPr>
            </w:pPr>
          </w:p>
        </w:tc>
        <w:tc>
          <w:tcPr>
            <w:tcW w:w="3200" w:type="dxa"/>
            <w:vAlign w:val="center"/>
          </w:tcPr>
          <w:p w14:paraId="7F6AFE0F">
            <w:pPr>
              <w:shd w:val="clear"/>
              <w:jc w:val="center"/>
              <w:rPr>
                <w:rFonts w:hint="eastAsia" w:ascii="宋体" w:hAnsi="宋体" w:eastAsia="宋体" w:cs="宋体"/>
                <w:color w:val="auto"/>
                <w:sz w:val="24"/>
                <w:highlight w:val="none"/>
              </w:rPr>
            </w:pPr>
          </w:p>
        </w:tc>
        <w:tc>
          <w:tcPr>
            <w:tcW w:w="916" w:type="dxa"/>
            <w:vAlign w:val="center"/>
          </w:tcPr>
          <w:p w14:paraId="53BF7C11">
            <w:pPr>
              <w:shd w:val="clear"/>
              <w:jc w:val="center"/>
              <w:rPr>
                <w:rFonts w:hint="eastAsia" w:ascii="宋体" w:hAnsi="宋体" w:eastAsia="宋体" w:cs="宋体"/>
                <w:color w:val="auto"/>
                <w:sz w:val="24"/>
                <w:highlight w:val="none"/>
              </w:rPr>
            </w:pPr>
          </w:p>
        </w:tc>
        <w:tc>
          <w:tcPr>
            <w:tcW w:w="1219" w:type="dxa"/>
            <w:vAlign w:val="center"/>
          </w:tcPr>
          <w:p w14:paraId="22700F2F">
            <w:pPr>
              <w:shd w:val="clear"/>
              <w:jc w:val="center"/>
              <w:rPr>
                <w:rFonts w:hint="eastAsia" w:ascii="宋体" w:hAnsi="宋体" w:eastAsia="宋体" w:cs="宋体"/>
                <w:color w:val="auto"/>
                <w:sz w:val="24"/>
                <w:highlight w:val="none"/>
              </w:rPr>
            </w:pPr>
          </w:p>
        </w:tc>
      </w:tr>
      <w:tr w14:paraId="655D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65189D1A">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3550" w:type="dxa"/>
            <w:vAlign w:val="center"/>
          </w:tcPr>
          <w:p w14:paraId="0114B969">
            <w:pPr>
              <w:shd w:val="clear"/>
              <w:jc w:val="center"/>
              <w:rPr>
                <w:rFonts w:hint="eastAsia" w:ascii="宋体" w:hAnsi="宋体" w:eastAsia="宋体" w:cs="宋体"/>
                <w:color w:val="auto"/>
                <w:sz w:val="24"/>
                <w:highlight w:val="none"/>
              </w:rPr>
            </w:pPr>
          </w:p>
        </w:tc>
        <w:tc>
          <w:tcPr>
            <w:tcW w:w="3200" w:type="dxa"/>
            <w:vAlign w:val="center"/>
          </w:tcPr>
          <w:p w14:paraId="295C18A2">
            <w:pPr>
              <w:shd w:val="clear"/>
              <w:jc w:val="center"/>
              <w:rPr>
                <w:rFonts w:hint="eastAsia" w:ascii="宋体" w:hAnsi="宋体" w:eastAsia="宋体" w:cs="宋体"/>
                <w:color w:val="auto"/>
                <w:sz w:val="24"/>
                <w:highlight w:val="none"/>
              </w:rPr>
            </w:pPr>
          </w:p>
        </w:tc>
        <w:tc>
          <w:tcPr>
            <w:tcW w:w="916" w:type="dxa"/>
            <w:vAlign w:val="center"/>
          </w:tcPr>
          <w:p w14:paraId="3BBE57A3">
            <w:pPr>
              <w:shd w:val="clear"/>
              <w:jc w:val="center"/>
              <w:rPr>
                <w:rFonts w:hint="eastAsia" w:ascii="宋体" w:hAnsi="宋体" w:eastAsia="宋体" w:cs="宋体"/>
                <w:color w:val="auto"/>
                <w:sz w:val="24"/>
                <w:highlight w:val="none"/>
              </w:rPr>
            </w:pPr>
          </w:p>
        </w:tc>
        <w:tc>
          <w:tcPr>
            <w:tcW w:w="1219" w:type="dxa"/>
            <w:vAlign w:val="center"/>
          </w:tcPr>
          <w:p w14:paraId="16D3AE72">
            <w:pPr>
              <w:shd w:val="clear"/>
              <w:jc w:val="center"/>
              <w:rPr>
                <w:rFonts w:hint="eastAsia" w:ascii="宋体" w:hAnsi="宋体" w:eastAsia="宋体" w:cs="宋体"/>
                <w:color w:val="auto"/>
                <w:sz w:val="24"/>
                <w:highlight w:val="none"/>
              </w:rPr>
            </w:pPr>
          </w:p>
        </w:tc>
      </w:tr>
      <w:tr w14:paraId="7D20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32BF45D0">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3550" w:type="dxa"/>
            <w:vAlign w:val="center"/>
          </w:tcPr>
          <w:p w14:paraId="3002F7A7">
            <w:pPr>
              <w:shd w:val="clear"/>
              <w:jc w:val="center"/>
              <w:rPr>
                <w:rFonts w:hint="eastAsia" w:ascii="宋体" w:hAnsi="宋体" w:eastAsia="宋体" w:cs="宋体"/>
                <w:color w:val="auto"/>
                <w:sz w:val="24"/>
                <w:highlight w:val="none"/>
              </w:rPr>
            </w:pPr>
          </w:p>
        </w:tc>
        <w:tc>
          <w:tcPr>
            <w:tcW w:w="3200" w:type="dxa"/>
            <w:vAlign w:val="center"/>
          </w:tcPr>
          <w:p w14:paraId="2D893B5B">
            <w:pPr>
              <w:shd w:val="clear"/>
              <w:jc w:val="center"/>
              <w:rPr>
                <w:rFonts w:hint="eastAsia" w:ascii="宋体" w:hAnsi="宋体" w:eastAsia="宋体" w:cs="宋体"/>
                <w:color w:val="auto"/>
                <w:sz w:val="24"/>
                <w:highlight w:val="none"/>
              </w:rPr>
            </w:pPr>
          </w:p>
        </w:tc>
        <w:tc>
          <w:tcPr>
            <w:tcW w:w="916" w:type="dxa"/>
            <w:vAlign w:val="center"/>
          </w:tcPr>
          <w:p w14:paraId="75259FB6">
            <w:pPr>
              <w:shd w:val="clear"/>
              <w:jc w:val="center"/>
              <w:rPr>
                <w:rFonts w:hint="eastAsia" w:ascii="宋体" w:hAnsi="宋体" w:eastAsia="宋体" w:cs="宋体"/>
                <w:color w:val="auto"/>
                <w:sz w:val="24"/>
                <w:highlight w:val="none"/>
              </w:rPr>
            </w:pPr>
          </w:p>
        </w:tc>
        <w:tc>
          <w:tcPr>
            <w:tcW w:w="1219" w:type="dxa"/>
            <w:vAlign w:val="center"/>
          </w:tcPr>
          <w:p w14:paraId="085A5CF3">
            <w:pPr>
              <w:shd w:val="clear"/>
              <w:jc w:val="center"/>
              <w:rPr>
                <w:rFonts w:hint="eastAsia" w:ascii="宋体" w:hAnsi="宋体" w:eastAsia="宋体" w:cs="宋体"/>
                <w:color w:val="auto"/>
                <w:sz w:val="24"/>
                <w:highlight w:val="none"/>
              </w:rPr>
            </w:pPr>
          </w:p>
        </w:tc>
      </w:tr>
      <w:tr w14:paraId="51B2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509AFB6A">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3550" w:type="dxa"/>
            <w:vAlign w:val="center"/>
          </w:tcPr>
          <w:p w14:paraId="31FFE684">
            <w:pPr>
              <w:shd w:val="clear"/>
              <w:jc w:val="center"/>
              <w:rPr>
                <w:rFonts w:hint="eastAsia" w:ascii="宋体" w:hAnsi="宋体" w:eastAsia="宋体" w:cs="宋体"/>
                <w:color w:val="auto"/>
                <w:sz w:val="24"/>
                <w:highlight w:val="none"/>
              </w:rPr>
            </w:pPr>
          </w:p>
        </w:tc>
        <w:tc>
          <w:tcPr>
            <w:tcW w:w="3200" w:type="dxa"/>
            <w:vAlign w:val="center"/>
          </w:tcPr>
          <w:p w14:paraId="51DB7B6D">
            <w:pPr>
              <w:shd w:val="clear"/>
              <w:jc w:val="center"/>
              <w:rPr>
                <w:rFonts w:hint="eastAsia" w:ascii="宋体" w:hAnsi="宋体" w:eastAsia="宋体" w:cs="宋体"/>
                <w:color w:val="auto"/>
                <w:sz w:val="24"/>
                <w:highlight w:val="none"/>
              </w:rPr>
            </w:pPr>
          </w:p>
        </w:tc>
        <w:tc>
          <w:tcPr>
            <w:tcW w:w="916" w:type="dxa"/>
            <w:vAlign w:val="center"/>
          </w:tcPr>
          <w:p w14:paraId="3FA46BE6">
            <w:pPr>
              <w:shd w:val="clear"/>
              <w:jc w:val="center"/>
              <w:rPr>
                <w:rFonts w:hint="eastAsia" w:ascii="宋体" w:hAnsi="宋体" w:eastAsia="宋体" w:cs="宋体"/>
                <w:color w:val="auto"/>
                <w:sz w:val="24"/>
                <w:highlight w:val="none"/>
              </w:rPr>
            </w:pPr>
          </w:p>
        </w:tc>
        <w:tc>
          <w:tcPr>
            <w:tcW w:w="1219" w:type="dxa"/>
            <w:vAlign w:val="center"/>
          </w:tcPr>
          <w:p w14:paraId="09B28073">
            <w:pPr>
              <w:shd w:val="clear"/>
              <w:jc w:val="center"/>
              <w:rPr>
                <w:rFonts w:hint="eastAsia" w:ascii="宋体" w:hAnsi="宋体" w:eastAsia="宋体" w:cs="宋体"/>
                <w:color w:val="auto"/>
                <w:sz w:val="24"/>
                <w:highlight w:val="none"/>
              </w:rPr>
            </w:pPr>
          </w:p>
        </w:tc>
      </w:tr>
      <w:tr w14:paraId="1B13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6118B1E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3550" w:type="dxa"/>
            <w:vAlign w:val="center"/>
          </w:tcPr>
          <w:p w14:paraId="122CB822">
            <w:pPr>
              <w:shd w:val="clear"/>
              <w:jc w:val="center"/>
              <w:rPr>
                <w:rFonts w:hint="eastAsia" w:ascii="宋体" w:hAnsi="宋体" w:eastAsia="宋体" w:cs="宋体"/>
                <w:color w:val="auto"/>
                <w:sz w:val="24"/>
                <w:highlight w:val="none"/>
              </w:rPr>
            </w:pPr>
          </w:p>
        </w:tc>
        <w:tc>
          <w:tcPr>
            <w:tcW w:w="3200" w:type="dxa"/>
            <w:vAlign w:val="center"/>
          </w:tcPr>
          <w:p w14:paraId="0A1B63A7">
            <w:pPr>
              <w:shd w:val="clear"/>
              <w:jc w:val="center"/>
              <w:rPr>
                <w:rFonts w:hint="eastAsia" w:ascii="宋体" w:hAnsi="宋体" w:eastAsia="宋体" w:cs="宋体"/>
                <w:color w:val="auto"/>
                <w:sz w:val="24"/>
                <w:highlight w:val="none"/>
              </w:rPr>
            </w:pPr>
          </w:p>
        </w:tc>
        <w:tc>
          <w:tcPr>
            <w:tcW w:w="916" w:type="dxa"/>
            <w:vAlign w:val="center"/>
          </w:tcPr>
          <w:p w14:paraId="632F0288">
            <w:pPr>
              <w:shd w:val="clear"/>
              <w:jc w:val="center"/>
              <w:rPr>
                <w:rFonts w:hint="eastAsia" w:ascii="宋体" w:hAnsi="宋体" w:eastAsia="宋体" w:cs="宋体"/>
                <w:color w:val="auto"/>
                <w:sz w:val="24"/>
                <w:highlight w:val="none"/>
              </w:rPr>
            </w:pPr>
          </w:p>
        </w:tc>
        <w:tc>
          <w:tcPr>
            <w:tcW w:w="1219" w:type="dxa"/>
            <w:vAlign w:val="center"/>
          </w:tcPr>
          <w:p w14:paraId="4E2004D1">
            <w:pPr>
              <w:shd w:val="clear"/>
              <w:jc w:val="center"/>
              <w:rPr>
                <w:rFonts w:hint="eastAsia" w:ascii="宋体" w:hAnsi="宋体" w:eastAsia="宋体" w:cs="宋体"/>
                <w:color w:val="auto"/>
                <w:sz w:val="24"/>
                <w:highlight w:val="none"/>
              </w:rPr>
            </w:pPr>
          </w:p>
        </w:tc>
      </w:tr>
      <w:tr w14:paraId="399A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1EE49170">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3550" w:type="dxa"/>
            <w:vAlign w:val="center"/>
          </w:tcPr>
          <w:p w14:paraId="09288F34">
            <w:pPr>
              <w:shd w:val="clear"/>
              <w:jc w:val="center"/>
              <w:rPr>
                <w:rFonts w:hint="eastAsia" w:ascii="宋体" w:hAnsi="宋体" w:eastAsia="宋体" w:cs="宋体"/>
                <w:color w:val="auto"/>
                <w:sz w:val="24"/>
                <w:highlight w:val="none"/>
              </w:rPr>
            </w:pPr>
          </w:p>
        </w:tc>
        <w:tc>
          <w:tcPr>
            <w:tcW w:w="3200" w:type="dxa"/>
            <w:vAlign w:val="center"/>
          </w:tcPr>
          <w:p w14:paraId="26F1DE30">
            <w:pPr>
              <w:shd w:val="clear"/>
              <w:jc w:val="center"/>
              <w:rPr>
                <w:rFonts w:hint="eastAsia" w:ascii="宋体" w:hAnsi="宋体" w:eastAsia="宋体" w:cs="宋体"/>
                <w:color w:val="auto"/>
                <w:sz w:val="24"/>
                <w:highlight w:val="none"/>
              </w:rPr>
            </w:pPr>
          </w:p>
        </w:tc>
        <w:tc>
          <w:tcPr>
            <w:tcW w:w="916" w:type="dxa"/>
            <w:vAlign w:val="center"/>
          </w:tcPr>
          <w:p w14:paraId="1082981A">
            <w:pPr>
              <w:shd w:val="clear"/>
              <w:jc w:val="center"/>
              <w:rPr>
                <w:rFonts w:hint="eastAsia" w:ascii="宋体" w:hAnsi="宋体" w:eastAsia="宋体" w:cs="宋体"/>
                <w:color w:val="auto"/>
                <w:sz w:val="24"/>
                <w:highlight w:val="none"/>
              </w:rPr>
            </w:pPr>
          </w:p>
        </w:tc>
        <w:tc>
          <w:tcPr>
            <w:tcW w:w="1219" w:type="dxa"/>
            <w:vAlign w:val="center"/>
          </w:tcPr>
          <w:p w14:paraId="15BCA7D4">
            <w:pPr>
              <w:shd w:val="clear"/>
              <w:jc w:val="center"/>
              <w:rPr>
                <w:rFonts w:hint="eastAsia" w:ascii="宋体" w:hAnsi="宋体" w:eastAsia="宋体" w:cs="宋体"/>
                <w:color w:val="auto"/>
                <w:sz w:val="24"/>
                <w:highlight w:val="none"/>
              </w:rPr>
            </w:pPr>
          </w:p>
        </w:tc>
      </w:tr>
      <w:tr w14:paraId="1FA0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34" w:type="dxa"/>
            <w:vAlign w:val="center"/>
          </w:tcPr>
          <w:p w14:paraId="068E02F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3550" w:type="dxa"/>
            <w:vAlign w:val="center"/>
          </w:tcPr>
          <w:p w14:paraId="04592CEB">
            <w:pPr>
              <w:shd w:val="clear"/>
              <w:jc w:val="center"/>
              <w:rPr>
                <w:rFonts w:hint="eastAsia" w:ascii="宋体" w:hAnsi="宋体" w:eastAsia="宋体" w:cs="宋体"/>
                <w:color w:val="auto"/>
                <w:sz w:val="24"/>
                <w:highlight w:val="none"/>
              </w:rPr>
            </w:pPr>
          </w:p>
        </w:tc>
        <w:tc>
          <w:tcPr>
            <w:tcW w:w="3200" w:type="dxa"/>
            <w:vAlign w:val="center"/>
          </w:tcPr>
          <w:p w14:paraId="786981D2">
            <w:pPr>
              <w:shd w:val="clear"/>
              <w:jc w:val="center"/>
              <w:rPr>
                <w:rFonts w:hint="eastAsia" w:ascii="宋体" w:hAnsi="宋体" w:eastAsia="宋体" w:cs="宋体"/>
                <w:color w:val="auto"/>
                <w:sz w:val="24"/>
                <w:highlight w:val="none"/>
              </w:rPr>
            </w:pPr>
          </w:p>
        </w:tc>
        <w:tc>
          <w:tcPr>
            <w:tcW w:w="916" w:type="dxa"/>
            <w:vAlign w:val="center"/>
          </w:tcPr>
          <w:p w14:paraId="73246169">
            <w:pPr>
              <w:shd w:val="clear"/>
              <w:jc w:val="center"/>
              <w:rPr>
                <w:rFonts w:hint="eastAsia" w:ascii="宋体" w:hAnsi="宋体" w:eastAsia="宋体" w:cs="宋体"/>
                <w:color w:val="auto"/>
                <w:sz w:val="24"/>
                <w:highlight w:val="none"/>
              </w:rPr>
            </w:pPr>
          </w:p>
        </w:tc>
        <w:tc>
          <w:tcPr>
            <w:tcW w:w="1219" w:type="dxa"/>
            <w:vAlign w:val="center"/>
          </w:tcPr>
          <w:p w14:paraId="2D2C2E15">
            <w:pPr>
              <w:shd w:val="clear"/>
              <w:jc w:val="center"/>
              <w:rPr>
                <w:rFonts w:hint="eastAsia" w:ascii="宋体" w:hAnsi="宋体" w:eastAsia="宋体" w:cs="宋体"/>
                <w:color w:val="auto"/>
                <w:sz w:val="24"/>
                <w:highlight w:val="none"/>
              </w:rPr>
            </w:pPr>
          </w:p>
        </w:tc>
      </w:tr>
      <w:tr w14:paraId="672F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34" w:type="dxa"/>
            <w:vAlign w:val="center"/>
          </w:tcPr>
          <w:p w14:paraId="04C5CF7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3550" w:type="dxa"/>
            <w:vAlign w:val="center"/>
          </w:tcPr>
          <w:p w14:paraId="1292C5E1">
            <w:pPr>
              <w:shd w:val="clear"/>
              <w:jc w:val="center"/>
              <w:rPr>
                <w:rFonts w:hint="eastAsia" w:ascii="宋体" w:hAnsi="宋体" w:eastAsia="宋体" w:cs="宋体"/>
                <w:color w:val="auto"/>
                <w:sz w:val="24"/>
                <w:highlight w:val="none"/>
              </w:rPr>
            </w:pPr>
          </w:p>
        </w:tc>
        <w:tc>
          <w:tcPr>
            <w:tcW w:w="3200" w:type="dxa"/>
            <w:vAlign w:val="center"/>
          </w:tcPr>
          <w:p w14:paraId="6E2C9D4D">
            <w:pPr>
              <w:shd w:val="clear"/>
              <w:jc w:val="center"/>
              <w:rPr>
                <w:rFonts w:hint="eastAsia" w:ascii="宋体" w:hAnsi="宋体" w:eastAsia="宋体" w:cs="宋体"/>
                <w:color w:val="auto"/>
                <w:sz w:val="24"/>
                <w:highlight w:val="none"/>
              </w:rPr>
            </w:pPr>
          </w:p>
        </w:tc>
        <w:tc>
          <w:tcPr>
            <w:tcW w:w="916" w:type="dxa"/>
            <w:vAlign w:val="center"/>
          </w:tcPr>
          <w:p w14:paraId="139B5009">
            <w:pPr>
              <w:shd w:val="clear"/>
              <w:jc w:val="center"/>
              <w:rPr>
                <w:rFonts w:hint="eastAsia" w:ascii="宋体" w:hAnsi="宋体" w:eastAsia="宋体" w:cs="宋体"/>
                <w:color w:val="auto"/>
                <w:sz w:val="24"/>
                <w:highlight w:val="none"/>
              </w:rPr>
            </w:pPr>
          </w:p>
        </w:tc>
        <w:tc>
          <w:tcPr>
            <w:tcW w:w="1219" w:type="dxa"/>
            <w:vAlign w:val="center"/>
          </w:tcPr>
          <w:p w14:paraId="222CD1CD">
            <w:pPr>
              <w:shd w:val="clear"/>
              <w:jc w:val="center"/>
              <w:rPr>
                <w:rFonts w:hint="eastAsia" w:ascii="宋体" w:hAnsi="宋体" w:eastAsia="宋体" w:cs="宋体"/>
                <w:color w:val="auto"/>
                <w:sz w:val="24"/>
                <w:highlight w:val="none"/>
              </w:rPr>
            </w:pPr>
          </w:p>
        </w:tc>
      </w:tr>
      <w:tr w14:paraId="43B2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834" w:type="dxa"/>
            <w:vAlign w:val="center"/>
          </w:tcPr>
          <w:p w14:paraId="761560B7">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3550" w:type="dxa"/>
            <w:vAlign w:val="center"/>
          </w:tcPr>
          <w:p w14:paraId="1F6E8C40">
            <w:pPr>
              <w:shd w:val="clear"/>
              <w:jc w:val="center"/>
              <w:rPr>
                <w:rFonts w:hint="eastAsia" w:ascii="宋体" w:hAnsi="宋体" w:eastAsia="宋体" w:cs="宋体"/>
                <w:color w:val="auto"/>
                <w:sz w:val="24"/>
                <w:highlight w:val="none"/>
              </w:rPr>
            </w:pPr>
          </w:p>
        </w:tc>
        <w:tc>
          <w:tcPr>
            <w:tcW w:w="3200" w:type="dxa"/>
            <w:vAlign w:val="center"/>
          </w:tcPr>
          <w:p w14:paraId="4540CE51">
            <w:pPr>
              <w:shd w:val="clear"/>
              <w:jc w:val="center"/>
              <w:rPr>
                <w:rFonts w:hint="eastAsia" w:ascii="宋体" w:hAnsi="宋体" w:eastAsia="宋体" w:cs="宋体"/>
                <w:color w:val="auto"/>
                <w:sz w:val="24"/>
                <w:highlight w:val="none"/>
              </w:rPr>
            </w:pPr>
          </w:p>
        </w:tc>
        <w:tc>
          <w:tcPr>
            <w:tcW w:w="916" w:type="dxa"/>
            <w:vAlign w:val="center"/>
          </w:tcPr>
          <w:p w14:paraId="234BE8A3">
            <w:pPr>
              <w:shd w:val="clear"/>
              <w:jc w:val="center"/>
              <w:rPr>
                <w:rFonts w:hint="eastAsia" w:ascii="宋体" w:hAnsi="宋体" w:eastAsia="宋体" w:cs="宋体"/>
                <w:color w:val="auto"/>
                <w:sz w:val="24"/>
                <w:highlight w:val="none"/>
              </w:rPr>
            </w:pPr>
          </w:p>
        </w:tc>
        <w:tc>
          <w:tcPr>
            <w:tcW w:w="1219" w:type="dxa"/>
            <w:vAlign w:val="center"/>
          </w:tcPr>
          <w:p w14:paraId="620A1E64">
            <w:pPr>
              <w:shd w:val="clear"/>
              <w:jc w:val="center"/>
              <w:rPr>
                <w:rFonts w:hint="eastAsia" w:ascii="宋体" w:hAnsi="宋体" w:eastAsia="宋体" w:cs="宋体"/>
                <w:color w:val="auto"/>
                <w:sz w:val="24"/>
                <w:highlight w:val="none"/>
              </w:rPr>
            </w:pPr>
          </w:p>
        </w:tc>
      </w:tr>
      <w:tr w14:paraId="738F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34" w:type="dxa"/>
            <w:vAlign w:val="center"/>
          </w:tcPr>
          <w:p w14:paraId="092754F6">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3550" w:type="dxa"/>
            <w:vAlign w:val="center"/>
          </w:tcPr>
          <w:p w14:paraId="1CBF6035">
            <w:pPr>
              <w:shd w:val="clear"/>
              <w:jc w:val="center"/>
              <w:rPr>
                <w:rFonts w:hint="eastAsia" w:ascii="宋体" w:hAnsi="宋体" w:eastAsia="宋体" w:cs="宋体"/>
                <w:color w:val="auto"/>
                <w:sz w:val="24"/>
                <w:highlight w:val="none"/>
              </w:rPr>
            </w:pPr>
          </w:p>
        </w:tc>
        <w:tc>
          <w:tcPr>
            <w:tcW w:w="3200" w:type="dxa"/>
            <w:vAlign w:val="center"/>
          </w:tcPr>
          <w:p w14:paraId="53E323A5">
            <w:pPr>
              <w:shd w:val="clear"/>
              <w:jc w:val="center"/>
              <w:rPr>
                <w:rFonts w:hint="eastAsia" w:ascii="宋体" w:hAnsi="宋体" w:eastAsia="宋体" w:cs="宋体"/>
                <w:color w:val="auto"/>
                <w:sz w:val="24"/>
                <w:highlight w:val="none"/>
              </w:rPr>
            </w:pPr>
          </w:p>
        </w:tc>
        <w:tc>
          <w:tcPr>
            <w:tcW w:w="916" w:type="dxa"/>
            <w:vAlign w:val="center"/>
          </w:tcPr>
          <w:p w14:paraId="3C2E401B">
            <w:pPr>
              <w:shd w:val="clear"/>
              <w:jc w:val="center"/>
              <w:rPr>
                <w:rFonts w:hint="eastAsia" w:ascii="宋体" w:hAnsi="宋体" w:eastAsia="宋体" w:cs="宋体"/>
                <w:color w:val="auto"/>
                <w:sz w:val="24"/>
                <w:highlight w:val="none"/>
              </w:rPr>
            </w:pPr>
          </w:p>
        </w:tc>
        <w:tc>
          <w:tcPr>
            <w:tcW w:w="1219" w:type="dxa"/>
            <w:vAlign w:val="center"/>
          </w:tcPr>
          <w:p w14:paraId="18994E16">
            <w:pPr>
              <w:shd w:val="clear"/>
              <w:jc w:val="center"/>
              <w:rPr>
                <w:rFonts w:hint="eastAsia" w:ascii="宋体" w:hAnsi="宋体" w:eastAsia="宋体" w:cs="宋体"/>
                <w:color w:val="auto"/>
                <w:sz w:val="24"/>
                <w:highlight w:val="none"/>
              </w:rPr>
            </w:pPr>
          </w:p>
        </w:tc>
      </w:tr>
    </w:tbl>
    <w:p w14:paraId="54C22263">
      <w:pPr>
        <w:shd w:val="clear"/>
        <w:rPr>
          <w:rFonts w:hint="eastAsia" w:ascii="宋体" w:hAnsi="宋体" w:eastAsia="宋体" w:cs="宋体"/>
          <w:color w:val="auto"/>
          <w:sz w:val="24"/>
          <w:highlight w:val="none"/>
        </w:rPr>
      </w:pPr>
    </w:p>
    <w:p w14:paraId="448E41B7">
      <w:pPr>
        <w:shd w:val="clear"/>
        <w:rPr>
          <w:rFonts w:hint="eastAsia" w:ascii="宋体" w:hAnsi="宋体" w:eastAsia="宋体" w:cs="宋体"/>
          <w:color w:val="auto"/>
          <w:sz w:val="24"/>
          <w:highlight w:val="none"/>
        </w:rPr>
      </w:pPr>
    </w:p>
    <w:p w14:paraId="102796B1">
      <w:pPr>
        <w:shd w:val="clear"/>
        <w:rPr>
          <w:rFonts w:hint="eastAsia" w:ascii="宋体" w:hAnsi="宋体" w:eastAsia="宋体" w:cs="宋体"/>
          <w:color w:val="auto"/>
          <w:sz w:val="24"/>
          <w:highlight w:val="none"/>
        </w:rPr>
      </w:pPr>
    </w:p>
    <w:p w14:paraId="6E699A53">
      <w:pPr>
        <w:shd w:val="clea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投标人名称（盖章）：                         年   月    日</w:t>
      </w:r>
    </w:p>
    <w:p w14:paraId="7400711E">
      <w:pPr>
        <w:pStyle w:val="8"/>
        <w:keepNext w:val="0"/>
        <w:keepLines w:val="0"/>
        <w:pageBreakBefore/>
        <w:shd w:val="clear"/>
        <w:rPr>
          <w:rFonts w:hint="eastAsia" w:ascii="宋体" w:hAnsi="宋体" w:eastAsia="宋体" w:cs="宋体"/>
          <w:b w:val="0"/>
          <w:color w:val="auto"/>
          <w:sz w:val="24"/>
          <w:szCs w:val="24"/>
          <w:highlight w:val="none"/>
        </w:rPr>
      </w:pPr>
      <w:bookmarkStart w:id="116" w:name="_Toc18439"/>
      <w:bookmarkStart w:id="117" w:name="_Toc19877"/>
      <w:r>
        <w:rPr>
          <w:rFonts w:hint="eastAsia" w:ascii="宋体" w:hAnsi="宋体" w:eastAsia="宋体" w:cs="宋体"/>
          <w:b w:val="0"/>
          <w:color w:val="auto"/>
          <w:sz w:val="24"/>
          <w:szCs w:val="24"/>
          <w:highlight w:val="none"/>
        </w:rPr>
        <w:t>附件</w:t>
      </w:r>
      <w:r>
        <w:rPr>
          <w:rFonts w:hint="eastAsia" w:ascii="宋体" w:hAnsi="宋体" w:eastAsia="宋体" w:cs="宋体"/>
          <w:b w:val="0"/>
          <w:color w:val="auto"/>
          <w:sz w:val="24"/>
          <w:szCs w:val="24"/>
          <w:highlight w:val="none"/>
          <w:lang w:val="en-US" w:eastAsia="zh-CN"/>
        </w:rPr>
        <w:t>八</w:t>
      </w:r>
      <w:r>
        <w:rPr>
          <w:rFonts w:hint="eastAsia" w:ascii="宋体" w:hAnsi="宋体" w:eastAsia="宋体" w:cs="宋体"/>
          <w:b w:val="0"/>
          <w:color w:val="auto"/>
          <w:sz w:val="24"/>
          <w:szCs w:val="24"/>
          <w:highlight w:val="none"/>
        </w:rPr>
        <w:t>：商务响应表</w:t>
      </w:r>
      <w:bookmarkEnd w:id="116"/>
      <w:bookmarkEnd w:id="117"/>
    </w:p>
    <w:p w14:paraId="6A865105">
      <w:pPr>
        <w:shd w:val="clear"/>
        <w:snapToGrid w:val="0"/>
        <w:spacing w:line="360" w:lineRule="auto"/>
        <w:jc w:val="center"/>
        <w:rPr>
          <w:rFonts w:hint="eastAsia" w:ascii="宋体" w:hAnsi="宋体" w:eastAsia="宋体" w:cs="宋体"/>
          <w:b/>
          <w:color w:val="auto"/>
          <w:kern w:val="0"/>
          <w:sz w:val="32"/>
          <w:szCs w:val="32"/>
          <w:highlight w:val="none"/>
        </w:rPr>
      </w:pPr>
      <w:bookmarkStart w:id="118" w:name="_Toc496598991"/>
      <w:r>
        <w:rPr>
          <w:rFonts w:hint="eastAsia" w:ascii="宋体" w:hAnsi="宋体" w:eastAsia="宋体" w:cs="宋体"/>
          <w:b/>
          <w:color w:val="auto"/>
          <w:kern w:val="0"/>
          <w:sz w:val="32"/>
          <w:szCs w:val="32"/>
          <w:highlight w:val="none"/>
        </w:rPr>
        <w:t>商务响应表</w:t>
      </w:r>
    </w:p>
    <w:p w14:paraId="3002FD30">
      <w:pPr>
        <w:shd w:val="clear"/>
        <w:snapToGrid w:val="0"/>
        <w:spacing w:before="50" w:after="120" w:afterLines="50"/>
        <w:jc w:val="left"/>
        <w:rPr>
          <w:rFonts w:hint="eastAsia" w:ascii="宋体" w:hAnsi="宋体" w:eastAsia="宋体" w:cs="宋体"/>
          <w:color w:val="auto"/>
          <w:sz w:val="24"/>
          <w:highlight w:val="none"/>
          <w:u w:val="single"/>
        </w:rPr>
      </w:pPr>
    </w:p>
    <w:tbl>
      <w:tblPr>
        <w:tblStyle w:val="38"/>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3"/>
        <w:gridCol w:w="2969"/>
        <w:gridCol w:w="1386"/>
        <w:gridCol w:w="3321"/>
      </w:tblGrid>
      <w:tr w14:paraId="36FBB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12B54724">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2969" w:type="dxa"/>
            <w:tcBorders>
              <w:top w:val="single" w:color="auto" w:sz="4" w:space="0"/>
              <w:left w:val="single" w:color="auto" w:sz="4" w:space="0"/>
              <w:bottom w:val="single" w:color="auto" w:sz="4" w:space="0"/>
              <w:right w:val="single" w:color="auto" w:sz="4" w:space="0"/>
            </w:tcBorders>
            <w:vAlign w:val="center"/>
          </w:tcPr>
          <w:p w14:paraId="3EFCAF02">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招标文件要求</w:t>
            </w:r>
          </w:p>
        </w:tc>
        <w:tc>
          <w:tcPr>
            <w:tcW w:w="1386" w:type="dxa"/>
            <w:tcBorders>
              <w:top w:val="single" w:color="auto" w:sz="4" w:space="0"/>
              <w:left w:val="single" w:color="auto" w:sz="4" w:space="0"/>
              <w:bottom w:val="single" w:color="auto" w:sz="4" w:space="0"/>
              <w:right w:val="single" w:color="auto" w:sz="4" w:space="0"/>
            </w:tcBorders>
            <w:vAlign w:val="center"/>
          </w:tcPr>
          <w:p w14:paraId="1F5EA620">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响应及偏离情况</w:t>
            </w:r>
          </w:p>
        </w:tc>
        <w:tc>
          <w:tcPr>
            <w:tcW w:w="3321" w:type="dxa"/>
            <w:tcBorders>
              <w:top w:val="single" w:color="auto" w:sz="4" w:space="0"/>
              <w:left w:val="single" w:color="auto" w:sz="4" w:space="0"/>
              <w:bottom w:val="single" w:color="auto" w:sz="4" w:space="0"/>
              <w:right w:val="single" w:color="auto" w:sz="4" w:space="0"/>
            </w:tcBorders>
            <w:vAlign w:val="center"/>
          </w:tcPr>
          <w:p w14:paraId="3B0D672E">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投标人的承诺或说明</w:t>
            </w:r>
          </w:p>
        </w:tc>
      </w:tr>
      <w:tr w14:paraId="7B50E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1DE55EF6">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21A85873">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694F70C2">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513AD27E">
            <w:pPr>
              <w:shd w:val="clear"/>
              <w:rPr>
                <w:rFonts w:hint="eastAsia" w:ascii="宋体" w:hAnsi="宋体" w:eastAsia="宋体" w:cs="宋体"/>
                <w:color w:val="auto"/>
                <w:sz w:val="24"/>
                <w:highlight w:val="none"/>
              </w:rPr>
            </w:pPr>
          </w:p>
        </w:tc>
      </w:tr>
      <w:tr w14:paraId="4F58C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69C57F19">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7AADABD3">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58875613">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0E5137D2">
            <w:pPr>
              <w:shd w:val="clear"/>
              <w:rPr>
                <w:rFonts w:hint="eastAsia" w:ascii="宋体" w:hAnsi="宋体" w:eastAsia="宋体" w:cs="宋体"/>
                <w:color w:val="auto"/>
                <w:sz w:val="24"/>
                <w:highlight w:val="none"/>
              </w:rPr>
            </w:pPr>
          </w:p>
        </w:tc>
      </w:tr>
      <w:tr w14:paraId="4E3DC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75275D4F">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5DEAA865">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717070E3">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383A148C">
            <w:pPr>
              <w:shd w:val="clear"/>
              <w:rPr>
                <w:rFonts w:hint="eastAsia" w:ascii="宋体" w:hAnsi="宋体" w:eastAsia="宋体" w:cs="宋体"/>
                <w:color w:val="auto"/>
                <w:sz w:val="24"/>
                <w:highlight w:val="none"/>
              </w:rPr>
            </w:pPr>
          </w:p>
        </w:tc>
      </w:tr>
      <w:tr w14:paraId="74349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4AA698CF">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1B589C7A">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7F3F4957">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7403C985">
            <w:pPr>
              <w:shd w:val="clear"/>
              <w:rPr>
                <w:rFonts w:hint="eastAsia" w:ascii="宋体" w:hAnsi="宋体" w:eastAsia="宋体" w:cs="宋体"/>
                <w:color w:val="auto"/>
                <w:sz w:val="24"/>
                <w:highlight w:val="none"/>
              </w:rPr>
            </w:pPr>
          </w:p>
        </w:tc>
      </w:tr>
      <w:tr w14:paraId="4225EC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703" w:type="dxa"/>
            <w:tcBorders>
              <w:top w:val="single" w:color="auto" w:sz="4" w:space="0"/>
              <w:left w:val="single" w:color="auto" w:sz="4" w:space="0"/>
              <w:bottom w:val="single" w:color="auto" w:sz="4" w:space="0"/>
              <w:right w:val="single" w:color="auto" w:sz="4" w:space="0"/>
            </w:tcBorders>
            <w:vAlign w:val="center"/>
          </w:tcPr>
          <w:p w14:paraId="2D2C6848">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63F67C34">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035D782A">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3A1671C4">
            <w:pPr>
              <w:shd w:val="clear"/>
              <w:rPr>
                <w:rFonts w:hint="eastAsia" w:ascii="宋体" w:hAnsi="宋体" w:eastAsia="宋体" w:cs="宋体"/>
                <w:color w:val="auto"/>
                <w:sz w:val="24"/>
                <w:highlight w:val="none"/>
              </w:rPr>
            </w:pPr>
          </w:p>
        </w:tc>
      </w:tr>
      <w:tr w14:paraId="16652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089BAC26">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4A3310EF">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5724DE77">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37FE03B6">
            <w:pPr>
              <w:shd w:val="clear"/>
              <w:rPr>
                <w:rFonts w:hint="eastAsia" w:ascii="宋体" w:hAnsi="宋体" w:eastAsia="宋体" w:cs="宋体"/>
                <w:color w:val="auto"/>
                <w:sz w:val="24"/>
                <w:highlight w:val="none"/>
              </w:rPr>
            </w:pPr>
          </w:p>
        </w:tc>
      </w:tr>
      <w:tr w14:paraId="2C07C4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4C650FA0">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47B2363D">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145A60D6">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7C05E3CA">
            <w:pPr>
              <w:shd w:val="clear"/>
              <w:rPr>
                <w:rFonts w:hint="eastAsia" w:ascii="宋体" w:hAnsi="宋体" w:eastAsia="宋体" w:cs="宋体"/>
                <w:color w:val="auto"/>
                <w:sz w:val="24"/>
                <w:highlight w:val="none"/>
              </w:rPr>
            </w:pPr>
          </w:p>
        </w:tc>
      </w:tr>
      <w:tr w14:paraId="23E35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0FCDFB7F">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313CD4E6">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4C9704FC">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3079D531">
            <w:pPr>
              <w:shd w:val="clear"/>
              <w:rPr>
                <w:rFonts w:hint="eastAsia" w:ascii="宋体" w:hAnsi="宋体" w:eastAsia="宋体" w:cs="宋体"/>
                <w:color w:val="auto"/>
                <w:sz w:val="24"/>
                <w:highlight w:val="none"/>
              </w:rPr>
            </w:pPr>
          </w:p>
        </w:tc>
      </w:tr>
      <w:tr w14:paraId="65451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0E3DD835">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03DB1895">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31986479">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050A598E">
            <w:pPr>
              <w:shd w:val="clear"/>
              <w:rPr>
                <w:rFonts w:hint="eastAsia" w:ascii="宋体" w:hAnsi="宋体" w:eastAsia="宋体" w:cs="宋体"/>
                <w:color w:val="auto"/>
                <w:sz w:val="24"/>
                <w:highlight w:val="none"/>
              </w:rPr>
            </w:pPr>
          </w:p>
        </w:tc>
      </w:tr>
      <w:tr w14:paraId="135C0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703" w:type="dxa"/>
            <w:tcBorders>
              <w:top w:val="single" w:color="auto" w:sz="4" w:space="0"/>
              <w:left w:val="single" w:color="auto" w:sz="4" w:space="0"/>
              <w:bottom w:val="single" w:color="auto" w:sz="4" w:space="0"/>
              <w:right w:val="single" w:color="auto" w:sz="4" w:space="0"/>
            </w:tcBorders>
            <w:vAlign w:val="center"/>
          </w:tcPr>
          <w:p w14:paraId="09D09D96">
            <w:pPr>
              <w:shd w:val="clear"/>
              <w:rPr>
                <w:rFonts w:hint="eastAsia" w:ascii="宋体" w:hAnsi="宋体" w:eastAsia="宋体" w:cs="宋体"/>
                <w:color w:val="auto"/>
                <w:sz w:val="24"/>
                <w:highlight w:val="none"/>
              </w:rPr>
            </w:pPr>
          </w:p>
        </w:tc>
        <w:tc>
          <w:tcPr>
            <w:tcW w:w="2969" w:type="dxa"/>
            <w:tcBorders>
              <w:top w:val="single" w:color="auto" w:sz="4" w:space="0"/>
              <w:left w:val="single" w:color="auto" w:sz="4" w:space="0"/>
              <w:bottom w:val="single" w:color="auto" w:sz="4" w:space="0"/>
              <w:right w:val="single" w:color="auto" w:sz="4" w:space="0"/>
            </w:tcBorders>
          </w:tcPr>
          <w:p w14:paraId="4A110820">
            <w:pPr>
              <w:shd w:val="clear"/>
              <w:rPr>
                <w:rFonts w:hint="eastAsia" w:ascii="宋体" w:hAnsi="宋体" w:eastAsia="宋体" w:cs="宋体"/>
                <w:color w:val="auto"/>
                <w:sz w:val="24"/>
                <w:highlight w:val="none"/>
              </w:rPr>
            </w:pPr>
          </w:p>
        </w:tc>
        <w:tc>
          <w:tcPr>
            <w:tcW w:w="1386" w:type="dxa"/>
            <w:tcBorders>
              <w:top w:val="single" w:color="auto" w:sz="4" w:space="0"/>
              <w:left w:val="single" w:color="auto" w:sz="4" w:space="0"/>
              <w:bottom w:val="single" w:color="auto" w:sz="4" w:space="0"/>
              <w:right w:val="single" w:color="auto" w:sz="4" w:space="0"/>
            </w:tcBorders>
          </w:tcPr>
          <w:p w14:paraId="2C602109">
            <w:pPr>
              <w:shd w:val="clear"/>
              <w:rPr>
                <w:rFonts w:hint="eastAsia" w:ascii="宋体" w:hAnsi="宋体" w:eastAsia="宋体" w:cs="宋体"/>
                <w:color w:val="auto"/>
                <w:sz w:val="24"/>
                <w:highlight w:val="none"/>
              </w:rPr>
            </w:pPr>
          </w:p>
        </w:tc>
        <w:tc>
          <w:tcPr>
            <w:tcW w:w="3321" w:type="dxa"/>
            <w:tcBorders>
              <w:top w:val="single" w:color="auto" w:sz="4" w:space="0"/>
              <w:left w:val="single" w:color="auto" w:sz="4" w:space="0"/>
              <w:bottom w:val="single" w:color="auto" w:sz="4" w:space="0"/>
              <w:right w:val="single" w:color="auto" w:sz="4" w:space="0"/>
            </w:tcBorders>
          </w:tcPr>
          <w:p w14:paraId="5C337F6F">
            <w:pPr>
              <w:shd w:val="clear"/>
              <w:rPr>
                <w:rFonts w:hint="eastAsia" w:ascii="宋体" w:hAnsi="宋体" w:eastAsia="宋体" w:cs="宋体"/>
                <w:color w:val="auto"/>
                <w:sz w:val="24"/>
                <w:highlight w:val="none"/>
              </w:rPr>
            </w:pPr>
          </w:p>
        </w:tc>
      </w:tr>
    </w:tbl>
    <w:p w14:paraId="7CA3AC3D">
      <w:pPr>
        <w:shd w:val="clear"/>
        <w:snapToGrid w:val="0"/>
        <w:spacing w:before="120" w:beforeLines="50"/>
        <w:rPr>
          <w:rFonts w:hint="eastAsia" w:ascii="宋体" w:hAnsi="宋体" w:eastAsia="宋体" w:cs="宋体"/>
          <w:color w:val="auto"/>
          <w:sz w:val="24"/>
          <w:highlight w:val="none"/>
        </w:rPr>
      </w:pPr>
    </w:p>
    <w:p w14:paraId="79AD5509">
      <w:pPr>
        <w:shd w:val="clear"/>
        <w:snapToGrid w:val="0"/>
        <w:spacing w:before="50" w:after="50"/>
        <w:rPr>
          <w:rFonts w:hint="eastAsia" w:ascii="宋体" w:hAnsi="宋体" w:eastAsia="宋体" w:cs="宋体"/>
          <w:color w:val="auto"/>
          <w:spacing w:val="20"/>
          <w:sz w:val="24"/>
          <w:highlight w:val="none"/>
          <w:u w:val="single"/>
        </w:rPr>
      </w:pPr>
      <w:r>
        <w:rPr>
          <w:rFonts w:hint="eastAsia" w:ascii="宋体" w:hAnsi="宋体" w:eastAsia="宋体" w:cs="宋体"/>
          <w:color w:val="auto"/>
          <w:sz w:val="24"/>
          <w:highlight w:val="none"/>
        </w:rPr>
        <w:t>法定代表人或委托代理人签字</w:t>
      </w:r>
      <w:r>
        <w:rPr>
          <w:rFonts w:hint="eastAsia" w:ascii="宋体" w:hAnsi="宋体" w:eastAsia="宋体" w:cs="宋体"/>
          <w:color w:val="auto"/>
          <w:spacing w:val="20"/>
          <w:sz w:val="24"/>
          <w:highlight w:val="none"/>
        </w:rPr>
        <w:t>：</w:t>
      </w:r>
      <w:r>
        <w:rPr>
          <w:rFonts w:hint="eastAsia" w:ascii="宋体" w:hAnsi="宋体" w:eastAsia="宋体" w:cs="宋体"/>
          <w:color w:val="auto"/>
          <w:spacing w:val="20"/>
          <w:sz w:val="24"/>
          <w:highlight w:val="none"/>
          <w:u w:val="single"/>
        </w:rPr>
        <w:t xml:space="preserve">        </w:t>
      </w:r>
    </w:p>
    <w:p w14:paraId="7E70EAB0">
      <w:pPr>
        <w:shd w:val="clear"/>
        <w:snapToGrid w:val="0"/>
        <w:spacing w:before="120" w:beforeLines="50"/>
        <w:rPr>
          <w:rFonts w:hint="eastAsia" w:ascii="宋体" w:hAnsi="宋体" w:eastAsia="宋体" w:cs="宋体"/>
          <w:color w:val="auto"/>
          <w:sz w:val="24"/>
          <w:highlight w:val="none"/>
        </w:rPr>
      </w:pPr>
      <w:r>
        <w:rPr>
          <w:rFonts w:hint="eastAsia" w:ascii="宋体" w:hAnsi="宋体" w:eastAsia="宋体" w:cs="宋体"/>
          <w:color w:val="auto"/>
          <w:spacing w:val="20"/>
          <w:sz w:val="24"/>
          <w:highlight w:val="none"/>
        </w:rPr>
        <w:t>投标人盖章：</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pacing w:val="20"/>
          <w:sz w:val="24"/>
          <w:highlight w:val="none"/>
        </w:rPr>
        <w:t xml:space="preserve">              日 期：</w:t>
      </w:r>
      <w:r>
        <w:rPr>
          <w:rFonts w:hint="eastAsia" w:ascii="宋体" w:hAnsi="宋体" w:eastAsia="宋体" w:cs="宋体"/>
          <w:color w:val="auto"/>
          <w:spacing w:val="20"/>
          <w:sz w:val="24"/>
          <w:highlight w:val="none"/>
          <w:u w:val="single"/>
        </w:rPr>
        <w:t xml:space="preserve">            </w:t>
      </w:r>
    </w:p>
    <w:p w14:paraId="652E4961">
      <w:pPr>
        <w:shd w:val="clear"/>
        <w:rPr>
          <w:rFonts w:hint="eastAsia" w:ascii="宋体" w:hAnsi="宋体" w:eastAsia="宋体" w:cs="宋体"/>
          <w:color w:val="auto"/>
          <w:sz w:val="24"/>
          <w:highlight w:val="none"/>
        </w:rPr>
      </w:pPr>
    </w:p>
    <w:p w14:paraId="2BC561B2">
      <w:pPr>
        <w:pStyle w:val="8"/>
        <w:keepNext w:val="0"/>
        <w:keepLines w:val="0"/>
        <w:pageBreakBefore/>
        <w:shd w:val="clear"/>
        <w:spacing w:line="415" w:lineRule="auto"/>
        <w:rPr>
          <w:rFonts w:hint="eastAsia" w:ascii="宋体" w:hAnsi="宋体" w:eastAsia="宋体" w:cs="宋体"/>
          <w:b w:val="0"/>
          <w:bCs w:val="0"/>
          <w:color w:val="auto"/>
          <w:sz w:val="24"/>
          <w:szCs w:val="24"/>
          <w:highlight w:val="none"/>
        </w:rPr>
      </w:pPr>
      <w:bookmarkStart w:id="119" w:name="_Toc2132"/>
      <w:bookmarkStart w:id="120" w:name="_Toc26879"/>
      <w:r>
        <w:rPr>
          <w:rFonts w:hint="eastAsia" w:ascii="宋体" w:hAnsi="宋体" w:eastAsia="宋体" w:cs="宋体"/>
          <w:b w:val="0"/>
          <w:bCs w:val="0"/>
          <w:color w:val="auto"/>
          <w:sz w:val="24"/>
          <w:szCs w:val="24"/>
          <w:highlight w:val="none"/>
        </w:rPr>
        <w:t>附件</w:t>
      </w:r>
      <w:r>
        <w:rPr>
          <w:rFonts w:hint="eastAsia" w:ascii="宋体" w:hAnsi="宋体" w:eastAsia="宋体" w:cs="宋体"/>
          <w:b w:val="0"/>
          <w:bCs w:val="0"/>
          <w:color w:val="auto"/>
          <w:sz w:val="24"/>
          <w:szCs w:val="24"/>
          <w:highlight w:val="none"/>
          <w:lang w:val="en-US" w:eastAsia="zh-CN"/>
        </w:rPr>
        <w:t>九</w:t>
      </w:r>
      <w:r>
        <w:rPr>
          <w:rFonts w:hint="eastAsia" w:ascii="宋体" w:hAnsi="宋体" w:eastAsia="宋体" w:cs="宋体"/>
          <w:b w:val="0"/>
          <w:bCs w:val="0"/>
          <w:color w:val="auto"/>
          <w:sz w:val="24"/>
          <w:szCs w:val="24"/>
          <w:highlight w:val="none"/>
        </w:rPr>
        <w:t>：</w:t>
      </w:r>
      <w:bookmarkEnd w:id="118"/>
      <w:r>
        <w:rPr>
          <w:rFonts w:hint="eastAsia" w:ascii="宋体" w:hAnsi="宋体" w:eastAsia="宋体" w:cs="宋体"/>
          <w:b w:val="0"/>
          <w:bCs w:val="0"/>
          <w:color w:val="auto"/>
          <w:sz w:val="24"/>
          <w:szCs w:val="24"/>
          <w:highlight w:val="none"/>
        </w:rPr>
        <w:t>技术响应表</w:t>
      </w:r>
      <w:bookmarkEnd w:id="119"/>
      <w:bookmarkEnd w:id="120"/>
    </w:p>
    <w:p w14:paraId="0307580D">
      <w:pPr>
        <w:shd w:val="clea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技术响应表</w:t>
      </w:r>
    </w:p>
    <w:p w14:paraId="2C997415">
      <w:pPr>
        <w:shd w:val="clear"/>
        <w:snapToGrid w:val="0"/>
        <w:spacing w:before="50" w:after="120" w:afterLine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招标编号：</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004"/>
        <w:gridCol w:w="2113"/>
        <w:gridCol w:w="1750"/>
        <w:gridCol w:w="2514"/>
      </w:tblGrid>
      <w:tr w14:paraId="1AD8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6B5E2B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2004" w:type="dxa"/>
            <w:tcBorders>
              <w:top w:val="single" w:color="auto" w:sz="4" w:space="0"/>
              <w:left w:val="single" w:color="auto" w:sz="4" w:space="0"/>
              <w:bottom w:val="single" w:color="auto" w:sz="4" w:space="0"/>
              <w:right w:val="single" w:color="auto" w:sz="4" w:space="0"/>
            </w:tcBorders>
            <w:vAlign w:val="center"/>
          </w:tcPr>
          <w:p w14:paraId="51B4AE8B">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  容</w:t>
            </w:r>
          </w:p>
        </w:tc>
        <w:tc>
          <w:tcPr>
            <w:tcW w:w="2113" w:type="dxa"/>
            <w:tcBorders>
              <w:top w:val="single" w:color="auto" w:sz="4" w:space="0"/>
              <w:left w:val="single" w:color="auto" w:sz="4" w:space="0"/>
              <w:bottom w:val="single" w:color="auto" w:sz="4" w:space="0"/>
              <w:right w:val="single" w:color="auto" w:sz="4" w:space="0"/>
            </w:tcBorders>
            <w:vAlign w:val="center"/>
          </w:tcPr>
          <w:p w14:paraId="70A96845">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w:t>
            </w:r>
          </w:p>
          <w:p w14:paraId="72DB903D">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规范要求</w:t>
            </w:r>
          </w:p>
        </w:tc>
        <w:tc>
          <w:tcPr>
            <w:tcW w:w="1750" w:type="dxa"/>
            <w:tcBorders>
              <w:top w:val="single" w:color="auto" w:sz="4" w:space="0"/>
              <w:left w:val="single" w:color="auto" w:sz="4" w:space="0"/>
              <w:bottom w:val="single" w:color="auto" w:sz="4" w:space="0"/>
              <w:right w:val="single" w:color="auto" w:sz="4" w:space="0"/>
            </w:tcBorders>
            <w:vAlign w:val="center"/>
          </w:tcPr>
          <w:p w14:paraId="5B393DC2">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w:t>
            </w:r>
          </w:p>
          <w:p w14:paraId="27B50563">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对应规范</w:t>
            </w:r>
          </w:p>
        </w:tc>
        <w:tc>
          <w:tcPr>
            <w:tcW w:w="2514" w:type="dxa"/>
            <w:tcBorders>
              <w:top w:val="single" w:color="auto" w:sz="4" w:space="0"/>
              <w:left w:val="single" w:color="auto" w:sz="4" w:space="0"/>
              <w:bottom w:val="single" w:color="auto" w:sz="4" w:space="0"/>
              <w:right w:val="single" w:color="auto" w:sz="4" w:space="0"/>
            </w:tcBorders>
            <w:vAlign w:val="center"/>
          </w:tcPr>
          <w:p w14:paraId="0FDF33A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偏离情况</w:t>
            </w:r>
          </w:p>
          <w:p w14:paraId="608EC4CF">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（注明正偏离、负偏离或无偏离）</w:t>
            </w:r>
          </w:p>
        </w:tc>
      </w:tr>
      <w:tr w14:paraId="3E75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68251B74">
            <w:pPr>
              <w:shd w:val="clear"/>
              <w:jc w:val="cente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2F27010C">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3166AF1A">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7FD6A6C4">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5F833CC2">
            <w:pPr>
              <w:shd w:val="clear"/>
              <w:rPr>
                <w:rFonts w:hint="eastAsia" w:ascii="宋体" w:hAnsi="宋体" w:eastAsia="宋体" w:cs="宋体"/>
                <w:color w:val="auto"/>
                <w:sz w:val="24"/>
                <w:highlight w:val="none"/>
              </w:rPr>
            </w:pPr>
          </w:p>
        </w:tc>
      </w:tr>
      <w:tr w14:paraId="3538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6C2B68B">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778380E3">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2B554A7C">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55998BD">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4F6A57AD">
            <w:pPr>
              <w:shd w:val="clear"/>
              <w:rPr>
                <w:rFonts w:hint="eastAsia" w:ascii="宋体" w:hAnsi="宋体" w:eastAsia="宋体" w:cs="宋体"/>
                <w:color w:val="auto"/>
                <w:sz w:val="24"/>
                <w:highlight w:val="none"/>
              </w:rPr>
            </w:pPr>
          </w:p>
        </w:tc>
      </w:tr>
      <w:tr w14:paraId="41F9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5E537B9E">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480924DF">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4923A077">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DBB0135">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7304E061">
            <w:pPr>
              <w:shd w:val="clear"/>
              <w:rPr>
                <w:rFonts w:hint="eastAsia" w:ascii="宋体" w:hAnsi="宋体" w:eastAsia="宋体" w:cs="宋体"/>
                <w:color w:val="auto"/>
                <w:sz w:val="24"/>
                <w:highlight w:val="none"/>
              </w:rPr>
            </w:pPr>
          </w:p>
        </w:tc>
      </w:tr>
      <w:tr w14:paraId="41EBD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9" w:type="dxa"/>
            <w:tcBorders>
              <w:top w:val="single" w:color="auto" w:sz="4" w:space="0"/>
              <w:left w:val="single" w:color="auto" w:sz="4" w:space="0"/>
              <w:bottom w:val="single" w:color="auto" w:sz="4" w:space="0"/>
              <w:right w:val="single" w:color="auto" w:sz="4" w:space="0"/>
            </w:tcBorders>
          </w:tcPr>
          <w:p w14:paraId="319A5846">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79799695">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3D42B7D8">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7E98DEDA">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4DC952BA">
            <w:pPr>
              <w:shd w:val="clear"/>
              <w:rPr>
                <w:rFonts w:hint="eastAsia" w:ascii="宋体" w:hAnsi="宋体" w:eastAsia="宋体" w:cs="宋体"/>
                <w:color w:val="auto"/>
                <w:sz w:val="24"/>
                <w:highlight w:val="none"/>
              </w:rPr>
            </w:pPr>
          </w:p>
        </w:tc>
      </w:tr>
      <w:tr w14:paraId="3FD9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103F0DE9">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1DA86AF8">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6E862F59">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088CCFAD">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18E46C7B">
            <w:pPr>
              <w:shd w:val="clear"/>
              <w:rPr>
                <w:rFonts w:hint="eastAsia" w:ascii="宋体" w:hAnsi="宋体" w:eastAsia="宋体" w:cs="宋体"/>
                <w:color w:val="auto"/>
                <w:sz w:val="24"/>
                <w:highlight w:val="none"/>
              </w:rPr>
            </w:pPr>
          </w:p>
        </w:tc>
      </w:tr>
      <w:tr w14:paraId="37B9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3198A2DA">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5AC26B91">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46D7A2BE">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3B3DC659">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20710203">
            <w:pPr>
              <w:shd w:val="clear"/>
              <w:rPr>
                <w:rFonts w:hint="eastAsia" w:ascii="宋体" w:hAnsi="宋体" w:eastAsia="宋体" w:cs="宋体"/>
                <w:color w:val="auto"/>
                <w:sz w:val="24"/>
                <w:highlight w:val="none"/>
              </w:rPr>
            </w:pPr>
          </w:p>
        </w:tc>
      </w:tr>
      <w:tr w14:paraId="7650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008464E1">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03ADC386">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86C7711">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48F47A10">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6D616D29">
            <w:pPr>
              <w:shd w:val="clear"/>
              <w:rPr>
                <w:rFonts w:hint="eastAsia" w:ascii="宋体" w:hAnsi="宋体" w:eastAsia="宋体" w:cs="宋体"/>
                <w:color w:val="auto"/>
                <w:sz w:val="24"/>
                <w:highlight w:val="none"/>
              </w:rPr>
            </w:pPr>
          </w:p>
        </w:tc>
      </w:tr>
      <w:tr w14:paraId="5055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061DD644">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4A5AD41D">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0BA2E067">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219931FB">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7993D8DA">
            <w:pPr>
              <w:shd w:val="clear"/>
              <w:rPr>
                <w:rFonts w:hint="eastAsia" w:ascii="宋体" w:hAnsi="宋体" w:eastAsia="宋体" w:cs="宋体"/>
                <w:color w:val="auto"/>
                <w:sz w:val="24"/>
                <w:highlight w:val="none"/>
              </w:rPr>
            </w:pPr>
          </w:p>
        </w:tc>
      </w:tr>
      <w:tr w14:paraId="5C83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5621401B">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06C14B7B">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70A9A1E8">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3AD42098">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52007FCE">
            <w:pPr>
              <w:shd w:val="clear"/>
              <w:rPr>
                <w:rFonts w:hint="eastAsia" w:ascii="宋体" w:hAnsi="宋体" w:eastAsia="宋体" w:cs="宋体"/>
                <w:color w:val="auto"/>
                <w:sz w:val="24"/>
                <w:highlight w:val="none"/>
              </w:rPr>
            </w:pPr>
          </w:p>
        </w:tc>
      </w:tr>
      <w:tr w14:paraId="73A6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6C7852E9">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51BBBB1C">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5B27363D">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692D0FC8">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0EBDB29C">
            <w:pPr>
              <w:shd w:val="clear"/>
              <w:rPr>
                <w:rFonts w:hint="eastAsia" w:ascii="宋体" w:hAnsi="宋体" w:eastAsia="宋体" w:cs="宋体"/>
                <w:color w:val="auto"/>
                <w:sz w:val="24"/>
                <w:highlight w:val="none"/>
              </w:rPr>
            </w:pPr>
          </w:p>
        </w:tc>
      </w:tr>
      <w:tr w14:paraId="4C0B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7DA6A3A4">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6354531B">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0537D349">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26E08F4C">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276868D8">
            <w:pPr>
              <w:shd w:val="clear"/>
              <w:rPr>
                <w:rFonts w:hint="eastAsia" w:ascii="宋体" w:hAnsi="宋体" w:eastAsia="宋体" w:cs="宋体"/>
                <w:color w:val="auto"/>
                <w:sz w:val="24"/>
                <w:highlight w:val="none"/>
              </w:rPr>
            </w:pPr>
          </w:p>
        </w:tc>
      </w:tr>
      <w:tr w14:paraId="480D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14:paraId="23051F04">
            <w:pPr>
              <w:shd w:val="clear"/>
              <w:rPr>
                <w:rFonts w:hint="eastAsia" w:ascii="宋体" w:hAnsi="宋体" w:eastAsia="宋体" w:cs="宋体"/>
                <w:color w:val="auto"/>
                <w:sz w:val="24"/>
                <w:highlight w:val="none"/>
              </w:rPr>
            </w:pPr>
          </w:p>
        </w:tc>
        <w:tc>
          <w:tcPr>
            <w:tcW w:w="2004" w:type="dxa"/>
            <w:tcBorders>
              <w:top w:val="single" w:color="auto" w:sz="4" w:space="0"/>
              <w:left w:val="single" w:color="auto" w:sz="4" w:space="0"/>
              <w:bottom w:val="single" w:color="auto" w:sz="4" w:space="0"/>
              <w:right w:val="single" w:color="auto" w:sz="4" w:space="0"/>
            </w:tcBorders>
          </w:tcPr>
          <w:p w14:paraId="0E8E17E8">
            <w:pPr>
              <w:shd w:val="clear"/>
              <w:rPr>
                <w:rFonts w:hint="eastAsia" w:ascii="宋体" w:hAnsi="宋体" w:eastAsia="宋体" w:cs="宋体"/>
                <w:color w:val="auto"/>
                <w:sz w:val="24"/>
                <w:highlight w:val="none"/>
              </w:rPr>
            </w:pPr>
          </w:p>
        </w:tc>
        <w:tc>
          <w:tcPr>
            <w:tcW w:w="2113" w:type="dxa"/>
            <w:tcBorders>
              <w:top w:val="single" w:color="auto" w:sz="4" w:space="0"/>
              <w:left w:val="single" w:color="auto" w:sz="4" w:space="0"/>
              <w:bottom w:val="single" w:color="auto" w:sz="4" w:space="0"/>
              <w:right w:val="single" w:color="auto" w:sz="4" w:space="0"/>
            </w:tcBorders>
          </w:tcPr>
          <w:p w14:paraId="752E51AF">
            <w:pPr>
              <w:shd w:val="clear"/>
              <w:rPr>
                <w:rFonts w:hint="eastAsia" w:ascii="宋体" w:hAnsi="宋体" w:eastAsia="宋体" w:cs="宋体"/>
                <w:color w:val="auto"/>
                <w:sz w:val="24"/>
                <w:highlight w:val="none"/>
              </w:rPr>
            </w:pPr>
          </w:p>
        </w:tc>
        <w:tc>
          <w:tcPr>
            <w:tcW w:w="1750" w:type="dxa"/>
            <w:tcBorders>
              <w:top w:val="single" w:color="auto" w:sz="4" w:space="0"/>
              <w:left w:val="single" w:color="auto" w:sz="4" w:space="0"/>
              <w:bottom w:val="single" w:color="auto" w:sz="4" w:space="0"/>
              <w:right w:val="single" w:color="auto" w:sz="4" w:space="0"/>
            </w:tcBorders>
          </w:tcPr>
          <w:p w14:paraId="3241D80A">
            <w:pPr>
              <w:shd w:val="clear"/>
              <w:rPr>
                <w:rFonts w:hint="eastAsia" w:ascii="宋体" w:hAnsi="宋体" w:eastAsia="宋体" w:cs="宋体"/>
                <w:color w:val="auto"/>
                <w:sz w:val="24"/>
                <w:highlight w:val="none"/>
              </w:rPr>
            </w:pPr>
          </w:p>
        </w:tc>
        <w:tc>
          <w:tcPr>
            <w:tcW w:w="2514" w:type="dxa"/>
            <w:tcBorders>
              <w:top w:val="single" w:color="auto" w:sz="4" w:space="0"/>
              <w:left w:val="single" w:color="auto" w:sz="4" w:space="0"/>
              <w:bottom w:val="single" w:color="auto" w:sz="4" w:space="0"/>
              <w:right w:val="single" w:color="auto" w:sz="4" w:space="0"/>
            </w:tcBorders>
          </w:tcPr>
          <w:p w14:paraId="147F2F08">
            <w:pPr>
              <w:shd w:val="clear"/>
              <w:rPr>
                <w:rFonts w:hint="eastAsia" w:ascii="宋体" w:hAnsi="宋体" w:eastAsia="宋体" w:cs="宋体"/>
                <w:color w:val="auto"/>
                <w:sz w:val="24"/>
                <w:highlight w:val="none"/>
              </w:rPr>
            </w:pPr>
          </w:p>
        </w:tc>
      </w:tr>
    </w:tbl>
    <w:p w14:paraId="7CED2DD2">
      <w:pPr>
        <w:shd w:val="clear"/>
        <w:snapToGrid w:val="0"/>
        <w:spacing w:before="50" w:after="50"/>
        <w:rPr>
          <w:rFonts w:hint="eastAsia" w:ascii="宋体" w:hAnsi="宋体" w:eastAsia="宋体" w:cs="宋体"/>
          <w:b/>
          <w:bCs/>
          <w:color w:val="auto"/>
          <w:sz w:val="24"/>
          <w:highlight w:val="none"/>
        </w:rPr>
      </w:pPr>
    </w:p>
    <w:p w14:paraId="7D7EF38C">
      <w:pPr>
        <w:shd w:val="clear"/>
        <w:snapToGrid w:val="0"/>
        <w:spacing w:before="50" w:after="50"/>
        <w:rPr>
          <w:rFonts w:hint="eastAsia" w:ascii="宋体" w:hAnsi="宋体" w:eastAsia="宋体" w:cs="宋体"/>
          <w:b/>
          <w:bCs/>
          <w:color w:val="auto"/>
          <w:spacing w:val="20"/>
          <w:sz w:val="24"/>
          <w:highlight w:val="none"/>
        </w:rPr>
      </w:pPr>
      <w:r>
        <w:rPr>
          <w:rFonts w:hint="eastAsia" w:ascii="宋体" w:hAnsi="宋体" w:eastAsia="宋体" w:cs="宋体"/>
          <w:b/>
          <w:bCs/>
          <w:color w:val="auto"/>
          <w:sz w:val="24"/>
          <w:highlight w:val="none"/>
        </w:rPr>
        <w:t>注：投标人应根据投标货物的性能指标、对照招标文件要求在“偏离情况”栏注明“正偏离”、“负偏离”或“无偏离”。</w:t>
      </w:r>
    </w:p>
    <w:p w14:paraId="5CBBBF4E">
      <w:pPr>
        <w:shd w:val="clear"/>
        <w:snapToGrid w:val="0"/>
        <w:spacing w:before="50" w:after="50"/>
        <w:rPr>
          <w:rFonts w:hint="eastAsia" w:ascii="宋体" w:hAnsi="宋体" w:eastAsia="宋体" w:cs="宋体"/>
          <w:color w:val="auto"/>
          <w:spacing w:val="20"/>
          <w:sz w:val="24"/>
          <w:highlight w:val="none"/>
        </w:rPr>
      </w:pPr>
    </w:p>
    <w:p w14:paraId="3A7E3BE0">
      <w:pPr>
        <w:shd w:val="clear"/>
        <w:snapToGrid w:val="0"/>
        <w:spacing w:before="50" w:after="50"/>
        <w:rPr>
          <w:rFonts w:hint="eastAsia" w:ascii="宋体" w:hAnsi="宋体" w:eastAsia="宋体" w:cs="宋体"/>
          <w:color w:val="auto"/>
          <w:spacing w:val="20"/>
          <w:sz w:val="24"/>
          <w:highlight w:val="none"/>
          <w:u w:val="single"/>
        </w:rPr>
      </w:pPr>
      <w:r>
        <w:rPr>
          <w:rFonts w:hint="eastAsia" w:ascii="宋体" w:hAnsi="宋体" w:eastAsia="宋体" w:cs="宋体"/>
          <w:color w:val="auto"/>
          <w:sz w:val="24"/>
          <w:highlight w:val="none"/>
        </w:rPr>
        <w:t>法定代表人或委托代理人签字</w:t>
      </w:r>
      <w:r>
        <w:rPr>
          <w:rFonts w:hint="eastAsia" w:ascii="宋体" w:hAnsi="宋体" w:eastAsia="宋体" w:cs="宋体"/>
          <w:color w:val="auto"/>
          <w:spacing w:val="20"/>
          <w:sz w:val="24"/>
          <w:highlight w:val="none"/>
        </w:rPr>
        <w:t>：</w:t>
      </w:r>
      <w:r>
        <w:rPr>
          <w:rFonts w:hint="eastAsia" w:ascii="宋体" w:hAnsi="宋体" w:eastAsia="宋体" w:cs="宋体"/>
          <w:color w:val="auto"/>
          <w:spacing w:val="20"/>
          <w:sz w:val="24"/>
          <w:highlight w:val="none"/>
          <w:u w:val="single"/>
        </w:rPr>
        <w:t xml:space="preserve">        </w:t>
      </w:r>
    </w:p>
    <w:p w14:paraId="2387FBA4">
      <w:pPr>
        <w:shd w:val="clear"/>
        <w:snapToGrid w:val="0"/>
        <w:spacing w:before="50" w:after="50"/>
        <w:rPr>
          <w:rFonts w:hint="eastAsia" w:ascii="宋体" w:hAnsi="宋体" w:eastAsia="宋体" w:cs="宋体"/>
          <w:color w:val="auto"/>
          <w:sz w:val="24"/>
          <w:highlight w:val="none"/>
        </w:rPr>
      </w:pPr>
      <w:r>
        <w:rPr>
          <w:rFonts w:hint="eastAsia" w:ascii="宋体" w:hAnsi="宋体" w:eastAsia="宋体" w:cs="宋体"/>
          <w:color w:val="auto"/>
          <w:spacing w:val="20"/>
          <w:sz w:val="24"/>
          <w:highlight w:val="none"/>
        </w:rPr>
        <w:t>投标人盖章：</w:t>
      </w:r>
      <w:r>
        <w:rPr>
          <w:rFonts w:hint="eastAsia" w:ascii="宋体" w:hAnsi="宋体" w:eastAsia="宋体" w:cs="宋体"/>
          <w:color w:val="auto"/>
          <w:spacing w:val="20"/>
          <w:sz w:val="24"/>
          <w:highlight w:val="none"/>
          <w:u w:val="single"/>
        </w:rPr>
        <w:t xml:space="preserve">            </w:t>
      </w:r>
      <w:r>
        <w:rPr>
          <w:rFonts w:hint="eastAsia" w:ascii="宋体" w:hAnsi="宋体" w:eastAsia="宋体" w:cs="宋体"/>
          <w:color w:val="auto"/>
          <w:spacing w:val="20"/>
          <w:sz w:val="24"/>
          <w:highlight w:val="none"/>
        </w:rPr>
        <w:t xml:space="preserve">              日 期：</w:t>
      </w:r>
      <w:r>
        <w:rPr>
          <w:rFonts w:hint="eastAsia" w:ascii="宋体" w:hAnsi="宋体" w:eastAsia="宋体" w:cs="宋体"/>
          <w:color w:val="auto"/>
          <w:spacing w:val="20"/>
          <w:sz w:val="24"/>
          <w:highlight w:val="none"/>
          <w:u w:val="single"/>
        </w:rPr>
        <w:t xml:space="preserve">            </w:t>
      </w:r>
    </w:p>
    <w:p w14:paraId="7AFD4EA4">
      <w:pPr>
        <w:shd w:val="clear"/>
        <w:snapToGrid w:val="0"/>
        <w:spacing w:before="50" w:after="120" w:afterLines="50"/>
        <w:jc w:val="left"/>
        <w:rPr>
          <w:rFonts w:hint="eastAsia" w:ascii="宋体" w:hAnsi="宋体" w:eastAsia="宋体" w:cs="宋体"/>
          <w:color w:val="auto"/>
          <w:sz w:val="24"/>
          <w:highlight w:val="none"/>
        </w:rPr>
      </w:pPr>
    </w:p>
    <w:p w14:paraId="63A8896F">
      <w:pPr>
        <w:shd w:val="clear"/>
        <w:spacing w:before="260" w:after="260" w:line="415" w:lineRule="auto"/>
        <w:rPr>
          <w:rFonts w:hint="eastAsia" w:ascii="宋体" w:hAnsi="宋体" w:eastAsia="宋体" w:cs="宋体"/>
          <w:bCs/>
          <w:color w:val="auto"/>
          <w:sz w:val="24"/>
          <w:highlight w:val="none"/>
        </w:rPr>
      </w:pPr>
    </w:p>
    <w:p w14:paraId="7AA051A2">
      <w:pPr>
        <w:shd w:val="clear"/>
        <w:spacing w:before="260" w:after="260" w:line="415" w:lineRule="auto"/>
        <w:rPr>
          <w:rFonts w:hint="eastAsia" w:ascii="宋体" w:hAnsi="宋体" w:eastAsia="宋体" w:cs="宋体"/>
          <w:bCs/>
          <w:color w:val="auto"/>
          <w:sz w:val="24"/>
          <w:highlight w:val="none"/>
        </w:rPr>
      </w:pPr>
    </w:p>
    <w:p w14:paraId="02D5D12D">
      <w:pPr>
        <w:shd w:val="clear"/>
        <w:spacing w:before="260" w:after="260" w:line="415" w:lineRule="auto"/>
        <w:rPr>
          <w:rFonts w:hint="eastAsia" w:ascii="宋体" w:hAnsi="宋体" w:eastAsia="宋体" w:cs="宋体"/>
          <w:bCs/>
          <w:color w:val="auto"/>
          <w:sz w:val="24"/>
          <w:highlight w:val="none"/>
        </w:rPr>
      </w:pPr>
    </w:p>
    <w:p w14:paraId="51071979">
      <w:pPr>
        <w:pStyle w:val="8"/>
        <w:keepNext w:val="0"/>
        <w:keepLines w:val="0"/>
        <w:pageBreakBefore/>
        <w:shd w:val="clear"/>
        <w:spacing w:line="360" w:lineRule="auto"/>
        <w:rPr>
          <w:rFonts w:hint="eastAsia" w:ascii="宋体" w:hAnsi="宋体" w:eastAsia="宋体"/>
          <w:b w:val="0"/>
          <w:bCs w:val="0"/>
          <w:color w:val="auto"/>
          <w:sz w:val="24"/>
          <w:szCs w:val="24"/>
          <w:highlight w:val="none"/>
          <w:lang w:eastAsia="zh-CN"/>
        </w:rPr>
      </w:pPr>
      <w:bookmarkStart w:id="121" w:name="_Toc153783423"/>
      <w:bookmarkStart w:id="122" w:name="_Toc113618083"/>
      <w:bookmarkStart w:id="123" w:name="_Toc482692803"/>
      <w:bookmarkStart w:id="124" w:name="_Toc142122886"/>
      <w:bookmarkStart w:id="125" w:name="_Toc135017409"/>
      <w:bookmarkStart w:id="126" w:name="_Toc472926109"/>
      <w:bookmarkStart w:id="127" w:name="_Toc496598993"/>
      <w:bookmarkStart w:id="128" w:name="_Toc444630800"/>
      <w:bookmarkStart w:id="129" w:name="_Toc381274750"/>
      <w:bookmarkStart w:id="130" w:name="_Toc443464315"/>
      <w:bookmarkStart w:id="131" w:name="_Toc27419"/>
      <w:bookmarkStart w:id="132" w:name="_Toc10018850"/>
      <w:bookmarkStart w:id="133" w:name="_Toc15521"/>
      <w:bookmarkStart w:id="134" w:name="_Toc6045"/>
      <w:bookmarkStart w:id="135" w:name="_Toc30339"/>
      <w:bookmarkStart w:id="136" w:name="_Toc14790"/>
      <w:bookmarkStart w:id="137" w:name="_Toc14942615"/>
      <w:bookmarkStart w:id="138" w:name="_Toc15716"/>
      <w:bookmarkStart w:id="139" w:name="_Toc14644"/>
      <w:bookmarkStart w:id="140" w:name="_Toc13037828"/>
      <w:bookmarkStart w:id="141" w:name="_Toc29497"/>
      <w:r>
        <w:rPr>
          <w:rFonts w:hint="eastAsia" w:ascii="宋体" w:hAnsi="宋体" w:eastAsia="宋体"/>
          <w:b w:val="0"/>
          <w:bCs w:val="0"/>
          <w:color w:val="auto"/>
          <w:sz w:val="24"/>
          <w:szCs w:val="24"/>
          <w:highlight w:val="none"/>
        </w:rPr>
        <w:t>附件</w:t>
      </w:r>
      <w:bookmarkEnd w:id="121"/>
      <w:bookmarkEnd w:id="122"/>
      <w:bookmarkEnd w:id="123"/>
      <w:bookmarkEnd w:id="124"/>
      <w:bookmarkEnd w:id="125"/>
      <w:bookmarkEnd w:id="126"/>
      <w:bookmarkEnd w:id="127"/>
      <w:bookmarkEnd w:id="128"/>
      <w:bookmarkEnd w:id="129"/>
      <w:bookmarkEnd w:id="130"/>
      <w:r>
        <w:rPr>
          <w:rFonts w:hint="eastAsia" w:ascii="宋体" w:hAnsi="宋体" w:eastAsia="宋体"/>
          <w:b w:val="0"/>
          <w:bCs w:val="0"/>
          <w:color w:val="auto"/>
          <w:sz w:val="24"/>
          <w:szCs w:val="24"/>
          <w:highlight w:val="none"/>
          <w:lang w:val="en-US" w:eastAsia="zh-CN"/>
        </w:rPr>
        <w:t>十</w:t>
      </w:r>
      <w:r>
        <w:rPr>
          <w:rFonts w:hint="eastAsia" w:ascii="宋体" w:hAnsi="宋体" w:eastAsia="宋体"/>
          <w:b w:val="0"/>
          <w:bCs w:val="0"/>
          <w:color w:val="auto"/>
          <w:sz w:val="24"/>
          <w:szCs w:val="24"/>
          <w:highlight w:val="none"/>
        </w:rPr>
        <w:t>：</w:t>
      </w:r>
      <w:bookmarkEnd w:id="131"/>
      <w:bookmarkEnd w:id="132"/>
      <w:r>
        <w:rPr>
          <w:rFonts w:hint="eastAsia" w:ascii="宋体" w:hAnsi="宋体" w:eastAsia="宋体"/>
          <w:b w:val="0"/>
          <w:bCs w:val="0"/>
          <w:color w:val="auto"/>
          <w:sz w:val="24"/>
          <w:szCs w:val="24"/>
          <w:highlight w:val="none"/>
          <w:lang w:eastAsia="zh-CN"/>
        </w:rPr>
        <w:t>产品配置清单</w:t>
      </w:r>
      <w:bookmarkEnd w:id="133"/>
      <w:bookmarkEnd w:id="134"/>
      <w:bookmarkEnd w:id="135"/>
    </w:p>
    <w:p w14:paraId="41AED3D1">
      <w:pPr>
        <w:shd w:val="clear"/>
        <w:snapToGrid w:val="0"/>
        <w:spacing w:before="120" w:beforeLines="50" w:after="50" w:line="360" w:lineRule="auto"/>
        <w:jc w:val="center"/>
        <w:rPr>
          <w:rFonts w:hint="eastAsia" w:ascii="宋体" w:hAnsi="宋体"/>
          <w:b/>
          <w:color w:val="auto"/>
          <w:sz w:val="24"/>
          <w:highlight w:val="none"/>
        </w:rPr>
      </w:pPr>
      <w:r>
        <w:rPr>
          <w:rFonts w:hint="eastAsia" w:ascii="宋体" w:hAnsi="宋体"/>
          <w:b/>
          <w:color w:val="auto"/>
          <w:sz w:val="28"/>
          <w:szCs w:val="28"/>
          <w:highlight w:val="none"/>
        </w:rPr>
        <w:t>产品配置清单</w:t>
      </w:r>
      <w:r>
        <w:rPr>
          <w:rFonts w:ascii="宋体" w:hAnsi="宋体"/>
          <w:b/>
          <w:color w:val="auto"/>
          <w:sz w:val="28"/>
          <w:szCs w:val="28"/>
          <w:highlight w:val="none"/>
        </w:rPr>
        <w:t xml:space="preserve"> </w:t>
      </w:r>
    </w:p>
    <w:p w14:paraId="098A531B">
      <w:pPr>
        <w:pStyle w:val="22"/>
        <w:shd w:val="clear"/>
        <w:spacing w:line="360" w:lineRule="auto"/>
        <w:ind w:right="904"/>
        <w:rPr>
          <w:rFonts w:hint="eastAsia"/>
          <w:color w:val="auto"/>
          <w:highlight w:val="none"/>
        </w:rPr>
      </w:pPr>
      <w:r>
        <w:rPr>
          <w:rFonts w:hint="eastAsia"/>
          <w:color w:val="auto"/>
          <w:highlight w:val="none"/>
        </w:rPr>
        <w:t xml:space="preserve">项目名称：                                             </w:t>
      </w:r>
      <w:r>
        <w:rPr>
          <w:color w:val="auto"/>
          <w:highlight w:val="none"/>
        </w:rPr>
        <w:t>招标编号：</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624"/>
        <w:gridCol w:w="921"/>
        <w:gridCol w:w="676"/>
        <w:gridCol w:w="1245"/>
        <w:gridCol w:w="3307"/>
        <w:gridCol w:w="1132"/>
        <w:gridCol w:w="1132"/>
      </w:tblGrid>
      <w:tr w14:paraId="332E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624" w:type="dxa"/>
            <w:tcBorders>
              <w:bottom w:val="nil"/>
            </w:tcBorders>
            <w:noWrap w:val="0"/>
            <w:vAlign w:val="center"/>
          </w:tcPr>
          <w:p w14:paraId="40B1DFBC">
            <w:pPr>
              <w:shd w:val="clear"/>
              <w:jc w:val="center"/>
              <w:rPr>
                <w:rFonts w:ascii="宋体" w:hAnsi="宋体"/>
                <w:color w:val="auto"/>
                <w:sz w:val="24"/>
                <w:highlight w:val="none"/>
              </w:rPr>
            </w:pPr>
            <w:r>
              <w:rPr>
                <w:rFonts w:hint="eastAsia" w:ascii="宋体" w:hAnsi="宋体"/>
                <w:color w:val="auto"/>
                <w:sz w:val="24"/>
                <w:highlight w:val="none"/>
              </w:rPr>
              <w:t>序号</w:t>
            </w:r>
          </w:p>
        </w:tc>
        <w:tc>
          <w:tcPr>
            <w:tcW w:w="921" w:type="dxa"/>
            <w:tcBorders>
              <w:bottom w:val="nil"/>
            </w:tcBorders>
            <w:noWrap w:val="0"/>
            <w:vAlign w:val="center"/>
          </w:tcPr>
          <w:p w14:paraId="7DD8A674">
            <w:pPr>
              <w:shd w:val="clear"/>
              <w:jc w:val="center"/>
              <w:rPr>
                <w:rFonts w:hint="eastAsia" w:ascii="宋体" w:hAnsi="宋体"/>
                <w:color w:val="auto"/>
                <w:sz w:val="24"/>
                <w:highlight w:val="none"/>
              </w:rPr>
            </w:pPr>
            <w:r>
              <w:rPr>
                <w:rFonts w:hint="eastAsia" w:ascii="宋体" w:hAnsi="宋体"/>
                <w:color w:val="auto"/>
                <w:sz w:val="24"/>
                <w:highlight w:val="none"/>
              </w:rPr>
              <w:t>货物</w:t>
            </w:r>
          </w:p>
          <w:p w14:paraId="345E6151">
            <w:pPr>
              <w:shd w:val="clear"/>
              <w:jc w:val="center"/>
              <w:rPr>
                <w:rFonts w:ascii="宋体" w:hAnsi="宋体"/>
                <w:color w:val="auto"/>
                <w:sz w:val="24"/>
                <w:highlight w:val="none"/>
              </w:rPr>
            </w:pPr>
            <w:r>
              <w:rPr>
                <w:rFonts w:hint="eastAsia" w:ascii="宋体" w:hAnsi="宋体"/>
                <w:color w:val="auto"/>
                <w:sz w:val="24"/>
                <w:highlight w:val="none"/>
              </w:rPr>
              <w:t>名称</w:t>
            </w:r>
          </w:p>
        </w:tc>
        <w:tc>
          <w:tcPr>
            <w:tcW w:w="676" w:type="dxa"/>
            <w:tcBorders>
              <w:bottom w:val="nil"/>
            </w:tcBorders>
            <w:noWrap w:val="0"/>
            <w:vAlign w:val="center"/>
          </w:tcPr>
          <w:p w14:paraId="0560276B">
            <w:pPr>
              <w:shd w:val="clear"/>
              <w:jc w:val="center"/>
              <w:rPr>
                <w:rFonts w:hint="eastAsia" w:ascii="宋体" w:hAnsi="宋体"/>
                <w:color w:val="auto"/>
                <w:sz w:val="24"/>
                <w:highlight w:val="none"/>
              </w:rPr>
            </w:pPr>
            <w:r>
              <w:rPr>
                <w:rFonts w:hint="eastAsia" w:ascii="宋体" w:hAnsi="宋体"/>
                <w:color w:val="auto"/>
                <w:sz w:val="24"/>
                <w:highlight w:val="none"/>
              </w:rPr>
              <w:t>品牌</w:t>
            </w:r>
          </w:p>
        </w:tc>
        <w:tc>
          <w:tcPr>
            <w:tcW w:w="1245" w:type="dxa"/>
            <w:noWrap w:val="0"/>
            <w:vAlign w:val="center"/>
          </w:tcPr>
          <w:p w14:paraId="718F1978">
            <w:pPr>
              <w:shd w:val="clear"/>
              <w:jc w:val="center"/>
              <w:rPr>
                <w:rFonts w:ascii="宋体" w:hAnsi="宋体"/>
                <w:color w:val="auto"/>
                <w:sz w:val="24"/>
                <w:highlight w:val="none"/>
              </w:rPr>
            </w:pPr>
            <w:r>
              <w:rPr>
                <w:rFonts w:hint="eastAsia" w:ascii="宋体" w:hAnsi="宋体"/>
                <w:color w:val="auto"/>
                <w:sz w:val="24"/>
                <w:highlight w:val="none"/>
              </w:rPr>
              <w:t>规格型号</w:t>
            </w:r>
          </w:p>
        </w:tc>
        <w:tc>
          <w:tcPr>
            <w:tcW w:w="3307" w:type="dxa"/>
            <w:noWrap w:val="0"/>
            <w:vAlign w:val="center"/>
          </w:tcPr>
          <w:p w14:paraId="2D5FFCCF">
            <w:pPr>
              <w:shd w:val="clear"/>
              <w:ind w:right="54"/>
              <w:jc w:val="center"/>
              <w:rPr>
                <w:rFonts w:ascii="宋体" w:hAnsi="宋体"/>
                <w:color w:val="auto"/>
                <w:sz w:val="24"/>
                <w:highlight w:val="none"/>
              </w:rPr>
            </w:pPr>
            <w:r>
              <w:rPr>
                <w:rFonts w:hint="eastAsia" w:ascii="宋体" w:hAnsi="宋体"/>
                <w:color w:val="auto"/>
                <w:sz w:val="24"/>
                <w:highlight w:val="none"/>
              </w:rPr>
              <w:t>技术指标、功能及配置描述</w:t>
            </w:r>
          </w:p>
        </w:tc>
        <w:tc>
          <w:tcPr>
            <w:tcW w:w="1132" w:type="dxa"/>
            <w:noWrap w:val="0"/>
            <w:vAlign w:val="center"/>
          </w:tcPr>
          <w:p w14:paraId="52B69D15">
            <w:pPr>
              <w:shd w:val="clear"/>
              <w:ind w:right="54"/>
              <w:jc w:val="center"/>
              <w:rPr>
                <w:rFonts w:ascii="宋体" w:hAnsi="宋体"/>
                <w:color w:val="auto"/>
                <w:sz w:val="24"/>
                <w:highlight w:val="none"/>
              </w:rPr>
            </w:pPr>
            <w:r>
              <w:rPr>
                <w:rFonts w:hint="eastAsia" w:ascii="宋体" w:hAnsi="宋体"/>
                <w:color w:val="auto"/>
                <w:sz w:val="24"/>
                <w:highlight w:val="none"/>
              </w:rPr>
              <w:t>产地</w:t>
            </w:r>
          </w:p>
        </w:tc>
        <w:tc>
          <w:tcPr>
            <w:tcW w:w="1132" w:type="dxa"/>
            <w:noWrap w:val="0"/>
            <w:vAlign w:val="center"/>
          </w:tcPr>
          <w:p w14:paraId="0DBE027E">
            <w:pPr>
              <w:shd w:val="clear"/>
              <w:ind w:right="54"/>
              <w:jc w:val="center"/>
              <w:rPr>
                <w:rFonts w:ascii="宋体" w:hAnsi="宋体"/>
                <w:color w:val="auto"/>
                <w:sz w:val="24"/>
                <w:highlight w:val="none"/>
              </w:rPr>
            </w:pPr>
            <w:r>
              <w:rPr>
                <w:rFonts w:hint="eastAsia" w:ascii="宋体" w:hAnsi="宋体"/>
                <w:color w:val="auto"/>
                <w:sz w:val="24"/>
                <w:highlight w:val="none"/>
              </w:rPr>
              <w:t>备注</w:t>
            </w:r>
          </w:p>
        </w:tc>
      </w:tr>
      <w:tr w14:paraId="333B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1E77B44B">
            <w:pPr>
              <w:shd w:val="clear"/>
              <w:spacing w:line="360" w:lineRule="auto"/>
              <w:jc w:val="center"/>
              <w:rPr>
                <w:rFonts w:ascii="宋体" w:hAnsi="宋体"/>
                <w:color w:val="auto"/>
                <w:sz w:val="24"/>
                <w:highlight w:val="none"/>
              </w:rPr>
            </w:pPr>
          </w:p>
        </w:tc>
        <w:tc>
          <w:tcPr>
            <w:tcW w:w="921" w:type="dxa"/>
            <w:noWrap w:val="0"/>
            <w:vAlign w:val="center"/>
          </w:tcPr>
          <w:p w14:paraId="0A6D66BF">
            <w:pPr>
              <w:shd w:val="clear"/>
              <w:spacing w:line="360" w:lineRule="auto"/>
              <w:jc w:val="center"/>
              <w:rPr>
                <w:rFonts w:ascii="宋体" w:hAnsi="宋体"/>
                <w:color w:val="auto"/>
                <w:sz w:val="24"/>
                <w:highlight w:val="none"/>
              </w:rPr>
            </w:pPr>
          </w:p>
        </w:tc>
        <w:tc>
          <w:tcPr>
            <w:tcW w:w="676" w:type="dxa"/>
            <w:noWrap w:val="0"/>
            <w:vAlign w:val="center"/>
          </w:tcPr>
          <w:p w14:paraId="4893A59B">
            <w:pPr>
              <w:shd w:val="clear"/>
              <w:spacing w:line="360" w:lineRule="auto"/>
              <w:jc w:val="center"/>
              <w:rPr>
                <w:rFonts w:ascii="宋体" w:hAnsi="宋体"/>
                <w:color w:val="auto"/>
                <w:sz w:val="24"/>
                <w:highlight w:val="none"/>
              </w:rPr>
            </w:pPr>
          </w:p>
        </w:tc>
        <w:tc>
          <w:tcPr>
            <w:tcW w:w="1245" w:type="dxa"/>
            <w:noWrap w:val="0"/>
            <w:vAlign w:val="center"/>
          </w:tcPr>
          <w:p w14:paraId="54A7F413">
            <w:pPr>
              <w:shd w:val="clear"/>
              <w:spacing w:line="360" w:lineRule="auto"/>
              <w:jc w:val="center"/>
              <w:rPr>
                <w:rFonts w:ascii="宋体" w:hAnsi="宋体"/>
                <w:color w:val="auto"/>
                <w:sz w:val="24"/>
                <w:highlight w:val="none"/>
              </w:rPr>
            </w:pPr>
          </w:p>
        </w:tc>
        <w:tc>
          <w:tcPr>
            <w:tcW w:w="3307" w:type="dxa"/>
            <w:noWrap w:val="0"/>
            <w:vAlign w:val="center"/>
          </w:tcPr>
          <w:p w14:paraId="477B3311">
            <w:pPr>
              <w:shd w:val="clear"/>
              <w:spacing w:line="360" w:lineRule="auto"/>
              <w:ind w:right="54"/>
              <w:jc w:val="center"/>
              <w:rPr>
                <w:rFonts w:ascii="宋体" w:hAnsi="宋体"/>
                <w:color w:val="auto"/>
                <w:sz w:val="24"/>
                <w:highlight w:val="none"/>
              </w:rPr>
            </w:pPr>
          </w:p>
        </w:tc>
        <w:tc>
          <w:tcPr>
            <w:tcW w:w="1132" w:type="dxa"/>
            <w:noWrap w:val="0"/>
            <w:vAlign w:val="center"/>
          </w:tcPr>
          <w:p w14:paraId="52325663">
            <w:pPr>
              <w:shd w:val="clear"/>
              <w:spacing w:line="360" w:lineRule="auto"/>
              <w:ind w:right="54"/>
              <w:jc w:val="center"/>
              <w:rPr>
                <w:rFonts w:ascii="宋体" w:hAnsi="宋体"/>
                <w:color w:val="auto"/>
                <w:sz w:val="24"/>
                <w:highlight w:val="none"/>
              </w:rPr>
            </w:pPr>
          </w:p>
        </w:tc>
        <w:tc>
          <w:tcPr>
            <w:tcW w:w="1132" w:type="dxa"/>
            <w:noWrap w:val="0"/>
            <w:vAlign w:val="center"/>
          </w:tcPr>
          <w:p w14:paraId="74EDE71C">
            <w:pPr>
              <w:shd w:val="clear"/>
              <w:spacing w:line="360" w:lineRule="auto"/>
              <w:ind w:right="54"/>
              <w:jc w:val="center"/>
              <w:rPr>
                <w:rFonts w:ascii="宋体" w:hAnsi="宋体"/>
                <w:color w:val="auto"/>
                <w:sz w:val="24"/>
                <w:highlight w:val="none"/>
              </w:rPr>
            </w:pPr>
          </w:p>
        </w:tc>
      </w:tr>
      <w:tr w14:paraId="6B1B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0FABDF2E">
            <w:pPr>
              <w:shd w:val="clear"/>
              <w:spacing w:line="360" w:lineRule="auto"/>
              <w:jc w:val="center"/>
              <w:rPr>
                <w:rFonts w:ascii="宋体" w:hAnsi="宋体"/>
                <w:color w:val="auto"/>
                <w:sz w:val="24"/>
                <w:highlight w:val="none"/>
              </w:rPr>
            </w:pPr>
          </w:p>
        </w:tc>
        <w:tc>
          <w:tcPr>
            <w:tcW w:w="921" w:type="dxa"/>
            <w:noWrap w:val="0"/>
            <w:vAlign w:val="center"/>
          </w:tcPr>
          <w:p w14:paraId="30867934">
            <w:pPr>
              <w:shd w:val="clear"/>
              <w:spacing w:line="360" w:lineRule="auto"/>
              <w:jc w:val="center"/>
              <w:rPr>
                <w:rFonts w:ascii="宋体" w:hAnsi="宋体"/>
                <w:color w:val="auto"/>
                <w:sz w:val="24"/>
                <w:highlight w:val="none"/>
              </w:rPr>
            </w:pPr>
          </w:p>
        </w:tc>
        <w:tc>
          <w:tcPr>
            <w:tcW w:w="676" w:type="dxa"/>
            <w:noWrap w:val="0"/>
            <w:vAlign w:val="center"/>
          </w:tcPr>
          <w:p w14:paraId="12B33262">
            <w:pPr>
              <w:shd w:val="clear"/>
              <w:spacing w:line="360" w:lineRule="auto"/>
              <w:jc w:val="center"/>
              <w:rPr>
                <w:rFonts w:ascii="宋体" w:hAnsi="宋体"/>
                <w:color w:val="auto"/>
                <w:sz w:val="24"/>
                <w:highlight w:val="none"/>
              </w:rPr>
            </w:pPr>
          </w:p>
        </w:tc>
        <w:tc>
          <w:tcPr>
            <w:tcW w:w="1245" w:type="dxa"/>
            <w:noWrap w:val="0"/>
            <w:vAlign w:val="center"/>
          </w:tcPr>
          <w:p w14:paraId="3BEE1952">
            <w:pPr>
              <w:shd w:val="clear"/>
              <w:spacing w:line="360" w:lineRule="auto"/>
              <w:jc w:val="center"/>
              <w:rPr>
                <w:rFonts w:ascii="宋体" w:hAnsi="宋体"/>
                <w:color w:val="auto"/>
                <w:sz w:val="24"/>
                <w:highlight w:val="none"/>
              </w:rPr>
            </w:pPr>
          </w:p>
        </w:tc>
        <w:tc>
          <w:tcPr>
            <w:tcW w:w="3307" w:type="dxa"/>
            <w:noWrap w:val="0"/>
            <w:vAlign w:val="center"/>
          </w:tcPr>
          <w:p w14:paraId="6C8489EB">
            <w:pPr>
              <w:shd w:val="clear"/>
              <w:spacing w:line="360" w:lineRule="auto"/>
              <w:ind w:right="54"/>
              <w:jc w:val="center"/>
              <w:rPr>
                <w:rFonts w:ascii="宋体" w:hAnsi="宋体"/>
                <w:color w:val="auto"/>
                <w:sz w:val="24"/>
                <w:highlight w:val="none"/>
              </w:rPr>
            </w:pPr>
          </w:p>
        </w:tc>
        <w:tc>
          <w:tcPr>
            <w:tcW w:w="1132" w:type="dxa"/>
            <w:noWrap w:val="0"/>
            <w:vAlign w:val="center"/>
          </w:tcPr>
          <w:p w14:paraId="1842C703">
            <w:pPr>
              <w:shd w:val="clear"/>
              <w:spacing w:line="360" w:lineRule="auto"/>
              <w:ind w:right="54"/>
              <w:jc w:val="center"/>
              <w:rPr>
                <w:rFonts w:ascii="宋体" w:hAnsi="宋体"/>
                <w:color w:val="auto"/>
                <w:sz w:val="24"/>
                <w:highlight w:val="none"/>
              </w:rPr>
            </w:pPr>
          </w:p>
        </w:tc>
        <w:tc>
          <w:tcPr>
            <w:tcW w:w="1132" w:type="dxa"/>
            <w:noWrap w:val="0"/>
            <w:vAlign w:val="center"/>
          </w:tcPr>
          <w:p w14:paraId="680AD216">
            <w:pPr>
              <w:shd w:val="clear"/>
              <w:spacing w:line="360" w:lineRule="auto"/>
              <w:ind w:right="54"/>
              <w:jc w:val="center"/>
              <w:rPr>
                <w:rFonts w:ascii="宋体" w:hAnsi="宋体"/>
                <w:color w:val="auto"/>
                <w:sz w:val="24"/>
                <w:highlight w:val="none"/>
              </w:rPr>
            </w:pPr>
          </w:p>
        </w:tc>
      </w:tr>
      <w:tr w14:paraId="026D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17FAFD02">
            <w:pPr>
              <w:shd w:val="clear"/>
              <w:spacing w:line="360" w:lineRule="auto"/>
              <w:jc w:val="center"/>
              <w:rPr>
                <w:rFonts w:ascii="宋体" w:hAnsi="宋体"/>
                <w:color w:val="auto"/>
                <w:sz w:val="24"/>
                <w:highlight w:val="none"/>
              </w:rPr>
            </w:pPr>
          </w:p>
        </w:tc>
        <w:tc>
          <w:tcPr>
            <w:tcW w:w="921" w:type="dxa"/>
            <w:noWrap w:val="0"/>
            <w:vAlign w:val="center"/>
          </w:tcPr>
          <w:p w14:paraId="4CEF43C5">
            <w:pPr>
              <w:shd w:val="clear"/>
              <w:spacing w:line="360" w:lineRule="auto"/>
              <w:jc w:val="center"/>
              <w:rPr>
                <w:rFonts w:ascii="宋体" w:hAnsi="宋体"/>
                <w:color w:val="auto"/>
                <w:sz w:val="24"/>
                <w:highlight w:val="none"/>
              </w:rPr>
            </w:pPr>
          </w:p>
        </w:tc>
        <w:tc>
          <w:tcPr>
            <w:tcW w:w="676" w:type="dxa"/>
            <w:noWrap w:val="0"/>
            <w:vAlign w:val="center"/>
          </w:tcPr>
          <w:p w14:paraId="321982DE">
            <w:pPr>
              <w:shd w:val="clear"/>
              <w:spacing w:line="360" w:lineRule="auto"/>
              <w:jc w:val="center"/>
              <w:rPr>
                <w:rFonts w:ascii="宋体" w:hAnsi="宋体"/>
                <w:color w:val="auto"/>
                <w:sz w:val="24"/>
                <w:highlight w:val="none"/>
              </w:rPr>
            </w:pPr>
          </w:p>
        </w:tc>
        <w:tc>
          <w:tcPr>
            <w:tcW w:w="1245" w:type="dxa"/>
            <w:noWrap w:val="0"/>
            <w:vAlign w:val="center"/>
          </w:tcPr>
          <w:p w14:paraId="37F5CDF2">
            <w:pPr>
              <w:shd w:val="clear"/>
              <w:spacing w:line="360" w:lineRule="auto"/>
              <w:jc w:val="center"/>
              <w:rPr>
                <w:rFonts w:ascii="宋体" w:hAnsi="宋体"/>
                <w:color w:val="auto"/>
                <w:sz w:val="24"/>
                <w:highlight w:val="none"/>
              </w:rPr>
            </w:pPr>
          </w:p>
        </w:tc>
        <w:tc>
          <w:tcPr>
            <w:tcW w:w="3307" w:type="dxa"/>
            <w:noWrap w:val="0"/>
            <w:vAlign w:val="center"/>
          </w:tcPr>
          <w:p w14:paraId="37524E59">
            <w:pPr>
              <w:shd w:val="clear"/>
              <w:spacing w:line="360" w:lineRule="auto"/>
              <w:ind w:right="54"/>
              <w:jc w:val="center"/>
              <w:rPr>
                <w:rFonts w:ascii="宋体" w:hAnsi="宋体"/>
                <w:color w:val="auto"/>
                <w:sz w:val="24"/>
                <w:highlight w:val="none"/>
              </w:rPr>
            </w:pPr>
          </w:p>
        </w:tc>
        <w:tc>
          <w:tcPr>
            <w:tcW w:w="1132" w:type="dxa"/>
            <w:noWrap w:val="0"/>
            <w:vAlign w:val="center"/>
          </w:tcPr>
          <w:p w14:paraId="002F277B">
            <w:pPr>
              <w:shd w:val="clear"/>
              <w:spacing w:line="360" w:lineRule="auto"/>
              <w:ind w:right="54"/>
              <w:jc w:val="center"/>
              <w:rPr>
                <w:rFonts w:ascii="宋体" w:hAnsi="宋体"/>
                <w:color w:val="auto"/>
                <w:sz w:val="24"/>
                <w:highlight w:val="none"/>
              </w:rPr>
            </w:pPr>
          </w:p>
        </w:tc>
        <w:tc>
          <w:tcPr>
            <w:tcW w:w="1132" w:type="dxa"/>
            <w:noWrap w:val="0"/>
            <w:vAlign w:val="center"/>
          </w:tcPr>
          <w:p w14:paraId="4E5C12A8">
            <w:pPr>
              <w:shd w:val="clear"/>
              <w:spacing w:line="360" w:lineRule="auto"/>
              <w:ind w:right="54"/>
              <w:jc w:val="center"/>
              <w:rPr>
                <w:rFonts w:ascii="宋体" w:hAnsi="宋体"/>
                <w:color w:val="auto"/>
                <w:sz w:val="24"/>
                <w:highlight w:val="none"/>
              </w:rPr>
            </w:pPr>
          </w:p>
        </w:tc>
      </w:tr>
      <w:tr w14:paraId="66BE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392363AC">
            <w:pPr>
              <w:shd w:val="clear"/>
              <w:spacing w:line="360" w:lineRule="auto"/>
              <w:jc w:val="center"/>
              <w:rPr>
                <w:rFonts w:ascii="宋体" w:hAnsi="宋体"/>
                <w:color w:val="auto"/>
                <w:sz w:val="24"/>
                <w:highlight w:val="none"/>
              </w:rPr>
            </w:pPr>
          </w:p>
        </w:tc>
        <w:tc>
          <w:tcPr>
            <w:tcW w:w="921" w:type="dxa"/>
            <w:noWrap w:val="0"/>
            <w:vAlign w:val="center"/>
          </w:tcPr>
          <w:p w14:paraId="03DE8ACF">
            <w:pPr>
              <w:shd w:val="clear"/>
              <w:spacing w:line="360" w:lineRule="auto"/>
              <w:jc w:val="center"/>
              <w:rPr>
                <w:rFonts w:ascii="宋体" w:hAnsi="宋体"/>
                <w:color w:val="auto"/>
                <w:sz w:val="24"/>
                <w:highlight w:val="none"/>
              </w:rPr>
            </w:pPr>
          </w:p>
        </w:tc>
        <w:tc>
          <w:tcPr>
            <w:tcW w:w="676" w:type="dxa"/>
            <w:noWrap w:val="0"/>
            <w:vAlign w:val="center"/>
          </w:tcPr>
          <w:p w14:paraId="16E99076">
            <w:pPr>
              <w:shd w:val="clear"/>
              <w:spacing w:line="360" w:lineRule="auto"/>
              <w:jc w:val="center"/>
              <w:rPr>
                <w:rFonts w:ascii="宋体" w:hAnsi="宋体"/>
                <w:color w:val="auto"/>
                <w:sz w:val="24"/>
                <w:highlight w:val="none"/>
              </w:rPr>
            </w:pPr>
          </w:p>
        </w:tc>
        <w:tc>
          <w:tcPr>
            <w:tcW w:w="1245" w:type="dxa"/>
            <w:noWrap w:val="0"/>
            <w:vAlign w:val="center"/>
          </w:tcPr>
          <w:p w14:paraId="32B2BA89">
            <w:pPr>
              <w:shd w:val="clear"/>
              <w:spacing w:line="360" w:lineRule="auto"/>
              <w:jc w:val="center"/>
              <w:rPr>
                <w:rFonts w:ascii="宋体" w:hAnsi="宋体"/>
                <w:color w:val="auto"/>
                <w:sz w:val="24"/>
                <w:highlight w:val="none"/>
              </w:rPr>
            </w:pPr>
          </w:p>
        </w:tc>
        <w:tc>
          <w:tcPr>
            <w:tcW w:w="3307" w:type="dxa"/>
            <w:noWrap w:val="0"/>
            <w:vAlign w:val="center"/>
          </w:tcPr>
          <w:p w14:paraId="3F962894">
            <w:pPr>
              <w:shd w:val="clear"/>
              <w:spacing w:line="360" w:lineRule="auto"/>
              <w:ind w:right="54"/>
              <w:jc w:val="center"/>
              <w:rPr>
                <w:rFonts w:ascii="宋体" w:hAnsi="宋体"/>
                <w:color w:val="auto"/>
                <w:sz w:val="24"/>
                <w:highlight w:val="none"/>
              </w:rPr>
            </w:pPr>
          </w:p>
        </w:tc>
        <w:tc>
          <w:tcPr>
            <w:tcW w:w="1132" w:type="dxa"/>
            <w:noWrap w:val="0"/>
            <w:vAlign w:val="center"/>
          </w:tcPr>
          <w:p w14:paraId="55E1B36D">
            <w:pPr>
              <w:shd w:val="clear"/>
              <w:spacing w:line="360" w:lineRule="auto"/>
              <w:ind w:right="54"/>
              <w:jc w:val="center"/>
              <w:rPr>
                <w:rFonts w:ascii="宋体" w:hAnsi="宋体"/>
                <w:color w:val="auto"/>
                <w:sz w:val="24"/>
                <w:highlight w:val="none"/>
              </w:rPr>
            </w:pPr>
          </w:p>
        </w:tc>
        <w:tc>
          <w:tcPr>
            <w:tcW w:w="1132" w:type="dxa"/>
            <w:noWrap w:val="0"/>
            <w:vAlign w:val="center"/>
          </w:tcPr>
          <w:p w14:paraId="0D3A899F">
            <w:pPr>
              <w:shd w:val="clear"/>
              <w:spacing w:line="360" w:lineRule="auto"/>
              <w:ind w:right="54"/>
              <w:jc w:val="center"/>
              <w:rPr>
                <w:rFonts w:ascii="宋体" w:hAnsi="宋体"/>
                <w:color w:val="auto"/>
                <w:sz w:val="24"/>
                <w:highlight w:val="none"/>
              </w:rPr>
            </w:pPr>
          </w:p>
        </w:tc>
      </w:tr>
      <w:tr w14:paraId="1F7B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26519D95">
            <w:pPr>
              <w:shd w:val="clear"/>
              <w:spacing w:line="360" w:lineRule="auto"/>
              <w:jc w:val="center"/>
              <w:rPr>
                <w:rFonts w:ascii="宋体" w:hAnsi="宋体"/>
                <w:color w:val="auto"/>
                <w:sz w:val="24"/>
                <w:highlight w:val="none"/>
              </w:rPr>
            </w:pPr>
          </w:p>
        </w:tc>
        <w:tc>
          <w:tcPr>
            <w:tcW w:w="921" w:type="dxa"/>
            <w:noWrap w:val="0"/>
            <w:vAlign w:val="center"/>
          </w:tcPr>
          <w:p w14:paraId="6D41712C">
            <w:pPr>
              <w:shd w:val="clear"/>
              <w:spacing w:line="360" w:lineRule="auto"/>
              <w:jc w:val="center"/>
              <w:rPr>
                <w:rFonts w:ascii="宋体" w:hAnsi="宋体"/>
                <w:color w:val="auto"/>
                <w:sz w:val="24"/>
                <w:highlight w:val="none"/>
              </w:rPr>
            </w:pPr>
          </w:p>
        </w:tc>
        <w:tc>
          <w:tcPr>
            <w:tcW w:w="676" w:type="dxa"/>
            <w:noWrap w:val="0"/>
            <w:vAlign w:val="center"/>
          </w:tcPr>
          <w:p w14:paraId="120E48D2">
            <w:pPr>
              <w:shd w:val="clear"/>
              <w:spacing w:line="360" w:lineRule="auto"/>
              <w:jc w:val="center"/>
              <w:rPr>
                <w:rFonts w:ascii="宋体" w:hAnsi="宋体"/>
                <w:color w:val="auto"/>
                <w:sz w:val="24"/>
                <w:highlight w:val="none"/>
              </w:rPr>
            </w:pPr>
          </w:p>
        </w:tc>
        <w:tc>
          <w:tcPr>
            <w:tcW w:w="1245" w:type="dxa"/>
            <w:noWrap w:val="0"/>
            <w:vAlign w:val="center"/>
          </w:tcPr>
          <w:p w14:paraId="42ADFBD3">
            <w:pPr>
              <w:shd w:val="clear"/>
              <w:spacing w:line="360" w:lineRule="auto"/>
              <w:jc w:val="center"/>
              <w:rPr>
                <w:rFonts w:ascii="宋体" w:hAnsi="宋体"/>
                <w:color w:val="auto"/>
                <w:sz w:val="24"/>
                <w:highlight w:val="none"/>
              </w:rPr>
            </w:pPr>
          </w:p>
        </w:tc>
        <w:tc>
          <w:tcPr>
            <w:tcW w:w="3307" w:type="dxa"/>
            <w:noWrap w:val="0"/>
            <w:vAlign w:val="center"/>
          </w:tcPr>
          <w:p w14:paraId="5062DF7B">
            <w:pPr>
              <w:shd w:val="clear"/>
              <w:spacing w:line="360" w:lineRule="auto"/>
              <w:ind w:right="54"/>
              <w:jc w:val="center"/>
              <w:rPr>
                <w:rFonts w:ascii="宋体" w:hAnsi="宋体"/>
                <w:color w:val="auto"/>
                <w:sz w:val="24"/>
                <w:highlight w:val="none"/>
              </w:rPr>
            </w:pPr>
          </w:p>
        </w:tc>
        <w:tc>
          <w:tcPr>
            <w:tcW w:w="1132" w:type="dxa"/>
            <w:noWrap w:val="0"/>
            <w:vAlign w:val="center"/>
          </w:tcPr>
          <w:p w14:paraId="35F14126">
            <w:pPr>
              <w:shd w:val="clear"/>
              <w:spacing w:line="360" w:lineRule="auto"/>
              <w:ind w:right="54"/>
              <w:jc w:val="center"/>
              <w:rPr>
                <w:rFonts w:ascii="宋体" w:hAnsi="宋体"/>
                <w:color w:val="auto"/>
                <w:sz w:val="24"/>
                <w:highlight w:val="none"/>
              </w:rPr>
            </w:pPr>
          </w:p>
        </w:tc>
        <w:tc>
          <w:tcPr>
            <w:tcW w:w="1132" w:type="dxa"/>
            <w:noWrap w:val="0"/>
            <w:vAlign w:val="center"/>
          </w:tcPr>
          <w:p w14:paraId="692EA7AC">
            <w:pPr>
              <w:shd w:val="clear"/>
              <w:spacing w:line="360" w:lineRule="auto"/>
              <w:ind w:right="54"/>
              <w:jc w:val="center"/>
              <w:rPr>
                <w:rFonts w:ascii="宋体" w:hAnsi="宋体"/>
                <w:color w:val="auto"/>
                <w:sz w:val="24"/>
                <w:highlight w:val="none"/>
              </w:rPr>
            </w:pPr>
          </w:p>
        </w:tc>
      </w:tr>
      <w:tr w14:paraId="09DE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77C6EFB8">
            <w:pPr>
              <w:shd w:val="clear"/>
              <w:spacing w:line="360" w:lineRule="auto"/>
              <w:jc w:val="center"/>
              <w:rPr>
                <w:rFonts w:ascii="宋体" w:hAnsi="宋体"/>
                <w:color w:val="auto"/>
                <w:sz w:val="24"/>
                <w:highlight w:val="none"/>
              </w:rPr>
            </w:pPr>
          </w:p>
        </w:tc>
        <w:tc>
          <w:tcPr>
            <w:tcW w:w="921" w:type="dxa"/>
            <w:noWrap w:val="0"/>
            <w:vAlign w:val="center"/>
          </w:tcPr>
          <w:p w14:paraId="6DAE5928">
            <w:pPr>
              <w:shd w:val="clear"/>
              <w:spacing w:line="360" w:lineRule="auto"/>
              <w:jc w:val="center"/>
              <w:rPr>
                <w:rFonts w:ascii="宋体" w:hAnsi="宋体"/>
                <w:color w:val="auto"/>
                <w:sz w:val="24"/>
                <w:highlight w:val="none"/>
              </w:rPr>
            </w:pPr>
          </w:p>
        </w:tc>
        <w:tc>
          <w:tcPr>
            <w:tcW w:w="676" w:type="dxa"/>
            <w:noWrap w:val="0"/>
            <w:vAlign w:val="center"/>
          </w:tcPr>
          <w:p w14:paraId="72CFA4D3">
            <w:pPr>
              <w:shd w:val="clear"/>
              <w:spacing w:line="360" w:lineRule="auto"/>
              <w:jc w:val="center"/>
              <w:rPr>
                <w:rFonts w:ascii="宋体" w:hAnsi="宋体"/>
                <w:color w:val="auto"/>
                <w:sz w:val="24"/>
                <w:highlight w:val="none"/>
              </w:rPr>
            </w:pPr>
          </w:p>
        </w:tc>
        <w:tc>
          <w:tcPr>
            <w:tcW w:w="1245" w:type="dxa"/>
            <w:noWrap w:val="0"/>
            <w:vAlign w:val="center"/>
          </w:tcPr>
          <w:p w14:paraId="56A053C2">
            <w:pPr>
              <w:shd w:val="clear"/>
              <w:spacing w:line="360" w:lineRule="auto"/>
              <w:jc w:val="center"/>
              <w:rPr>
                <w:rFonts w:ascii="宋体" w:hAnsi="宋体"/>
                <w:color w:val="auto"/>
                <w:sz w:val="24"/>
                <w:highlight w:val="none"/>
              </w:rPr>
            </w:pPr>
          </w:p>
        </w:tc>
        <w:tc>
          <w:tcPr>
            <w:tcW w:w="3307" w:type="dxa"/>
            <w:noWrap w:val="0"/>
            <w:vAlign w:val="center"/>
          </w:tcPr>
          <w:p w14:paraId="1FF1C8EE">
            <w:pPr>
              <w:shd w:val="clear"/>
              <w:spacing w:line="360" w:lineRule="auto"/>
              <w:ind w:right="54"/>
              <w:jc w:val="center"/>
              <w:rPr>
                <w:rFonts w:ascii="宋体" w:hAnsi="宋体"/>
                <w:color w:val="auto"/>
                <w:sz w:val="24"/>
                <w:highlight w:val="none"/>
              </w:rPr>
            </w:pPr>
          </w:p>
        </w:tc>
        <w:tc>
          <w:tcPr>
            <w:tcW w:w="1132" w:type="dxa"/>
            <w:noWrap w:val="0"/>
            <w:vAlign w:val="center"/>
          </w:tcPr>
          <w:p w14:paraId="369B2487">
            <w:pPr>
              <w:shd w:val="clear"/>
              <w:spacing w:line="360" w:lineRule="auto"/>
              <w:ind w:right="54"/>
              <w:jc w:val="center"/>
              <w:rPr>
                <w:rFonts w:ascii="宋体" w:hAnsi="宋体"/>
                <w:color w:val="auto"/>
                <w:sz w:val="24"/>
                <w:highlight w:val="none"/>
              </w:rPr>
            </w:pPr>
          </w:p>
        </w:tc>
        <w:tc>
          <w:tcPr>
            <w:tcW w:w="1132" w:type="dxa"/>
            <w:noWrap w:val="0"/>
            <w:vAlign w:val="center"/>
          </w:tcPr>
          <w:p w14:paraId="2A653FAE">
            <w:pPr>
              <w:shd w:val="clear"/>
              <w:spacing w:line="360" w:lineRule="auto"/>
              <w:ind w:right="54"/>
              <w:jc w:val="center"/>
              <w:rPr>
                <w:rFonts w:ascii="宋体" w:hAnsi="宋体"/>
                <w:color w:val="auto"/>
                <w:sz w:val="24"/>
                <w:highlight w:val="none"/>
              </w:rPr>
            </w:pPr>
          </w:p>
        </w:tc>
      </w:tr>
      <w:tr w14:paraId="3E17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0730A1AC">
            <w:pPr>
              <w:shd w:val="clear"/>
              <w:spacing w:line="360" w:lineRule="auto"/>
              <w:jc w:val="center"/>
              <w:rPr>
                <w:rFonts w:ascii="宋体" w:hAnsi="宋体"/>
                <w:color w:val="auto"/>
                <w:sz w:val="24"/>
                <w:highlight w:val="none"/>
              </w:rPr>
            </w:pPr>
          </w:p>
        </w:tc>
        <w:tc>
          <w:tcPr>
            <w:tcW w:w="921" w:type="dxa"/>
            <w:noWrap w:val="0"/>
            <w:vAlign w:val="center"/>
          </w:tcPr>
          <w:p w14:paraId="72501AAB">
            <w:pPr>
              <w:shd w:val="clear"/>
              <w:spacing w:line="360" w:lineRule="auto"/>
              <w:jc w:val="center"/>
              <w:rPr>
                <w:rFonts w:ascii="宋体" w:hAnsi="宋体"/>
                <w:color w:val="auto"/>
                <w:sz w:val="24"/>
                <w:highlight w:val="none"/>
              </w:rPr>
            </w:pPr>
          </w:p>
        </w:tc>
        <w:tc>
          <w:tcPr>
            <w:tcW w:w="676" w:type="dxa"/>
            <w:noWrap w:val="0"/>
            <w:vAlign w:val="center"/>
          </w:tcPr>
          <w:p w14:paraId="2CA4A1BF">
            <w:pPr>
              <w:shd w:val="clear"/>
              <w:spacing w:line="360" w:lineRule="auto"/>
              <w:jc w:val="center"/>
              <w:rPr>
                <w:rFonts w:ascii="宋体" w:hAnsi="宋体"/>
                <w:color w:val="auto"/>
                <w:sz w:val="24"/>
                <w:highlight w:val="none"/>
              </w:rPr>
            </w:pPr>
          </w:p>
        </w:tc>
        <w:tc>
          <w:tcPr>
            <w:tcW w:w="1245" w:type="dxa"/>
            <w:noWrap w:val="0"/>
            <w:vAlign w:val="center"/>
          </w:tcPr>
          <w:p w14:paraId="1EC03DC0">
            <w:pPr>
              <w:shd w:val="clear"/>
              <w:spacing w:line="360" w:lineRule="auto"/>
              <w:jc w:val="center"/>
              <w:rPr>
                <w:rFonts w:ascii="宋体" w:hAnsi="宋体"/>
                <w:color w:val="auto"/>
                <w:sz w:val="24"/>
                <w:highlight w:val="none"/>
              </w:rPr>
            </w:pPr>
          </w:p>
        </w:tc>
        <w:tc>
          <w:tcPr>
            <w:tcW w:w="3307" w:type="dxa"/>
            <w:noWrap w:val="0"/>
            <w:vAlign w:val="center"/>
          </w:tcPr>
          <w:p w14:paraId="18B6AF92">
            <w:pPr>
              <w:shd w:val="clear"/>
              <w:spacing w:line="360" w:lineRule="auto"/>
              <w:ind w:right="54"/>
              <w:jc w:val="center"/>
              <w:rPr>
                <w:rFonts w:ascii="宋体" w:hAnsi="宋体"/>
                <w:color w:val="auto"/>
                <w:sz w:val="24"/>
                <w:highlight w:val="none"/>
              </w:rPr>
            </w:pPr>
          </w:p>
        </w:tc>
        <w:tc>
          <w:tcPr>
            <w:tcW w:w="1132" w:type="dxa"/>
            <w:noWrap w:val="0"/>
            <w:vAlign w:val="center"/>
          </w:tcPr>
          <w:p w14:paraId="69BCAEAA">
            <w:pPr>
              <w:shd w:val="clear"/>
              <w:spacing w:line="360" w:lineRule="auto"/>
              <w:ind w:right="54"/>
              <w:jc w:val="center"/>
              <w:rPr>
                <w:rFonts w:ascii="宋体" w:hAnsi="宋体"/>
                <w:color w:val="auto"/>
                <w:sz w:val="24"/>
                <w:highlight w:val="none"/>
              </w:rPr>
            </w:pPr>
          </w:p>
        </w:tc>
        <w:tc>
          <w:tcPr>
            <w:tcW w:w="1132" w:type="dxa"/>
            <w:noWrap w:val="0"/>
            <w:vAlign w:val="center"/>
          </w:tcPr>
          <w:p w14:paraId="58FEB0F5">
            <w:pPr>
              <w:shd w:val="clear"/>
              <w:spacing w:line="360" w:lineRule="auto"/>
              <w:ind w:right="54"/>
              <w:jc w:val="center"/>
              <w:rPr>
                <w:rFonts w:ascii="宋体" w:hAnsi="宋体"/>
                <w:color w:val="auto"/>
                <w:sz w:val="24"/>
                <w:highlight w:val="none"/>
              </w:rPr>
            </w:pPr>
          </w:p>
        </w:tc>
      </w:tr>
      <w:tr w14:paraId="2B9F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431938E7">
            <w:pPr>
              <w:shd w:val="clear"/>
              <w:spacing w:line="360" w:lineRule="auto"/>
              <w:jc w:val="center"/>
              <w:rPr>
                <w:rFonts w:ascii="宋体" w:hAnsi="宋体"/>
                <w:color w:val="auto"/>
                <w:sz w:val="24"/>
                <w:highlight w:val="none"/>
              </w:rPr>
            </w:pPr>
          </w:p>
        </w:tc>
        <w:tc>
          <w:tcPr>
            <w:tcW w:w="921" w:type="dxa"/>
            <w:noWrap w:val="0"/>
            <w:vAlign w:val="center"/>
          </w:tcPr>
          <w:p w14:paraId="78269A49">
            <w:pPr>
              <w:shd w:val="clear"/>
              <w:spacing w:line="360" w:lineRule="auto"/>
              <w:jc w:val="center"/>
              <w:rPr>
                <w:rFonts w:ascii="宋体" w:hAnsi="宋体"/>
                <w:color w:val="auto"/>
                <w:sz w:val="24"/>
                <w:highlight w:val="none"/>
              </w:rPr>
            </w:pPr>
          </w:p>
        </w:tc>
        <w:tc>
          <w:tcPr>
            <w:tcW w:w="676" w:type="dxa"/>
            <w:noWrap w:val="0"/>
            <w:vAlign w:val="center"/>
          </w:tcPr>
          <w:p w14:paraId="420B766A">
            <w:pPr>
              <w:shd w:val="clear"/>
              <w:spacing w:line="360" w:lineRule="auto"/>
              <w:jc w:val="center"/>
              <w:rPr>
                <w:rFonts w:ascii="宋体" w:hAnsi="宋体"/>
                <w:color w:val="auto"/>
                <w:sz w:val="24"/>
                <w:highlight w:val="none"/>
              </w:rPr>
            </w:pPr>
          </w:p>
        </w:tc>
        <w:tc>
          <w:tcPr>
            <w:tcW w:w="1245" w:type="dxa"/>
            <w:noWrap w:val="0"/>
            <w:vAlign w:val="center"/>
          </w:tcPr>
          <w:p w14:paraId="5EDF6B87">
            <w:pPr>
              <w:shd w:val="clear"/>
              <w:spacing w:line="360" w:lineRule="auto"/>
              <w:jc w:val="center"/>
              <w:rPr>
                <w:rFonts w:ascii="宋体" w:hAnsi="宋体"/>
                <w:color w:val="auto"/>
                <w:sz w:val="24"/>
                <w:highlight w:val="none"/>
              </w:rPr>
            </w:pPr>
          </w:p>
        </w:tc>
        <w:tc>
          <w:tcPr>
            <w:tcW w:w="3307" w:type="dxa"/>
            <w:noWrap w:val="0"/>
            <w:vAlign w:val="center"/>
          </w:tcPr>
          <w:p w14:paraId="04A232AF">
            <w:pPr>
              <w:shd w:val="clear"/>
              <w:spacing w:line="360" w:lineRule="auto"/>
              <w:ind w:right="54"/>
              <w:jc w:val="center"/>
              <w:rPr>
                <w:rFonts w:ascii="宋体" w:hAnsi="宋体"/>
                <w:color w:val="auto"/>
                <w:sz w:val="24"/>
                <w:highlight w:val="none"/>
              </w:rPr>
            </w:pPr>
          </w:p>
        </w:tc>
        <w:tc>
          <w:tcPr>
            <w:tcW w:w="1132" w:type="dxa"/>
            <w:noWrap w:val="0"/>
            <w:vAlign w:val="center"/>
          </w:tcPr>
          <w:p w14:paraId="54A43AE2">
            <w:pPr>
              <w:shd w:val="clear"/>
              <w:spacing w:line="360" w:lineRule="auto"/>
              <w:ind w:right="54"/>
              <w:jc w:val="center"/>
              <w:rPr>
                <w:rFonts w:ascii="宋体" w:hAnsi="宋体"/>
                <w:color w:val="auto"/>
                <w:sz w:val="24"/>
                <w:highlight w:val="none"/>
              </w:rPr>
            </w:pPr>
          </w:p>
        </w:tc>
        <w:tc>
          <w:tcPr>
            <w:tcW w:w="1132" w:type="dxa"/>
            <w:noWrap w:val="0"/>
            <w:vAlign w:val="center"/>
          </w:tcPr>
          <w:p w14:paraId="53290B0C">
            <w:pPr>
              <w:shd w:val="clear"/>
              <w:spacing w:line="360" w:lineRule="auto"/>
              <w:ind w:right="54"/>
              <w:jc w:val="center"/>
              <w:rPr>
                <w:rFonts w:ascii="宋体" w:hAnsi="宋体"/>
                <w:color w:val="auto"/>
                <w:sz w:val="24"/>
                <w:highlight w:val="none"/>
              </w:rPr>
            </w:pPr>
          </w:p>
        </w:tc>
      </w:tr>
      <w:tr w14:paraId="74EE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624" w:type="dxa"/>
            <w:noWrap w:val="0"/>
            <w:vAlign w:val="center"/>
          </w:tcPr>
          <w:p w14:paraId="6E64F2E7">
            <w:pPr>
              <w:shd w:val="clear"/>
              <w:spacing w:line="360" w:lineRule="auto"/>
              <w:jc w:val="center"/>
              <w:rPr>
                <w:rFonts w:ascii="宋体" w:hAnsi="宋体"/>
                <w:color w:val="auto"/>
                <w:sz w:val="24"/>
                <w:highlight w:val="none"/>
              </w:rPr>
            </w:pPr>
          </w:p>
        </w:tc>
        <w:tc>
          <w:tcPr>
            <w:tcW w:w="921" w:type="dxa"/>
            <w:noWrap w:val="0"/>
            <w:vAlign w:val="center"/>
          </w:tcPr>
          <w:p w14:paraId="60BF2261">
            <w:pPr>
              <w:shd w:val="clear"/>
              <w:spacing w:line="360" w:lineRule="auto"/>
              <w:jc w:val="center"/>
              <w:rPr>
                <w:rFonts w:ascii="宋体" w:hAnsi="宋体"/>
                <w:color w:val="auto"/>
                <w:sz w:val="24"/>
                <w:highlight w:val="none"/>
              </w:rPr>
            </w:pPr>
          </w:p>
        </w:tc>
        <w:tc>
          <w:tcPr>
            <w:tcW w:w="676" w:type="dxa"/>
            <w:noWrap w:val="0"/>
            <w:vAlign w:val="center"/>
          </w:tcPr>
          <w:p w14:paraId="21E24501">
            <w:pPr>
              <w:shd w:val="clear"/>
              <w:spacing w:line="360" w:lineRule="auto"/>
              <w:jc w:val="center"/>
              <w:rPr>
                <w:rFonts w:ascii="宋体" w:hAnsi="宋体"/>
                <w:color w:val="auto"/>
                <w:sz w:val="24"/>
                <w:highlight w:val="none"/>
              </w:rPr>
            </w:pPr>
          </w:p>
        </w:tc>
        <w:tc>
          <w:tcPr>
            <w:tcW w:w="1245" w:type="dxa"/>
            <w:noWrap w:val="0"/>
            <w:vAlign w:val="center"/>
          </w:tcPr>
          <w:p w14:paraId="3003A86A">
            <w:pPr>
              <w:shd w:val="clear"/>
              <w:spacing w:line="360" w:lineRule="auto"/>
              <w:jc w:val="center"/>
              <w:rPr>
                <w:rFonts w:ascii="宋体" w:hAnsi="宋体"/>
                <w:color w:val="auto"/>
                <w:sz w:val="24"/>
                <w:highlight w:val="none"/>
              </w:rPr>
            </w:pPr>
          </w:p>
        </w:tc>
        <w:tc>
          <w:tcPr>
            <w:tcW w:w="3307" w:type="dxa"/>
            <w:noWrap w:val="0"/>
            <w:vAlign w:val="center"/>
          </w:tcPr>
          <w:p w14:paraId="00F98A8C">
            <w:pPr>
              <w:shd w:val="clear"/>
              <w:spacing w:line="360" w:lineRule="auto"/>
              <w:ind w:right="54"/>
              <w:jc w:val="center"/>
              <w:rPr>
                <w:rFonts w:ascii="宋体" w:hAnsi="宋体"/>
                <w:color w:val="auto"/>
                <w:sz w:val="24"/>
                <w:highlight w:val="none"/>
              </w:rPr>
            </w:pPr>
          </w:p>
        </w:tc>
        <w:tc>
          <w:tcPr>
            <w:tcW w:w="1132" w:type="dxa"/>
            <w:noWrap w:val="0"/>
            <w:vAlign w:val="center"/>
          </w:tcPr>
          <w:p w14:paraId="516865AF">
            <w:pPr>
              <w:shd w:val="clear"/>
              <w:spacing w:line="360" w:lineRule="auto"/>
              <w:ind w:right="54"/>
              <w:jc w:val="center"/>
              <w:rPr>
                <w:rFonts w:ascii="宋体" w:hAnsi="宋体"/>
                <w:color w:val="auto"/>
                <w:sz w:val="24"/>
                <w:highlight w:val="none"/>
              </w:rPr>
            </w:pPr>
          </w:p>
        </w:tc>
        <w:tc>
          <w:tcPr>
            <w:tcW w:w="1132" w:type="dxa"/>
            <w:noWrap w:val="0"/>
            <w:vAlign w:val="center"/>
          </w:tcPr>
          <w:p w14:paraId="285A2875">
            <w:pPr>
              <w:shd w:val="clear"/>
              <w:spacing w:line="360" w:lineRule="auto"/>
              <w:ind w:right="54"/>
              <w:jc w:val="center"/>
              <w:rPr>
                <w:rFonts w:ascii="宋体" w:hAnsi="宋体"/>
                <w:color w:val="auto"/>
                <w:sz w:val="24"/>
                <w:highlight w:val="none"/>
              </w:rPr>
            </w:pPr>
          </w:p>
        </w:tc>
      </w:tr>
    </w:tbl>
    <w:p w14:paraId="4E528C5C">
      <w:pPr>
        <w:pStyle w:val="22"/>
        <w:shd w:val="clear"/>
        <w:tabs>
          <w:tab w:val="left" w:pos="4312"/>
        </w:tabs>
        <w:spacing w:line="360" w:lineRule="auto"/>
        <w:rPr>
          <w:rFonts w:hint="eastAsia"/>
          <w:color w:val="auto"/>
          <w:highlight w:val="none"/>
        </w:rPr>
      </w:pPr>
      <w:r>
        <w:rPr>
          <w:color w:val="auto"/>
          <w:highlight w:val="none"/>
        </w:rPr>
        <w:t xml:space="preserve">  </w:t>
      </w:r>
    </w:p>
    <w:p w14:paraId="31917025">
      <w:pPr>
        <w:pStyle w:val="22"/>
        <w:shd w:val="clear"/>
        <w:tabs>
          <w:tab w:val="left" w:pos="4312"/>
        </w:tabs>
        <w:spacing w:line="360" w:lineRule="auto"/>
        <w:rPr>
          <w:rFonts w:hint="eastAsia"/>
          <w:color w:val="auto"/>
          <w:highlight w:val="none"/>
        </w:rPr>
      </w:pPr>
      <w:r>
        <w:rPr>
          <w:rFonts w:hint="eastAsia"/>
          <w:color w:val="auto"/>
          <w:highlight w:val="none"/>
        </w:rPr>
        <w:t>投标单位（公章）：</w:t>
      </w:r>
    </w:p>
    <w:p w14:paraId="667C4B30">
      <w:pPr>
        <w:pStyle w:val="22"/>
        <w:shd w:val="clear"/>
        <w:tabs>
          <w:tab w:val="left" w:pos="4312"/>
        </w:tabs>
        <w:spacing w:line="360" w:lineRule="auto"/>
        <w:rPr>
          <w:rFonts w:hint="eastAsia"/>
          <w:color w:val="auto"/>
          <w:highlight w:val="none"/>
        </w:rPr>
      </w:pPr>
      <w:r>
        <w:rPr>
          <w:rFonts w:hint="eastAsia"/>
          <w:color w:val="auto"/>
          <w:highlight w:val="none"/>
        </w:rPr>
        <w:t>授权</w:t>
      </w:r>
      <w:r>
        <w:rPr>
          <w:color w:val="auto"/>
          <w:highlight w:val="none"/>
        </w:rPr>
        <w:t>代表签字：</w:t>
      </w:r>
    </w:p>
    <w:p w14:paraId="5F346F59">
      <w:pPr>
        <w:pStyle w:val="22"/>
        <w:shd w:val="clear"/>
        <w:tabs>
          <w:tab w:val="left" w:pos="4312"/>
        </w:tabs>
        <w:spacing w:line="360" w:lineRule="auto"/>
        <w:ind w:firstLine="360" w:firstLineChars="150"/>
        <w:rPr>
          <w:rFonts w:hint="eastAsia"/>
          <w:color w:val="auto"/>
          <w:highlight w:val="none"/>
        </w:rPr>
      </w:pPr>
      <w:r>
        <w:rPr>
          <w:rFonts w:hint="eastAsia"/>
          <w:color w:val="auto"/>
          <w:highlight w:val="none"/>
        </w:rPr>
        <w:t xml:space="preserve">      日期：</w:t>
      </w:r>
    </w:p>
    <w:p w14:paraId="66FF04AA">
      <w:pPr>
        <w:shd w:val="clear"/>
        <w:spacing w:line="360" w:lineRule="auto"/>
        <w:rPr>
          <w:rFonts w:hint="eastAsia"/>
          <w:color w:val="auto"/>
          <w:sz w:val="24"/>
          <w:highlight w:val="none"/>
        </w:rPr>
      </w:pPr>
    </w:p>
    <w:p w14:paraId="618D0120">
      <w:pPr>
        <w:shd w:val="clear"/>
        <w:spacing w:line="360" w:lineRule="auto"/>
        <w:rPr>
          <w:rFonts w:hint="eastAsia"/>
          <w:color w:val="auto"/>
          <w:sz w:val="24"/>
          <w:highlight w:val="none"/>
        </w:rPr>
      </w:pPr>
    </w:p>
    <w:p w14:paraId="778DE30D">
      <w:pPr>
        <w:shd w:val="clear"/>
        <w:spacing w:line="360" w:lineRule="auto"/>
        <w:rPr>
          <w:rFonts w:hint="eastAsia"/>
          <w:color w:val="auto"/>
          <w:sz w:val="24"/>
          <w:highlight w:val="none"/>
        </w:rPr>
      </w:pPr>
      <w:r>
        <w:rPr>
          <w:rFonts w:hint="eastAsia"/>
          <w:color w:val="auto"/>
          <w:sz w:val="24"/>
          <w:highlight w:val="none"/>
        </w:rPr>
        <w:t>注：此表在不改变投标内容的情况下可自行制作</w:t>
      </w:r>
    </w:p>
    <w:p w14:paraId="01979D53">
      <w:pPr>
        <w:shd w:val="clear"/>
        <w:rPr>
          <w:rFonts w:hint="eastAsia"/>
          <w:color w:val="auto"/>
          <w:sz w:val="24"/>
          <w:highlight w:val="none"/>
        </w:rPr>
      </w:pPr>
    </w:p>
    <w:p w14:paraId="42F8BDC4">
      <w:pPr>
        <w:shd w:val="clear"/>
        <w:rPr>
          <w:rFonts w:hint="eastAsia"/>
          <w:color w:val="auto"/>
          <w:sz w:val="24"/>
          <w:highlight w:val="none"/>
        </w:rPr>
      </w:pPr>
    </w:p>
    <w:p w14:paraId="76EF809C">
      <w:pPr>
        <w:shd w:val="clear"/>
        <w:rPr>
          <w:rFonts w:hint="eastAsia"/>
          <w:color w:val="auto"/>
          <w:highlight w:val="none"/>
        </w:rPr>
      </w:pPr>
    </w:p>
    <w:p w14:paraId="2C1B6679">
      <w:pPr>
        <w:shd w:val="clear"/>
        <w:rPr>
          <w:rFonts w:hint="eastAsia"/>
          <w:color w:val="auto"/>
          <w:highlight w:val="none"/>
        </w:rPr>
      </w:pPr>
    </w:p>
    <w:p w14:paraId="310F2282">
      <w:pPr>
        <w:shd w:val="clear"/>
        <w:rPr>
          <w:rFonts w:hint="eastAsia"/>
          <w:color w:val="auto"/>
          <w:highlight w:val="none"/>
        </w:rPr>
      </w:pPr>
    </w:p>
    <w:p w14:paraId="63581000">
      <w:pPr>
        <w:shd w:val="clear"/>
        <w:rPr>
          <w:rFonts w:hint="eastAsia"/>
          <w:color w:val="auto"/>
          <w:highlight w:val="none"/>
        </w:rPr>
      </w:pPr>
    </w:p>
    <w:p w14:paraId="5786C20B">
      <w:pPr>
        <w:shd w:val="clear"/>
        <w:rPr>
          <w:rFonts w:hint="eastAsia"/>
          <w:color w:val="auto"/>
          <w:highlight w:val="none"/>
        </w:rPr>
      </w:pPr>
    </w:p>
    <w:p w14:paraId="54F28600">
      <w:pPr>
        <w:shd w:val="clear"/>
        <w:rPr>
          <w:rFonts w:hint="eastAsia"/>
          <w:color w:val="auto"/>
          <w:highlight w:val="none"/>
        </w:rPr>
      </w:pPr>
    </w:p>
    <w:p w14:paraId="1AF73D96">
      <w:pPr>
        <w:shd w:val="clear"/>
        <w:rPr>
          <w:rFonts w:hint="eastAsia"/>
          <w:color w:val="auto"/>
          <w:highlight w:val="none"/>
        </w:rPr>
      </w:pPr>
    </w:p>
    <w:p w14:paraId="09E03895">
      <w:pPr>
        <w:shd w:val="clear"/>
        <w:rPr>
          <w:rFonts w:hint="eastAsia"/>
          <w:color w:val="auto"/>
          <w:highlight w:val="none"/>
        </w:rPr>
      </w:pPr>
    </w:p>
    <w:p w14:paraId="7BC6A5C1">
      <w:pPr>
        <w:shd w:val="clear"/>
        <w:rPr>
          <w:rFonts w:hint="eastAsia"/>
          <w:color w:val="auto"/>
          <w:highlight w:val="none"/>
        </w:rPr>
      </w:pPr>
    </w:p>
    <w:p w14:paraId="2BDF6FBC">
      <w:pPr>
        <w:shd w:val="clear"/>
        <w:rPr>
          <w:rFonts w:hint="eastAsia"/>
          <w:color w:val="auto"/>
          <w:highlight w:val="none"/>
        </w:rPr>
      </w:pPr>
    </w:p>
    <w:p w14:paraId="3339D86D">
      <w:pPr>
        <w:shd w:val="clear"/>
        <w:rPr>
          <w:rFonts w:hint="eastAsia"/>
          <w:color w:val="auto"/>
          <w:highlight w:val="none"/>
        </w:rPr>
      </w:pPr>
    </w:p>
    <w:p w14:paraId="23E54C90">
      <w:pPr>
        <w:shd w:val="clear"/>
        <w:rPr>
          <w:rFonts w:hint="eastAsia"/>
          <w:color w:val="auto"/>
          <w:highlight w:val="none"/>
        </w:rPr>
      </w:pPr>
    </w:p>
    <w:p w14:paraId="1E31EBE9">
      <w:pPr>
        <w:shd w:val="clear"/>
        <w:rPr>
          <w:rFonts w:hint="eastAsia"/>
          <w:color w:val="auto"/>
          <w:highlight w:val="none"/>
        </w:rPr>
      </w:pPr>
    </w:p>
    <w:p w14:paraId="2EB9A7BD">
      <w:pPr>
        <w:pStyle w:val="37"/>
        <w:shd w:val="clear"/>
        <w:ind w:left="0" w:leftChars="0" w:firstLine="0" w:firstLineChars="0"/>
        <w:rPr>
          <w:rFonts w:ascii="宋体" w:hAnsi="宋体"/>
          <w:color w:val="auto"/>
          <w:spacing w:val="20"/>
          <w:sz w:val="24"/>
          <w:highlight w:val="none"/>
          <w:u w:val="single"/>
        </w:rPr>
      </w:pPr>
    </w:p>
    <w:bookmarkEnd w:id="136"/>
    <w:bookmarkEnd w:id="137"/>
    <w:bookmarkEnd w:id="138"/>
    <w:bookmarkEnd w:id="139"/>
    <w:bookmarkEnd w:id="140"/>
    <w:p w14:paraId="31C4BF70">
      <w:pPr>
        <w:pStyle w:val="8"/>
        <w:keepNext w:val="0"/>
        <w:keepLines w:val="0"/>
        <w:pageBreakBefore/>
        <w:shd w:val="clear"/>
        <w:rPr>
          <w:rFonts w:hint="eastAsia" w:ascii="宋体" w:hAnsi="宋体" w:eastAsia="宋体" w:cs="宋体"/>
          <w:b w:val="0"/>
          <w:color w:val="auto"/>
          <w:kern w:val="0"/>
          <w:sz w:val="24"/>
          <w:szCs w:val="24"/>
          <w:highlight w:val="none"/>
        </w:rPr>
      </w:pPr>
      <w:bookmarkStart w:id="142" w:name="_Toc29478"/>
      <w:bookmarkStart w:id="143" w:name="_Toc9759"/>
      <w:r>
        <w:rPr>
          <w:rFonts w:hint="eastAsia" w:ascii="宋体" w:hAnsi="宋体" w:eastAsia="宋体" w:cs="宋体"/>
          <w:b w:val="0"/>
          <w:color w:val="auto"/>
          <w:kern w:val="0"/>
          <w:sz w:val="24"/>
          <w:szCs w:val="24"/>
          <w:highlight w:val="none"/>
        </w:rPr>
        <w:t>附件</w:t>
      </w:r>
      <w:r>
        <w:rPr>
          <w:rFonts w:hint="eastAsia" w:ascii="宋体" w:hAnsi="宋体" w:eastAsia="宋体" w:cs="宋体"/>
          <w:b w:val="0"/>
          <w:color w:val="auto"/>
          <w:kern w:val="0"/>
          <w:sz w:val="24"/>
          <w:szCs w:val="24"/>
          <w:highlight w:val="none"/>
          <w:lang w:val="en-US" w:eastAsia="zh-CN"/>
        </w:rPr>
        <w:t>十一</w:t>
      </w:r>
      <w:r>
        <w:rPr>
          <w:rFonts w:hint="eastAsia" w:ascii="宋体" w:hAnsi="宋体" w:eastAsia="宋体" w:cs="宋体"/>
          <w:b w:val="0"/>
          <w:color w:val="auto"/>
          <w:kern w:val="0"/>
          <w:sz w:val="24"/>
          <w:szCs w:val="24"/>
          <w:highlight w:val="none"/>
        </w:rPr>
        <w:t>：同类项目业绩一览表</w:t>
      </w:r>
      <w:bookmarkEnd w:id="141"/>
      <w:bookmarkEnd w:id="142"/>
      <w:bookmarkEnd w:id="143"/>
    </w:p>
    <w:p w14:paraId="33093330">
      <w:pPr>
        <w:widowControl/>
        <w:shd w:val="clear"/>
        <w:jc w:val="left"/>
        <w:rPr>
          <w:rFonts w:hint="eastAsia" w:ascii="宋体" w:hAnsi="宋体" w:eastAsia="宋体" w:cs="宋体"/>
          <w:color w:val="auto"/>
          <w:kern w:val="0"/>
          <w:sz w:val="24"/>
          <w:highlight w:val="none"/>
        </w:rPr>
      </w:pPr>
    </w:p>
    <w:p w14:paraId="67579AF8">
      <w:pPr>
        <w:shd w:val="clea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同类项目业绩一览表</w:t>
      </w:r>
    </w:p>
    <w:p w14:paraId="6EC8F041">
      <w:pPr>
        <w:widowControl/>
        <w:shd w:val="clear"/>
        <w:jc w:val="left"/>
        <w:rPr>
          <w:rFonts w:hint="eastAsia" w:ascii="宋体" w:hAnsi="宋体" w:eastAsia="宋体" w:cs="宋体"/>
          <w:color w:val="auto"/>
          <w:kern w:val="0"/>
          <w:sz w:val="24"/>
          <w:highlight w:val="none"/>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2"/>
        <w:gridCol w:w="1312"/>
        <w:gridCol w:w="1312"/>
        <w:gridCol w:w="1312"/>
        <w:gridCol w:w="1312"/>
        <w:gridCol w:w="1313"/>
      </w:tblGrid>
      <w:tr w14:paraId="4817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12" w:type="dxa"/>
            <w:vAlign w:val="center"/>
          </w:tcPr>
          <w:p w14:paraId="4FF8A6BC">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项目名称</w:t>
            </w:r>
          </w:p>
        </w:tc>
        <w:tc>
          <w:tcPr>
            <w:tcW w:w="1312" w:type="dxa"/>
            <w:vAlign w:val="center"/>
          </w:tcPr>
          <w:p w14:paraId="16E862A1">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项目</w:t>
            </w:r>
          </w:p>
          <w:p w14:paraId="18076BB3">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类型</w:t>
            </w:r>
          </w:p>
        </w:tc>
        <w:tc>
          <w:tcPr>
            <w:tcW w:w="1312" w:type="dxa"/>
            <w:vAlign w:val="center"/>
          </w:tcPr>
          <w:p w14:paraId="54353439">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简要描述</w:t>
            </w:r>
          </w:p>
        </w:tc>
        <w:tc>
          <w:tcPr>
            <w:tcW w:w="1312" w:type="dxa"/>
            <w:vAlign w:val="center"/>
          </w:tcPr>
          <w:p w14:paraId="0A5E48EB">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项目</w:t>
            </w:r>
          </w:p>
          <w:p w14:paraId="3F9A3B5E">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金额</w:t>
            </w:r>
          </w:p>
          <w:p w14:paraId="14710696">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（万元）</w:t>
            </w:r>
          </w:p>
        </w:tc>
        <w:tc>
          <w:tcPr>
            <w:tcW w:w="1312" w:type="dxa"/>
            <w:vAlign w:val="center"/>
          </w:tcPr>
          <w:p w14:paraId="7AAEB834">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实施时间</w:t>
            </w:r>
          </w:p>
        </w:tc>
        <w:tc>
          <w:tcPr>
            <w:tcW w:w="1312" w:type="dxa"/>
            <w:vAlign w:val="center"/>
          </w:tcPr>
          <w:p w14:paraId="7C84135F">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项目单位、联系人及电话</w:t>
            </w:r>
          </w:p>
        </w:tc>
        <w:tc>
          <w:tcPr>
            <w:tcW w:w="1313" w:type="dxa"/>
            <w:vAlign w:val="center"/>
          </w:tcPr>
          <w:p w14:paraId="2B7CF531">
            <w:pPr>
              <w:shd w:val="clear"/>
              <w:jc w:val="center"/>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项目完成情况</w:t>
            </w:r>
          </w:p>
        </w:tc>
      </w:tr>
      <w:tr w14:paraId="31CF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312" w:type="dxa"/>
            <w:vAlign w:val="center"/>
          </w:tcPr>
          <w:p w14:paraId="6B50312D">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2C743613">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1566B84F">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10A232E1">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0599B772">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6437A48C">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3" w:type="dxa"/>
            <w:vAlign w:val="center"/>
          </w:tcPr>
          <w:p w14:paraId="305BC782">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r>
      <w:tr w14:paraId="35F2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312" w:type="dxa"/>
            <w:vAlign w:val="center"/>
          </w:tcPr>
          <w:p w14:paraId="44BCA334">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35E3D288">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290E8BA9">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4B01F73C">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18B3A640">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43E8458C">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3" w:type="dxa"/>
            <w:vAlign w:val="center"/>
          </w:tcPr>
          <w:p w14:paraId="332757D4">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r>
      <w:tr w14:paraId="170C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312" w:type="dxa"/>
            <w:vAlign w:val="center"/>
          </w:tcPr>
          <w:p w14:paraId="422548F5">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20B392CE">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6F4C1AEC">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7B00D2EF">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239D40B7">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3ABAF87D">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3" w:type="dxa"/>
            <w:vAlign w:val="center"/>
          </w:tcPr>
          <w:p w14:paraId="29495CB7">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r>
      <w:tr w14:paraId="68B8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312" w:type="dxa"/>
            <w:vAlign w:val="center"/>
          </w:tcPr>
          <w:p w14:paraId="5E996B36">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52ADBF12">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4DF2DBC8">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6A0D1D27">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346A04CE">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67C52EBD">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3" w:type="dxa"/>
            <w:vAlign w:val="center"/>
          </w:tcPr>
          <w:p w14:paraId="691FA1E6">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r>
      <w:tr w14:paraId="5F6C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312" w:type="dxa"/>
            <w:vAlign w:val="center"/>
          </w:tcPr>
          <w:p w14:paraId="0232BABD">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3BB2E0BA">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5DA28EE1">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12FF4AEF">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2C0130DC">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5F5C6E4C">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3" w:type="dxa"/>
            <w:vAlign w:val="center"/>
          </w:tcPr>
          <w:p w14:paraId="669B6CB5">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r>
      <w:tr w14:paraId="4EFD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312" w:type="dxa"/>
            <w:vAlign w:val="center"/>
          </w:tcPr>
          <w:p w14:paraId="67266398">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5B641E8A">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2140DFD8">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661457D9">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0F53E936">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2" w:type="dxa"/>
            <w:vAlign w:val="center"/>
          </w:tcPr>
          <w:p w14:paraId="7A3EBE3A">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c>
          <w:tcPr>
            <w:tcW w:w="1313" w:type="dxa"/>
            <w:vAlign w:val="center"/>
          </w:tcPr>
          <w:p w14:paraId="65C54B00">
            <w:pPr>
              <w:shd w:val="clear"/>
              <w:autoSpaceDE w:val="0"/>
              <w:autoSpaceDN w:val="0"/>
              <w:adjustRightInd w:val="0"/>
              <w:spacing w:line="360" w:lineRule="auto"/>
              <w:jc w:val="center"/>
              <w:rPr>
                <w:rFonts w:hint="eastAsia" w:ascii="宋体" w:hAnsi="宋体" w:eastAsia="宋体" w:cs="宋体"/>
                <w:color w:val="auto"/>
                <w:sz w:val="24"/>
                <w:highlight w:val="none"/>
                <w:lang w:val="zh-CN"/>
              </w:rPr>
            </w:pPr>
          </w:p>
        </w:tc>
      </w:tr>
    </w:tbl>
    <w:p w14:paraId="1B3FF3FF">
      <w:pPr>
        <w:shd w:val="clear"/>
        <w:snapToGrid w:val="0"/>
        <w:spacing w:line="360" w:lineRule="auto"/>
        <w:rPr>
          <w:rFonts w:hint="eastAsia" w:ascii="宋体" w:hAnsi="宋体" w:eastAsia="宋体" w:cs="宋体"/>
          <w:b/>
          <w:color w:val="auto"/>
          <w:sz w:val="24"/>
          <w:highlight w:val="none"/>
        </w:rPr>
      </w:pPr>
    </w:p>
    <w:p w14:paraId="42292BFE">
      <w:pPr>
        <w:shd w:val="clea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注：1、各投标人可以根据各自业绩量准备充分的表格，此页后须附证明材料。</w:t>
      </w:r>
    </w:p>
    <w:p w14:paraId="523E5B12">
      <w:pPr>
        <w:shd w:val="clea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2、投标人须真实仔细地填写本表格。</w:t>
      </w:r>
    </w:p>
    <w:p w14:paraId="6AD8A379">
      <w:pPr>
        <w:widowControl/>
        <w:shd w:val="clear"/>
        <w:jc w:val="left"/>
        <w:rPr>
          <w:rFonts w:hint="eastAsia" w:ascii="宋体" w:hAnsi="宋体" w:eastAsia="宋体" w:cs="宋体"/>
          <w:color w:val="auto"/>
          <w:kern w:val="0"/>
          <w:sz w:val="24"/>
          <w:highlight w:val="none"/>
        </w:rPr>
      </w:pPr>
    </w:p>
    <w:p w14:paraId="49EFA8FE">
      <w:pPr>
        <w:widowControl/>
        <w:shd w:val="clear"/>
        <w:jc w:val="left"/>
        <w:rPr>
          <w:rFonts w:hint="eastAsia" w:ascii="宋体" w:hAnsi="宋体" w:eastAsia="宋体" w:cs="宋体"/>
          <w:color w:val="auto"/>
          <w:kern w:val="0"/>
          <w:sz w:val="24"/>
          <w:highlight w:val="none"/>
        </w:rPr>
      </w:pPr>
    </w:p>
    <w:p w14:paraId="62385935">
      <w:pPr>
        <w:widowControl/>
        <w:shd w:val="clear"/>
        <w:jc w:val="left"/>
        <w:rPr>
          <w:rFonts w:hint="eastAsia" w:ascii="宋体" w:hAnsi="宋体" w:eastAsia="宋体" w:cs="宋体"/>
          <w:color w:val="auto"/>
          <w:kern w:val="0"/>
          <w:sz w:val="24"/>
          <w:highlight w:val="none"/>
        </w:rPr>
      </w:pPr>
    </w:p>
    <w:p w14:paraId="367A38EA">
      <w:pPr>
        <w:pStyle w:val="15"/>
        <w:shd w:val="clear"/>
        <w:overflowPunct w:val="0"/>
        <w:spacing w:line="360" w:lineRule="auto"/>
        <w:ind w:right="420" w:firstLine="3300" w:firstLineChars="13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投标人（单位盖章）：</w:t>
      </w:r>
    </w:p>
    <w:p w14:paraId="093FCBBB">
      <w:pPr>
        <w:pStyle w:val="15"/>
        <w:shd w:val="clear"/>
        <w:overflowPunct w:val="0"/>
        <w:spacing w:line="360" w:lineRule="auto"/>
        <w:ind w:right="420"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法定代表人或委托代理人（签字或盖章）：                         </w:t>
      </w:r>
    </w:p>
    <w:p w14:paraId="66C0E5FE">
      <w:pPr>
        <w:shd w:val="clear"/>
        <w:spacing w:before="120" w:beforeLines="50" w:line="360" w:lineRule="auto"/>
        <w:ind w:right="-21" w:rightChars="-10" w:firstLine="470" w:firstLineChars="196"/>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4038AF1B">
      <w:pPr>
        <w:shd w:val="clear"/>
        <w:rPr>
          <w:rFonts w:hint="eastAsia" w:ascii="宋体" w:hAnsi="宋体" w:eastAsia="宋体" w:cs="宋体"/>
          <w:bCs/>
          <w:color w:val="auto"/>
          <w:sz w:val="24"/>
          <w:highlight w:val="none"/>
        </w:rPr>
      </w:pPr>
    </w:p>
    <w:p w14:paraId="106EC0A0">
      <w:pPr>
        <w:shd w:val="clear"/>
        <w:rPr>
          <w:rFonts w:hint="eastAsia" w:ascii="宋体" w:hAnsi="宋体" w:eastAsia="宋体" w:cs="宋体"/>
          <w:bCs/>
          <w:color w:val="auto"/>
          <w:sz w:val="24"/>
          <w:highlight w:val="none"/>
        </w:rPr>
      </w:pPr>
    </w:p>
    <w:p w14:paraId="68414A41">
      <w:pPr>
        <w:shd w:val="clear"/>
        <w:rPr>
          <w:rFonts w:hint="eastAsia" w:ascii="宋体" w:hAnsi="宋体" w:eastAsia="宋体" w:cs="宋体"/>
          <w:color w:val="auto"/>
          <w:sz w:val="24"/>
          <w:highlight w:val="none"/>
        </w:rPr>
      </w:pPr>
    </w:p>
    <w:p w14:paraId="215D3794">
      <w:pPr>
        <w:pageBreakBefore/>
        <w:shd w:val="clear"/>
        <w:spacing w:before="260" w:after="260" w:line="415" w:lineRule="auto"/>
        <w:outlineLvl w:val="1"/>
        <w:rPr>
          <w:rFonts w:hint="eastAsia" w:ascii="宋体" w:hAnsi="宋体" w:eastAsia="宋体" w:cs="宋体"/>
          <w:bCs/>
          <w:color w:val="auto"/>
          <w:sz w:val="24"/>
          <w:highlight w:val="none"/>
        </w:rPr>
      </w:pPr>
      <w:bookmarkStart w:id="144" w:name="_Toc25711"/>
      <w:bookmarkStart w:id="145" w:name="_Toc32441"/>
      <w:r>
        <w:rPr>
          <w:rFonts w:hint="eastAsia" w:ascii="宋体" w:hAnsi="宋体" w:eastAsia="宋体" w:cs="宋体"/>
          <w:bCs/>
          <w:color w:val="auto"/>
          <w:sz w:val="24"/>
          <w:highlight w:val="none"/>
        </w:rPr>
        <w:t>附件</w:t>
      </w:r>
      <w:r>
        <w:rPr>
          <w:rFonts w:hint="eastAsia" w:ascii="宋体" w:hAnsi="宋体" w:cs="宋体"/>
          <w:bCs/>
          <w:color w:val="auto"/>
          <w:sz w:val="24"/>
          <w:highlight w:val="none"/>
          <w:lang w:val="en-US" w:eastAsia="zh-CN"/>
        </w:rPr>
        <w:t>十二</w:t>
      </w:r>
      <w:r>
        <w:rPr>
          <w:rFonts w:hint="eastAsia" w:ascii="宋体" w:hAnsi="宋体" w:eastAsia="宋体" w:cs="宋体"/>
          <w:bCs/>
          <w:color w:val="auto"/>
          <w:sz w:val="24"/>
          <w:highlight w:val="none"/>
        </w:rPr>
        <w:t>：服务费承诺书</w:t>
      </w:r>
      <w:bookmarkEnd w:id="144"/>
      <w:bookmarkEnd w:id="145"/>
    </w:p>
    <w:p w14:paraId="7B56A308">
      <w:pPr>
        <w:shd w:val="clear"/>
        <w:snapToGrid w:val="0"/>
        <w:spacing w:line="360" w:lineRule="auto"/>
        <w:jc w:val="cente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承 诺 书</w:t>
      </w:r>
    </w:p>
    <w:p w14:paraId="36311EA7">
      <w:pPr>
        <w:shd w:val="clear"/>
        <w:snapToGrid w:val="0"/>
        <w:spacing w:before="50" w:after="120" w:afterLines="50"/>
        <w:jc w:val="left"/>
        <w:rPr>
          <w:rFonts w:hint="eastAsia" w:ascii="宋体" w:hAnsi="宋体" w:eastAsia="宋体" w:cs="宋体"/>
          <w:b/>
          <w:color w:val="auto"/>
          <w:sz w:val="24"/>
          <w:highlight w:val="none"/>
        </w:rPr>
      </w:pPr>
    </w:p>
    <w:p w14:paraId="41C3BA69">
      <w:pPr>
        <w:shd w:val="clear"/>
        <w:snapToGrid w:val="0"/>
        <w:spacing w:before="50" w:after="120" w:afterLines="50" w:line="360" w:lineRule="auto"/>
        <w:jc w:val="left"/>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东阳市鑫盛工程咨询有限公司</w:t>
      </w:r>
      <w:r>
        <w:rPr>
          <w:rFonts w:hint="eastAsia" w:ascii="宋体" w:hAnsi="宋体" w:eastAsia="宋体" w:cs="宋体"/>
          <w:b/>
          <w:bCs/>
          <w:color w:val="auto"/>
          <w:sz w:val="24"/>
          <w:highlight w:val="none"/>
        </w:rPr>
        <w:t>：</w:t>
      </w:r>
    </w:p>
    <w:p w14:paraId="00EC0053">
      <w:pPr>
        <w:shd w:val="clear"/>
        <w:snapToGrid w:val="0"/>
        <w:spacing w:before="50" w:after="120" w:afterLines="50" w:line="360" w:lineRule="auto"/>
        <w:ind w:firstLine="472" w:firstLineChars="196"/>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若我公司中标时，在中标结果公示结束之日起3天内，愿按本招标文件总则第（五）条规定向东阳市鑫盛工程咨询有限公司支付中标服务费。    </w:t>
      </w:r>
    </w:p>
    <w:p w14:paraId="69AB94F8">
      <w:pPr>
        <w:shd w:val="clear"/>
        <w:snapToGrid w:val="0"/>
        <w:spacing w:before="50" w:after="120" w:afterLines="50" w:line="360" w:lineRule="auto"/>
        <w:jc w:val="left"/>
        <w:rPr>
          <w:rFonts w:hint="eastAsia" w:ascii="宋体" w:hAnsi="宋体" w:eastAsia="宋体" w:cs="宋体"/>
          <w:b/>
          <w:color w:val="auto"/>
          <w:sz w:val="24"/>
          <w:highlight w:val="none"/>
        </w:rPr>
      </w:pPr>
    </w:p>
    <w:p w14:paraId="4545A769">
      <w:pPr>
        <w:shd w:val="clear"/>
        <w:snapToGrid w:val="0"/>
        <w:spacing w:before="50" w:after="120" w:afterLines="50" w:line="360" w:lineRule="auto"/>
        <w:jc w:val="left"/>
        <w:rPr>
          <w:rFonts w:hint="eastAsia" w:ascii="宋体" w:hAnsi="宋体" w:eastAsia="宋体" w:cs="宋体"/>
          <w:b/>
          <w:color w:val="auto"/>
          <w:sz w:val="24"/>
          <w:highlight w:val="none"/>
        </w:rPr>
      </w:pPr>
    </w:p>
    <w:p w14:paraId="2DE1C0A5">
      <w:pPr>
        <w:shd w:val="clear"/>
        <w:snapToGrid w:val="0"/>
        <w:spacing w:before="50" w:after="120" w:afterLines="50" w:line="360" w:lineRule="auto"/>
        <w:jc w:val="left"/>
        <w:rPr>
          <w:rFonts w:hint="eastAsia" w:ascii="宋体" w:hAnsi="宋体" w:eastAsia="宋体" w:cs="宋体"/>
          <w:b/>
          <w:color w:val="auto"/>
          <w:sz w:val="24"/>
          <w:highlight w:val="none"/>
        </w:rPr>
      </w:pPr>
    </w:p>
    <w:p w14:paraId="6F4298A1">
      <w:pPr>
        <w:shd w:val="clear"/>
        <w:snapToGrid w:val="0"/>
        <w:spacing w:before="50" w:after="120" w:afterLines="50"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特此承诺！</w:t>
      </w:r>
    </w:p>
    <w:p w14:paraId="088278BE">
      <w:pPr>
        <w:shd w:val="clear"/>
        <w:snapToGrid w:val="0"/>
        <w:spacing w:before="50" w:after="120" w:afterLines="50" w:line="360" w:lineRule="auto"/>
        <w:jc w:val="left"/>
        <w:rPr>
          <w:rFonts w:hint="eastAsia" w:ascii="宋体" w:hAnsi="宋体" w:eastAsia="宋体" w:cs="宋体"/>
          <w:b/>
          <w:color w:val="auto"/>
          <w:sz w:val="24"/>
          <w:highlight w:val="none"/>
        </w:rPr>
      </w:pPr>
    </w:p>
    <w:p w14:paraId="1D101C56">
      <w:pPr>
        <w:shd w:val="clear"/>
        <w:snapToGrid w:val="0"/>
        <w:spacing w:before="50" w:after="120" w:afterLines="50"/>
        <w:jc w:val="left"/>
        <w:rPr>
          <w:rFonts w:hint="eastAsia" w:ascii="宋体" w:hAnsi="宋体" w:eastAsia="宋体" w:cs="宋体"/>
          <w:b/>
          <w:color w:val="auto"/>
          <w:sz w:val="24"/>
          <w:highlight w:val="none"/>
        </w:rPr>
      </w:pPr>
    </w:p>
    <w:p w14:paraId="7A7EBBC3">
      <w:pPr>
        <w:shd w:val="clear"/>
        <w:snapToGrid w:val="0"/>
        <w:spacing w:before="50" w:after="120" w:afterLines="50"/>
        <w:jc w:val="left"/>
        <w:rPr>
          <w:rFonts w:hint="eastAsia" w:ascii="宋体" w:hAnsi="宋体" w:eastAsia="宋体" w:cs="宋体"/>
          <w:b/>
          <w:color w:val="auto"/>
          <w:sz w:val="24"/>
          <w:highlight w:val="none"/>
        </w:rPr>
      </w:pPr>
    </w:p>
    <w:p w14:paraId="39B1B3E0">
      <w:pPr>
        <w:shd w:val="clear"/>
        <w:snapToGrid w:val="0"/>
        <w:spacing w:before="50" w:after="120" w:afterLines="50"/>
        <w:jc w:val="left"/>
        <w:rPr>
          <w:rFonts w:hint="eastAsia" w:ascii="宋体" w:hAnsi="宋体" w:eastAsia="宋体" w:cs="宋体"/>
          <w:b/>
          <w:color w:val="auto"/>
          <w:sz w:val="24"/>
          <w:highlight w:val="none"/>
        </w:rPr>
      </w:pPr>
    </w:p>
    <w:p w14:paraId="71B15FD7">
      <w:pPr>
        <w:shd w:val="clear"/>
        <w:snapToGrid w:val="0"/>
        <w:spacing w:before="50" w:after="120" w:afterLines="50"/>
        <w:jc w:val="left"/>
        <w:rPr>
          <w:rFonts w:hint="eastAsia" w:ascii="宋体" w:hAnsi="宋体" w:eastAsia="宋体" w:cs="宋体"/>
          <w:b/>
          <w:color w:val="auto"/>
          <w:sz w:val="24"/>
          <w:highlight w:val="none"/>
        </w:rPr>
      </w:pPr>
    </w:p>
    <w:p w14:paraId="61F401FA">
      <w:pPr>
        <w:shd w:val="clear"/>
        <w:snapToGrid w:val="0"/>
        <w:spacing w:before="50" w:after="120" w:afterLines="50"/>
        <w:jc w:val="left"/>
        <w:rPr>
          <w:rFonts w:hint="eastAsia" w:ascii="宋体" w:hAnsi="宋体" w:eastAsia="宋体" w:cs="宋体"/>
          <w:b/>
          <w:color w:val="auto"/>
          <w:sz w:val="24"/>
          <w:highlight w:val="none"/>
        </w:rPr>
      </w:pPr>
    </w:p>
    <w:p w14:paraId="5FB9B649">
      <w:pPr>
        <w:shd w:val="clear"/>
        <w:snapToGrid w:val="0"/>
        <w:spacing w:before="50" w:after="120" w:afterLines="50"/>
        <w:ind w:firstLine="236" w:firstLineChars="98"/>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承诺单位(盖章)：</w:t>
      </w:r>
    </w:p>
    <w:p w14:paraId="476DC7D7">
      <w:pPr>
        <w:shd w:val="clear"/>
        <w:snapToGrid w:val="0"/>
        <w:spacing w:before="50" w:after="120" w:afterLines="50"/>
        <w:jc w:val="left"/>
        <w:rPr>
          <w:rFonts w:hint="eastAsia" w:ascii="宋体" w:hAnsi="宋体" w:eastAsia="宋体" w:cs="宋体"/>
          <w:b/>
          <w:color w:val="auto"/>
          <w:sz w:val="24"/>
          <w:highlight w:val="none"/>
        </w:rPr>
      </w:pPr>
    </w:p>
    <w:p w14:paraId="22DFF675">
      <w:pPr>
        <w:shd w:val="clear"/>
        <w:snapToGrid w:val="0"/>
        <w:spacing w:before="50" w:after="120" w:afterLines="50"/>
        <w:jc w:val="left"/>
        <w:rPr>
          <w:rFonts w:hint="eastAsia" w:ascii="宋体" w:hAnsi="宋体" w:eastAsia="宋体" w:cs="宋体"/>
          <w:b/>
          <w:color w:val="auto"/>
          <w:sz w:val="24"/>
          <w:highlight w:val="none"/>
        </w:rPr>
      </w:pPr>
    </w:p>
    <w:p w14:paraId="149158B7">
      <w:pPr>
        <w:shd w:val="clear"/>
        <w:snapToGrid w:val="0"/>
        <w:spacing w:before="50" w:after="120" w:afterLines="50"/>
        <w:ind w:firstLine="236" w:firstLineChars="98"/>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法定代表人或委托代理人(签字)：</w:t>
      </w:r>
    </w:p>
    <w:p w14:paraId="47616B91">
      <w:pPr>
        <w:shd w:val="clear"/>
        <w:snapToGrid w:val="0"/>
        <w:spacing w:before="50" w:after="120" w:afterLines="50"/>
        <w:jc w:val="left"/>
        <w:rPr>
          <w:rFonts w:hint="eastAsia" w:ascii="宋体" w:hAnsi="宋体" w:eastAsia="宋体" w:cs="宋体"/>
          <w:b/>
          <w:bCs/>
          <w:color w:val="auto"/>
          <w:sz w:val="24"/>
          <w:highlight w:val="none"/>
        </w:rPr>
      </w:pPr>
    </w:p>
    <w:p w14:paraId="462EB62A">
      <w:pPr>
        <w:shd w:val="clear"/>
        <w:snapToGrid w:val="0"/>
        <w:spacing w:before="50" w:after="120" w:afterLines="50"/>
        <w:jc w:val="left"/>
        <w:rPr>
          <w:rFonts w:hint="eastAsia" w:ascii="宋体" w:hAnsi="宋体" w:eastAsia="宋体" w:cs="宋体"/>
          <w:b/>
          <w:bCs/>
          <w:color w:val="auto"/>
          <w:sz w:val="24"/>
          <w:highlight w:val="none"/>
        </w:rPr>
      </w:pPr>
    </w:p>
    <w:p w14:paraId="14B53631">
      <w:pPr>
        <w:shd w:val="clear"/>
        <w:snapToGrid w:val="0"/>
        <w:spacing w:before="50" w:after="120" w:afterLines="50"/>
        <w:ind w:firstLine="5980" w:firstLineChars="2482"/>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年     月    日</w:t>
      </w:r>
    </w:p>
    <w:p w14:paraId="2B174430">
      <w:pPr>
        <w:shd w:val="clear"/>
        <w:snapToGrid w:val="0"/>
        <w:spacing w:before="50" w:after="120" w:afterLines="50"/>
        <w:jc w:val="left"/>
        <w:rPr>
          <w:rFonts w:hint="eastAsia" w:ascii="宋体" w:hAnsi="宋体" w:eastAsia="宋体" w:cs="宋体"/>
          <w:b/>
          <w:color w:val="auto"/>
          <w:sz w:val="24"/>
          <w:highlight w:val="none"/>
        </w:rPr>
      </w:pPr>
    </w:p>
    <w:p w14:paraId="3951B7E9">
      <w:pPr>
        <w:shd w:val="clear"/>
        <w:snapToGrid w:val="0"/>
        <w:spacing w:before="120" w:beforeLines="50" w:after="50" w:line="276" w:lineRule="auto"/>
        <w:jc w:val="left"/>
        <w:rPr>
          <w:rFonts w:hint="eastAsia" w:ascii="宋体" w:hAnsi="宋体" w:eastAsia="宋体" w:cs="宋体"/>
          <w:color w:val="auto"/>
          <w:sz w:val="24"/>
          <w:highlight w:val="none"/>
        </w:rPr>
      </w:pPr>
    </w:p>
    <w:p w14:paraId="212C120D">
      <w:pPr>
        <w:shd w:val="clear"/>
        <w:snapToGrid w:val="0"/>
        <w:spacing w:before="120" w:beforeLines="50" w:after="50" w:line="276" w:lineRule="auto"/>
        <w:jc w:val="left"/>
        <w:rPr>
          <w:rFonts w:hint="eastAsia" w:ascii="宋体" w:hAnsi="宋体" w:eastAsia="宋体" w:cs="宋体"/>
          <w:color w:val="auto"/>
          <w:sz w:val="24"/>
          <w:highlight w:val="none"/>
        </w:rPr>
      </w:pPr>
    </w:p>
    <w:p w14:paraId="682F4C41">
      <w:pPr>
        <w:shd w:val="clear"/>
        <w:snapToGrid w:val="0"/>
        <w:spacing w:before="120" w:beforeLines="50" w:after="50" w:line="276" w:lineRule="auto"/>
        <w:jc w:val="left"/>
        <w:rPr>
          <w:rFonts w:hint="eastAsia" w:ascii="宋体" w:hAnsi="宋体" w:eastAsia="宋体" w:cs="宋体"/>
          <w:color w:val="auto"/>
          <w:sz w:val="24"/>
          <w:highlight w:val="none"/>
        </w:rPr>
      </w:pPr>
    </w:p>
    <w:p w14:paraId="3531ACD3">
      <w:pPr>
        <w:shd w:val="clear"/>
        <w:rPr>
          <w:rFonts w:hint="eastAsia" w:ascii="宋体" w:hAnsi="宋体" w:eastAsia="宋体" w:cs="宋体"/>
          <w:bCs/>
          <w:color w:val="auto"/>
          <w:sz w:val="24"/>
          <w:highlight w:val="none"/>
        </w:rPr>
      </w:pPr>
      <w:bookmarkStart w:id="146" w:name="_Toc7166659"/>
      <w:bookmarkStart w:id="147" w:name="_Toc514425251"/>
    </w:p>
    <w:bookmarkEnd w:id="146"/>
    <w:bookmarkEnd w:id="147"/>
    <w:p w14:paraId="799D1FAB">
      <w:pPr>
        <w:shd w:val="clear"/>
        <w:rPr>
          <w:rFonts w:hint="eastAsia" w:ascii="宋体" w:hAnsi="宋体" w:eastAsia="宋体" w:cs="宋体"/>
          <w:b/>
          <w:color w:val="auto"/>
          <w:sz w:val="24"/>
          <w:highlight w:val="none"/>
        </w:rPr>
      </w:pPr>
    </w:p>
    <w:p w14:paraId="30B60167">
      <w:pPr>
        <w:pageBreakBefore/>
        <w:shd w:val="clear"/>
        <w:spacing w:before="260" w:after="260" w:line="415" w:lineRule="auto"/>
        <w:outlineLvl w:val="1"/>
        <w:rPr>
          <w:rFonts w:hint="eastAsia" w:ascii="宋体" w:hAnsi="宋体" w:eastAsia="宋体" w:cs="宋体"/>
          <w:bCs/>
          <w:color w:val="auto"/>
          <w:sz w:val="24"/>
          <w:highlight w:val="none"/>
        </w:rPr>
      </w:pPr>
      <w:bookmarkStart w:id="148" w:name="_Toc496598995"/>
      <w:bookmarkStart w:id="149" w:name="_Toc12029"/>
      <w:bookmarkStart w:id="150" w:name="_Toc7637"/>
      <w:r>
        <w:rPr>
          <w:rFonts w:hint="eastAsia" w:ascii="宋体" w:hAnsi="宋体" w:eastAsia="宋体" w:cs="宋体"/>
          <w:bCs/>
          <w:color w:val="auto"/>
          <w:sz w:val="24"/>
          <w:highlight w:val="none"/>
        </w:rPr>
        <w:t>附件</w:t>
      </w:r>
      <w:r>
        <w:rPr>
          <w:rFonts w:hint="eastAsia" w:ascii="宋体" w:hAnsi="宋体" w:cs="宋体"/>
          <w:bCs/>
          <w:color w:val="auto"/>
          <w:sz w:val="24"/>
          <w:highlight w:val="none"/>
          <w:lang w:val="en-US" w:eastAsia="zh-CN"/>
        </w:rPr>
        <w:t>十三</w:t>
      </w:r>
      <w:r>
        <w:rPr>
          <w:rFonts w:hint="eastAsia" w:ascii="宋体" w:hAnsi="宋体" w:eastAsia="宋体" w:cs="宋体"/>
          <w:bCs/>
          <w:color w:val="auto"/>
          <w:sz w:val="24"/>
          <w:highlight w:val="none"/>
        </w:rPr>
        <w:t>:</w:t>
      </w:r>
      <w:bookmarkEnd w:id="148"/>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rPr>
        <w:t>投标函</w:t>
      </w:r>
      <w:bookmarkEnd w:id="149"/>
      <w:bookmarkEnd w:id="150"/>
    </w:p>
    <w:p w14:paraId="2ED707F0">
      <w:pPr>
        <w:shd w:val="clear"/>
        <w:snapToGrid w:val="0"/>
        <w:spacing w:line="360" w:lineRule="auto"/>
        <w:jc w:val="cente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投 标 函</w:t>
      </w:r>
    </w:p>
    <w:p w14:paraId="688CD81E">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（招标采购单位名称）：</w:t>
      </w:r>
    </w:p>
    <w:p w14:paraId="4624BDD2">
      <w:pPr>
        <w:shd w:val="clear"/>
        <w:snapToGri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根据贵方为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项目的招标公告/投标邀请书</w:t>
      </w:r>
    </w:p>
    <w:p w14:paraId="1AECE485">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（全名）经正式授权并代表投标人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（投标人名称）提交电子投标文件。</w:t>
      </w:r>
    </w:p>
    <w:p w14:paraId="18849017">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据此函，签字代表宣布同意如下：</w:t>
      </w:r>
    </w:p>
    <w:p w14:paraId="57CC5E60">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1.投标人已详细审查全部“招标文件”，包括修改文件（如有的话）以及全部参考资料和有关附件，已经了解我方对于招标文件、采购过程、采购结果有依法进行询问、质疑、投诉的权利及相关渠道和要求。</w:t>
      </w:r>
    </w:p>
    <w:p w14:paraId="30AF0F45">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2.投标人在投标之前已经与贵方进行了充分的沟通，完全理解并接受招标文件的各项规定和要求，对招标文件的合理性、合法性不再有异议。</w:t>
      </w:r>
    </w:p>
    <w:p w14:paraId="13C92B62">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3.本投标有效期自开标日起 ______天。</w:t>
      </w:r>
    </w:p>
    <w:p w14:paraId="22E6425D">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4.如中标，本投标文件至本项目合同履行完毕止均保持有效，本投标人将按“招标文件”及政府采购法律、法规的规定履行合同责任和义务。</w:t>
      </w:r>
    </w:p>
    <w:p w14:paraId="59078926">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5.投标人同意按照贵方要求提供与投标有关的一切数据或资料。</w:t>
      </w:r>
    </w:p>
    <w:p w14:paraId="606F16B8">
      <w:pPr>
        <w:shd w:val="clea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6.与本投标有关的一切正式往来信函请寄：</w:t>
      </w:r>
    </w:p>
    <w:p w14:paraId="4093A8E1">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default" w:ascii="宋体" w:hAnsi="宋体" w:cs="宋体"/>
          <w:color w:val="auto"/>
          <w:sz w:val="24"/>
          <w:highlight w:val="none"/>
          <w:u w:val="single"/>
          <w:lang w:val="en-US"/>
        </w:rPr>
        <w:t xml:space="preserve">                       </w:t>
      </w:r>
      <w:r>
        <w:rPr>
          <w:rFonts w:hint="eastAsia" w:ascii="宋体" w:hAnsi="宋体" w:eastAsia="宋体" w:cs="宋体"/>
          <w:color w:val="auto"/>
          <w:sz w:val="24"/>
          <w:highlight w:val="none"/>
        </w:rPr>
        <w:t>邮编：__________   电话：______________</w:t>
      </w:r>
    </w:p>
    <w:p w14:paraId="22EB74B5">
      <w:pPr>
        <w:shd w:val="clear"/>
        <w:snapToGrid w:val="0"/>
        <w:spacing w:line="360" w:lineRule="auto"/>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传真：______________投标人代表姓名 ___________  职务：</w:t>
      </w:r>
      <w:r>
        <w:rPr>
          <w:rFonts w:hint="default" w:ascii="宋体" w:hAnsi="宋体" w:cs="宋体"/>
          <w:color w:val="auto"/>
          <w:sz w:val="24"/>
          <w:highlight w:val="none"/>
          <w:u w:val="single"/>
          <w:lang w:val="en-US"/>
        </w:rPr>
        <w:t xml:space="preserve">              </w:t>
      </w:r>
    </w:p>
    <w:p w14:paraId="307F7090">
      <w:pPr>
        <w:shd w:val="clear"/>
        <w:snapToGrid w:val="0"/>
        <w:spacing w:line="360" w:lineRule="auto"/>
        <w:rPr>
          <w:rFonts w:hint="eastAsia" w:ascii="宋体" w:hAnsi="宋体" w:eastAsia="宋体" w:cs="宋体"/>
          <w:color w:val="auto"/>
          <w:sz w:val="24"/>
          <w:highlight w:val="none"/>
        </w:rPr>
      </w:pPr>
    </w:p>
    <w:p w14:paraId="6CC6100D">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投标人名称(公章):___________________</w:t>
      </w:r>
    </w:p>
    <w:p w14:paraId="58F68B8F">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委托代理人签字:___________ </w:t>
      </w:r>
    </w:p>
    <w:p w14:paraId="0CACE51D">
      <w:pPr>
        <w:shd w:val="clea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日期:_____年___月___日</w:t>
      </w:r>
    </w:p>
    <w:p w14:paraId="180D9EAF">
      <w:pPr>
        <w:shd w:val="clear"/>
        <w:snapToGrid w:val="0"/>
        <w:spacing w:before="156" w:after="156" w:line="360" w:lineRule="auto"/>
        <w:rPr>
          <w:rFonts w:hint="eastAsia" w:ascii="宋体" w:hAnsi="宋体" w:eastAsia="宋体" w:cs="宋体"/>
          <w:color w:val="auto"/>
          <w:sz w:val="24"/>
          <w:highlight w:val="none"/>
        </w:rPr>
      </w:pPr>
    </w:p>
    <w:p w14:paraId="6E8D527D">
      <w:pPr>
        <w:shd w:val="clear"/>
        <w:snapToGrid w:val="0"/>
        <w:spacing w:before="50" w:after="120" w:afterLines="50"/>
        <w:jc w:val="left"/>
        <w:rPr>
          <w:rFonts w:hint="eastAsia" w:ascii="宋体" w:hAnsi="宋体" w:eastAsia="宋体" w:cs="宋体"/>
          <w:b/>
          <w:color w:val="auto"/>
          <w:sz w:val="24"/>
          <w:highlight w:val="none"/>
        </w:rPr>
      </w:pPr>
    </w:p>
    <w:p w14:paraId="6EB24069">
      <w:pPr>
        <w:shd w:val="clear"/>
        <w:snapToGrid w:val="0"/>
        <w:spacing w:before="50" w:after="120" w:afterLines="50"/>
        <w:jc w:val="left"/>
        <w:rPr>
          <w:rFonts w:hint="eastAsia" w:ascii="宋体" w:hAnsi="宋体" w:eastAsia="宋体" w:cs="宋体"/>
          <w:b/>
          <w:color w:val="auto"/>
          <w:sz w:val="24"/>
          <w:highlight w:val="none"/>
        </w:rPr>
      </w:pPr>
    </w:p>
    <w:p w14:paraId="7752DD5B">
      <w:pPr>
        <w:shd w:val="clear"/>
        <w:snapToGrid w:val="0"/>
        <w:spacing w:before="50" w:after="120" w:afterLines="50"/>
        <w:jc w:val="left"/>
        <w:rPr>
          <w:rFonts w:hint="eastAsia" w:ascii="宋体" w:hAnsi="宋体" w:eastAsia="宋体" w:cs="宋体"/>
          <w:b/>
          <w:color w:val="auto"/>
          <w:sz w:val="24"/>
          <w:highlight w:val="none"/>
        </w:rPr>
      </w:pPr>
    </w:p>
    <w:p w14:paraId="0F469574">
      <w:pPr>
        <w:shd w:val="clear"/>
        <w:rPr>
          <w:rFonts w:hint="eastAsia" w:ascii="宋体" w:hAnsi="宋体" w:eastAsia="宋体" w:cs="宋体"/>
          <w:color w:val="auto"/>
          <w:sz w:val="24"/>
          <w:highlight w:val="none"/>
        </w:rPr>
      </w:pPr>
      <w:bookmarkStart w:id="151" w:name="_Toc496598998"/>
    </w:p>
    <w:p w14:paraId="6364AF15">
      <w:pPr>
        <w:keepNext/>
        <w:keepLines/>
        <w:shd w:val="clear"/>
        <w:spacing w:before="260" w:after="260" w:line="360" w:lineRule="auto"/>
        <w:outlineLvl w:val="1"/>
        <w:rPr>
          <w:rFonts w:hint="eastAsia" w:ascii="宋体" w:hAnsi="宋体" w:eastAsia="宋体" w:cs="宋体"/>
          <w:bCs/>
          <w:color w:val="auto"/>
          <w:sz w:val="24"/>
          <w:highlight w:val="none"/>
          <w:lang w:val="en-US" w:eastAsia="zh-CN"/>
        </w:rPr>
      </w:pPr>
      <w:bookmarkStart w:id="152" w:name="_Toc23720"/>
      <w:bookmarkStart w:id="153" w:name="_Toc26256"/>
      <w:r>
        <w:rPr>
          <w:rFonts w:hint="eastAsia" w:ascii="宋体" w:hAnsi="宋体" w:eastAsia="宋体" w:cs="宋体"/>
          <w:bCs/>
          <w:color w:val="auto"/>
          <w:sz w:val="24"/>
          <w:highlight w:val="none"/>
        </w:rPr>
        <w:t>附件十</w:t>
      </w:r>
      <w:r>
        <w:rPr>
          <w:rFonts w:hint="eastAsia" w:ascii="宋体" w:hAnsi="宋体" w:cs="宋体"/>
          <w:bCs/>
          <w:color w:val="auto"/>
          <w:sz w:val="24"/>
          <w:highlight w:val="none"/>
          <w:lang w:val="en-US" w:eastAsia="zh-CN"/>
        </w:rPr>
        <w:t>四</w:t>
      </w:r>
      <w:r>
        <w:rPr>
          <w:rFonts w:hint="eastAsia" w:ascii="宋体" w:hAnsi="宋体" w:eastAsia="宋体" w:cs="宋体"/>
          <w:bCs/>
          <w:color w:val="auto"/>
          <w:sz w:val="24"/>
          <w:highlight w:val="none"/>
        </w:rPr>
        <w:t>：</w:t>
      </w:r>
      <w:bookmarkEnd w:id="152"/>
      <w:bookmarkEnd w:id="153"/>
      <w:bookmarkStart w:id="154" w:name="_Toc17246"/>
      <w:bookmarkStart w:id="155" w:name="_Toc10955"/>
      <w:bookmarkStart w:id="156" w:name="_Toc14942614"/>
      <w:bookmarkStart w:id="157" w:name="_Toc11356"/>
      <w:bookmarkStart w:id="158" w:name="_Toc22983"/>
      <w:bookmarkStart w:id="159" w:name="_Toc26684"/>
      <w:bookmarkStart w:id="160" w:name="_Toc12375"/>
      <w:r>
        <w:rPr>
          <w:rFonts w:hint="eastAsia" w:ascii="宋体" w:hAnsi="宋体" w:eastAsia="宋体" w:cs="宋体"/>
          <w:bCs/>
          <w:color w:val="auto"/>
          <w:sz w:val="24"/>
          <w:highlight w:val="none"/>
        </w:rPr>
        <w:t>开标一览表</w:t>
      </w:r>
    </w:p>
    <w:p w14:paraId="4D4948A3">
      <w:pPr>
        <w:shd w:val="clear"/>
        <w:snapToGrid w:val="0"/>
        <w:spacing w:line="360" w:lineRule="auto"/>
        <w:jc w:val="cente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开标一览表</w:t>
      </w:r>
    </w:p>
    <w:p w14:paraId="2F0F1FCD">
      <w:pPr>
        <w:shd w:val="clea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招标编号：         </w:t>
      </w:r>
    </w:p>
    <w:p w14:paraId="03FD5BC8">
      <w:pPr>
        <w:shd w:val="clear"/>
        <w:spacing w:line="360" w:lineRule="auto"/>
        <w:rPr>
          <w:rFonts w:hint="eastAsia" w:ascii="宋体" w:hAnsi="宋体" w:cs="宋体"/>
          <w:b/>
          <w:bCs/>
          <w:color w:val="auto"/>
          <w:sz w:val="24"/>
          <w:highlight w:val="none"/>
        </w:rPr>
      </w:pPr>
      <w:r>
        <w:rPr>
          <w:rFonts w:hint="eastAsia" w:ascii="宋体" w:hAnsi="宋体" w:cs="宋体"/>
          <w:color w:val="auto"/>
          <w:sz w:val="24"/>
          <w:highlight w:val="none"/>
        </w:rPr>
        <w:t>投标人名称：                                                      单位：元</w:t>
      </w:r>
    </w:p>
    <w:tbl>
      <w:tblPr>
        <w:tblStyle w:val="38"/>
        <w:tblpPr w:leftFromText="180" w:rightFromText="180" w:vertAnchor="text" w:horzAnchor="page" w:tblpX="1113" w:tblpY="311"/>
        <w:tblOverlap w:val="never"/>
        <w:tblW w:w="993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1191"/>
        <w:gridCol w:w="1199"/>
        <w:gridCol w:w="1249"/>
        <w:gridCol w:w="1365"/>
        <w:gridCol w:w="866"/>
        <w:gridCol w:w="1749"/>
        <w:gridCol w:w="1501"/>
      </w:tblGrid>
      <w:tr w14:paraId="7B900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816" w:type="dxa"/>
            <w:tcBorders>
              <w:top w:val="single" w:color="auto" w:sz="4" w:space="0"/>
              <w:left w:val="single" w:color="auto" w:sz="4" w:space="0"/>
              <w:bottom w:val="single" w:color="auto" w:sz="4" w:space="0"/>
              <w:right w:val="single" w:color="auto" w:sz="4" w:space="0"/>
            </w:tcBorders>
            <w:noWrap w:val="0"/>
            <w:vAlign w:val="center"/>
          </w:tcPr>
          <w:p w14:paraId="6F0CFA8E">
            <w:pPr>
              <w:shd w:val="clea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序号</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01DE4BAE">
            <w:pPr>
              <w:shd w:val="clea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货物名称</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4F786E7">
            <w:pPr>
              <w:shd w:val="clea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规格型号</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6278F99">
            <w:pPr>
              <w:shd w:val="clea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制造商/产地/品牌</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5D0627E0">
            <w:pPr>
              <w:shd w:val="clear"/>
              <w:snapToGrid w:val="0"/>
              <w:spacing w:before="50" w:after="50"/>
              <w:jc w:val="center"/>
              <w:rPr>
                <w:rFonts w:ascii="宋体" w:hAnsi="宋体"/>
                <w:b/>
                <w:color w:val="auto"/>
                <w:sz w:val="22"/>
                <w:szCs w:val="32"/>
                <w:highlight w:val="none"/>
              </w:rPr>
            </w:pPr>
            <w:r>
              <w:rPr>
                <w:rFonts w:hint="eastAsia" w:ascii="宋体" w:hAnsi="宋体"/>
                <w:b/>
                <w:color w:val="auto"/>
                <w:sz w:val="22"/>
                <w:szCs w:val="32"/>
                <w:highlight w:val="none"/>
              </w:rPr>
              <w:t>数量/</w:t>
            </w:r>
            <w:r>
              <w:rPr>
                <w:b/>
                <w:color w:val="auto"/>
                <w:sz w:val="22"/>
                <w:szCs w:val="28"/>
                <w:highlight w:val="none"/>
              </w:rPr>
              <w:t>单位</w:t>
            </w:r>
          </w:p>
        </w:tc>
        <w:tc>
          <w:tcPr>
            <w:tcW w:w="866" w:type="dxa"/>
            <w:tcBorders>
              <w:top w:val="single" w:color="auto" w:sz="4" w:space="0"/>
              <w:left w:val="single" w:color="auto" w:sz="4" w:space="0"/>
              <w:bottom w:val="single" w:color="auto" w:sz="4" w:space="0"/>
              <w:right w:val="single" w:color="auto" w:sz="4" w:space="0"/>
            </w:tcBorders>
            <w:noWrap w:val="0"/>
            <w:vAlign w:val="center"/>
          </w:tcPr>
          <w:p w14:paraId="025FD66B">
            <w:pPr>
              <w:shd w:val="clea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单价</w:t>
            </w:r>
          </w:p>
        </w:tc>
        <w:tc>
          <w:tcPr>
            <w:tcW w:w="1749" w:type="dxa"/>
            <w:tcBorders>
              <w:top w:val="single" w:color="auto" w:sz="4" w:space="0"/>
              <w:left w:val="single" w:color="auto" w:sz="4" w:space="0"/>
              <w:bottom w:val="single" w:color="auto" w:sz="4" w:space="0"/>
              <w:right w:val="single" w:color="auto" w:sz="4" w:space="0"/>
            </w:tcBorders>
            <w:noWrap w:val="0"/>
            <w:vAlign w:val="center"/>
          </w:tcPr>
          <w:p w14:paraId="77E531E4">
            <w:pPr>
              <w:shd w:val="clea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投标报价小计</w:t>
            </w:r>
          </w:p>
        </w:tc>
        <w:tc>
          <w:tcPr>
            <w:tcW w:w="1501" w:type="dxa"/>
            <w:tcBorders>
              <w:top w:val="single" w:color="auto" w:sz="4" w:space="0"/>
              <w:left w:val="single" w:color="auto" w:sz="4" w:space="0"/>
              <w:bottom w:val="single" w:color="auto" w:sz="4" w:space="0"/>
              <w:right w:val="single" w:color="auto" w:sz="4" w:space="0"/>
            </w:tcBorders>
            <w:noWrap w:val="0"/>
            <w:vAlign w:val="center"/>
          </w:tcPr>
          <w:p w14:paraId="6FC904FF">
            <w:pPr>
              <w:shd w:val="clear"/>
              <w:snapToGrid w:val="0"/>
              <w:spacing w:before="50" w:after="50"/>
              <w:jc w:val="center"/>
              <w:rPr>
                <w:rFonts w:hint="eastAsia" w:ascii="宋体" w:hAnsi="宋体"/>
                <w:b/>
                <w:color w:val="auto"/>
                <w:sz w:val="22"/>
                <w:szCs w:val="32"/>
                <w:highlight w:val="none"/>
              </w:rPr>
            </w:pPr>
            <w:r>
              <w:rPr>
                <w:rFonts w:hint="eastAsia" w:ascii="宋体" w:hAnsi="宋体"/>
                <w:b/>
                <w:color w:val="auto"/>
                <w:sz w:val="22"/>
                <w:szCs w:val="32"/>
                <w:highlight w:val="none"/>
              </w:rPr>
              <w:t>投标报价</w:t>
            </w:r>
          </w:p>
        </w:tc>
      </w:tr>
      <w:tr w14:paraId="59DE53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6" w:hRule="atLeast"/>
        </w:trPr>
        <w:tc>
          <w:tcPr>
            <w:tcW w:w="816" w:type="dxa"/>
            <w:tcBorders>
              <w:top w:val="single" w:color="auto" w:sz="4" w:space="0"/>
              <w:left w:val="single" w:color="auto" w:sz="4" w:space="0"/>
              <w:right w:val="single" w:color="auto" w:sz="4" w:space="0"/>
            </w:tcBorders>
            <w:noWrap w:val="0"/>
            <w:vAlign w:val="center"/>
          </w:tcPr>
          <w:p w14:paraId="514B0D24">
            <w:pPr>
              <w:shd w:val="clear"/>
              <w:snapToGrid w:val="0"/>
              <w:spacing w:before="50" w:after="50"/>
              <w:jc w:val="center"/>
              <w:rPr>
                <w:rFonts w:hint="eastAsia" w:eastAsia="宋体"/>
                <w:color w:val="auto"/>
                <w:sz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5A3D6214">
            <w:pPr>
              <w:shd w:val="clear"/>
              <w:snapToGrid w:val="0"/>
              <w:spacing w:before="50" w:after="50"/>
              <w:jc w:val="center"/>
              <w:rPr>
                <w:rFonts w:hint="default" w:ascii="宋体" w:hAnsi="宋体"/>
                <w:color w:val="auto"/>
                <w:sz w:val="24"/>
                <w:highlight w:val="none"/>
                <w:lang w:val="en-US" w:eastAsia="zh-CN"/>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79DA8B">
            <w:pPr>
              <w:shd w:val="clear"/>
              <w:snapToGrid w:val="0"/>
              <w:spacing w:before="50" w:after="50"/>
              <w:jc w:val="center"/>
              <w:rPr>
                <w:rFonts w:hint="eastAsia" w:ascii="宋体" w:hAnsi="宋体"/>
                <w:color w:val="auto"/>
                <w:sz w:val="24"/>
                <w:highlight w:val="none"/>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67BC37B">
            <w:pPr>
              <w:shd w:val="clear"/>
              <w:snapToGrid w:val="0"/>
              <w:spacing w:before="50" w:after="50"/>
              <w:jc w:val="center"/>
              <w:rPr>
                <w:rFonts w:hint="eastAsia" w:ascii="宋体" w:hAnsi="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0217F426">
            <w:pPr>
              <w:shd w:val="clear"/>
              <w:snapToGrid w:val="0"/>
              <w:spacing w:before="50" w:after="50"/>
              <w:jc w:val="center"/>
              <w:rPr>
                <w:rFonts w:hint="default" w:ascii="宋体" w:hAnsi="宋体"/>
                <w:color w:val="auto"/>
                <w:sz w:val="24"/>
                <w:highlight w:val="none"/>
                <w:lang w:val="en-US" w:eastAsia="zh-CN"/>
              </w:rPr>
            </w:pPr>
          </w:p>
        </w:tc>
        <w:tc>
          <w:tcPr>
            <w:tcW w:w="866" w:type="dxa"/>
            <w:tcBorders>
              <w:top w:val="single" w:color="auto" w:sz="4" w:space="0"/>
              <w:left w:val="single" w:color="auto" w:sz="4" w:space="0"/>
              <w:bottom w:val="single" w:color="auto" w:sz="4" w:space="0"/>
              <w:right w:val="single" w:color="auto" w:sz="4" w:space="0"/>
            </w:tcBorders>
            <w:noWrap w:val="0"/>
            <w:vAlign w:val="top"/>
          </w:tcPr>
          <w:p w14:paraId="73BEED58">
            <w:pPr>
              <w:shd w:val="clear"/>
              <w:snapToGrid w:val="0"/>
              <w:spacing w:before="50" w:after="50"/>
              <w:jc w:val="center"/>
              <w:rPr>
                <w:rFonts w:hint="eastAsia" w:ascii="宋体" w:hAnsi="宋体"/>
                <w:color w:val="auto"/>
                <w:sz w:val="24"/>
                <w:highlight w:val="none"/>
              </w:rPr>
            </w:pPr>
          </w:p>
        </w:tc>
        <w:tc>
          <w:tcPr>
            <w:tcW w:w="1749" w:type="dxa"/>
            <w:tcBorders>
              <w:top w:val="single" w:color="auto" w:sz="4" w:space="0"/>
              <w:left w:val="single" w:color="auto" w:sz="4" w:space="0"/>
              <w:bottom w:val="single" w:color="auto" w:sz="4" w:space="0"/>
              <w:right w:val="single" w:color="auto" w:sz="4" w:space="0"/>
            </w:tcBorders>
            <w:noWrap w:val="0"/>
            <w:vAlign w:val="top"/>
          </w:tcPr>
          <w:p w14:paraId="21429985">
            <w:pPr>
              <w:shd w:val="clear"/>
              <w:snapToGrid w:val="0"/>
              <w:spacing w:before="50" w:after="50"/>
              <w:jc w:val="center"/>
              <w:rPr>
                <w:rFonts w:hint="eastAsia" w:ascii="宋体" w:hAnsi="宋体"/>
                <w:color w:val="auto"/>
                <w:sz w:val="24"/>
                <w:highlight w:val="none"/>
              </w:rPr>
            </w:pPr>
          </w:p>
        </w:tc>
        <w:tc>
          <w:tcPr>
            <w:tcW w:w="1501" w:type="dxa"/>
            <w:vMerge w:val="restart"/>
            <w:tcBorders>
              <w:top w:val="single" w:color="auto" w:sz="4" w:space="0"/>
              <w:left w:val="single" w:color="auto" w:sz="4" w:space="0"/>
              <w:right w:val="single" w:color="auto" w:sz="4" w:space="0"/>
            </w:tcBorders>
            <w:noWrap w:val="0"/>
            <w:vAlign w:val="top"/>
          </w:tcPr>
          <w:p w14:paraId="3BC2A2F6">
            <w:pPr>
              <w:shd w:val="clear"/>
              <w:snapToGrid w:val="0"/>
              <w:spacing w:before="50" w:after="50"/>
              <w:rPr>
                <w:rFonts w:ascii="宋体" w:hAnsi="宋体"/>
                <w:color w:val="auto"/>
                <w:sz w:val="32"/>
                <w:szCs w:val="21"/>
                <w:highlight w:val="none"/>
              </w:rPr>
            </w:pPr>
          </w:p>
        </w:tc>
      </w:tr>
      <w:tr w14:paraId="269C3C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6" w:hRule="atLeast"/>
        </w:trPr>
        <w:tc>
          <w:tcPr>
            <w:tcW w:w="816" w:type="dxa"/>
            <w:tcBorders>
              <w:top w:val="single" w:color="auto" w:sz="4" w:space="0"/>
              <w:left w:val="single" w:color="auto" w:sz="4" w:space="0"/>
              <w:right w:val="single" w:color="auto" w:sz="4" w:space="0"/>
            </w:tcBorders>
            <w:noWrap w:val="0"/>
            <w:vAlign w:val="center"/>
          </w:tcPr>
          <w:p w14:paraId="1C2B36A2">
            <w:pPr>
              <w:shd w:val="clear"/>
              <w:snapToGrid w:val="0"/>
              <w:spacing w:before="50" w:after="50"/>
              <w:jc w:val="center"/>
              <w:rPr>
                <w:rFonts w:hint="eastAsia" w:eastAsia="宋体"/>
                <w:color w:val="auto"/>
                <w:sz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7E36CEDE">
            <w:pPr>
              <w:shd w:val="clear"/>
              <w:snapToGrid w:val="0"/>
              <w:spacing w:before="50" w:after="50"/>
              <w:jc w:val="center"/>
              <w:rPr>
                <w:rFonts w:hint="eastAsia" w:ascii="宋体" w:hAnsi="宋体"/>
                <w:color w:val="auto"/>
                <w:sz w:val="24"/>
                <w:highlight w:val="none"/>
                <w:lang w:val="en-US" w:eastAsia="zh-CN"/>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ED2CD6A">
            <w:pPr>
              <w:shd w:val="clear"/>
              <w:snapToGrid w:val="0"/>
              <w:spacing w:before="50" w:after="50"/>
              <w:jc w:val="center"/>
              <w:rPr>
                <w:rFonts w:hint="eastAsia" w:ascii="宋体" w:hAnsi="宋体"/>
                <w:color w:val="auto"/>
                <w:sz w:val="24"/>
                <w:highlight w:val="none"/>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355C350A">
            <w:pPr>
              <w:shd w:val="clear"/>
              <w:snapToGrid w:val="0"/>
              <w:spacing w:before="50" w:after="50"/>
              <w:jc w:val="center"/>
              <w:rPr>
                <w:rFonts w:hint="eastAsia" w:ascii="宋体" w:hAnsi="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154B957">
            <w:pPr>
              <w:shd w:val="clear"/>
              <w:snapToGrid w:val="0"/>
              <w:spacing w:before="50" w:after="50"/>
              <w:jc w:val="center"/>
              <w:rPr>
                <w:rFonts w:hint="default" w:ascii="宋体" w:hAnsi="宋体"/>
                <w:color w:val="auto"/>
                <w:sz w:val="24"/>
                <w:highlight w:val="none"/>
                <w:lang w:val="en-US" w:eastAsia="zh-CN"/>
              </w:rPr>
            </w:pPr>
          </w:p>
        </w:tc>
        <w:tc>
          <w:tcPr>
            <w:tcW w:w="866" w:type="dxa"/>
            <w:tcBorders>
              <w:top w:val="single" w:color="auto" w:sz="4" w:space="0"/>
              <w:left w:val="single" w:color="auto" w:sz="4" w:space="0"/>
              <w:bottom w:val="single" w:color="auto" w:sz="4" w:space="0"/>
              <w:right w:val="single" w:color="auto" w:sz="4" w:space="0"/>
            </w:tcBorders>
            <w:noWrap w:val="0"/>
            <w:vAlign w:val="top"/>
          </w:tcPr>
          <w:p w14:paraId="4F9CB097">
            <w:pPr>
              <w:shd w:val="clear"/>
              <w:snapToGrid w:val="0"/>
              <w:spacing w:before="50" w:after="50"/>
              <w:jc w:val="center"/>
              <w:rPr>
                <w:rFonts w:hint="eastAsia" w:ascii="宋体" w:hAnsi="宋体"/>
                <w:color w:val="auto"/>
                <w:sz w:val="24"/>
                <w:highlight w:val="none"/>
              </w:rPr>
            </w:pPr>
          </w:p>
        </w:tc>
        <w:tc>
          <w:tcPr>
            <w:tcW w:w="1749" w:type="dxa"/>
            <w:tcBorders>
              <w:top w:val="single" w:color="auto" w:sz="4" w:space="0"/>
              <w:left w:val="single" w:color="auto" w:sz="4" w:space="0"/>
              <w:bottom w:val="single" w:color="auto" w:sz="4" w:space="0"/>
              <w:right w:val="single" w:color="auto" w:sz="4" w:space="0"/>
            </w:tcBorders>
            <w:noWrap w:val="0"/>
            <w:vAlign w:val="top"/>
          </w:tcPr>
          <w:p w14:paraId="3FC13362">
            <w:pPr>
              <w:shd w:val="clear"/>
              <w:snapToGrid w:val="0"/>
              <w:spacing w:before="50" w:after="50"/>
              <w:jc w:val="center"/>
              <w:rPr>
                <w:rFonts w:hint="eastAsia" w:ascii="宋体" w:hAnsi="宋体"/>
                <w:color w:val="auto"/>
                <w:sz w:val="24"/>
                <w:highlight w:val="none"/>
              </w:rPr>
            </w:pPr>
          </w:p>
        </w:tc>
        <w:tc>
          <w:tcPr>
            <w:tcW w:w="1501" w:type="dxa"/>
            <w:vMerge w:val="continue"/>
            <w:tcBorders>
              <w:left w:val="single" w:color="auto" w:sz="4" w:space="0"/>
              <w:right w:val="single" w:color="auto" w:sz="4" w:space="0"/>
            </w:tcBorders>
            <w:noWrap w:val="0"/>
            <w:vAlign w:val="top"/>
          </w:tcPr>
          <w:p w14:paraId="3406C645">
            <w:pPr>
              <w:shd w:val="clear"/>
              <w:snapToGrid w:val="0"/>
              <w:spacing w:before="50" w:after="50"/>
              <w:rPr>
                <w:rFonts w:ascii="宋体" w:hAnsi="宋体"/>
                <w:color w:val="auto"/>
                <w:sz w:val="32"/>
                <w:szCs w:val="21"/>
                <w:highlight w:val="none"/>
              </w:rPr>
            </w:pPr>
          </w:p>
        </w:tc>
      </w:tr>
      <w:tr w14:paraId="0B8225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6" w:hRule="atLeast"/>
        </w:trPr>
        <w:tc>
          <w:tcPr>
            <w:tcW w:w="816" w:type="dxa"/>
            <w:tcBorders>
              <w:top w:val="single" w:color="auto" w:sz="4" w:space="0"/>
              <w:left w:val="single" w:color="auto" w:sz="4" w:space="0"/>
              <w:right w:val="single" w:color="auto" w:sz="4" w:space="0"/>
            </w:tcBorders>
            <w:noWrap w:val="0"/>
            <w:vAlign w:val="center"/>
          </w:tcPr>
          <w:p w14:paraId="32633FCB">
            <w:pPr>
              <w:shd w:val="clear"/>
              <w:snapToGrid w:val="0"/>
              <w:spacing w:before="50" w:after="50"/>
              <w:jc w:val="center"/>
              <w:rPr>
                <w:rFonts w:hint="eastAsia" w:eastAsia="宋体"/>
                <w:color w:val="auto"/>
                <w:sz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7B9B1293">
            <w:pPr>
              <w:shd w:val="clear"/>
              <w:snapToGrid w:val="0"/>
              <w:spacing w:before="50" w:after="50"/>
              <w:jc w:val="center"/>
              <w:rPr>
                <w:rFonts w:hint="eastAsia" w:ascii="宋体" w:hAnsi="宋体"/>
                <w:color w:val="auto"/>
                <w:sz w:val="24"/>
                <w:highlight w:val="none"/>
                <w:lang w:val="en-US" w:eastAsia="zh-CN"/>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1B501E2">
            <w:pPr>
              <w:shd w:val="clear"/>
              <w:snapToGrid w:val="0"/>
              <w:spacing w:before="50" w:after="50"/>
              <w:jc w:val="center"/>
              <w:rPr>
                <w:rFonts w:hint="eastAsia" w:ascii="宋体" w:hAnsi="宋体"/>
                <w:color w:val="auto"/>
                <w:sz w:val="24"/>
                <w:highlight w:val="none"/>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FE62467">
            <w:pPr>
              <w:shd w:val="clear"/>
              <w:snapToGrid w:val="0"/>
              <w:spacing w:before="50" w:after="50"/>
              <w:jc w:val="center"/>
              <w:rPr>
                <w:rFonts w:hint="eastAsia" w:ascii="宋体" w:hAnsi="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0BB32EE">
            <w:pPr>
              <w:shd w:val="clear"/>
              <w:snapToGrid w:val="0"/>
              <w:spacing w:before="50" w:after="50"/>
              <w:jc w:val="center"/>
              <w:rPr>
                <w:rFonts w:hint="default" w:ascii="宋体" w:hAnsi="宋体"/>
                <w:color w:val="auto"/>
                <w:sz w:val="24"/>
                <w:highlight w:val="none"/>
                <w:lang w:val="en-US" w:eastAsia="zh-CN"/>
              </w:rPr>
            </w:pPr>
          </w:p>
        </w:tc>
        <w:tc>
          <w:tcPr>
            <w:tcW w:w="866" w:type="dxa"/>
            <w:tcBorders>
              <w:top w:val="single" w:color="auto" w:sz="4" w:space="0"/>
              <w:left w:val="single" w:color="auto" w:sz="4" w:space="0"/>
              <w:bottom w:val="single" w:color="auto" w:sz="4" w:space="0"/>
              <w:right w:val="single" w:color="auto" w:sz="4" w:space="0"/>
            </w:tcBorders>
            <w:noWrap w:val="0"/>
            <w:vAlign w:val="top"/>
          </w:tcPr>
          <w:p w14:paraId="3CDB2B16">
            <w:pPr>
              <w:shd w:val="clear"/>
              <w:snapToGrid w:val="0"/>
              <w:spacing w:before="50" w:after="50"/>
              <w:jc w:val="center"/>
              <w:rPr>
                <w:rFonts w:hint="eastAsia" w:ascii="宋体" w:hAnsi="宋体"/>
                <w:color w:val="auto"/>
                <w:sz w:val="24"/>
                <w:highlight w:val="none"/>
              </w:rPr>
            </w:pPr>
          </w:p>
        </w:tc>
        <w:tc>
          <w:tcPr>
            <w:tcW w:w="1749" w:type="dxa"/>
            <w:tcBorders>
              <w:top w:val="single" w:color="auto" w:sz="4" w:space="0"/>
              <w:left w:val="single" w:color="auto" w:sz="4" w:space="0"/>
              <w:bottom w:val="single" w:color="auto" w:sz="4" w:space="0"/>
              <w:right w:val="single" w:color="auto" w:sz="4" w:space="0"/>
            </w:tcBorders>
            <w:noWrap w:val="0"/>
            <w:vAlign w:val="top"/>
          </w:tcPr>
          <w:p w14:paraId="14853E68">
            <w:pPr>
              <w:shd w:val="clear"/>
              <w:snapToGrid w:val="0"/>
              <w:spacing w:before="50" w:after="50"/>
              <w:jc w:val="center"/>
              <w:rPr>
                <w:rFonts w:hint="eastAsia" w:ascii="宋体" w:hAnsi="宋体"/>
                <w:color w:val="auto"/>
                <w:sz w:val="24"/>
                <w:highlight w:val="none"/>
              </w:rPr>
            </w:pPr>
          </w:p>
        </w:tc>
        <w:tc>
          <w:tcPr>
            <w:tcW w:w="1501" w:type="dxa"/>
            <w:tcBorders>
              <w:left w:val="single" w:color="auto" w:sz="4" w:space="0"/>
              <w:right w:val="single" w:color="auto" w:sz="4" w:space="0"/>
            </w:tcBorders>
            <w:noWrap w:val="0"/>
            <w:vAlign w:val="top"/>
          </w:tcPr>
          <w:p w14:paraId="0936DFBD">
            <w:pPr>
              <w:shd w:val="clear"/>
              <w:snapToGrid w:val="0"/>
              <w:spacing w:before="50" w:after="50"/>
              <w:rPr>
                <w:rFonts w:ascii="宋体" w:hAnsi="宋体"/>
                <w:color w:val="auto"/>
                <w:sz w:val="32"/>
                <w:szCs w:val="21"/>
                <w:highlight w:val="none"/>
              </w:rPr>
            </w:pPr>
          </w:p>
        </w:tc>
      </w:tr>
      <w:tr w14:paraId="2501E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6" w:hRule="atLeast"/>
        </w:trPr>
        <w:tc>
          <w:tcPr>
            <w:tcW w:w="816" w:type="dxa"/>
            <w:tcBorders>
              <w:top w:val="single" w:color="auto" w:sz="4" w:space="0"/>
              <w:left w:val="single" w:color="auto" w:sz="4" w:space="0"/>
              <w:right w:val="single" w:color="auto" w:sz="4" w:space="0"/>
            </w:tcBorders>
            <w:noWrap w:val="0"/>
            <w:vAlign w:val="center"/>
          </w:tcPr>
          <w:p w14:paraId="27F2BA28">
            <w:pPr>
              <w:shd w:val="clear"/>
              <w:snapToGrid w:val="0"/>
              <w:spacing w:before="50" w:after="50"/>
              <w:jc w:val="center"/>
              <w:rPr>
                <w:rFonts w:hint="eastAsia" w:eastAsia="宋体"/>
                <w:color w:val="auto"/>
                <w:sz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54E97FF3">
            <w:pPr>
              <w:shd w:val="clear"/>
              <w:snapToGrid w:val="0"/>
              <w:spacing w:before="50" w:after="50"/>
              <w:jc w:val="center"/>
              <w:rPr>
                <w:rFonts w:hint="eastAsia" w:ascii="宋体" w:hAnsi="宋体"/>
                <w:color w:val="auto"/>
                <w:sz w:val="24"/>
                <w:highlight w:val="none"/>
                <w:lang w:val="en-US" w:eastAsia="zh-CN"/>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DBF3249">
            <w:pPr>
              <w:shd w:val="clear"/>
              <w:snapToGrid w:val="0"/>
              <w:spacing w:before="50" w:after="50"/>
              <w:jc w:val="center"/>
              <w:rPr>
                <w:rFonts w:hint="eastAsia" w:ascii="宋体" w:hAnsi="宋体"/>
                <w:color w:val="auto"/>
                <w:sz w:val="24"/>
                <w:highlight w:val="none"/>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E9267B7">
            <w:pPr>
              <w:shd w:val="clear"/>
              <w:snapToGrid w:val="0"/>
              <w:spacing w:before="50" w:after="50"/>
              <w:jc w:val="center"/>
              <w:rPr>
                <w:rFonts w:hint="eastAsia" w:ascii="宋体" w:hAnsi="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D144772">
            <w:pPr>
              <w:shd w:val="clear"/>
              <w:snapToGrid w:val="0"/>
              <w:spacing w:before="50" w:after="50"/>
              <w:jc w:val="center"/>
              <w:rPr>
                <w:rFonts w:hint="default" w:ascii="宋体" w:hAnsi="宋体"/>
                <w:color w:val="auto"/>
                <w:sz w:val="24"/>
                <w:highlight w:val="none"/>
                <w:lang w:val="en-US" w:eastAsia="zh-CN"/>
              </w:rPr>
            </w:pPr>
          </w:p>
        </w:tc>
        <w:tc>
          <w:tcPr>
            <w:tcW w:w="866" w:type="dxa"/>
            <w:tcBorders>
              <w:top w:val="single" w:color="auto" w:sz="4" w:space="0"/>
              <w:left w:val="single" w:color="auto" w:sz="4" w:space="0"/>
              <w:bottom w:val="single" w:color="auto" w:sz="4" w:space="0"/>
              <w:right w:val="single" w:color="auto" w:sz="4" w:space="0"/>
            </w:tcBorders>
            <w:noWrap w:val="0"/>
            <w:vAlign w:val="top"/>
          </w:tcPr>
          <w:p w14:paraId="16BBD8F7">
            <w:pPr>
              <w:shd w:val="clear"/>
              <w:snapToGrid w:val="0"/>
              <w:spacing w:before="50" w:after="50"/>
              <w:jc w:val="center"/>
              <w:rPr>
                <w:rFonts w:hint="eastAsia" w:ascii="宋体" w:hAnsi="宋体"/>
                <w:color w:val="auto"/>
                <w:sz w:val="24"/>
                <w:highlight w:val="none"/>
              </w:rPr>
            </w:pPr>
          </w:p>
        </w:tc>
        <w:tc>
          <w:tcPr>
            <w:tcW w:w="1749" w:type="dxa"/>
            <w:tcBorders>
              <w:top w:val="single" w:color="auto" w:sz="4" w:space="0"/>
              <w:left w:val="single" w:color="auto" w:sz="4" w:space="0"/>
              <w:bottom w:val="single" w:color="auto" w:sz="4" w:space="0"/>
              <w:right w:val="single" w:color="auto" w:sz="4" w:space="0"/>
            </w:tcBorders>
            <w:noWrap w:val="0"/>
            <w:vAlign w:val="top"/>
          </w:tcPr>
          <w:p w14:paraId="78FAE34D">
            <w:pPr>
              <w:shd w:val="clear"/>
              <w:snapToGrid w:val="0"/>
              <w:spacing w:before="50" w:after="50"/>
              <w:jc w:val="center"/>
              <w:rPr>
                <w:rFonts w:hint="eastAsia" w:ascii="宋体" w:hAnsi="宋体"/>
                <w:color w:val="auto"/>
                <w:sz w:val="24"/>
                <w:highlight w:val="none"/>
              </w:rPr>
            </w:pPr>
          </w:p>
        </w:tc>
        <w:tc>
          <w:tcPr>
            <w:tcW w:w="1501" w:type="dxa"/>
            <w:tcBorders>
              <w:left w:val="single" w:color="auto" w:sz="4" w:space="0"/>
              <w:right w:val="single" w:color="auto" w:sz="4" w:space="0"/>
            </w:tcBorders>
            <w:noWrap w:val="0"/>
            <w:vAlign w:val="top"/>
          </w:tcPr>
          <w:p w14:paraId="3A6B0995">
            <w:pPr>
              <w:shd w:val="clear"/>
              <w:snapToGrid w:val="0"/>
              <w:spacing w:before="50" w:after="50"/>
              <w:rPr>
                <w:rFonts w:ascii="宋体" w:hAnsi="宋体"/>
                <w:color w:val="auto"/>
                <w:sz w:val="32"/>
                <w:szCs w:val="21"/>
                <w:highlight w:val="none"/>
              </w:rPr>
            </w:pPr>
          </w:p>
        </w:tc>
      </w:tr>
      <w:tr w14:paraId="113F40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6" w:hRule="atLeast"/>
        </w:trPr>
        <w:tc>
          <w:tcPr>
            <w:tcW w:w="816" w:type="dxa"/>
            <w:tcBorders>
              <w:top w:val="single" w:color="auto" w:sz="4" w:space="0"/>
              <w:left w:val="single" w:color="auto" w:sz="4" w:space="0"/>
              <w:right w:val="single" w:color="auto" w:sz="4" w:space="0"/>
            </w:tcBorders>
            <w:noWrap w:val="0"/>
            <w:vAlign w:val="center"/>
          </w:tcPr>
          <w:p w14:paraId="6EB386ED">
            <w:pPr>
              <w:shd w:val="clear"/>
              <w:snapToGrid w:val="0"/>
              <w:spacing w:before="50" w:after="50"/>
              <w:jc w:val="center"/>
              <w:rPr>
                <w:rFonts w:hint="default" w:eastAsia="宋体"/>
                <w:color w:val="auto"/>
                <w:sz w:val="24"/>
                <w:highlight w:val="none"/>
                <w:lang w:val="en-US" w:eastAsia="zh-CN"/>
              </w:rPr>
            </w:pPr>
            <w:r>
              <w:rPr>
                <w:rFonts w:hint="eastAsia"/>
                <w:color w:val="auto"/>
                <w:sz w:val="24"/>
                <w:highlight w:val="none"/>
                <w:lang w:val="en-US" w:eastAsia="zh-CN"/>
              </w:rPr>
              <w:t>......</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4E99F75D">
            <w:pPr>
              <w:shd w:val="clear"/>
              <w:snapToGrid w:val="0"/>
              <w:spacing w:before="50" w:after="50"/>
              <w:jc w:val="center"/>
              <w:rPr>
                <w:rFonts w:hint="eastAsia" w:ascii="宋体" w:hAnsi="宋体"/>
                <w:color w:val="auto"/>
                <w:sz w:val="24"/>
                <w:highlight w:val="none"/>
                <w:lang w:val="en-US" w:eastAsia="zh-CN"/>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BF7CCC3">
            <w:pPr>
              <w:shd w:val="clear"/>
              <w:snapToGrid w:val="0"/>
              <w:spacing w:before="50" w:after="50"/>
              <w:jc w:val="center"/>
              <w:rPr>
                <w:rFonts w:hint="eastAsia" w:ascii="宋体" w:hAnsi="宋体"/>
                <w:color w:val="auto"/>
                <w:sz w:val="24"/>
                <w:highlight w:val="none"/>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1B515FE">
            <w:pPr>
              <w:shd w:val="clear"/>
              <w:snapToGrid w:val="0"/>
              <w:spacing w:before="50" w:after="50"/>
              <w:jc w:val="center"/>
              <w:rPr>
                <w:rFonts w:hint="eastAsia" w:ascii="宋体" w:hAnsi="宋体"/>
                <w:color w:val="auto"/>
                <w:sz w:val="24"/>
                <w:highlight w:val="none"/>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63E38C54">
            <w:pPr>
              <w:shd w:val="clear"/>
              <w:snapToGrid w:val="0"/>
              <w:spacing w:before="50" w:after="50"/>
              <w:jc w:val="center"/>
              <w:rPr>
                <w:rFonts w:hint="default" w:ascii="宋体" w:hAnsi="宋体"/>
                <w:color w:val="auto"/>
                <w:sz w:val="24"/>
                <w:highlight w:val="none"/>
                <w:lang w:val="en-US" w:eastAsia="zh-CN"/>
              </w:rPr>
            </w:pPr>
          </w:p>
        </w:tc>
        <w:tc>
          <w:tcPr>
            <w:tcW w:w="866" w:type="dxa"/>
            <w:tcBorders>
              <w:top w:val="single" w:color="auto" w:sz="4" w:space="0"/>
              <w:left w:val="single" w:color="auto" w:sz="4" w:space="0"/>
              <w:bottom w:val="single" w:color="auto" w:sz="4" w:space="0"/>
              <w:right w:val="single" w:color="auto" w:sz="4" w:space="0"/>
            </w:tcBorders>
            <w:noWrap w:val="0"/>
            <w:vAlign w:val="top"/>
          </w:tcPr>
          <w:p w14:paraId="3F099ED3">
            <w:pPr>
              <w:shd w:val="clear"/>
              <w:snapToGrid w:val="0"/>
              <w:spacing w:before="50" w:after="50"/>
              <w:jc w:val="center"/>
              <w:rPr>
                <w:rFonts w:hint="eastAsia" w:ascii="宋体" w:hAnsi="宋体"/>
                <w:color w:val="auto"/>
                <w:sz w:val="24"/>
                <w:highlight w:val="none"/>
              </w:rPr>
            </w:pPr>
          </w:p>
        </w:tc>
        <w:tc>
          <w:tcPr>
            <w:tcW w:w="1749" w:type="dxa"/>
            <w:tcBorders>
              <w:top w:val="single" w:color="auto" w:sz="4" w:space="0"/>
              <w:left w:val="single" w:color="auto" w:sz="4" w:space="0"/>
              <w:bottom w:val="single" w:color="auto" w:sz="4" w:space="0"/>
              <w:right w:val="single" w:color="auto" w:sz="4" w:space="0"/>
            </w:tcBorders>
            <w:noWrap w:val="0"/>
            <w:vAlign w:val="top"/>
          </w:tcPr>
          <w:p w14:paraId="0BAD43BD">
            <w:pPr>
              <w:shd w:val="clear"/>
              <w:snapToGrid w:val="0"/>
              <w:spacing w:before="50" w:after="50"/>
              <w:jc w:val="center"/>
              <w:rPr>
                <w:rFonts w:hint="eastAsia" w:ascii="宋体" w:hAnsi="宋体"/>
                <w:color w:val="auto"/>
                <w:sz w:val="24"/>
                <w:highlight w:val="none"/>
              </w:rPr>
            </w:pPr>
          </w:p>
        </w:tc>
        <w:tc>
          <w:tcPr>
            <w:tcW w:w="1501" w:type="dxa"/>
            <w:tcBorders>
              <w:left w:val="single" w:color="auto" w:sz="4" w:space="0"/>
              <w:right w:val="single" w:color="auto" w:sz="4" w:space="0"/>
            </w:tcBorders>
            <w:noWrap w:val="0"/>
            <w:vAlign w:val="top"/>
          </w:tcPr>
          <w:p w14:paraId="76430075">
            <w:pPr>
              <w:shd w:val="clear"/>
              <w:snapToGrid w:val="0"/>
              <w:spacing w:before="50" w:after="50"/>
              <w:rPr>
                <w:rFonts w:ascii="宋体" w:hAnsi="宋体"/>
                <w:color w:val="auto"/>
                <w:sz w:val="32"/>
                <w:szCs w:val="21"/>
                <w:highlight w:val="none"/>
              </w:rPr>
            </w:pPr>
          </w:p>
        </w:tc>
      </w:tr>
      <w:tr w14:paraId="6198F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9936" w:type="dxa"/>
            <w:gridSpan w:val="8"/>
            <w:tcBorders>
              <w:top w:val="single" w:color="auto" w:sz="4" w:space="0"/>
              <w:left w:val="single" w:color="auto" w:sz="4" w:space="0"/>
              <w:bottom w:val="single" w:color="auto" w:sz="4" w:space="0"/>
              <w:right w:val="single" w:color="auto" w:sz="4" w:space="0"/>
            </w:tcBorders>
            <w:noWrap w:val="0"/>
            <w:vAlign w:val="center"/>
          </w:tcPr>
          <w:p w14:paraId="7D26A94C">
            <w:pPr>
              <w:shd w:val="clear"/>
              <w:snapToGrid w:val="0"/>
              <w:spacing w:before="50" w:after="50"/>
              <w:jc w:val="left"/>
              <w:rPr>
                <w:rFonts w:hint="eastAsia" w:ascii="宋体" w:hAnsi="宋体"/>
                <w:color w:val="auto"/>
                <w:sz w:val="24"/>
                <w:highlight w:val="none"/>
              </w:rPr>
            </w:pPr>
            <w:r>
              <w:rPr>
                <w:rFonts w:hint="eastAsia" w:ascii="宋体" w:hAnsi="宋体"/>
                <w:color w:val="auto"/>
                <w:sz w:val="24"/>
                <w:highlight w:val="none"/>
              </w:rPr>
              <w:t>投标报价大写（人民币）：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小写：</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tc>
      </w:tr>
    </w:tbl>
    <w:p w14:paraId="64CB7D52">
      <w:pPr>
        <w:shd w:val="clear"/>
        <w:spacing w:line="360" w:lineRule="auto"/>
        <w:rPr>
          <w:rFonts w:hint="eastAsia" w:ascii="宋体" w:hAnsi="宋体"/>
          <w:color w:val="auto"/>
          <w:sz w:val="24"/>
          <w:highlight w:val="none"/>
        </w:rPr>
      </w:pPr>
      <w:r>
        <w:rPr>
          <w:rFonts w:hint="eastAsia" w:ascii="宋体" w:hAnsi="宋体"/>
          <w:color w:val="auto"/>
          <w:sz w:val="24"/>
          <w:highlight w:val="none"/>
        </w:rPr>
        <w:t>注：</w:t>
      </w:r>
    </w:p>
    <w:p w14:paraId="18F8A1AB">
      <w:pPr>
        <w:keepNext w:val="0"/>
        <w:keepLines w:val="0"/>
        <w:pageBreakBefore w:val="0"/>
        <w:widowControl w:val="0"/>
        <w:numPr>
          <w:ilvl w:val="0"/>
          <w:numId w:val="0"/>
        </w:numPr>
        <w:shd w:val="clear"/>
        <w:kinsoku/>
        <w:wordWrap/>
        <w:overflowPunct/>
        <w:topLinePunct w:val="0"/>
        <w:autoSpaceDE/>
        <w:autoSpaceDN/>
        <w:bidi w:val="0"/>
        <w:adjustRightInd/>
        <w:spacing w:line="336" w:lineRule="auto"/>
        <w:ind w:left="0" w:leftChars="0"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1、投标报价必须填写，否则其投标作无效标处理。</w:t>
      </w:r>
    </w:p>
    <w:p w14:paraId="0860B7C3">
      <w:pPr>
        <w:keepNext w:val="0"/>
        <w:keepLines w:val="0"/>
        <w:pageBreakBefore w:val="0"/>
        <w:widowControl w:val="0"/>
        <w:numPr>
          <w:ilvl w:val="0"/>
          <w:numId w:val="0"/>
        </w:numPr>
        <w:shd w:val="clear"/>
        <w:kinsoku/>
        <w:wordWrap/>
        <w:overflowPunct/>
        <w:topLinePunct w:val="0"/>
        <w:autoSpaceDE/>
        <w:autoSpaceDN/>
        <w:bidi w:val="0"/>
        <w:adjustRightInd/>
        <w:spacing w:line="336" w:lineRule="auto"/>
        <w:ind w:left="0" w:leftChars="0" w:firstLine="480" w:firstLineChars="200"/>
        <w:textAlignment w:val="auto"/>
        <w:rPr>
          <w:rFonts w:hint="eastAsia" w:ascii="宋体" w:hAnsi="宋体"/>
          <w:color w:val="auto"/>
          <w:sz w:val="24"/>
          <w:highlight w:val="none"/>
        </w:rPr>
      </w:pPr>
      <w:r>
        <w:rPr>
          <w:rFonts w:hint="eastAsia" w:ascii="宋体" w:hAnsi="宋体" w:eastAsia="宋体" w:cs="Times New Roman"/>
          <w:color w:val="auto"/>
          <w:sz w:val="24"/>
          <w:highlight w:val="none"/>
          <w:lang w:val="en-US" w:eastAsia="zh-CN"/>
        </w:rPr>
        <w:t>2、投标报价一经涂改，应在涂改处加盖单位公章或者由法</w:t>
      </w:r>
      <w:r>
        <w:rPr>
          <w:rFonts w:hint="eastAsia" w:ascii="宋体" w:hAnsi="宋体"/>
          <w:color w:val="auto"/>
          <w:sz w:val="24"/>
          <w:highlight w:val="none"/>
        </w:rPr>
        <w:t>定代表人或授权委托人签字或盖章，否则其投标作无效标处理。</w:t>
      </w:r>
    </w:p>
    <w:p w14:paraId="0736AE65">
      <w:pPr>
        <w:shd w:val="clear"/>
        <w:spacing w:line="360" w:lineRule="auto"/>
        <w:ind w:firstLine="480" w:firstLineChars="200"/>
        <w:rPr>
          <w:rFonts w:hint="eastAsia" w:ascii="宋体" w:hAnsi="宋体" w:cs="宋体"/>
          <w:color w:val="auto"/>
          <w:sz w:val="24"/>
          <w:highlight w:val="none"/>
        </w:rPr>
      </w:pPr>
      <w:r>
        <w:rPr>
          <w:rFonts w:hint="eastAsia" w:ascii="宋体" w:hAnsi="宋体" w:cs="Times New Roman"/>
          <w:color w:val="auto"/>
          <w:sz w:val="24"/>
          <w:highlight w:val="none"/>
          <w:lang w:val="en-US" w:eastAsia="zh-CN"/>
        </w:rPr>
        <w:t>3、</w:t>
      </w:r>
      <w:r>
        <w:rPr>
          <w:rFonts w:hint="eastAsia" w:ascii="宋体" w:hAnsi="宋体" w:eastAsia="宋体" w:cs="Times New Roman"/>
          <w:color w:val="auto"/>
          <w:sz w:val="24"/>
          <w:highlight w:val="none"/>
        </w:rPr>
        <w:t>投标</w:t>
      </w:r>
      <w:r>
        <w:rPr>
          <w:rFonts w:hint="eastAsia" w:ascii="宋体" w:hAnsi="宋体" w:eastAsia="宋体" w:cs="Times New Roman"/>
          <w:color w:val="auto"/>
          <w:sz w:val="24"/>
          <w:highlight w:val="none"/>
          <w:lang w:val="en-US" w:eastAsia="zh-CN"/>
        </w:rPr>
        <w:t>报价</w:t>
      </w:r>
      <w:r>
        <w:rPr>
          <w:rFonts w:hint="eastAsia" w:ascii="宋体" w:hAnsi="宋体" w:eastAsia="宋体" w:cs="Times New Roman"/>
          <w:color w:val="auto"/>
          <w:sz w:val="24"/>
          <w:highlight w:val="none"/>
        </w:rPr>
        <w:t>是履行合同的最终价格，</w:t>
      </w:r>
      <w:r>
        <w:rPr>
          <w:rFonts w:hint="eastAsia" w:ascii="宋体" w:hAnsi="宋体" w:eastAsia="宋体" w:cs="宋体"/>
          <w:color w:val="auto"/>
          <w:sz w:val="24"/>
          <w:highlight w:val="none"/>
        </w:rPr>
        <w:t>应包括货款、标准附件、备品备件、专用工具、包装、运输、装卸、保险、货到就位、人工等本项目相关的一切费用和税金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投标人投标报价为投标人所能承受的整个项目的一次性最终最低报价，如有漏项，视同已包含在本项目投标报价中，合同单价和总价不做调整。</w:t>
      </w:r>
    </w:p>
    <w:p w14:paraId="647EF369">
      <w:pPr>
        <w:keepNext w:val="0"/>
        <w:keepLines w:val="0"/>
        <w:pageBreakBefore w:val="0"/>
        <w:widowControl w:val="0"/>
        <w:numPr>
          <w:ilvl w:val="0"/>
          <w:numId w:val="0"/>
        </w:numPr>
        <w:shd w:val="clear"/>
        <w:kinsoku/>
        <w:wordWrap/>
        <w:overflowPunct/>
        <w:topLinePunct w:val="0"/>
        <w:autoSpaceDE/>
        <w:autoSpaceDN/>
        <w:bidi w:val="0"/>
        <w:adjustRightInd/>
        <w:spacing w:line="336" w:lineRule="auto"/>
        <w:ind w:left="0" w:leftChars="0"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4</w:t>
      </w:r>
      <w:r>
        <w:rPr>
          <w:rFonts w:hint="eastAsia" w:ascii="宋体" w:hAnsi="宋体" w:eastAsia="宋体" w:cs="Times New Roman"/>
          <w:color w:val="auto"/>
          <w:sz w:val="24"/>
          <w:highlight w:val="none"/>
          <w:lang w:val="en-US" w:eastAsia="zh-CN"/>
        </w:rPr>
        <w:t>、交货期：</w:t>
      </w:r>
      <w:r>
        <w:rPr>
          <w:rFonts w:hint="eastAsia" w:ascii="宋体" w:hAnsi="宋体" w:eastAsia="宋体" w:cs="Times New Roman"/>
          <w:color w:val="auto"/>
          <w:sz w:val="24"/>
          <w:highlight w:val="none"/>
          <w:u w:val="single"/>
          <w:lang w:val="en-US" w:eastAsia="zh-CN"/>
        </w:rPr>
        <w:t xml:space="preserve">              </w:t>
      </w:r>
      <w:r>
        <w:rPr>
          <w:rFonts w:hint="eastAsia" w:ascii="宋体" w:hAnsi="宋体" w:eastAsia="宋体" w:cs="Times New Roman"/>
          <w:color w:val="auto"/>
          <w:sz w:val="24"/>
          <w:highlight w:val="none"/>
          <w:lang w:val="en-US" w:eastAsia="zh-CN"/>
        </w:rPr>
        <w:t xml:space="preserve">   </w:t>
      </w:r>
    </w:p>
    <w:p w14:paraId="02CAB30A">
      <w:pPr>
        <w:keepNext w:val="0"/>
        <w:keepLines w:val="0"/>
        <w:pageBreakBefore w:val="0"/>
        <w:widowControl w:val="0"/>
        <w:numPr>
          <w:ilvl w:val="0"/>
          <w:numId w:val="0"/>
        </w:numPr>
        <w:shd w:val="clear"/>
        <w:kinsoku/>
        <w:wordWrap/>
        <w:overflowPunct/>
        <w:topLinePunct w:val="0"/>
        <w:autoSpaceDE/>
        <w:autoSpaceDN/>
        <w:bidi w:val="0"/>
        <w:adjustRightInd/>
        <w:spacing w:line="336" w:lineRule="auto"/>
        <w:ind w:left="0" w:leftChars="0" w:firstLine="480" w:firstLineChars="200"/>
        <w:textAlignment w:val="auto"/>
        <w:rPr>
          <w:rFonts w:hint="default"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5</w:t>
      </w:r>
      <w:r>
        <w:rPr>
          <w:rFonts w:hint="eastAsia" w:ascii="宋体" w:hAnsi="宋体" w:eastAsia="宋体" w:cs="Times New Roman"/>
          <w:color w:val="auto"/>
          <w:sz w:val="24"/>
          <w:highlight w:val="none"/>
          <w:lang w:val="en-US" w:eastAsia="zh-CN"/>
        </w:rPr>
        <w:t>、本表格式不允许修改，否则作无效标处理</w:t>
      </w:r>
      <w:r>
        <w:rPr>
          <w:rFonts w:hint="default" w:ascii="宋体" w:hAnsi="宋体" w:eastAsia="宋体" w:cs="Times New Roman"/>
          <w:color w:val="auto"/>
          <w:sz w:val="24"/>
          <w:highlight w:val="none"/>
          <w:lang w:val="en-US" w:eastAsia="zh-CN"/>
        </w:rPr>
        <w:t>。</w:t>
      </w:r>
    </w:p>
    <w:p w14:paraId="14386DF8">
      <w:pPr>
        <w:keepNext w:val="0"/>
        <w:keepLines w:val="0"/>
        <w:pageBreakBefore w:val="0"/>
        <w:widowControl w:val="0"/>
        <w:numPr>
          <w:ilvl w:val="0"/>
          <w:numId w:val="0"/>
        </w:numPr>
        <w:shd w:val="clear"/>
        <w:kinsoku/>
        <w:wordWrap/>
        <w:overflowPunct/>
        <w:topLinePunct w:val="0"/>
        <w:autoSpaceDE/>
        <w:autoSpaceDN/>
        <w:bidi w:val="0"/>
        <w:adjustRightInd/>
        <w:spacing w:line="336" w:lineRule="auto"/>
        <w:ind w:left="0" w:leftChars="0" w:firstLine="480" w:firstLineChars="200"/>
        <w:textAlignment w:val="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法定代表人或委托代理人（签字或盖章）：</w:t>
      </w:r>
    </w:p>
    <w:p w14:paraId="6AEFFD96">
      <w:pPr>
        <w:shd w:val="clear"/>
        <w:snapToGrid w:val="0"/>
        <w:spacing w:before="50" w:after="50" w:line="380" w:lineRule="exact"/>
        <w:ind w:right="-817" w:rightChars="-389" w:firstLine="360" w:firstLineChars="150"/>
        <w:rPr>
          <w:rFonts w:hint="eastAsia" w:ascii="宋体" w:hAnsi="宋体"/>
          <w:color w:val="auto"/>
          <w:sz w:val="24"/>
          <w:highlight w:val="none"/>
        </w:rPr>
      </w:pPr>
    </w:p>
    <w:p w14:paraId="4B73DD6D">
      <w:pPr>
        <w:pStyle w:val="48"/>
        <w:shd w:val="clear"/>
        <w:rPr>
          <w:rFonts w:hint="eastAsia"/>
          <w:color w:val="auto"/>
          <w:highlight w:val="none"/>
        </w:rPr>
      </w:pPr>
    </w:p>
    <w:p w14:paraId="4E2D97F9">
      <w:pPr>
        <w:shd w:val="clear"/>
        <w:snapToGrid w:val="0"/>
        <w:spacing w:before="50" w:after="50" w:line="380" w:lineRule="exact"/>
        <w:ind w:right="-817" w:rightChars="-389" w:firstLine="360" w:firstLineChars="150"/>
        <w:rPr>
          <w:rFonts w:hint="eastAsia" w:ascii="宋体" w:hAnsi="宋体"/>
          <w:color w:val="auto"/>
          <w:sz w:val="24"/>
          <w:highlight w:val="none"/>
        </w:rPr>
      </w:pPr>
      <w:r>
        <w:rPr>
          <w:rFonts w:hint="eastAsia" w:ascii="宋体" w:hAnsi="宋体"/>
          <w:color w:val="auto"/>
          <w:sz w:val="24"/>
          <w:highlight w:val="none"/>
        </w:rPr>
        <w:t xml:space="preserve">投标人名称（盖章）：                        </w:t>
      </w:r>
    </w:p>
    <w:p w14:paraId="326EF10C">
      <w:pPr>
        <w:shd w:val="clear"/>
        <w:snapToGrid w:val="0"/>
        <w:spacing w:before="50" w:after="50" w:line="380" w:lineRule="exact"/>
        <w:ind w:right="-817" w:rightChars="-389" w:firstLine="360" w:firstLineChars="150"/>
        <w:rPr>
          <w:rFonts w:hint="eastAsia" w:ascii="宋体" w:hAnsi="宋体"/>
          <w:color w:val="auto"/>
          <w:sz w:val="24"/>
          <w:highlight w:val="none"/>
        </w:rPr>
      </w:pPr>
      <w:r>
        <w:rPr>
          <w:rFonts w:hint="eastAsia" w:ascii="宋体" w:hAnsi="宋体"/>
          <w:color w:val="auto"/>
          <w:sz w:val="24"/>
          <w:highlight w:val="none"/>
        </w:rPr>
        <w:t xml:space="preserve">                 </w:t>
      </w:r>
    </w:p>
    <w:p w14:paraId="0CCA137A">
      <w:pPr>
        <w:shd w:val="clear"/>
        <w:spacing w:line="380" w:lineRule="exact"/>
        <w:ind w:firstLine="6240" w:firstLineChars="2600"/>
        <w:rPr>
          <w:rFonts w:hint="eastAsia"/>
          <w:color w:val="auto"/>
          <w:highlight w:val="none"/>
          <w:lang w:val="en-US" w:eastAsia="zh-CN"/>
        </w:rPr>
      </w:pPr>
      <w:r>
        <w:rPr>
          <w:rFonts w:hint="eastAsia" w:ascii="宋体" w:hAnsi="宋体"/>
          <w:color w:val="auto"/>
          <w:sz w:val="24"/>
          <w:highlight w:val="none"/>
        </w:rPr>
        <w:t>日期：    年   月   日</w:t>
      </w:r>
    </w:p>
    <w:p w14:paraId="3A251402">
      <w:pPr>
        <w:shd w:val="clea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57BA4728">
      <w:pPr>
        <w:shd w:val="clear"/>
        <w:spacing w:line="440" w:lineRule="exact"/>
        <w:rPr>
          <w:rFonts w:hint="eastAsia" w:ascii="宋体" w:hAnsi="宋体" w:eastAsia="宋体" w:cs="宋体"/>
          <w:color w:val="auto"/>
          <w:sz w:val="24"/>
          <w:highlight w:val="none"/>
        </w:rPr>
      </w:pPr>
    </w:p>
    <w:bookmarkEnd w:id="151"/>
    <w:bookmarkEnd w:id="154"/>
    <w:bookmarkEnd w:id="155"/>
    <w:bookmarkEnd w:id="156"/>
    <w:bookmarkEnd w:id="157"/>
    <w:bookmarkEnd w:id="158"/>
    <w:bookmarkEnd w:id="159"/>
    <w:bookmarkEnd w:id="160"/>
    <w:p w14:paraId="059FE9A2">
      <w:pPr>
        <w:keepNext/>
        <w:keepLines/>
        <w:shd w:val="clear"/>
        <w:spacing w:before="260" w:after="260" w:line="360" w:lineRule="auto"/>
        <w:outlineLvl w:val="1"/>
        <w:rPr>
          <w:rFonts w:hint="eastAsia" w:ascii="宋体" w:hAnsi="宋体" w:eastAsia="宋体" w:cs="宋体"/>
          <w:bCs/>
          <w:color w:val="auto"/>
          <w:sz w:val="24"/>
          <w:highlight w:val="none"/>
        </w:rPr>
      </w:pPr>
      <w:bookmarkStart w:id="161" w:name="_Toc4660"/>
      <w:bookmarkStart w:id="162" w:name="_Toc21690"/>
      <w:bookmarkStart w:id="163" w:name="_Toc18518"/>
      <w:bookmarkStart w:id="164" w:name="_Toc9256"/>
      <w:bookmarkStart w:id="165" w:name="_Toc496599000"/>
      <w:bookmarkStart w:id="166" w:name="_Toc19976"/>
      <w:r>
        <w:rPr>
          <w:rFonts w:hint="eastAsia" w:ascii="宋体" w:hAnsi="宋体" w:eastAsia="宋体" w:cs="宋体"/>
          <w:bCs/>
          <w:color w:val="auto"/>
          <w:sz w:val="24"/>
          <w:highlight w:val="none"/>
        </w:rPr>
        <w:t>附件十</w:t>
      </w:r>
      <w:r>
        <w:rPr>
          <w:rFonts w:hint="eastAsia" w:ascii="宋体" w:hAnsi="宋体" w:cs="宋体"/>
          <w:bCs/>
          <w:color w:val="auto"/>
          <w:sz w:val="24"/>
          <w:highlight w:val="none"/>
          <w:lang w:val="en-US" w:eastAsia="zh-CN"/>
        </w:rPr>
        <w:t>五</w:t>
      </w:r>
      <w:r>
        <w:rPr>
          <w:rFonts w:hint="eastAsia" w:ascii="宋体" w:hAnsi="宋体" w:eastAsia="宋体" w:cs="宋体"/>
          <w:bCs/>
          <w:color w:val="auto"/>
          <w:sz w:val="24"/>
          <w:highlight w:val="none"/>
        </w:rPr>
        <w:t>：残疾人福利性单位声明函</w:t>
      </w:r>
      <w:bookmarkEnd w:id="161"/>
      <w:bookmarkEnd w:id="162"/>
      <w:bookmarkEnd w:id="163"/>
      <w:bookmarkEnd w:id="164"/>
    </w:p>
    <w:p w14:paraId="6A52256E">
      <w:pPr>
        <w:shd w:val="clear"/>
        <w:spacing w:after="120"/>
        <w:ind w:right="960" w:firstLine="2533" w:firstLineChars="701"/>
        <w:jc w:val="left"/>
        <w:rPr>
          <w:rFonts w:ascii="宋体" w:hAnsi="宋体" w:cs="宋体"/>
          <w:b/>
          <w:color w:val="auto"/>
          <w:sz w:val="36"/>
          <w:highlight w:val="none"/>
        </w:rPr>
      </w:pPr>
      <w:r>
        <w:rPr>
          <w:rFonts w:hint="eastAsia" w:ascii="宋体" w:hAnsi="宋体" w:cs="宋体"/>
          <w:b/>
          <w:color w:val="auto"/>
          <w:sz w:val="36"/>
          <w:highlight w:val="none"/>
        </w:rPr>
        <w:t>残疾人福利性单位声明函</w:t>
      </w:r>
    </w:p>
    <w:p w14:paraId="0B4BA72B">
      <w:pPr>
        <w:shd w:val="clear"/>
        <w:spacing w:after="120" w:line="360" w:lineRule="auto"/>
        <w:ind w:right="960" w:firstLine="548" w:firstLineChars="196"/>
        <w:jc w:val="left"/>
        <w:rPr>
          <w:rFonts w:ascii="宋体" w:hAnsi="宋体" w:cs="宋体"/>
          <w:color w:val="auto"/>
          <w:sz w:val="28"/>
          <w:highlight w:val="none"/>
        </w:rPr>
      </w:pPr>
    </w:p>
    <w:p w14:paraId="23FF54E7">
      <w:pPr>
        <w:shd w:val="clear"/>
        <w:spacing w:after="120" w:line="360" w:lineRule="auto"/>
        <w:ind w:right="960" w:firstLine="548" w:firstLineChars="196"/>
        <w:jc w:val="left"/>
        <w:rPr>
          <w:rFonts w:ascii="宋体" w:hAnsi="宋体" w:cs="宋体"/>
          <w:color w:val="auto"/>
          <w:sz w:val="28"/>
          <w:highlight w:val="none"/>
        </w:rPr>
      </w:pPr>
      <w:r>
        <w:rPr>
          <w:rFonts w:hint="eastAsia" w:ascii="宋体" w:hAnsi="宋体" w:cs="宋体"/>
          <w:color w:val="auto"/>
          <w:sz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8"/>
          <w:highlight w:val="none"/>
          <w:u w:val="single"/>
        </w:rPr>
        <w:t xml:space="preserve">               </w:t>
      </w:r>
      <w:r>
        <w:rPr>
          <w:rFonts w:hint="eastAsia" w:ascii="宋体" w:hAnsi="宋体" w:cs="宋体"/>
          <w:color w:val="auto"/>
          <w:sz w:val="28"/>
          <w:highlight w:val="none"/>
        </w:rPr>
        <w:t>单位的</w:t>
      </w:r>
      <w:r>
        <w:rPr>
          <w:rFonts w:hint="eastAsia" w:ascii="宋体" w:hAnsi="宋体" w:cs="宋体"/>
          <w:color w:val="auto"/>
          <w:sz w:val="28"/>
          <w:highlight w:val="none"/>
          <w:u w:val="single"/>
        </w:rPr>
        <w:t xml:space="preserve">        </w:t>
      </w:r>
      <w:r>
        <w:rPr>
          <w:rFonts w:hint="eastAsia" w:ascii="宋体" w:hAnsi="宋体" w:cs="宋体"/>
          <w:color w:val="auto"/>
          <w:sz w:val="28"/>
          <w:highlight w:val="none"/>
        </w:rPr>
        <w:t>项目采购活动提供本单位制造的货物（由本单位承担工程/服务），或者提供其他残疾人福利性单位制造的货物（不包括使用非残疾人福利性单位注册商标的货物）。</w:t>
      </w:r>
    </w:p>
    <w:p w14:paraId="0D880F50">
      <w:pPr>
        <w:shd w:val="clear"/>
        <w:spacing w:after="120" w:line="360" w:lineRule="auto"/>
        <w:ind w:right="960" w:firstLine="548" w:firstLineChars="196"/>
        <w:jc w:val="left"/>
        <w:rPr>
          <w:rFonts w:ascii="宋体" w:hAnsi="宋体" w:cs="宋体"/>
          <w:color w:val="auto"/>
          <w:sz w:val="28"/>
          <w:highlight w:val="none"/>
        </w:rPr>
      </w:pPr>
      <w:r>
        <w:rPr>
          <w:rFonts w:hint="eastAsia" w:ascii="宋体" w:hAnsi="宋体" w:cs="宋体"/>
          <w:color w:val="auto"/>
          <w:sz w:val="28"/>
          <w:highlight w:val="none"/>
        </w:rPr>
        <w:t>本单位对上述声明的真实性负责。如有虚假，将依法承担相应责任。</w:t>
      </w:r>
    </w:p>
    <w:p w14:paraId="375A2634">
      <w:pPr>
        <w:shd w:val="clear"/>
        <w:spacing w:after="120" w:line="360" w:lineRule="auto"/>
        <w:ind w:right="960" w:firstLine="4200" w:firstLineChars="1500"/>
        <w:jc w:val="left"/>
        <w:rPr>
          <w:rFonts w:ascii="宋体" w:hAnsi="宋体" w:cs="宋体"/>
          <w:color w:val="auto"/>
          <w:sz w:val="28"/>
          <w:highlight w:val="none"/>
        </w:rPr>
      </w:pPr>
    </w:p>
    <w:p w14:paraId="004777B9">
      <w:pPr>
        <w:shd w:val="clear"/>
        <w:spacing w:after="120" w:line="360" w:lineRule="auto"/>
        <w:ind w:right="960" w:firstLine="4200" w:firstLineChars="1500"/>
        <w:jc w:val="left"/>
        <w:rPr>
          <w:rFonts w:ascii="宋体" w:hAnsi="宋体" w:cs="宋体"/>
          <w:color w:val="auto"/>
          <w:sz w:val="28"/>
          <w:highlight w:val="none"/>
        </w:rPr>
      </w:pPr>
    </w:p>
    <w:p w14:paraId="7D6990D1">
      <w:pPr>
        <w:shd w:val="clear"/>
        <w:spacing w:after="120" w:line="360" w:lineRule="auto"/>
        <w:ind w:right="960" w:firstLine="4200" w:firstLineChars="1500"/>
        <w:jc w:val="left"/>
        <w:rPr>
          <w:rFonts w:ascii="宋体" w:hAnsi="宋体" w:cs="宋体"/>
          <w:color w:val="auto"/>
          <w:sz w:val="28"/>
          <w:highlight w:val="none"/>
        </w:rPr>
      </w:pPr>
      <w:r>
        <w:rPr>
          <w:rFonts w:hint="eastAsia" w:ascii="宋体" w:hAnsi="宋体" w:cs="宋体"/>
          <w:color w:val="auto"/>
          <w:sz w:val="28"/>
          <w:highlight w:val="none"/>
        </w:rPr>
        <w:t>单位名称（盖章）:</w:t>
      </w:r>
    </w:p>
    <w:p w14:paraId="50A9994F">
      <w:pPr>
        <w:shd w:val="clear"/>
        <w:spacing w:after="120" w:line="360" w:lineRule="auto"/>
        <w:ind w:right="960" w:firstLine="4200" w:firstLineChars="1500"/>
        <w:jc w:val="left"/>
        <w:rPr>
          <w:rFonts w:ascii="宋体" w:hAnsi="宋体" w:cs="宋体"/>
          <w:color w:val="auto"/>
          <w:sz w:val="28"/>
          <w:highlight w:val="none"/>
        </w:rPr>
      </w:pPr>
      <w:r>
        <w:rPr>
          <w:rFonts w:hint="eastAsia" w:ascii="宋体" w:hAnsi="宋体" w:cs="宋体"/>
          <w:color w:val="auto"/>
          <w:sz w:val="28"/>
          <w:highlight w:val="none"/>
        </w:rPr>
        <w:t xml:space="preserve">日期：        </w:t>
      </w:r>
    </w:p>
    <w:p w14:paraId="79AFF3D4">
      <w:pPr>
        <w:shd w:val="clear"/>
        <w:spacing w:after="120"/>
        <w:jc w:val="center"/>
        <w:rPr>
          <w:rFonts w:ascii="宋体" w:hAnsi="宋体" w:cs="宋体"/>
          <w:b/>
          <w:color w:val="auto"/>
          <w:sz w:val="36"/>
          <w:szCs w:val="36"/>
          <w:highlight w:val="none"/>
        </w:rPr>
      </w:pPr>
    </w:p>
    <w:p w14:paraId="42F96DC6">
      <w:pPr>
        <w:numPr>
          <w:ilvl w:val="0"/>
          <w:numId w:val="23"/>
        </w:numPr>
        <w:shd w:val="clear"/>
        <w:tabs>
          <w:tab w:val="left" w:pos="420"/>
          <w:tab w:val="clear" w:pos="1244"/>
        </w:tabs>
        <w:spacing w:before="100" w:beforeAutospacing="1" w:after="100" w:afterAutospacing="1" w:line="432" w:lineRule="auto"/>
        <w:ind w:hanging="1244"/>
        <w:rPr>
          <w:rFonts w:ascii="宋体" w:hAnsi="宋体" w:cs="宋体"/>
          <w:bCs/>
          <w:color w:val="auto"/>
          <w:sz w:val="24"/>
          <w:highlight w:val="none"/>
        </w:rPr>
      </w:pPr>
      <w:r>
        <w:rPr>
          <w:rFonts w:hint="eastAsia" w:ascii="宋体" w:hAnsi="宋体"/>
          <w:b/>
          <w:color w:val="auto"/>
          <w:szCs w:val="21"/>
          <w:highlight w:val="none"/>
        </w:rPr>
        <w:t>残疾人福利性单位视同小型、微型企业；</w:t>
      </w:r>
    </w:p>
    <w:p w14:paraId="6DA992F7">
      <w:pPr>
        <w:numPr>
          <w:ilvl w:val="0"/>
          <w:numId w:val="23"/>
        </w:numPr>
        <w:shd w:val="clear"/>
        <w:tabs>
          <w:tab w:val="left" w:pos="420"/>
          <w:tab w:val="clear" w:pos="1244"/>
        </w:tabs>
        <w:spacing w:before="100" w:beforeAutospacing="1" w:after="100" w:afterAutospacing="1" w:line="432" w:lineRule="auto"/>
        <w:ind w:hanging="1244"/>
        <w:rPr>
          <w:rFonts w:hint="eastAsia" w:ascii="宋体" w:hAnsi="宋体" w:eastAsia="宋体" w:cs="宋体"/>
          <w:bCs/>
          <w:color w:val="auto"/>
          <w:sz w:val="24"/>
          <w:highlight w:val="none"/>
        </w:rPr>
      </w:pPr>
      <w:r>
        <w:rPr>
          <w:rFonts w:hint="eastAsia" w:ascii="宋体" w:hAnsi="宋体"/>
          <w:b/>
          <w:color w:val="auto"/>
          <w:szCs w:val="21"/>
          <w:highlight w:val="none"/>
        </w:rPr>
        <w:t>如中标人声明为残疾人福利性单位，本声明函将随中标结果同时公告，接受社会监督。</w:t>
      </w:r>
    </w:p>
    <w:p w14:paraId="046F344C">
      <w:pPr>
        <w:pageBreakBefore/>
        <w:shd w:val="clear"/>
        <w:spacing w:before="260" w:after="260" w:line="415" w:lineRule="auto"/>
        <w:outlineLvl w:val="1"/>
        <w:rPr>
          <w:rFonts w:hint="eastAsia" w:ascii="宋体" w:hAnsi="宋体" w:eastAsia="宋体" w:cs="宋体"/>
          <w:bCs/>
          <w:color w:val="auto"/>
          <w:sz w:val="24"/>
          <w:highlight w:val="none"/>
        </w:rPr>
      </w:pPr>
      <w:bookmarkStart w:id="167" w:name="_Toc2070"/>
      <w:r>
        <w:rPr>
          <w:rFonts w:hint="eastAsia" w:ascii="宋体" w:hAnsi="宋体" w:eastAsia="宋体" w:cs="宋体"/>
          <w:bCs/>
          <w:color w:val="auto"/>
          <w:sz w:val="24"/>
          <w:highlight w:val="none"/>
        </w:rPr>
        <w:t>附件十</w:t>
      </w:r>
      <w:r>
        <w:rPr>
          <w:rFonts w:hint="eastAsia" w:ascii="宋体" w:hAnsi="宋体" w:cs="宋体"/>
          <w:bCs/>
          <w:color w:val="auto"/>
          <w:sz w:val="24"/>
          <w:highlight w:val="none"/>
          <w:lang w:val="en-US" w:eastAsia="zh-CN"/>
        </w:rPr>
        <w:t>六</w:t>
      </w:r>
      <w:r>
        <w:rPr>
          <w:rFonts w:hint="eastAsia" w:ascii="宋体" w:hAnsi="宋体" w:eastAsia="宋体" w:cs="宋体"/>
          <w:bCs/>
          <w:color w:val="auto"/>
          <w:sz w:val="24"/>
          <w:highlight w:val="none"/>
        </w:rPr>
        <w:t>：</w:t>
      </w:r>
      <w:bookmarkEnd w:id="165"/>
      <w:bookmarkEnd w:id="166"/>
      <w:bookmarkStart w:id="168" w:name="_Toc496599001"/>
      <w:r>
        <w:rPr>
          <w:rFonts w:hint="eastAsia" w:ascii="宋体" w:hAnsi="宋体" w:cs="宋体"/>
          <w:bCs/>
          <w:color w:val="auto"/>
          <w:sz w:val="24"/>
          <w:highlight w:val="none"/>
        </w:rPr>
        <w:t>中小企业声明函（货物）</w:t>
      </w:r>
      <w:bookmarkEnd w:id="167"/>
    </w:p>
    <w:p w14:paraId="37A0AF61">
      <w:pPr>
        <w:shd w:val="clear"/>
        <w:jc w:val="center"/>
        <w:rPr>
          <w:rFonts w:ascii="宋体" w:hAnsi="宋体" w:cs="宋体"/>
          <w:b/>
          <w:bCs/>
          <w:color w:val="auto"/>
          <w:sz w:val="40"/>
          <w:szCs w:val="40"/>
          <w:highlight w:val="none"/>
        </w:rPr>
      </w:pPr>
      <w:bookmarkStart w:id="169" w:name="_Toc12632"/>
      <w:r>
        <w:rPr>
          <w:rFonts w:hint="eastAsia" w:ascii="宋体" w:hAnsi="宋体" w:cs="宋体"/>
          <w:b/>
          <w:bCs/>
          <w:color w:val="auto"/>
          <w:sz w:val="40"/>
          <w:szCs w:val="40"/>
          <w:highlight w:val="none"/>
        </w:rPr>
        <w:t>中小企业声明函（货物）</w:t>
      </w:r>
    </w:p>
    <w:p w14:paraId="65348CE3">
      <w:pPr>
        <w:shd w:val="clear"/>
        <w:jc w:val="center"/>
        <w:rPr>
          <w:rFonts w:ascii="宋体" w:hAnsi="宋体" w:cs="宋体"/>
          <w:color w:val="auto"/>
          <w:sz w:val="30"/>
          <w:szCs w:val="30"/>
          <w:highlight w:val="none"/>
        </w:rPr>
      </w:pPr>
    </w:p>
    <w:p w14:paraId="2FB9B147">
      <w:pPr>
        <w:shd w:val="clea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本公司（联合体）郑重声明，根据《政府采购促进中小企业发展管理办法》（财库﹝2020﹞46 号）的规定，本公司（联合体）参加</w:t>
      </w:r>
      <w:r>
        <w:rPr>
          <w:rFonts w:hint="eastAsia" w:ascii="宋体" w:hAnsi="宋体" w:cs="宋体"/>
          <w:color w:val="auto"/>
          <w:sz w:val="24"/>
          <w:szCs w:val="32"/>
          <w:highlight w:val="none"/>
          <w:u w:val="single"/>
        </w:rPr>
        <w:t xml:space="preserve">  （单位名称）  </w:t>
      </w:r>
      <w:r>
        <w:rPr>
          <w:rFonts w:hint="eastAsia" w:ascii="宋体" w:hAnsi="宋体" w:cs="宋体"/>
          <w:color w:val="auto"/>
          <w:sz w:val="24"/>
          <w:szCs w:val="32"/>
          <w:highlight w:val="none"/>
        </w:rPr>
        <w:t>的</w:t>
      </w:r>
      <w:r>
        <w:rPr>
          <w:rFonts w:hint="eastAsia" w:ascii="宋体" w:hAnsi="宋体" w:cs="宋体"/>
          <w:color w:val="auto"/>
          <w:sz w:val="24"/>
          <w:szCs w:val="32"/>
          <w:highlight w:val="none"/>
          <w:u w:val="single"/>
        </w:rPr>
        <w:t xml:space="preserve">  （项目名称）  </w:t>
      </w:r>
      <w:r>
        <w:rPr>
          <w:rFonts w:hint="eastAsia" w:ascii="宋体" w:hAnsi="宋体" w:cs="宋体"/>
          <w:color w:val="auto"/>
          <w:sz w:val="24"/>
          <w:szCs w:val="32"/>
          <w:highlight w:val="none"/>
        </w:rPr>
        <w:t>采购活动，提供的货物全部由符合政策要求的中小企业制造。相关企业（含联合体中的中小企业、签订分包意向协议的中小企业）的具体情况如下：</w:t>
      </w:r>
    </w:p>
    <w:p w14:paraId="690993A2">
      <w:pPr>
        <w:shd w:val="clea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w:t>
      </w:r>
      <w:r>
        <w:rPr>
          <w:rFonts w:hint="eastAsia" w:ascii="宋体" w:hAnsi="宋体" w:cs="宋体"/>
          <w:b/>
          <w:bCs/>
          <w:color w:val="auto"/>
          <w:sz w:val="24"/>
          <w:szCs w:val="32"/>
          <w:highlight w:val="none"/>
          <w:u w:val="single"/>
        </w:rPr>
        <w:t xml:space="preserve">  （标的名称）  </w:t>
      </w:r>
      <w:r>
        <w:rPr>
          <w:rFonts w:hint="eastAsia" w:ascii="宋体" w:hAnsi="宋体" w:cs="宋体"/>
          <w:color w:val="auto"/>
          <w:sz w:val="24"/>
          <w:szCs w:val="32"/>
          <w:highlight w:val="none"/>
        </w:rPr>
        <w:t>，属于</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lang w:val="en-US" w:eastAsia="zh-CN"/>
        </w:rPr>
        <w:t>工业</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rPr>
        <w:t>行业；制造商为</w:t>
      </w:r>
      <w:r>
        <w:rPr>
          <w:rFonts w:hint="eastAsia" w:ascii="宋体" w:hAnsi="宋体" w:cs="宋体"/>
          <w:color w:val="auto"/>
          <w:sz w:val="24"/>
          <w:szCs w:val="32"/>
          <w:highlight w:val="none"/>
          <w:u w:val="single"/>
        </w:rPr>
        <w:t xml:space="preserve">  （企业名称）  </w:t>
      </w:r>
      <w:r>
        <w:rPr>
          <w:rFonts w:hint="eastAsia" w:ascii="宋体" w:hAnsi="宋体" w:cs="宋体"/>
          <w:color w:val="auto"/>
          <w:sz w:val="24"/>
          <w:szCs w:val="32"/>
          <w:highlight w:val="none"/>
        </w:rPr>
        <w:t>，从业人员</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rPr>
        <w:tab/>
      </w:r>
      <w:r>
        <w:rPr>
          <w:rFonts w:hint="eastAsia" w:ascii="宋体" w:hAnsi="宋体" w:cs="宋体"/>
          <w:color w:val="auto"/>
          <w:sz w:val="24"/>
          <w:szCs w:val="32"/>
          <w:highlight w:val="none"/>
        </w:rPr>
        <w:t>人，营业收入为</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rPr>
        <w:tab/>
      </w:r>
      <w:r>
        <w:rPr>
          <w:rFonts w:hint="eastAsia" w:ascii="宋体" w:hAnsi="宋体" w:cs="宋体"/>
          <w:color w:val="auto"/>
          <w:sz w:val="24"/>
          <w:szCs w:val="32"/>
          <w:highlight w:val="none"/>
        </w:rPr>
        <w:t>万元，资产总额为</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rPr>
        <w:tab/>
      </w:r>
      <w:r>
        <w:rPr>
          <w:rFonts w:hint="eastAsia" w:ascii="宋体" w:hAnsi="宋体" w:cs="宋体"/>
          <w:color w:val="auto"/>
          <w:sz w:val="24"/>
          <w:szCs w:val="32"/>
          <w:highlight w:val="none"/>
        </w:rPr>
        <w:t>万元，</w:t>
      </w:r>
      <w:r>
        <w:rPr>
          <w:rFonts w:hint="eastAsia" w:ascii="宋体" w:hAnsi="宋体" w:cs="宋体"/>
          <w:b/>
          <w:bCs/>
          <w:color w:val="auto"/>
          <w:sz w:val="24"/>
          <w:szCs w:val="32"/>
          <w:highlight w:val="none"/>
        </w:rPr>
        <w:t>属于</w:t>
      </w:r>
      <w:r>
        <w:rPr>
          <w:rFonts w:hint="eastAsia" w:ascii="宋体" w:hAnsi="宋体" w:cs="宋体"/>
          <w:b/>
          <w:bCs/>
          <w:color w:val="auto"/>
          <w:sz w:val="24"/>
          <w:szCs w:val="32"/>
          <w:highlight w:val="none"/>
          <w:u w:val="single"/>
        </w:rPr>
        <w:t xml:space="preserve">         </w:t>
      </w:r>
      <w:r>
        <w:rPr>
          <w:rFonts w:hint="eastAsia" w:ascii="宋体" w:hAnsi="宋体" w:cs="宋体"/>
          <w:b/>
          <w:bCs/>
          <w:color w:val="auto"/>
          <w:sz w:val="24"/>
          <w:szCs w:val="32"/>
          <w:highlight w:val="none"/>
        </w:rPr>
        <w:t>企业</w:t>
      </w:r>
      <w:r>
        <w:rPr>
          <w:rFonts w:hint="eastAsia" w:ascii="宋体" w:hAnsi="宋体" w:cs="宋体"/>
          <w:color w:val="auto"/>
          <w:sz w:val="24"/>
          <w:szCs w:val="32"/>
          <w:highlight w:val="none"/>
        </w:rPr>
        <w:t>（中型企业或小型企业或微型企业）；</w:t>
      </w:r>
    </w:p>
    <w:p w14:paraId="28127353">
      <w:pPr>
        <w:shd w:val="clea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w:t>
      </w:r>
      <w:r>
        <w:rPr>
          <w:rFonts w:hint="eastAsia" w:ascii="宋体" w:hAnsi="宋体" w:cs="宋体"/>
          <w:b/>
          <w:bCs/>
          <w:color w:val="auto"/>
          <w:sz w:val="24"/>
          <w:szCs w:val="32"/>
          <w:highlight w:val="none"/>
          <w:u w:val="single"/>
        </w:rPr>
        <w:t xml:space="preserve">  （标的名称）  </w:t>
      </w:r>
      <w:r>
        <w:rPr>
          <w:rFonts w:hint="eastAsia" w:ascii="宋体" w:hAnsi="宋体" w:cs="宋体"/>
          <w:color w:val="auto"/>
          <w:sz w:val="24"/>
          <w:szCs w:val="32"/>
          <w:highlight w:val="none"/>
        </w:rPr>
        <w:t>，属于</w:t>
      </w:r>
      <w:r>
        <w:rPr>
          <w:rFonts w:hint="eastAsia" w:ascii="宋体" w:hAnsi="宋体" w:cs="宋体"/>
          <w:color w:val="auto"/>
          <w:sz w:val="24"/>
          <w:szCs w:val="32"/>
          <w:highlight w:val="none"/>
          <w:u w:val="single"/>
          <w:lang w:val="en-US" w:eastAsia="zh-CN"/>
        </w:rPr>
        <w:t xml:space="preserve"> 工业 </w:t>
      </w:r>
      <w:r>
        <w:rPr>
          <w:rFonts w:hint="eastAsia" w:ascii="宋体" w:hAnsi="宋体" w:cs="宋体"/>
          <w:color w:val="auto"/>
          <w:sz w:val="24"/>
          <w:szCs w:val="32"/>
          <w:highlight w:val="none"/>
        </w:rPr>
        <w:t>行业；制造商为</w:t>
      </w:r>
      <w:r>
        <w:rPr>
          <w:rFonts w:hint="eastAsia" w:ascii="宋体" w:hAnsi="宋体" w:cs="宋体"/>
          <w:color w:val="auto"/>
          <w:sz w:val="24"/>
          <w:szCs w:val="32"/>
          <w:highlight w:val="none"/>
          <w:u w:val="single"/>
        </w:rPr>
        <w:t xml:space="preserve">  （企业名称）  </w:t>
      </w:r>
      <w:r>
        <w:rPr>
          <w:rFonts w:hint="eastAsia" w:ascii="宋体" w:hAnsi="宋体" w:cs="宋体"/>
          <w:color w:val="auto"/>
          <w:sz w:val="24"/>
          <w:szCs w:val="32"/>
          <w:highlight w:val="none"/>
        </w:rPr>
        <w:t>，从业人员</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rPr>
        <w:tab/>
      </w:r>
      <w:r>
        <w:rPr>
          <w:rFonts w:hint="eastAsia" w:ascii="宋体" w:hAnsi="宋体" w:cs="宋体"/>
          <w:color w:val="auto"/>
          <w:sz w:val="24"/>
          <w:szCs w:val="32"/>
          <w:highlight w:val="none"/>
        </w:rPr>
        <w:t>人，营业收入为</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rPr>
        <w:tab/>
      </w:r>
      <w:r>
        <w:rPr>
          <w:rFonts w:hint="eastAsia" w:ascii="宋体" w:hAnsi="宋体" w:cs="宋体"/>
          <w:color w:val="auto"/>
          <w:sz w:val="24"/>
          <w:szCs w:val="32"/>
          <w:highlight w:val="none"/>
        </w:rPr>
        <w:t>万元，资产总额为</w:t>
      </w:r>
      <w:r>
        <w:rPr>
          <w:rFonts w:hint="eastAsia" w:ascii="宋体" w:hAnsi="宋体" w:cs="宋体"/>
          <w:color w:val="auto"/>
          <w:sz w:val="24"/>
          <w:szCs w:val="32"/>
          <w:highlight w:val="none"/>
          <w:u w:val="single"/>
        </w:rPr>
        <w:t xml:space="preserve">   </w:t>
      </w:r>
      <w:r>
        <w:rPr>
          <w:rFonts w:hint="eastAsia" w:ascii="宋体" w:hAnsi="宋体" w:cs="宋体"/>
          <w:color w:val="auto"/>
          <w:sz w:val="24"/>
          <w:szCs w:val="32"/>
          <w:highlight w:val="none"/>
          <w:u w:val="single"/>
        </w:rPr>
        <w:tab/>
      </w:r>
      <w:r>
        <w:rPr>
          <w:rFonts w:hint="eastAsia" w:ascii="宋体" w:hAnsi="宋体" w:cs="宋体"/>
          <w:color w:val="auto"/>
          <w:sz w:val="24"/>
          <w:szCs w:val="32"/>
          <w:highlight w:val="none"/>
        </w:rPr>
        <w:t>万元，</w:t>
      </w:r>
      <w:r>
        <w:rPr>
          <w:rFonts w:hint="eastAsia" w:ascii="宋体" w:hAnsi="宋体" w:cs="宋体"/>
          <w:b/>
          <w:bCs/>
          <w:color w:val="auto"/>
          <w:sz w:val="24"/>
          <w:szCs w:val="32"/>
          <w:highlight w:val="none"/>
        </w:rPr>
        <w:t>属于</w:t>
      </w:r>
      <w:r>
        <w:rPr>
          <w:rFonts w:hint="eastAsia" w:ascii="宋体" w:hAnsi="宋体" w:cs="宋体"/>
          <w:b/>
          <w:bCs/>
          <w:color w:val="auto"/>
          <w:sz w:val="24"/>
          <w:szCs w:val="32"/>
          <w:highlight w:val="none"/>
          <w:u w:val="single"/>
        </w:rPr>
        <w:t xml:space="preserve">         </w:t>
      </w:r>
      <w:r>
        <w:rPr>
          <w:rFonts w:hint="eastAsia" w:ascii="宋体" w:hAnsi="宋体" w:cs="宋体"/>
          <w:b/>
          <w:bCs/>
          <w:color w:val="auto"/>
          <w:sz w:val="24"/>
          <w:szCs w:val="32"/>
          <w:highlight w:val="none"/>
        </w:rPr>
        <w:t>企业</w:t>
      </w:r>
      <w:r>
        <w:rPr>
          <w:rFonts w:hint="eastAsia" w:ascii="宋体" w:hAnsi="宋体" w:cs="宋体"/>
          <w:color w:val="auto"/>
          <w:sz w:val="24"/>
          <w:szCs w:val="32"/>
          <w:highlight w:val="none"/>
        </w:rPr>
        <w:t>（中型企业或小型企业或微型企业）；</w:t>
      </w:r>
    </w:p>
    <w:p w14:paraId="38980D47">
      <w:pPr>
        <w:shd w:val="clear"/>
        <w:spacing w:line="360" w:lineRule="auto"/>
        <w:rPr>
          <w:rFonts w:ascii="宋体" w:hAnsi="宋体" w:cs="宋体"/>
          <w:color w:val="auto"/>
          <w:sz w:val="24"/>
          <w:szCs w:val="32"/>
          <w:highlight w:val="none"/>
        </w:rPr>
      </w:pPr>
      <w:r>
        <w:rPr>
          <w:rFonts w:hint="eastAsia" w:ascii="宋体" w:hAnsi="宋体" w:cs="宋体"/>
          <w:color w:val="auto"/>
          <w:sz w:val="24"/>
          <w:szCs w:val="32"/>
          <w:highlight w:val="none"/>
        </w:rPr>
        <w:t>……</w:t>
      </w:r>
    </w:p>
    <w:p w14:paraId="28CCC88E">
      <w:pPr>
        <w:shd w:val="clea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以上企业，不属于大企业的分支机构，不存在控股股东为大企业的情形，也不存在与大企业的负责人为同一人的情形。</w:t>
      </w:r>
    </w:p>
    <w:p w14:paraId="53967420">
      <w:pPr>
        <w:shd w:val="clear"/>
        <w:spacing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本企业对上述声明内容的真实性负责。如有虚假，将依法承担相应责任。</w:t>
      </w:r>
    </w:p>
    <w:p w14:paraId="3B6D7005">
      <w:pPr>
        <w:shd w:val="clear"/>
        <w:spacing w:line="360" w:lineRule="auto"/>
        <w:rPr>
          <w:rFonts w:ascii="宋体" w:hAnsi="宋体" w:cs="宋体"/>
          <w:color w:val="auto"/>
          <w:sz w:val="24"/>
          <w:szCs w:val="32"/>
          <w:highlight w:val="none"/>
        </w:rPr>
      </w:pPr>
    </w:p>
    <w:p w14:paraId="3612EB10">
      <w:pPr>
        <w:shd w:val="clear"/>
        <w:spacing w:line="360" w:lineRule="auto"/>
        <w:rPr>
          <w:rFonts w:ascii="宋体" w:hAnsi="宋体" w:cs="宋体"/>
          <w:color w:val="auto"/>
          <w:sz w:val="24"/>
          <w:szCs w:val="32"/>
          <w:highlight w:val="none"/>
        </w:rPr>
      </w:pPr>
    </w:p>
    <w:p w14:paraId="7E6007E5">
      <w:pPr>
        <w:shd w:val="clear"/>
        <w:spacing w:line="360" w:lineRule="auto"/>
        <w:ind w:firstLine="5280" w:firstLineChars="2200"/>
        <w:rPr>
          <w:rFonts w:ascii="宋体" w:hAnsi="宋体" w:cs="宋体"/>
          <w:color w:val="auto"/>
          <w:sz w:val="24"/>
          <w:szCs w:val="32"/>
          <w:highlight w:val="none"/>
        </w:rPr>
      </w:pPr>
      <w:r>
        <w:rPr>
          <w:rFonts w:hint="eastAsia" w:ascii="宋体" w:hAnsi="宋体" w:cs="宋体"/>
          <w:color w:val="auto"/>
          <w:sz w:val="24"/>
          <w:szCs w:val="32"/>
          <w:highlight w:val="none"/>
        </w:rPr>
        <w:t>企业名称（盖章）：</w:t>
      </w:r>
    </w:p>
    <w:p w14:paraId="1760A658">
      <w:pPr>
        <w:shd w:val="clear"/>
        <w:spacing w:line="360" w:lineRule="auto"/>
        <w:ind w:firstLine="5280" w:firstLineChars="2200"/>
        <w:rPr>
          <w:rFonts w:ascii="宋体" w:hAnsi="宋体" w:cs="宋体"/>
          <w:color w:val="auto"/>
          <w:sz w:val="24"/>
          <w:szCs w:val="32"/>
          <w:highlight w:val="none"/>
        </w:rPr>
      </w:pPr>
      <w:r>
        <w:rPr>
          <w:rFonts w:hint="eastAsia" w:ascii="宋体" w:hAnsi="宋体" w:cs="宋体"/>
          <w:color w:val="auto"/>
          <w:sz w:val="24"/>
          <w:szCs w:val="32"/>
          <w:highlight w:val="none"/>
        </w:rPr>
        <w:t>日期：</w:t>
      </w:r>
    </w:p>
    <w:p w14:paraId="6F70D261">
      <w:pPr>
        <w:shd w:val="clear"/>
        <w:spacing w:line="360" w:lineRule="auto"/>
        <w:rPr>
          <w:rFonts w:ascii="宋体" w:hAnsi="宋体" w:cs="宋体"/>
          <w:color w:val="auto"/>
          <w:sz w:val="28"/>
          <w:szCs w:val="36"/>
          <w:highlight w:val="none"/>
        </w:rPr>
      </w:pPr>
    </w:p>
    <w:p w14:paraId="22B4E10F">
      <w:pPr>
        <w:shd w:val="clear"/>
        <w:spacing w:line="360" w:lineRule="auto"/>
        <w:rPr>
          <w:rFonts w:hint="eastAsia" w:ascii="宋体" w:hAnsi="宋体" w:cs="宋体"/>
          <w:b/>
          <w:bCs/>
          <w:color w:val="auto"/>
          <w:highlight w:val="none"/>
          <w:lang w:val="en-US" w:eastAsia="zh-CN"/>
        </w:rPr>
      </w:pPr>
      <w:bookmarkStart w:id="170" w:name="_Toc11349"/>
      <w:r>
        <w:rPr>
          <w:rFonts w:hint="eastAsia" w:ascii="宋体" w:hAnsi="宋体" w:cs="宋体"/>
          <w:b/>
          <w:bCs/>
          <w:color w:val="auto"/>
          <w:highlight w:val="none"/>
          <w:lang w:val="en-US" w:eastAsia="zh-CN"/>
        </w:rPr>
        <w:t>备注：</w:t>
      </w:r>
    </w:p>
    <w:p w14:paraId="136B998D">
      <w:pPr>
        <w:numPr>
          <w:ilvl w:val="0"/>
          <w:numId w:val="24"/>
        </w:numPr>
        <w:shd w:val="clear"/>
        <w:spacing w:line="360" w:lineRule="auto"/>
        <w:rPr>
          <w:rFonts w:hint="eastAsia" w:ascii="宋体" w:hAnsi="宋体" w:cs="宋体"/>
          <w:b/>
          <w:bCs/>
          <w:color w:val="auto"/>
          <w:highlight w:val="none"/>
        </w:rPr>
      </w:pPr>
      <w:r>
        <w:rPr>
          <w:rFonts w:hint="eastAsia" w:ascii="宋体" w:hAnsi="宋体" w:cs="宋体"/>
          <w:b/>
          <w:bCs/>
          <w:color w:val="auto"/>
          <w:highlight w:val="none"/>
        </w:rPr>
        <w:t>“标的名称”根据招标文件第二章招标需求中技术参数内的货物内容，逐一填写，不得缺漏</w:t>
      </w:r>
      <w:r>
        <w:rPr>
          <w:rFonts w:hint="eastAsia" w:ascii="宋体" w:hAnsi="宋体" w:cs="宋体"/>
          <w:b/>
          <w:bCs/>
          <w:color w:val="auto"/>
          <w:highlight w:val="none"/>
          <w:lang w:eastAsia="zh-CN"/>
        </w:rPr>
        <w:t>。</w:t>
      </w:r>
    </w:p>
    <w:p w14:paraId="4CE25EB5">
      <w:pPr>
        <w:numPr>
          <w:ilvl w:val="0"/>
          <w:numId w:val="24"/>
        </w:numPr>
        <w:shd w:val="clear"/>
        <w:spacing w:line="360" w:lineRule="auto"/>
        <w:rPr>
          <w:rFonts w:hint="eastAsia" w:ascii="宋体" w:hAnsi="宋体" w:cs="宋体"/>
          <w:b/>
          <w:bCs/>
          <w:color w:val="auto"/>
          <w:highlight w:val="none"/>
        </w:rPr>
      </w:pPr>
      <w:r>
        <w:rPr>
          <w:rFonts w:hint="eastAsia" w:ascii="宋体" w:hAnsi="宋体" w:cs="宋体"/>
          <w:b/>
          <w:bCs/>
          <w:color w:val="auto"/>
          <w:highlight w:val="none"/>
        </w:rPr>
        <w:t>如投标产品由小微企业生产，则需提供中小企业声明函。</w:t>
      </w:r>
    </w:p>
    <w:p w14:paraId="3B026454">
      <w:pPr>
        <w:shd w:val="clear"/>
        <w:spacing w:line="360" w:lineRule="auto"/>
        <w:rPr>
          <w:rFonts w:hint="eastAsia" w:ascii="宋体" w:hAnsi="宋体" w:cs="宋体"/>
          <w:b/>
          <w:bCs/>
          <w:color w:val="auto"/>
          <w:highlight w:val="none"/>
        </w:rPr>
      </w:pPr>
      <w:r>
        <w:rPr>
          <w:rFonts w:hint="eastAsia" w:ascii="宋体" w:hAnsi="宋体" w:cs="宋体"/>
          <w:b/>
          <w:bCs/>
          <w:color w:val="auto"/>
          <w:highlight w:val="none"/>
          <w:lang w:val="en-US" w:eastAsia="zh-CN"/>
        </w:rPr>
        <w:t>3</w:t>
      </w:r>
      <w:r>
        <w:rPr>
          <w:rFonts w:hint="eastAsia" w:ascii="宋体" w:hAnsi="宋体" w:cs="宋体"/>
          <w:b/>
          <w:bCs/>
          <w:color w:val="auto"/>
          <w:highlight w:val="none"/>
        </w:rPr>
        <w:t>、小微企业提供的货物既有中小企业制造货物，也有大型企业制造货物的，不享受中小企业扶持政策。</w:t>
      </w:r>
    </w:p>
    <w:p w14:paraId="452CD186">
      <w:pPr>
        <w:shd w:val="clear"/>
        <w:spacing w:line="360" w:lineRule="auto"/>
        <w:rPr>
          <w:rFonts w:hint="eastAsia" w:ascii="宋体" w:hAnsi="宋体" w:cs="宋体"/>
          <w:b/>
          <w:bCs/>
          <w:color w:val="auto"/>
          <w:highlight w:val="none"/>
        </w:rPr>
      </w:pPr>
      <w:r>
        <w:rPr>
          <w:rFonts w:hint="eastAsia" w:ascii="宋体" w:hAnsi="宋体" w:cs="宋体"/>
          <w:b/>
          <w:bCs/>
          <w:color w:val="auto"/>
          <w:highlight w:val="none"/>
          <w:lang w:val="en-US" w:eastAsia="zh-CN"/>
        </w:rPr>
        <w:t>4</w:t>
      </w:r>
      <w:r>
        <w:rPr>
          <w:rFonts w:hint="eastAsia" w:ascii="宋体" w:hAnsi="宋体" w:cs="宋体"/>
          <w:b/>
          <w:bCs/>
          <w:color w:val="auto"/>
          <w:highlight w:val="none"/>
        </w:rPr>
        <w:t>、从业人员、营业收入、资产总额填报上一年度数据，无上一年度数据的新成立企业可不填报。</w:t>
      </w:r>
    </w:p>
    <w:p w14:paraId="6C3BF947">
      <w:pPr>
        <w:pStyle w:val="4"/>
        <w:shd w:val="clear"/>
        <w:spacing w:line="360" w:lineRule="auto"/>
        <w:rPr>
          <w:rFonts w:ascii="宋体" w:hAnsi="宋体" w:cs="宋体"/>
          <w:b/>
          <w:bCs/>
          <w:color w:val="auto"/>
          <w:sz w:val="24"/>
          <w:highlight w:val="none"/>
        </w:rPr>
      </w:pPr>
      <w:r>
        <w:rPr>
          <w:rFonts w:hint="eastAsia"/>
          <w:b/>
          <w:bCs/>
          <w:color w:val="auto"/>
          <w:highlight w:val="none"/>
          <w:lang w:val="en-US" w:eastAsia="zh-CN"/>
        </w:rPr>
        <w:t>5</w:t>
      </w:r>
      <w:r>
        <w:rPr>
          <w:rFonts w:hint="eastAsia"/>
          <w:b/>
          <w:bCs/>
          <w:color w:val="auto"/>
          <w:highlight w:val="none"/>
        </w:rPr>
        <w:t>、本声明函将随中标结果同时公告，接受社会监督。</w:t>
      </w:r>
    </w:p>
    <w:p w14:paraId="466095C4">
      <w:pPr>
        <w:pageBreakBefore/>
        <w:shd w:val="clear"/>
        <w:spacing w:before="260" w:after="260" w:line="415" w:lineRule="auto"/>
        <w:outlineLvl w:val="1"/>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附件</w:t>
      </w:r>
      <w:r>
        <w:rPr>
          <w:rFonts w:hint="eastAsia" w:ascii="宋体" w:hAnsi="宋体" w:cs="宋体"/>
          <w:bCs/>
          <w:color w:val="auto"/>
          <w:sz w:val="24"/>
          <w:highlight w:val="none"/>
          <w:lang w:val="en-US" w:eastAsia="zh-CN"/>
        </w:rPr>
        <w:t>十七</w:t>
      </w:r>
      <w:r>
        <w:rPr>
          <w:rFonts w:hint="eastAsia" w:ascii="宋体" w:hAnsi="宋体" w:eastAsia="宋体" w:cs="宋体"/>
          <w:bCs/>
          <w:color w:val="auto"/>
          <w:sz w:val="24"/>
          <w:highlight w:val="none"/>
        </w:rPr>
        <w:t>：</w:t>
      </w:r>
      <w:bookmarkEnd w:id="168"/>
      <w:r>
        <w:rPr>
          <w:rFonts w:hint="eastAsia" w:ascii="宋体" w:hAnsi="宋体" w:eastAsia="宋体" w:cs="宋体"/>
          <w:bCs/>
          <w:color w:val="auto"/>
          <w:sz w:val="24"/>
          <w:highlight w:val="none"/>
        </w:rPr>
        <w:t>东阳市采购项目验收方案</w:t>
      </w:r>
      <w:bookmarkEnd w:id="169"/>
      <w:bookmarkEnd w:id="170"/>
    </w:p>
    <w:p w14:paraId="646A0300">
      <w:pPr>
        <w:shd w:val="clear"/>
        <w:snapToGrid w:val="0"/>
        <w:spacing w:line="360" w:lineRule="auto"/>
        <w:jc w:val="center"/>
        <w:rPr>
          <w:rFonts w:hint="eastAsia"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lang w:val="en-US" w:eastAsia="zh-CN"/>
        </w:rPr>
        <w:t>东阳市采购项目验收方案</w:t>
      </w:r>
    </w:p>
    <w:p w14:paraId="1B00B133">
      <w:pPr>
        <w:shd w:val="clear"/>
        <w:spacing w:before="120" w:beforeLines="50" w:after="120" w:afterLines="5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根据《政府采购法》及东阳市政府采购办东财预〔2009〕98号《关于加强政府采购管理工作的补充规定》等有关文件规定，为做好</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采购项目的验收管理工作，特制定本项目验收方案，具体如下。</w:t>
      </w:r>
    </w:p>
    <w:p w14:paraId="10AC3030">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一、验收项目说明</w:t>
      </w:r>
    </w:p>
    <w:p w14:paraId="7BDB47FA">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1、招标编号：               </w:t>
      </w:r>
    </w:p>
    <w:p w14:paraId="25741074">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2、采购内容：</w:t>
      </w:r>
    </w:p>
    <w:p w14:paraId="3DBB8277">
      <w:pPr>
        <w:shd w:val="clear"/>
        <w:spacing w:after="120" w:line="360" w:lineRule="auto"/>
        <w:rPr>
          <w:rFonts w:hint="eastAsia" w:ascii="宋体" w:hAnsi="宋体" w:eastAsia="宋体" w:cs="宋体"/>
          <w:b/>
          <w:color w:val="auto"/>
          <w:sz w:val="24"/>
          <w:highlight w:val="none"/>
        </w:rPr>
      </w:pPr>
    </w:p>
    <w:p w14:paraId="04EE1A39">
      <w:pPr>
        <w:shd w:val="clear"/>
        <w:spacing w:after="120"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二、验收小组人员</w:t>
      </w:r>
    </w:p>
    <w:p w14:paraId="34C93616">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1、本次验收由</w:t>
      </w:r>
      <w:r>
        <w:rPr>
          <w:rFonts w:hint="eastAsia" w:ascii="宋体" w:hAnsi="宋体" w:eastAsia="宋体" w:cs="宋体"/>
          <w:b/>
          <w:color w:val="auto"/>
          <w:sz w:val="24"/>
          <w:highlight w:val="none"/>
          <w:u w:val="singl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b/>
          <w:color w:val="auto"/>
          <w:sz w:val="24"/>
          <w:highlight w:val="none"/>
        </w:rPr>
        <w:t>组织。</w:t>
      </w:r>
    </w:p>
    <w:p w14:paraId="07FCC413">
      <w:pPr>
        <w:shd w:val="clear"/>
        <w:spacing w:after="120" w:line="360" w:lineRule="auto"/>
        <w:ind w:firstLine="472" w:firstLineChars="196"/>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rPr>
        <w:t>2、验收小组成员名单：</w:t>
      </w:r>
      <w:r>
        <w:rPr>
          <w:rFonts w:hint="eastAsia" w:ascii="宋体" w:hAnsi="宋体" w:eastAsia="宋体" w:cs="宋体"/>
          <w:b/>
          <w:color w:val="auto"/>
          <w:sz w:val="24"/>
          <w:highlight w:val="none"/>
          <w:u w:val="single"/>
        </w:rPr>
        <w:t xml:space="preserve">                                                       </w:t>
      </w:r>
    </w:p>
    <w:p w14:paraId="29E2478F">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3、验收小组成员签名：</w:t>
      </w:r>
      <w:r>
        <w:rPr>
          <w:rFonts w:hint="eastAsia"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rPr>
        <w:t xml:space="preserve">                                                                        </w:t>
      </w:r>
    </w:p>
    <w:p w14:paraId="07E79DBB">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三、验收方法与内容</w:t>
      </w:r>
    </w:p>
    <w:p w14:paraId="32F828E1">
      <w:pPr>
        <w:shd w:val="clear"/>
        <w:spacing w:after="120" w:line="360" w:lineRule="auto"/>
        <w:rPr>
          <w:rFonts w:hint="eastAsia" w:ascii="宋体" w:hAnsi="宋体" w:eastAsia="宋体" w:cs="宋体"/>
          <w:b/>
          <w:color w:val="auto"/>
          <w:sz w:val="24"/>
          <w:highlight w:val="none"/>
        </w:rPr>
      </w:pPr>
    </w:p>
    <w:p w14:paraId="26B893AE">
      <w:pPr>
        <w:shd w:val="clear"/>
        <w:spacing w:after="120"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四、验收时间</w:t>
      </w:r>
    </w:p>
    <w:p w14:paraId="7F2CAF49">
      <w:pPr>
        <w:shd w:val="clear"/>
        <w:spacing w:after="120" w:line="360" w:lineRule="auto"/>
        <w:rPr>
          <w:rFonts w:hint="eastAsia" w:ascii="宋体" w:hAnsi="宋体" w:eastAsia="宋体" w:cs="宋体"/>
          <w:b/>
          <w:color w:val="auto"/>
          <w:sz w:val="24"/>
          <w:highlight w:val="none"/>
        </w:rPr>
      </w:pPr>
    </w:p>
    <w:p w14:paraId="79BB3D9B">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五、验收地点</w:t>
      </w:r>
    </w:p>
    <w:p w14:paraId="76FBBFB6">
      <w:pPr>
        <w:shd w:val="clear"/>
        <w:spacing w:after="120" w:line="360" w:lineRule="auto"/>
        <w:rPr>
          <w:rFonts w:hint="eastAsia" w:ascii="宋体" w:hAnsi="宋体" w:eastAsia="宋体" w:cs="宋体"/>
          <w:b/>
          <w:color w:val="auto"/>
          <w:sz w:val="24"/>
          <w:highlight w:val="none"/>
        </w:rPr>
      </w:pPr>
    </w:p>
    <w:p w14:paraId="15DB726F">
      <w:pPr>
        <w:shd w:val="clear"/>
        <w:spacing w:after="120"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六、验收程序</w:t>
      </w:r>
    </w:p>
    <w:p w14:paraId="0E95D665">
      <w:pPr>
        <w:shd w:val="clear"/>
        <w:spacing w:after="120" w:line="360" w:lineRule="auto"/>
        <w:ind w:left="479" w:leftChars="228" w:firstLine="470" w:firstLineChars="195"/>
        <w:rPr>
          <w:rFonts w:hint="eastAsia" w:ascii="宋体" w:hAnsi="宋体" w:eastAsia="宋体" w:cs="宋体"/>
          <w:b/>
          <w:color w:val="auto"/>
          <w:sz w:val="24"/>
          <w:highlight w:val="none"/>
        </w:rPr>
      </w:pPr>
    </w:p>
    <w:p w14:paraId="20030DFB">
      <w:pPr>
        <w:shd w:val="clear"/>
        <w:spacing w:after="120" w:line="360" w:lineRule="auto"/>
        <w:ind w:left="479" w:leftChars="228" w:firstLine="470" w:firstLineChars="195"/>
        <w:rPr>
          <w:rFonts w:hint="eastAsia" w:ascii="宋体" w:hAnsi="宋体" w:eastAsia="宋体" w:cs="宋体"/>
          <w:b/>
          <w:color w:val="auto"/>
          <w:sz w:val="24"/>
          <w:highlight w:val="none"/>
        </w:rPr>
      </w:pPr>
    </w:p>
    <w:p w14:paraId="3A33DF96">
      <w:pPr>
        <w:shd w:val="clear"/>
        <w:spacing w:after="120" w:line="360" w:lineRule="auto"/>
        <w:ind w:right="-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采购单位（盖章）：</w:t>
      </w:r>
    </w:p>
    <w:p w14:paraId="560440E4">
      <w:pPr>
        <w:shd w:val="clear"/>
        <w:spacing w:after="120" w:line="360" w:lineRule="auto"/>
        <w:ind w:right="960" w:firstLine="470" w:firstLineChars="196"/>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02A225C9">
      <w:pPr>
        <w:pageBreakBefore/>
        <w:shd w:val="clear"/>
        <w:spacing w:before="260" w:after="260" w:line="415" w:lineRule="auto"/>
        <w:outlineLvl w:val="1"/>
        <w:rPr>
          <w:rFonts w:hint="eastAsia" w:ascii="宋体" w:hAnsi="宋体" w:eastAsia="宋体" w:cs="宋体"/>
          <w:bCs/>
          <w:color w:val="auto"/>
          <w:sz w:val="24"/>
          <w:highlight w:val="none"/>
        </w:rPr>
      </w:pPr>
      <w:bookmarkStart w:id="171" w:name="_Toc496599002"/>
      <w:bookmarkStart w:id="172" w:name="_Toc24112"/>
      <w:bookmarkStart w:id="173" w:name="_Toc4504"/>
      <w:r>
        <w:rPr>
          <w:rFonts w:hint="eastAsia" w:ascii="宋体" w:hAnsi="宋体" w:eastAsia="宋体" w:cs="宋体"/>
          <w:bCs/>
          <w:color w:val="auto"/>
          <w:sz w:val="24"/>
          <w:highlight w:val="none"/>
        </w:rPr>
        <w:t>附件</w:t>
      </w:r>
      <w:r>
        <w:rPr>
          <w:rFonts w:hint="eastAsia" w:ascii="宋体" w:hAnsi="宋体" w:cs="宋体"/>
          <w:bCs/>
          <w:color w:val="auto"/>
          <w:sz w:val="24"/>
          <w:highlight w:val="none"/>
          <w:lang w:val="en-US" w:eastAsia="zh-CN"/>
        </w:rPr>
        <w:t>十八</w:t>
      </w:r>
      <w:r>
        <w:rPr>
          <w:rFonts w:hint="eastAsia" w:ascii="宋体" w:hAnsi="宋体" w:eastAsia="宋体" w:cs="宋体"/>
          <w:bCs/>
          <w:color w:val="auto"/>
          <w:sz w:val="24"/>
          <w:highlight w:val="none"/>
        </w:rPr>
        <w:t>：</w:t>
      </w:r>
      <w:bookmarkEnd w:id="171"/>
      <w:r>
        <w:rPr>
          <w:rFonts w:hint="eastAsia" w:ascii="宋体" w:hAnsi="宋体" w:eastAsia="宋体" w:cs="宋体"/>
          <w:bCs/>
          <w:color w:val="auto"/>
          <w:sz w:val="24"/>
          <w:highlight w:val="none"/>
        </w:rPr>
        <w:t>东阳市政府采购代理机构社会评价表</w:t>
      </w:r>
      <w:bookmarkEnd w:id="172"/>
      <w:bookmarkEnd w:id="173"/>
    </w:p>
    <w:p w14:paraId="3C214429">
      <w:pPr>
        <w:shd w:val="clea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东阳市政府采购代理机构社会评价表</w:t>
      </w:r>
    </w:p>
    <w:p w14:paraId="690CD813">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代理机构名称： </w:t>
      </w:r>
    </w:p>
    <w:tbl>
      <w:tblPr>
        <w:tblStyle w:val="3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69"/>
        <w:gridCol w:w="696"/>
        <w:gridCol w:w="1067"/>
        <w:gridCol w:w="1031"/>
        <w:gridCol w:w="792"/>
        <w:gridCol w:w="2883"/>
      </w:tblGrid>
      <w:tr w14:paraId="49EC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42" w:type="dxa"/>
            <w:tcBorders>
              <w:top w:val="single" w:color="auto" w:sz="4" w:space="0"/>
              <w:left w:val="single" w:color="auto" w:sz="4" w:space="0"/>
              <w:bottom w:val="single" w:color="auto" w:sz="4" w:space="0"/>
              <w:right w:val="single" w:color="auto" w:sz="4" w:space="0"/>
            </w:tcBorders>
            <w:vAlign w:val="center"/>
          </w:tcPr>
          <w:p w14:paraId="752E6B7E">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填表人类别</w:t>
            </w:r>
          </w:p>
        </w:tc>
        <w:tc>
          <w:tcPr>
            <w:tcW w:w="7938" w:type="dxa"/>
            <w:gridSpan w:val="6"/>
            <w:tcBorders>
              <w:top w:val="single" w:color="auto" w:sz="4" w:space="0"/>
              <w:left w:val="nil"/>
              <w:bottom w:val="single" w:color="auto" w:sz="4" w:space="0"/>
              <w:right w:val="single" w:color="auto" w:sz="4" w:space="0"/>
            </w:tcBorders>
            <w:vAlign w:val="center"/>
          </w:tcPr>
          <w:p w14:paraId="123DFD21">
            <w:pPr>
              <w:shd w:val="clear"/>
              <w:ind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□采购单位      □供应商      □专家     </w:t>
            </w:r>
          </w:p>
        </w:tc>
      </w:tr>
      <w:tr w14:paraId="1D25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242" w:type="dxa"/>
            <w:tcBorders>
              <w:top w:val="single" w:color="auto" w:sz="4" w:space="0"/>
              <w:left w:val="single" w:color="auto" w:sz="4" w:space="0"/>
              <w:bottom w:val="single" w:color="auto" w:sz="4" w:space="0"/>
              <w:right w:val="single" w:color="auto" w:sz="4" w:space="0"/>
            </w:tcBorders>
            <w:vAlign w:val="center"/>
          </w:tcPr>
          <w:p w14:paraId="7D74B867">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填表人名称或姓名</w:t>
            </w:r>
          </w:p>
        </w:tc>
        <w:tc>
          <w:tcPr>
            <w:tcW w:w="4266" w:type="dxa"/>
            <w:gridSpan w:val="4"/>
            <w:tcBorders>
              <w:top w:val="single" w:color="auto" w:sz="4" w:space="0"/>
              <w:left w:val="nil"/>
              <w:bottom w:val="single" w:color="auto" w:sz="4" w:space="0"/>
              <w:right w:val="single" w:color="auto" w:sz="4" w:space="0"/>
            </w:tcBorders>
            <w:vAlign w:val="center"/>
          </w:tcPr>
          <w:p w14:paraId="1A24F482">
            <w:pPr>
              <w:shd w:val="clear"/>
              <w:jc w:val="center"/>
              <w:rPr>
                <w:rFonts w:hint="eastAsia" w:ascii="宋体" w:hAnsi="宋体" w:eastAsia="宋体" w:cs="宋体"/>
                <w:color w:val="auto"/>
                <w:sz w:val="24"/>
                <w:highlight w:val="none"/>
              </w:rPr>
            </w:pPr>
          </w:p>
        </w:tc>
        <w:tc>
          <w:tcPr>
            <w:tcW w:w="792" w:type="dxa"/>
            <w:tcBorders>
              <w:top w:val="single" w:color="auto" w:sz="4" w:space="0"/>
              <w:left w:val="nil"/>
              <w:bottom w:val="single" w:color="auto" w:sz="4" w:space="0"/>
              <w:right w:val="single" w:color="auto" w:sz="4" w:space="0"/>
            </w:tcBorders>
            <w:vAlign w:val="center"/>
          </w:tcPr>
          <w:p w14:paraId="40F80921">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p>
        </w:tc>
        <w:tc>
          <w:tcPr>
            <w:tcW w:w="2880" w:type="dxa"/>
            <w:tcBorders>
              <w:top w:val="single" w:color="auto" w:sz="4" w:space="0"/>
              <w:left w:val="single" w:color="auto" w:sz="4" w:space="0"/>
              <w:bottom w:val="single" w:color="auto" w:sz="4" w:space="0"/>
              <w:right w:val="single" w:color="auto" w:sz="4" w:space="0"/>
            </w:tcBorders>
            <w:vAlign w:val="center"/>
          </w:tcPr>
          <w:p w14:paraId="28D96C22">
            <w:pPr>
              <w:shd w:val="clear"/>
              <w:jc w:val="center"/>
              <w:rPr>
                <w:rFonts w:hint="eastAsia" w:ascii="宋体" w:hAnsi="宋体" w:eastAsia="宋体" w:cs="宋体"/>
                <w:color w:val="auto"/>
                <w:sz w:val="24"/>
                <w:highlight w:val="none"/>
              </w:rPr>
            </w:pPr>
          </w:p>
        </w:tc>
      </w:tr>
      <w:tr w14:paraId="7B77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tcBorders>
              <w:top w:val="single" w:color="auto" w:sz="4" w:space="0"/>
              <w:left w:val="single" w:color="auto" w:sz="4" w:space="0"/>
              <w:bottom w:val="single" w:color="auto" w:sz="4" w:space="0"/>
              <w:right w:val="single" w:color="auto" w:sz="4" w:space="0"/>
            </w:tcBorders>
            <w:vAlign w:val="center"/>
          </w:tcPr>
          <w:p w14:paraId="7A5A593B">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p>
        </w:tc>
        <w:tc>
          <w:tcPr>
            <w:tcW w:w="1470" w:type="dxa"/>
            <w:tcBorders>
              <w:top w:val="single" w:color="auto" w:sz="4" w:space="0"/>
              <w:left w:val="nil"/>
              <w:bottom w:val="single" w:color="auto" w:sz="4" w:space="0"/>
              <w:right w:val="single" w:color="auto" w:sz="4" w:space="0"/>
            </w:tcBorders>
            <w:vAlign w:val="center"/>
          </w:tcPr>
          <w:p w14:paraId="0DA8BBF8">
            <w:pPr>
              <w:shd w:val="clear"/>
              <w:jc w:val="center"/>
              <w:rPr>
                <w:rFonts w:hint="eastAsia" w:ascii="宋体" w:hAnsi="宋体" w:eastAsia="宋体" w:cs="宋体"/>
                <w:color w:val="auto"/>
                <w:sz w:val="24"/>
                <w:highlight w:val="none"/>
              </w:rPr>
            </w:pPr>
          </w:p>
        </w:tc>
        <w:tc>
          <w:tcPr>
            <w:tcW w:w="696" w:type="dxa"/>
            <w:tcBorders>
              <w:top w:val="single" w:color="auto" w:sz="4" w:space="0"/>
              <w:left w:val="nil"/>
              <w:bottom w:val="single" w:color="auto" w:sz="4" w:space="0"/>
              <w:right w:val="single" w:color="auto" w:sz="4" w:space="0"/>
            </w:tcBorders>
            <w:vAlign w:val="center"/>
          </w:tcPr>
          <w:p w14:paraId="0A0AFA63">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电话</w:t>
            </w:r>
          </w:p>
        </w:tc>
        <w:tc>
          <w:tcPr>
            <w:tcW w:w="2100" w:type="dxa"/>
            <w:gridSpan w:val="2"/>
            <w:tcBorders>
              <w:top w:val="single" w:color="auto" w:sz="4" w:space="0"/>
              <w:left w:val="nil"/>
              <w:bottom w:val="single" w:color="auto" w:sz="4" w:space="0"/>
              <w:right w:val="single" w:color="auto" w:sz="4" w:space="0"/>
            </w:tcBorders>
            <w:vAlign w:val="center"/>
          </w:tcPr>
          <w:p w14:paraId="66CE3168">
            <w:pPr>
              <w:shd w:val="clear"/>
              <w:jc w:val="center"/>
              <w:rPr>
                <w:rFonts w:hint="eastAsia" w:ascii="宋体" w:hAnsi="宋体" w:eastAsia="宋体" w:cs="宋体"/>
                <w:color w:val="auto"/>
                <w:sz w:val="24"/>
                <w:highlight w:val="none"/>
              </w:rPr>
            </w:pPr>
          </w:p>
        </w:tc>
        <w:tc>
          <w:tcPr>
            <w:tcW w:w="787" w:type="dxa"/>
            <w:tcBorders>
              <w:top w:val="single" w:color="auto" w:sz="4" w:space="0"/>
              <w:left w:val="nil"/>
              <w:bottom w:val="single" w:color="auto" w:sz="4" w:space="0"/>
              <w:right w:val="single" w:color="auto" w:sz="4" w:space="0"/>
            </w:tcBorders>
            <w:vAlign w:val="center"/>
          </w:tcPr>
          <w:p w14:paraId="090051CC">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传真</w:t>
            </w:r>
          </w:p>
        </w:tc>
        <w:tc>
          <w:tcPr>
            <w:tcW w:w="2885" w:type="dxa"/>
            <w:tcBorders>
              <w:top w:val="single" w:color="auto" w:sz="4" w:space="0"/>
              <w:left w:val="single" w:color="auto" w:sz="4" w:space="0"/>
              <w:bottom w:val="single" w:color="auto" w:sz="4" w:space="0"/>
              <w:right w:val="single" w:color="auto" w:sz="4" w:space="0"/>
            </w:tcBorders>
            <w:vAlign w:val="center"/>
          </w:tcPr>
          <w:p w14:paraId="00BD1BBA">
            <w:pPr>
              <w:shd w:val="clear"/>
              <w:jc w:val="center"/>
              <w:rPr>
                <w:rFonts w:hint="eastAsia" w:ascii="宋体" w:hAnsi="宋体" w:eastAsia="宋体" w:cs="宋体"/>
                <w:color w:val="auto"/>
                <w:sz w:val="24"/>
                <w:highlight w:val="none"/>
              </w:rPr>
            </w:pPr>
          </w:p>
        </w:tc>
      </w:tr>
      <w:tr w14:paraId="51D3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vAlign w:val="center"/>
          </w:tcPr>
          <w:p w14:paraId="3D13B4E4">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对代理机构的评价</w:t>
            </w:r>
          </w:p>
        </w:tc>
        <w:tc>
          <w:tcPr>
            <w:tcW w:w="3234" w:type="dxa"/>
            <w:gridSpan w:val="3"/>
            <w:tcBorders>
              <w:top w:val="single" w:color="auto" w:sz="4" w:space="0"/>
              <w:left w:val="nil"/>
              <w:bottom w:val="single" w:color="auto" w:sz="4" w:space="0"/>
              <w:right w:val="single" w:color="auto" w:sz="4" w:space="0"/>
            </w:tcBorders>
            <w:vAlign w:val="center"/>
          </w:tcPr>
          <w:p w14:paraId="4085E6EE">
            <w:pPr>
              <w:shd w:val="clear"/>
              <w:spacing w:line="5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tc>
        <w:tc>
          <w:tcPr>
            <w:tcW w:w="4704" w:type="dxa"/>
            <w:gridSpan w:val="3"/>
            <w:tcBorders>
              <w:top w:val="single" w:color="auto" w:sz="4" w:space="0"/>
              <w:left w:val="nil"/>
              <w:bottom w:val="single" w:color="auto" w:sz="4" w:space="0"/>
              <w:right w:val="single" w:color="auto" w:sz="4" w:space="0"/>
            </w:tcBorders>
            <w:vAlign w:val="center"/>
          </w:tcPr>
          <w:p w14:paraId="232C928A">
            <w:pPr>
              <w:shd w:val="clear"/>
              <w:spacing w:line="5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评价（请在分值范围内进行打分）</w:t>
            </w:r>
          </w:p>
        </w:tc>
      </w:tr>
      <w:tr w14:paraId="1953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53C1A2DA">
            <w:pPr>
              <w:widowControl/>
              <w:shd w:val="clear"/>
              <w:jc w:val="left"/>
              <w:rPr>
                <w:rFonts w:hint="eastAsia" w:ascii="宋体" w:hAnsi="宋体" w:eastAsia="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352D3E6C">
            <w:pPr>
              <w:shd w:val="clea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是否严格执行政府采购纪律、法规和规章制度等（2分）。</w:t>
            </w:r>
          </w:p>
        </w:tc>
        <w:tc>
          <w:tcPr>
            <w:tcW w:w="4704" w:type="dxa"/>
            <w:gridSpan w:val="3"/>
            <w:tcBorders>
              <w:top w:val="single" w:color="auto" w:sz="4" w:space="0"/>
              <w:left w:val="nil"/>
              <w:bottom w:val="single" w:color="auto" w:sz="4" w:space="0"/>
              <w:right w:val="single" w:color="auto" w:sz="4" w:space="0"/>
            </w:tcBorders>
            <w:vAlign w:val="center"/>
          </w:tcPr>
          <w:p w14:paraId="2524329F">
            <w:pPr>
              <w:shd w:val="clear"/>
              <w:spacing w:line="500" w:lineRule="exact"/>
              <w:jc w:val="center"/>
              <w:rPr>
                <w:rFonts w:hint="eastAsia" w:ascii="宋体" w:hAnsi="宋体" w:eastAsia="宋体" w:cs="宋体"/>
                <w:color w:val="auto"/>
                <w:sz w:val="24"/>
                <w:highlight w:val="none"/>
              </w:rPr>
            </w:pPr>
          </w:p>
        </w:tc>
      </w:tr>
      <w:tr w14:paraId="7F79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5525F6AC">
            <w:pPr>
              <w:widowControl/>
              <w:shd w:val="clear"/>
              <w:jc w:val="left"/>
              <w:rPr>
                <w:rFonts w:hint="eastAsia" w:ascii="宋体" w:hAnsi="宋体" w:eastAsia="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54225911">
            <w:pPr>
              <w:shd w:val="clea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操作程序是否规范，采购行为、过程、结果是否公开、公平、公正，采购组织管理是否规范严谨（2分）</w:t>
            </w:r>
            <w:r>
              <w:rPr>
                <w:rFonts w:hint="eastAsia" w:ascii="宋体" w:hAnsi="宋体" w:eastAsia="宋体" w:cs="宋体"/>
                <w:color w:val="auto"/>
                <w:kern w:val="0"/>
                <w:sz w:val="24"/>
                <w:highlight w:val="none"/>
              </w:rPr>
              <w:t>。</w:t>
            </w:r>
          </w:p>
        </w:tc>
        <w:tc>
          <w:tcPr>
            <w:tcW w:w="4704" w:type="dxa"/>
            <w:gridSpan w:val="3"/>
            <w:tcBorders>
              <w:top w:val="single" w:color="auto" w:sz="4" w:space="0"/>
              <w:left w:val="nil"/>
              <w:bottom w:val="single" w:color="auto" w:sz="4" w:space="0"/>
              <w:right w:val="single" w:color="auto" w:sz="4" w:space="0"/>
            </w:tcBorders>
            <w:vAlign w:val="center"/>
          </w:tcPr>
          <w:p w14:paraId="696A8641">
            <w:pPr>
              <w:shd w:val="clear"/>
              <w:spacing w:line="500" w:lineRule="exact"/>
              <w:jc w:val="center"/>
              <w:rPr>
                <w:rFonts w:hint="eastAsia" w:ascii="宋体" w:hAnsi="宋体" w:eastAsia="宋体" w:cs="宋体"/>
                <w:color w:val="auto"/>
                <w:sz w:val="24"/>
                <w:highlight w:val="none"/>
              </w:rPr>
            </w:pPr>
          </w:p>
        </w:tc>
      </w:tr>
      <w:tr w14:paraId="1332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6E61BED5">
            <w:pPr>
              <w:widowControl/>
              <w:shd w:val="clear"/>
              <w:jc w:val="left"/>
              <w:rPr>
                <w:rFonts w:hint="eastAsia" w:ascii="宋体" w:hAnsi="宋体" w:eastAsia="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4B3E1A31">
            <w:pPr>
              <w:shd w:val="clear"/>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是否及时组织采购，是否有承诺办事时间并能限时办结（2分）</w:t>
            </w:r>
            <w:r>
              <w:rPr>
                <w:rFonts w:hint="eastAsia" w:ascii="宋体" w:hAnsi="宋体" w:eastAsia="宋体" w:cs="宋体"/>
                <w:color w:val="auto"/>
                <w:kern w:val="0"/>
                <w:sz w:val="24"/>
                <w:highlight w:val="none"/>
              </w:rPr>
              <w:t>。</w:t>
            </w:r>
          </w:p>
        </w:tc>
        <w:tc>
          <w:tcPr>
            <w:tcW w:w="4704" w:type="dxa"/>
            <w:gridSpan w:val="3"/>
            <w:tcBorders>
              <w:top w:val="single" w:color="auto" w:sz="4" w:space="0"/>
              <w:left w:val="nil"/>
              <w:bottom w:val="single" w:color="auto" w:sz="4" w:space="0"/>
              <w:right w:val="single" w:color="auto" w:sz="4" w:space="0"/>
            </w:tcBorders>
            <w:vAlign w:val="center"/>
          </w:tcPr>
          <w:p w14:paraId="461E1E4D">
            <w:pPr>
              <w:shd w:val="clear"/>
              <w:spacing w:line="500" w:lineRule="exact"/>
              <w:jc w:val="center"/>
              <w:rPr>
                <w:rFonts w:hint="eastAsia" w:ascii="宋体" w:hAnsi="宋体" w:eastAsia="宋体" w:cs="宋体"/>
                <w:color w:val="auto"/>
                <w:sz w:val="24"/>
                <w:highlight w:val="none"/>
              </w:rPr>
            </w:pPr>
          </w:p>
        </w:tc>
      </w:tr>
      <w:tr w14:paraId="2835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39D7C96C">
            <w:pPr>
              <w:widowControl/>
              <w:shd w:val="clear"/>
              <w:jc w:val="left"/>
              <w:rPr>
                <w:rFonts w:hint="eastAsia" w:ascii="宋体" w:hAnsi="宋体" w:eastAsia="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137E7378">
            <w:pPr>
              <w:shd w:val="clear"/>
              <w:rPr>
                <w:rFonts w:hint="eastAsia" w:ascii="宋体" w:hAnsi="宋体" w:eastAsia="宋体" w:cs="宋体"/>
                <w:color w:val="auto"/>
                <w:sz w:val="24"/>
                <w:highlight w:val="none"/>
              </w:rPr>
            </w:pPr>
            <w:r>
              <w:rPr>
                <w:rFonts w:hint="eastAsia" w:ascii="宋体" w:hAnsi="宋体" w:eastAsia="宋体" w:cs="宋体"/>
                <w:color w:val="auto"/>
                <w:sz w:val="24"/>
                <w:highlight w:val="none"/>
              </w:rPr>
              <w:t>是否能积极</w:t>
            </w:r>
            <w:r>
              <w:rPr>
                <w:rFonts w:hint="eastAsia" w:ascii="宋体" w:hAnsi="宋体" w:eastAsia="宋体" w:cs="宋体"/>
                <w:color w:val="auto"/>
                <w:kern w:val="0"/>
                <w:sz w:val="24"/>
                <w:highlight w:val="none"/>
              </w:rPr>
              <w:t>主动</w:t>
            </w:r>
            <w:r>
              <w:rPr>
                <w:rFonts w:hint="eastAsia" w:ascii="宋体" w:hAnsi="宋体" w:eastAsia="宋体" w:cs="宋体"/>
                <w:color w:val="auto"/>
                <w:sz w:val="24"/>
                <w:highlight w:val="none"/>
              </w:rPr>
              <w:t>与当事人沟通</w:t>
            </w:r>
            <w:r>
              <w:rPr>
                <w:rFonts w:hint="eastAsia" w:ascii="宋体" w:hAnsi="宋体" w:eastAsia="宋体" w:cs="宋体"/>
                <w:color w:val="auto"/>
                <w:kern w:val="0"/>
                <w:sz w:val="24"/>
                <w:highlight w:val="none"/>
              </w:rPr>
              <w:t>对接；对采购政策进行详细解读；</w:t>
            </w:r>
            <w:r>
              <w:rPr>
                <w:rFonts w:hint="eastAsia" w:ascii="宋体" w:hAnsi="宋体" w:eastAsia="宋体" w:cs="宋体"/>
                <w:color w:val="auto"/>
                <w:sz w:val="24"/>
                <w:highlight w:val="none"/>
              </w:rPr>
              <w:t>咨询答复是否热情周到、耐心细致（2分）</w:t>
            </w:r>
            <w:r>
              <w:rPr>
                <w:rFonts w:hint="eastAsia" w:ascii="宋体" w:hAnsi="宋体" w:eastAsia="宋体" w:cs="宋体"/>
                <w:color w:val="auto"/>
                <w:kern w:val="0"/>
                <w:sz w:val="24"/>
                <w:highlight w:val="none"/>
              </w:rPr>
              <w:t>。</w:t>
            </w:r>
          </w:p>
        </w:tc>
        <w:tc>
          <w:tcPr>
            <w:tcW w:w="4704" w:type="dxa"/>
            <w:gridSpan w:val="3"/>
            <w:tcBorders>
              <w:top w:val="single" w:color="auto" w:sz="4" w:space="0"/>
              <w:left w:val="nil"/>
              <w:bottom w:val="single" w:color="auto" w:sz="4" w:space="0"/>
              <w:right w:val="single" w:color="auto" w:sz="4" w:space="0"/>
            </w:tcBorders>
            <w:vAlign w:val="center"/>
          </w:tcPr>
          <w:p w14:paraId="6406046E">
            <w:pPr>
              <w:shd w:val="clear"/>
              <w:spacing w:line="500" w:lineRule="exact"/>
              <w:jc w:val="center"/>
              <w:rPr>
                <w:rFonts w:hint="eastAsia" w:ascii="宋体" w:hAnsi="宋体" w:eastAsia="宋体" w:cs="宋体"/>
                <w:color w:val="auto"/>
                <w:sz w:val="24"/>
                <w:highlight w:val="none"/>
              </w:rPr>
            </w:pPr>
          </w:p>
        </w:tc>
      </w:tr>
      <w:tr w14:paraId="61B7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441580AD">
            <w:pPr>
              <w:widowControl/>
              <w:shd w:val="clear"/>
              <w:jc w:val="left"/>
              <w:rPr>
                <w:rFonts w:hint="eastAsia" w:ascii="宋体" w:hAnsi="宋体" w:eastAsia="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42990A90">
            <w:pPr>
              <w:shd w:val="clea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采购的质量、服务是否满意（2分）。</w:t>
            </w:r>
          </w:p>
        </w:tc>
        <w:tc>
          <w:tcPr>
            <w:tcW w:w="4704" w:type="dxa"/>
            <w:gridSpan w:val="3"/>
            <w:tcBorders>
              <w:top w:val="single" w:color="auto" w:sz="4" w:space="0"/>
              <w:left w:val="nil"/>
              <w:bottom w:val="single" w:color="auto" w:sz="4" w:space="0"/>
              <w:right w:val="single" w:color="auto" w:sz="4" w:space="0"/>
            </w:tcBorders>
            <w:vAlign w:val="center"/>
          </w:tcPr>
          <w:p w14:paraId="5634639D">
            <w:pPr>
              <w:shd w:val="clear"/>
              <w:spacing w:line="500" w:lineRule="exact"/>
              <w:jc w:val="center"/>
              <w:rPr>
                <w:rFonts w:hint="eastAsia" w:ascii="宋体" w:hAnsi="宋体" w:eastAsia="宋体" w:cs="宋体"/>
                <w:color w:val="auto"/>
                <w:sz w:val="24"/>
                <w:highlight w:val="none"/>
              </w:rPr>
            </w:pPr>
          </w:p>
        </w:tc>
      </w:tr>
      <w:tr w14:paraId="2901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14:paraId="50FF577D">
            <w:pPr>
              <w:widowControl/>
              <w:shd w:val="clear"/>
              <w:jc w:val="left"/>
              <w:rPr>
                <w:rFonts w:hint="eastAsia" w:ascii="宋体" w:hAnsi="宋体" w:eastAsia="宋体" w:cs="宋体"/>
                <w:color w:val="auto"/>
                <w:sz w:val="24"/>
                <w:highlight w:val="none"/>
              </w:rPr>
            </w:pPr>
          </w:p>
        </w:tc>
        <w:tc>
          <w:tcPr>
            <w:tcW w:w="3234" w:type="dxa"/>
            <w:gridSpan w:val="3"/>
            <w:tcBorders>
              <w:top w:val="single" w:color="auto" w:sz="4" w:space="0"/>
              <w:left w:val="nil"/>
              <w:bottom w:val="single" w:color="auto" w:sz="4" w:space="0"/>
              <w:right w:val="single" w:color="auto" w:sz="4" w:space="0"/>
            </w:tcBorders>
            <w:vAlign w:val="center"/>
          </w:tcPr>
          <w:p w14:paraId="14A80211">
            <w:pPr>
              <w:shd w:val="clear"/>
              <w:spacing w:line="5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合计</w:t>
            </w:r>
          </w:p>
        </w:tc>
        <w:tc>
          <w:tcPr>
            <w:tcW w:w="4704" w:type="dxa"/>
            <w:gridSpan w:val="3"/>
            <w:tcBorders>
              <w:top w:val="single" w:color="auto" w:sz="4" w:space="0"/>
              <w:left w:val="nil"/>
              <w:bottom w:val="single" w:color="auto" w:sz="4" w:space="0"/>
              <w:right w:val="single" w:color="auto" w:sz="4" w:space="0"/>
            </w:tcBorders>
            <w:vAlign w:val="center"/>
          </w:tcPr>
          <w:p w14:paraId="283F5918">
            <w:pPr>
              <w:shd w:val="clear"/>
              <w:spacing w:line="500" w:lineRule="exact"/>
              <w:jc w:val="center"/>
              <w:rPr>
                <w:rFonts w:hint="eastAsia" w:ascii="宋体" w:hAnsi="宋体" w:eastAsia="宋体" w:cs="宋体"/>
                <w:color w:val="auto"/>
                <w:sz w:val="24"/>
                <w:highlight w:val="none"/>
              </w:rPr>
            </w:pPr>
          </w:p>
        </w:tc>
      </w:tr>
      <w:tr w14:paraId="19A4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vAlign w:val="center"/>
          </w:tcPr>
          <w:p w14:paraId="6B200A98">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对代理机构的意见和建议</w:t>
            </w:r>
          </w:p>
        </w:tc>
        <w:tc>
          <w:tcPr>
            <w:tcW w:w="7938" w:type="dxa"/>
            <w:gridSpan w:val="6"/>
            <w:tcBorders>
              <w:top w:val="single" w:color="auto" w:sz="4" w:space="0"/>
              <w:left w:val="nil"/>
              <w:bottom w:val="single" w:color="auto" w:sz="4" w:space="0"/>
              <w:right w:val="single" w:color="auto" w:sz="4" w:space="0"/>
            </w:tcBorders>
            <w:vAlign w:val="center"/>
          </w:tcPr>
          <w:p w14:paraId="08106A81">
            <w:pPr>
              <w:shd w:val="clear"/>
              <w:jc w:val="center"/>
              <w:rPr>
                <w:rFonts w:hint="eastAsia" w:ascii="宋体" w:hAnsi="宋体" w:eastAsia="宋体" w:cs="宋体"/>
                <w:color w:val="auto"/>
                <w:sz w:val="24"/>
                <w:highlight w:val="none"/>
              </w:rPr>
            </w:pPr>
          </w:p>
        </w:tc>
      </w:tr>
      <w:tr w14:paraId="04CD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vAlign w:val="center"/>
          </w:tcPr>
          <w:p w14:paraId="6D7639C9">
            <w:pPr>
              <w:shd w:val="clea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c>
          <w:tcPr>
            <w:tcW w:w="7938" w:type="dxa"/>
            <w:gridSpan w:val="6"/>
            <w:tcBorders>
              <w:top w:val="single" w:color="auto" w:sz="4" w:space="0"/>
              <w:left w:val="nil"/>
              <w:bottom w:val="single" w:color="auto" w:sz="4" w:space="0"/>
              <w:right w:val="single" w:color="auto" w:sz="4" w:space="0"/>
            </w:tcBorders>
            <w:vAlign w:val="center"/>
          </w:tcPr>
          <w:p w14:paraId="67D1555A">
            <w:pPr>
              <w:shd w:val="clear"/>
              <w:jc w:val="center"/>
              <w:rPr>
                <w:rFonts w:hint="eastAsia" w:ascii="宋体" w:hAnsi="宋体" w:eastAsia="宋体" w:cs="宋体"/>
                <w:color w:val="auto"/>
                <w:sz w:val="24"/>
                <w:highlight w:val="none"/>
              </w:rPr>
            </w:pPr>
          </w:p>
        </w:tc>
      </w:tr>
    </w:tbl>
    <w:p w14:paraId="6157879D">
      <w:pPr>
        <w:shd w:val="clear"/>
        <w:spacing w:after="120"/>
        <w:ind w:right="1240"/>
        <w:rPr>
          <w:rFonts w:hint="eastAsia" w:ascii="宋体" w:hAnsi="宋体" w:eastAsia="宋体" w:cs="宋体"/>
          <w:color w:val="auto"/>
          <w:sz w:val="24"/>
          <w:highlight w:val="none"/>
        </w:rPr>
      </w:pPr>
      <w:r>
        <w:rPr>
          <w:rFonts w:hint="eastAsia" w:ascii="宋体" w:hAnsi="宋体" w:eastAsia="宋体" w:cs="宋体"/>
          <w:color w:val="auto"/>
          <w:sz w:val="24"/>
          <w:highlight w:val="none"/>
        </w:rPr>
        <w:t>填表人签字盖章：                    日期</w:t>
      </w:r>
    </w:p>
    <w:p w14:paraId="08A38BF8">
      <w:pPr>
        <w:shd w:val="clear"/>
        <w:spacing w:after="120"/>
        <w:ind w:right="-154"/>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注：投标单位须加盖单位红章。</w:t>
      </w:r>
    </w:p>
    <w:p w14:paraId="011577C7">
      <w:pPr>
        <w:pStyle w:val="8"/>
        <w:shd w:val="clear"/>
        <w:rPr>
          <w:rFonts w:hint="eastAsia" w:ascii="宋体" w:hAnsi="宋体" w:eastAsia="宋体" w:cs="宋体"/>
          <w:b w:val="0"/>
          <w:color w:val="auto"/>
          <w:sz w:val="24"/>
          <w:szCs w:val="24"/>
          <w:highlight w:val="none"/>
        </w:rPr>
      </w:pPr>
      <w:bookmarkStart w:id="174" w:name="_Toc25847"/>
      <w:bookmarkStart w:id="175" w:name="_Toc10113"/>
      <w:bookmarkStart w:id="176" w:name="_Toc189"/>
      <w:r>
        <w:rPr>
          <w:rFonts w:hint="eastAsia" w:ascii="宋体" w:hAnsi="宋体" w:eastAsia="宋体" w:cs="宋体"/>
          <w:b w:val="0"/>
          <w:color w:val="auto"/>
          <w:sz w:val="24"/>
          <w:szCs w:val="24"/>
          <w:highlight w:val="none"/>
        </w:rPr>
        <w:t>附件</w:t>
      </w:r>
      <w:r>
        <w:rPr>
          <w:rFonts w:hint="eastAsia" w:ascii="宋体" w:hAnsi="宋体" w:eastAsia="宋体" w:cs="宋体"/>
          <w:b w:val="0"/>
          <w:color w:val="auto"/>
          <w:sz w:val="24"/>
          <w:szCs w:val="24"/>
          <w:highlight w:val="none"/>
          <w:lang w:val="en-US" w:eastAsia="zh-CN"/>
        </w:rPr>
        <w:t>十九</w:t>
      </w:r>
      <w:r>
        <w:rPr>
          <w:rFonts w:hint="eastAsia" w:ascii="宋体" w:hAnsi="宋体" w:eastAsia="宋体" w:cs="宋体"/>
          <w:b w:val="0"/>
          <w:color w:val="auto"/>
          <w:sz w:val="24"/>
          <w:szCs w:val="24"/>
          <w:highlight w:val="none"/>
        </w:rPr>
        <w:t>：办理保函需提供资料</w:t>
      </w:r>
      <w:bookmarkEnd w:id="174"/>
      <w:bookmarkEnd w:id="175"/>
      <w:bookmarkEnd w:id="176"/>
    </w:p>
    <w:p w14:paraId="5D5A4812">
      <w:pPr>
        <w:shd w:val="clear"/>
        <w:spacing w:after="120"/>
        <w:ind w:right="-154"/>
        <w:rPr>
          <w:rFonts w:hint="eastAsia" w:ascii="宋体" w:hAnsi="宋体" w:eastAsia="宋体" w:cs="宋体"/>
          <w:color w:val="auto"/>
          <w:sz w:val="24"/>
          <w:highlight w:val="none"/>
        </w:rPr>
      </w:pPr>
    </w:p>
    <w:p w14:paraId="7DDA2DB5">
      <w:pPr>
        <w:shd w:val="clear"/>
        <w:spacing w:after="120"/>
        <w:ind w:right="-154"/>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办理保函需提供资料</w:t>
      </w:r>
    </w:p>
    <w:p w14:paraId="623849AA">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营业执照</w:t>
      </w:r>
    </w:p>
    <w:p w14:paraId="3C1D8C07">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法人身份证</w:t>
      </w:r>
    </w:p>
    <w:p w14:paraId="07F3A94F">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近两年财务报表</w:t>
      </w:r>
    </w:p>
    <w:p w14:paraId="5E64D0BA">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资质证书或安装，维修证书</w:t>
      </w:r>
    </w:p>
    <w:p w14:paraId="31053C9F">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中标通知书</w:t>
      </w:r>
    </w:p>
    <w:p w14:paraId="32484205">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招标文件电子版</w:t>
      </w:r>
    </w:p>
    <w:p w14:paraId="204B6C66">
      <w:pPr>
        <w:numPr>
          <w:ilvl w:val="0"/>
          <w:numId w:val="25"/>
        </w:num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信用反担保函</w:t>
      </w:r>
    </w:p>
    <w:p w14:paraId="11BB4F1D">
      <w:pPr>
        <w:shd w:val="clear"/>
        <w:spacing w:line="8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注：所有资料复印件加盖公章</w:t>
      </w:r>
    </w:p>
    <w:p w14:paraId="7CB36F9A">
      <w:pPr>
        <w:shd w:val="clear"/>
        <w:spacing w:after="120"/>
        <w:ind w:right="-154"/>
        <w:rPr>
          <w:rFonts w:hint="eastAsia" w:ascii="宋体" w:hAnsi="宋体" w:eastAsia="宋体" w:cs="宋体"/>
          <w:b/>
          <w:color w:val="auto"/>
          <w:sz w:val="24"/>
          <w:highlight w:val="none"/>
        </w:rPr>
      </w:pPr>
    </w:p>
    <w:p w14:paraId="4AA6C35A">
      <w:pPr>
        <w:shd w:val="clear"/>
        <w:spacing w:after="120"/>
        <w:ind w:right="-154"/>
        <w:rPr>
          <w:rFonts w:hint="eastAsia" w:ascii="宋体" w:hAnsi="宋体" w:eastAsia="宋体" w:cs="宋体"/>
          <w:b/>
          <w:color w:val="auto"/>
          <w:sz w:val="24"/>
          <w:highlight w:val="none"/>
        </w:rPr>
      </w:pPr>
    </w:p>
    <w:p w14:paraId="07393F8F">
      <w:pPr>
        <w:shd w:val="clear"/>
        <w:spacing w:after="120"/>
        <w:ind w:right="-154"/>
        <w:rPr>
          <w:rFonts w:hint="eastAsia" w:ascii="宋体" w:hAnsi="宋体" w:eastAsia="宋体" w:cs="宋体"/>
          <w:b/>
          <w:color w:val="auto"/>
          <w:sz w:val="24"/>
          <w:highlight w:val="none"/>
        </w:rPr>
      </w:pPr>
    </w:p>
    <w:p w14:paraId="6FC64820">
      <w:pPr>
        <w:shd w:val="clear"/>
        <w:spacing w:after="120"/>
        <w:ind w:right="-154"/>
        <w:rPr>
          <w:rFonts w:hint="eastAsia" w:ascii="宋体" w:hAnsi="宋体" w:eastAsia="宋体" w:cs="宋体"/>
          <w:b/>
          <w:color w:val="auto"/>
          <w:sz w:val="24"/>
          <w:highlight w:val="none"/>
        </w:rPr>
      </w:pPr>
    </w:p>
    <w:p w14:paraId="5213A476">
      <w:pPr>
        <w:shd w:val="clear"/>
        <w:spacing w:after="120"/>
        <w:ind w:right="-154"/>
        <w:rPr>
          <w:rFonts w:hint="eastAsia" w:ascii="宋体" w:hAnsi="宋体" w:eastAsia="宋体" w:cs="宋体"/>
          <w:b/>
          <w:color w:val="auto"/>
          <w:sz w:val="24"/>
          <w:highlight w:val="none"/>
        </w:rPr>
      </w:pPr>
    </w:p>
    <w:p w14:paraId="31EEBDBD">
      <w:pPr>
        <w:shd w:val="clear"/>
        <w:spacing w:after="120"/>
        <w:ind w:right="-154"/>
        <w:rPr>
          <w:rFonts w:hint="eastAsia" w:ascii="宋体" w:hAnsi="宋体" w:eastAsia="宋体" w:cs="宋体"/>
          <w:b/>
          <w:color w:val="auto"/>
          <w:sz w:val="24"/>
          <w:highlight w:val="none"/>
        </w:rPr>
      </w:pPr>
    </w:p>
    <w:p w14:paraId="31932F2F">
      <w:pPr>
        <w:shd w:val="clear"/>
        <w:spacing w:after="120"/>
        <w:ind w:right="-154"/>
        <w:rPr>
          <w:rFonts w:hint="eastAsia" w:ascii="宋体" w:hAnsi="宋体" w:eastAsia="宋体" w:cs="宋体"/>
          <w:b/>
          <w:color w:val="auto"/>
          <w:sz w:val="24"/>
          <w:highlight w:val="none"/>
        </w:rPr>
      </w:pPr>
    </w:p>
    <w:p w14:paraId="2510DC33">
      <w:pPr>
        <w:shd w:val="clear"/>
        <w:spacing w:after="120"/>
        <w:ind w:right="-154"/>
        <w:rPr>
          <w:rFonts w:hint="eastAsia" w:ascii="宋体" w:hAnsi="宋体" w:eastAsia="宋体" w:cs="宋体"/>
          <w:b/>
          <w:color w:val="auto"/>
          <w:sz w:val="24"/>
          <w:highlight w:val="none"/>
        </w:rPr>
      </w:pPr>
    </w:p>
    <w:p w14:paraId="447F06BC">
      <w:pPr>
        <w:shd w:val="clear"/>
        <w:spacing w:after="120"/>
        <w:ind w:right="-154"/>
        <w:rPr>
          <w:rFonts w:hint="eastAsia" w:ascii="宋体" w:hAnsi="宋体" w:eastAsia="宋体" w:cs="宋体"/>
          <w:b/>
          <w:color w:val="auto"/>
          <w:sz w:val="24"/>
          <w:highlight w:val="none"/>
        </w:rPr>
      </w:pPr>
    </w:p>
    <w:p w14:paraId="25F31DDA">
      <w:pPr>
        <w:shd w:val="clear"/>
        <w:spacing w:after="120"/>
        <w:ind w:right="-154"/>
        <w:rPr>
          <w:rFonts w:hint="eastAsia" w:ascii="宋体" w:hAnsi="宋体" w:eastAsia="宋体" w:cs="宋体"/>
          <w:b/>
          <w:color w:val="auto"/>
          <w:sz w:val="24"/>
          <w:highlight w:val="none"/>
        </w:rPr>
      </w:pPr>
    </w:p>
    <w:p w14:paraId="38674A85">
      <w:pPr>
        <w:shd w:val="clear"/>
        <w:spacing w:after="120"/>
        <w:ind w:right="-154"/>
        <w:rPr>
          <w:rFonts w:hint="eastAsia" w:ascii="宋体" w:hAnsi="宋体" w:eastAsia="宋体" w:cs="宋体"/>
          <w:b/>
          <w:color w:val="auto"/>
          <w:sz w:val="24"/>
          <w:highlight w:val="none"/>
        </w:rPr>
      </w:pPr>
    </w:p>
    <w:p w14:paraId="22865E8A">
      <w:pPr>
        <w:shd w:val="clear"/>
        <w:spacing w:after="120"/>
        <w:ind w:right="-154"/>
        <w:rPr>
          <w:rFonts w:hint="eastAsia" w:ascii="宋体" w:hAnsi="宋体" w:eastAsia="宋体" w:cs="宋体"/>
          <w:b/>
          <w:color w:val="auto"/>
          <w:sz w:val="24"/>
          <w:highlight w:val="none"/>
        </w:rPr>
      </w:pPr>
    </w:p>
    <w:p w14:paraId="157C0FFE">
      <w:pPr>
        <w:pageBreakBefore/>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信用反担保保证函</w:t>
      </w:r>
    </w:p>
    <w:p w14:paraId="171C0190">
      <w:pPr>
        <w:shd w:val="clea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中国人民财产保险股份有限公司</w:t>
      </w:r>
      <w:r>
        <w:rPr>
          <w:rFonts w:hint="eastAsia" w:ascii="宋体" w:hAnsi="宋体" w:eastAsia="宋体" w:cs="宋体"/>
          <w:b/>
          <w:bCs/>
          <w:color w:val="auto"/>
          <w:sz w:val="24"/>
          <w:highlight w:val="none"/>
          <w:u w:val="single"/>
        </w:rPr>
        <w:t>东阳</w:t>
      </w:r>
      <w:r>
        <w:rPr>
          <w:rFonts w:hint="eastAsia" w:ascii="宋体" w:hAnsi="宋体" w:eastAsia="宋体" w:cs="宋体"/>
          <w:color w:val="auto"/>
          <w:sz w:val="24"/>
          <w:highlight w:val="none"/>
        </w:rPr>
        <w:t>支公司：</w:t>
      </w:r>
    </w:p>
    <w:p w14:paraId="3953FB62">
      <w:pPr>
        <w:shd w:val="clear"/>
        <w:spacing w:line="520" w:lineRule="exact"/>
        <w:ind w:firstLine="480" w:firstLineChars="200"/>
        <w:rPr>
          <w:rFonts w:hint="eastAsia" w:ascii="宋体" w:hAnsi="宋体" w:eastAsia="宋体" w:cs="宋体"/>
          <w:b/>
          <w:bCs/>
          <w:color w:val="auto"/>
          <w:sz w:val="24"/>
          <w:highlight w:val="none"/>
          <w:u w:val="single"/>
        </w:rPr>
      </w:pPr>
      <w:r>
        <w:rPr>
          <w:rFonts w:hint="eastAsia" w:ascii="宋体" w:hAnsi="宋体" w:eastAsia="宋体" w:cs="宋体"/>
          <w:color w:val="auto"/>
          <w:sz w:val="24"/>
          <w:highlight w:val="none"/>
        </w:rPr>
        <w:t>鉴于中国人民财产保险股份有限公司</w:t>
      </w:r>
      <w:r>
        <w:rPr>
          <w:rFonts w:hint="eastAsia" w:ascii="宋体" w:hAnsi="宋体" w:eastAsia="宋体" w:cs="宋体"/>
          <w:b/>
          <w:bCs/>
          <w:color w:val="auto"/>
          <w:sz w:val="24"/>
          <w:highlight w:val="none"/>
          <w:u w:val="single"/>
        </w:rPr>
        <w:t>东阳</w:t>
      </w:r>
      <w:r>
        <w:rPr>
          <w:rFonts w:hint="eastAsia" w:ascii="宋体" w:hAnsi="宋体" w:eastAsia="宋体" w:cs="宋体"/>
          <w:color w:val="auto"/>
          <w:sz w:val="24"/>
          <w:highlight w:val="none"/>
        </w:rPr>
        <w:t>支公司向</w:t>
      </w:r>
    </w:p>
    <w:p w14:paraId="4BF16F09">
      <w:pPr>
        <w:shd w:val="clear"/>
        <w:spacing w:line="520" w:lineRule="exact"/>
        <w:ind w:firstLine="482" w:firstLineChars="200"/>
        <w:jc w:val="left"/>
        <w:rPr>
          <w:rFonts w:hint="eastAsia" w:ascii="宋体" w:hAnsi="宋体" w:eastAsia="宋体" w:cs="宋体"/>
          <w:color w:val="auto"/>
          <w:sz w:val="24"/>
          <w:highlight w:val="none"/>
          <w:u w:val="single"/>
        </w:rPr>
      </w:pPr>
      <w:r>
        <w:rPr>
          <w:rFonts w:hint="eastAsia" w:ascii="宋体" w:hAnsi="宋体" w:eastAsia="宋体" w:cs="宋体"/>
          <w:b/>
          <w:bCs/>
          <w:color w:val="auto"/>
          <w:sz w:val="24"/>
          <w:highlight w:val="none"/>
          <w:u w:val="single"/>
        </w:rPr>
        <w:t xml:space="preserve">             </w:t>
      </w:r>
      <w:r>
        <w:rPr>
          <w:rFonts w:hint="eastAsia" w:ascii="宋体" w:hAnsi="宋体" w:eastAsia="宋体" w:cs="宋体"/>
          <w:color w:val="auto"/>
          <w:sz w:val="24"/>
          <w:highlight w:val="none"/>
        </w:rPr>
        <w:t>公司出具《供货履约保证保险》保单（保单编号：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），并承担相应的保险责任（具体以保险合同条款为准），最高保险金额为人民币（大写）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（小写：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）；为促进该业务的良好开展，</w:t>
      </w:r>
      <w:r>
        <w:rPr>
          <w:rFonts w:hint="eastAsia" w:ascii="宋体" w:hAnsi="宋体" w:eastAsia="宋体" w:cs="宋体"/>
          <w:color w:val="auto"/>
          <w:sz w:val="24"/>
          <w:highlight w:val="none"/>
          <w:u w:val="single"/>
        </w:rPr>
        <w:t xml:space="preserve">                                                     </w:t>
      </w:r>
    </w:p>
    <w:p w14:paraId="2C79FB93">
      <w:pPr>
        <w:shd w:val="clea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有限责任公司（以下称本信用反担保保证人）愿意为中国人民财产保险股份有限公司</w:t>
      </w:r>
      <w:r>
        <w:rPr>
          <w:rFonts w:hint="eastAsia" w:ascii="宋体" w:hAnsi="宋体" w:eastAsia="宋体" w:cs="宋体"/>
          <w:b/>
          <w:bCs/>
          <w:color w:val="auto"/>
          <w:sz w:val="24"/>
          <w:highlight w:val="none"/>
          <w:u w:val="single"/>
        </w:rPr>
        <w:t>东阳</w:t>
      </w:r>
      <w:r>
        <w:rPr>
          <w:rFonts w:hint="eastAsia" w:ascii="宋体" w:hAnsi="宋体" w:eastAsia="宋体" w:cs="宋体"/>
          <w:color w:val="auto"/>
          <w:sz w:val="24"/>
          <w:highlight w:val="none"/>
        </w:rPr>
        <w:t>支公司在保险合同项下的一系列保险保障提供信用反担保保证，同意履行以下保证内容：</w:t>
      </w:r>
    </w:p>
    <w:p w14:paraId="3C670D37">
      <w:pPr>
        <w:shd w:val="clear"/>
        <w:spacing w:line="520" w:lineRule="exact"/>
        <w:ind w:firstLine="600" w:firstLineChars="250"/>
        <w:rPr>
          <w:rFonts w:hint="eastAsia" w:ascii="宋体" w:hAnsi="宋体" w:eastAsia="宋体" w:cs="宋体"/>
          <w:color w:val="auto"/>
          <w:sz w:val="24"/>
          <w:highlight w:val="none"/>
        </w:rPr>
      </w:pPr>
      <w:r>
        <w:rPr>
          <w:rFonts w:hint="eastAsia" w:ascii="宋体" w:hAnsi="宋体" w:eastAsia="宋体" w:cs="宋体"/>
          <w:color w:val="auto"/>
          <w:sz w:val="24"/>
          <w:highlight w:val="none"/>
        </w:rPr>
        <w:t>一、 本信用反担保保证人同意承担的保证范围：</w:t>
      </w:r>
    </w:p>
    <w:p w14:paraId="6F954C5F">
      <w:pPr>
        <w:shd w:val="clear"/>
        <w:spacing w:line="5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（一）中国人民财产保险股份有限公司</w:t>
      </w:r>
      <w:r>
        <w:rPr>
          <w:rFonts w:hint="eastAsia" w:ascii="宋体" w:hAnsi="宋体" w:eastAsia="宋体" w:cs="宋体"/>
          <w:b/>
          <w:bCs/>
          <w:color w:val="auto"/>
          <w:sz w:val="24"/>
          <w:highlight w:val="none"/>
          <w:u w:val="single"/>
        </w:rPr>
        <w:t>东阳</w:t>
      </w:r>
      <w:r>
        <w:rPr>
          <w:rFonts w:hint="eastAsia" w:ascii="宋体" w:hAnsi="宋体" w:eastAsia="宋体" w:cs="宋体"/>
          <w:color w:val="auto"/>
          <w:sz w:val="24"/>
          <w:highlight w:val="none"/>
        </w:rPr>
        <w:t>支公司承保的保单号为：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的供货履约保证保险合同约定的保险责任、保险金额和履行保证责任而实际发生的费用（包括但不限于诉讼费、公告费、保全费、律师费等）及损失；</w:t>
      </w:r>
    </w:p>
    <w:p w14:paraId="6F5CBAEC">
      <w:pPr>
        <w:shd w:val="clear"/>
        <w:spacing w:line="5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（二）本信用反担保保证人承担保证责任的方式为连带保证责任。</w:t>
      </w:r>
    </w:p>
    <w:p w14:paraId="766ED2DC">
      <w:pPr>
        <w:shd w:val="clear"/>
        <w:spacing w:line="5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二、本信用反担保保证人承担的保证期间为：从中国人民财产保险股份有限公司</w:t>
      </w:r>
      <w:r>
        <w:rPr>
          <w:rFonts w:hint="eastAsia" w:ascii="宋体" w:hAnsi="宋体" w:eastAsia="宋体" w:cs="宋体"/>
          <w:b/>
          <w:bCs/>
          <w:color w:val="auto"/>
          <w:sz w:val="24"/>
          <w:highlight w:val="none"/>
          <w:u w:val="single"/>
        </w:rPr>
        <w:t>东阳</w:t>
      </w:r>
      <w:r>
        <w:rPr>
          <w:rFonts w:hint="eastAsia" w:ascii="宋体" w:hAnsi="宋体" w:eastAsia="宋体" w:cs="宋体"/>
          <w:color w:val="auto"/>
          <w:sz w:val="24"/>
          <w:highlight w:val="none"/>
        </w:rPr>
        <w:t>支公司与本信用反担保保证人签订的保险合同生效之日起，至保险合同结束之日起的两年届满时止。</w:t>
      </w:r>
    </w:p>
    <w:p w14:paraId="4A798AA7">
      <w:pPr>
        <w:shd w:val="clear"/>
        <w:spacing w:line="52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三、中国人民财产保险股份有限公司</w:t>
      </w:r>
      <w:r>
        <w:rPr>
          <w:rFonts w:hint="eastAsia" w:ascii="宋体" w:hAnsi="宋体" w:eastAsia="宋体" w:cs="宋体"/>
          <w:b/>
          <w:bCs/>
          <w:color w:val="auto"/>
          <w:sz w:val="24"/>
          <w:highlight w:val="none"/>
          <w:u w:val="single"/>
        </w:rPr>
        <w:t>东阳</w:t>
      </w:r>
      <w:r>
        <w:rPr>
          <w:rFonts w:hint="eastAsia" w:ascii="宋体" w:hAnsi="宋体" w:eastAsia="宋体" w:cs="宋体"/>
          <w:color w:val="auto"/>
          <w:sz w:val="24"/>
          <w:highlight w:val="none"/>
        </w:rPr>
        <w:t>支公司所承保的《供货履约保证保险》合同发生保险事故后，有权要求本信用反担保保证人优先履行偿债责任，且优先偿债比例为100%。</w:t>
      </w:r>
    </w:p>
    <w:p w14:paraId="4652685F">
      <w:pPr>
        <w:shd w:val="clear"/>
        <w:spacing w:line="520" w:lineRule="exact"/>
        <w:ind w:left="560"/>
        <w:rPr>
          <w:rFonts w:hint="eastAsia" w:ascii="宋体" w:hAnsi="宋体" w:eastAsia="宋体" w:cs="宋体"/>
          <w:color w:val="auto"/>
          <w:sz w:val="24"/>
          <w:highlight w:val="none"/>
        </w:rPr>
      </w:pPr>
      <w:r>
        <w:rPr>
          <w:rFonts w:hint="eastAsia" w:ascii="宋体" w:hAnsi="宋体" w:eastAsia="宋体" w:cs="宋体"/>
          <w:color w:val="auto"/>
          <w:sz w:val="24"/>
          <w:highlight w:val="none"/>
        </w:rPr>
        <w:t>四、本信用反担保保证人放弃反担保措施的优先偿债抗辩权。</w:t>
      </w:r>
    </w:p>
    <w:p w14:paraId="08A3806C">
      <w:pPr>
        <w:shd w:val="clear"/>
        <w:spacing w:line="520" w:lineRule="exact"/>
        <w:rPr>
          <w:rFonts w:hint="eastAsia" w:ascii="宋体" w:hAnsi="宋体" w:eastAsia="宋体" w:cs="宋体"/>
          <w:color w:val="auto"/>
          <w:sz w:val="24"/>
          <w:highlight w:val="none"/>
        </w:rPr>
      </w:pPr>
    </w:p>
    <w:p w14:paraId="68D9B501">
      <w:pPr>
        <w:shd w:val="clear"/>
        <w:spacing w:line="52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信用反担保保证人：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0E538302">
      <w:pPr>
        <w:shd w:val="clear"/>
        <w:spacing w:line="520" w:lineRule="exact"/>
        <w:ind w:left="4680" w:hanging="4680" w:hangingChars="1950"/>
        <w:rPr>
          <w:rFonts w:hint="eastAsia" w:ascii="宋体" w:hAnsi="宋体" w:eastAsia="宋体" w:cs="宋体"/>
          <w:color w:val="auto"/>
          <w:sz w:val="24"/>
          <w:highlight w:val="none"/>
        </w:rPr>
      </w:pPr>
    </w:p>
    <w:p w14:paraId="04701F03">
      <w:pPr>
        <w:shd w:val="clear"/>
        <w:spacing w:line="520" w:lineRule="exact"/>
        <w:ind w:left="5460" w:leftChars="2600"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3EB2D73F">
      <w:pPr>
        <w:shd w:val="clear"/>
        <w:spacing w:line="360" w:lineRule="auto"/>
        <w:rPr>
          <w:rFonts w:hint="eastAsia" w:ascii="宋体" w:hAnsi="宋体" w:eastAsia="宋体" w:cs="宋体"/>
          <w:color w:val="auto"/>
          <w:sz w:val="24"/>
          <w:highlight w:val="none"/>
        </w:rPr>
      </w:pPr>
    </w:p>
    <w:p w14:paraId="58F6673E">
      <w:pPr>
        <w:pStyle w:val="5"/>
        <w:shd w:val="clear"/>
        <w:rPr>
          <w:rFonts w:hint="eastAsia"/>
          <w:color w:val="auto"/>
          <w:highlight w:val="none"/>
        </w:rPr>
      </w:pPr>
    </w:p>
    <w:p w14:paraId="45C173B0">
      <w:pPr>
        <w:pStyle w:val="8"/>
        <w:keepNext w:val="0"/>
        <w:keepLines w:val="0"/>
        <w:pageBreakBefore/>
        <w:shd w:val="clear"/>
        <w:rPr>
          <w:rFonts w:hint="eastAsia" w:ascii="宋体" w:hAnsi="宋体" w:eastAsia="宋体" w:cs="宋体"/>
          <w:b w:val="0"/>
          <w:color w:val="auto"/>
          <w:sz w:val="24"/>
          <w:highlight w:val="none"/>
        </w:rPr>
      </w:pPr>
      <w:bookmarkStart w:id="177" w:name="_Toc2489"/>
      <w:bookmarkStart w:id="178" w:name="_Toc8049"/>
      <w:bookmarkStart w:id="179" w:name="_Toc22449"/>
      <w:bookmarkStart w:id="180" w:name="_Toc24160"/>
      <w:r>
        <w:rPr>
          <w:rFonts w:hint="eastAsia" w:ascii="宋体" w:hAnsi="宋体" w:eastAsia="宋体" w:cs="宋体"/>
          <w:b w:val="0"/>
          <w:color w:val="auto"/>
          <w:sz w:val="24"/>
          <w:highlight w:val="none"/>
        </w:rPr>
        <w:t>附件</w:t>
      </w:r>
      <w:r>
        <w:rPr>
          <w:rFonts w:hint="eastAsia" w:ascii="宋体" w:hAnsi="宋体" w:eastAsia="宋体" w:cs="宋体"/>
          <w:b w:val="0"/>
          <w:color w:val="auto"/>
          <w:sz w:val="24"/>
          <w:highlight w:val="none"/>
          <w:lang w:val="en-US" w:eastAsia="zh-CN"/>
        </w:rPr>
        <w:t>二十</w:t>
      </w:r>
      <w:r>
        <w:rPr>
          <w:rFonts w:hint="eastAsia" w:ascii="宋体" w:hAnsi="宋体" w:eastAsia="宋体" w:cs="宋体"/>
          <w:b w:val="0"/>
          <w:color w:val="auto"/>
          <w:sz w:val="24"/>
          <w:highlight w:val="none"/>
        </w:rPr>
        <w:t>：质疑函范本</w:t>
      </w:r>
      <w:bookmarkEnd w:id="177"/>
      <w:bookmarkEnd w:id="178"/>
      <w:bookmarkEnd w:id="179"/>
      <w:bookmarkEnd w:id="180"/>
    </w:p>
    <w:p w14:paraId="038A29C1">
      <w:pPr>
        <w:shd w:val="clea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14:paraId="3B8209A2">
      <w:pPr>
        <w:shd w:val="clear"/>
        <w:adjustRightInd w:val="0"/>
        <w:snapToGrid w:val="0"/>
        <w:spacing w:before="240" w:beforeLines="100" w:line="360" w:lineRule="auto"/>
        <w:rPr>
          <w:rFonts w:hint="eastAsia" w:ascii="宋体" w:hAnsi="宋体" w:eastAsia="宋体" w:cs="宋体"/>
          <w:bCs/>
          <w:color w:val="auto"/>
          <w:sz w:val="28"/>
          <w:szCs w:val="28"/>
          <w:highlight w:val="none"/>
        </w:rPr>
      </w:pPr>
      <w:r>
        <w:rPr>
          <w:rFonts w:hint="eastAsia" w:ascii="宋体" w:hAnsi="宋体" w:eastAsia="宋体" w:cs="宋体"/>
          <w:bCs/>
          <w:color w:val="auto"/>
          <w:sz w:val="32"/>
          <w:szCs w:val="32"/>
          <w:highlight w:val="none"/>
        </w:rPr>
        <w:t>一</w:t>
      </w:r>
      <w:r>
        <w:rPr>
          <w:rFonts w:hint="eastAsia" w:ascii="宋体" w:hAnsi="宋体" w:eastAsia="宋体" w:cs="宋体"/>
          <w:bCs/>
          <w:color w:val="auto"/>
          <w:sz w:val="28"/>
          <w:szCs w:val="28"/>
          <w:highlight w:val="none"/>
        </w:rPr>
        <w:t>、质疑供应商基本信息</w:t>
      </w:r>
    </w:p>
    <w:p w14:paraId="1BF32F2E">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质疑供应商：</w:t>
      </w:r>
      <w:r>
        <w:rPr>
          <w:rFonts w:hint="eastAsia" w:ascii="宋体" w:hAnsi="宋体" w:eastAsia="宋体" w:cs="宋体"/>
          <w:color w:val="auto"/>
          <w:sz w:val="28"/>
          <w:szCs w:val="28"/>
          <w:highlight w:val="none"/>
          <w:u w:val="dotted"/>
        </w:rPr>
        <w:t xml:space="preserve">                                        </w:t>
      </w:r>
    </w:p>
    <w:p w14:paraId="62BF5E74">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邮编：</w:t>
      </w:r>
      <w:r>
        <w:rPr>
          <w:rFonts w:hint="eastAsia" w:ascii="宋体" w:hAnsi="宋体" w:eastAsia="宋体" w:cs="宋体"/>
          <w:color w:val="auto"/>
          <w:sz w:val="28"/>
          <w:szCs w:val="28"/>
          <w:highlight w:val="none"/>
          <w:u w:val="dotted"/>
        </w:rPr>
        <w:t xml:space="preserve">                                                   </w:t>
      </w:r>
    </w:p>
    <w:p w14:paraId="232F56C7">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u w:val="dotted"/>
        </w:rPr>
        <w:t xml:space="preserve">                              </w:t>
      </w:r>
    </w:p>
    <w:p w14:paraId="7020E079">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授权代表：</w:t>
      </w:r>
      <w:r>
        <w:rPr>
          <w:rFonts w:hint="eastAsia" w:ascii="宋体" w:hAnsi="宋体" w:eastAsia="宋体" w:cs="宋体"/>
          <w:color w:val="auto"/>
          <w:sz w:val="28"/>
          <w:szCs w:val="28"/>
          <w:highlight w:val="none"/>
          <w:u w:val="dotted"/>
        </w:rPr>
        <w:t xml:space="preserve">                                          </w:t>
      </w:r>
    </w:p>
    <w:p w14:paraId="50FD015F">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 xml:space="preserve"> </w:t>
      </w:r>
    </w:p>
    <w:p w14:paraId="64503495">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地址： </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邮编：</w:t>
      </w:r>
      <w:r>
        <w:rPr>
          <w:rFonts w:hint="eastAsia" w:ascii="宋体" w:hAnsi="宋体" w:eastAsia="宋体" w:cs="宋体"/>
          <w:color w:val="auto"/>
          <w:sz w:val="28"/>
          <w:szCs w:val="28"/>
          <w:highlight w:val="none"/>
          <w:u w:val="dotted"/>
        </w:rPr>
        <w:t xml:space="preserve">                                                </w:t>
      </w:r>
    </w:p>
    <w:p w14:paraId="68CD6BC2">
      <w:pPr>
        <w:shd w:val="clear"/>
        <w:adjustRightInd w:val="0"/>
        <w:snapToGrid w:val="0"/>
        <w:spacing w:line="360" w:lineRule="auto"/>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二、质疑项目基本情况</w:t>
      </w:r>
    </w:p>
    <w:p w14:paraId="6FE91D1B">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质疑项目的名称：</w:t>
      </w:r>
      <w:r>
        <w:rPr>
          <w:rFonts w:hint="eastAsia" w:ascii="宋体" w:hAnsi="宋体" w:eastAsia="宋体" w:cs="宋体"/>
          <w:color w:val="auto"/>
          <w:sz w:val="28"/>
          <w:szCs w:val="28"/>
          <w:highlight w:val="none"/>
          <w:u w:val="dotted"/>
        </w:rPr>
        <w:t xml:space="preserve">                                      </w:t>
      </w:r>
    </w:p>
    <w:p w14:paraId="3FDF1C47">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质疑项目的编号：</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包号：</w:t>
      </w:r>
      <w:r>
        <w:rPr>
          <w:rFonts w:hint="eastAsia" w:ascii="宋体" w:hAnsi="宋体" w:eastAsia="宋体" w:cs="宋体"/>
          <w:color w:val="auto"/>
          <w:sz w:val="28"/>
          <w:szCs w:val="28"/>
          <w:highlight w:val="none"/>
          <w:u w:val="dotted"/>
        </w:rPr>
        <w:t xml:space="preserve">                 </w:t>
      </w:r>
    </w:p>
    <w:p w14:paraId="30857D8D">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采购人名称：</w:t>
      </w:r>
      <w:r>
        <w:rPr>
          <w:rFonts w:hint="eastAsia" w:ascii="宋体" w:hAnsi="宋体" w:eastAsia="宋体" w:cs="宋体"/>
          <w:color w:val="auto"/>
          <w:sz w:val="28"/>
          <w:szCs w:val="28"/>
          <w:highlight w:val="none"/>
          <w:u w:val="dotted"/>
        </w:rPr>
        <w:t xml:space="preserve">                                         </w:t>
      </w:r>
    </w:p>
    <w:p w14:paraId="62AABD71">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采购文件获取日期：</w:t>
      </w:r>
      <w:r>
        <w:rPr>
          <w:rFonts w:hint="eastAsia" w:ascii="宋体" w:hAnsi="宋体" w:eastAsia="宋体" w:cs="宋体"/>
          <w:color w:val="auto"/>
          <w:sz w:val="28"/>
          <w:szCs w:val="28"/>
          <w:highlight w:val="none"/>
          <w:u w:val="dotted"/>
        </w:rPr>
        <w:t xml:space="preserve">                                           </w:t>
      </w:r>
    </w:p>
    <w:p w14:paraId="2FE3973B">
      <w:pPr>
        <w:shd w:val="clear"/>
        <w:adjustRightInd w:val="0"/>
        <w:snapToGrid w:val="0"/>
        <w:spacing w:line="360" w:lineRule="auto"/>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三、质疑事项具体内容</w:t>
      </w:r>
    </w:p>
    <w:p w14:paraId="04950E8F">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质疑事项1：</w:t>
      </w:r>
      <w:r>
        <w:rPr>
          <w:rFonts w:hint="eastAsia" w:ascii="宋体" w:hAnsi="宋体" w:eastAsia="宋体" w:cs="宋体"/>
          <w:color w:val="auto"/>
          <w:sz w:val="28"/>
          <w:szCs w:val="28"/>
          <w:highlight w:val="none"/>
          <w:u w:val="dotted"/>
        </w:rPr>
        <w:t xml:space="preserve">                                         </w:t>
      </w:r>
    </w:p>
    <w:p w14:paraId="7F8D0388">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事实依据：</w:t>
      </w:r>
      <w:r>
        <w:rPr>
          <w:rFonts w:hint="eastAsia" w:ascii="宋体" w:hAnsi="宋体" w:eastAsia="宋体" w:cs="宋体"/>
          <w:color w:val="auto"/>
          <w:sz w:val="28"/>
          <w:szCs w:val="28"/>
          <w:highlight w:val="none"/>
          <w:u w:val="dotted"/>
        </w:rPr>
        <w:t xml:space="preserve">                                          </w:t>
      </w:r>
    </w:p>
    <w:p w14:paraId="69834756">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dotted"/>
        </w:rPr>
        <w:t xml:space="preserve">                                                       </w:t>
      </w:r>
    </w:p>
    <w:p w14:paraId="4BCE341D">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法律依据：</w:t>
      </w:r>
      <w:r>
        <w:rPr>
          <w:rFonts w:hint="eastAsia" w:ascii="宋体" w:hAnsi="宋体" w:eastAsia="宋体" w:cs="宋体"/>
          <w:color w:val="auto"/>
          <w:sz w:val="28"/>
          <w:szCs w:val="28"/>
          <w:highlight w:val="none"/>
          <w:u w:val="dotted"/>
        </w:rPr>
        <w:t xml:space="preserve">                                          </w:t>
      </w:r>
    </w:p>
    <w:p w14:paraId="13B1EBCB">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u w:val="dotted"/>
        </w:rPr>
        <w:t xml:space="preserve">                                                     </w:t>
      </w:r>
    </w:p>
    <w:p w14:paraId="725F3836">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质疑事项2</w:t>
      </w:r>
    </w:p>
    <w:p w14:paraId="55283B2C">
      <w:pPr>
        <w:shd w:val="clear"/>
        <w:adjustRightInd w:val="0"/>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p w14:paraId="635CE86C">
      <w:pPr>
        <w:shd w:val="clear"/>
        <w:adjustRightInd w:val="0"/>
        <w:snapToGrid w:val="0"/>
        <w:spacing w:line="360" w:lineRule="auto"/>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四、与质疑事项相关的质疑请求</w:t>
      </w:r>
    </w:p>
    <w:p w14:paraId="2C141238">
      <w:pPr>
        <w:shd w:val="clear"/>
        <w:adjustRightInd w:val="0"/>
        <w:snapToGrid w:val="0"/>
        <w:spacing w:line="360" w:lineRule="auto"/>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请求：</w:t>
      </w:r>
      <w:r>
        <w:rPr>
          <w:rFonts w:hint="eastAsia" w:ascii="宋体" w:hAnsi="宋体" w:eastAsia="宋体" w:cs="宋体"/>
          <w:color w:val="auto"/>
          <w:sz w:val="28"/>
          <w:szCs w:val="28"/>
          <w:highlight w:val="none"/>
          <w:u w:val="dotted"/>
        </w:rPr>
        <w:t xml:space="preserve">                                               </w:t>
      </w:r>
    </w:p>
    <w:p w14:paraId="65AD491F">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签字(签章)：                   公章：                      </w:t>
      </w:r>
    </w:p>
    <w:p w14:paraId="77E81DB8">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日期：    </w:t>
      </w:r>
    </w:p>
    <w:p w14:paraId="569692F0">
      <w:pPr>
        <w:shd w:val="clear"/>
        <w:adjustRightInd w:val="0"/>
        <w:snapToGrid w:val="0"/>
        <w:spacing w:line="360" w:lineRule="auto"/>
        <w:rPr>
          <w:rFonts w:hint="eastAsia" w:ascii="宋体" w:hAnsi="宋体" w:eastAsia="宋体" w:cs="宋体"/>
          <w:color w:val="auto"/>
          <w:sz w:val="28"/>
          <w:szCs w:val="28"/>
          <w:highlight w:val="none"/>
        </w:rPr>
      </w:pPr>
    </w:p>
    <w:p w14:paraId="557E0662">
      <w:pPr>
        <w:shd w:val="clear"/>
        <w:adjustRightInd w:val="0"/>
        <w:snapToGrid w:val="0"/>
        <w:spacing w:line="360" w:lineRule="auto"/>
        <w:rPr>
          <w:rFonts w:hint="eastAsia" w:ascii="宋体" w:hAnsi="宋体" w:eastAsia="宋体" w:cs="宋体"/>
          <w:color w:val="auto"/>
          <w:sz w:val="28"/>
          <w:szCs w:val="28"/>
          <w:highlight w:val="none"/>
        </w:rPr>
      </w:pPr>
    </w:p>
    <w:p w14:paraId="413F0B15">
      <w:pPr>
        <w:shd w:val="clear"/>
        <w:rPr>
          <w:rFonts w:hint="eastAsia" w:ascii="宋体" w:hAnsi="宋体" w:eastAsia="宋体" w:cs="宋体"/>
          <w:b/>
          <w:color w:val="auto"/>
          <w:sz w:val="28"/>
          <w:szCs w:val="28"/>
          <w:highlight w:val="none"/>
        </w:rPr>
      </w:pPr>
    </w:p>
    <w:p w14:paraId="0225FD5C">
      <w:pPr>
        <w:shd w:val="clear"/>
        <w:rPr>
          <w:rFonts w:hint="eastAsia" w:ascii="宋体" w:hAnsi="宋体" w:eastAsia="宋体" w:cs="宋体"/>
          <w:b/>
          <w:color w:val="auto"/>
          <w:sz w:val="28"/>
          <w:szCs w:val="28"/>
          <w:highlight w:val="none"/>
        </w:rPr>
      </w:pPr>
    </w:p>
    <w:p w14:paraId="2C950138">
      <w:pPr>
        <w:shd w:val="clear"/>
        <w:rPr>
          <w:rFonts w:hint="eastAsia" w:ascii="宋体" w:hAnsi="宋体" w:eastAsia="宋体" w:cs="宋体"/>
          <w:b/>
          <w:color w:val="auto"/>
          <w:sz w:val="28"/>
          <w:szCs w:val="28"/>
          <w:highlight w:val="none"/>
        </w:rPr>
      </w:pPr>
    </w:p>
    <w:p w14:paraId="657674DC">
      <w:pPr>
        <w:shd w:val="clear"/>
        <w:rPr>
          <w:rFonts w:hint="eastAsia" w:ascii="宋体" w:hAnsi="宋体" w:eastAsia="宋体" w:cs="宋体"/>
          <w:b/>
          <w:color w:val="auto"/>
          <w:sz w:val="28"/>
          <w:szCs w:val="28"/>
          <w:highlight w:val="none"/>
        </w:rPr>
      </w:pPr>
    </w:p>
    <w:p w14:paraId="49A4A6C3">
      <w:pPr>
        <w:shd w:val="clear"/>
        <w:rPr>
          <w:rFonts w:hint="eastAsia" w:ascii="宋体" w:hAnsi="宋体" w:eastAsia="宋体" w:cs="宋体"/>
          <w:b/>
          <w:color w:val="auto"/>
          <w:sz w:val="28"/>
          <w:szCs w:val="28"/>
          <w:highlight w:val="none"/>
        </w:rPr>
      </w:pPr>
    </w:p>
    <w:p w14:paraId="576A8398">
      <w:pPr>
        <w:shd w:val="clea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2E7512AA">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41BBE1AD">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0285F604">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461666C4">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1A0D6DAE">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6E80D86A">
      <w:pPr>
        <w:widowControl/>
        <w:shd w:val="clear"/>
        <w:ind w:firstLine="48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993DB6F">
      <w:pPr>
        <w:shd w:val="clear"/>
        <w:rPr>
          <w:rFonts w:hint="eastAsia" w:ascii="宋体" w:hAnsi="宋体" w:eastAsia="宋体" w:cs="宋体"/>
          <w:color w:val="auto"/>
          <w:sz w:val="20"/>
          <w:szCs w:val="22"/>
          <w:highlight w:val="none"/>
        </w:rPr>
      </w:pPr>
    </w:p>
    <w:p w14:paraId="08DF3BE2">
      <w:pPr>
        <w:pStyle w:val="5"/>
        <w:shd w:val="clear"/>
        <w:ind w:firstLine="560"/>
        <w:rPr>
          <w:rFonts w:hint="eastAsia" w:ascii="宋体" w:hAnsi="宋体" w:eastAsia="宋体" w:cs="宋体"/>
          <w:color w:val="auto"/>
          <w:sz w:val="28"/>
          <w:szCs w:val="22"/>
          <w:highlight w:val="none"/>
        </w:rPr>
      </w:pPr>
    </w:p>
    <w:p w14:paraId="3217B995">
      <w:pPr>
        <w:pStyle w:val="6"/>
        <w:shd w:val="clear"/>
        <w:rPr>
          <w:rFonts w:hint="eastAsia" w:ascii="宋体" w:hAnsi="宋体" w:eastAsia="宋体" w:cs="宋体"/>
          <w:color w:val="auto"/>
          <w:sz w:val="20"/>
          <w:szCs w:val="22"/>
          <w:highlight w:val="none"/>
        </w:rPr>
      </w:pPr>
    </w:p>
    <w:p w14:paraId="5F63EB70">
      <w:pPr>
        <w:shd w:val="clear"/>
        <w:rPr>
          <w:rFonts w:hint="eastAsia" w:ascii="宋体" w:hAnsi="宋体" w:eastAsia="宋体" w:cs="宋体"/>
          <w:color w:val="auto"/>
          <w:sz w:val="20"/>
          <w:szCs w:val="22"/>
          <w:highlight w:val="none"/>
        </w:rPr>
      </w:pPr>
    </w:p>
    <w:p w14:paraId="595A87AD">
      <w:pPr>
        <w:pStyle w:val="6"/>
        <w:shd w:val="clear"/>
        <w:ind w:left="0" w:leftChars="0"/>
        <w:rPr>
          <w:rFonts w:hint="eastAsia" w:ascii="宋体" w:hAnsi="宋体" w:eastAsia="宋体" w:cs="宋体"/>
          <w:color w:val="auto"/>
          <w:highlight w:val="none"/>
        </w:rPr>
      </w:pPr>
    </w:p>
    <w:p w14:paraId="26F4DD83">
      <w:pPr>
        <w:shd w:val="clear"/>
        <w:rPr>
          <w:rFonts w:hint="eastAsia" w:ascii="宋体" w:hAnsi="宋体" w:eastAsia="宋体" w:cs="宋体"/>
          <w:color w:val="auto"/>
          <w:highlight w:val="none"/>
        </w:rPr>
      </w:pPr>
    </w:p>
    <w:p w14:paraId="5FFFBB08">
      <w:pPr>
        <w:pStyle w:val="8"/>
        <w:shd w:val="clear"/>
        <w:rPr>
          <w:rFonts w:hint="eastAsia" w:ascii="宋体" w:hAnsi="宋体" w:eastAsia="宋体" w:cs="宋体"/>
          <w:color w:val="auto"/>
          <w:highlight w:val="none"/>
        </w:rPr>
      </w:pPr>
    </w:p>
    <w:p w14:paraId="262A1511">
      <w:pPr>
        <w:shd w:val="clear"/>
        <w:rPr>
          <w:rFonts w:hint="eastAsia" w:ascii="宋体" w:hAnsi="宋体" w:eastAsia="宋体" w:cs="宋体"/>
          <w:color w:val="auto"/>
          <w:highlight w:val="none"/>
        </w:rPr>
      </w:pPr>
    </w:p>
    <w:p w14:paraId="7BA0E5AF">
      <w:pPr>
        <w:pStyle w:val="8"/>
        <w:shd w:val="clear"/>
        <w:rPr>
          <w:rFonts w:hint="eastAsia" w:ascii="宋体" w:hAnsi="宋体" w:eastAsia="宋体" w:cs="宋体"/>
          <w:color w:val="auto"/>
          <w:highlight w:val="none"/>
        </w:rPr>
      </w:pPr>
    </w:p>
    <w:p w14:paraId="39A29910">
      <w:pPr>
        <w:shd w:val="clear"/>
        <w:rPr>
          <w:rFonts w:hint="eastAsia" w:ascii="宋体" w:hAnsi="宋体" w:eastAsia="宋体" w:cs="宋体"/>
          <w:color w:val="auto"/>
          <w:highlight w:val="none"/>
        </w:rPr>
      </w:pPr>
    </w:p>
    <w:p w14:paraId="340B969D">
      <w:pPr>
        <w:pStyle w:val="8"/>
        <w:shd w:val="clear"/>
        <w:rPr>
          <w:rFonts w:hint="eastAsia" w:ascii="宋体" w:hAnsi="宋体" w:eastAsia="宋体" w:cs="宋体"/>
          <w:color w:val="auto"/>
          <w:highlight w:val="none"/>
        </w:rPr>
      </w:pPr>
    </w:p>
    <w:p w14:paraId="46680D1B">
      <w:pPr>
        <w:shd w:val="clear"/>
        <w:rPr>
          <w:rFonts w:hint="eastAsia" w:ascii="宋体" w:hAnsi="宋体" w:eastAsia="宋体" w:cs="宋体"/>
          <w:color w:val="auto"/>
          <w:highlight w:val="none"/>
        </w:rPr>
      </w:pPr>
    </w:p>
    <w:p w14:paraId="727BAF19">
      <w:pPr>
        <w:pStyle w:val="8"/>
        <w:shd w:val="clear"/>
        <w:rPr>
          <w:rFonts w:hint="eastAsia" w:ascii="宋体" w:hAnsi="宋体" w:eastAsia="宋体" w:cs="宋体"/>
          <w:color w:val="auto"/>
          <w:highlight w:val="none"/>
        </w:rPr>
      </w:pPr>
    </w:p>
    <w:p w14:paraId="3164A34F">
      <w:pPr>
        <w:shd w:val="clear"/>
        <w:rPr>
          <w:rFonts w:hint="eastAsia" w:ascii="宋体" w:hAnsi="宋体" w:eastAsia="宋体" w:cs="宋体"/>
          <w:color w:val="auto"/>
          <w:highlight w:val="none"/>
        </w:rPr>
      </w:pPr>
    </w:p>
    <w:p w14:paraId="786CB86A">
      <w:pPr>
        <w:pStyle w:val="8"/>
        <w:keepNext w:val="0"/>
        <w:keepLines w:val="0"/>
        <w:pageBreakBefore/>
        <w:shd w:val="clear"/>
        <w:rPr>
          <w:rFonts w:hint="eastAsia" w:ascii="宋体" w:hAnsi="宋体" w:eastAsia="宋体" w:cs="宋体"/>
          <w:b w:val="0"/>
          <w:color w:val="auto"/>
          <w:sz w:val="24"/>
          <w:highlight w:val="none"/>
        </w:rPr>
      </w:pPr>
      <w:bookmarkStart w:id="181" w:name="_Toc32533"/>
      <w:bookmarkStart w:id="182" w:name="_Toc28792"/>
      <w:bookmarkStart w:id="183" w:name="_Toc12714"/>
      <w:bookmarkStart w:id="184" w:name="_Toc8730"/>
      <w:r>
        <w:rPr>
          <w:rFonts w:hint="eastAsia" w:ascii="宋体" w:hAnsi="宋体" w:eastAsia="宋体" w:cs="宋体"/>
          <w:b w:val="0"/>
          <w:color w:val="auto"/>
          <w:sz w:val="24"/>
          <w:highlight w:val="none"/>
        </w:rPr>
        <w:t>附件</w:t>
      </w:r>
      <w:r>
        <w:rPr>
          <w:rFonts w:hint="eastAsia" w:ascii="宋体" w:hAnsi="宋体" w:eastAsia="宋体" w:cs="宋体"/>
          <w:b w:val="0"/>
          <w:color w:val="auto"/>
          <w:sz w:val="24"/>
          <w:highlight w:val="none"/>
          <w:lang w:val="en-US" w:eastAsia="zh-CN"/>
        </w:rPr>
        <w:t>二十一</w:t>
      </w:r>
      <w:r>
        <w:rPr>
          <w:rFonts w:hint="eastAsia" w:ascii="宋体" w:hAnsi="宋体" w:eastAsia="宋体" w:cs="宋体"/>
          <w:b w:val="0"/>
          <w:color w:val="auto"/>
          <w:sz w:val="24"/>
          <w:highlight w:val="none"/>
        </w:rPr>
        <w:t>：投诉书范本</w:t>
      </w:r>
      <w:bookmarkEnd w:id="181"/>
      <w:bookmarkEnd w:id="182"/>
      <w:bookmarkEnd w:id="183"/>
      <w:bookmarkEnd w:id="184"/>
    </w:p>
    <w:p w14:paraId="6E6B51C2">
      <w:pPr>
        <w:shd w:val="clear"/>
        <w:jc w:val="center"/>
        <w:rPr>
          <w:rFonts w:hint="eastAsia" w:ascii="宋体" w:hAnsi="宋体" w:eastAsia="宋体" w:cs="宋体"/>
          <w:b/>
          <w:color w:val="auto"/>
          <w:sz w:val="40"/>
          <w:szCs w:val="40"/>
          <w:highlight w:val="none"/>
        </w:rPr>
      </w:pPr>
      <w:r>
        <w:rPr>
          <w:rFonts w:hint="eastAsia" w:ascii="宋体" w:hAnsi="宋体" w:eastAsia="宋体" w:cs="宋体"/>
          <w:b/>
          <w:color w:val="auto"/>
          <w:sz w:val="40"/>
          <w:szCs w:val="40"/>
          <w:highlight w:val="none"/>
        </w:rPr>
        <w:t>投诉书范本</w:t>
      </w:r>
    </w:p>
    <w:p w14:paraId="33CE7588">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一、投诉相关主体基本情况</w:t>
      </w:r>
    </w:p>
    <w:p w14:paraId="4C736C29">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投诉人：</w:t>
      </w:r>
      <w:r>
        <w:rPr>
          <w:rFonts w:hint="eastAsia" w:ascii="宋体" w:hAnsi="宋体" w:eastAsia="宋体" w:cs="宋体"/>
          <w:color w:val="auto"/>
          <w:sz w:val="28"/>
          <w:szCs w:val="28"/>
          <w:highlight w:val="none"/>
          <w:u w:val="dotted"/>
        </w:rPr>
        <w:t xml:space="preserve">                                               </w:t>
      </w:r>
    </w:p>
    <w:p w14:paraId="59FE7507">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邮编：</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05E38F45">
      <w:pPr>
        <w:shd w:val="clear"/>
        <w:tabs>
          <w:tab w:val="left" w:pos="6510"/>
        </w:tabs>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法定代表人/主要负责人：</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 xml:space="preserve">  </w:t>
      </w:r>
    </w:p>
    <w:p w14:paraId="4BC8941E">
      <w:pPr>
        <w:shd w:val="clear"/>
        <w:tabs>
          <w:tab w:val="left" w:pos="6510"/>
        </w:tabs>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u w:val="dotted"/>
        </w:rPr>
        <w:t xml:space="preserve">                                             </w:t>
      </w:r>
    </w:p>
    <w:p w14:paraId="7BA76639">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授权代表：</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u w:val="dotted"/>
        </w:rPr>
        <w:t xml:space="preserve">：                  </w:t>
      </w:r>
    </w:p>
    <w:p w14:paraId="080F28CF">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邮编：</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dotted"/>
        </w:rPr>
        <w:t xml:space="preserve">                   </w:t>
      </w:r>
    </w:p>
    <w:p w14:paraId="6EE40F58">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被投诉人1：</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102337AC">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邮编：</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236A69B0">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20A79221">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被投诉人2</w:t>
      </w:r>
    </w:p>
    <w:p w14:paraId="194A2FCB">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w:t>
      </w:r>
    </w:p>
    <w:p w14:paraId="18FDE8E4">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相关供应商：</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3C471813">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邮编：</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7D139AD5">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联系电话：</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4AEDFA73">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二、投诉项目基本情况</w:t>
      </w:r>
    </w:p>
    <w:p w14:paraId="1009EF0B">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采购项目名称：</w:t>
      </w:r>
      <w:r>
        <w:rPr>
          <w:rFonts w:hint="eastAsia" w:ascii="宋体" w:hAnsi="宋体" w:eastAsia="宋体" w:cs="宋体"/>
          <w:color w:val="auto"/>
          <w:sz w:val="28"/>
          <w:szCs w:val="28"/>
          <w:highlight w:val="none"/>
          <w:u w:val="dotted"/>
        </w:rPr>
        <w:t xml:space="preserve">                                        </w:t>
      </w:r>
    </w:p>
    <w:p w14:paraId="1846B6EE">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采购项目编号：</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包号：</w:t>
      </w:r>
      <w:r>
        <w:rPr>
          <w:rFonts w:hint="eastAsia" w:ascii="宋体" w:hAnsi="宋体" w:eastAsia="宋体" w:cs="宋体"/>
          <w:color w:val="auto"/>
          <w:sz w:val="28"/>
          <w:szCs w:val="28"/>
          <w:highlight w:val="none"/>
          <w:u w:val="dotted"/>
        </w:rPr>
        <w:t xml:space="preserve">              </w:t>
      </w:r>
    </w:p>
    <w:p w14:paraId="24911C15">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采购人名称：</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u w:val="single"/>
        </w:rPr>
        <w:t xml:space="preserve">  </w:t>
      </w:r>
    </w:p>
    <w:p w14:paraId="6E8F9B29">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代理机构名称：</w:t>
      </w:r>
      <w:r>
        <w:rPr>
          <w:rFonts w:hint="eastAsia" w:ascii="宋体" w:hAnsi="宋体" w:eastAsia="宋体" w:cs="宋体"/>
          <w:color w:val="auto"/>
          <w:sz w:val="28"/>
          <w:szCs w:val="28"/>
          <w:highlight w:val="none"/>
          <w:u w:val="dotted"/>
        </w:rPr>
        <w:t xml:space="preserve">                                         </w:t>
      </w:r>
    </w:p>
    <w:p w14:paraId="64B576C0">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采购文件公告:</w:t>
      </w:r>
      <w:r>
        <w:rPr>
          <w:rFonts w:hint="eastAsia" w:ascii="宋体" w:hAnsi="宋体" w:eastAsia="宋体" w:cs="宋体"/>
          <w:color w:val="auto"/>
          <w:sz w:val="28"/>
          <w:szCs w:val="28"/>
          <w:highlight w:val="none"/>
          <w:u w:val="dotted"/>
        </w:rPr>
        <w:t xml:space="preserve">是/否 </w:t>
      </w:r>
      <w:r>
        <w:rPr>
          <w:rFonts w:hint="eastAsia" w:ascii="宋体" w:hAnsi="宋体" w:eastAsia="宋体" w:cs="宋体"/>
          <w:color w:val="auto"/>
          <w:sz w:val="28"/>
          <w:szCs w:val="28"/>
          <w:highlight w:val="none"/>
        </w:rPr>
        <w:t>公告期限：</w:t>
      </w:r>
      <w:r>
        <w:rPr>
          <w:rFonts w:hint="eastAsia" w:ascii="宋体" w:hAnsi="宋体" w:eastAsia="宋体" w:cs="宋体"/>
          <w:color w:val="auto"/>
          <w:sz w:val="28"/>
          <w:szCs w:val="28"/>
          <w:highlight w:val="none"/>
          <w:u w:val="dotted"/>
        </w:rPr>
        <w:t xml:space="preserve">                                 </w:t>
      </w:r>
    </w:p>
    <w:p w14:paraId="66BC8AE4">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采购结果公告:</w:t>
      </w:r>
      <w:r>
        <w:rPr>
          <w:rFonts w:hint="eastAsia" w:ascii="宋体" w:hAnsi="宋体" w:eastAsia="宋体" w:cs="宋体"/>
          <w:color w:val="auto"/>
          <w:sz w:val="28"/>
          <w:szCs w:val="28"/>
          <w:highlight w:val="none"/>
          <w:u w:val="dotted"/>
        </w:rPr>
        <w:t xml:space="preserve">是/否 </w:t>
      </w:r>
      <w:r>
        <w:rPr>
          <w:rFonts w:hint="eastAsia" w:ascii="宋体" w:hAnsi="宋体" w:eastAsia="宋体" w:cs="宋体"/>
          <w:color w:val="auto"/>
          <w:sz w:val="28"/>
          <w:szCs w:val="28"/>
          <w:highlight w:val="none"/>
        </w:rPr>
        <w:t>公告期限：</w:t>
      </w:r>
      <w:r>
        <w:rPr>
          <w:rFonts w:hint="eastAsia" w:ascii="宋体" w:hAnsi="宋体" w:eastAsia="宋体" w:cs="宋体"/>
          <w:color w:val="auto"/>
          <w:sz w:val="28"/>
          <w:szCs w:val="28"/>
          <w:highlight w:val="none"/>
          <w:u w:val="dotted"/>
        </w:rPr>
        <w:t xml:space="preserve">                        </w:t>
      </w:r>
    </w:p>
    <w:p w14:paraId="7BDCA1AD">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三、质疑基本情况</w:t>
      </w:r>
    </w:p>
    <w:p w14:paraId="071BB389">
      <w:pPr>
        <w:shd w:val="clear"/>
        <w:ind w:firstLine="560" w:firstLineChars="200"/>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投诉人于</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日,向</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提出质疑，质疑事项为：</w:t>
      </w:r>
      <w:r>
        <w:rPr>
          <w:rFonts w:hint="eastAsia" w:ascii="宋体" w:hAnsi="宋体" w:eastAsia="宋体" w:cs="宋体"/>
          <w:color w:val="auto"/>
          <w:sz w:val="28"/>
          <w:szCs w:val="28"/>
          <w:highlight w:val="none"/>
          <w:u w:val="dotted"/>
        </w:rPr>
        <w:t xml:space="preserve">                                </w:t>
      </w:r>
    </w:p>
    <w:p w14:paraId="79BF1C43">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 xml:space="preserve">  </w:t>
      </w:r>
    </w:p>
    <w:p w14:paraId="311EE873">
      <w:pPr>
        <w:shd w:val="clear"/>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dotted"/>
        </w:rPr>
        <w:t>采购人/代理机构</w:t>
      </w:r>
      <w:r>
        <w:rPr>
          <w:rFonts w:hint="eastAsia" w:ascii="宋体" w:hAnsi="宋体" w:eastAsia="宋体" w:cs="宋体"/>
          <w:color w:val="auto"/>
          <w:sz w:val="28"/>
          <w:szCs w:val="28"/>
          <w:highlight w:val="none"/>
        </w:rPr>
        <w:t>于</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日,就质疑事项作出了答复/没有在法定期限内作出答复。</w:t>
      </w:r>
    </w:p>
    <w:p w14:paraId="33CFD12E">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四、投诉事项具体内容</w:t>
      </w:r>
    </w:p>
    <w:p w14:paraId="1D8C6CCC">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投诉事项 1：</w:t>
      </w:r>
      <w:r>
        <w:rPr>
          <w:rFonts w:hint="eastAsia" w:ascii="宋体" w:hAnsi="宋体" w:eastAsia="宋体" w:cs="宋体"/>
          <w:color w:val="auto"/>
          <w:sz w:val="28"/>
          <w:szCs w:val="28"/>
          <w:highlight w:val="none"/>
          <w:u w:val="dotted"/>
        </w:rPr>
        <w:t xml:space="preserve">                                       </w:t>
      </w:r>
    </w:p>
    <w:p w14:paraId="08ADD6F3">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事实依据：</w:t>
      </w:r>
      <w:r>
        <w:rPr>
          <w:rFonts w:hint="eastAsia" w:ascii="宋体" w:hAnsi="宋体" w:eastAsia="宋体" w:cs="宋体"/>
          <w:color w:val="auto"/>
          <w:sz w:val="28"/>
          <w:szCs w:val="28"/>
          <w:highlight w:val="none"/>
          <w:u w:val="dotted"/>
        </w:rPr>
        <w:t xml:space="preserve">                                         </w:t>
      </w:r>
    </w:p>
    <w:p w14:paraId="65DC0C0D">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u w:val="dotted"/>
        </w:rPr>
        <w:t xml:space="preserve">                                                      </w:t>
      </w:r>
    </w:p>
    <w:p w14:paraId="3328F446">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法律依据：</w:t>
      </w:r>
      <w:r>
        <w:rPr>
          <w:rFonts w:hint="eastAsia" w:ascii="宋体" w:hAnsi="宋体" w:eastAsia="宋体" w:cs="宋体"/>
          <w:color w:val="auto"/>
          <w:sz w:val="28"/>
          <w:szCs w:val="28"/>
          <w:highlight w:val="none"/>
          <w:u w:val="dotted"/>
        </w:rPr>
        <w:t xml:space="preserve">                                          </w:t>
      </w:r>
    </w:p>
    <w:p w14:paraId="59C4C389">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u w:val="dotted"/>
        </w:rPr>
        <w:t xml:space="preserve">                                                      </w:t>
      </w:r>
    </w:p>
    <w:p w14:paraId="64941722">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投诉事项2</w:t>
      </w:r>
    </w:p>
    <w:p w14:paraId="33C874B9">
      <w:pPr>
        <w:shd w:val="clear"/>
        <w:rPr>
          <w:rFonts w:hint="eastAsia" w:ascii="宋体" w:hAnsi="宋体" w:eastAsia="宋体" w:cs="宋体"/>
          <w:color w:val="auto"/>
          <w:sz w:val="28"/>
          <w:szCs w:val="28"/>
          <w:highlight w:val="none"/>
          <w:u w:val="dotted"/>
        </w:rPr>
      </w:pPr>
      <w:r>
        <w:rPr>
          <w:rFonts w:hint="eastAsia" w:ascii="宋体" w:hAnsi="宋体" w:eastAsia="宋体" w:cs="宋体"/>
          <w:color w:val="auto"/>
          <w:sz w:val="28"/>
          <w:szCs w:val="28"/>
          <w:highlight w:val="none"/>
        </w:rPr>
        <w:t>……</w:t>
      </w:r>
    </w:p>
    <w:p w14:paraId="0A155F54">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五、与投诉事项相关的投诉请求</w:t>
      </w:r>
    </w:p>
    <w:p w14:paraId="77B8444B">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请求：</w:t>
      </w:r>
      <w:r>
        <w:rPr>
          <w:rFonts w:hint="eastAsia" w:ascii="宋体" w:hAnsi="宋体" w:eastAsia="宋体" w:cs="宋体"/>
          <w:color w:val="auto"/>
          <w:sz w:val="28"/>
          <w:szCs w:val="28"/>
          <w:highlight w:val="none"/>
          <w:u w:val="dotted"/>
        </w:rPr>
        <w:t xml:space="preserve">                                              </w:t>
      </w:r>
      <w:r>
        <w:rPr>
          <w:rFonts w:hint="eastAsia" w:ascii="宋体" w:hAnsi="宋体" w:eastAsia="宋体" w:cs="宋体"/>
          <w:color w:val="auto"/>
          <w:sz w:val="28"/>
          <w:szCs w:val="28"/>
          <w:highlight w:val="none"/>
        </w:rPr>
        <w:t xml:space="preserve"> </w:t>
      </w:r>
    </w:p>
    <w:p w14:paraId="488C2DA8">
      <w:pPr>
        <w:shd w:val="clea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                                                                                                    </w:t>
      </w:r>
    </w:p>
    <w:p w14:paraId="1383742F">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签字(签章)：                   公章：                      </w:t>
      </w:r>
    </w:p>
    <w:p w14:paraId="20BE20DD">
      <w:pPr>
        <w:shd w:val="clea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日期：    </w:t>
      </w:r>
    </w:p>
    <w:p w14:paraId="150BD4C8">
      <w:pPr>
        <w:shd w:val="clear"/>
        <w:rPr>
          <w:rFonts w:hint="eastAsia" w:ascii="宋体" w:hAnsi="宋体" w:eastAsia="宋体" w:cs="宋体"/>
          <w:b/>
          <w:color w:val="auto"/>
          <w:sz w:val="28"/>
          <w:szCs w:val="28"/>
          <w:highlight w:val="none"/>
        </w:rPr>
      </w:pPr>
    </w:p>
    <w:p w14:paraId="1488C895">
      <w:pPr>
        <w:shd w:val="clear"/>
        <w:rPr>
          <w:rFonts w:hint="eastAsia" w:ascii="宋体" w:hAnsi="宋体" w:eastAsia="宋体" w:cs="宋体"/>
          <w:b/>
          <w:color w:val="auto"/>
          <w:sz w:val="28"/>
          <w:szCs w:val="28"/>
          <w:highlight w:val="none"/>
        </w:rPr>
      </w:pPr>
    </w:p>
    <w:p w14:paraId="58C8D6F3">
      <w:pPr>
        <w:shd w:val="clear"/>
        <w:rPr>
          <w:rFonts w:hint="eastAsia" w:ascii="宋体" w:hAnsi="宋体" w:eastAsia="宋体" w:cs="宋体"/>
          <w:b/>
          <w:color w:val="auto"/>
          <w:sz w:val="28"/>
          <w:szCs w:val="28"/>
          <w:highlight w:val="none"/>
        </w:rPr>
      </w:pPr>
    </w:p>
    <w:p w14:paraId="6E68A9EE">
      <w:pPr>
        <w:shd w:val="clear"/>
        <w:rPr>
          <w:rFonts w:hint="eastAsia" w:ascii="宋体" w:hAnsi="宋体" w:eastAsia="宋体" w:cs="宋体"/>
          <w:b/>
          <w:color w:val="auto"/>
          <w:sz w:val="28"/>
          <w:szCs w:val="28"/>
          <w:highlight w:val="none"/>
        </w:rPr>
      </w:pPr>
    </w:p>
    <w:p w14:paraId="21F38C58">
      <w:pPr>
        <w:shd w:val="clear"/>
        <w:rPr>
          <w:rFonts w:hint="eastAsia" w:ascii="宋体" w:hAnsi="宋体" w:eastAsia="宋体" w:cs="宋体"/>
          <w:b/>
          <w:color w:val="auto"/>
          <w:sz w:val="28"/>
          <w:szCs w:val="28"/>
          <w:highlight w:val="none"/>
        </w:rPr>
      </w:pPr>
    </w:p>
    <w:p w14:paraId="02B8580F">
      <w:pPr>
        <w:shd w:val="clea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1A6B5C6E">
      <w:pPr>
        <w:widowControl/>
        <w:shd w:val="clear"/>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0DD8E833">
      <w:pPr>
        <w:widowControl/>
        <w:shd w:val="clear"/>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1C7BA0B9">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44BE8D4D">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139B441B">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591AC2CC">
      <w:pPr>
        <w:widowControl/>
        <w:shd w:val="clear"/>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6E93C401">
      <w:pPr>
        <w:widowControl/>
        <w:shd w:val="clear"/>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9CD9CFF">
      <w:pPr>
        <w:shd w:val="clear"/>
        <w:jc w:val="left"/>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b/>
          <w:color w:val="auto"/>
          <w:sz w:val="28"/>
          <w:szCs w:val="28"/>
          <w:highlight w:val="none"/>
        </w:rPr>
        <w:t xml:space="preserve"> </w:t>
      </w:r>
    </w:p>
    <w:p w14:paraId="71D24AD3">
      <w:pPr>
        <w:shd w:val="clear"/>
        <w:jc w:val="left"/>
        <w:rPr>
          <w:rFonts w:hint="eastAsia" w:ascii="宋体" w:hAnsi="宋体" w:eastAsia="宋体" w:cs="宋体"/>
          <w:b/>
          <w:color w:val="auto"/>
          <w:sz w:val="28"/>
          <w:szCs w:val="28"/>
          <w:highlight w:val="none"/>
        </w:rPr>
      </w:pPr>
    </w:p>
    <w:p w14:paraId="72B92414">
      <w:pPr>
        <w:shd w:val="clear"/>
        <w:rPr>
          <w:rFonts w:hint="eastAsia" w:ascii="宋体" w:hAnsi="宋体" w:eastAsia="宋体" w:cs="宋体"/>
          <w:color w:val="auto"/>
          <w:sz w:val="20"/>
          <w:szCs w:val="22"/>
          <w:highlight w:val="none"/>
        </w:rPr>
      </w:pPr>
    </w:p>
    <w:p w14:paraId="15766FF1">
      <w:pPr>
        <w:shd w:val="clear"/>
        <w:rPr>
          <w:rFonts w:hint="eastAsia" w:ascii="宋体" w:hAnsi="宋体" w:eastAsia="宋体" w:cs="宋体"/>
          <w:color w:val="auto"/>
          <w:sz w:val="20"/>
          <w:szCs w:val="22"/>
          <w:highlight w:val="none"/>
        </w:rPr>
      </w:pPr>
    </w:p>
    <w:p w14:paraId="1A8846D3">
      <w:pPr>
        <w:pStyle w:val="5"/>
        <w:shd w:val="clear"/>
        <w:ind w:firstLine="600"/>
        <w:rPr>
          <w:rFonts w:hint="eastAsia" w:ascii="宋体" w:hAnsi="宋体" w:eastAsia="宋体" w:cs="宋体"/>
          <w:color w:val="auto"/>
          <w:highlight w:val="none"/>
        </w:rPr>
      </w:pPr>
    </w:p>
    <w:p w14:paraId="0430D829">
      <w:pPr>
        <w:pStyle w:val="6"/>
        <w:shd w:val="clear"/>
        <w:ind w:left="0" w:leftChars="0"/>
        <w:rPr>
          <w:rFonts w:hint="eastAsia" w:ascii="宋体" w:hAnsi="宋体" w:eastAsia="宋体" w:cs="宋体"/>
          <w:color w:val="auto"/>
          <w:highlight w:val="none"/>
        </w:rPr>
      </w:pPr>
    </w:p>
    <w:p w14:paraId="29F7F4BC">
      <w:pPr>
        <w:pStyle w:val="6"/>
        <w:shd w:val="clear"/>
        <w:ind w:left="0" w:leftChars="0"/>
        <w:rPr>
          <w:rFonts w:hint="eastAsia" w:ascii="宋体" w:hAnsi="宋体" w:eastAsia="宋体" w:cs="宋体"/>
          <w:color w:val="auto"/>
          <w:highlight w:val="none"/>
        </w:rPr>
      </w:pPr>
    </w:p>
    <w:p w14:paraId="74823675">
      <w:pPr>
        <w:pStyle w:val="8"/>
        <w:shd w:val="clear"/>
        <w:rPr>
          <w:rFonts w:hint="eastAsia"/>
          <w:color w:val="auto"/>
          <w:highlight w:val="none"/>
        </w:rPr>
      </w:pPr>
    </w:p>
    <w:sectPr>
      <w:headerReference r:id="rId8" w:type="first"/>
      <w:footerReference r:id="rId11" w:type="first"/>
      <w:headerReference r:id="rId7" w:type="default"/>
      <w:footerReference r:id="rId9" w:type="default"/>
      <w:footerReference r:id="rId10" w:type="even"/>
      <w:pgSz w:w="11906" w:h="16838"/>
      <w:pgMar w:top="1134" w:right="1247" w:bottom="1134" w:left="1247" w:header="851" w:footer="907"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504020202030204"/>
    <w:charset w:val="00"/>
    <w:family w:val="auto"/>
    <w:pitch w:val="default"/>
    <w:sig w:usb0="00000000" w:usb1="00000000" w:usb2="00000000" w:usb3="00000000" w:csb0="00000093" w:csb1="00000000"/>
  </w:font>
  <w:font w:name="楷体_GB2312">
    <w:altName w:val="楷体"/>
    <w:panose1 w:val="0201060903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幼圆">
    <w:altName w:val="宋体"/>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1578">
    <w:pPr>
      <w:keepNext w:val="0"/>
      <w:keepLines w:val="0"/>
      <w:pageBreakBefore w:val="0"/>
      <w:widowControl w:val="0"/>
      <w:kinsoku/>
      <w:wordWrap/>
      <w:overflowPunct/>
      <w:topLinePunct w:val="0"/>
      <w:autoSpaceDE/>
      <w:autoSpaceDN/>
      <w:bidi w:val="0"/>
      <w:adjustRightInd/>
      <w:snapToGrid/>
      <w:spacing w:line="600" w:lineRule="auto"/>
      <w:ind w:left="1743" w:leftChars="306" w:hanging="1100" w:hangingChars="500"/>
      <w:jc w:val="right"/>
      <w:textAlignment w:val="auto"/>
      <w:rPr>
        <w:rFonts w:hint="eastAsia"/>
        <w:b w:val="0"/>
        <w:bCs/>
        <w:color w:val="auto"/>
        <w:sz w:val="22"/>
        <w:szCs w:val="22"/>
        <w:highlight w:val="none"/>
      </w:rPr>
    </w:pPr>
  </w:p>
  <w:p w14:paraId="2075E655">
    <w:pPr>
      <w:pStyle w:val="27"/>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30F50">
                          <w:pPr>
                            <w:pStyle w:val="2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F830F50">
                    <w:pPr>
                      <w:pStyle w:val="27"/>
                    </w:pPr>
                    <w:r>
                      <w:fldChar w:fldCharType="begin"/>
                    </w:r>
                    <w:r>
                      <w:instrText xml:space="preserve"> PAGE  \* MERGEFORMAT </w:instrText>
                    </w:r>
                    <w:r>
                      <w:fldChar w:fldCharType="separate"/>
                    </w:r>
                    <w:r>
                      <w:t>3</w:t>
                    </w:r>
                    <w:r>
                      <w:fldChar w:fldCharType="end"/>
                    </w:r>
                  </w:p>
                </w:txbxContent>
              </v:textbox>
            </v:shape>
          </w:pict>
        </mc:Fallback>
      </mc:AlternateContent>
    </w:r>
  </w:p>
  <w:p w14:paraId="3F45F9BB">
    <w:pPr>
      <w:jc w:val="right"/>
      <w:rPr>
        <w:rFonts w:ascii="仿宋_GB2312" w:eastAsia="仿宋_GB2312"/>
        <w:sz w:val="18"/>
        <w:szCs w:val="18"/>
      </w:rPr>
    </w:pPr>
    <w:r>
      <w:rPr>
        <w:rFonts w:hint="eastAsia" w:ascii="宋体" w:hAnsi="宋体" w:eastAsia="宋体" w:cs="宋体"/>
        <w:b w:val="0"/>
        <w:bCs/>
        <w:color w:val="auto"/>
        <w:kern w:val="0"/>
        <w:sz w:val="18"/>
        <w:szCs w:val="18"/>
        <w:highlight w:val="none"/>
      </w:rPr>
      <w:t>东阳市鑫盛工程咨询有限公司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F2C46">
    <w:pPr>
      <w:rPr>
        <w:rFonts w:hint="eastAsia" w:ascii="仿宋_GB2312" w:eastAsia="仿宋_GB2312"/>
        <w:lang w:eastAsia="zh-C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95C9B">
                          <w:pPr>
                            <w:pStyle w:val="2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DF95C9B">
                    <w:pPr>
                      <w:pStyle w:val="2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_GB2312" w:eastAsia="仿宋_GB2312"/>
        <w:kern w:val="0"/>
        <w:lang w:val="en-US" w:eastAsia="zh-CN"/>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87BBA">
    <w:pPr>
      <w:pStyle w:val="27"/>
      <w:ind w:firstLine="4320" w:firstLineChars="240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05A52">
                          <w:pPr>
                            <w:pStyle w:val="2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A105A52">
                    <w:pPr>
                      <w:pStyle w:val="27"/>
                    </w:pPr>
                    <w:r>
                      <w:fldChar w:fldCharType="begin"/>
                    </w:r>
                    <w:r>
                      <w:instrText xml:space="preserve"> PAGE  \* MERGEFORMAT </w:instrText>
                    </w:r>
                    <w:r>
                      <w:fldChar w:fldCharType="separate"/>
                    </w:r>
                    <w:r>
                      <w:t>91</w:t>
                    </w:r>
                    <w:r>
                      <w:fldChar w:fldCharType="end"/>
                    </w:r>
                  </w:p>
                </w:txbxContent>
              </v:textbox>
            </v:shape>
          </w:pict>
        </mc:Fallback>
      </mc:AlternateContent>
    </w:r>
    <w:r>
      <w:rPr>
        <w:rFonts w:hint="eastAsia"/>
      </w:rPr>
      <w:t xml:space="preserve">  </w:t>
    </w:r>
    <w:r>
      <w:t xml:space="preserve">   </w:t>
    </w:r>
    <w:r>
      <w:rPr>
        <w:rFonts w:hint="eastAsia"/>
      </w:rPr>
      <w:t xml:space="preserve">                       东阳市鑫盛工程咨询有限公司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48748">
    <w:pPr>
      <w:pStyle w:val="27"/>
      <w:framePr w:wrap="around" w:vAnchor="text" w:hAnchor="margin" w:xAlign="center" w:y="1"/>
      <w:rPr>
        <w:rStyle w:val="43"/>
      </w:rPr>
    </w:pPr>
    <w:r>
      <w:fldChar w:fldCharType="begin"/>
    </w:r>
    <w:r>
      <w:rPr>
        <w:rStyle w:val="43"/>
      </w:rPr>
      <w:instrText xml:space="preserve">PAGE  </w:instrText>
    </w:r>
    <w:r>
      <w:fldChar w:fldCharType="end"/>
    </w:r>
  </w:p>
  <w:p w14:paraId="46588717">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1821">
    <w:pPr>
      <w:pStyle w:val="27"/>
      <w:jc w:val="both"/>
      <w:rPr>
        <w:rFonts w:hint="eastAsia" w:ascii="宋体" w:hAnsi="宋体" w:eastAsia="宋体" w:cs="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DDDBB">
                          <w:pPr>
                            <w:pStyle w:val="27"/>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4FDDDBB">
                    <w:pPr>
                      <w:pStyle w:val="27"/>
                    </w:pPr>
                    <w:r>
                      <w:fldChar w:fldCharType="begin"/>
                    </w:r>
                    <w:r>
                      <w:instrText xml:space="preserve"> PAGE  \* MERGEFORMAT </w:instrText>
                    </w:r>
                    <w:r>
                      <w:fldChar w:fldCharType="separate"/>
                    </w:r>
                    <w:r>
                      <w:t>90</w:t>
                    </w:r>
                    <w:r>
                      <w:fldChar w:fldCharType="end"/>
                    </w:r>
                  </w:p>
                </w:txbxContent>
              </v:textbox>
            </v:shape>
          </w:pict>
        </mc:Fallback>
      </mc:AlternateContent>
    </w:r>
  </w:p>
  <w:p w14:paraId="725ABE3E">
    <w:pPr>
      <w:rPr>
        <w:rFonts w:hint="eastAsia" w:ascii="宋体" w:hAnsi="宋体" w:eastAsia="宋体" w:cs="宋体"/>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66E46">
    <w:pPr>
      <w:pStyle w:val="29"/>
      <w:jc w:val="left"/>
      <w:rPr>
        <w:rFonts w:hint="eastAsia"/>
        <w:lang w:eastAsia="zh-CN"/>
      </w:rPr>
    </w:pPr>
    <w:r>
      <w:rPr>
        <w:rFonts w:hint="eastAsia"/>
        <w:lang w:val="en-US" w:eastAsia="zh-CN"/>
      </w:rPr>
      <w:t>东阳市江北综合医院（东阳市红会医院迁建工程）厨房设备采购项目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EFB47">
    <w:pPr>
      <w:pStyle w:val="29"/>
      <w:jc w:val="both"/>
    </w:pPr>
    <w:r>
      <w:rPr>
        <w:rFonts w:hint="eastAsia"/>
      </w:rPr>
      <w:t>东阳市2022年度开发区节约集约利用评价项目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6FED3">
    <w:pPr>
      <w:pStyle w:val="29"/>
      <w:jc w:val="left"/>
      <w:rPr>
        <w:rFonts w:hint="default"/>
        <w:lang w:val="en-US" w:eastAsia="zh-CN"/>
      </w:rPr>
    </w:pPr>
    <w:r>
      <w:rPr>
        <w:rFonts w:hint="eastAsia"/>
        <w:lang w:val="en-US" w:eastAsia="zh-CN"/>
      </w:rPr>
      <w:t>东阳市江北综合医院（东阳市红会医院迁建工程）厨房设备采购项目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5ECD6">
    <w:pPr>
      <w:pStyle w:val="29"/>
      <w:jc w:val="left"/>
      <w:rPr>
        <w:rFonts w:hint="default"/>
        <w:lang w:val="en-US" w:eastAsia="zh-CN"/>
      </w:rPr>
    </w:pPr>
    <w:r>
      <w:rPr>
        <w:rFonts w:hint="eastAsia"/>
        <w:lang w:val="en-US" w:eastAsia="zh-CN"/>
      </w:rPr>
      <w:t>东阳市江北综合医院（东阳市红会医院迁建工程）厨房设备采购项目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1F88B"/>
    <w:multiLevelType w:val="singleLevel"/>
    <w:tmpl w:val="8761F88B"/>
    <w:lvl w:ilvl="0" w:tentative="0">
      <w:start w:val="2"/>
      <w:numFmt w:val="chineseCounting"/>
      <w:suff w:val="space"/>
      <w:lvlText w:val="第%1章"/>
      <w:lvlJc w:val="left"/>
      <w:rPr>
        <w:rFonts w:hint="eastAsia"/>
      </w:rPr>
    </w:lvl>
  </w:abstractNum>
  <w:abstractNum w:abstractNumId="1">
    <w:nsid w:val="B566A6FE"/>
    <w:multiLevelType w:val="singleLevel"/>
    <w:tmpl w:val="B566A6FE"/>
    <w:lvl w:ilvl="0" w:tentative="0">
      <w:start w:val="1"/>
      <w:numFmt w:val="decimal"/>
      <w:suff w:val="nothing"/>
      <w:lvlText w:val="%1、"/>
      <w:lvlJc w:val="left"/>
    </w:lvl>
  </w:abstractNum>
  <w:abstractNum w:abstractNumId="2">
    <w:nsid w:val="C6D025FC"/>
    <w:multiLevelType w:val="singleLevel"/>
    <w:tmpl w:val="C6D025FC"/>
    <w:lvl w:ilvl="0" w:tentative="0">
      <w:start w:val="1"/>
      <w:numFmt w:val="decimal"/>
      <w:lvlText w:val="%1."/>
      <w:lvlJc w:val="left"/>
      <w:pPr>
        <w:tabs>
          <w:tab w:val="left" w:pos="312"/>
        </w:tabs>
      </w:pPr>
    </w:lvl>
  </w:abstractNum>
  <w:abstractNum w:abstractNumId="3">
    <w:nsid w:val="C8DE852A"/>
    <w:multiLevelType w:val="singleLevel"/>
    <w:tmpl w:val="C8DE852A"/>
    <w:lvl w:ilvl="0" w:tentative="0">
      <w:start w:val="1"/>
      <w:numFmt w:val="decimal"/>
      <w:lvlText w:val="%1."/>
      <w:lvlJc w:val="left"/>
      <w:pPr>
        <w:tabs>
          <w:tab w:val="left" w:pos="312"/>
        </w:tabs>
      </w:pPr>
    </w:lvl>
  </w:abstractNum>
  <w:abstractNum w:abstractNumId="4">
    <w:nsid w:val="FA5E8E8B"/>
    <w:multiLevelType w:val="singleLevel"/>
    <w:tmpl w:val="FA5E8E8B"/>
    <w:lvl w:ilvl="0" w:tentative="0">
      <w:start w:val="1"/>
      <w:numFmt w:val="chineseCounting"/>
      <w:suff w:val="nothing"/>
      <w:lvlText w:val="%1、"/>
      <w:lvlJc w:val="left"/>
      <w:rPr>
        <w:rFonts w:hint="eastAsia"/>
      </w:rPr>
    </w:lvl>
  </w:abstractNum>
  <w:abstractNum w:abstractNumId="5">
    <w:nsid w:val="0421B57D"/>
    <w:multiLevelType w:val="singleLevel"/>
    <w:tmpl w:val="0421B57D"/>
    <w:lvl w:ilvl="0" w:tentative="0">
      <w:start w:val="2"/>
      <w:numFmt w:val="chineseCounting"/>
      <w:suff w:val="nothing"/>
      <w:lvlText w:val="（%1）"/>
      <w:lvlJc w:val="left"/>
      <w:rPr>
        <w:rFonts w:hint="eastAsia"/>
      </w:rPr>
    </w:lvl>
  </w:abstractNum>
  <w:abstractNum w:abstractNumId="6">
    <w:nsid w:val="074054F6"/>
    <w:multiLevelType w:val="multilevel"/>
    <w:tmpl w:val="074054F6"/>
    <w:lvl w:ilvl="0" w:tentative="0">
      <w:start w:val="1"/>
      <w:numFmt w:val="decimal"/>
      <w:pStyle w:val="131"/>
      <w:lvlText w:val="第%1章"/>
      <w:lvlJc w:val="left"/>
      <w:pPr>
        <w:tabs>
          <w:tab w:val="left" w:pos="432"/>
        </w:tabs>
        <w:ind w:left="2742" w:hanging="432"/>
      </w:pPr>
      <w:rPr>
        <w:rFonts w:hint="eastAsia"/>
      </w:rPr>
    </w:lvl>
    <w:lvl w:ilvl="1" w:tentative="0">
      <w:start w:val="1"/>
      <w:numFmt w:val="decimal"/>
      <w:lvlText w:val="%1.%2"/>
      <w:lvlJc w:val="left"/>
      <w:pPr>
        <w:tabs>
          <w:tab w:val="left" w:pos="576"/>
        </w:tabs>
        <w:ind w:left="2886" w:hanging="576"/>
      </w:pPr>
      <w:rPr>
        <w:rFonts w:hint="eastAsia"/>
      </w:rPr>
    </w:lvl>
    <w:lvl w:ilvl="2" w:tentative="0">
      <w:start w:val="1"/>
      <w:numFmt w:val="decimal"/>
      <w:lvlText w:val="%1.%2.%3"/>
      <w:lvlJc w:val="left"/>
      <w:pPr>
        <w:tabs>
          <w:tab w:val="left" w:pos="720"/>
        </w:tabs>
        <w:ind w:left="3030" w:hanging="720"/>
      </w:pPr>
      <w:rPr>
        <w:rFonts w:hint="eastAsia"/>
      </w:rPr>
    </w:lvl>
    <w:lvl w:ilvl="3" w:tentative="0">
      <w:start w:val="1"/>
      <w:numFmt w:val="decimal"/>
      <w:lvlText w:val="%1.%2.%3.%4"/>
      <w:lvlJc w:val="left"/>
      <w:pPr>
        <w:tabs>
          <w:tab w:val="left" w:pos="864"/>
        </w:tabs>
        <w:ind w:left="3174" w:hanging="864"/>
      </w:pPr>
      <w:rPr>
        <w:rFonts w:hint="eastAsia"/>
      </w:rPr>
    </w:lvl>
    <w:lvl w:ilvl="4" w:tentative="0">
      <w:start w:val="1"/>
      <w:numFmt w:val="decimal"/>
      <w:lvlText w:val="%1.%2.%3.%4.%5"/>
      <w:lvlJc w:val="left"/>
      <w:pPr>
        <w:tabs>
          <w:tab w:val="left" w:pos="1008"/>
        </w:tabs>
        <w:ind w:left="3318" w:hanging="1008"/>
      </w:pPr>
      <w:rPr>
        <w:rFonts w:hint="eastAsia"/>
      </w:rPr>
    </w:lvl>
    <w:lvl w:ilvl="5" w:tentative="0">
      <w:start w:val="1"/>
      <w:numFmt w:val="decimal"/>
      <w:lvlText w:val="%1.%2.%3.%4.%5.%6"/>
      <w:lvlJc w:val="left"/>
      <w:pPr>
        <w:tabs>
          <w:tab w:val="left" w:pos="1152"/>
        </w:tabs>
        <w:ind w:left="3462" w:hanging="1152"/>
      </w:pPr>
      <w:rPr>
        <w:rFonts w:hint="eastAsia"/>
      </w:rPr>
    </w:lvl>
    <w:lvl w:ilvl="6" w:tentative="0">
      <w:start w:val="1"/>
      <w:numFmt w:val="decimal"/>
      <w:lvlText w:val="%1.%2.%3.%4.%5.%6.%7"/>
      <w:lvlJc w:val="left"/>
      <w:pPr>
        <w:tabs>
          <w:tab w:val="left" w:pos="1296"/>
        </w:tabs>
        <w:ind w:left="3606" w:hanging="1296"/>
      </w:pPr>
      <w:rPr>
        <w:rFonts w:hint="eastAsia"/>
      </w:rPr>
    </w:lvl>
    <w:lvl w:ilvl="7" w:tentative="0">
      <w:start w:val="1"/>
      <w:numFmt w:val="decimal"/>
      <w:lvlText w:val="%1.%2.%3.%4.%5.%6.%7.%8"/>
      <w:lvlJc w:val="left"/>
      <w:pPr>
        <w:tabs>
          <w:tab w:val="left" w:pos="1440"/>
        </w:tabs>
        <w:ind w:left="3750" w:hanging="1440"/>
      </w:pPr>
      <w:rPr>
        <w:rFonts w:hint="eastAsia"/>
      </w:rPr>
    </w:lvl>
    <w:lvl w:ilvl="8" w:tentative="0">
      <w:start w:val="1"/>
      <w:numFmt w:val="decimal"/>
      <w:lvlText w:val="%1.%2.%3.%4.%5.%6.%7.%8.%9"/>
      <w:lvlJc w:val="left"/>
      <w:pPr>
        <w:tabs>
          <w:tab w:val="left" w:pos="1584"/>
        </w:tabs>
        <w:ind w:left="3894" w:hanging="1584"/>
      </w:pPr>
      <w:rPr>
        <w:rFonts w:hint="eastAsia"/>
      </w:rPr>
    </w:lvl>
  </w:abstractNum>
  <w:abstractNum w:abstractNumId="7">
    <w:nsid w:val="16495001"/>
    <w:multiLevelType w:val="singleLevel"/>
    <w:tmpl w:val="16495001"/>
    <w:lvl w:ilvl="0" w:tentative="0">
      <w:start w:val="6"/>
      <w:numFmt w:val="chineseCounting"/>
      <w:suff w:val="nothing"/>
      <w:lvlText w:val="（%1）"/>
      <w:lvlJc w:val="left"/>
      <w:rPr>
        <w:rFonts w:hint="eastAsia"/>
      </w:rPr>
    </w:lvl>
  </w:abstractNum>
  <w:abstractNum w:abstractNumId="8">
    <w:nsid w:val="1AF0A5F1"/>
    <w:multiLevelType w:val="singleLevel"/>
    <w:tmpl w:val="1AF0A5F1"/>
    <w:lvl w:ilvl="0" w:tentative="0">
      <w:start w:val="1"/>
      <w:numFmt w:val="decimal"/>
      <w:lvlText w:val="%1."/>
      <w:lvlJc w:val="left"/>
      <w:pPr>
        <w:tabs>
          <w:tab w:val="left" w:pos="312"/>
        </w:tabs>
      </w:pPr>
    </w:lvl>
  </w:abstractNum>
  <w:abstractNum w:abstractNumId="9">
    <w:nsid w:val="248712B5"/>
    <w:multiLevelType w:val="singleLevel"/>
    <w:tmpl w:val="248712B5"/>
    <w:lvl w:ilvl="0" w:tentative="0">
      <w:start w:val="3"/>
      <w:numFmt w:val="decimal"/>
      <w:lvlText w:val="%1."/>
      <w:lvlJc w:val="left"/>
      <w:pPr>
        <w:tabs>
          <w:tab w:val="left" w:pos="312"/>
        </w:tabs>
      </w:pPr>
    </w:lvl>
  </w:abstractNum>
  <w:abstractNum w:abstractNumId="10">
    <w:nsid w:val="2A646790"/>
    <w:multiLevelType w:val="multilevel"/>
    <w:tmpl w:val="2A646790"/>
    <w:lvl w:ilvl="0" w:tentative="0">
      <w:start w:val="1"/>
      <w:numFmt w:val="decimal"/>
      <w:lvlText w:val="%1."/>
      <w:lvlJc w:val="left"/>
      <w:pPr>
        <w:tabs>
          <w:tab w:val="left" w:pos="1224"/>
        </w:tabs>
        <w:ind w:left="1224" w:hanging="1224"/>
      </w:pPr>
      <w:rPr>
        <w:rFonts w:hint="eastAsia"/>
      </w:rPr>
    </w:lvl>
    <w:lvl w:ilvl="1" w:tentative="0">
      <w:start w:val="1"/>
      <w:numFmt w:val="decimal"/>
      <w:lvlText w:val="%1.%2"/>
      <w:lvlJc w:val="left"/>
      <w:pPr>
        <w:tabs>
          <w:tab w:val="left" w:pos="1224"/>
        </w:tabs>
        <w:ind w:left="1224" w:hanging="1224"/>
      </w:pPr>
      <w:rPr>
        <w:rFonts w:hint="eastAsia"/>
        <w:sz w:val="24"/>
        <w:szCs w:val="24"/>
      </w:rPr>
    </w:lvl>
    <w:lvl w:ilvl="2" w:tentative="0">
      <w:start w:val="1"/>
      <w:numFmt w:val="decimal"/>
      <w:pStyle w:val="55"/>
      <w:lvlText w:val="%1.%2.%3"/>
      <w:lvlJc w:val="left"/>
      <w:pPr>
        <w:tabs>
          <w:tab w:val="left" w:pos="1224"/>
        </w:tabs>
        <w:ind w:left="1224" w:hanging="1224"/>
      </w:pPr>
      <w:rPr>
        <w:rFonts w:hint="default" w:ascii="Arial Narrow" w:hAnsi="Arial Narrow" w:eastAsia="仿宋_GB2312"/>
        <w:sz w:val="24"/>
        <w:szCs w:val="24"/>
      </w:rPr>
    </w:lvl>
    <w:lvl w:ilvl="3" w:tentative="0">
      <w:start w:val="1"/>
      <w:numFmt w:val="decimal"/>
      <w:lvlText w:val="%1.%2.%3.%4."/>
      <w:lvlJc w:val="left"/>
      <w:pPr>
        <w:tabs>
          <w:tab w:val="left" w:pos="1225"/>
        </w:tabs>
        <w:ind w:left="1225" w:hanging="1225"/>
      </w:pPr>
      <w:rPr>
        <w:rFonts w:hint="eastAsia"/>
        <w:sz w:val="24"/>
        <w:szCs w:val="24"/>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
    <w:nsid w:val="3BE7ACD2"/>
    <w:multiLevelType w:val="singleLevel"/>
    <w:tmpl w:val="3BE7ACD2"/>
    <w:lvl w:ilvl="0" w:tentative="0">
      <w:start w:val="1"/>
      <w:numFmt w:val="chineseCounting"/>
      <w:suff w:val="nothing"/>
      <w:lvlText w:val="%1、"/>
      <w:lvlJc w:val="left"/>
      <w:rPr>
        <w:rFonts w:hint="eastAsia"/>
      </w:rPr>
    </w:lvl>
  </w:abstractNum>
  <w:abstractNum w:abstractNumId="12">
    <w:nsid w:val="4BAEAC79"/>
    <w:multiLevelType w:val="singleLevel"/>
    <w:tmpl w:val="4BAEAC79"/>
    <w:lvl w:ilvl="0" w:tentative="0">
      <w:start w:val="1"/>
      <w:numFmt w:val="decimal"/>
      <w:suff w:val="nothing"/>
      <w:lvlText w:val="（%1）"/>
      <w:lvlJc w:val="left"/>
    </w:lvl>
  </w:abstractNum>
  <w:abstractNum w:abstractNumId="13">
    <w:nsid w:val="5BA933FE"/>
    <w:multiLevelType w:val="multilevel"/>
    <w:tmpl w:val="5BA933F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pStyle w:val="112"/>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5BE5B3C0"/>
    <w:multiLevelType w:val="singleLevel"/>
    <w:tmpl w:val="5BE5B3C0"/>
    <w:lvl w:ilvl="0" w:tentative="0">
      <w:start w:val="1"/>
      <w:numFmt w:val="decimal"/>
      <w:lvlText w:val="%1."/>
      <w:lvlJc w:val="left"/>
      <w:pPr>
        <w:tabs>
          <w:tab w:val="left" w:pos="312"/>
        </w:tabs>
      </w:pPr>
    </w:lvl>
  </w:abstractNum>
  <w:abstractNum w:abstractNumId="15">
    <w:nsid w:val="5D410D0D"/>
    <w:multiLevelType w:val="singleLevel"/>
    <w:tmpl w:val="5D410D0D"/>
    <w:lvl w:ilvl="0" w:tentative="0">
      <w:start w:val="5"/>
      <w:numFmt w:val="chineseCounting"/>
      <w:suff w:val="space"/>
      <w:lvlText w:val="第%1章"/>
      <w:lvlJc w:val="left"/>
      <w:rPr>
        <w:rFonts w:hint="eastAsia"/>
      </w:rPr>
    </w:lvl>
  </w:abstractNum>
  <w:abstractNum w:abstractNumId="16">
    <w:nsid w:val="612C0E64"/>
    <w:multiLevelType w:val="multilevel"/>
    <w:tmpl w:val="612C0E64"/>
    <w:lvl w:ilvl="0" w:tentative="0">
      <w:start w:val="1"/>
      <w:numFmt w:val="decimal"/>
      <w:lvlText w:val="%1."/>
      <w:lvlJc w:val="left"/>
      <w:pPr>
        <w:tabs>
          <w:tab w:val="left" w:pos="1244"/>
        </w:tabs>
        <w:ind w:left="1244" w:hanging="420"/>
      </w:pPr>
      <w:rPr>
        <w:rFonts w:hint="eastAsia"/>
      </w:rPr>
    </w:lvl>
    <w:lvl w:ilvl="1" w:tentative="0">
      <w:start w:val="1"/>
      <w:numFmt w:val="lowerLetter"/>
      <w:lvlText w:val="%2)"/>
      <w:lvlJc w:val="left"/>
      <w:pPr>
        <w:tabs>
          <w:tab w:val="left" w:pos="824"/>
        </w:tabs>
        <w:ind w:left="824" w:hanging="420"/>
      </w:pPr>
    </w:lvl>
    <w:lvl w:ilvl="2" w:tentative="0">
      <w:start w:val="1"/>
      <w:numFmt w:val="lowerRoman"/>
      <w:lvlText w:val="%3."/>
      <w:lvlJc w:val="right"/>
      <w:pPr>
        <w:tabs>
          <w:tab w:val="left" w:pos="1244"/>
        </w:tabs>
        <w:ind w:left="1244" w:hanging="420"/>
      </w:pPr>
    </w:lvl>
    <w:lvl w:ilvl="3" w:tentative="0">
      <w:start w:val="1"/>
      <w:numFmt w:val="decimal"/>
      <w:lvlText w:val="%4."/>
      <w:lvlJc w:val="left"/>
      <w:pPr>
        <w:tabs>
          <w:tab w:val="left" w:pos="1664"/>
        </w:tabs>
        <w:ind w:left="1664" w:hanging="420"/>
      </w:pPr>
    </w:lvl>
    <w:lvl w:ilvl="4" w:tentative="0">
      <w:start w:val="1"/>
      <w:numFmt w:val="lowerLetter"/>
      <w:lvlText w:val="%5)"/>
      <w:lvlJc w:val="left"/>
      <w:pPr>
        <w:tabs>
          <w:tab w:val="left" w:pos="2084"/>
        </w:tabs>
        <w:ind w:left="2084" w:hanging="420"/>
      </w:pPr>
    </w:lvl>
    <w:lvl w:ilvl="5" w:tentative="0">
      <w:start w:val="1"/>
      <w:numFmt w:val="lowerRoman"/>
      <w:lvlText w:val="%6."/>
      <w:lvlJc w:val="right"/>
      <w:pPr>
        <w:tabs>
          <w:tab w:val="left" w:pos="2504"/>
        </w:tabs>
        <w:ind w:left="2504" w:hanging="420"/>
      </w:pPr>
    </w:lvl>
    <w:lvl w:ilvl="6" w:tentative="0">
      <w:start w:val="1"/>
      <w:numFmt w:val="decimal"/>
      <w:lvlText w:val="%7."/>
      <w:lvlJc w:val="left"/>
      <w:pPr>
        <w:tabs>
          <w:tab w:val="left" w:pos="2924"/>
        </w:tabs>
        <w:ind w:left="2924" w:hanging="420"/>
      </w:pPr>
    </w:lvl>
    <w:lvl w:ilvl="7" w:tentative="0">
      <w:start w:val="1"/>
      <w:numFmt w:val="lowerLetter"/>
      <w:lvlText w:val="%8)"/>
      <w:lvlJc w:val="left"/>
      <w:pPr>
        <w:tabs>
          <w:tab w:val="left" w:pos="3344"/>
        </w:tabs>
        <w:ind w:left="3344" w:hanging="420"/>
      </w:pPr>
    </w:lvl>
    <w:lvl w:ilvl="8" w:tentative="0">
      <w:start w:val="1"/>
      <w:numFmt w:val="lowerRoman"/>
      <w:lvlText w:val="%9."/>
      <w:lvlJc w:val="right"/>
      <w:pPr>
        <w:tabs>
          <w:tab w:val="left" w:pos="3764"/>
        </w:tabs>
        <w:ind w:left="3764" w:hanging="420"/>
      </w:pPr>
    </w:lvl>
  </w:abstractNum>
  <w:abstractNum w:abstractNumId="17">
    <w:nsid w:val="61ADA8C3"/>
    <w:multiLevelType w:val="singleLevel"/>
    <w:tmpl w:val="61ADA8C3"/>
    <w:lvl w:ilvl="0" w:tentative="0">
      <w:start w:val="5"/>
      <w:numFmt w:val="chineseCounting"/>
      <w:suff w:val="nothing"/>
      <w:lvlText w:val="%1、"/>
      <w:lvlJc w:val="left"/>
    </w:lvl>
  </w:abstractNum>
  <w:abstractNum w:abstractNumId="18">
    <w:nsid w:val="63CCEEA8"/>
    <w:multiLevelType w:val="singleLevel"/>
    <w:tmpl w:val="63CCEEA8"/>
    <w:lvl w:ilvl="0" w:tentative="0">
      <w:start w:val="1"/>
      <w:numFmt w:val="decimal"/>
      <w:lvlText w:val="%1."/>
      <w:lvlJc w:val="left"/>
      <w:pPr>
        <w:tabs>
          <w:tab w:val="left" w:pos="312"/>
        </w:tabs>
      </w:pPr>
    </w:lvl>
  </w:abstractNum>
  <w:abstractNum w:abstractNumId="19">
    <w:nsid w:val="64DE61C4"/>
    <w:multiLevelType w:val="multilevel"/>
    <w:tmpl w:val="64DE61C4"/>
    <w:lvl w:ilvl="0" w:tentative="0">
      <w:start w:val="1"/>
      <w:numFmt w:val="decimal"/>
      <w:pStyle w:val="14"/>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50323FF"/>
    <w:multiLevelType w:val="singleLevel"/>
    <w:tmpl w:val="650323FF"/>
    <w:lvl w:ilvl="0" w:tentative="0">
      <w:start w:val="13"/>
      <w:numFmt w:val="decimal"/>
      <w:suff w:val="nothing"/>
      <w:lvlText w:val="（%1）"/>
      <w:lvlJc w:val="left"/>
    </w:lvl>
  </w:abstractNum>
  <w:abstractNum w:abstractNumId="21">
    <w:nsid w:val="685F539A"/>
    <w:multiLevelType w:val="multilevel"/>
    <w:tmpl w:val="685F539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9B3734B"/>
    <w:multiLevelType w:val="singleLevel"/>
    <w:tmpl w:val="69B3734B"/>
    <w:lvl w:ilvl="0" w:tentative="0">
      <w:start w:val="4"/>
      <w:numFmt w:val="chineseCounting"/>
      <w:suff w:val="nothing"/>
      <w:lvlText w:val="（%1）"/>
      <w:lvlJc w:val="left"/>
      <w:rPr>
        <w:rFonts w:hint="eastAsia"/>
      </w:rPr>
    </w:lvl>
  </w:abstractNum>
  <w:abstractNum w:abstractNumId="23">
    <w:nsid w:val="73AADA33"/>
    <w:multiLevelType w:val="singleLevel"/>
    <w:tmpl w:val="73AADA33"/>
    <w:lvl w:ilvl="0" w:tentative="0">
      <w:start w:val="1"/>
      <w:numFmt w:val="decimal"/>
      <w:suff w:val="nothing"/>
      <w:lvlText w:val="%1、"/>
      <w:lvlJc w:val="left"/>
    </w:lvl>
  </w:abstractNum>
  <w:abstractNum w:abstractNumId="24">
    <w:nsid w:val="7E234718"/>
    <w:multiLevelType w:val="multilevel"/>
    <w:tmpl w:val="7E23471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9"/>
  </w:num>
  <w:num w:numId="2">
    <w:abstractNumId w:val="10"/>
  </w:num>
  <w:num w:numId="3">
    <w:abstractNumId w:val="13"/>
  </w:num>
  <w:num w:numId="4">
    <w:abstractNumId w:val="6"/>
  </w:num>
  <w:num w:numId="5">
    <w:abstractNumId w:val="4"/>
  </w:num>
  <w:num w:numId="6">
    <w:abstractNumId w:val="17"/>
  </w:num>
  <w:num w:numId="7">
    <w:abstractNumId w:val="0"/>
  </w:num>
  <w:num w:numId="8">
    <w:abstractNumId w:val="11"/>
  </w:num>
  <w:num w:numId="9">
    <w:abstractNumId w:val="3"/>
  </w:num>
  <w:num w:numId="10">
    <w:abstractNumId w:val="18"/>
  </w:num>
  <w:num w:numId="11">
    <w:abstractNumId w:val="14"/>
  </w:num>
  <w:num w:numId="12">
    <w:abstractNumId w:val="1"/>
  </w:num>
  <w:num w:numId="13">
    <w:abstractNumId w:val="8"/>
  </w:num>
  <w:num w:numId="14">
    <w:abstractNumId w:val="12"/>
  </w:num>
  <w:num w:numId="15">
    <w:abstractNumId w:val="24"/>
  </w:num>
  <w:num w:numId="16">
    <w:abstractNumId w:val="7"/>
  </w:num>
  <w:num w:numId="17">
    <w:abstractNumId w:val="20"/>
  </w:num>
  <w:num w:numId="18">
    <w:abstractNumId w:val="9"/>
  </w:num>
  <w:num w:numId="19">
    <w:abstractNumId w:val="2"/>
  </w:num>
  <w:num w:numId="20">
    <w:abstractNumId w:val="5"/>
  </w:num>
  <w:num w:numId="21">
    <w:abstractNumId w:val="22"/>
  </w:num>
  <w:num w:numId="22">
    <w:abstractNumId w:val="15"/>
  </w:num>
  <w:num w:numId="23">
    <w:abstractNumId w:val="16"/>
  </w:num>
  <w:num w:numId="24">
    <w:abstractNumId w:val="2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BlMjVhODAxMDQ5MDdlZDVmZDJjNWViZmJiMWFkNzIifQ=="/>
  </w:docVars>
  <w:rsids>
    <w:rsidRoot w:val="00DE79CC"/>
    <w:rsid w:val="0000006C"/>
    <w:rsid w:val="00000158"/>
    <w:rsid w:val="0000017A"/>
    <w:rsid w:val="00000345"/>
    <w:rsid w:val="0000047D"/>
    <w:rsid w:val="00000F83"/>
    <w:rsid w:val="000013EE"/>
    <w:rsid w:val="00001B93"/>
    <w:rsid w:val="00001E25"/>
    <w:rsid w:val="00001E64"/>
    <w:rsid w:val="00002A93"/>
    <w:rsid w:val="0000318B"/>
    <w:rsid w:val="000038C7"/>
    <w:rsid w:val="00003E13"/>
    <w:rsid w:val="00003F42"/>
    <w:rsid w:val="00004CDD"/>
    <w:rsid w:val="00004E27"/>
    <w:rsid w:val="00005219"/>
    <w:rsid w:val="000058C1"/>
    <w:rsid w:val="000058F6"/>
    <w:rsid w:val="00005CEE"/>
    <w:rsid w:val="00006144"/>
    <w:rsid w:val="000072CA"/>
    <w:rsid w:val="00007837"/>
    <w:rsid w:val="00007965"/>
    <w:rsid w:val="00007AF4"/>
    <w:rsid w:val="00007F1A"/>
    <w:rsid w:val="000107D0"/>
    <w:rsid w:val="00010A81"/>
    <w:rsid w:val="000114AC"/>
    <w:rsid w:val="00011A08"/>
    <w:rsid w:val="00011DC3"/>
    <w:rsid w:val="00011DCD"/>
    <w:rsid w:val="00012744"/>
    <w:rsid w:val="00012FAE"/>
    <w:rsid w:val="00013108"/>
    <w:rsid w:val="000131C4"/>
    <w:rsid w:val="0001341F"/>
    <w:rsid w:val="000156C7"/>
    <w:rsid w:val="00015DCC"/>
    <w:rsid w:val="000163EB"/>
    <w:rsid w:val="000165AD"/>
    <w:rsid w:val="000202F3"/>
    <w:rsid w:val="000203B3"/>
    <w:rsid w:val="00020413"/>
    <w:rsid w:val="000208BD"/>
    <w:rsid w:val="000209DC"/>
    <w:rsid w:val="000209E4"/>
    <w:rsid w:val="000219BD"/>
    <w:rsid w:val="00021ACA"/>
    <w:rsid w:val="0002216D"/>
    <w:rsid w:val="00022380"/>
    <w:rsid w:val="0002246D"/>
    <w:rsid w:val="00022CAD"/>
    <w:rsid w:val="00022CB5"/>
    <w:rsid w:val="00024090"/>
    <w:rsid w:val="000247CA"/>
    <w:rsid w:val="000251DC"/>
    <w:rsid w:val="000264B4"/>
    <w:rsid w:val="00026993"/>
    <w:rsid w:val="00026EAB"/>
    <w:rsid w:val="00027031"/>
    <w:rsid w:val="00027134"/>
    <w:rsid w:val="00027A01"/>
    <w:rsid w:val="00030A35"/>
    <w:rsid w:val="00030D38"/>
    <w:rsid w:val="00031012"/>
    <w:rsid w:val="0003172E"/>
    <w:rsid w:val="00031765"/>
    <w:rsid w:val="00032701"/>
    <w:rsid w:val="00034343"/>
    <w:rsid w:val="00034360"/>
    <w:rsid w:val="000344E1"/>
    <w:rsid w:val="00034675"/>
    <w:rsid w:val="00035843"/>
    <w:rsid w:val="00036337"/>
    <w:rsid w:val="00036686"/>
    <w:rsid w:val="00036A0E"/>
    <w:rsid w:val="000373E9"/>
    <w:rsid w:val="00037B61"/>
    <w:rsid w:val="00040F9B"/>
    <w:rsid w:val="000414E0"/>
    <w:rsid w:val="00041A99"/>
    <w:rsid w:val="00041C40"/>
    <w:rsid w:val="0004282D"/>
    <w:rsid w:val="000428CF"/>
    <w:rsid w:val="00043778"/>
    <w:rsid w:val="00044217"/>
    <w:rsid w:val="00044368"/>
    <w:rsid w:val="00044D8B"/>
    <w:rsid w:val="00046899"/>
    <w:rsid w:val="0004693E"/>
    <w:rsid w:val="0004713C"/>
    <w:rsid w:val="00047408"/>
    <w:rsid w:val="0005003E"/>
    <w:rsid w:val="00050E6F"/>
    <w:rsid w:val="00050ECE"/>
    <w:rsid w:val="0005120C"/>
    <w:rsid w:val="0005138C"/>
    <w:rsid w:val="00051F29"/>
    <w:rsid w:val="00052350"/>
    <w:rsid w:val="000524B5"/>
    <w:rsid w:val="00052BAF"/>
    <w:rsid w:val="00052DBB"/>
    <w:rsid w:val="00053218"/>
    <w:rsid w:val="00053700"/>
    <w:rsid w:val="000544D4"/>
    <w:rsid w:val="000547EE"/>
    <w:rsid w:val="000550B0"/>
    <w:rsid w:val="000553DC"/>
    <w:rsid w:val="00055FBE"/>
    <w:rsid w:val="0005654D"/>
    <w:rsid w:val="00056B0D"/>
    <w:rsid w:val="00056C73"/>
    <w:rsid w:val="00056E9B"/>
    <w:rsid w:val="00056ECC"/>
    <w:rsid w:val="00057AD2"/>
    <w:rsid w:val="00057F20"/>
    <w:rsid w:val="00060214"/>
    <w:rsid w:val="00060D89"/>
    <w:rsid w:val="00061041"/>
    <w:rsid w:val="00061153"/>
    <w:rsid w:val="000611F3"/>
    <w:rsid w:val="000618B9"/>
    <w:rsid w:val="00062941"/>
    <w:rsid w:val="000632B6"/>
    <w:rsid w:val="000634DB"/>
    <w:rsid w:val="00063936"/>
    <w:rsid w:val="00063CB5"/>
    <w:rsid w:val="00063F87"/>
    <w:rsid w:val="000641AE"/>
    <w:rsid w:val="0006464C"/>
    <w:rsid w:val="00064686"/>
    <w:rsid w:val="000646B9"/>
    <w:rsid w:val="00064917"/>
    <w:rsid w:val="00064CA8"/>
    <w:rsid w:val="00065A2B"/>
    <w:rsid w:val="0006660C"/>
    <w:rsid w:val="00066907"/>
    <w:rsid w:val="00066EB7"/>
    <w:rsid w:val="000670FA"/>
    <w:rsid w:val="00067114"/>
    <w:rsid w:val="0006732C"/>
    <w:rsid w:val="000677AD"/>
    <w:rsid w:val="000677CE"/>
    <w:rsid w:val="00067C76"/>
    <w:rsid w:val="0007091A"/>
    <w:rsid w:val="00070EA9"/>
    <w:rsid w:val="00071493"/>
    <w:rsid w:val="00071843"/>
    <w:rsid w:val="00071A27"/>
    <w:rsid w:val="00071E0D"/>
    <w:rsid w:val="00071E15"/>
    <w:rsid w:val="00072720"/>
    <w:rsid w:val="00073C15"/>
    <w:rsid w:val="00073DE6"/>
    <w:rsid w:val="0007498C"/>
    <w:rsid w:val="00074ED8"/>
    <w:rsid w:val="00075147"/>
    <w:rsid w:val="00075B60"/>
    <w:rsid w:val="00075D84"/>
    <w:rsid w:val="0007638D"/>
    <w:rsid w:val="00076A1A"/>
    <w:rsid w:val="00076AF9"/>
    <w:rsid w:val="000770B5"/>
    <w:rsid w:val="000772C1"/>
    <w:rsid w:val="0007755A"/>
    <w:rsid w:val="00077AC3"/>
    <w:rsid w:val="00077E8A"/>
    <w:rsid w:val="0008006D"/>
    <w:rsid w:val="00080BD8"/>
    <w:rsid w:val="0008112A"/>
    <w:rsid w:val="0008194F"/>
    <w:rsid w:val="00081A3D"/>
    <w:rsid w:val="00081CB9"/>
    <w:rsid w:val="00082C7E"/>
    <w:rsid w:val="000832EC"/>
    <w:rsid w:val="000844A2"/>
    <w:rsid w:val="00084D41"/>
    <w:rsid w:val="00085177"/>
    <w:rsid w:val="00085420"/>
    <w:rsid w:val="0008636A"/>
    <w:rsid w:val="00087087"/>
    <w:rsid w:val="000875C3"/>
    <w:rsid w:val="000878D0"/>
    <w:rsid w:val="00090010"/>
    <w:rsid w:val="0009091C"/>
    <w:rsid w:val="00090BC3"/>
    <w:rsid w:val="00090F65"/>
    <w:rsid w:val="00092342"/>
    <w:rsid w:val="00092F7D"/>
    <w:rsid w:val="0009377D"/>
    <w:rsid w:val="000937FF"/>
    <w:rsid w:val="00094045"/>
    <w:rsid w:val="00094086"/>
    <w:rsid w:val="000943F9"/>
    <w:rsid w:val="000950BD"/>
    <w:rsid w:val="00095470"/>
    <w:rsid w:val="00095BFC"/>
    <w:rsid w:val="0009627F"/>
    <w:rsid w:val="000965F5"/>
    <w:rsid w:val="0009662A"/>
    <w:rsid w:val="00096E5A"/>
    <w:rsid w:val="00097153"/>
    <w:rsid w:val="00097339"/>
    <w:rsid w:val="000974F2"/>
    <w:rsid w:val="00097B41"/>
    <w:rsid w:val="00097B7A"/>
    <w:rsid w:val="000A0218"/>
    <w:rsid w:val="000A02FA"/>
    <w:rsid w:val="000A0919"/>
    <w:rsid w:val="000A10C4"/>
    <w:rsid w:val="000A137A"/>
    <w:rsid w:val="000A1F2A"/>
    <w:rsid w:val="000A1FB5"/>
    <w:rsid w:val="000A27BD"/>
    <w:rsid w:val="000A337D"/>
    <w:rsid w:val="000A3AFC"/>
    <w:rsid w:val="000A3BAB"/>
    <w:rsid w:val="000A3FF2"/>
    <w:rsid w:val="000A4262"/>
    <w:rsid w:val="000A4632"/>
    <w:rsid w:val="000A46EB"/>
    <w:rsid w:val="000A493D"/>
    <w:rsid w:val="000A503C"/>
    <w:rsid w:val="000A5040"/>
    <w:rsid w:val="000A510B"/>
    <w:rsid w:val="000A57BD"/>
    <w:rsid w:val="000A5834"/>
    <w:rsid w:val="000A6F50"/>
    <w:rsid w:val="000A7334"/>
    <w:rsid w:val="000A7768"/>
    <w:rsid w:val="000A7E56"/>
    <w:rsid w:val="000B0313"/>
    <w:rsid w:val="000B047A"/>
    <w:rsid w:val="000B07AD"/>
    <w:rsid w:val="000B15AC"/>
    <w:rsid w:val="000B242E"/>
    <w:rsid w:val="000B2615"/>
    <w:rsid w:val="000B2CB3"/>
    <w:rsid w:val="000B32DF"/>
    <w:rsid w:val="000B3F05"/>
    <w:rsid w:val="000B41F3"/>
    <w:rsid w:val="000B4255"/>
    <w:rsid w:val="000B4979"/>
    <w:rsid w:val="000B4F4D"/>
    <w:rsid w:val="000B517A"/>
    <w:rsid w:val="000B54FD"/>
    <w:rsid w:val="000B6339"/>
    <w:rsid w:val="000B663D"/>
    <w:rsid w:val="000B6738"/>
    <w:rsid w:val="000B6F98"/>
    <w:rsid w:val="000B7885"/>
    <w:rsid w:val="000C032B"/>
    <w:rsid w:val="000C15D3"/>
    <w:rsid w:val="000C211C"/>
    <w:rsid w:val="000C2C5F"/>
    <w:rsid w:val="000C2D42"/>
    <w:rsid w:val="000C37AB"/>
    <w:rsid w:val="000C4473"/>
    <w:rsid w:val="000C4525"/>
    <w:rsid w:val="000C5216"/>
    <w:rsid w:val="000C541A"/>
    <w:rsid w:val="000C575F"/>
    <w:rsid w:val="000C6F54"/>
    <w:rsid w:val="000C781B"/>
    <w:rsid w:val="000C789B"/>
    <w:rsid w:val="000C7D89"/>
    <w:rsid w:val="000C7F30"/>
    <w:rsid w:val="000D0457"/>
    <w:rsid w:val="000D08C4"/>
    <w:rsid w:val="000D18BE"/>
    <w:rsid w:val="000D1E86"/>
    <w:rsid w:val="000D3209"/>
    <w:rsid w:val="000D3657"/>
    <w:rsid w:val="000D3916"/>
    <w:rsid w:val="000D3D2A"/>
    <w:rsid w:val="000D4240"/>
    <w:rsid w:val="000D4886"/>
    <w:rsid w:val="000D4AA5"/>
    <w:rsid w:val="000D52FB"/>
    <w:rsid w:val="000D62AD"/>
    <w:rsid w:val="000D6BEE"/>
    <w:rsid w:val="000D6ED2"/>
    <w:rsid w:val="000D7583"/>
    <w:rsid w:val="000D78BE"/>
    <w:rsid w:val="000E006E"/>
    <w:rsid w:val="000E0224"/>
    <w:rsid w:val="000E0782"/>
    <w:rsid w:val="000E115A"/>
    <w:rsid w:val="000E1635"/>
    <w:rsid w:val="000E1F8E"/>
    <w:rsid w:val="000E2BCF"/>
    <w:rsid w:val="000E2FDF"/>
    <w:rsid w:val="000E3CA5"/>
    <w:rsid w:val="000E4595"/>
    <w:rsid w:val="000E4940"/>
    <w:rsid w:val="000E534C"/>
    <w:rsid w:val="000E6114"/>
    <w:rsid w:val="000E61C8"/>
    <w:rsid w:val="000E6560"/>
    <w:rsid w:val="000E6B96"/>
    <w:rsid w:val="000E736F"/>
    <w:rsid w:val="000E76C2"/>
    <w:rsid w:val="000E7E37"/>
    <w:rsid w:val="000F0003"/>
    <w:rsid w:val="000F1FF1"/>
    <w:rsid w:val="000F22A3"/>
    <w:rsid w:val="000F2869"/>
    <w:rsid w:val="000F2AF3"/>
    <w:rsid w:val="000F2FE2"/>
    <w:rsid w:val="000F35B1"/>
    <w:rsid w:val="000F3DB5"/>
    <w:rsid w:val="000F4830"/>
    <w:rsid w:val="000F4FC7"/>
    <w:rsid w:val="000F544F"/>
    <w:rsid w:val="000F5708"/>
    <w:rsid w:val="000F5966"/>
    <w:rsid w:val="000F5FF7"/>
    <w:rsid w:val="000F6242"/>
    <w:rsid w:val="000F6B92"/>
    <w:rsid w:val="000F7DE2"/>
    <w:rsid w:val="0010027E"/>
    <w:rsid w:val="0010129D"/>
    <w:rsid w:val="0010178F"/>
    <w:rsid w:val="001017B1"/>
    <w:rsid w:val="0010197C"/>
    <w:rsid w:val="00101CF6"/>
    <w:rsid w:val="00101D6A"/>
    <w:rsid w:val="00102358"/>
    <w:rsid w:val="0010277E"/>
    <w:rsid w:val="001027EB"/>
    <w:rsid w:val="00102C71"/>
    <w:rsid w:val="00102F65"/>
    <w:rsid w:val="001030C6"/>
    <w:rsid w:val="00103374"/>
    <w:rsid w:val="001034A5"/>
    <w:rsid w:val="001035FB"/>
    <w:rsid w:val="00103A8F"/>
    <w:rsid w:val="001040BF"/>
    <w:rsid w:val="00104588"/>
    <w:rsid w:val="0010486D"/>
    <w:rsid w:val="00105B30"/>
    <w:rsid w:val="00106504"/>
    <w:rsid w:val="001078AF"/>
    <w:rsid w:val="00107DA0"/>
    <w:rsid w:val="00110349"/>
    <w:rsid w:val="00110575"/>
    <w:rsid w:val="0011078E"/>
    <w:rsid w:val="00110971"/>
    <w:rsid w:val="00111B72"/>
    <w:rsid w:val="001139DC"/>
    <w:rsid w:val="00114AD1"/>
    <w:rsid w:val="00115269"/>
    <w:rsid w:val="001153A9"/>
    <w:rsid w:val="00115A7B"/>
    <w:rsid w:val="001160AD"/>
    <w:rsid w:val="0011681F"/>
    <w:rsid w:val="001168AD"/>
    <w:rsid w:val="001173A4"/>
    <w:rsid w:val="001179A2"/>
    <w:rsid w:val="00117C09"/>
    <w:rsid w:val="00117E1F"/>
    <w:rsid w:val="00121F83"/>
    <w:rsid w:val="00122B38"/>
    <w:rsid w:val="0012341E"/>
    <w:rsid w:val="00123BA6"/>
    <w:rsid w:val="00124CD9"/>
    <w:rsid w:val="001254B6"/>
    <w:rsid w:val="00125C0D"/>
    <w:rsid w:val="00126294"/>
    <w:rsid w:val="0012652D"/>
    <w:rsid w:val="00126704"/>
    <w:rsid w:val="00127C05"/>
    <w:rsid w:val="001302F8"/>
    <w:rsid w:val="00131BE0"/>
    <w:rsid w:val="001324DF"/>
    <w:rsid w:val="00132E59"/>
    <w:rsid w:val="001339D0"/>
    <w:rsid w:val="00133F69"/>
    <w:rsid w:val="001340B5"/>
    <w:rsid w:val="001348CC"/>
    <w:rsid w:val="001349A6"/>
    <w:rsid w:val="00134A43"/>
    <w:rsid w:val="00134A81"/>
    <w:rsid w:val="00134A97"/>
    <w:rsid w:val="00134B12"/>
    <w:rsid w:val="00135923"/>
    <w:rsid w:val="00135E77"/>
    <w:rsid w:val="00135F13"/>
    <w:rsid w:val="00136561"/>
    <w:rsid w:val="00136CB1"/>
    <w:rsid w:val="00136CEF"/>
    <w:rsid w:val="00136E5E"/>
    <w:rsid w:val="00137157"/>
    <w:rsid w:val="00137485"/>
    <w:rsid w:val="00140A89"/>
    <w:rsid w:val="0014116B"/>
    <w:rsid w:val="001413FD"/>
    <w:rsid w:val="00141E29"/>
    <w:rsid w:val="00142AD7"/>
    <w:rsid w:val="00142BCD"/>
    <w:rsid w:val="00142C3B"/>
    <w:rsid w:val="0014366A"/>
    <w:rsid w:val="001438C9"/>
    <w:rsid w:val="00146232"/>
    <w:rsid w:val="00146398"/>
    <w:rsid w:val="001464BF"/>
    <w:rsid w:val="00146945"/>
    <w:rsid w:val="001476B6"/>
    <w:rsid w:val="001508E3"/>
    <w:rsid w:val="001518E1"/>
    <w:rsid w:val="001528E6"/>
    <w:rsid w:val="00152D0F"/>
    <w:rsid w:val="00153087"/>
    <w:rsid w:val="001533C4"/>
    <w:rsid w:val="00153539"/>
    <w:rsid w:val="001539F9"/>
    <w:rsid w:val="00154642"/>
    <w:rsid w:val="00154A42"/>
    <w:rsid w:val="00154A4E"/>
    <w:rsid w:val="00154BFD"/>
    <w:rsid w:val="00154D3A"/>
    <w:rsid w:val="0015574B"/>
    <w:rsid w:val="00155895"/>
    <w:rsid w:val="00155B0F"/>
    <w:rsid w:val="001560E5"/>
    <w:rsid w:val="00156274"/>
    <w:rsid w:val="00160037"/>
    <w:rsid w:val="00162646"/>
    <w:rsid w:val="0016325A"/>
    <w:rsid w:val="00163337"/>
    <w:rsid w:val="0016355A"/>
    <w:rsid w:val="00163DF4"/>
    <w:rsid w:val="00163E9B"/>
    <w:rsid w:val="001647ED"/>
    <w:rsid w:val="001654E7"/>
    <w:rsid w:val="00165CFF"/>
    <w:rsid w:val="00166A89"/>
    <w:rsid w:val="001674F5"/>
    <w:rsid w:val="00167A3C"/>
    <w:rsid w:val="00167D97"/>
    <w:rsid w:val="00167E89"/>
    <w:rsid w:val="0017029C"/>
    <w:rsid w:val="001709BA"/>
    <w:rsid w:val="00170A41"/>
    <w:rsid w:val="00170C94"/>
    <w:rsid w:val="00170E65"/>
    <w:rsid w:val="0017111A"/>
    <w:rsid w:val="00171981"/>
    <w:rsid w:val="0017231F"/>
    <w:rsid w:val="00172A3E"/>
    <w:rsid w:val="00172D51"/>
    <w:rsid w:val="001733F6"/>
    <w:rsid w:val="00174601"/>
    <w:rsid w:val="0017468F"/>
    <w:rsid w:val="001751FD"/>
    <w:rsid w:val="00175D02"/>
    <w:rsid w:val="00175D9D"/>
    <w:rsid w:val="001763CF"/>
    <w:rsid w:val="001765BD"/>
    <w:rsid w:val="0017666D"/>
    <w:rsid w:val="001805BD"/>
    <w:rsid w:val="00180FEA"/>
    <w:rsid w:val="001810F2"/>
    <w:rsid w:val="00181DAD"/>
    <w:rsid w:val="00181DC0"/>
    <w:rsid w:val="00181FA4"/>
    <w:rsid w:val="0018213E"/>
    <w:rsid w:val="00182BD6"/>
    <w:rsid w:val="0018418A"/>
    <w:rsid w:val="00184AA5"/>
    <w:rsid w:val="00186A27"/>
    <w:rsid w:val="001875A9"/>
    <w:rsid w:val="0018798C"/>
    <w:rsid w:val="00187E5E"/>
    <w:rsid w:val="00190092"/>
    <w:rsid w:val="0019063E"/>
    <w:rsid w:val="00190965"/>
    <w:rsid w:val="001911CB"/>
    <w:rsid w:val="00191541"/>
    <w:rsid w:val="001915C3"/>
    <w:rsid w:val="0019171E"/>
    <w:rsid w:val="00191939"/>
    <w:rsid w:val="00193259"/>
    <w:rsid w:val="001932C6"/>
    <w:rsid w:val="00193731"/>
    <w:rsid w:val="001941DE"/>
    <w:rsid w:val="00194A53"/>
    <w:rsid w:val="00195507"/>
    <w:rsid w:val="00195FD6"/>
    <w:rsid w:val="00196CA4"/>
    <w:rsid w:val="00196D4C"/>
    <w:rsid w:val="001971BC"/>
    <w:rsid w:val="00197321"/>
    <w:rsid w:val="001976BF"/>
    <w:rsid w:val="00197C88"/>
    <w:rsid w:val="001A0902"/>
    <w:rsid w:val="001A0F6F"/>
    <w:rsid w:val="001A122D"/>
    <w:rsid w:val="001A1EE0"/>
    <w:rsid w:val="001A2210"/>
    <w:rsid w:val="001A329E"/>
    <w:rsid w:val="001A3501"/>
    <w:rsid w:val="001A367B"/>
    <w:rsid w:val="001A368A"/>
    <w:rsid w:val="001A3AC4"/>
    <w:rsid w:val="001A4241"/>
    <w:rsid w:val="001A4489"/>
    <w:rsid w:val="001A4A0A"/>
    <w:rsid w:val="001A4C3B"/>
    <w:rsid w:val="001A55FA"/>
    <w:rsid w:val="001A56BD"/>
    <w:rsid w:val="001A6D75"/>
    <w:rsid w:val="001B03A2"/>
    <w:rsid w:val="001B0AA8"/>
    <w:rsid w:val="001B0DAE"/>
    <w:rsid w:val="001B1098"/>
    <w:rsid w:val="001B1BFD"/>
    <w:rsid w:val="001B1E10"/>
    <w:rsid w:val="001B2498"/>
    <w:rsid w:val="001B30F8"/>
    <w:rsid w:val="001B361E"/>
    <w:rsid w:val="001B3F5C"/>
    <w:rsid w:val="001B412E"/>
    <w:rsid w:val="001B4150"/>
    <w:rsid w:val="001B4E86"/>
    <w:rsid w:val="001B509E"/>
    <w:rsid w:val="001B50EA"/>
    <w:rsid w:val="001B58DF"/>
    <w:rsid w:val="001B62D7"/>
    <w:rsid w:val="001B62DC"/>
    <w:rsid w:val="001B67C3"/>
    <w:rsid w:val="001B69A0"/>
    <w:rsid w:val="001B70A7"/>
    <w:rsid w:val="001B74D6"/>
    <w:rsid w:val="001B7622"/>
    <w:rsid w:val="001B7B0B"/>
    <w:rsid w:val="001C0362"/>
    <w:rsid w:val="001C0843"/>
    <w:rsid w:val="001C126A"/>
    <w:rsid w:val="001C16F3"/>
    <w:rsid w:val="001C2606"/>
    <w:rsid w:val="001C2B37"/>
    <w:rsid w:val="001C3467"/>
    <w:rsid w:val="001C370A"/>
    <w:rsid w:val="001C46CD"/>
    <w:rsid w:val="001C4823"/>
    <w:rsid w:val="001C4DCF"/>
    <w:rsid w:val="001C4E27"/>
    <w:rsid w:val="001C53CF"/>
    <w:rsid w:val="001C5CE5"/>
    <w:rsid w:val="001C627B"/>
    <w:rsid w:val="001C644A"/>
    <w:rsid w:val="001C65B8"/>
    <w:rsid w:val="001C6690"/>
    <w:rsid w:val="001C6823"/>
    <w:rsid w:val="001C6AF5"/>
    <w:rsid w:val="001C7E2A"/>
    <w:rsid w:val="001D0253"/>
    <w:rsid w:val="001D05C6"/>
    <w:rsid w:val="001D0B86"/>
    <w:rsid w:val="001D0D76"/>
    <w:rsid w:val="001D1598"/>
    <w:rsid w:val="001D1CE9"/>
    <w:rsid w:val="001D24AD"/>
    <w:rsid w:val="001D26DB"/>
    <w:rsid w:val="001D2E43"/>
    <w:rsid w:val="001D3748"/>
    <w:rsid w:val="001D3EBF"/>
    <w:rsid w:val="001D4391"/>
    <w:rsid w:val="001D442D"/>
    <w:rsid w:val="001D5A33"/>
    <w:rsid w:val="001D5EC5"/>
    <w:rsid w:val="001D6D2C"/>
    <w:rsid w:val="001D7CD1"/>
    <w:rsid w:val="001E0A2C"/>
    <w:rsid w:val="001E1AB3"/>
    <w:rsid w:val="001E1BD5"/>
    <w:rsid w:val="001E21DC"/>
    <w:rsid w:val="001E2530"/>
    <w:rsid w:val="001E25F3"/>
    <w:rsid w:val="001E4657"/>
    <w:rsid w:val="001E473B"/>
    <w:rsid w:val="001E5577"/>
    <w:rsid w:val="001E5803"/>
    <w:rsid w:val="001E5B59"/>
    <w:rsid w:val="001E5C79"/>
    <w:rsid w:val="001E65DC"/>
    <w:rsid w:val="001E6A47"/>
    <w:rsid w:val="001E6C3F"/>
    <w:rsid w:val="001E6D40"/>
    <w:rsid w:val="001E6D6A"/>
    <w:rsid w:val="001E6ECD"/>
    <w:rsid w:val="001E71CF"/>
    <w:rsid w:val="001E740D"/>
    <w:rsid w:val="001E75EF"/>
    <w:rsid w:val="001F0748"/>
    <w:rsid w:val="001F07BA"/>
    <w:rsid w:val="001F0D39"/>
    <w:rsid w:val="001F1A90"/>
    <w:rsid w:val="001F2673"/>
    <w:rsid w:val="001F2935"/>
    <w:rsid w:val="001F2D3A"/>
    <w:rsid w:val="001F2E97"/>
    <w:rsid w:val="001F2F2D"/>
    <w:rsid w:val="001F3219"/>
    <w:rsid w:val="001F34CD"/>
    <w:rsid w:val="001F3D5D"/>
    <w:rsid w:val="001F43B8"/>
    <w:rsid w:val="001F459C"/>
    <w:rsid w:val="001F45BE"/>
    <w:rsid w:val="001F4C68"/>
    <w:rsid w:val="001F5C57"/>
    <w:rsid w:val="001F6487"/>
    <w:rsid w:val="001F6754"/>
    <w:rsid w:val="001F7F0E"/>
    <w:rsid w:val="0020017E"/>
    <w:rsid w:val="0020072E"/>
    <w:rsid w:val="002011B8"/>
    <w:rsid w:val="00201541"/>
    <w:rsid w:val="00201CDF"/>
    <w:rsid w:val="00201FB6"/>
    <w:rsid w:val="002027DA"/>
    <w:rsid w:val="00203033"/>
    <w:rsid w:val="00203913"/>
    <w:rsid w:val="00203F4F"/>
    <w:rsid w:val="002043B4"/>
    <w:rsid w:val="00204524"/>
    <w:rsid w:val="002046DC"/>
    <w:rsid w:val="00204C7A"/>
    <w:rsid w:val="00204C84"/>
    <w:rsid w:val="00205FB7"/>
    <w:rsid w:val="002061F2"/>
    <w:rsid w:val="00206288"/>
    <w:rsid w:val="00206983"/>
    <w:rsid w:val="00206985"/>
    <w:rsid w:val="00206B08"/>
    <w:rsid w:val="00206F66"/>
    <w:rsid w:val="0020738E"/>
    <w:rsid w:val="002114ED"/>
    <w:rsid w:val="002118B6"/>
    <w:rsid w:val="00212835"/>
    <w:rsid w:val="00212E6B"/>
    <w:rsid w:val="002136FD"/>
    <w:rsid w:val="00213974"/>
    <w:rsid w:val="00213A50"/>
    <w:rsid w:val="00214086"/>
    <w:rsid w:val="002147E8"/>
    <w:rsid w:val="00215773"/>
    <w:rsid w:val="00215CAF"/>
    <w:rsid w:val="00215CF1"/>
    <w:rsid w:val="002173FC"/>
    <w:rsid w:val="00221222"/>
    <w:rsid w:val="0022167D"/>
    <w:rsid w:val="002223E8"/>
    <w:rsid w:val="00222613"/>
    <w:rsid w:val="00222B6C"/>
    <w:rsid w:val="00224186"/>
    <w:rsid w:val="00224B68"/>
    <w:rsid w:val="00224D5D"/>
    <w:rsid w:val="00226A58"/>
    <w:rsid w:val="00227287"/>
    <w:rsid w:val="00227330"/>
    <w:rsid w:val="00227B80"/>
    <w:rsid w:val="002302CE"/>
    <w:rsid w:val="002307EF"/>
    <w:rsid w:val="00231201"/>
    <w:rsid w:val="002321BF"/>
    <w:rsid w:val="00232485"/>
    <w:rsid w:val="00232C3C"/>
    <w:rsid w:val="00232CB6"/>
    <w:rsid w:val="00232D9B"/>
    <w:rsid w:val="00232E77"/>
    <w:rsid w:val="002331CF"/>
    <w:rsid w:val="00233652"/>
    <w:rsid w:val="00233746"/>
    <w:rsid w:val="00233796"/>
    <w:rsid w:val="002345C6"/>
    <w:rsid w:val="00234C3A"/>
    <w:rsid w:val="00237485"/>
    <w:rsid w:val="00240DCF"/>
    <w:rsid w:val="002410C9"/>
    <w:rsid w:val="00241257"/>
    <w:rsid w:val="002416CE"/>
    <w:rsid w:val="002426BC"/>
    <w:rsid w:val="00243BC4"/>
    <w:rsid w:val="00243E59"/>
    <w:rsid w:val="00243E6F"/>
    <w:rsid w:val="00243EF9"/>
    <w:rsid w:val="00244ED9"/>
    <w:rsid w:val="0024565A"/>
    <w:rsid w:val="002463B2"/>
    <w:rsid w:val="00246500"/>
    <w:rsid w:val="0024728D"/>
    <w:rsid w:val="002478ED"/>
    <w:rsid w:val="00250ACB"/>
    <w:rsid w:val="00251AFF"/>
    <w:rsid w:val="00251B1E"/>
    <w:rsid w:val="00251C97"/>
    <w:rsid w:val="002523EA"/>
    <w:rsid w:val="00252ADD"/>
    <w:rsid w:val="00252D79"/>
    <w:rsid w:val="00253490"/>
    <w:rsid w:val="00253578"/>
    <w:rsid w:val="00253D5E"/>
    <w:rsid w:val="00254603"/>
    <w:rsid w:val="00254D7E"/>
    <w:rsid w:val="00254EDC"/>
    <w:rsid w:val="00254EF3"/>
    <w:rsid w:val="00255042"/>
    <w:rsid w:val="002556AA"/>
    <w:rsid w:val="0025594F"/>
    <w:rsid w:val="00255D1B"/>
    <w:rsid w:val="00255D41"/>
    <w:rsid w:val="00256514"/>
    <w:rsid w:val="00256E1C"/>
    <w:rsid w:val="0025706D"/>
    <w:rsid w:val="002571A6"/>
    <w:rsid w:val="002571C7"/>
    <w:rsid w:val="00257815"/>
    <w:rsid w:val="0026068A"/>
    <w:rsid w:val="002606F1"/>
    <w:rsid w:val="00261681"/>
    <w:rsid w:val="00261A17"/>
    <w:rsid w:val="00261A2A"/>
    <w:rsid w:val="0026218E"/>
    <w:rsid w:val="00262ACA"/>
    <w:rsid w:val="00262F6B"/>
    <w:rsid w:val="002631FE"/>
    <w:rsid w:val="00263375"/>
    <w:rsid w:val="00264578"/>
    <w:rsid w:val="00264789"/>
    <w:rsid w:val="002649A0"/>
    <w:rsid w:val="00264E43"/>
    <w:rsid w:val="00264F6C"/>
    <w:rsid w:val="00264FFA"/>
    <w:rsid w:val="00265220"/>
    <w:rsid w:val="0026542F"/>
    <w:rsid w:val="00265534"/>
    <w:rsid w:val="00265564"/>
    <w:rsid w:val="0026576A"/>
    <w:rsid w:val="002659E6"/>
    <w:rsid w:val="00266B58"/>
    <w:rsid w:val="00266DA6"/>
    <w:rsid w:val="00267256"/>
    <w:rsid w:val="00267878"/>
    <w:rsid w:val="00267BE0"/>
    <w:rsid w:val="0027097B"/>
    <w:rsid w:val="00270EE7"/>
    <w:rsid w:val="0027115D"/>
    <w:rsid w:val="002717DF"/>
    <w:rsid w:val="00272E7D"/>
    <w:rsid w:val="002732A1"/>
    <w:rsid w:val="00273957"/>
    <w:rsid w:val="0027398E"/>
    <w:rsid w:val="00274212"/>
    <w:rsid w:val="002745B3"/>
    <w:rsid w:val="00274A41"/>
    <w:rsid w:val="0027501E"/>
    <w:rsid w:val="002754C1"/>
    <w:rsid w:val="002754E1"/>
    <w:rsid w:val="002757D2"/>
    <w:rsid w:val="0027581A"/>
    <w:rsid w:val="00275AB7"/>
    <w:rsid w:val="0027616F"/>
    <w:rsid w:val="002763BE"/>
    <w:rsid w:val="00277110"/>
    <w:rsid w:val="0027730D"/>
    <w:rsid w:val="00277352"/>
    <w:rsid w:val="00277527"/>
    <w:rsid w:val="0027775F"/>
    <w:rsid w:val="00277CF6"/>
    <w:rsid w:val="00277F90"/>
    <w:rsid w:val="0028040B"/>
    <w:rsid w:val="002806C9"/>
    <w:rsid w:val="0028076C"/>
    <w:rsid w:val="00280DFA"/>
    <w:rsid w:val="002815EB"/>
    <w:rsid w:val="0028176B"/>
    <w:rsid w:val="00281C87"/>
    <w:rsid w:val="002825DC"/>
    <w:rsid w:val="002826A9"/>
    <w:rsid w:val="00282D0A"/>
    <w:rsid w:val="00282FFF"/>
    <w:rsid w:val="00283A19"/>
    <w:rsid w:val="00283E87"/>
    <w:rsid w:val="002842B0"/>
    <w:rsid w:val="00284C34"/>
    <w:rsid w:val="00284C62"/>
    <w:rsid w:val="00285CB2"/>
    <w:rsid w:val="00285F10"/>
    <w:rsid w:val="0028622B"/>
    <w:rsid w:val="0028634A"/>
    <w:rsid w:val="00286366"/>
    <w:rsid w:val="002864A6"/>
    <w:rsid w:val="0028664C"/>
    <w:rsid w:val="002877F4"/>
    <w:rsid w:val="00290906"/>
    <w:rsid w:val="0029106A"/>
    <w:rsid w:val="00291945"/>
    <w:rsid w:val="00291BBB"/>
    <w:rsid w:val="00291FB1"/>
    <w:rsid w:val="00292CE6"/>
    <w:rsid w:val="00293775"/>
    <w:rsid w:val="00293A03"/>
    <w:rsid w:val="00293F43"/>
    <w:rsid w:val="00294010"/>
    <w:rsid w:val="002948EE"/>
    <w:rsid w:val="00295550"/>
    <w:rsid w:val="002955DA"/>
    <w:rsid w:val="00295FE4"/>
    <w:rsid w:val="002966FE"/>
    <w:rsid w:val="00296B8B"/>
    <w:rsid w:val="00296E41"/>
    <w:rsid w:val="00296E65"/>
    <w:rsid w:val="002971E8"/>
    <w:rsid w:val="00297D26"/>
    <w:rsid w:val="002A02EB"/>
    <w:rsid w:val="002A0507"/>
    <w:rsid w:val="002A06E4"/>
    <w:rsid w:val="002A112C"/>
    <w:rsid w:val="002A142A"/>
    <w:rsid w:val="002A1D2B"/>
    <w:rsid w:val="002A21DD"/>
    <w:rsid w:val="002A2353"/>
    <w:rsid w:val="002A2E8F"/>
    <w:rsid w:val="002A325C"/>
    <w:rsid w:val="002A3552"/>
    <w:rsid w:val="002A3826"/>
    <w:rsid w:val="002A383F"/>
    <w:rsid w:val="002A3849"/>
    <w:rsid w:val="002A401B"/>
    <w:rsid w:val="002A4E68"/>
    <w:rsid w:val="002A566C"/>
    <w:rsid w:val="002A5C27"/>
    <w:rsid w:val="002A5C5D"/>
    <w:rsid w:val="002A5EDA"/>
    <w:rsid w:val="002A61F9"/>
    <w:rsid w:val="002A69E5"/>
    <w:rsid w:val="002A6BE0"/>
    <w:rsid w:val="002B0329"/>
    <w:rsid w:val="002B03DA"/>
    <w:rsid w:val="002B05AA"/>
    <w:rsid w:val="002B1EC1"/>
    <w:rsid w:val="002B2421"/>
    <w:rsid w:val="002B2CF4"/>
    <w:rsid w:val="002B364C"/>
    <w:rsid w:val="002B3AE7"/>
    <w:rsid w:val="002B42BC"/>
    <w:rsid w:val="002B4466"/>
    <w:rsid w:val="002B4762"/>
    <w:rsid w:val="002B4DAD"/>
    <w:rsid w:val="002B4EEB"/>
    <w:rsid w:val="002B5D76"/>
    <w:rsid w:val="002B5F04"/>
    <w:rsid w:val="002B6793"/>
    <w:rsid w:val="002B6ABE"/>
    <w:rsid w:val="002B718A"/>
    <w:rsid w:val="002B72FB"/>
    <w:rsid w:val="002B76EB"/>
    <w:rsid w:val="002C041E"/>
    <w:rsid w:val="002C09BB"/>
    <w:rsid w:val="002C15B9"/>
    <w:rsid w:val="002C1F39"/>
    <w:rsid w:val="002C1F3E"/>
    <w:rsid w:val="002C256C"/>
    <w:rsid w:val="002C339E"/>
    <w:rsid w:val="002C3546"/>
    <w:rsid w:val="002C4413"/>
    <w:rsid w:val="002C4CD0"/>
    <w:rsid w:val="002C5364"/>
    <w:rsid w:val="002C58A8"/>
    <w:rsid w:val="002C5B87"/>
    <w:rsid w:val="002C5D35"/>
    <w:rsid w:val="002C6739"/>
    <w:rsid w:val="002C6934"/>
    <w:rsid w:val="002C6A1A"/>
    <w:rsid w:val="002C6E3B"/>
    <w:rsid w:val="002C6F6F"/>
    <w:rsid w:val="002C6FEF"/>
    <w:rsid w:val="002C746A"/>
    <w:rsid w:val="002C790C"/>
    <w:rsid w:val="002D0343"/>
    <w:rsid w:val="002D0861"/>
    <w:rsid w:val="002D08EF"/>
    <w:rsid w:val="002D10F5"/>
    <w:rsid w:val="002D166B"/>
    <w:rsid w:val="002D1F29"/>
    <w:rsid w:val="002D290B"/>
    <w:rsid w:val="002D30FD"/>
    <w:rsid w:val="002D31FD"/>
    <w:rsid w:val="002D32B3"/>
    <w:rsid w:val="002D372F"/>
    <w:rsid w:val="002D37A4"/>
    <w:rsid w:val="002D3843"/>
    <w:rsid w:val="002D3A14"/>
    <w:rsid w:val="002D4129"/>
    <w:rsid w:val="002D474E"/>
    <w:rsid w:val="002D6565"/>
    <w:rsid w:val="002D665D"/>
    <w:rsid w:val="002D69B5"/>
    <w:rsid w:val="002D6AA7"/>
    <w:rsid w:val="002D7BD4"/>
    <w:rsid w:val="002E03D1"/>
    <w:rsid w:val="002E1866"/>
    <w:rsid w:val="002E2AC2"/>
    <w:rsid w:val="002E3086"/>
    <w:rsid w:val="002E38CE"/>
    <w:rsid w:val="002E3B80"/>
    <w:rsid w:val="002E3FD4"/>
    <w:rsid w:val="002E4DC2"/>
    <w:rsid w:val="002E5295"/>
    <w:rsid w:val="002E547B"/>
    <w:rsid w:val="002E5662"/>
    <w:rsid w:val="002E56F4"/>
    <w:rsid w:val="002E58E6"/>
    <w:rsid w:val="002E5A32"/>
    <w:rsid w:val="002E5C2E"/>
    <w:rsid w:val="002E5F11"/>
    <w:rsid w:val="002E6CAE"/>
    <w:rsid w:val="002E6CE8"/>
    <w:rsid w:val="002E6D6E"/>
    <w:rsid w:val="002E7B53"/>
    <w:rsid w:val="002F1458"/>
    <w:rsid w:val="002F25A1"/>
    <w:rsid w:val="002F2FA5"/>
    <w:rsid w:val="002F304B"/>
    <w:rsid w:val="002F356B"/>
    <w:rsid w:val="002F3C31"/>
    <w:rsid w:val="002F408C"/>
    <w:rsid w:val="002F43F9"/>
    <w:rsid w:val="002F472D"/>
    <w:rsid w:val="002F544B"/>
    <w:rsid w:val="002F70D6"/>
    <w:rsid w:val="002F78FD"/>
    <w:rsid w:val="00300245"/>
    <w:rsid w:val="0030071B"/>
    <w:rsid w:val="00300D5B"/>
    <w:rsid w:val="00301226"/>
    <w:rsid w:val="00301614"/>
    <w:rsid w:val="00301662"/>
    <w:rsid w:val="00302312"/>
    <w:rsid w:val="0030238A"/>
    <w:rsid w:val="00302695"/>
    <w:rsid w:val="003026C0"/>
    <w:rsid w:val="0030340B"/>
    <w:rsid w:val="00303BC6"/>
    <w:rsid w:val="003059A6"/>
    <w:rsid w:val="00305AC8"/>
    <w:rsid w:val="003068E4"/>
    <w:rsid w:val="00306CDD"/>
    <w:rsid w:val="003077FB"/>
    <w:rsid w:val="0030793C"/>
    <w:rsid w:val="003104EC"/>
    <w:rsid w:val="00311A9F"/>
    <w:rsid w:val="00312175"/>
    <w:rsid w:val="00312DC0"/>
    <w:rsid w:val="003134CB"/>
    <w:rsid w:val="00313B56"/>
    <w:rsid w:val="00313BE2"/>
    <w:rsid w:val="003146DD"/>
    <w:rsid w:val="0031477F"/>
    <w:rsid w:val="00314E9A"/>
    <w:rsid w:val="00315228"/>
    <w:rsid w:val="0031544D"/>
    <w:rsid w:val="003155E2"/>
    <w:rsid w:val="00315D37"/>
    <w:rsid w:val="0031610A"/>
    <w:rsid w:val="0031612E"/>
    <w:rsid w:val="00316E18"/>
    <w:rsid w:val="003204BD"/>
    <w:rsid w:val="003206AC"/>
    <w:rsid w:val="00320DE2"/>
    <w:rsid w:val="00321074"/>
    <w:rsid w:val="00321DE2"/>
    <w:rsid w:val="00322005"/>
    <w:rsid w:val="0032219D"/>
    <w:rsid w:val="003223DB"/>
    <w:rsid w:val="00322940"/>
    <w:rsid w:val="00322AAE"/>
    <w:rsid w:val="00323CCF"/>
    <w:rsid w:val="00323E26"/>
    <w:rsid w:val="00323F30"/>
    <w:rsid w:val="00324353"/>
    <w:rsid w:val="003244D8"/>
    <w:rsid w:val="00324A44"/>
    <w:rsid w:val="00324AAD"/>
    <w:rsid w:val="00324B5E"/>
    <w:rsid w:val="00325134"/>
    <w:rsid w:val="00325445"/>
    <w:rsid w:val="00325706"/>
    <w:rsid w:val="00325D64"/>
    <w:rsid w:val="00327C3C"/>
    <w:rsid w:val="00330627"/>
    <w:rsid w:val="00330E4F"/>
    <w:rsid w:val="003310FD"/>
    <w:rsid w:val="00331BAC"/>
    <w:rsid w:val="003321D8"/>
    <w:rsid w:val="00332656"/>
    <w:rsid w:val="003326B4"/>
    <w:rsid w:val="00332794"/>
    <w:rsid w:val="00332D6E"/>
    <w:rsid w:val="00332F5A"/>
    <w:rsid w:val="00333396"/>
    <w:rsid w:val="00333E85"/>
    <w:rsid w:val="0033466D"/>
    <w:rsid w:val="003349E5"/>
    <w:rsid w:val="003366B9"/>
    <w:rsid w:val="00336A5F"/>
    <w:rsid w:val="00336B53"/>
    <w:rsid w:val="00336FFA"/>
    <w:rsid w:val="003375B4"/>
    <w:rsid w:val="0033761A"/>
    <w:rsid w:val="00337883"/>
    <w:rsid w:val="00337954"/>
    <w:rsid w:val="00337A4B"/>
    <w:rsid w:val="00337B2B"/>
    <w:rsid w:val="003408BA"/>
    <w:rsid w:val="003408F8"/>
    <w:rsid w:val="00340C73"/>
    <w:rsid w:val="00340EAE"/>
    <w:rsid w:val="00341A39"/>
    <w:rsid w:val="003424E9"/>
    <w:rsid w:val="0034294F"/>
    <w:rsid w:val="00342A25"/>
    <w:rsid w:val="00343004"/>
    <w:rsid w:val="0034327E"/>
    <w:rsid w:val="00343359"/>
    <w:rsid w:val="003443DB"/>
    <w:rsid w:val="00344A40"/>
    <w:rsid w:val="00344B1B"/>
    <w:rsid w:val="0034529D"/>
    <w:rsid w:val="00345AC7"/>
    <w:rsid w:val="00346428"/>
    <w:rsid w:val="00347882"/>
    <w:rsid w:val="00347AD7"/>
    <w:rsid w:val="003501D3"/>
    <w:rsid w:val="0035047D"/>
    <w:rsid w:val="003539A8"/>
    <w:rsid w:val="00353ACD"/>
    <w:rsid w:val="00353C63"/>
    <w:rsid w:val="00353C97"/>
    <w:rsid w:val="00353CBB"/>
    <w:rsid w:val="00353E2B"/>
    <w:rsid w:val="003540F7"/>
    <w:rsid w:val="00354793"/>
    <w:rsid w:val="00354A02"/>
    <w:rsid w:val="00354BAF"/>
    <w:rsid w:val="00354E84"/>
    <w:rsid w:val="00355582"/>
    <w:rsid w:val="00355B83"/>
    <w:rsid w:val="00355D39"/>
    <w:rsid w:val="00356256"/>
    <w:rsid w:val="003562EE"/>
    <w:rsid w:val="00356C2F"/>
    <w:rsid w:val="00356FF4"/>
    <w:rsid w:val="00357007"/>
    <w:rsid w:val="00357083"/>
    <w:rsid w:val="003600B8"/>
    <w:rsid w:val="00361098"/>
    <w:rsid w:val="00361138"/>
    <w:rsid w:val="00361767"/>
    <w:rsid w:val="00361EB5"/>
    <w:rsid w:val="00362102"/>
    <w:rsid w:val="0036298F"/>
    <w:rsid w:val="00362B48"/>
    <w:rsid w:val="00362DAE"/>
    <w:rsid w:val="00363905"/>
    <w:rsid w:val="003647E8"/>
    <w:rsid w:val="003648BA"/>
    <w:rsid w:val="00365389"/>
    <w:rsid w:val="00365443"/>
    <w:rsid w:val="0036552A"/>
    <w:rsid w:val="003657A8"/>
    <w:rsid w:val="003658A2"/>
    <w:rsid w:val="00365E40"/>
    <w:rsid w:val="00365E8F"/>
    <w:rsid w:val="00366460"/>
    <w:rsid w:val="003669F3"/>
    <w:rsid w:val="00366CCD"/>
    <w:rsid w:val="00366E6B"/>
    <w:rsid w:val="00367139"/>
    <w:rsid w:val="00370A09"/>
    <w:rsid w:val="003719AA"/>
    <w:rsid w:val="00371A95"/>
    <w:rsid w:val="00371D29"/>
    <w:rsid w:val="00372A9F"/>
    <w:rsid w:val="0037397A"/>
    <w:rsid w:val="00373995"/>
    <w:rsid w:val="00373B40"/>
    <w:rsid w:val="0037427D"/>
    <w:rsid w:val="0037474B"/>
    <w:rsid w:val="00374888"/>
    <w:rsid w:val="00375136"/>
    <w:rsid w:val="00375354"/>
    <w:rsid w:val="003759E4"/>
    <w:rsid w:val="0037606F"/>
    <w:rsid w:val="0037683E"/>
    <w:rsid w:val="00377174"/>
    <w:rsid w:val="00377FFD"/>
    <w:rsid w:val="003801DF"/>
    <w:rsid w:val="0038032E"/>
    <w:rsid w:val="0038045C"/>
    <w:rsid w:val="0038054E"/>
    <w:rsid w:val="0038099E"/>
    <w:rsid w:val="003810AD"/>
    <w:rsid w:val="0038126F"/>
    <w:rsid w:val="00381537"/>
    <w:rsid w:val="00381829"/>
    <w:rsid w:val="0038183C"/>
    <w:rsid w:val="003824A5"/>
    <w:rsid w:val="003833E5"/>
    <w:rsid w:val="0038349D"/>
    <w:rsid w:val="00383DBB"/>
    <w:rsid w:val="00383F08"/>
    <w:rsid w:val="00384B79"/>
    <w:rsid w:val="003856B9"/>
    <w:rsid w:val="003857FB"/>
    <w:rsid w:val="00385C09"/>
    <w:rsid w:val="0038761B"/>
    <w:rsid w:val="00387A95"/>
    <w:rsid w:val="003900C5"/>
    <w:rsid w:val="0039012B"/>
    <w:rsid w:val="00390408"/>
    <w:rsid w:val="00390F30"/>
    <w:rsid w:val="003916C1"/>
    <w:rsid w:val="00391B96"/>
    <w:rsid w:val="00391BC0"/>
    <w:rsid w:val="00391D48"/>
    <w:rsid w:val="00391E84"/>
    <w:rsid w:val="00392542"/>
    <w:rsid w:val="00392863"/>
    <w:rsid w:val="00392A03"/>
    <w:rsid w:val="003933D0"/>
    <w:rsid w:val="00394261"/>
    <w:rsid w:val="0039460F"/>
    <w:rsid w:val="00395ED4"/>
    <w:rsid w:val="00396338"/>
    <w:rsid w:val="00396529"/>
    <w:rsid w:val="003966AD"/>
    <w:rsid w:val="003967F6"/>
    <w:rsid w:val="00397570"/>
    <w:rsid w:val="00397B99"/>
    <w:rsid w:val="003A06D3"/>
    <w:rsid w:val="003A097E"/>
    <w:rsid w:val="003A0C26"/>
    <w:rsid w:val="003A0EA0"/>
    <w:rsid w:val="003A1471"/>
    <w:rsid w:val="003A1B9B"/>
    <w:rsid w:val="003A28A0"/>
    <w:rsid w:val="003A353C"/>
    <w:rsid w:val="003A3AB4"/>
    <w:rsid w:val="003A3FD1"/>
    <w:rsid w:val="003A3FF7"/>
    <w:rsid w:val="003A52A1"/>
    <w:rsid w:val="003A535E"/>
    <w:rsid w:val="003A638D"/>
    <w:rsid w:val="003A6743"/>
    <w:rsid w:val="003A7C27"/>
    <w:rsid w:val="003B03DC"/>
    <w:rsid w:val="003B0D92"/>
    <w:rsid w:val="003B16F1"/>
    <w:rsid w:val="003B1D58"/>
    <w:rsid w:val="003B2100"/>
    <w:rsid w:val="003B35C4"/>
    <w:rsid w:val="003B385C"/>
    <w:rsid w:val="003B3900"/>
    <w:rsid w:val="003B3E80"/>
    <w:rsid w:val="003B4298"/>
    <w:rsid w:val="003B509C"/>
    <w:rsid w:val="003B57E2"/>
    <w:rsid w:val="003B75A1"/>
    <w:rsid w:val="003B7B47"/>
    <w:rsid w:val="003C071E"/>
    <w:rsid w:val="003C1CBB"/>
    <w:rsid w:val="003C1CEB"/>
    <w:rsid w:val="003C2808"/>
    <w:rsid w:val="003C2AB6"/>
    <w:rsid w:val="003C2D90"/>
    <w:rsid w:val="003C3B3C"/>
    <w:rsid w:val="003C3BC2"/>
    <w:rsid w:val="003C3CC8"/>
    <w:rsid w:val="003C3D9E"/>
    <w:rsid w:val="003C3F07"/>
    <w:rsid w:val="003C46C9"/>
    <w:rsid w:val="003C57B6"/>
    <w:rsid w:val="003C5975"/>
    <w:rsid w:val="003C60BF"/>
    <w:rsid w:val="003C67BD"/>
    <w:rsid w:val="003C73EC"/>
    <w:rsid w:val="003C74A3"/>
    <w:rsid w:val="003D0E96"/>
    <w:rsid w:val="003D1464"/>
    <w:rsid w:val="003D19C8"/>
    <w:rsid w:val="003D1B5E"/>
    <w:rsid w:val="003D1D9C"/>
    <w:rsid w:val="003D2496"/>
    <w:rsid w:val="003D2561"/>
    <w:rsid w:val="003D301F"/>
    <w:rsid w:val="003D3A49"/>
    <w:rsid w:val="003D46A1"/>
    <w:rsid w:val="003D4C55"/>
    <w:rsid w:val="003D4E3C"/>
    <w:rsid w:val="003D51ED"/>
    <w:rsid w:val="003D5204"/>
    <w:rsid w:val="003D5BD0"/>
    <w:rsid w:val="003D605B"/>
    <w:rsid w:val="003D6324"/>
    <w:rsid w:val="003D6342"/>
    <w:rsid w:val="003D6EBB"/>
    <w:rsid w:val="003D72D8"/>
    <w:rsid w:val="003D73BF"/>
    <w:rsid w:val="003D73F1"/>
    <w:rsid w:val="003E0293"/>
    <w:rsid w:val="003E0413"/>
    <w:rsid w:val="003E0A0C"/>
    <w:rsid w:val="003E0B1F"/>
    <w:rsid w:val="003E18EC"/>
    <w:rsid w:val="003E213B"/>
    <w:rsid w:val="003E29DD"/>
    <w:rsid w:val="003E2A98"/>
    <w:rsid w:val="003E3C16"/>
    <w:rsid w:val="003E417A"/>
    <w:rsid w:val="003E46D5"/>
    <w:rsid w:val="003E507D"/>
    <w:rsid w:val="003E563C"/>
    <w:rsid w:val="003E56A6"/>
    <w:rsid w:val="003E70EA"/>
    <w:rsid w:val="003F0336"/>
    <w:rsid w:val="003F1BCA"/>
    <w:rsid w:val="003F1C3B"/>
    <w:rsid w:val="003F2182"/>
    <w:rsid w:val="003F2C0A"/>
    <w:rsid w:val="003F2E1D"/>
    <w:rsid w:val="003F2E3C"/>
    <w:rsid w:val="003F41DA"/>
    <w:rsid w:val="003F46FA"/>
    <w:rsid w:val="003F48E7"/>
    <w:rsid w:val="003F4D70"/>
    <w:rsid w:val="003F64D1"/>
    <w:rsid w:val="003F65D7"/>
    <w:rsid w:val="003F682E"/>
    <w:rsid w:val="003F7238"/>
    <w:rsid w:val="003F7425"/>
    <w:rsid w:val="003F7C95"/>
    <w:rsid w:val="0040004D"/>
    <w:rsid w:val="00400254"/>
    <w:rsid w:val="004018DB"/>
    <w:rsid w:val="004023F3"/>
    <w:rsid w:val="004026A1"/>
    <w:rsid w:val="00402BF3"/>
    <w:rsid w:val="0040321F"/>
    <w:rsid w:val="00403489"/>
    <w:rsid w:val="00403BD5"/>
    <w:rsid w:val="00403DBF"/>
    <w:rsid w:val="00403FA5"/>
    <w:rsid w:val="00404694"/>
    <w:rsid w:val="00404B2E"/>
    <w:rsid w:val="00404E3C"/>
    <w:rsid w:val="00404E5C"/>
    <w:rsid w:val="00404FC0"/>
    <w:rsid w:val="00405965"/>
    <w:rsid w:val="00405975"/>
    <w:rsid w:val="00405D25"/>
    <w:rsid w:val="0040698F"/>
    <w:rsid w:val="00407FFC"/>
    <w:rsid w:val="00410306"/>
    <w:rsid w:val="0041088B"/>
    <w:rsid w:val="004109FB"/>
    <w:rsid w:val="00411123"/>
    <w:rsid w:val="004113BF"/>
    <w:rsid w:val="00411E37"/>
    <w:rsid w:val="00411F81"/>
    <w:rsid w:val="004120A8"/>
    <w:rsid w:val="00412754"/>
    <w:rsid w:val="004148B8"/>
    <w:rsid w:val="00415960"/>
    <w:rsid w:val="00415A0B"/>
    <w:rsid w:val="004161E3"/>
    <w:rsid w:val="00416917"/>
    <w:rsid w:val="004169DE"/>
    <w:rsid w:val="0041716B"/>
    <w:rsid w:val="004175F7"/>
    <w:rsid w:val="0042042A"/>
    <w:rsid w:val="00420972"/>
    <w:rsid w:val="00420984"/>
    <w:rsid w:val="00420B1B"/>
    <w:rsid w:val="00420C25"/>
    <w:rsid w:val="00420E34"/>
    <w:rsid w:val="00420ED4"/>
    <w:rsid w:val="0042104C"/>
    <w:rsid w:val="00421056"/>
    <w:rsid w:val="004212A2"/>
    <w:rsid w:val="00421BE8"/>
    <w:rsid w:val="00421FA1"/>
    <w:rsid w:val="0042225C"/>
    <w:rsid w:val="004226BF"/>
    <w:rsid w:val="00422B18"/>
    <w:rsid w:val="00423396"/>
    <w:rsid w:val="00423FAE"/>
    <w:rsid w:val="00424550"/>
    <w:rsid w:val="00424753"/>
    <w:rsid w:val="00424862"/>
    <w:rsid w:val="0042499F"/>
    <w:rsid w:val="00424AF3"/>
    <w:rsid w:val="00425119"/>
    <w:rsid w:val="00425E6E"/>
    <w:rsid w:val="00426836"/>
    <w:rsid w:val="0042690C"/>
    <w:rsid w:val="00427061"/>
    <w:rsid w:val="004277FA"/>
    <w:rsid w:val="00427941"/>
    <w:rsid w:val="00427B16"/>
    <w:rsid w:val="00427D7B"/>
    <w:rsid w:val="004305EF"/>
    <w:rsid w:val="00430B64"/>
    <w:rsid w:val="00430BEF"/>
    <w:rsid w:val="00430DA1"/>
    <w:rsid w:val="0043115B"/>
    <w:rsid w:val="00431AD9"/>
    <w:rsid w:val="00433808"/>
    <w:rsid w:val="00433EFF"/>
    <w:rsid w:val="004340E7"/>
    <w:rsid w:val="0043455A"/>
    <w:rsid w:val="00434FE9"/>
    <w:rsid w:val="0043538C"/>
    <w:rsid w:val="004359E7"/>
    <w:rsid w:val="00436439"/>
    <w:rsid w:val="00436756"/>
    <w:rsid w:val="00436D35"/>
    <w:rsid w:val="004372BF"/>
    <w:rsid w:val="0043777E"/>
    <w:rsid w:val="0044030B"/>
    <w:rsid w:val="0044053A"/>
    <w:rsid w:val="00441C06"/>
    <w:rsid w:val="00441DD5"/>
    <w:rsid w:val="00441F43"/>
    <w:rsid w:val="00442098"/>
    <w:rsid w:val="00442700"/>
    <w:rsid w:val="00442EF6"/>
    <w:rsid w:val="004434C8"/>
    <w:rsid w:val="004441F7"/>
    <w:rsid w:val="00444FF2"/>
    <w:rsid w:val="00445224"/>
    <w:rsid w:val="0044581A"/>
    <w:rsid w:val="0044650E"/>
    <w:rsid w:val="004465DA"/>
    <w:rsid w:val="004467F3"/>
    <w:rsid w:val="004504C3"/>
    <w:rsid w:val="00451431"/>
    <w:rsid w:val="00451565"/>
    <w:rsid w:val="004525D9"/>
    <w:rsid w:val="00452A25"/>
    <w:rsid w:val="00452D0C"/>
    <w:rsid w:val="00453B3C"/>
    <w:rsid w:val="004542CE"/>
    <w:rsid w:val="00454638"/>
    <w:rsid w:val="0045499A"/>
    <w:rsid w:val="00454E9E"/>
    <w:rsid w:val="00454FE9"/>
    <w:rsid w:val="0045535A"/>
    <w:rsid w:val="00455671"/>
    <w:rsid w:val="0045579C"/>
    <w:rsid w:val="00456E39"/>
    <w:rsid w:val="00461A62"/>
    <w:rsid w:val="004625E0"/>
    <w:rsid w:val="00462B5C"/>
    <w:rsid w:val="00462E3F"/>
    <w:rsid w:val="00463347"/>
    <w:rsid w:val="00463AC0"/>
    <w:rsid w:val="004640F4"/>
    <w:rsid w:val="00464663"/>
    <w:rsid w:val="00464C68"/>
    <w:rsid w:val="0046549B"/>
    <w:rsid w:val="00465A47"/>
    <w:rsid w:val="00466536"/>
    <w:rsid w:val="00466802"/>
    <w:rsid w:val="00466A86"/>
    <w:rsid w:val="00466E0C"/>
    <w:rsid w:val="0046722D"/>
    <w:rsid w:val="00467874"/>
    <w:rsid w:val="00467CDD"/>
    <w:rsid w:val="004703C9"/>
    <w:rsid w:val="00470C4C"/>
    <w:rsid w:val="00470CCD"/>
    <w:rsid w:val="00470EF5"/>
    <w:rsid w:val="00471935"/>
    <w:rsid w:val="00471F9D"/>
    <w:rsid w:val="004724A9"/>
    <w:rsid w:val="00473534"/>
    <w:rsid w:val="00473960"/>
    <w:rsid w:val="00473C1F"/>
    <w:rsid w:val="00473C27"/>
    <w:rsid w:val="0047481D"/>
    <w:rsid w:val="004749DB"/>
    <w:rsid w:val="00474A12"/>
    <w:rsid w:val="00474D0A"/>
    <w:rsid w:val="004753C0"/>
    <w:rsid w:val="00475554"/>
    <w:rsid w:val="00475D31"/>
    <w:rsid w:val="0047625F"/>
    <w:rsid w:val="00477030"/>
    <w:rsid w:val="00477B60"/>
    <w:rsid w:val="004816E5"/>
    <w:rsid w:val="0048236C"/>
    <w:rsid w:val="0048279B"/>
    <w:rsid w:val="004828BE"/>
    <w:rsid w:val="00482A1A"/>
    <w:rsid w:val="00482A7B"/>
    <w:rsid w:val="00482FAA"/>
    <w:rsid w:val="004835E9"/>
    <w:rsid w:val="00483A37"/>
    <w:rsid w:val="004850AA"/>
    <w:rsid w:val="004851BB"/>
    <w:rsid w:val="004866A8"/>
    <w:rsid w:val="00486D38"/>
    <w:rsid w:val="00487021"/>
    <w:rsid w:val="0048733C"/>
    <w:rsid w:val="00487607"/>
    <w:rsid w:val="00487BBC"/>
    <w:rsid w:val="00487BCE"/>
    <w:rsid w:val="0049045D"/>
    <w:rsid w:val="00490EBF"/>
    <w:rsid w:val="00491072"/>
    <w:rsid w:val="0049141C"/>
    <w:rsid w:val="004921A1"/>
    <w:rsid w:val="00492885"/>
    <w:rsid w:val="00492A8C"/>
    <w:rsid w:val="00493621"/>
    <w:rsid w:val="00493C02"/>
    <w:rsid w:val="00493C67"/>
    <w:rsid w:val="00493D19"/>
    <w:rsid w:val="004941D5"/>
    <w:rsid w:val="004942EB"/>
    <w:rsid w:val="004944E9"/>
    <w:rsid w:val="0049455F"/>
    <w:rsid w:val="004948D7"/>
    <w:rsid w:val="00494B09"/>
    <w:rsid w:val="00494D4A"/>
    <w:rsid w:val="00495493"/>
    <w:rsid w:val="00495495"/>
    <w:rsid w:val="00495E6E"/>
    <w:rsid w:val="004960FE"/>
    <w:rsid w:val="004964BD"/>
    <w:rsid w:val="00496B5F"/>
    <w:rsid w:val="004975A8"/>
    <w:rsid w:val="004A026F"/>
    <w:rsid w:val="004A0912"/>
    <w:rsid w:val="004A1186"/>
    <w:rsid w:val="004A3C5C"/>
    <w:rsid w:val="004A459F"/>
    <w:rsid w:val="004A4E6E"/>
    <w:rsid w:val="004A4EB0"/>
    <w:rsid w:val="004A51C6"/>
    <w:rsid w:val="004A55B6"/>
    <w:rsid w:val="004A589B"/>
    <w:rsid w:val="004A6BEF"/>
    <w:rsid w:val="004A72F7"/>
    <w:rsid w:val="004A740A"/>
    <w:rsid w:val="004A75D6"/>
    <w:rsid w:val="004A75ED"/>
    <w:rsid w:val="004A76F6"/>
    <w:rsid w:val="004A7D4B"/>
    <w:rsid w:val="004A7F63"/>
    <w:rsid w:val="004B068D"/>
    <w:rsid w:val="004B0E1A"/>
    <w:rsid w:val="004B11D1"/>
    <w:rsid w:val="004B15B6"/>
    <w:rsid w:val="004B1906"/>
    <w:rsid w:val="004B1A12"/>
    <w:rsid w:val="004B2298"/>
    <w:rsid w:val="004B2777"/>
    <w:rsid w:val="004B279C"/>
    <w:rsid w:val="004B3154"/>
    <w:rsid w:val="004B37A1"/>
    <w:rsid w:val="004B38A7"/>
    <w:rsid w:val="004B3DE1"/>
    <w:rsid w:val="004B61A4"/>
    <w:rsid w:val="004B7B40"/>
    <w:rsid w:val="004C0231"/>
    <w:rsid w:val="004C04DA"/>
    <w:rsid w:val="004C15B5"/>
    <w:rsid w:val="004C3479"/>
    <w:rsid w:val="004C35C5"/>
    <w:rsid w:val="004C38D6"/>
    <w:rsid w:val="004C3AA2"/>
    <w:rsid w:val="004C4965"/>
    <w:rsid w:val="004C52C3"/>
    <w:rsid w:val="004C5357"/>
    <w:rsid w:val="004C561C"/>
    <w:rsid w:val="004C579E"/>
    <w:rsid w:val="004C5F91"/>
    <w:rsid w:val="004C623B"/>
    <w:rsid w:val="004C6277"/>
    <w:rsid w:val="004C685A"/>
    <w:rsid w:val="004C6BA6"/>
    <w:rsid w:val="004C7CC4"/>
    <w:rsid w:val="004D044C"/>
    <w:rsid w:val="004D04AD"/>
    <w:rsid w:val="004D0C2C"/>
    <w:rsid w:val="004D21AC"/>
    <w:rsid w:val="004D2300"/>
    <w:rsid w:val="004D2308"/>
    <w:rsid w:val="004D44AD"/>
    <w:rsid w:val="004D4B88"/>
    <w:rsid w:val="004D4BEB"/>
    <w:rsid w:val="004D4FA1"/>
    <w:rsid w:val="004D5033"/>
    <w:rsid w:val="004D52CD"/>
    <w:rsid w:val="004D5DFA"/>
    <w:rsid w:val="004D6954"/>
    <w:rsid w:val="004D6F5F"/>
    <w:rsid w:val="004D7484"/>
    <w:rsid w:val="004D798F"/>
    <w:rsid w:val="004D79A9"/>
    <w:rsid w:val="004E03B0"/>
    <w:rsid w:val="004E06A0"/>
    <w:rsid w:val="004E11BE"/>
    <w:rsid w:val="004E1932"/>
    <w:rsid w:val="004E1AC1"/>
    <w:rsid w:val="004E1B64"/>
    <w:rsid w:val="004E1CDB"/>
    <w:rsid w:val="004E1D36"/>
    <w:rsid w:val="004E1DF4"/>
    <w:rsid w:val="004E2698"/>
    <w:rsid w:val="004E2A7F"/>
    <w:rsid w:val="004E3069"/>
    <w:rsid w:val="004E31C3"/>
    <w:rsid w:val="004E359D"/>
    <w:rsid w:val="004E3AB4"/>
    <w:rsid w:val="004E3AEA"/>
    <w:rsid w:val="004E3E38"/>
    <w:rsid w:val="004E40CC"/>
    <w:rsid w:val="004E40E5"/>
    <w:rsid w:val="004E45E9"/>
    <w:rsid w:val="004E4CC6"/>
    <w:rsid w:val="004E52F2"/>
    <w:rsid w:val="004E63BA"/>
    <w:rsid w:val="004F07BC"/>
    <w:rsid w:val="004F08D8"/>
    <w:rsid w:val="004F0EB3"/>
    <w:rsid w:val="004F12DB"/>
    <w:rsid w:val="004F13BF"/>
    <w:rsid w:val="004F19D1"/>
    <w:rsid w:val="004F1B7D"/>
    <w:rsid w:val="004F1BAE"/>
    <w:rsid w:val="004F1D71"/>
    <w:rsid w:val="004F3EAC"/>
    <w:rsid w:val="004F425C"/>
    <w:rsid w:val="004F4355"/>
    <w:rsid w:val="004F440D"/>
    <w:rsid w:val="004F4E92"/>
    <w:rsid w:val="004F5492"/>
    <w:rsid w:val="004F5C55"/>
    <w:rsid w:val="004F5D6C"/>
    <w:rsid w:val="004F6B49"/>
    <w:rsid w:val="004F73A8"/>
    <w:rsid w:val="005000AD"/>
    <w:rsid w:val="00500FE5"/>
    <w:rsid w:val="005022B1"/>
    <w:rsid w:val="005023FD"/>
    <w:rsid w:val="005025AA"/>
    <w:rsid w:val="00502CF2"/>
    <w:rsid w:val="00502F3F"/>
    <w:rsid w:val="00503958"/>
    <w:rsid w:val="00503D6D"/>
    <w:rsid w:val="00503D97"/>
    <w:rsid w:val="00503FB0"/>
    <w:rsid w:val="005041D1"/>
    <w:rsid w:val="00504741"/>
    <w:rsid w:val="00505393"/>
    <w:rsid w:val="00505EBD"/>
    <w:rsid w:val="0050626A"/>
    <w:rsid w:val="005105E6"/>
    <w:rsid w:val="00511006"/>
    <w:rsid w:val="0051136A"/>
    <w:rsid w:val="00511771"/>
    <w:rsid w:val="0051205D"/>
    <w:rsid w:val="00512702"/>
    <w:rsid w:val="00512C18"/>
    <w:rsid w:val="00514509"/>
    <w:rsid w:val="00514835"/>
    <w:rsid w:val="00516125"/>
    <w:rsid w:val="00516510"/>
    <w:rsid w:val="00516D7C"/>
    <w:rsid w:val="00516D8B"/>
    <w:rsid w:val="00517A8C"/>
    <w:rsid w:val="00517B88"/>
    <w:rsid w:val="00517EDF"/>
    <w:rsid w:val="00520111"/>
    <w:rsid w:val="005215EB"/>
    <w:rsid w:val="00522043"/>
    <w:rsid w:val="00522674"/>
    <w:rsid w:val="00522BAE"/>
    <w:rsid w:val="00522C84"/>
    <w:rsid w:val="005230F5"/>
    <w:rsid w:val="0052311E"/>
    <w:rsid w:val="005237B8"/>
    <w:rsid w:val="00524328"/>
    <w:rsid w:val="005243E0"/>
    <w:rsid w:val="005246B1"/>
    <w:rsid w:val="00524DC7"/>
    <w:rsid w:val="00524FFA"/>
    <w:rsid w:val="005253C9"/>
    <w:rsid w:val="0052549C"/>
    <w:rsid w:val="005255FC"/>
    <w:rsid w:val="00525670"/>
    <w:rsid w:val="005266AB"/>
    <w:rsid w:val="005275DF"/>
    <w:rsid w:val="00527DF8"/>
    <w:rsid w:val="00527F25"/>
    <w:rsid w:val="00530580"/>
    <w:rsid w:val="005306EB"/>
    <w:rsid w:val="00530850"/>
    <w:rsid w:val="005318B6"/>
    <w:rsid w:val="0053308A"/>
    <w:rsid w:val="00533152"/>
    <w:rsid w:val="005331B6"/>
    <w:rsid w:val="00533C14"/>
    <w:rsid w:val="00533C1D"/>
    <w:rsid w:val="00533E06"/>
    <w:rsid w:val="00533F7A"/>
    <w:rsid w:val="00534C3A"/>
    <w:rsid w:val="00534CF7"/>
    <w:rsid w:val="0053585A"/>
    <w:rsid w:val="00536F1B"/>
    <w:rsid w:val="005374F6"/>
    <w:rsid w:val="005402DD"/>
    <w:rsid w:val="00540714"/>
    <w:rsid w:val="00540C45"/>
    <w:rsid w:val="00540D8B"/>
    <w:rsid w:val="00541055"/>
    <w:rsid w:val="00541252"/>
    <w:rsid w:val="00541D75"/>
    <w:rsid w:val="005421CE"/>
    <w:rsid w:val="00542B61"/>
    <w:rsid w:val="00542D0C"/>
    <w:rsid w:val="0054395C"/>
    <w:rsid w:val="00543F24"/>
    <w:rsid w:val="005454EA"/>
    <w:rsid w:val="005456AD"/>
    <w:rsid w:val="00545787"/>
    <w:rsid w:val="00546268"/>
    <w:rsid w:val="00546953"/>
    <w:rsid w:val="00546B4D"/>
    <w:rsid w:val="00547129"/>
    <w:rsid w:val="0054796D"/>
    <w:rsid w:val="00550578"/>
    <w:rsid w:val="00550591"/>
    <w:rsid w:val="00550DEE"/>
    <w:rsid w:val="0055182B"/>
    <w:rsid w:val="005518A9"/>
    <w:rsid w:val="00551AB9"/>
    <w:rsid w:val="005520B3"/>
    <w:rsid w:val="005522D8"/>
    <w:rsid w:val="00552680"/>
    <w:rsid w:val="005526AF"/>
    <w:rsid w:val="0055291B"/>
    <w:rsid w:val="00552EA2"/>
    <w:rsid w:val="005531FA"/>
    <w:rsid w:val="00556089"/>
    <w:rsid w:val="005562C7"/>
    <w:rsid w:val="00556791"/>
    <w:rsid w:val="005567EF"/>
    <w:rsid w:val="00556818"/>
    <w:rsid w:val="00556CCB"/>
    <w:rsid w:val="005574ED"/>
    <w:rsid w:val="00557EC6"/>
    <w:rsid w:val="005601A6"/>
    <w:rsid w:val="00560A52"/>
    <w:rsid w:val="00561875"/>
    <w:rsid w:val="00561AC6"/>
    <w:rsid w:val="00561D97"/>
    <w:rsid w:val="00561DC6"/>
    <w:rsid w:val="005627F2"/>
    <w:rsid w:val="005628AC"/>
    <w:rsid w:val="00562938"/>
    <w:rsid w:val="00562D45"/>
    <w:rsid w:val="00563A00"/>
    <w:rsid w:val="00563D71"/>
    <w:rsid w:val="005647DE"/>
    <w:rsid w:val="00564DE7"/>
    <w:rsid w:val="005654E8"/>
    <w:rsid w:val="00565811"/>
    <w:rsid w:val="00565A20"/>
    <w:rsid w:val="00565A46"/>
    <w:rsid w:val="00565C0D"/>
    <w:rsid w:val="00565E35"/>
    <w:rsid w:val="00565FB0"/>
    <w:rsid w:val="00566314"/>
    <w:rsid w:val="005664ED"/>
    <w:rsid w:val="00566A86"/>
    <w:rsid w:val="00566FDB"/>
    <w:rsid w:val="00567227"/>
    <w:rsid w:val="00567FF5"/>
    <w:rsid w:val="00570014"/>
    <w:rsid w:val="00570375"/>
    <w:rsid w:val="005706A3"/>
    <w:rsid w:val="00570AD0"/>
    <w:rsid w:val="0057177B"/>
    <w:rsid w:val="0057195A"/>
    <w:rsid w:val="00571B41"/>
    <w:rsid w:val="00571EDC"/>
    <w:rsid w:val="00572160"/>
    <w:rsid w:val="00572F53"/>
    <w:rsid w:val="005731FE"/>
    <w:rsid w:val="00573340"/>
    <w:rsid w:val="005747E1"/>
    <w:rsid w:val="005748D4"/>
    <w:rsid w:val="00574B86"/>
    <w:rsid w:val="00575056"/>
    <w:rsid w:val="005750FD"/>
    <w:rsid w:val="00575C5C"/>
    <w:rsid w:val="005763E8"/>
    <w:rsid w:val="0057667C"/>
    <w:rsid w:val="005766A2"/>
    <w:rsid w:val="005768BC"/>
    <w:rsid w:val="00577B3E"/>
    <w:rsid w:val="00577B4B"/>
    <w:rsid w:val="00577E54"/>
    <w:rsid w:val="00580018"/>
    <w:rsid w:val="00580DAB"/>
    <w:rsid w:val="00580E20"/>
    <w:rsid w:val="00580F9B"/>
    <w:rsid w:val="005810CB"/>
    <w:rsid w:val="005818E3"/>
    <w:rsid w:val="00581BD1"/>
    <w:rsid w:val="00582D7F"/>
    <w:rsid w:val="005830E1"/>
    <w:rsid w:val="005833C8"/>
    <w:rsid w:val="00583838"/>
    <w:rsid w:val="005849DB"/>
    <w:rsid w:val="0058504A"/>
    <w:rsid w:val="00585446"/>
    <w:rsid w:val="00585D72"/>
    <w:rsid w:val="0058764A"/>
    <w:rsid w:val="005877C9"/>
    <w:rsid w:val="00590372"/>
    <w:rsid w:val="0059054D"/>
    <w:rsid w:val="0059062C"/>
    <w:rsid w:val="00590F1F"/>
    <w:rsid w:val="005913F3"/>
    <w:rsid w:val="00591C2D"/>
    <w:rsid w:val="005926A8"/>
    <w:rsid w:val="005929B1"/>
    <w:rsid w:val="00593348"/>
    <w:rsid w:val="00593BE4"/>
    <w:rsid w:val="00593D89"/>
    <w:rsid w:val="00594B6C"/>
    <w:rsid w:val="0059634B"/>
    <w:rsid w:val="005968B2"/>
    <w:rsid w:val="00597CCA"/>
    <w:rsid w:val="005A028D"/>
    <w:rsid w:val="005A03CA"/>
    <w:rsid w:val="005A05F7"/>
    <w:rsid w:val="005A0B62"/>
    <w:rsid w:val="005A1455"/>
    <w:rsid w:val="005A1AA3"/>
    <w:rsid w:val="005A2328"/>
    <w:rsid w:val="005A2744"/>
    <w:rsid w:val="005A2D8D"/>
    <w:rsid w:val="005A3FD4"/>
    <w:rsid w:val="005A4319"/>
    <w:rsid w:val="005A4A1D"/>
    <w:rsid w:val="005A4CF4"/>
    <w:rsid w:val="005A5B9B"/>
    <w:rsid w:val="005A6953"/>
    <w:rsid w:val="005A6A3F"/>
    <w:rsid w:val="005A6A83"/>
    <w:rsid w:val="005A6CA1"/>
    <w:rsid w:val="005A70B5"/>
    <w:rsid w:val="005A75CF"/>
    <w:rsid w:val="005A7746"/>
    <w:rsid w:val="005B013B"/>
    <w:rsid w:val="005B01F7"/>
    <w:rsid w:val="005B1226"/>
    <w:rsid w:val="005B123A"/>
    <w:rsid w:val="005B184F"/>
    <w:rsid w:val="005B1EB2"/>
    <w:rsid w:val="005B261D"/>
    <w:rsid w:val="005B2946"/>
    <w:rsid w:val="005B2B11"/>
    <w:rsid w:val="005B3135"/>
    <w:rsid w:val="005B387C"/>
    <w:rsid w:val="005B3D63"/>
    <w:rsid w:val="005B4D12"/>
    <w:rsid w:val="005B5486"/>
    <w:rsid w:val="005B5B90"/>
    <w:rsid w:val="005B6041"/>
    <w:rsid w:val="005B734A"/>
    <w:rsid w:val="005B7906"/>
    <w:rsid w:val="005C02E8"/>
    <w:rsid w:val="005C0B03"/>
    <w:rsid w:val="005C18C6"/>
    <w:rsid w:val="005C3953"/>
    <w:rsid w:val="005C3C85"/>
    <w:rsid w:val="005C41CC"/>
    <w:rsid w:val="005C4E68"/>
    <w:rsid w:val="005C58EC"/>
    <w:rsid w:val="005C5973"/>
    <w:rsid w:val="005C5C2B"/>
    <w:rsid w:val="005C60A7"/>
    <w:rsid w:val="005C6394"/>
    <w:rsid w:val="005C697C"/>
    <w:rsid w:val="005C6AF0"/>
    <w:rsid w:val="005C7591"/>
    <w:rsid w:val="005C77B0"/>
    <w:rsid w:val="005C7D7E"/>
    <w:rsid w:val="005C7FDA"/>
    <w:rsid w:val="005D09C7"/>
    <w:rsid w:val="005D0EA8"/>
    <w:rsid w:val="005D1044"/>
    <w:rsid w:val="005D1D07"/>
    <w:rsid w:val="005D2640"/>
    <w:rsid w:val="005D3B00"/>
    <w:rsid w:val="005D3EC5"/>
    <w:rsid w:val="005D4805"/>
    <w:rsid w:val="005D482E"/>
    <w:rsid w:val="005D48C3"/>
    <w:rsid w:val="005D495A"/>
    <w:rsid w:val="005D4DE6"/>
    <w:rsid w:val="005D5850"/>
    <w:rsid w:val="005D64AB"/>
    <w:rsid w:val="005D6567"/>
    <w:rsid w:val="005D6BB4"/>
    <w:rsid w:val="005E01A0"/>
    <w:rsid w:val="005E044E"/>
    <w:rsid w:val="005E0D33"/>
    <w:rsid w:val="005E0FC9"/>
    <w:rsid w:val="005E2056"/>
    <w:rsid w:val="005E265D"/>
    <w:rsid w:val="005E2ED1"/>
    <w:rsid w:val="005E2FC7"/>
    <w:rsid w:val="005E4436"/>
    <w:rsid w:val="005E58A4"/>
    <w:rsid w:val="005E6084"/>
    <w:rsid w:val="005E608A"/>
    <w:rsid w:val="005E70EE"/>
    <w:rsid w:val="005F0373"/>
    <w:rsid w:val="005F07C8"/>
    <w:rsid w:val="005F19E6"/>
    <w:rsid w:val="005F1D2D"/>
    <w:rsid w:val="005F2037"/>
    <w:rsid w:val="005F2DFC"/>
    <w:rsid w:val="005F2EE0"/>
    <w:rsid w:val="005F3516"/>
    <w:rsid w:val="005F402C"/>
    <w:rsid w:val="005F40AA"/>
    <w:rsid w:val="005F48E4"/>
    <w:rsid w:val="005F5E99"/>
    <w:rsid w:val="005F6025"/>
    <w:rsid w:val="005F6421"/>
    <w:rsid w:val="005F6AC3"/>
    <w:rsid w:val="005F6B63"/>
    <w:rsid w:val="005F70A9"/>
    <w:rsid w:val="005F71A1"/>
    <w:rsid w:val="005F73FB"/>
    <w:rsid w:val="005F782D"/>
    <w:rsid w:val="005F795C"/>
    <w:rsid w:val="005F7CDF"/>
    <w:rsid w:val="00600942"/>
    <w:rsid w:val="00601A6A"/>
    <w:rsid w:val="00601E0E"/>
    <w:rsid w:val="0060208B"/>
    <w:rsid w:val="006021C4"/>
    <w:rsid w:val="00602C0A"/>
    <w:rsid w:val="00603134"/>
    <w:rsid w:val="0060329A"/>
    <w:rsid w:val="0060394F"/>
    <w:rsid w:val="00604372"/>
    <w:rsid w:val="00604FA4"/>
    <w:rsid w:val="00604FC4"/>
    <w:rsid w:val="00605139"/>
    <w:rsid w:val="00605605"/>
    <w:rsid w:val="00605990"/>
    <w:rsid w:val="00605A94"/>
    <w:rsid w:val="00605EF7"/>
    <w:rsid w:val="00605F17"/>
    <w:rsid w:val="00607343"/>
    <w:rsid w:val="006077E1"/>
    <w:rsid w:val="00610326"/>
    <w:rsid w:val="00610D9F"/>
    <w:rsid w:val="0061173A"/>
    <w:rsid w:val="0061191D"/>
    <w:rsid w:val="00611EF4"/>
    <w:rsid w:val="006121A6"/>
    <w:rsid w:val="00613928"/>
    <w:rsid w:val="00613E6A"/>
    <w:rsid w:val="006140FD"/>
    <w:rsid w:val="0061414A"/>
    <w:rsid w:val="0061417B"/>
    <w:rsid w:val="0061535D"/>
    <w:rsid w:val="00616551"/>
    <w:rsid w:val="00616E42"/>
    <w:rsid w:val="00616FDC"/>
    <w:rsid w:val="006178B9"/>
    <w:rsid w:val="00617A5E"/>
    <w:rsid w:val="00617DEC"/>
    <w:rsid w:val="00620AFE"/>
    <w:rsid w:val="00620C27"/>
    <w:rsid w:val="00621E45"/>
    <w:rsid w:val="00622258"/>
    <w:rsid w:val="00622434"/>
    <w:rsid w:val="00622C70"/>
    <w:rsid w:val="00622DAF"/>
    <w:rsid w:val="00622E11"/>
    <w:rsid w:val="00623275"/>
    <w:rsid w:val="006235C9"/>
    <w:rsid w:val="00623665"/>
    <w:rsid w:val="00623741"/>
    <w:rsid w:val="00623BA6"/>
    <w:rsid w:val="00623CB2"/>
    <w:rsid w:val="006240CB"/>
    <w:rsid w:val="00624B9C"/>
    <w:rsid w:val="00624F05"/>
    <w:rsid w:val="006252C2"/>
    <w:rsid w:val="0062636A"/>
    <w:rsid w:val="00626921"/>
    <w:rsid w:val="00626EBB"/>
    <w:rsid w:val="00626ECC"/>
    <w:rsid w:val="00627855"/>
    <w:rsid w:val="006311E0"/>
    <w:rsid w:val="006314AE"/>
    <w:rsid w:val="00631C4F"/>
    <w:rsid w:val="0063214E"/>
    <w:rsid w:val="00632253"/>
    <w:rsid w:val="006322B3"/>
    <w:rsid w:val="00632D87"/>
    <w:rsid w:val="00632E92"/>
    <w:rsid w:val="00633B60"/>
    <w:rsid w:val="00633B87"/>
    <w:rsid w:val="00633CFA"/>
    <w:rsid w:val="00634233"/>
    <w:rsid w:val="0063433E"/>
    <w:rsid w:val="00634546"/>
    <w:rsid w:val="006345AC"/>
    <w:rsid w:val="00634649"/>
    <w:rsid w:val="006347F1"/>
    <w:rsid w:val="006350F1"/>
    <w:rsid w:val="0063521C"/>
    <w:rsid w:val="00635B36"/>
    <w:rsid w:val="00635FA4"/>
    <w:rsid w:val="006363D5"/>
    <w:rsid w:val="00636BFF"/>
    <w:rsid w:val="00636CAD"/>
    <w:rsid w:val="00636D69"/>
    <w:rsid w:val="00637144"/>
    <w:rsid w:val="006376DF"/>
    <w:rsid w:val="00637C45"/>
    <w:rsid w:val="00640616"/>
    <w:rsid w:val="006406A4"/>
    <w:rsid w:val="00640833"/>
    <w:rsid w:val="006416F7"/>
    <w:rsid w:val="00641A2A"/>
    <w:rsid w:val="00641F04"/>
    <w:rsid w:val="00641F52"/>
    <w:rsid w:val="0064245C"/>
    <w:rsid w:val="00642535"/>
    <w:rsid w:val="00642C88"/>
    <w:rsid w:val="00644A2B"/>
    <w:rsid w:val="006453EA"/>
    <w:rsid w:val="00645440"/>
    <w:rsid w:val="00645C73"/>
    <w:rsid w:val="0064618B"/>
    <w:rsid w:val="006461F1"/>
    <w:rsid w:val="0064674D"/>
    <w:rsid w:val="00646AB7"/>
    <w:rsid w:val="0065014C"/>
    <w:rsid w:val="006507C6"/>
    <w:rsid w:val="00650E45"/>
    <w:rsid w:val="0065129A"/>
    <w:rsid w:val="0065184B"/>
    <w:rsid w:val="00651905"/>
    <w:rsid w:val="00652206"/>
    <w:rsid w:val="0065299F"/>
    <w:rsid w:val="00652B79"/>
    <w:rsid w:val="00652BA3"/>
    <w:rsid w:val="00653710"/>
    <w:rsid w:val="0065459D"/>
    <w:rsid w:val="00654E02"/>
    <w:rsid w:val="00655010"/>
    <w:rsid w:val="00655143"/>
    <w:rsid w:val="006555B0"/>
    <w:rsid w:val="006558E2"/>
    <w:rsid w:val="0065592B"/>
    <w:rsid w:val="006559D2"/>
    <w:rsid w:val="006559FD"/>
    <w:rsid w:val="00655CCD"/>
    <w:rsid w:val="00656451"/>
    <w:rsid w:val="00656AD9"/>
    <w:rsid w:val="00656AEE"/>
    <w:rsid w:val="00660363"/>
    <w:rsid w:val="006615E6"/>
    <w:rsid w:val="00661C86"/>
    <w:rsid w:val="00663E43"/>
    <w:rsid w:val="00664228"/>
    <w:rsid w:val="006642CD"/>
    <w:rsid w:val="0066435C"/>
    <w:rsid w:val="00664418"/>
    <w:rsid w:val="00664603"/>
    <w:rsid w:val="00664B93"/>
    <w:rsid w:val="00664E16"/>
    <w:rsid w:val="00665795"/>
    <w:rsid w:val="0066589A"/>
    <w:rsid w:val="00665D8E"/>
    <w:rsid w:val="0066644A"/>
    <w:rsid w:val="00666848"/>
    <w:rsid w:val="00667269"/>
    <w:rsid w:val="00667F8F"/>
    <w:rsid w:val="0067081B"/>
    <w:rsid w:val="0067100E"/>
    <w:rsid w:val="006712B8"/>
    <w:rsid w:val="0067137F"/>
    <w:rsid w:val="00671648"/>
    <w:rsid w:val="0067176F"/>
    <w:rsid w:val="0067283C"/>
    <w:rsid w:val="00672A63"/>
    <w:rsid w:val="00673F25"/>
    <w:rsid w:val="00675B7F"/>
    <w:rsid w:val="00675C43"/>
    <w:rsid w:val="00675F60"/>
    <w:rsid w:val="0067667B"/>
    <w:rsid w:val="00676C0B"/>
    <w:rsid w:val="00677230"/>
    <w:rsid w:val="006776B2"/>
    <w:rsid w:val="00681524"/>
    <w:rsid w:val="00681A79"/>
    <w:rsid w:val="00681DE1"/>
    <w:rsid w:val="00682633"/>
    <w:rsid w:val="006826BB"/>
    <w:rsid w:val="00682773"/>
    <w:rsid w:val="00682855"/>
    <w:rsid w:val="00682A65"/>
    <w:rsid w:val="006834ED"/>
    <w:rsid w:val="00683658"/>
    <w:rsid w:val="0068482F"/>
    <w:rsid w:val="00684E5A"/>
    <w:rsid w:val="006857D0"/>
    <w:rsid w:val="006861FB"/>
    <w:rsid w:val="006872F9"/>
    <w:rsid w:val="00687D6D"/>
    <w:rsid w:val="00687F43"/>
    <w:rsid w:val="0069048E"/>
    <w:rsid w:val="0069099C"/>
    <w:rsid w:val="00691432"/>
    <w:rsid w:val="00691944"/>
    <w:rsid w:val="00691A10"/>
    <w:rsid w:val="00691ACB"/>
    <w:rsid w:val="00692203"/>
    <w:rsid w:val="0069250D"/>
    <w:rsid w:val="00692A7B"/>
    <w:rsid w:val="00692E7C"/>
    <w:rsid w:val="00693765"/>
    <w:rsid w:val="00693E50"/>
    <w:rsid w:val="006942E9"/>
    <w:rsid w:val="006942EC"/>
    <w:rsid w:val="00694DB3"/>
    <w:rsid w:val="006952EF"/>
    <w:rsid w:val="0069572E"/>
    <w:rsid w:val="006960FF"/>
    <w:rsid w:val="0069631F"/>
    <w:rsid w:val="00696BC1"/>
    <w:rsid w:val="00696C20"/>
    <w:rsid w:val="00696E64"/>
    <w:rsid w:val="0069714B"/>
    <w:rsid w:val="00697CF8"/>
    <w:rsid w:val="00697DCD"/>
    <w:rsid w:val="006A06F1"/>
    <w:rsid w:val="006A0B80"/>
    <w:rsid w:val="006A0CCE"/>
    <w:rsid w:val="006A0E12"/>
    <w:rsid w:val="006A2881"/>
    <w:rsid w:val="006A2EFF"/>
    <w:rsid w:val="006A3B9B"/>
    <w:rsid w:val="006A4428"/>
    <w:rsid w:val="006A44B6"/>
    <w:rsid w:val="006A47B9"/>
    <w:rsid w:val="006A4906"/>
    <w:rsid w:val="006A4AB2"/>
    <w:rsid w:val="006A562C"/>
    <w:rsid w:val="006A5D76"/>
    <w:rsid w:val="006A5DD7"/>
    <w:rsid w:val="006A69B7"/>
    <w:rsid w:val="006A7AFE"/>
    <w:rsid w:val="006B004D"/>
    <w:rsid w:val="006B0E9E"/>
    <w:rsid w:val="006B0F2B"/>
    <w:rsid w:val="006B1901"/>
    <w:rsid w:val="006B1902"/>
    <w:rsid w:val="006B2175"/>
    <w:rsid w:val="006B2462"/>
    <w:rsid w:val="006B27AE"/>
    <w:rsid w:val="006B2AAC"/>
    <w:rsid w:val="006B2B88"/>
    <w:rsid w:val="006B2D63"/>
    <w:rsid w:val="006B333F"/>
    <w:rsid w:val="006B39A2"/>
    <w:rsid w:val="006B47F6"/>
    <w:rsid w:val="006B4E1B"/>
    <w:rsid w:val="006B506E"/>
    <w:rsid w:val="006B5101"/>
    <w:rsid w:val="006B55D5"/>
    <w:rsid w:val="006B5895"/>
    <w:rsid w:val="006B5EF9"/>
    <w:rsid w:val="006B6059"/>
    <w:rsid w:val="006B69F5"/>
    <w:rsid w:val="006B6C19"/>
    <w:rsid w:val="006B6CC8"/>
    <w:rsid w:val="006B6DCE"/>
    <w:rsid w:val="006B77CA"/>
    <w:rsid w:val="006B7B04"/>
    <w:rsid w:val="006C03DC"/>
    <w:rsid w:val="006C05A3"/>
    <w:rsid w:val="006C0A4F"/>
    <w:rsid w:val="006C0FF0"/>
    <w:rsid w:val="006C12DE"/>
    <w:rsid w:val="006C132C"/>
    <w:rsid w:val="006C2CB3"/>
    <w:rsid w:val="006C2E3F"/>
    <w:rsid w:val="006C30F6"/>
    <w:rsid w:val="006C3DDD"/>
    <w:rsid w:val="006C417F"/>
    <w:rsid w:val="006C431E"/>
    <w:rsid w:val="006C47AD"/>
    <w:rsid w:val="006C47BB"/>
    <w:rsid w:val="006C4EB1"/>
    <w:rsid w:val="006C5156"/>
    <w:rsid w:val="006C5362"/>
    <w:rsid w:val="006C58B8"/>
    <w:rsid w:val="006C58FC"/>
    <w:rsid w:val="006C59C8"/>
    <w:rsid w:val="006C5DD7"/>
    <w:rsid w:val="006C6481"/>
    <w:rsid w:val="006C659E"/>
    <w:rsid w:val="006C6802"/>
    <w:rsid w:val="006C6DCC"/>
    <w:rsid w:val="006C701D"/>
    <w:rsid w:val="006C735F"/>
    <w:rsid w:val="006C74DC"/>
    <w:rsid w:val="006C7A5E"/>
    <w:rsid w:val="006D0388"/>
    <w:rsid w:val="006D0944"/>
    <w:rsid w:val="006D0957"/>
    <w:rsid w:val="006D0B87"/>
    <w:rsid w:val="006D0D5D"/>
    <w:rsid w:val="006D1C16"/>
    <w:rsid w:val="006D1E45"/>
    <w:rsid w:val="006D2122"/>
    <w:rsid w:val="006D24EB"/>
    <w:rsid w:val="006D2E1A"/>
    <w:rsid w:val="006D2F8A"/>
    <w:rsid w:val="006D339B"/>
    <w:rsid w:val="006D34EB"/>
    <w:rsid w:val="006D37A8"/>
    <w:rsid w:val="006D3824"/>
    <w:rsid w:val="006D395C"/>
    <w:rsid w:val="006D39B5"/>
    <w:rsid w:val="006D3F4B"/>
    <w:rsid w:val="006D3F7C"/>
    <w:rsid w:val="006D5071"/>
    <w:rsid w:val="006D56C3"/>
    <w:rsid w:val="006D6CDF"/>
    <w:rsid w:val="006D6FAA"/>
    <w:rsid w:val="006D6FF9"/>
    <w:rsid w:val="006D7F31"/>
    <w:rsid w:val="006D7F9D"/>
    <w:rsid w:val="006E0DB6"/>
    <w:rsid w:val="006E0F47"/>
    <w:rsid w:val="006E12DB"/>
    <w:rsid w:val="006E15ED"/>
    <w:rsid w:val="006E2370"/>
    <w:rsid w:val="006E3017"/>
    <w:rsid w:val="006E3383"/>
    <w:rsid w:val="006E34F5"/>
    <w:rsid w:val="006E427D"/>
    <w:rsid w:val="006E517D"/>
    <w:rsid w:val="006E5222"/>
    <w:rsid w:val="006E581C"/>
    <w:rsid w:val="006E5EC2"/>
    <w:rsid w:val="006E64BA"/>
    <w:rsid w:val="006E6D9A"/>
    <w:rsid w:val="006E7C92"/>
    <w:rsid w:val="006F028B"/>
    <w:rsid w:val="006F1934"/>
    <w:rsid w:val="006F2030"/>
    <w:rsid w:val="006F2D15"/>
    <w:rsid w:val="006F2D96"/>
    <w:rsid w:val="006F3742"/>
    <w:rsid w:val="006F383E"/>
    <w:rsid w:val="006F3D9B"/>
    <w:rsid w:val="006F3F14"/>
    <w:rsid w:val="006F42AD"/>
    <w:rsid w:val="006F4571"/>
    <w:rsid w:val="006F49CD"/>
    <w:rsid w:val="006F4D43"/>
    <w:rsid w:val="006F50B4"/>
    <w:rsid w:val="006F57A4"/>
    <w:rsid w:val="0070005D"/>
    <w:rsid w:val="00700413"/>
    <w:rsid w:val="00700BD8"/>
    <w:rsid w:val="00700D9F"/>
    <w:rsid w:val="00701159"/>
    <w:rsid w:val="007016FA"/>
    <w:rsid w:val="0070224B"/>
    <w:rsid w:val="007023FC"/>
    <w:rsid w:val="00702D1D"/>
    <w:rsid w:val="00703599"/>
    <w:rsid w:val="00703B23"/>
    <w:rsid w:val="0070472D"/>
    <w:rsid w:val="00706C03"/>
    <w:rsid w:val="00706EA7"/>
    <w:rsid w:val="007070D6"/>
    <w:rsid w:val="0070716A"/>
    <w:rsid w:val="007103F8"/>
    <w:rsid w:val="007105BE"/>
    <w:rsid w:val="00710AEB"/>
    <w:rsid w:val="00710DB2"/>
    <w:rsid w:val="00710E2B"/>
    <w:rsid w:val="00711AA8"/>
    <w:rsid w:val="007123E0"/>
    <w:rsid w:val="00712F2C"/>
    <w:rsid w:val="00714056"/>
    <w:rsid w:val="00714175"/>
    <w:rsid w:val="0071429A"/>
    <w:rsid w:val="00714C14"/>
    <w:rsid w:val="00715DCB"/>
    <w:rsid w:val="00716C91"/>
    <w:rsid w:val="00716E11"/>
    <w:rsid w:val="00717C76"/>
    <w:rsid w:val="00720869"/>
    <w:rsid w:val="00720BB0"/>
    <w:rsid w:val="00720F60"/>
    <w:rsid w:val="00721884"/>
    <w:rsid w:val="00721D3F"/>
    <w:rsid w:val="007220E2"/>
    <w:rsid w:val="007226BD"/>
    <w:rsid w:val="00722BA5"/>
    <w:rsid w:val="00722E66"/>
    <w:rsid w:val="00722F39"/>
    <w:rsid w:val="00723271"/>
    <w:rsid w:val="0072349B"/>
    <w:rsid w:val="00724A6D"/>
    <w:rsid w:val="007252DE"/>
    <w:rsid w:val="00725416"/>
    <w:rsid w:val="00725962"/>
    <w:rsid w:val="007266A7"/>
    <w:rsid w:val="00726861"/>
    <w:rsid w:val="00726A1B"/>
    <w:rsid w:val="00726A53"/>
    <w:rsid w:val="00726EB0"/>
    <w:rsid w:val="00730B1C"/>
    <w:rsid w:val="00730E28"/>
    <w:rsid w:val="00730EEF"/>
    <w:rsid w:val="00732D6B"/>
    <w:rsid w:val="00733221"/>
    <w:rsid w:val="007335A0"/>
    <w:rsid w:val="0073390D"/>
    <w:rsid w:val="007339C6"/>
    <w:rsid w:val="00733C9D"/>
    <w:rsid w:val="00733F28"/>
    <w:rsid w:val="007345DF"/>
    <w:rsid w:val="00734C3B"/>
    <w:rsid w:val="0073506D"/>
    <w:rsid w:val="007365D0"/>
    <w:rsid w:val="00736B16"/>
    <w:rsid w:val="00737259"/>
    <w:rsid w:val="00737480"/>
    <w:rsid w:val="00740C9B"/>
    <w:rsid w:val="00741B97"/>
    <w:rsid w:val="00741D3C"/>
    <w:rsid w:val="0074407C"/>
    <w:rsid w:val="00744240"/>
    <w:rsid w:val="00744AFB"/>
    <w:rsid w:val="00744D57"/>
    <w:rsid w:val="00747175"/>
    <w:rsid w:val="0074756E"/>
    <w:rsid w:val="00747BE0"/>
    <w:rsid w:val="00747E8A"/>
    <w:rsid w:val="0075061C"/>
    <w:rsid w:val="007506FB"/>
    <w:rsid w:val="00750C9F"/>
    <w:rsid w:val="00750F66"/>
    <w:rsid w:val="00752396"/>
    <w:rsid w:val="007529D6"/>
    <w:rsid w:val="00752FE8"/>
    <w:rsid w:val="007530FF"/>
    <w:rsid w:val="00753188"/>
    <w:rsid w:val="00753486"/>
    <w:rsid w:val="00753D5A"/>
    <w:rsid w:val="00753E17"/>
    <w:rsid w:val="007543BA"/>
    <w:rsid w:val="007547AB"/>
    <w:rsid w:val="00754A75"/>
    <w:rsid w:val="00754B28"/>
    <w:rsid w:val="007555C7"/>
    <w:rsid w:val="00755AC0"/>
    <w:rsid w:val="00755CD4"/>
    <w:rsid w:val="00755EFA"/>
    <w:rsid w:val="007563B1"/>
    <w:rsid w:val="007567C7"/>
    <w:rsid w:val="0075730C"/>
    <w:rsid w:val="00757B9C"/>
    <w:rsid w:val="007610BF"/>
    <w:rsid w:val="00761769"/>
    <w:rsid w:val="007617A9"/>
    <w:rsid w:val="00761A28"/>
    <w:rsid w:val="00761E9F"/>
    <w:rsid w:val="00761F8C"/>
    <w:rsid w:val="0076233F"/>
    <w:rsid w:val="00763C7C"/>
    <w:rsid w:val="00764945"/>
    <w:rsid w:val="007649CE"/>
    <w:rsid w:val="00764B17"/>
    <w:rsid w:val="00764B79"/>
    <w:rsid w:val="00765665"/>
    <w:rsid w:val="007656EF"/>
    <w:rsid w:val="00765940"/>
    <w:rsid w:val="007661C9"/>
    <w:rsid w:val="0076625E"/>
    <w:rsid w:val="00766889"/>
    <w:rsid w:val="00766FF4"/>
    <w:rsid w:val="00767A4F"/>
    <w:rsid w:val="00767ABD"/>
    <w:rsid w:val="00767C67"/>
    <w:rsid w:val="00770901"/>
    <w:rsid w:val="00771DB6"/>
    <w:rsid w:val="0077233C"/>
    <w:rsid w:val="00772B77"/>
    <w:rsid w:val="00774961"/>
    <w:rsid w:val="00774F78"/>
    <w:rsid w:val="0077554F"/>
    <w:rsid w:val="00775CC6"/>
    <w:rsid w:val="00776372"/>
    <w:rsid w:val="00777AE6"/>
    <w:rsid w:val="00777B05"/>
    <w:rsid w:val="00780379"/>
    <w:rsid w:val="00780BE8"/>
    <w:rsid w:val="00780F4C"/>
    <w:rsid w:val="00781094"/>
    <w:rsid w:val="00781984"/>
    <w:rsid w:val="00781D16"/>
    <w:rsid w:val="007822C6"/>
    <w:rsid w:val="00782703"/>
    <w:rsid w:val="007827BB"/>
    <w:rsid w:val="007829BC"/>
    <w:rsid w:val="00782A7C"/>
    <w:rsid w:val="00782DF6"/>
    <w:rsid w:val="007834E6"/>
    <w:rsid w:val="007839BE"/>
    <w:rsid w:val="007839F6"/>
    <w:rsid w:val="00783DFB"/>
    <w:rsid w:val="00784856"/>
    <w:rsid w:val="00785058"/>
    <w:rsid w:val="007853A7"/>
    <w:rsid w:val="00785679"/>
    <w:rsid w:val="00786381"/>
    <w:rsid w:val="007866BB"/>
    <w:rsid w:val="00786E55"/>
    <w:rsid w:val="0078739E"/>
    <w:rsid w:val="00787E2A"/>
    <w:rsid w:val="00791553"/>
    <w:rsid w:val="00791F34"/>
    <w:rsid w:val="007921B7"/>
    <w:rsid w:val="00792449"/>
    <w:rsid w:val="00792480"/>
    <w:rsid w:val="007931B1"/>
    <w:rsid w:val="007933D2"/>
    <w:rsid w:val="00793ECE"/>
    <w:rsid w:val="00793FEB"/>
    <w:rsid w:val="0079509F"/>
    <w:rsid w:val="0079511B"/>
    <w:rsid w:val="00795122"/>
    <w:rsid w:val="007952CB"/>
    <w:rsid w:val="00795A35"/>
    <w:rsid w:val="00795BBC"/>
    <w:rsid w:val="00796116"/>
    <w:rsid w:val="007964A1"/>
    <w:rsid w:val="00796642"/>
    <w:rsid w:val="00796A17"/>
    <w:rsid w:val="00796E27"/>
    <w:rsid w:val="00796EA5"/>
    <w:rsid w:val="00797AAD"/>
    <w:rsid w:val="00797F53"/>
    <w:rsid w:val="007A0347"/>
    <w:rsid w:val="007A0661"/>
    <w:rsid w:val="007A0EEF"/>
    <w:rsid w:val="007A14B3"/>
    <w:rsid w:val="007A1658"/>
    <w:rsid w:val="007A1C14"/>
    <w:rsid w:val="007A1EC8"/>
    <w:rsid w:val="007A248E"/>
    <w:rsid w:val="007A28FC"/>
    <w:rsid w:val="007A2A2B"/>
    <w:rsid w:val="007A40B6"/>
    <w:rsid w:val="007A40CD"/>
    <w:rsid w:val="007A41A8"/>
    <w:rsid w:val="007A5873"/>
    <w:rsid w:val="007A7346"/>
    <w:rsid w:val="007B058D"/>
    <w:rsid w:val="007B127F"/>
    <w:rsid w:val="007B187A"/>
    <w:rsid w:val="007B228E"/>
    <w:rsid w:val="007B288D"/>
    <w:rsid w:val="007B2CBF"/>
    <w:rsid w:val="007B3B3B"/>
    <w:rsid w:val="007B4508"/>
    <w:rsid w:val="007B477D"/>
    <w:rsid w:val="007B4805"/>
    <w:rsid w:val="007B4B95"/>
    <w:rsid w:val="007B5266"/>
    <w:rsid w:val="007B5C5E"/>
    <w:rsid w:val="007B640A"/>
    <w:rsid w:val="007B6C36"/>
    <w:rsid w:val="007B6FF7"/>
    <w:rsid w:val="007B79E3"/>
    <w:rsid w:val="007C0476"/>
    <w:rsid w:val="007C07C5"/>
    <w:rsid w:val="007C07E8"/>
    <w:rsid w:val="007C1C3E"/>
    <w:rsid w:val="007C1EAA"/>
    <w:rsid w:val="007C1F29"/>
    <w:rsid w:val="007C2997"/>
    <w:rsid w:val="007C2F7D"/>
    <w:rsid w:val="007C30B4"/>
    <w:rsid w:val="007C384E"/>
    <w:rsid w:val="007C3D75"/>
    <w:rsid w:val="007C415F"/>
    <w:rsid w:val="007C42C6"/>
    <w:rsid w:val="007C5333"/>
    <w:rsid w:val="007C53F9"/>
    <w:rsid w:val="007C57A6"/>
    <w:rsid w:val="007C5962"/>
    <w:rsid w:val="007C5B13"/>
    <w:rsid w:val="007C5E6E"/>
    <w:rsid w:val="007C66B9"/>
    <w:rsid w:val="007C67CA"/>
    <w:rsid w:val="007C6933"/>
    <w:rsid w:val="007C6C12"/>
    <w:rsid w:val="007C6E3B"/>
    <w:rsid w:val="007C7404"/>
    <w:rsid w:val="007C7787"/>
    <w:rsid w:val="007D040E"/>
    <w:rsid w:val="007D067A"/>
    <w:rsid w:val="007D07FF"/>
    <w:rsid w:val="007D1090"/>
    <w:rsid w:val="007D2BAF"/>
    <w:rsid w:val="007D2E02"/>
    <w:rsid w:val="007D315C"/>
    <w:rsid w:val="007D3322"/>
    <w:rsid w:val="007D3FFF"/>
    <w:rsid w:val="007D4599"/>
    <w:rsid w:val="007D53F7"/>
    <w:rsid w:val="007D583C"/>
    <w:rsid w:val="007D5BD6"/>
    <w:rsid w:val="007D6511"/>
    <w:rsid w:val="007D7243"/>
    <w:rsid w:val="007D72C2"/>
    <w:rsid w:val="007D778B"/>
    <w:rsid w:val="007D7B37"/>
    <w:rsid w:val="007D7C9C"/>
    <w:rsid w:val="007D7E4A"/>
    <w:rsid w:val="007E089C"/>
    <w:rsid w:val="007E0C87"/>
    <w:rsid w:val="007E2131"/>
    <w:rsid w:val="007E2241"/>
    <w:rsid w:val="007E246B"/>
    <w:rsid w:val="007E2854"/>
    <w:rsid w:val="007E2CBD"/>
    <w:rsid w:val="007E2CF0"/>
    <w:rsid w:val="007E330C"/>
    <w:rsid w:val="007E355A"/>
    <w:rsid w:val="007E36D9"/>
    <w:rsid w:val="007E3B17"/>
    <w:rsid w:val="007E3BD2"/>
    <w:rsid w:val="007E430D"/>
    <w:rsid w:val="007E46D5"/>
    <w:rsid w:val="007E47FE"/>
    <w:rsid w:val="007E4B24"/>
    <w:rsid w:val="007E5248"/>
    <w:rsid w:val="007E529A"/>
    <w:rsid w:val="007E5322"/>
    <w:rsid w:val="007E56E3"/>
    <w:rsid w:val="007E7DFB"/>
    <w:rsid w:val="007F018D"/>
    <w:rsid w:val="007F092A"/>
    <w:rsid w:val="007F136E"/>
    <w:rsid w:val="007F16AB"/>
    <w:rsid w:val="007F174C"/>
    <w:rsid w:val="007F19FF"/>
    <w:rsid w:val="007F1D68"/>
    <w:rsid w:val="007F1FBE"/>
    <w:rsid w:val="007F2421"/>
    <w:rsid w:val="007F287A"/>
    <w:rsid w:val="007F2AB5"/>
    <w:rsid w:val="007F38C3"/>
    <w:rsid w:val="007F3989"/>
    <w:rsid w:val="007F4049"/>
    <w:rsid w:val="007F4146"/>
    <w:rsid w:val="007F5134"/>
    <w:rsid w:val="007F57B2"/>
    <w:rsid w:val="007F58FD"/>
    <w:rsid w:val="007F5F0E"/>
    <w:rsid w:val="007F6142"/>
    <w:rsid w:val="007F6150"/>
    <w:rsid w:val="007F6F76"/>
    <w:rsid w:val="007F7A15"/>
    <w:rsid w:val="008001C4"/>
    <w:rsid w:val="008004AD"/>
    <w:rsid w:val="0080062D"/>
    <w:rsid w:val="00801749"/>
    <w:rsid w:val="00801EAC"/>
    <w:rsid w:val="00801F3E"/>
    <w:rsid w:val="008038F8"/>
    <w:rsid w:val="00805295"/>
    <w:rsid w:val="00805E21"/>
    <w:rsid w:val="00805E25"/>
    <w:rsid w:val="00805FFC"/>
    <w:rsid w:val="008062E6"/>
    <w:rsid w:val="008068DB"/>
    <w:rsid w:val="00806FEE"/>
    <w:rsid w:val="008070D2"/>
    <w:rsid w:val="0080753A"/>
    <w:rsid w:val="00807AC2"/>
    <w:rsid w:val="00807B55"/>
    <w:rsid w:val="00807D4D"/>
    <w:rsid w:val="00807E15"/>
    <w:rsid w:val="00810604"/>
    <w:rsid w:val="008116E9"/>
    <w:rsid w:val="00811BCF"/>
    <w:rsid w:val="008120C6"/>
    <w:rsid w:val="00812824"/>
    <w:rsid w:val="00812839"/>
    <w:rsid w:val="008129D0"/>
    <w:rsid w:val="00812DEE"/>
    <w:rsid w:val="008131D6"/>
    <w:rsid w:val="00813B25"/>
    <w:rsid w:val="00814281"/>
    <w:rsid w:val="00814480"/>
    <w:rsid w:val="00814918"/>
    <w:rsid w:val="0081505B"/>
    <w:rsid w:val="008150E3"/>
    <w:rsid w:val="008158F0"/>
    <w:rsid w:val="00815DC4"/>
    <w:rsid w:val="00815E1E"/>
    <w:rsid w:val="00815FDA"/>
    <w:rsid w:val="008167A8"/>
    <w:rsid w:val="00816A4A"/>
    <w:rsid w:val="00816E3F"/>
    <w:rsid w:val="00817416"/>
    <w:rsid w:val="00817AA6"/>
    <w:rsid w:val="008211B6"/>
    <w:rsid w:val="0082188B"/>
    <w:rsid w:val="00822CB5"/>
    <w:rsid w:val="00823681"/>
    <w:rsid w:val="0082373D"/>
    <w:rsid w:val="00823982"/>
    <w:rsid w:val="00823A70"/>
    <w:rsid w:val="00824E8F"/>
    <w:rsid w:val="008254A6"/>
    <w:rsid w:val="0082599E"/>
    <w:rsid w:val="00825A86"/>
    <w:rsid w:val="00826A06"/>
    <w:rsid w:val="00826A71"/>
    <w:rsid w:val="00826BB5"/>
    <w:rsid w:val="0082742D"/>
    <w:rsid w:val="00827549"/>
    <w:rsid w:val="0082767C"/>
    <w:rsid w:val="00827A5B"/>
    <w:rsid w:val="00827F03"/>
    <w:rsid w:val="00830506"/>
    <w:rsid w:val="00830606"/>
    <w:rsid w:val="00831798"/>
    <w:rsid w:val="00831A4B"/>
    <w:rsid w:val="00831BF3"/>
    <w:rsid w:val="00832180"/>
    <w:rsid w:val="00832563"/>
    <w:rsid w:val="00832BED"/>
    <w:rsid w:val="00833113"/>
    <w:rsid w:val="0083366D"/>
    <w:rsid w:val="00833E3F"/>
    <w:rsid w:val="00834967"/>
    <w:rsid w:val="008367A0"/>
    <w:rsid w:val="00837158"/>
    <w:rsid w:val="008374AB"/>
    <w:rsid w:val="00837542"/>
    <w:rsid w:val="00840597"/>
    <w:rsid w:val="0084059E"/>
    <w:rsid w:val="008405C9"/>
    <w:rsid w:val="00841692"/>
    <w:rsid w:val="00841762"/>
    <w:rsid w:val="00841E24"/>
    <w:rsid w:val="008431BA"/>
    <w:rsid w:val="00843218"/>
    <w:rsid w:val="008435CD"/>
    <w:rsid w:val="008439DF"/>
    <w:rsid w:val="00843D25"/>
    <w:rsid w:val="00843DA4"/>
    <w:rsid w:val="00843EBA"/>
    <w:rsid w:val="00844285"/>
    <w:rsid w:val="00844E6D"/>
    <w:rsid w:val="0084612D"/>
    <w:rsid w:val="008467EA"/>
    <w:rsid w:val="00846AF8"/>
    <w:rsid w:val="0084781A"/>
    <w:rsid w:val="00847E13"/>
    <w:rsid w:val="0085058F"/>
    <w:rsid w:val="008509FD"/>
    <w:rsid w:val="00851290"/>
    <w:rsid w:val="00851409"/>
    <w:rsid w:val="00851B44"/>
    <w:rsid w:val="00853F70"/>
    <w:rsid w:val="00854031"/>
    <w:rsid w:val="00854220"/>
    <w:rsid w:val="00855357"/>
    <w:rsid w:val="008553B4"/>
    <w:rsid w:val="00855522"/>
    <w:rsid w:val="008555A2"/>
    <w:rsid w:val="0085566D"/>
    <w:rsid w:val="008556A1"/>
    <w:rsid w:val="008557B0"/>
    <w:rsid w:val="00855A68"/>
    <w:rsid w:val="00855C45"/>
    <w:rsid w:val="00855ED9"/>
    <w:rsid w:val="008561C4"/>
    <w:rsid w:val="00856253"/>
    <w:rsid w:val="0085655E"/>
    <w:rsid w:val="00856725"/>
    <w:rsid w:val="00860977"/>
    <w:rsid w:val="00860A2B"/>
    <w:rsid w:val="008615A9"/>
    <w:rsid w:val="0086196C"/>
    <w:rsid w:val="00863BA5"/>
    <w:rsid w:val="00863E41"/>
    <w:rsid w:val="008641E8"/>
    <w:rsid w:val="00864C48"/>
    <w:rsid w:val="0086515C"/>
    <w:rsid w:val="00865F7E"/>
    <w:rsid w:val="008661CE"/>
    <w:rsid w:val="0086625E"/>
    <w:rsid w:val="0086658E"/>
    <w:rsid w:val="00866EC4"/>
    <w:rsid w:val="00867113"/>
    <w:rsid w:val="008675AD"/>
    <w:rsid w:val="00867CEA"/>
    <w:rsid w:val="0087050B"/>
    <w:rsid w:val="008706FB"/>
    <w:rsid w:val="00870763"/>
    <w:rsid w:val="0087169C"/>
    <w:rsid w:val="00871EEA"/>
    <w:rsid w:val="008729BC"/>
    <w:rsid w:val="00872D4D"/>
    <w:rsid w:val="008730BC"/>
    <w:rsid w:val="00873DC6"/>
    <w:rsid w:val="008741B2"/>
    <w:rsid w:val="0087441C"/>
    <w:rsid w:val="00874A07"/>
    <w:rsid w:val="00874C54"/>
    <w:rsid w:val="00875137"/>
    <w:rsid w:val="008765E1"/>
    <w:rsid w:val="008771B2"/>
    <w:rsid w:val="0087778C"/>
    <w:rsid w:val="008778AA"/>
    <w:rsid w:val="00877B50"/>
    <w:rsid w:val="00877D0D"/>
    <w:rsid w:val="00877FA1"/>
    <w:rsid w:val="0088036E"/>
    <w:rsid w:val="00880EB6"/>
    <w:rsid w:val="00880EEA"/>
    <w:rsid w:val="00880F04"/>
    <w:rsid w:val="008815C2"/>
    <w:rsid w:val="00881E08"/>
    <w:rsid w:val="008825A2"/>
    <w:rsid w:val="0088285C"/>
    <w:rsid w:val="0088330C"/>
    <w:rsid w:val="0088351A"/>
    <w:rsid w:val="00883CD0"/>
    <w:rsid w:val="00883D78"/>
    <w:rsid w:val="00884233"/>
    <w:rsid w:val="00884742"/>
    <w:rsid w:val="00884DDC"/>
    <w:rsid w:val="0088503D"/>
    <w:rsid w:val="00885AFE"/>
    <w:rsid w:val="00885C9D"/>
    <w:rsid w:val="0088678F"/>
    <w:rsid w:val="00886934"/>
    <w:rsid w:val="00886DFC"/>
    <w:rsid w:val="00887019"/>
    <w:rsid w:val="00887825"/>
    <w:rsid w:val="00887F1F"/>
    <w:rsid w:val="00890511"/>
    <w:rsid w:val="0089062C"/>
    <w:rsid w:val="00890754"/>
    <w:rsid w:val="00890E93"/>
    <w:rsid w:val="00890F0E"/>
    <w:rsid w:val="0089129E"/>
    <w:rsid w:val="008925A5"/>
    <w:rsid w:val="0089269D"/>
    <w:rsid w:val="00892854"/>
    <w:rsid w:val="0089285E"/>
    <w:rsid w:val="00893330"/>
    <w:rsid w:val="00893A71"/>
    <w:rsid w:val="00893D03"/>
    <w:rsid w:val="008943AE"/>
    <w:rsid w:val="00894489"/>
    <w:rsid w:val="008944D0"/>
    <w:rsid w:val="00894509"/>
    <w:rsid w:val="00894629"/>
    <w:rsid w:val="00895109"/>
    <w:rsid w:val="00895AD6"/>
    <w:rsid w:val="00895D07"/>
    <w:rsid w:val="0089660F"/>
    <w:rsid w:val="00896BD1"/>
    <w:rsid w:val="00896D82"/>
    <w:rsid w:val="00897028"/>
    <w:rsid w:val="0089758A"/>
    <w:rsid w:val="008975F3"/>
    <w:rsid w:val="00897918"/>
    <w:rsid w:val="00897EAC"/>
    <w:rsid w:val="008A0539"/>
    <w:rsid w:val="008A0E52"/>
    <w:rsid w:val="008A1110"/>
    <w:rsid w:val="008A1168"/>
    <w:rsid w:val="008A17F6"/>
    <w:rsid w:val="008A2357"/>
    <w:rsid w:val="008A2E95"/>
    <w:rsid w:val="008A34B9"/>
    <w:rsid w:val="008A45BA"/>
    <w:rsid w:val="008A4BFF"/>
    <w:rsid w:val="008A61D7"/>
    <w:rsid w:val="008A672B"/>
    <w:rsid w:val="008A7639"/>
    <w:rsid w:val="008A7A00"/>
    <w:rsid w:val="008A7C71"/>
    <w:rsid w:val="008A7C87"/>
    <w:rsid w:val="008B085E"/>
    <w:rsid w:val="008B0D93"/>
    <w:rsid w:val="008B1D58"/>
    <w:rsid w:val="008B2A83"/>
    <w:rsid w:val="008B3484"/>
    <w:rsid w:val="008B37F0"/>
    <w:rsid w:val="008B3C27"/>
    <w:rsid w:val="008B49F6"/>
    <w:rsid w:val="008B4AE9"/>
    <w:rsid w:val="008B4FCC"/>
    <w:rsid w:val="008B601E"/>
    <w:rsid w:val="008B638C"/>
    <w:rsid w:val="008B668F"/>
    <w:rsid w:val="008B6F21"/>
    <w:rsid w:val="008B7410"/>
    <w:rsid w:val="008B7507"/>
    <w:rsid w:val="008B7D92"/>
    <w:rsid w:val="008B7DC2"/>
    <w:rsid w:val="008C0168"/>
    <w:rsid w:val="008C05DD"/>
    <w:rsid w:val="008C07D7"/>
    <w:rsid w:val="008C09DC"/>
    <w:rsid w:val="008C11AB"/>
    <w:rsid w:val="008C1E7A"/>
    <w:rsid w:val="008C1ECC"/>
    <w:rsid w:val="008C1EEA"/>
    <w:rsid w:val="008C2500"/>
    <w:rsid w:val="008C2EEE"/>
    <w:rsid w:val="008C3521"/>
    <w:rsid w:val="008C385D"/>
    <w:rsid w:val="008C38D1"/>
    <w:rsid w:val="008C3987"/>
    <w:rsid w:val="008C3F13"/>
    <w:rsid w:val="008C3F1E"/>
    <w:rsid w:val="008C4342"/>
    <w:rsid w:val="008C4A76"/>
    <w:rsid w:val="008C54F8"/>
    <w:rsid w:val="008C555E"/>
    <w:rsid w:val="008C559A"/>
    <w:rsid w:val="008C55E3"/>
    <w:rsid w:val="008C5EAB"/>
    <w:rsid w:val="008C5F24"/>
    <w:rsid w:val="008C606A"/>
    <w:rsid w:val="008C6A81"/>
    <w:rsid w:val="008C7D1D"/>
    <w:rsid w:val="008C7EFE"/>
    <w:rsid w:val="008D0154"/>
    <w:rsid w:val="008D02BD"/>
    <w:rsid w:val="008D04DB"/>
    <w:rsid w:val="008D05BF"/>
    <w:rsid w:val="008D07DA"/>
    <w:rsid w:val="008D08F6"/>
    <w:rsid w:val="008D0D57"/>
    <w:rsid w:val="008D13E2"/>
    <w:rsid w:val="008D1AE5"/>
    <w:rsid w:val="008D1E33"/>
    <w:rsid w:val="008D22D7"/>
    <w:rsid w:val="008D395B"/>
    <w:rsid w:val="008D3C60"/>
    <w:rsid w:val="008D3E01"/>
    <w:rsid w:val="008D4366"/>
    <w:rsid w:val="008D4971"/>
    <w:rsid w:val="008D4C90"/>
    <w:rsid w:val="008D58AC"/>
    <w:rsid w:val="008D597F"/>
    <w:rsid w:val="008D61F5"/>
    <w:rsid w:val="008D6B23"/>
    <w:rsid w:val="008D7236"/>
    <w:rsid w:val="008D7CF0"/>
    <w:rsid w:val="008D7D8A"/>
    <w:rsid w:val="008D7F38"/>
    <w:rsid w:val="008E027F"/>
    <w:rsid w:val="008E1E86"/>
    <w:rsid w:val="008E1E92"/>
    <w:rsid w:val="008E1ED7"/>
    <w:rsid w:val="008E216E"/>
    <w:rsid w:val="008E2318"/>
    <w:rsid w:val="008E2FFE"/>
    <w:rsid w:val="008E33E3"/>
    <w:rsid w:val="008E386E"/>
    <w:rsid w:val="008E3FD4"/>
    <w:rsid w:val="008E437D"/>
    <w:rsid w:val="008E4C9E"/>
    <w:rsid w:val="008E4E55"/>
    <w:rsid w:val="008E4FED"/>
    <w:rsid w:val="008E544E"/>
    <w:rsid w:val="008E5673"/>
    <w:rsid w:val="008E5E8F"/>
    <w:rsid w:val="008E6644"/>
    <w:rsid w:val="008E69D8"/>
    <w:rsid w:val="008E72B0"/>
    <w:rsid w:val="008E7604"/>
    <w:rsid w:val="008E77ED"/>
    <w:rsid w:val="008E7BD8"/>
    <w:rsid w:val="008E7D92"/>
    <w:rsid w:val="008F0476"/>
    <w:rsid w:val="008F072A"/>
    <w:rsid w:val="008F0EE6"/>
    <w:rsid w:val="008F2A46"/>
    <w:rsid w:val="008F323E"/>
    <w:rsid w:val="008F32A5"/>
    <w:rsid w:val="008F47F2"/>
    <w:rsid w:val="008F4BED"/>
    <w:rsid w:val="008F552D"/>
    <w:rsid w:val="008F577F"/>
    <w:rsid w:val="008F61C8"/>
    <w:rsid w:val="008F6BDC"/>
    <w:rsid w:val="008F702B"/>
    <w:rsid w:val="008F70BD"/>
    <w:rsid w:val="008F7C60"/>
    <w:rsid w:val="009006EB"/>
    <w:rsid w:val="00900991"/>
    <w:rsid w:val="00900BE2"/>
    <w:rsid w:val="00900EDC"/>
    <w:rsid w:val="00901620"/>
    <w:rsid w:val="00901B27"/>
    <w:rsid w:val="009023A7"/>
    <w:rsid w:val="0090278D"/>
    <w:rsid w:val="0090285F"/>
    <w:rsid w:val="00902C72"/>
    <w:rsid w:val="00903740"/>
    <w:rsid w:val="00903757"/>
    <w:rsid w:val="00903D41"/>
    <w:rsid w:val="00904549"/>
    <w:rsid w:val="00904583"/>
    <w:rsid w:val="0090492B"/>
    <w:rsid w:val="00904F4A"/>
    <w:rsid w:val="00905079"/>
    <w:rsid w:val="00905C9B"/>
    <w:rsid w:val="00907479"/>
    <w:rsid w:val="009103FF"/>
    <w:rsid w:val="009105B4"/>
    <w:rsid w:val="00910935"/>
    <w:rsid w:val="0091123A"/>
    <w:rsid w:val="0091208B"/>
    <w:rsid w:val="0091274F"/>
    <w:rsid w:val="00912A24"/>
    <w:rsid w:val="00912C68"/>
    <w:rsid w:val="00912D40"/>
    <w:rsid w:val="00913400"/>
    <w:rsid w:val="00913975"/>
    <w:rsid w:val="00913DD4"/>
    <w:rsid w:val="00914D06"/>
    <w:rsid w:val="00914F18"/>
    <w:rsid w:val="00914F9B"/>
    <w:rsid w:val="00915A5D"/>
    <w:rsid w:val="00915FF6"/>
    <w:rsid w:val="00916163"/>
    <w:rsid w:val="00917C70"/>
    <w:rsid w:val="00917D7C"/>
    <w:rsid w:val="009202B7"/>
    <w:rsid w:val="009212C7"/>
    <w:rsid w:val="0092192B"/>
    <w:rsid w:val="0092286A"/>
    <w:rsid w:val="00923470"/>
    <w:rsid w:val="00924647"/>
    <w:rsid w:val="00924B5B"/>
    <w:rsid w:val="00924FDD"/>
    <w:rsid w:val="0092559B"/>
    <w:rsid w:val="0092559F"/>
    <w:rsid w:val="0092562C"/>
    <w:rsid w:val="0092562E"/>
    <w:rsid w:val="009257EA"/>
    <w:rsid w:val="00925C1C"/>
    <w:rsid w:val="00925E48"/>
    <w:rsid w:val="00926254"/>
    <w:rsid w:val="00926963"/>
    <w:rsid w:val="00926BA7"/>
    <w:rsid w:val="00926E39"/>
    <w:rsid w:val="00926F16"/>
    <w:rsid w:val="00927C68"/>
    <w:rsid w:val="0093077D"/>
    <w:rsid w:val="00931FED"/>
    <w:rsid w:val="00932B78"/>
    <w:rsid w:val="00932DF5"/>
    <w:rsid w:val="00933141"/>
    <w:rsid w:val="0093319C"/>
    <w:rsid w:val="00933428"/>
    <w:rsid w:val="0093632A"/>
    <w:rsid w:val="009368D1"/>
    <w:rsid w:val="009403D8"/>
    <w:rsid w:val="009404AE"/>
    <w:rsid w:val="00941023"/>
    <w:rsid w:val="009414CB"/>
    <w:rsid w:val="00941AAA"/>
    <w:rsid w:val="00941B44"/>
    <w:rsid w:val="00941BB0"/>
    <w:rsid w:val="009423C2"/>
    <w:rsid w:val="009426ED"/>
    <w:rsid w:val="009429E0"/>
    <w:rsid w:val="009431DE"/>
    <w:rsid w:val="0094346A"/>
    <w:rsid w:val="009434B9"/>
    <w:rsid w:val="009438B6"/>
    <w:rsid w:val="00943C4F"/>
    <w:rsid w:val="00943F27"/>
    <w:rsid w:val="009443D8"/>
    <w:rsid w:val="0094498D"/>
    <w:rsid w:val="00944D77"/>
    <w:rsid w:val="00944E53"/>
    <w:rsid w:val="009452AB"/>
    <w:rsid w:val="00945CF2"/>
    <w:rsid w:val="00946661"/>
    <w:rsid w:val="0094785C"/>
    <w:rsid w:val="00950833"/>
    <w:rsid w:val="0095098E"/>
    <w:rsid w:val="009518FE"/>
    <w:rsid w:val="00951D42"/>
    <w:rsid w:val="0095245C"/>
    <w:rsid w:val="00952A7B"/>
    <w:rsid w:val="00952E47"/>
    <w:rsid w:val="0095314E"/>
    <w:rsid w:val="009537CB"/>
    <w:rsid w:val="00953EC4"/>
    <w:rsid w:val="00954B6E"/>
    <w:rsid w:val="00954F1F"/>
    <w:rsid w:val="00955094"/>
    <w:rsid w:val="00955B59"/>
    <w:rsid w:val="00955B9C"/>
    <w:rsid w:val="00955F18"/>
    <w:rsid w:val="00956667"/>
    <w:rsid w:val="00956FEF"/>
    <w:rsid w:val="0095731C"/>
    <w:rsid w:val="00960381"/>
    <w:rsid w:val="00961367"/>
    <w:rsid w:val="009614CC"/>
    <w:rsid w:val="00961564"/>
    <w:rsid w:val="009615A9"/>
    <w:rsid w:val="00961A46"/>
    <w:rsid w:val="00961B76"/>
    <w:rsid w:val="00962464"/>
    <w:rsid w:val="00962C07"/>
    <w:rsid w:val="00962CA6"/>
    <w:rsid w:val="00963361"/>
    <w:rsid w:val="00963843"/>
    <w:rsid w:val="0096387D"/>
    <w:rsid w:val="00964B83"/>
    <w:rsid w:val="00964C96"/>
    <w:rsid w:val="009651CB"/>
    <w:rsid w:val="009661FB"/>
    <w:rsid w:val="009663F8"/>
    <w:rsid w:val="00967382"/>
    <w:rsid w:val="00967A8C"/>
    <w:rsid w:val="00967D2F"/>
    <w:rsid w:val="00970004"/>
    <w:rsid w:val="009704C7"/>
    <w:rsid w:val="00970709"/>
    <w:rsid w:val="00970720"/>
    <w:rsid w:val="009708D6"/>
    <w:rsid w:val="00970D43"/>
    <w:rsid w:val="0097239E"/>
    <w:rsid w:val="0097251A"/>
    <w:rsid w:val="00972FD8"/>
    <w:rsid w:val="009736EF"/>
    <w:rsid w:val="00974795"/>
    <w:rsid w:val="009749F6"/>
    <w:rsid w:val="00974FAE"/>
    <w:rsid w:val="009750B8"/>
    <w:rsid w:val="009757A2"/>
    <w:rsid w:val="009767C5"/>
    <w:rsid w:val="00976840"/>
    <w:rsid w:val="00976A61"/>
    <w:rsid w:val="00977053"/>
    <w:rsid w:val="009772A2"/>
    <w:rsid w:val="009802AA"/>
    <w:rsid w:val="00980EE4"/>
    <w:rsid w:val="0098156B"/>
    <w:rsid w:val="009827BD"/>
    <w:rsid w:val="00982ED9"/>
    <w:rsid w:val="0098321F"/>
    <w:rsid w:val="00983423"/>
    <w:rsid w:val="00984EF8"/>
    <w:rsid w:val="0098519F"/>
    <w:rsid w:val="00985CDC"/>
    <w:rsid w:val="00986577"/>
    <w:rsid w:val="0098668B"/>
    <w:rsid w:val="009869D4"/>
    <w:rsid w:val="00987A91"/>
    <w:rsid w:val="00987E87"/>
    <w:rsid w:val="00990840"/>
    <w:rsid w:val="00990A32"/>
    <w:rsid w:val="00990F8F"/>
    <w:rsid w:val="009912EC"/>
    <w:rsid w:val="00991416"/>
    <w:rsid w:val="009916BD"/>
    <w:rsid w:val="00991907"/>
    <w:rsid w:val="00991E7A"/>
    <w:rsid w:val="009924F6"/>
    <w:rsid w:val="00992C67"/>
    <w:rsid w:val="00992C71"/>
    <w:rsid w:val="00993430"/>
    <w:rsid w:val="009939EA"/>
    <w:rsid w:val="00994467"/>
    <w:rsid w:val="00995330"/>
    <w:rsid w:val="00995376"/>
    <w:rsid w:val="009955FD"/>
    <w:rsid w:val="0099593C"/>
    <w:rsid w:val="00996034"/>
    <w:rsid w:val="00996CA4"/>
    <w:rsid w:val="00996E60"/>
    <w:rsid w:val="0099704F"/>
    <w:rsid w:val="00997892"/>
    <w:rsid w:val="00997C72"/>
    <w:rsid w:val="009A06CD"/>
    <w:rsid w:val="009A0B14"/>
    <w:rsid w:val="009A0CB6"/>
    <w:rsid w:val="009A137F"/>
    <w:rsid w:val="009A178D"/>
    <w:rsid w:val="009A19EE"/>
    <w:rsid w:val="009A20D5"/>
    <w:rsid w:val="009A21F3"/>
    <w:rsid w:val="009A22A7"/>
    <w:rsid w:val="009A2483"/>
    <w:rsid w:val="009A2BA1"/>
    <w:rsid w:val="009A2FF7"/>
    <w:rsid w:val="009A325B"/>
    <w:rsid w:val="009A3D6E"/>
    <w:rsid w:val="009A43A9"/>
    <w:rsid w:val="009A45AE"/>
    <w:rsid w:val="009A4D83"/>
    <w:rsid w:val="009A5122"/>
    <w:rsid w:val="009A5EDB"/>
    <w:rsid w:val="009A6DEC"/>
    <w:rsid w:val="009A6F0D"/>
    <w:rsid w:val="009A710F"/>
    <w:rsid w:val="009A7BE2"/>
    <w:rsid w:val="009B006C"/>
    <w:rsid w:val="009B0574"/>
    <w:rsid w:val="009B073E"/>
    <w:rsid w:val="009B1410"/>
    <w:rsid w:val="009B1594"/>
    <w:rsid w:val="009B19E0"/>
    <w:rsid w:val="009B3733"/>
    <w:rsid w:val="009B39B1"/>
    <w:rsid w:val="009B5388"/>
    <w:rsid w:val="009B5C82"/>
    <w:rsid w:val="009B5C87"/>
    <w:rsid w:val="009B5F79"/>
    <w:rsid w:val="009B6248"/>
    <w:rsid w:val="009B678F"/>
    <w:rsid w:val="009B70D1"/>
    <w:rsid w:val="009B755D"/>
    <w:rsid w:val="009B7647"/>
    <w:rsid w:val="009B7D01"/>
    <w:rsid w:val="009C07D2"/>
    <w:rsid w:val="009C2825"/>
    <w:rsid w:val="009C35F9"/>
    <w:rsid w:val="009C3B81"/>
    <w:rsid w:val="009C3CC6"/>
    <w:rsid w:val="009C5752"/>
    <w:rsid w:val="009C5D51"/>
    <w:rsid w:val="009C6358"/>
    <w:rsid w:val="009C6595"/>
    <w:rsid w:val="009C65B0"/>
    <w:rsid w:val="009C65CB"/>
    <w:rsid w:val="009C76FF"/>
    <w:rsid w:val="009C7F4F"/>
    <w:rsid w:val="009D118E"/>
    <w:rsid w:val="009D2179"/>
    <w:rsid w:val="009D236D"/>
    <w:rsid w:val="009D243E"/>
    <w:rsid w:val="009D2C8B"/>
    <w:rsid w:val="009D3539"/>
    <w:rsid w:val="009D3712"/>
    <w:rsid w:val="009D38EA"/>
    <w:rsid w:val="009D3C92"/>
    <w:rsid w:val="009D4031"/>
    <w:rsid w:val="009D4221"/>
    <w:rsid w:val="009D469A"/>
    <w:rsid w:val="009D60D7"/>
    <w:rsid w:val="009D690C"/>
    <w:rsid w:val="009D697E"/>
    <w:rsid w:val="009D7879"/>
    <w:rsid w:val="009D7928"/>
    <w:rsid w:val="009D7971"/>
    <w:rsid w:val="009D7FDB"/>
    <w:rsid w:val="009E02A9"/>
    <w:rsid w:val="009E0303"/>
    <w:rsid w:val="009E0333"/>
    <w:rsid w:val="009E055F"/>
    <w:rsid w:val="009E0F85"/>
    <w:rsid w:val="009E1A5F"/>
    <w:rsid w:val="009E1EF6"/>
    <w:rsid w:val="009E2279"/>
    <w:rsid w:val="009E2EF2"/>
    <w:rsid w:val="009E30E5"/>
    <w:rsid w:val="009E3C3B"/>
    <w:rsid w:val="009E40FB"/>
    <w:rsid w:val="009E4105"/>
    <w:rsid w:val="009E4502"/>
    <w:rsid w:val="009E491C"/>
    <w:rsid w:val="009E4ACF"/>
    <w:rsid w:val="009E4E4F"/>
    <w:rsid w:val="009E5637"/>
    <w:rsid w:val="009E5690"/>
    <w:rsid w:val="009E5E2C"/>
    <w:rsid w:val="009E6E80"/>
    <w:rsid w:val="009E733F"/>
    <w:rsid w:val="009E773F"/>
    <w:rsid w:val="009F00D0"/>
    <w:rsid w:val="009F0182"/>
    <w:rsid w:val="009F02DC"/>
    <w:rsid w:val="009F093B"/>
    <w:rsid w:val="009F0AF9"/>
    <w:rsid w:val="009F0DE8"/>
    <w:rsid w:val="009F1C53"/>
    <w:rsid w:val="009F1D49"/>
    <w:rsid w:val="009F2078"/>
    <w:rsid w:val="009F239F"/>
    <w:rsid w:val="009F3155"/>
    <w:rsid w:val="009F381D"/>
    <w:rsid w:val="009F3863"/>
    <w:rsid w:val="009F3F22"/>
    <w:rsid w:val="009F4203"/>
    <w:rsid w:val="009F4619"/>
    <w:rsid w:val="009F5130"/>
    <w:rsid w:val="009F569E"/>
    <w:rsid w:val="009F570F"/>
    <w:rsid w:val="009F72A5"/>
    <w:rsid w:val="009F73B5"/>
    <w:rsid w:val="009F7CAB"/>
    <w:rsid w:val="009F7D3C"/>
    <w:rsid w:val="009F7E12"/>
    <w:rsid w:val="009F7F18"/>
    <w:rsid w:val="009F7FBB"/>
    <w:rsid w:val="00A003E0"/>
    <w:rsid w:val="00A0053B"/>
    <w:rsid w:val="00A0076C"/>
    <w:rsid w:val="00A00AB5"/>
    <w:rsid w:val="00A00C56"/>
    <w:rsid w:val="00A00EF0"/>
    <w:rsid w:val="00A01732"/>
    <w:rsid w:val="00A01EDE"/>
    <w:rsid w:val="00A0263B"/>
    <w:rsid w:val="00A02839"/>
    <w:rsid w:val="00A03A29"/>
    <w:rsid w:val="00A03DE1"/>
    <w:rsid w:val="00A04314"/>
    <w:rsid w:val="00A04393"/>
    <w:rsid w:val="00A04612"/>
    <w:rsid w:val="00A04EFA"/>
    <w:rsid w:val="00A051F2"/>
    <w:rsid w:val="00A059D8"/>
    <w:rsid w:val="00A05AF9"/>
    <w:rsid w:val="00A07CD4"/>
    <w:rsid w:val="00A07DF3"/>
    <w:rsid w:val="00A10118"/>
    <w:rsid w:val="00A102DA"/>
    <w:rsid w:val="00A10DEB"/>
    <w:rsid w:val="00A12707"/>
    <w:rsid w:val="00A12DFA"/>
    <w:rsid w:val="00A1330B"/>
    <w:rsid w:val="00A135E2"/>
    <w:rsid w:val="00A13CF6"/>
    <w:rsid w:val="00A13F8F"/>
    <w:rsid w:val="00A14CE7"/>
    <w:rsid w:val="00A15859"/>
    <w:rsid w:val="00A15D80"/>
    <w:rsid w:val="00A161C5"/>
    <w:rsid w:val="00A16469"/>
    <w:rsid w:val="00A1646B"/>
    <w:rsid w:val="00A17151"/>
    <w:rsid w:val="00A20034"/>
    <w:rsid w:val="00A2095C"/>
    <w:rsid w:val="00A20D1B"/>
    <w:rsid w:val="00A20F77"/>
    <w:rsid w:val="00A215F5"/>
    <w:rsid w:val="00A21D50"/>
    <w:rsid w:val="00A22A44"/>
    <w:rsid w:val="00A2367A"/>
    <w:rsid w:val="00A23A91"/>
    <w:rsid w:val="00A242C4"/>
    <w:rsid w:val="00A24779"/>
    <w:rsid w:val="00A24BEB"/>
    <w:rsid w:val="00A25534"/>
    <w:rsid w:val="00A256EC"/>
    <w:rsid w:val="00A259EA"/>
    <w:rsid w:val="00A26F6B"/>
    <w:rsid w:val="00A278C1"/>
    <w:rsid w:val="00A279C1"/>
    <w:rsid w:val="00A27ADA"/>
    <w:rsid w:val="00A305B3"/>
    <w:rsid w:val="00A305DD"/>
    <w:rsid w:val="00A30890"/>
    <w:rsid w:val="00A3135B"/>
    <w:rsid w:val="00A3142E"/>
    <w:rsid w:val="00A31798"/>
    <w:rsid w:val="00A3202B"/>
    <w:rsid w:val="00A339C0"/>
    <w:rsid w:val="00A33CBE"/>
    <w:rsid w:val="00A33DF7"/>
    <w:rsid w:val="00A34F90"/>
    <w:rsid w:val="00A353A4"/>
    <w:rsid w:val="00A35536"/>
    <w:rsid w:val="00A35AC4"/>
    <w:rsid w:val="00A35D73"/>
    <w:rsid w:val="00A36674"/>
    <w:rsid w:val="00A3677B"/>
    <w:rsid w:val="00A37636"/>
    <w:rsid w:val="00A4026D"/>
    <w:rsid w:val="00A4155A"/>
    <w:rsid w:val="00A4157F"/>
    <w:rsid w:val="00A428A9"/>
    <w:rsid w:val="00A43299"/>
    <w:rsid w:val="00A44517"/>
    <w:rsid w:val="00A453B8"/>
    <w:rsid w:val="00A45E78"/>
    <w:rsid w:val="00A466AF"/>
    <w:rsid w:val="00A46CDD"/>
    <w:rsid w:val="00A4789B"/>
    <w:rsid w:val="00A47B51"/>
    <w:rsid w:val="00A50151"/>
    <w:rsid w:val="00A501AC"/>
    <w:rsid w:val="00A507B9"/>
    <w:rsid w:val="00A50EFC"/>
    <w:rsid w:val="00A51E2D"/>
    <w:rsid w:val="00A52C2E"/>
    <w:rsid w:val="00A52FA2"/>
    <w:rsid w:val="00A53A8B"/>
    <w:rsid w:val="00A53B21"/>
    <w:rsid w:val="00A53F30"/>
    <w:rsid w:val="00A54081"/>
    <w:rsid w:val="00A5412B"/>
    <w:rsid w:val="00A5450F"/>
    <w:rsid w:val="00A54826"/>
    <w:rsid w:val="00A54A55"/>
    <w:rsid w:val="00A55174"/>
    <w:rsid w:val="00A56858"/>
    <w:rsid w:val="00A5694E"/>
    <w:rsid w:val="00A56C27"/>
    <w:rsid w:val="00A57767"/>
    <w:rsid w:val="00A57AB7"/>
    <w:rsid w:val="00A60804"/>
    <w:rsid w:val="00A60B0C"/>
    <w:rsid w:val="00A60E02"/>
    <w:rsid w:val="00A60F0C"/>
    <w:rsid w:val="00A60F52"/>
    <w:rsid w:val="00A61057"/>
    <w:rsid w:val="00A610A9"/>
    <w:rsid w:val="00A61892"/>
    <w:rsid w:val="00A61A38"/>
    <w:rsid w:val="00A61A7D"/>
    <w:rsid w:val="00A61CFD"/>
    <w:rsid w:val="00A6208C"/>
    <w:rsid w:val="00A62E75"/>
    <w:rsid w:val="00A63501"/>
    <w:rsid w:val="00A63CDA"/>
    <w:rsid w:val="00A64A88"/>
    <w:rsid w:val="00A64D1D"/>
    <w:rsid w:val="00A657AC"/>
    <w:rsid w:val="00A661A9"/>
    <w:rsid w:val="00A66281"/>
    <w:rsid w:val="00A66600"/>
    <w:rsid w:val="00A668EF"/>
    <w:rsid w:val="00A66AFF"/>
    <w:rsid w:val="00A671E3"/>
    <w:rsid w:val="00A67277"/>
    <w:rsid w:val="00A67CC6"/>
    <w:rsid w:val="00A701A1"/>
    <w:rsid w:val="00A70617"/>
    <w:rsid w:val="00A70836"/>
    <w:rsid w:val="00A710DA"/>
    <w:rsid w:val="00A7231E"/>
    <w:rsid w:val="00A725B7"/>
    <w:rsid w:val="00A72889"/>
    <w:rsid w:val="00A748A8"/>
    <w:rsid w:val="00A74D33"/>
    <w:rsid w:val="00A74E64"/>
    <w:rsid w:val="00A7511E"/>
    <w:rsid w:val="00A755BF"/>
    <w:rsid w:val="00A75728"/>
    <w:rsid w:val="00A761A7"/>
    <w:rsid w:val="00A77316"/>
    <w:rsid w:val="00A774FA"/>
    <w:rsid w:val="00A77AF7"/>
    <w:rsid w:val="00A77BFF"/>
    <w:rsid w:val="00A8060F"/>
    <w:rsid w:val="00A807E1"/>
    <w:rsid w:val="00A80A18"/>
    <w:rsid w:val="00A80E69"/>
    <w:rsid w:val="00A8210C"/>
    <w:rsid w:val="00A82D58"/>
    <w:rsid w:val="00A82D62"/>
    <w:rsid w:val="00A835E0"/>
    <w:rsid w:val="00A836F0"/>
    <w:rsid w:val="00A838D5"/>
    <w:rsid w:val="00A83ED1"/>
    <w:rsid w:val="00A8402E"/>
    <w:rsid w:val="00A84191"/>
    <w:rsid w:val="00A84477"/>
    <w:rsid w:val="00A84A35"/>
    <w:rsid w:val="00A85EFA"/>
    <w:rsid w:val="00A860AB"/>
    <w:rsid w:val="00A8613A"/>
    <w:rsid w:val="00A865C4"/>
    <w:rsid w:val="00A86A59"/>
    <w:rsid w:val="00A86C1F"/>
    <w:rsid w:val="00A877CC"/>
    <w:rsid w:val="00A878D4"/>
    <w:rsid w:val="00A9142F"/>
    <w:rsid w:val="00A91D3C"/>
    <w:rsid w:val="00A91D3D"/>
    <w:rsid w:val="00A9209A"/>
    <w:rsid w:val="00A9268E"/>
    <w:rsid w:val="00A92691"/>
    <w:rsid w:val="00A93432"/>
    <w:rsid w:val="00A947DA"/>
    <w:rsid w:val="00A95022"/>
    <w:rsid w:val="00A9620B"/>
    <w:rsid w:val="00A9646D"/>
    <w:rsid w:val="00A972CF"/>
    <w:rsid w:val="00A973E8"/>
    <w:rsid w:val="00A97401"/>
    <w:rsid w:val="00A9765C"/>
    <w:rsid w:val="00A97A9A"/>
    <w:rsid w:val="00AA045C"/>
    <w:rsid w:val="00AA078F"/>
    <w:rsid w:val="00AA0A18"/>
    <w:rsid w:val="00AA144E"/>
    <w:rsid w:val="00AA1568"/>
    <w:rsid w:val="00AA1585"/>
    <w:rsid w:val="00AA1767"/>
    <w:rsid w:val="00AA2247"/>
    <w:rsid w:val="00AA2680"/>
    <w:rsid w:val="00AA269A"/>
    <w:rsid w:val="00AA3360"/>
    <w:rsid w:val="00AA4003"/>
    <w:rsid w:val="00AA59D3"/>
    <w:rsid w:val="00AA60F6"/>
    <w:rsid w:val="00AA65D5"/>
    <w:rsid w:val="00AB0AFA"/>
    <w:rsid w:val="00AB0E95"/>
    <w:rsid w:val="00AB0F88"/>
    <w:rsid w:val="00AB0FCF"/>
    <w:rsid w:val="00AB134B"/>
    <w:rsid w:val="00AB17C6"/>
    <w:rsid w:val="00AB1AD0"/>
    <w:rsid w:val="00AB203C"/>
    <w:rsid w:val="00AB2E34"/>
    <w:rsid w:val="00AB2FA4"/>
    <w:rsid w:val="00AB400F"/>
    <w:rsid w:val="00AB426D"/>
    <w:rsid w:val="00AB4F64"/>
    <w:rsid w:val="00AB536B"/>
    <w:rsid w:val="00AB5C39"/>
    <w:rsid w:val="00AB5E37"/>
    <w:rsid w:val="00AB67DF"/>
    <w:rsid w:val="00AB696D"/>
    <w:rsid w:val="00AB6D1F"/>
    <w:rsid w:val="00AB6D83"/>
    <w:rsid w:val="00AB6DBE"/>
    <w:rsid w:val="00AB7471"/>
    <w:rsid w:val="00AB7A29"/>
    <w:rsid w:val="00AB7A6F"/>
    <w:rsid w:val="00AB7BC1"/>
    <w:rsid w:val="00AB7E3B"/>
    <w:rsid w:val="00AC01AD"/>
    <w:rsid w:val="00AC0E2F"/>
    <w:rsid w:val="00AC0E76"/>
    <w:rsid w:val="00AC1216"/>
    <w:rsid w:val="00AC1607"/>
    <w:rsid w:val="00AC1D91"/>
    <w:rsid w:val="00AC1DFD"/>
    <w:rsid w:val="00AC240E"/>
    <w:rsid w:val="00AC2453"/>
    <w:rsid w:val="00AC2F8F"/>
    <w:rsid w:val="00AC31DF"/>
    <w:rsid w:val="00AC3656"/>
    <w:rsid w:val="00AC3B2F"/>
    <w:rsid w:val="00AC4199"/>
    <w:rsid w:val="00AC41C4"/>
    <w:rsid w:val="00AC5DB3"/>
    <w:rsid w:val="00AC5FBA"/>
    <w:rsid w:val="00AC6435"/>
    <w:rsid w:val="00AC6BFE"/>
    <w:rsid w:val="00AC6CA8"/>
    <w:rsid w:val="00AC7B48"/>
    <w:rsid w:val="00AC7EDA"/>
    <w:rsid w:val="00AD02F4"/>
    <w:rsid w:val="00AD03FE"/>
    <w:rsid w:val="00AD1529"/>
    <w:rsid w:val="00AD1A8B"/>
    <w:rsid w:val="00AD1D71"/>
    <w:rsid w:val="00AD252F"/>
    <w:rsid w:val="00AD26F1"/>
    <w:rsid w:val="00AD33B0"/>
    <w:rsid w:val="00AD3B34"/>
    <w:rsid w:val="00AD3B4A"/>
    <w:rsid w:val="00AD3BD9"/>
    <w:rsid w:val="00AD3E03"/>
    <w:rsid w:val="00AD47B2"/>
    <w:rsid w:val="00AD4876"/>
    <w:rsid w:val="00AD5325"/>
    <w:rsid w:val="00AD5D29"/>
    <w:rsid w:val="00AD61FD"/>
    <w:rsid w:val="00AD6421"/>
    <w:rsid w:val="00AD651A"/>
    <w:rsid w:val="00AD7209"/>
    <w:rsid w:val="00AE060F"/>
    <w:rsid w:val="00AE145F"/>
    <w:rsid w:val="00AE18B8"/>
    <w:rsid w:val="00AE1AEA"/>
    <w:rsid w:val="00AE1B45"/>
    <w:rsid w:val="00AE1B78"/>
    <w:rsid w:val="00AE1C34"/>
    <w:rsid w:val="00AE1E55"/>
    <w:rsid w:val="00AE273D"/>
    <w:rsid w:val="00AE2AFD"/>
    <w:rsid w:val="00AE32DF"/>
    <w:rsid w:val="00AE338A"/>
    <w:rsid w:val="00AE3D9E"/>
    <w:rsid w:val="00AE425B"/>
    <w:rsid w:val="00AE46A7"/>
    <w:rsid w:val="00AE4A57"/>
    <w:rsid w:val="00AE4FE3"/>
    <w:rsid w:val="00AE60B8"/>
    <w:rsid w:val="00AE6956"/>
    <w:rsid w:val="00AE6C69"/>
    <w:rsid w:val="00AE70F8"/>
    <w:rsid w:val="00AE715C"/>
    <w:rsid w:val="00AE768A"/>
    <w:rsid w:val="00AE7745"/>
    <w:rsid w:val="00AE7BC5"/>
    <w:rsid w:val="00AE7FE4"/>
    <w:rsid w:val="00AE7FF1"/>
    <w:rsid w:val="00AF01FC"/>
    <w:rsid w:val="00AF02C2"/>
    <w:rsid w:val="00AF033E"/>
    <w:rsid w:val="00AF12D1"/>
    <w:rsid w:val="00AF26DD"/>
    <w:rsid w:val="00AF2834"/>
    <w:rsid w:val="00AF314C"/>
    <w:rsid w:val="00AF4F81"/>
    <w:rsid w:val="00AF5777"/>
    <w:rsid w:val="00AF5D45"/>
    <w:rsid w:val="00AF602D"/>
    <w:rsid w:val="00AF63CD"/>
    <w:rsid w:val="00AF66B8"/>
    <w:rsid w:val="00AF6890"/>
    <w:rsid w:val="00AF6948"/>
    <w:rsid w:val="00AF6FCA"/>
    <w:rsid w:val="00AF73A3"/>
    <w:rsid w:val="00AF7516"/>
    <w:rsid w:val="00AF7C7B"/>
    <w:rsid w:val="00B000CD"/>
    <w:rsid w:val="00B0076E"/>
    <w:rsid w:val="00B00874"/>
    <w:rsid w:val="00B00ECE"/>
    <w:rsid w:val="00B022F1"/>
    <w:rsid w:val="00B0238A"/>
    <w:rsid w:val="00B02A97"/>
    <w:rsid w:val="00B037A1"/>
    <w:rsid w:val="00B03914"/>
    <w:rsid w:val="00B03FAB"/>
    <w:rsid w:val="00B04051"/>
    <w:rsid w:val="00B04666"/>
    <w:rsid w:val="00B04676"/>
    <w:rsid w:val="00B048FB"/>
    <w:rsid w:val="00B04FEA"/>
    <w:rsid w:val="00B057D6"/>
    <w:rsid w:val="00B05D4A"/>
    <w:rsid w:val="00B078B9"/>
    <w:rsid w:val="00B07ECF"/>
    <w:rsid w:val="00B1066E"/>
    <w:rsid w:val="00B10C67"/>
    <w:rsid w:val="00B10C6D"/>
    <w:rsid w:val="00B11940"/>
    <w:rsid w:val="00B11B57"/>
    <w:rsid w:val="00B12DF0"/>
    <w:rsid w:val="00B1345D"/>
    <w:rsid w:val="00B13473"/>
    <w:rsid w:val="00B13710"/>
    <w:rsid w:val="00B13A2C"/>
    <w:rsid w:val="00B13FEF"/>
    <w:rsid w:val="00B14016"/>
    <w:rsid w:val="00B14579"/>
    <w:rsid w:val="00B14709"/>
    <w:rsid w:val="00B1506B"/>
    <w:rsid w:val="00B15646"/>
    <w:rsid w:val="00B157AC"/>
    <w:rsid w:val="00B15B14"/>
    <w:rsid w:val="00B16024"/>
    <w:rsid w:val="00B167A5"/>
    <w:rsid w:val="00B16BA6"/>
    <w:rsid w:val="00B17543"/>
    <w:rsid w:val="00B213F3"/>
    <w:rsid w:val="00B2242B"/>
    <w:rsid w:val="00B22A2E"/>
    <w:rsid w:val="00B22CB2"/>
    <w:rsid w:val="00B23554"/>
    <w:rsid w:val="00B236E3"/>
    <w:rsid w:val="00B23C38"/>
    <w:rsid w:val="00B23F57"/>
    <w:rsid w:val="00B242F9"/>
    <w:rsid w:val="00B24EAC"/>
    <w:rsid w:val="00B25046"/>
    <w:rsid w:val="00B25621"/>
    <w:rsid w:val="00B25865"/>
    <w:rsid w:val="00B25A86"/>
    <w:rsid w:val="00B267C1"/>
    <w:rsid w:val="00B2689F"/>
    <w:rsid w:val="00B26904"/>
    <w:rsid w:val="00B269A1"/>
    <w:rsid w:val="00B274D9"/>
    <w:rsid w:val="00B27D78"/>
    <w:rsid w:val="00B30A7C"/>
    <w:rsid w:val="00B30BE3"/>
    <w:rsid w:val="00B31AB6"/>
    <w:rsid w:val="00B325B3"/>
    <w:rsid w:val="00B32600"/>
    <w:rsid w:val="00B32B28"/>
    <w:rsid w:val="00B32CF2"/>
    <w:rsid w:val="00B32FA7"/>
    <w:rsid w:val="00B33268"/>
    <w:rsid w:val="00B3355D"/>
    <w:rsid w:val="00B3378F"/>
    <w:rsid w:val="00B337C1"/>
    <w:rsid w:val="00B33A9F"/>
    <w:rsid w:val="00B33B8D"/>
    <w:rsid w:val="00B33C4F"/>
    <w:rsid w:val="00B345BF"/>
    <w:rsid w:val="00B34737"/>
    <w:rsid w:val="00B355D7"/>
    <w:rsid w:val="00B35901"/>
    <w:rsid w:val="00B35BA6"/>
    <w:rsid w:val="00B35BFA"/>
    <w:rsid w:val="00B35DB3"/>
    <w:rsid w:val="00B35EBB"/>
    <w:rsid w:val="00B3623C"/>
    <w:rsid w:val="00B362A3"/>
    <w:rsid w:val="00B3672F"/>
    <w:rsid w:val="00B36A76"/>
    <w:rsid w:val="00B36AF9"/>
    <w:rsid w:val="00B4186C"/>
    <w:rsid w:val="00B4287D"/>
    <w:rsid w:val="00B42DB8"/>
    <w:rsid w:val="00B42E9C"/>
    <w:rsid w:val="00B4453F"/>
    <w:rsid w:val="00B44700"/>
    <w:rsid w:val="00B4495B"/>
    <w:rsid w:val="00B44B92"/>
    <w:rsid w:val="00B45737"/>
    <w:rsid w:val="00B458AE"/>
    <w:rsid w:val="00B45D5F"/>
    <w:rsid w:val="00B464DC"/>
    <w:rsid w:val="00B46C85"/>
    <w:rsid w:val="00B46D8A"/>
    <w:rsid w:val="00B46EDA"/>
    <w:rsid w:val="00B474D0"/>
    <w:rsid w:val="00B47E45"/>
    <w:rsid w:val="00B47EB2"/>
    <w:rsid w:val="00B5025E"/>
    <w:rsid w:val="00B50589"/>
    <w:rsid w:val="00B50B23"/>
    <w:rsid w:val="00B50F3A"/>
    <w:rsid w:val="00B5108F"/>
    <w:rsid w:val="00B51520"/>
    <w:rsid w:val="00B51717"/>
    <w:rsid w:val="00B52178"/>
    <w:rsid w:val="00B5299A"/>
    <w:rsid w:val="00B52F08"/>
    <w:rsid w:val="00B53242"/>
    <w:rsid w:val="00B53794"/>
    <w:rsid w:val="00B542E3"/>
    <w:rsid w:val="00B548E2"/>
    <w:rsid w:val="00B5515D"/>
    <w:rsid w:val="00B55C45"/>
    <w:rsid w:val="00B55C81"/>
    <w:rsid w:val="00B56A88"/>
    <w:rsid w:val="00B577C7"/>
    <w:rsid w:val="00B603FB"/>
    <w:rsid w:val="00B60F21"/>
    <w:rsid w:val="00B615DC"/>
    <w:rsid w:val="00B6165F"/>
    <w:rsid w:val="00B61A53"/>
    <w:rsid w:val="00B62AF0"/>
    <w:rsid w:val="00B62FED"/>
    <w:rsid w:val="00B63091"/>
    <w:rsid w:val="00B633F6"/>
    <w:rsid w:val="00B63420"/>
    <w:rsid w:val="00B63851"/>
    <w:rsid w:val="00B63952"/>
    <w:rsid w:val="00B640FC"/>
    <w:rsid w:val="00B644FB"/>
    <w:rsid w:val="00B65121"/>
    <w:rsid w:val="00B6567F"/>
    <w:rsid w:val="00B65B16"/>
    <w:rsid w:val="00B662BC"/>
    <w:rsid w:val="00B66632"/>
    <w:rsid w:val="00B66A7E"/>
    <w:rsid w:val="00B67E1E"/>
    <w:rsid w:val="00B701B7"/>
    <w:rsid w:val="00B71DCA"/>
    <w:rsid w:val="00B72553"/>
    <w:rsid w:val="00B725C8"/>
    <w:rsid w:val="00B726FE"/>
    <w:rsid w:val="00B7362F"/>
    <w:rsid w:val="00B73D51"/>
    <w:rsid w:val="00B7412E"/>
    <w:rsid w:val="00B74981"/>
    <w:rsid w:val="00B74A82"/>
    <w:rsid w:val="00B74F21"/>
    <w:rsid w:val="00B75019"/>
    <w:rsid w:val="00B7503E"/>
    <w:rsid w:val="00B75180"/>
    <w:rsid w:val="00B751CE"/>
    <w:rsid w:val="00B754FD"/>
    <w:rsid w:val="00B75B26"/>
    <w:rsid w:val="00B75C66"/>
    <w:rsid w:val="00B7639D"/>
    <w:rsid w:val="00B76573"/>
    <w:rsid w:val="00B77452"/>
    <w:rsid w:val="00B77AED"/>
    <w:rsid w:val="00B804E9"/>
    <w:rsid w:val="00B807BB"/>
    <w:rsid w:val="00B81302"/>
    <w:rsid w:val="00B8140D"/>
    <w:rsid w:val="00B8162E"/>
    <w:rsid w:val="00B82D30"/>
    <w:rsid w:val="00B82DE4"/>
    <w:rsid w:val="00B83ACD"/>
    <w:rsid w:val="00B83BE1"/>
    <w:rsid w:val="00B84235"/>
    <w:rsid w:val="00B8446C"/>
    <w:rsid w:val="00B85021"/>
    <w:rsid w:val="00B860E1"/>
    <w:rsid w:val="00B86DF0"/>
    <w:rsid w:val="00B87378"/>
    <w:rsid w:val="00B875EF"/>
    <w:rsid w:val="00B87745"/>
    <w:rsid w:val="00B87BCC"/>
    <w:rsid w:val="00B87C05"/>
    <w:rsid w:val="00B87F86"/>
    <w:rsid w:val="00B900AA"/>
    <w:rsid w:val="00B9033D"/>
    <w:rsid w:val="00B9047D"/>
    <w:rsid w:val="00B90AC8"/>
    <w:rsid w:val="00B91A8B"/>
    <w:rsid w:val="00B91AFA"/>
    <w:rsid w:val="00B92585"/>
    <w:rsid w:val="00B93669"/>
    <w:rsid w:val="00B937CE"/>
    <w:rsid w:val="00B9408A"/>
    <w:rsid w:val="00B94329"/>
    <w:rsid w:val="00B94B25"/>
    <w:rsid w:val="00B95137"/>
    <w:rsid w:val="00B95A1D"/>
    <w:rsid w:val="00B95FD5"/>
    <w:rsid w:val="00B9674C"/>
    <w:rsid w:val="00B96A14"/>
    <w:rsid w:val="00B97691"/>
    <w:rsid w:val="00B97949"/>
    <w:rsid w:val="00BA0A62"/>
    <w:rsid w:val="00BA0BD7"/>
    <w:rsid w:val="00BA13C4"/>
    <w:rsid w:val="00BA161D"/>
    <w:rsid w:val="00BA1E75"/>
    <w:rsid w:val="00BA225C"/>
    <w:rsid w:val="00BA3257"/>
    <w:rsid w:val="00BA32AD"/>
    <w:rsid w:val="00BA34CF"/>
    <w:rsid w:val="00BA34E0"/>
    <w:rsid w:val="00BA3BCA"/>
    <w:rsid w:val="00BA405A"/>
    <w:rsid w:val="00BA416E"/>
    <w:rsid w:val="00BA4396"/>
    <w:rsid w:val="00BA44F2"/>
    <w:rsid w:val="00BA45BF"/>
    <w:rsid w:val="00BA5442"/>
    <w:rsid w:val="00BA5A4F"/>
    <w:rsid w:val="00BA6403"/>
    <w:rsid w:val="00BA6B2F"/>
    <w:rsid w:val="00BA7151"/>
    <w:rsid w:val="00BA7CD6"/>
    <w:rsid w:val="00BB0727"/>
    <w:rsid w:val="00BB1356"/>
    <w:rsid w:val="00BB1525"/>
    <w:rsid w:val="00BB155C"/>
    <w:rsid w:val="00BB1676"/>
    <w:rsid w:val="00BB1EF3"/>
    <w:rsid w:val="00BB29C5"/>
    <w:rsid w:val="00BB367E"/>
    <w:rsid w:val="00BB3807"/>
    <w:rsid w:val="00BB381D"/>
    <w:rsid w:val="00BB3C83"/>
    <w:rsid w:val="00BB458C"/>
    <w:rsid w:val="00BB45B3"/>
    <w:rsid w:val="00BB4B46"/>
    <w:rsid w:val="00BB54E4"/>
    <w:rsid w:val="00BB558D"/>
    <w:rsid w:val="00BB5D8D"/>
    <w:rsid w:val="00BB7319"/>
    <w:rsid w:val="00BB771A"/>
    <w:rsid w:val="00BB7B58"/>
    <w:rsid w:val="00BC09BC"/>
    <w:rsid w:val="00BC12CD"/>
    <w:rsid w:val="00BC1402"/>
    <w:rsid w:val="00BC1558"/>
    <w:rsid w:val="00BC1FCA"/>
    <w:rsid w:val="00BC258E"/>
    <w:rsid w:val="00BC28A9"/>
    <w:rsid w:val="00BC338F"/>
    <w:rsid w:val="00BC44B7"/>
    <w:rsid w:val="00BC4569"/>
    <w:rsid w:val="00BC49E0"/>
    <w:rsid w:val="00BC4B06"/>
    <w:rsid w:val="00BC51B7"/>
    <w:rsid w:val="00BC573E"/>
    <w:rsid w:val="00BC61BE"/>
    <w:rsid w:val="00BC65F2"/>
    <w:rsid w:val="00BC69ED"/>
    <w:rsid w:val="00BC6E04"/>
    <w:rsid w:val="00BC7335"/>
    <w:rsid w:val="00BC736C"/>
    <w:rsid w:val="00BC75AA"/>
    <w:rsid w:val="00BD019A"/>
    <w:rsid w:val="00BD0892"/>
    <w:rsid w:val="00BD20B0"/>
    <w:rsid w:val="00BD21E0"/>
    <w:rsid w:val="00BD28E5"/>
    <w:rsid w:val="00BD311D"/>
    <w:rsid w:val="00BD3EAA"/>
    <w:rsid w:val="00BD4504"/>
    <w:rsid w:val="00BD4642"/>
    <w:rsid w:val="00BD4894"/>
    <w:rsid w:val="00BD4AE8"/>
    <w:rsid w:val="00BD529F"/>
    <w:rsid w:val="00BD5723"/>
    <w:rsid w:val="00BD576D"/>
    <w:rsid w:val="00BD5DEF"/>
    <w:rsid w:val="00BD668E"/>
    <w:rsid w:val="00BD7A09"/>
    <w:rsid w:val="00BE068E"/>
    <w:rsid w:val="00BE0994"/>
    <w:rsid w:val="00BE0B73"/>
    <w:rsid w:val="00BE1492"/>
    <w:rsid w:val="00BE1A9F"/>
    <w:rsid w:val="00BE1E14"/>
    <w:rsid w:val="00BE24E5"/>
    <w:rsid w:val="00BE2A68"/>
    <w:rsid w:val="00BE2D7D"/>
    <w:rsid w:val="00BE352F"/>
    <w:rsid w:val="00BE384B"/>
    <w:rsid w:val="00BE3F06"/>
    <w:rsid w:val="00BE407C"/>
    <w:rsid w:val="00BE50E7"/>
    <w:rsid w:val="00BE5218"/>
    <w:rsid w:val="00BE5518"/>
    <w:rsid w:val="00BE562E"/>
    <w:rsid w:val="00BE5F94"/>
    <w:rsid w:val="00BE5FFE"/>
    <w:rsid w:val="00BE61DD"/>
    <w:rsid w:val="00BF060A"/>
    <w:rsid w:val="00BF06D9"/>
    <w:rsid w:val="00BF1557"/>
    <w:rsid w:val="00BF16E4"/>
    <w:rsid w:val="00BF1937"/>
    <w:rsid w:val="00BF1BC6"/>
    <w:rsid w:val="00BF1BDB"/>
    <w:rsid w:val="00BF1CDE"/>
    <w:rsid w:val="00BF2F69"/>
    <w:rsid w:val="00BF2FE1"/>
    <w:rsid w:val="00BF3280"/>
    <w:rsid w:val="00BF3556"/>
    <w:rsid w:val="00BF37D5"/>
    <w:rsid w:val="00BF4069"/>
    <w:rsid w:val="00BF48C0"/>
    <w:rsid w:val="00BF56C4"/>
    <w:rsid w:val="00BF5EEC"/>
    <w:rsid w:val="00BF61B4"/>
    <w:rsid w:val="00BF6260"/>
    <w:rsid w:val="00BF63CD"/>
    <w:rsid w:val="00BF673E"/>
    <w:rsid w:val="00BF67CD"/>
    <w:rsid w:val="00BF79F2"/>
    <w:rsid w:val="00C00082"/>
    <w:rsid w:val="00C00C4F"/>
    <w:rsid w:val="00C020A6"/>
    <w:rsid w:val="00C02522"/>
    <w:rsid w:val="00C027B4"/>
    <w:rsid w:val="00C0319E"/>
    <w:rsid w:val="00C032C6"/>
    <w:rsid w:val="00C03332"/>
    <w:rsid w:val="00C03409"/>
    <w:rsid w:val="00C034B1"/>
    <w:rsid w:val="00C03B4E"/>
    <w:rsid w:val="00C03CE2"/>
    <w:rsid w:val="00C052F5"/>
    <w:rsid w:val="00C059A3"/>
    <w:rsid w:val="00C06136"/>
    <w:rsid w:val="00C0640C"/>
    <w:rsid w:val="00C06613"/>
    <w:rsid w:val="00C0683E"/>
    <w:rsid w:val="00C06966"/>
    <w:rsid w:val="00C0733F"/>
    <w:rsid w:val="00C07A4A"/>
    <w:rsid w:val="00C104B2"/>
    <w:rsid w:val="00C114BD"/>
    <w:rsid w:val="00C11610"/>
    <w:rsid w:val="00C11978"/>
    <w:rsid w:val="00C11C84"/>
    <w:rsid w:val="00C120F5"/>
    <w:rsid w:val="00C12175"/>
    <w:rsid w:val="00C123A1"/>
    <w:rsid w:val="00C13B10"/>
    <w:rsid w:val="00C14F20"/>
    <w:rsid w:val="00C1574F"/>
    <w:rsid w:val="00C16504"/>
    <w:rsid w:val="00C16928"/>
    <w:rsid w:val="00C17185"/>
    <w:rsid w:val="00C17211"/>
    <w:rsid w:val="00C17CCE"/>
    <w:rsid w:val="00C17D5E"/>
    <w:rsid w:val="00C17DF7"/>
    <w:rsid w:val="00C17FC1"/>
    <w:rsid w:val="00C2003D"/>
    <w:rsid w:val="00C2017D"/>
    <w:rsid w:val="00C203E2"/>
    <w:rsid w:val="00C20AC2"/>
    <w:rsid w:val="00C20F98"/>
    <w:rsid w:val="00C224D2"/>
    <w:rsid w:val="00C2307D"/>
    <w:rsid w:val="00C2356E"/>
    <w:rsid w:val="00C2377D"/>
    <w:rsid w:val="00C23E49"/>
    <w:rsid w:val="00C24060"/>
    <w:rsid w:val="00C2443C"/>
    <w:rsid w:val="00C248E3"/>
    <w:rsid w:val="00C249D7"/>
    <w:rsid w:val="00C24CA6"/>
    <w:rsid w:val="00C25AAC"/>
    <w:rsid w:val="00C270DF"/>
    <w:rsid w:val="00C275EA"/>
    <w:rsid w:val="00C278DA"/>
    <w:rsid w:val="00C27E78"/>
    <w:rsid w:val="00C30130"/>
    <w:rsid w:val="00C301BC"/>
    <w:rsid w:val="00C30DB2"/>
    <w:rsid w:val="00C30E34"/>
    <w:rsid w:val="00C31439"/>
    <w:rsid w:val="00C3147B"/>
    <w:rsid w:val="00C31E9A"/>
    <w:rsid w:val="00C31E9C"/>
    <w:rsid w:val="00C3205C"/>
    <w:rsid w:val="00C320DD"/>
    <w:rsid w:val="00C32FBC"/>
    <w:rsid w:val="00C33AD7"/>
    <w:rsid w:val="00C33BF8"/>
    <w:rsid w:val="00C3579F"/>
    <w:rsid w:val="00C359B2"/>
    <w:rsid w:val="00C36102"/>
    <w:rsid w:val="00C370B8"/>
    <w:rsid w:val="00C3785D"/>
    <w:rsid w:val="00C40326"/>
    <w:rsid w:val="00C403A6"/>
    <w:rsid w:val="00C404B8"/>
    <w:rsid w:val="00C40C01"/>
    <w:rsid w:val="00C41CDE"/>
    <w:rsid w:val="00C41DA7"/>
    <w:rsid w:val="00C41E92"/>
    <w:rsid w:val="00C42096"/>
    <w:rsid w:val="00C42245"/>
    <w:rsid w:val="00C4349C"/>
    <w:rsid w:val="00C448F4"/>
    <w:rsid w:val="00C44BC7"/>
    <w:rsid w:val="00C45534"/>
    <w:rsid w:val="00C45BD2"/>
    <w:rsid w:val="00C45DD8"/>
    <w:rsid w:val="00C45E29"/>
    <w:rsid w:val="00C46B95"/>
    <w:rsid w:val="00C46F0A"/>
    <w:rsid w:val="00C47275"/>
    <w:rsid w:val="00C475A4"/>
    <w:rsid w:val="00C476AD"/>
    <w:rsid w:val="00C476EA"/>
    <w:rsid w:val="00C50077"/>
    <w:rsid w:val="00C500B5"/>
    <w:rsid w:val="00C502B0"/>
    <w:rsid w:val="00C50B83"/>
    <w:rsid w:val="00C50E1E"/>
    <w:rsid w:val="00C51305"/>
    <w:rsid w:val="00C513D4"/>
    <w:rsid w:val="00C52D06"/>
    <w:rsid w:val="00C537AC"/>
    <w:rsid w:val="00C53C89"/>
    <w:rsid w:val="00C540B8"/>
    <w:rsid w:val="00C54306"/>
    <w:rsid w:val="00C546B9"/>
    <w:rsid w:val="00C54934"/>
    <w:rsid w:val="00C54E0A"/>
    <w:rsid w:val="00C5513E"/>
    <w:rsid w:val="00C5526D"/>
    <w:rsid w:val="00C55D11"/>
    <w:rsid w:val="00C55FD4"/>
    <w:rsid w:val="00C56080"/>
    <w:rsid w:val="00C56167"/>
    <w:rsid w:val="00C566D8"/>
    <w:rsid w:val="00C56E76"/>
    <w:rsid w:val="00C57001"/>
    <w:rsid w:val="00C57690"/>
    <w:rsid w:val="00C57C57"/>
    <w:rsid w:val="00C604D0"/>
    <w:rsid w:val="00C60A14"/>
    <w:rsid w:val="00C60D7C"/>
    <w:rsid w:val="00C61F77"/>
    <w:rsid w:val="00C6206A"/>
    <w:rsid w:val="00C6257C"/>
    <w:rsid w:val="00C628D6"/>
    <w:rsid w:val="00C63059"/>
    <w:rsid w:val="00C6338C"/>
    <w:rsid w:val="00C63475"/>
    <w:rsid w:val="00C638C0"/>
    <w:rsid w:val="00C641E9"/>
    <w:rsid w:val="00C642A9"/>
    <w:rsid w:val="00C651FF"/>
    <w:rsid w:val="00C65CA4"/>
    <w:rsid w:val="00C65F39"/>
    <w:rsid w:val="00C66EE8"/>
    <w:rsid w:val="00C67452"/>
    <w:rsid w:val="00C676EF"/>
    <w:rsid w:val="00C677D9"/>
    <w:rsid w:val="00C6783F"/>
    <w:rsid w:val="00C704DB"/>
    <w:rsid w:val="00C70B91"/>
    <w:rsid w:val="00C70F93"/>
    <w:rsid w:val="00C71067"/>
    <w:rsid w:val="00C7137E"/>
    <w:rsid w:val="00C7146C"/>
    <w:rsid w:val="00C714D0"/>
    <w:rsid w:val="00C715CD"/>
    <w:rsid w:val="00C72069"/>
    <w:rsid w:val="00C725E8"/>
    <w:rsid w:val="00C727F5"/>
    <w:rsid w:val="00C7281A"/>
    <w:rsid w:val="00C72BF2"/>
    <w:rsid w:val="00C73DE2"/>
    <w:rsid w:val="00C73F14"/>
    <w:rsid w:val="00C73F21"/>
    <w:rsid w:val="00C7422A"/>
    <w:rsid w:val="00C7462D"/>
    <w:rsid w:val="00C74CD1"/>
    <w:rsid w:val="00C74DC0"/>
    <w:rsid w:val="00C759C9"/>
    <w:rsid w:val="00C75CAD"/>
    <w:rsid w:val="00C76308"/>
    <w:rsid w:val="00C76E18"/>
    <w:rsid w:val="00C76FB0"/>
    <w:rsid w:val="00C77C82"/>
    <w:rsid w:val="00C80C99"/>
    <w:rsid w:val="00C810D0"/>
    <w:rsid w:val="00C816AA"/>
    <w:rsid w:val="00C819AD"/>
    <w:rsid w:val="00C81CF9"/>
    <w:rsid w:val="00C81F31"/>
    <w:rsid w:val="00C82CED"/>
    <w:rsid w:val="00C835A5"/>
    <w:rsid w:val="00C84085"/>
    <w:rsid w:val="00C84306"/>
    <w:rsid w:val="00C84514"/>
    <w:rsid w:val="00C84680"/>
    <w:rsid w:val="00C84F76"/>
    <w:rsid w:val="00C85270"/>
    <w:rsid w:val="00C85989"/>
    <w:rsid w:val="00C859D7"/>
    <w:rsid w:val="00C86A10"/>
    <w:rsid w:val="00C8764A"/>
    <w:rsid w:val="00C879A0"/>
    <w:rsid w:val="00C87C9E"/>
    <w:rsid w:val="00C87D51"/>
    <w:rsid w:val="00C90ECC"/>
    <w:rsid w:val="00C91569"/>
    <w:rsid w:val="00C9157E"/>
    <w:rsid w:val="00C92AC1"/>
    <w:rsid w:val="00C92FEA"/>
    <w:rsid w:val="00C9387D"/>
    <w:rsid w:val="00C94533"/>
    <w:rsid w:val="00C9682A"/>
    <w:rsid w:val="00C975AE"/>
    <w:rsid w:val="00C97960"/>
    <w:rsid w:val="00CA0061"/>
    <w:rsid w:val="00CA065B"/>
    <w:rsid w:val="00CA0710"/>
    <w:rsid w:val="00CA24A3"/>
    <w:rsid w:val="00CA29E0"/>
    <w:rsid w:val="00CA2BCE"/>
    <w:rsid w:val="00CA2C7A"/>
    <w:rsid w:val="00CA36C4"/>
    <w:rsid w:val="00CA4159"/>
    <w:rsid w:val="00CA5FE8"/>
    <w:rsid w:val="00CA6469"/>
    <w:rsid w:val="00CA6670"/>
    <w:rsid w:val="00CA6E57"/>
    <w:rsid w:val="00CA7EC4"/>
    <w:rsid w:val="00CB010F"/>
    <w:rsid w:val="00CB0BE0"/>
    <w:rsid w:val="00CB1837"/>
    <w:rsid w:val="00CB18D0"/>
    <w:rsid w:val="00CB1AA3"/>
    <w:rsid w:val="00CB2B57"/>
    <w:rsid w:val="00CB2F62"/>
    <w:rsid w:val="00CB3418"/>
    <w:rsid w:val="00CB454C"/>
    <w:rsid w:val="00CB5076"/>
    <w:rsid w:val="00CB52E5"/>
    <w:rsid w:val="00CB5611"/>
    <w:rsid w:val="00CB591A"/>
    <w:rsid w:val="00CB5FB2"/>
    <w:rsid w:val="00CB6B0A"/>
    <w:rsid w:val="00CB71F4"/>
    <w:rsid w:val="00CB729D"/>
    <w:rsid w:val="00CB7341"/>
    <w:rsid w:val="00CB7698"/>
    <w:rsid w:val="00CB78AE"/>
    <w:rsid w:val="00CB799A"/>
    <w:rsid w:val="00CC007D"/>
    <w:rsid w:val="00CC0711"/>
    <w:rsid w:val="00CC143F"/>
    <w:rsid w:val="00CC1FE6"/>
    <w:rsid w:val="00CC2DEC"/>
    <w:rsid w:val="00CC301A"/>
    <w:rsid w:val="00CC38EB"/>
    <w:rsid w:val="00CC3CF6"/>
    <w:rsid w:val="00CC41EF"/>
    <w:rsid w:val="00CC42CD"/>
    <w:rsid w:val="00CC4D68"/>
    <w:rsid w:val="00CC5A73"/>
    <w:rsid w:val="00CC62DD"/>
    <w:rsid w:val="00CC6441"/>
    <w:rsid w:val="00CC66F5"/>
    <w:rsid w:val="00CC67D3"/>
    <w:rsid w:val="00CC67E3"/>
    <w:rsid w:val="00CC6E49"/>
    <w:rsid w:val="00CC6F92"/>
    <w:rsid w:val="00CC74CA"/>
    <w:rsid w:val="00CC78EF"/>
    <w:rsid w:val="00CC7F43"/>
    <w:rsid w:val="00CD044D"/>
    <w:rsid w:val="00CD0E49"/>
    <w:rsid w:val="00CD1273"/>
    <w:rsid w:val="00CD2B1F"/>
    <w:rsid w:val="00CD2B8C"/>
    <w:rsid w:val="00CD2EDF"/>
    <w:rsid w:val="00CD327A"/>
    <w:rsid w:val="00CD33D3"/>
    <w:rsid w:val="00CD3C4E"/>
    <w:rsid w:val="00CD3E86"/>
    <w:rsid w:val="00CD4554"/>
    <w:rsid w:val="00CD45DD"/>
    <w:rsid w:val="00CD4C1E"/>
    <w:rsid w:val="00CD5282"/>
    <w:rsid w:val="00CD52E3"/>
    <w:rsid w:val="00CD53AD"/>
    <w:rsid w:val="00CD53F8"/>
    <w:rsid w:val="00CD586C"/>
    <w:rsid w:val="00CD600D"/>
    <w:rsid w:val="00CD6102"/>
    <w:rsid w:val="00CD634B"/>
    <w:rsid w:val="00CD6550"/>
    <w:rsid w:val="00CD7924"/>
    <w:rsid w:val="00CE0528"/>
    <w:rsid w:val="00CE0A5F"/>
    <w:rsid w:val="00CE0B0D"/>
    <w:rsid w:val="00CE143D"/>
    <w:rsid w:val="00CE1CBD"/>
    <w:rsid w:val="00CE2207"/>
    <w:rsid w:val="00CE28BD"/>
    <w:rsid w:val="00CE33C3"/>
    <w:rsid w:val="00CE34B5"/>
    <w:rsid w:val="00CE3508"/>
    <w:rsid w:val="00CE3EC6"/>
    <w:rsid w:val="00CE45BB"/>
    <w:rsid w:val="00CE46A4"/>
    <w:rsid w:val="00CE50A6"/>
    <w:rsid w:val="00CE57D7"/>
    <w:rsid w:val="00CE5EB9"/>
    <w:rsid w:val="00CE619E"/>
    <w:rsid w:val="00CE7047"/>
    <w:rsid w:val="00CE7503"/>
    <w:rsid w:val="00CE7D7D"/>
    <w:rsid w:val="00CF061E"/>
    <w:rsid w:val="00CF1AA8"/>
    <w:rsid w:val="00CF1AEC"/>
    <w:rsid w:val="00CF3183"/>
    <w:rsid w:val="00CF3194"/>
    <w:rsid w:val="00CF34F6"/>
    <w:rsid w:val="00CF3C4E"/>
    <w:rsid w:val="00CF3F7E"/>
    <w:rsid w:val="00CF41F5"/>
    <w:rsid w:val="00CF5268"/>
    <w:rsid w:val="00CF552F"/>
    <w:rsid w:val="00CF5797"/>
    <w:rsid w:val="00CF597B"/>
    <w:rsid w:val="00CF5986"/>
    <w:rsid w:val="00CF5FD5"/>
    <w:rsid w:val="00CF623A"/>
    <w:rsid w:val="00CF6364"/>
    <w:rsid w:val="00CF64FA"/>
    <w:rsid w:val="00CF78A5"/>
    <w:rsid w:val="00CF7A16"/>
    <w:rsid w:val="00CF7C18"/>
    <w:rsid w:val="00D008F2"/>
    <w:rsid w:val="00D012DA"/>
    <w:rsid w:val="00D018FF"/>
    <w:rsid w:val="00D01C56"/>
    <w:rsid w:val="00D01C6B"/>
    <w:rsid w:val="00D01CF8"/>
    <w:rsid w:val="00D02447"/>
    <w:rsid w:val="00D02892"/>
    <w:rsid w:val="00D02936"/>
    <w:rsid w:val="00D02B79"/>
    <w:rsid w:val="00D0324B"/>
    <w:rsid w:val="00D0350B"/>
    <w:rsid w:val="00D037E8"/>
    <w:rsid w:val="00D039EE"/>
    <w:rsid w:val="00D03B80"/>
    <w:rsid w:val="00D03E24"/>
    <w:rsid w:val="00D0468D"/>
    <w:rsid w:val="00D04D60"/>
    <w:rsid w:val="00D05234"/>
    <w:rsid w:val="00D05A38"/>
    <w:rsid w:val="00D05D43"/>
    <w:rsid w:val="00D05E18"/>
    <w:rsid w:val="00D0606C"/>
    <w:rsid w:val="00D075E9"/>
    <w:rsid w:val="00D10DCD"/>
    <w:rsid w:val="00D1151F"/>
    <w:rsid w:val="00D11D2F"/>
    <w:rsid w:val="00D12424"/>
    <w:rsid w:val="00D1265B"/>
    <w:rsid w:val="00D12DDD"/>
    <w:rsid w:val="00D12ED0"/>
    <w:rsid w:val="00D13595"/>
    <w:rsid w:val="00D13663"/>
    <w:rsid w:val="00D13C12"/>
    <w:rsid w:val="00D1490E"/>
    <w:rsid w:val="00D14BC3"/>
    <w:rsid w:val="00D14CFB"/>
    <w:rsid w:val="00D14EBB"/>
    <w:rsid w:val="00D15094"/>
    <w:rsid w:val="00D1512D"/>
    <w:rsid w:val="00D1587C"/>
    <w:rsid w:val="00D15C87"/>
    <w:rsid w:val="00D16321"/>
    <w:rsid w:val="00D16422"/>
    <w:rsid w:val="00D167E4"/>
    <w:rsid w:val="00D16A42"/>
    <w:rsid w:val="00D16BCB"/>
    <w:rsid w:val="00D1738E"/>
    <w:rsid w:val="00D17A7F"/>
    <w:rsid w:val="00D17BB1"/>
    <w:rsid w:val="00D17DA4"/>
    <w:rsid w:val="00D20362"/>
    <w:rsid w:val="00D203DB"/>
    <w:rsid w:val="00D2074A"/>
    <w:rsid w:val="00D210CA"/>
    <w:rsid w:val="00D21270"/>
    <w:rsid w:val="00D216E3"/>
    <w:rsid w:val="00D21A29"/>
    <w:rsid w:val="00D21D2D"/>
    <w:rsid w:val="00D21D33"/>
    <w:rsid w:val="00D227D4"/>
    <w:rsid w:val="00D22A5C"/>
    <w:rsid w:val="00D232DE"/>
    <w:rsid w:val="00D2348F"/>
    <w:rsid w:val="00D24B23"/>
    <w:rsid w:val="00D256B9"/>
    <w:rsid w:val="00D25C61"/>
    <w:rsid w:val="00D25E29"/>
    <w:rsid w:val="00D25F87"/>
    <w:rsid w:val="00D2600E"/>
    <w:rsid w:val="00D26227"/>
    <w:rsid w:val="00D27508"/>
    <w:rsid w:val="00D278E2"/>
    <w:rsid w:val="00D27C34"/>
    <w:rsid w:val="00D30291"/>
    <w:rsid w:val="00D30416"/>
    <w:rsid w:val="00D305A8"/>
    <w:rsid w:val="00D305AA"/>
    <w:rsid w:val="00D30E05"/>
    <w:rsid w:val="00D31375"/>
    <w:rsid w:val="00D32089"/>
    <w:rsid w:val="00D32170"/>
    <w:rsid w:val="00D3239F"/>
    <w:rsid w:val="00D32701"/>
    <w:rsid w:val="00D32A20"/>
    <w:rsid w:val="00D32EC7"/>
    <w:rsid w:val="00D3340A"/>
    <w:rsid w:val="00D338FF"/>
    <w:rsid w:val="00D339A7"/>
    <w:rsid w:val="00D340FD"/>
    <w:rsid w:val="00D34303"/>
    <w:rsid w:val="00D34AE9"/>
    <w:rsid w:val="00D3554E"/>
    <w:rsid w:val="00D360D5"/>
    <w:rsid w:val="00D365F2"/>
    <w:rsid w:val="00D372D9"/>
    <w:rsid w:val="00D37639"/>
    <w:rsid w:val="00D37F61"/>
    <w:rsid w:val="00D403D2"/>
    <w:rsid w:val="00D404C1"/>
    <w:rsid w:val="00D40B65"/>
    <w:rsid w:val="00D40D6F"/>
    <w:rsid w:val="00D41105"/>
    <w:rsid w:val="00D415FD"/>
    <w:rsid w:val="00D41BD6"/>
    <w:rsid w:val="00D41EB4"/>
    <w:rsid w:val="00D41FC0"/>
    <w:rsid w:val="00D42024"/>
    <w:rsid w:val="00D42389"/>
    <w:rsid w:val="00D42865"/>
    <w:rsid w:val="00D4310F"/>
    <w:rsid w:val="00D436C5"/>
    <w:rsid w:val="00D43B78"/>
    <w:rsid w:val="00D43C11"/>
    <w:rsid w:val="00D444D6"/>
    <w:rsid w:val="00D45872"/>
    <w:rsid w:val="00D46340"/>
    <w:rsid w:val="00D47B26"/>
    <w:rsid w:val="00D50579"/>
    <w:rsid w:val="00D50694"/>
    <w:rsid w:val="00D5091C"/>
    <w:rsid w:val="00D51826"/>
    <w:rsid w:val="00D51AC8"/>
    <w:rsid w:val="00D52365"/>
    <w:rsid w:val="00D5244D"/>
    <w:rsid w:val="00D52EF4"/>
    <w:rsid w:val="00D53225"/>
    <w:rsid w:val="00D5419A"/>
    <w:rsid w:val="00D55483"/>
    <w:rsid w:val="00D556DA"/>
    <w:rsid w:val="00D55766"/>
    <w:rsid w:val="00D56021"/>
    <w:rsid w:val="00D568A9"/>
    <w:rsid w:val="00D56962"/>
    <w:rsid w:val="00D5710E"/>
    <w:rsid w:val="00D57131"/>
    <w:rsid w:val="00D57158"/>
    <w:rsid w:val="00D5774C"/>
    <w:rsid w:val="00D57F95"/>
    <w:rsid w:val="00D6014C"/>
    <w:rsid w:val="00D60634"/>
    <w:rsid w:val="00D6063A"/>
    <w:rsid w:val="00D60CC5"/>
    <w:rsid w:val="00D615B1"/>
    <w:rsid w:val="00D61AE8"/>
    <w:rsid w:val="00D623B9"/>
    <w:rsid w:val="00D623FC"/>
    <w:rsid w:val="00D627CD"/>
    <w:rsid w:val="00D62AD5"/>
    <w:rsid w:val="00D62E02"/>
    <w:rsid w:val="00D62EB6"/>
    <w:rsid w:val="00D6332D"/>
    <w:rsid w:val="00D6395D"/>
    <w:rsid w:val="00D642A0"/>
    <w:rsid w:val="00D649BA"/>
    <w:rsid w:val="00D659AB"/>
    <w:rsid w:val="00D660DC"/>
    <w:rsid w:val="00D665EF"/>
    <w:rsid w:val="00D6688E"/>
    <w:rsid w:val="00D66B0D"/>
    <w:rsid w:val="00D66FEE"/>
    <w:rsid w:val="00D706C5"/>
    <w:rsid w:val="00D70A78"/>
    <w:rsid w:val="00D70AAB"/>
    <w:rsid w:val="00D70C48"/>
    <w:rsid w:val="00D70CE2"/>
    <w:rsid w:val="00D71811"/>
    <w:rsid w:val="00D71BF0"/>
    <w:rsid w:val="00D71C15"/>
    <w:rsid w:val="00D71CEB"/>
    <w:rsid w:val="00D71D92"/>
    <w:rsid w:val="00D72230"/>
    <w:rsid w:val="00D722A1"/>
    <w:rsid w:val="00D7416F"/>
    <w:rsid w:val="00D745E3"/>
    <w:rsid w:val="00D7499C"/>
    <w:rsid w:val="00D74C8E"/>
    <w:rsid w:val="00D754CD"/>
    <w:rsid w:val="00D75669"/>
    <w:rsid w:val="00D75CCA"/>
    <w:rsid w:val="00D7600E"/>
    <w:rsid w:val="00D763A5"/>
    <w:rsid w:val="00D778C5"/>
    <w:rsid w:val="00D779FC"/>
    <w:rsid w:val="00D77E78"/>
    <w:rsid w:val="00D80061"/>
    <w:rsid w:val="00D8010F"/>
    <w:rsid w:val="00D8035F"/>
    <w:rsid w:val="00D80A6F"/>
    <w:rsid w:val="00D810CF"/>
    <w:rsid w:val="00D81CF1"/>
    <w:rsid w:val="00D82995"/>
    <w:rsid w:val="00D82B8B"/>
    <w:rsid w:val="00D83081"/>
    <w:rsid w:val="00D843E6"/>
    <w:rsid w:val="00D84EB8"/>
    <w:rsid w:val="00D85282"/>
    <w:rsid w:val="00D8598A"/>
    <w:rsid w:val="00D8607E"/>
    <w:rsid w:val="00D86419"/>
    <w:rsid w:val="00D86626"/>
    <w:rsid w:val="00D867F6"/>
    <w:rsid w:val="00D8689C"/>
    <w:rsid w:val="00D8764B"/>
    <w:rsid w:val="00D87E97"/>
    <w:rsid w:val="00D901D1"/>
    <w:rsid w:val="00D91424"/>
    <w:rsid w:val="00D9172E"/>
    <w:rsid w:val="00D91AE8"/>
    <w:rsid w:val="00D9212A"/>
    <w:rsid w:val="00D92D5B"/>
    <w:rsid w:val="00D95406"/>
    <w:rsid w:val="00D954FD"/>
    <w:rsid w:val="00D9589E"/>
    <w:rsid w:val="00D95C92"/>
    <w:rsid w:val="00D96184"/>
    <w:rsid w:val="00D96B54"/>
    <w:rsid w:val="00D970A9"/>
    <w:rsid w:val="00D97103"/>
    <w:rsid w:val="00D974ED"/>
    <w:rsid w:val="00DA0069"/>
    <w:rsid w:val="00DA0341"/>
    <w:rsid w:val="00DA0C6E"/>
    <w:rsid w:val="00DA17CC"/>
    <w:rsid w:val="00DA1E1A"/>
    <w:rsid w:val="00DA29E0"/>
    <w:rsid w:val="00DA3318"/>
    <w:rsid w:val="00DA387E"/>
    <w:rsid w:val="00DA3B96"/>
    <w:rsid w:val="00DA3C6D"/>
    <w:rsid w:val="00DA3DA8"/>
    <w:rsid w:val="00DA4FCB"/>
    <w:rsid w:val="00DA5DED"/>
    <w:rsid w:val="00DA5F1A"/>
    <w:rsid w:val="00DA614E"/>
    <w:rsid w:val="00DA6469"/>
    <w:rsid w:val="00DA6B88"/>
    <w:rsid w:val="00DA6DA0"/>
    <w:rsid w:val="00DA767F"/>
    <w:rsid w:val="00DA76F2"/>
    <w:rsid w:val="00DB0E6C"/>
    <w:rsid w:val="00DB0EF6"/>
    <w:rsid w:val="00DB15F2"/>
    <w:rsid w:val="00DB177F"/>
    <w:rsid w:val="00DB235A"/>
    <w:rsid w:val="00DB2668"/>
    <w:rsid w:val="00DB2811"/>
    <w:rsid w:val="00DB3A3F"/>
    <w:rsid w:val="00DB3B99"/>
    <w:rsid w:val="00DB3C54"/>
    <w:rsid w:val="00DB4260"/>
    <w:rsid w:val="00DB4366"/>
    <w:rsid w:val="00DB48A7"/>
    <w:rsid w:val="00DB494B"/>
    <w:rsid w:val="00DB53BD"/>
    <w:rsid w:val="00DB56A7"/>
    <w:rsid w:val="00DB6136"/>
    <w:rsid w:val="00DB64EF"/>
    <w:rsid w:val="00DB7A11"/>
    <w:rsid w:val="00DB7BAF"/>
    <w:rsid w:val="00DB7DB7"/>
    <w:rsid w:val="00DC04E9"/>
    <w:rsid w:val="00DC08EA"/>
    <w:rsid w:val="00DC0E28"/>
    <w:rsid w:val="00DC1163"/>
    <w:rsid w:val="00DC1497"/>
    <w:rsid w:val="00DC21C5"/>
    <w:rsid w:val="00DC22D7"/>
    <w:rsid w:val="00DC2D44"/>
    <w:rsid w:val="00DC2E19"/>
    <w:rsid w:val="00DC3030"/>
    <w:rsid w:val="00DC3181"/>
    <w:rsid w:val="00DC3F11"/>
    <w:rsid w:val="00DC4EB5"/>
    <w:rsid w:val="00DC5452"/>
    <w:rsid w:val="00DC5974"/>
    <w:rsid w:val="00DC6196"/>
    <w:rsid w:val="00DC6F10"/>
    <w:rsid w:val="00DC796B"/>
    <w:rsid w:val="00DD1788"/>
    <w:rsid w:val="00DD220C"/>
    <w:rsid w:val="00DD22A2"/>
    <w:rsid w:val="00DD2E7E"/>
    <w:rsid w:val="00DD40A4"/>
    <w:rsid w:val="00DD4517"/>
    <w:rsid w:val="00DD49DA"/>
    <w:rsid w:val="00DD49F4"/>
    <w:rsid w:val="00DD4CB9"/>
    <w:rsid w:val="00DD4DD3"/>
    <w:rsid w:val="00DD57E7"/>
    <w:rsid w:val="00DD5ABC"/>
    <w:rsid w:val="00DD5AD7"/>
    <w:rsid w:val="00DD66E2"/>
    <w:rsid w:val="00DD7DC3"/>
    <w:rsid w:val="00DE096B"/>
    <w:rsid w:val="00DE1C64"/>
    <w:rsid w:val="00DE20AA"/>
    <w:rsid w:val="00DE279E"/>
    <w:rsid w:val="00DE3027"/>
    <w:rsid w:val="00DE396E"/>
    <w:rsid w:val="00DE3FA7"/>
    <w:rsid w:val="00DE40B9"/>
    <w:rsid w:val="00DE42D9"/>
    <w:rsid w:val="00DE4D8E"/>
    <w:rsid w:val="00DE4E28"/>
    <w:rsid w:val="00DE51AC"/>
    <w:rsid w:val="00DE529D"/>
    <w:rsid w:val="00DE53C2"/>
    <w:rsid w:val="00DE547D"/>
    <w:rsid w:val="00DE7295"/>
    <w:rsid w:val="00DE73CB"/>
    <w:rsid w:val="00DE79CC"/>
    <w:rsid w:val="00DE7B84"/>
    <w:rsid w:val="00DF0E06"/>
    <w:rsid w:val="00DF0EDC"/>
    <w:rsid w:val="00DF1DE6"/>
    <w:rsid w:val="00DF252B"/>
    <w:rsid w:val="00DF2D98"/>
    <w:rsid w:val="00DF2E62"/>
    <w:rsid w:val="00DF3116"/>
    <w:rsid w:val="00DF3269"/>
    <w:rsid w:val="00DF37E2"/>
    <w:rsid w:val="00DF3AB2"/>
    <w:rsid w:val="00DF3BC9"/>
    <w:rsid w:val="00DF3BEE"/>
    <w:rsid w:val="00DF40E6"/>
    <w:rsid w:val="00DF53EE"/>
    <w:rsid w:val="00DF62CC"/>
    <w:rsid w:val="00DF6823"/>
    <w:rsid w:val="00DF68C2"/>
    <w:rsid w:val="00DF69D6"/>
    <w:rsid w:val="00DF6A27"/>
    <w:rsid w:val="00DF723E"/>
    <w:rsid w:val="00DF78D6"/>
    <w:rsid w:val="00E003C6"/>
    <w:rsid w:val="00E003DB"/>
    <w:rsid w:val="00E00A96"/>
    <w:rsid w:val="00E00E3A"/>
    <w:rsid w:val="00E0161F"/>
    <w:rsid w:val="00E021F0"/>
    <w:rsid w:val="00E026A1"/>
    <w:rsid w:val="00E03A2B"/>
    <w:rsid w:val="00E03AB2"/>
    <w:rsid w:val="00E03ADC"/>
    <w:rsid w:val="00E03AE4"/>
    <w:rsid w:val="00E03F86"/>
    <w:rsid w:val="00E0433C"/>
    <w:rsid w:val="00E04444"/>
    <w:rsid w:val="00E05E45"/>
    <w:rsid w:val="00E0613F"/>
    <w:rsid w:val="00E068AA"/>
    <w:rsid w:val="00E06C7D"/>
    <w:rsid w:val="00E06FC7"/>
    <w:rsid w:val="00E070BA"/>
    <w:rsid w:val="00E077E4"/>
    <w:rsid w:val="00E1088A"/>
    <w:rsid w:val="00E10E08"/>
    <w:rsid w:val="00E112A0"/>
    <w:rsid w:val="00E113BF"/>
    <w:rsid w:val="00E117E3"/>
    <w:rsid w:val="00E118C0"/>
    <w:rsid w:val="00E11B19"/>
    <w:rsid w:val="00E12185"/>
    <w:rsid w:val="00E1233A"/>
    <w:rsid w:val="00E12542"/>
    <w:rsid w:val="00E129EF"/>
    <w:rsid w:val="00E12CF1"/>
    <w:rsid w:val="00E13170"/>
    <w:rsid w:val="00E13550"/>
    <w:rsid w:val="00E13B6C"/>
    <w:rsid w:val="00E1503B"/>
    <w:rsid w:val="00E15A8F"/>
    <w:rsid w:val="00E15EC8"/>
    <w:rsid w:val="00E16FF5"/>
    <w:rsid w:val="00E20C31"/>
    <w:rsid w:val="00E2101B"/>
    <w:rsid w:val="00E2104F"/>
    <w:rsid w:val="00E210CE"/>
    <w:rsid w:val="00E21953"/>
    <w:rsid w:val="00E21B16"/>
    <w:rsid w:val="00E22337"/>
    <w:rsid w:val="00E228BE"/>
    <w:rsid w:val="00E229CD"/>
    <w:rsid w:val="00E22B50"/>
    <w:rsid w:val="00E22F1B"/>
    <w:rsid w:val="00E23653"/>
    <w:rsid w:val="00E23E7A"/>
    <w:rsid w:val="00E24CA4"/>
    <w:rsid w:val="00E27759"/>
    <w:rsid w:val="00E301E2"/>
    <w:rsid w:val="00E302E7"/>
    <w:rsid w:val="00E3033C"/>
    <w:rsid w:val="00E30BD0"/>
    <w:rsid w:val="00E30CCA"/>
    <w:rsid w:val="00E30FD8"/>
    <w:rsid w:val="00E310CE"/>
    <w:rsid w:val="00E31F1D"/>
    <w:rsid w:val="00E335E9"/>
    <w:rsid w:val="00E34078"/>
    <w:rsid w:val="00E34453"/>
    <w:rsid w:val="00E36AE6"/>
    <w:rsid w:val="00E36F06"/>
    <w:rsid w:val="00E37927"/>
    <w:rsid w:val="00E37B12"/>
    <w:rsid w:val="00E4015C"/>
    <w:rsid w:val="00E4050F"/>
    <w:rsid w:val="00E406BF"/>
    <w:rsid w:val="00E41A44"/>
    <w:rsid w:val="00E41A8A"/>
    <w:rsid w:val="00E42069"/>
    <w:rsid w:val="00E433D7"/>
    <w:rsid w:val="00E43714"/>
    <w:rsid w:val="00E43908"/>
    <w:rsid w:val="00E44077"/>
    <w:rsid w:val="00E4410F"/>
    <w:rsid w:val="00E44427"/>
    <w:rsid w:val="00E45331"/>
    <w:rsid w:val="00E453CB"/>
    <w:rsid w:val="00E4552B"/>
    <w:rsid w:val="00E45554"/>
    <w:rsid w:val="00E45BB9"/>
    <w:rsid w:val="00E46023"/>
    <w:rsid w:val="00E46513"/>
    <w:rsid w:val="00E46F66"/>
    <w:rsid w:val="00E47A90"/>
    <w:rsid w:val="00E47D36"/>
    <w:rsid w:val="00E47E9C"/>
    <w:rsid w:val="00E47F4E"/>
    <w:rsid w:val="00E50C1F"/>
    <w:rsid w:val="00E50D65"/>
    <w:rsid w:val="00E513F0"/>
    <w:rsid w:val="00E51661"/>
    <w:rsid w:val="00E51CFE"/>
    <w:rsid w:val="00E5270D"/>
    <w:rsid w:val="00E52916"/>
    <w:rsid w:val="00E529BE"/>
    <w:rsid w:val="00E52F9F"/>
    <w:rsid w:val="00E53AF0"/>
    <w:rsid w:val="00E542A3"/>
    <w:rsid w:val="00E54396"/>
    <w:rsid w:val="00E544E5"/>
    <w:rsid w:val="00E5565B"/>
    <w:rsid w:val="00E56286"/>
    <w:rsid w:val="00E566B3"/>
    <w:rsid w:val="00E569C6"/>
    <w:rsid w:val="00E56B0E"/>
    <w:rsid w:val="00E60023"/>
    <w:rsid w:val="00E60441"/>
    <w:rsid w:val="00E60A35"/>
    <w:rsid w:val="00E60E88"/>
    <w:rsid w:val="00E617F2"/>
    <w:rsid w:val="00E624E6"/>
    <w:rsid w:val="00E626C5"/>
    <w:rsid w:val="00E62BFE"/>
    <w:rsid w:val="00E62F1B"/>
    <w:rsid w:val="00E636F3"/>
    <w:rsid w:val="00E63F1A"/>
    <w:rsid w:val="00E63F73"/>
    <w:rsid w:val="00E64149"/>
    <w:rsid w:val="00E64A02"/>
    <w:rsid w:val="00E65256"/>
    <w:rsid w:val="00E66469"/>
    <w:rsid w:val="00E66654"/>
    <w:rsid w:val="00E668F0"/>
    <w:rsid w:val="00E6799D"/>
    <w:rsid w:val="00E679A2"/>
    <w:rsid w:val="00E700D7"/>
    <w:rsid w:val="00E704FC"/>
    <w:rsid w:val="00E70C3A"/>
    <w:rsid w:val="00E712E9"/>
    <w:rsid w:val="00E7222B"/>
    <w:rsid w:val="00E72266"/>
    <w:rsid w:val="00E7243E"/>
    <w:rsid w:val="00E72820"/>
    <w:rsid w:val="00E72D00"/>
    <w:rsid w:val="00E731AD"/>
    <w:rsid w:val="00E735DA"/>
    <w:rsid w:val="00E7417E"/>
    <w:rsid w:val="00E746C8"/>
    <w:rsid w:val="00E74B67"/>
    <w:rsid w:val="00E74D14"/>
    <w:rsid w:val="00E76697"/>
    <w:rsid w:val="00E76AC2"/>
    <w:rsid w:val="00E76F89"/>
    <w:rsid w:val="00E76FD0"/>
    <w:rsid w:val="00E77221"/>
    <w:rsid w:val="00E77644"/>
    <w:rsid w:val="00E77858"/>
    <w:rsid w:val="00E77981"/>
    <w:rsid w:val="00E80C10"/>
    <w:rsid w:val="00E819A0"/>
    <w:rsid w:val="00E819FD"/>
    <w:rsid w:val="00E821F1"/>
    <w:rsid w:val="00E827A3"/>
    <w:rsid w:val="00E827CC"/>
    <w:rsid w:val="00E83104"/>
    <w:rsid w:val="00E83294"/>
    <w:rsid w:val="00E833CC"/>
    <w:rsid w:val="00E83828"/>
    <w:rsid w:val="00E84449"/>
    <w:rsid w:val="00E8445C"/>
    <w:rsid w:val="00E847ED"/>
    <w:rsid w:val="00E84B00"/>
    <w:rsid w:val="00E85326"/>
    <w:rsid w:val="00E856C6"/>
    <w:rsid w:val="00E85D6F"/>
    <w:rsid w:val="00E8600F"/>
    <w:rsid w:val="00E86042"/>
    <w:rsid w:val="00E86315"/>
    <w:rsid w:val="00E86484"/>
    <w:rsid w:val="00E87A02"/>
    <w:rsid w:val="00E90385"/>
    <w:rsid w:val="00E912B9"/>
    <w:rsid w:val="00E91502"/>
    <w:rsid w:val="00E916E7"/>
    <w:rsid w:val="00E91936"/>
    <w:rsid w:val="00E91EAC"/>
    <w:rsid w:val="00E9258E"/>
    <w:rsid w:val="00E92B5A"/>
    <w:rsid w:val="00E939EE"/>
    <w:rsid w:val="00E93B89"/>
    <w:rsid w:val="00E94715"/>
    <w:rsid w:val="00E94A87"/>
    <w:rsid w:val="00E95509"/>
    <w:rsid w:val="00E95A26"/>
    <w:rsid w:val="00E95CCE"/>
    <w:rsid w:val="00E96026"/>
    <w:rsid w:val="00E9671F"/>
    <w:rsid w:val="00E96BA1"/>
    <w:rsid w:val="00E97161"/>
    <w:rsid w:val="00EA0095"/>
    <w:rsid w:val="00EA0B9E"/>
    <w:rsid w:val="00EA0E56"/>
    <w:rsid w:val="00EA0F70"/>
    <w:rsid w:val="00EA1205"/>
    <w:rsid w:val="00EA1418"/>
    <w:rsid w:val="00EA2594"/>
    <w:rsid w:val="00EA289D"/>
    <w:rsid w:val="00EA2C43"/>
    <w:rsid w:val="00EA3080"/>
    <w:rsid w:val="00EA381F"/>
    <w:rsid w:val="00EA395D"/>
    <w:rsid w:val="00EA4552"/>
    <w:rsid w:val="00EA47D4"/>
    <w:rsid w:val="00EA4A32"/>
    <w:rsid w:val="00EA4BEA"/>
    <w:rsid w:val="00EA5892"/>
    <w:rsid w:val="00EA5A62"/>
    <w:rsid w:val="00EA5D52"/>
    <w:rsid w:val="00EA642F"/>
    <w:rsid w:val="00EA68C2"/>
    <w:rsid w:val="00EB0198"/>
    <w:rsid w:val="00EB0BEE"/>
    <w:rsid w:val="00EB0E11"/>
    <w:rsid w:val="00EB135A"/>
    <w:rsid w:val="00EB1A87"/>
    <w:rsid w:val="00EB2270"/>
    <w:rsid w:val="00EB288C"/>
    <w:rsid w:val="00EB2A0B"/>
    <w:rsid w:val="00EB2F4F"/>
    <w:rsid w:val="00EB397E"/>
    <w:rsid w:val="00EB3D6C"/>
    <w:rsid w:val="00EB47BE"/>
    <w:rsid w:val="00EB4851"/>
    <w:rsid w:val="00EB4B6F"/>
    <w:rsid w:val="00EB4BEB"/>
    <w:rsid w:val="00EB4DFB"/>
    <w:rsid w:val="00EB53BB"/>
    <w:rsid w:val="00EB5472"/>
    <w:rsid w:val="00EB5558"/>
    <w:rsid w:val="00EB57CE"/>
    <w:rsid w:val="00EB57D8"/>
    <w:rsid w:val="00EB6240"/>
    <w:rsid w:val="00EB644D"/>
    <w:rsid w:val="00EB7140"/>
    <w:rsid w:val="00EB72DC"/>
    <w:rsid w:val="00EB77BD"/>
    <w:rsid w:val="00EB7BB1"/>
    <w:rsid w:val="00EC056E"/>
    <w:rsid w:val="00EC057A"/>
    <w:rsid w:val="00EC1656"/>
    <w:rsid w:val="00EC184E"/>
    <w:rsid w:val="00EC19E6"/>
    <w:rsid w:val="00EC26DB"/>
    <w:rsid w:val="00EC2B2F"/>
    <w:rsid w:val="00EC2F8B"/>
    <w:rsid w:val="00EC3426"/>
    <w:rsid w:val="00EC3F18"/>
    <w:rsid w:val="00EC4AE5"/>
    <w:rsid w:val="00EC4FF4"/>
    <w:rsid w:val="00EC6966"/>
    <w:rsid w:val="00EC6C06"/>
    <w:rsid w:val="00EC7531"/>
    <w:rsid w:val="00EC753E"/>
    <w:rsid w:val="00EC7780"/>
    <w:rsid w:val="00EC78EB"/>
    <w:rsid w:val="00ED0247"/>
    <w:rsid w:val="00ED0537"/>
    <w:rsid w:val="00ED0BA7"/>
    <w:rsid w:val="00ED0C2E"/>
    <w:rsid w:val="00ED122E"/>
    <w:rsid w:val="00ED131A"/>
    <w:rsid w:val="00ED135E"/>
    <w:rsid w:val="00ED1903"/>
    <w:rsid w:val="00ED1FA3"/>
    <w:rsid w:val="00ED34DF"/>
    <w:rsid w:val="00ED3B5C"/>
    <w:rsid w:val="00ED3D92"/>
    <w:rsid w:val="00ED3EB8"/>
    <w:rsid w:val="00ED414A"/>
    <w:rsid w:val="00ED482D"/>
    <w:rsid w:val="00ED5107"/>
    <w:rsid w:val="00ED5670"/>
    <w:rsid w:val="00ED5800"/>
    <w:rsid w:val="00ED5F25"/>
    <w:rsid w:val="00ED60FB"/>
    <w:rsid w:val="00ED612A"/>
    <w:rsid w:val="00ED6A56"/>
    <w:rsid w:val="00ED6E0D"/>
    <w:rsid w:val="00ED6F66"/>
    <w:rsid w:val="00ED7150"/>
    <w:rsid w:val="00ED7D85"/>
    <w:rsid w:val="00EE001B"/>
    <w:rsid w:val="00EE0654"/>
    <w:rsid w:val="00EE07A5"/>
    <w:rsid w:val="00EE0F9A"/>
    <w:rsid w:val="00EE15B1"/>
    <w:rsid w:val="00EE1A5A"/>
    <w:rsid w:val="00EE2B5E"/>
    <w:rsid w:val="00EE3217"/>
    <w:rsid w:val="00EE34D6"/>
    <w:rsid w:val="00EE3E8D"/>
    <w:rsid w:val="00EE4095"/>
    <w:rsid w:val="00EE460C"/>
    <w:rsid w:val="00EE48E8"/>
    <w:rsid w:val="00EE4C76"/>
    <w:rsid w:val="00EE4DDE"/>
    <w:rsid w:val="00EE4F1E"/>
    <w:rsid w:val="00EE5784"/>
    <w:rsid w:val="00EE6138"/>
    <w:rsid w:val="00EE628E"/>
    <w:rsid w:val="00EE6882"/>
    <w:rsid w:val="00EE68D4"/>
    <w:rsid w:val="00EF07D0"/>
    <w:rsid w:val="00EF08B0"/>
    <w:rsid w:val="00EF0D7C"/>
    <w:rsid w:val="00EF0E6D"/>
    <w:rsid w:val="00EF109B"/>
    <w:rsid w:val="00EF156B"/>
    <w:rsid w:val="00EF1CC0"/>
    <w:rsid w:val="00EF2B89"/>
    <w:rsid w:val="00EF356D"/>
    <w:rsid w:val="00EF3A49"/>
    <w:rsid w:val="00EF3C52"/>
    <w:rsid w:val="00EF3CDD"/>
    <w:rsid w:val="00EF4F82"/>
    <w:rsid w:val="00EF5D51"/>
    <w:rsid w:val="00EF5DC7"/>
    <w:rsid w:val="00EF6094"/>
    <w:rsid w:val="00EF647B"/>
    <w:rsid w:val="00EF69C2"/>
    <w:rsid w:val="00EF6C83"/>
    <w:rsid w:val="00EF701F"/>
    <w:rsid w:val="00EF71E7"/>
    <w:rsid w:val="00EF7AB0"/>
    <w:rsid w:val="00EF7FB3"/>
    <w:rsid w:val="00F001D0"/>
    <w:rsid w:val="00F005AA"/>
    <w:rsid w:val="00F01C99"/>
    <w:rsid w:val="00F0207A"/>
    <w:rsid w:val="00F0215C"/>
    <w:rsid w:val="00F022FB"/>
    <w:rsid w:val="00F02EE2"/>
    <w:rsid w:val="00F03681"/>
    <w:rsid w:val="00F03E44"/>
    <w:rsid w:val="00F04822"/>
    <w:rsid w:val="00F04EAF"/>
    <w:rsid w:val="00F05BF9"/>
    <w:rsid w:val="00F06038"/>
    <w:rsid w:val="00F11347"/>
    <w:rsid w:val="00F11DDB"/>
    <w:rsid w:val="00F12732"/>
    <w:rsid w:val="00F127FD"/>
    <w:rsid w:val="00F13634"/>
    <w:rsid w:val="00F13763"/>
    <w:rsid w:val="00F13D74"/>
    <w:rsid w:val="00F13E55"/>
    <w:rsid w:val="00F1432D"/>
    <w:rsid w:val="00F1451A"/>
    <w:rsid w:val="00F14B02"/>
    <w:rsid w:val="00F14B80"/>
    <w:rsid w:val="00F14B85"/>
    <w:rsid w:val="00F14D4B"/>
    <w:rsid w:val="00F15956"/>
    <w:rsid w:val="00F15F95"/>
    <w:rsid w:val="00F1697A"/>
    <w:rsid w:val="00F16C46"/>
    <w:rsid w:val="00F17DD0"/>
    <w:rsid w:val="00F20E40"/>
    <w:rsid w:val="00F2124C"/>
    <w:rsid w:val="00F21B4E"/>
    <w:rsid w:val="00F22005"/>
    <w:rsid w:val="00F232E4"/>
    <w:rsid w:val="00F234D0"/>
    <w:rsid w:val="00F2449C"/>
    <w:rsid w:val="00F25B86"/>
    <w:rsid w:val="00F2755A"/>
    <w:rsid w:val="00F2775A"/>
    <w:rsid w:val="00F278FB"/>
    <w:rsid w:val="00F30174"/>
    <w:rsid w:val="00F30237"/>
    <w:rsid w:val="00F306DB"/>
    <w:rsid w:val="00F310B3"/>
    <w:rsid w:val="00F316C8"/>
    <w:rsid w:val="00F31884"/>
    <w:rsid w:val="00F326CE"/>
    <w:rsid w:val="00F33211"/>
    <w:rsid w:val="00F336D2"/>
    <w:rsid w:val="00F3373D"/>
    <w:rsid w:val="00F33ABA"/>
    <w:rsid w:val="00F33F96"/>
    <w:rsid w:val="00F343F2"/>
    <w:rsid w:val="00F3463D"/>
    <w:rsid w:val="00F34702"/>
    <w:rsid w:val="00F34BC2"/>
    <w:rsid w:val="00F34F06"/>
    <w:rsid w:val="00F35592"/>
    <w:rsid w:val="00F35A54"/>
    <w:rsid w:val="00F360FA"/>
    <w:rsid w:val="00F36257"/>
    <w:rsid w:val="00F3717C"/>
    <w:rsid w:val="00F37A6A"/>
    <w:rsid w:val="00F37CBE"/>
    <w:rsid w:val="00F40191"/>
    <w:rsid w:val="00F40662"/>
    <w:rsid w:val="00F40B17"/>
    <w:rsid w:val="00F40DC5"/>
    <w:rsid w:val="00F40F93"/>
    <w:rsid w:val="00F41637"/>
    <w:rsid w:val="00F41C88"/>
    <w:rsid w:val="00F420EA"/>
    <w:rsid w:val="00F421AE"/>
    <w:rsid w:val="00F42587"/>
    <w:rsid w:val="00F4369A"/>
    <w:rsid w:val="00F4388E"/>
    <w:rsid w:val="00F4495D"/>
    <w:rsid w:val="00F44BED"/>
    <w:rsid w:val="00F44C3D"/>
    <w:rsid w:val="00F44D9C"/>
    <w:rsid w:val="00F44F68"/>
    <w:rsid w:val="00F45890"/>
    <w:rsid w:val="00F45917"/>
    <w:rsid w:val="00F45974"/>
    <w:rsid w:val="00F45992"/>
    <w:rsid w:val="00F4628B"/>
    <w:rsid w:val="00F46819"/>
    <w:rsid w:val="00F46936"/>
    <w:rsid w:val="00F5181B"/>
    <w:rsid w:val="00F51835"/>
    <w:rsid w:val="00F51A95"/>
    <w:rsid w:val="00F520E1"/>
    <w:rsid w:val="00F5254C"/>
    <w:rsid w:val="00F52AC1"/>
    <w:rsid w:val="00F52E33"/>
    <w:rsid w:val="00F52E91"/>
    <w:rsid w:val="00F52E98"/>
    <w:rsid w:val="00F53E1E"/>
    <w:rsid w:val="00F54165"/>
    <w:rsid w:val="00F541DD"/>
    <w:rsid w:val="00F54910"/>
    <w:rsid w:val="00F54E3D"/>
    <w:rsid w:val="00F54FDB"/>
    <w:rsid w:val="00F55165"/>
    <w:rsid w:val="00F55313"/>
    <w:rsid w:val="00F55E87"/>
    <w:rsid w:val="00F565FA"/>
    <w:rsid w:val="00F567E3"/>
    <w:rsid w:val="00F56CE9"/>
    <w:rsid w:val="00F570E4"/>
    <w:rsid w:val="00F60901"/>
    <w:rsid w:val="00F60AB0"/>
    <w:rsid w:val="00F6102B"/>
    <w:rsid w:val="00F6158C"/>
    <w:rsid w:val="00F6173C"/>
    <w:rsid w:val="00F619CC"/>
    <w:rsid w:val="00F62615"/>
    <w:rsid w:val="00F6299B"/>
    <w:rsid w:val="00F62D08"/>
    <w:rsid w:val="00F63B70"/>
    <w:rsid w:val="00F63C89"/>
    <w:rsid w:val="00F63D6E"/>
    <w:rsid w:val="00F64537"/>
    <w:rsid w:val="00F665A3"/>
    <w:rsid w:val="00F673FA"/>
    <w:rsid w:val="00F706D0"/>
    <w:rsid w:val="00F71510"/>
    <w:rsid w:val="00F721FF"/>
    <w:rsid w:val="00F7276B"/>
    <w:rsid w:val="00F72CE2"/>
    <w:rsid w:val="00F74995"/>
    <w:rsid w:val="00F74BF2"/>
    <w:rsid w:val="00F7590A"/>
    <w:rsid w:val="00F75999"/>
    <w:rsid w:val="00F76A4E"/>
    <w:rsid w:val="00F76BFA"/>
    <w:rsid w:val="00F770B9"/>
    <w:rsid w:val="00F77431"/>
    <w:rsid w:val="00F77485"/>
    <w:rsid w:val="00F77756"/>
    <w:rsid w:val="00F77F2E"/>
    <w:rsid w:val="00F804E6"/>
    <w:rsid w:val="00F80760"/>
    <w:rsid w:val="00F809FC"/>
    <w:rsid w:val="00F80FF6"/>
    <w:rsid w:val="00F81505"/>
    <w:rsid w:val="00F815B3"/>
    <w:rsid w:val="00F81FC1"/>
    <w:rsid w:val="00F82751"/>
    <w:rsid w:val="00F829CE"/>
    <w:rsid w:val="00F834E8"/>
    <w:rsid w:val="00F83684"/>
    <w:rsid w:val="00F84325"/>
    <w:rsid w:val="00F84A7B"/>
    <w:rsid w:val="00F84CFE"/>
    <w:rsid w:val="00F85285"/>
    <w:rsid w:val="00F856F4"/>
    <w:rsid w:val="00F85DA4"/>
    <w:rsid w:val="00F8649B"/>
    <w:rsid w:val="00F86D86"/>
    <w:rsid w:val="00F86FD9"/>
    <w:rsid w:val="00F876FD"/>
    <w:rsid w:val="00F877F2"/>
    <w:rsid w:val="00F879B8"/>
    <w:rsid w:val="00F90056"/>
    <w:rsid w:val="00F901A7"/>
    <w:rsid w:val="00F91280"/>
    <w:rsid w:val="00F914BF"/>
    <w:rsid w:val="00F914E5"/>
    <w:rsid w:val="00F91A2E"/>
    <w:rsid w:val="00F91DB3"/>
    <w:rsid w:val="00F9249B"/>
    <w:rsid w:val="00F9267F"/>
    <w:rsid w:val="00F932B5"/>
    <w:rsid w:val="00F934F0"/>
    <w:rsid w:val="00F93CE1"/>
    <w:rsid w:val="00F95349"/>
    <w:rsid w:val="00F9559F"/>
    <w:rsid w:val="00F958B1"/>
    <w:rsid w:val="00F95B03"/>
    <w:rsid w:val="00F96627"/>
    <w:rsid w:val="00F96732"/>
    <w:rsid w:val="00F96C0E"/>
    <w:rsid w:val="00F972F9"/>
    <w:rsid w:val="00F97557"/>
    <w:rsid w:val="00FA2222"/>
    <w:rsid w:val="00FA2459"/>
    <w:rsid w:val="00FA27B2"/>
    <w:rsid w:val="00FA331B"/>
    <w:rsid w:val="00FA37CC"/>
    <w:rsid w:val="00FA41BB"/>
    <w:rsid w:val="00FA44F1"/>
    <w:rsid w:val="00FA4C09"/>
    <w:rsid w:val="00FA5751"/>
    <w:rsid w:val="00FA5963"/>
    <w:rsid w:val="00FA65CC"/>
    <w:rsid w:val="00FA696E"/>
    <w:rsid w:val="00FA75E4"/>
    <w:rsid w:val="00FA7886"/>
    <w:rsid w:val="00FA7A70"/>
    <w:rsid w:val="00FB00F4"/>
    <w:rsid w:val="00FB02DB"/>
    <w:rsid w:val="00FB0B19"/>
    <w:rsid w:val="00FB1189"/>
    <w:rsid w:val="00FB230C"/>
    <w:rsid w:val="00FB377E"/>
    <w:rsid w:val="00FB3E8E"/>
    <w:rsid w:val="00FB4D9B"/>
    <w:rsid w:val="00FB68E0"/>
    <w:rsid w:val="00FB6964"/>
    <w:rsid w:val="00FB73FC"/>
    <w:rsid w:val="00FB7734"/>
    <w:rsid w:val="00FB7C2F"/>
    <w:rsid w:val="00FB7CC7"/>
    <w:rsid w:val="00FC0206"/>
    <w:rsid w:val="00FC05D4"/>
    <w:rsid w:val="00FC0D32"/>
    <w:rsid w:val="00FC177F"/>
    <w:rsid w:val="00FC1A00"/>
    <w:rsid w:val="00FC1AE0"/>
    <w:rsid w:val="00FC1B55"/>
    <w:rsid w:val="00FC2161"/>
    <w:rsid w:val="00FC32F1"/>
    <w:rsid w:val="00FC3325"/>
    <w:rsid w:val="00FC4292"/>
    <w:rsid w:val="00FC43D8"/>
    <w:rsid w:val="00FC4C95"/>
    <w:rsid w:val="00FC4F9C"/>
    <w:rsid w:val="00FC5437"/>
    <w:rsid w:val="00FC5AA6"/>
    <w:rsid w:val="00FC6D04"/>
    <w:rsid w:val="00FC71AA"/>
    <w:rsid w:val="00FC7296"/>
    <w:rsid w:val="00FC72A1"/>
    <w:rsid w:val="00FC7369"/>
    <w:rsid w:val="00FC7EF8"/>
    <w:rsid w:val="00FD03E4"/>
    <w:rsid w:val="00FD0FFB"/>
    <w:rsid w:val="00FD11B0"/>
    <w:rsid w:val="00FD125C"/>
    <w:rsid w:val="00FD15ED"/>
    <w:rsid w:val="00FD18B1"/>
    <w:rsid w:val="00FD1C24"/>
    <w:rsid w:val="00FD42F8"/>
    <w:rsid w:val="00FD4CCF"/>
    <w:rsid w:val="00FD4FAA"/>
    <w:rsid w:val="00FD542C"/>
    <w:rsid w:val="00FD63F4"/>
    <w:rsid w:val="00FD6506"/>
    <w:rsid w:val="00FD66E7"/>
    <w:rsid w:val="00FE025A"/>
    <w:rsid w:val="00FE0359"/>
    <w:rsid w:val="00FE0922"/>
    <w:rsid w:val="00FE0AE9"/>
    <w:rsid w:val="00FE0B90"/>
    <w:rsid w:val="00FE182F"/>
    <w:rsid w:val="00FE21C7"/>
    <w:rsid w:val="00FE24EE"/>
    <w:rsid w:val="00FE2822"/>
    <w:rsid w:val="00FE2D56"/>
    <w:rsid w:val="00FE320B"/>
    <w:rsid w:val="00FE4216"/>
    <w:rsid w:val="00FE4A0A"/>
    <w:rsid w:val="00FE568B"/>
    <w:rsid w:val="00FE6791"/>
    <w:rsid w:val="00FE6A56"/>
    <w:rsid w:val="00FE6AB3"/>
    <w:rsid w:val="00FE6C8E"/>
    <w:rsid w:val="00FE7152"/>
    <w:rsid w:val="00FE7771"/>
    <w:rsid w:val="00FF0CBC"/>
    <w:rsid w:val="00FF190C"/>
    <w:rsid w:val="00FF1CE6"/>
    <w:rsid w:val="00FF2107"/>
    <w:rsid w:val="00FF213F"/>
    <w:rsid w:val="00FF296A"/>
    <w:rsid w:val="00FF31F7"/>
    <w:rsid w:val="00FF3285"/>
    <w:rsid w:val="00FF3461"/>
    <w:rsid w:val="00FF418C"/>
    <w:rsid w:val="00FF42E4"/>
    <w:rsid w:val="00FF567B"/>
    <w:rsid w:val="00FF573A"/>
    <w:rsid w:val="00FF5E23"/>
    <w:rsid w:val="00FF65F7"/>
    <w:rsid w:val="00FF696C"/>
    <w:rsid w:val="00FF6A56"/>
    <w:rsid w:val="00FF6A6D"/>
    <w:rsid w:val="00FF6B8A"/>
    <w:rsid w:val="00FF70DE"/>
    <w:rsid w:val="00FF7301"/>
    <w:rsid w:val="00FF767C"/>
    <w:rsid w:val="00FF76E6"/>
    <w:rsid w:val="00FF77B7"/>
    <w:rsid w:val="00FF7A75"/>
    <w:rsid w:val="00FF7B92"/>
    <w:rsid w:val="00FF7D6F"/>
    <w:rsid w:val="011253A7"/>
    <w:rsid w:val="0117551A"/>
    <w:rsid w:val="012A4E21"/>
    <w:rsid w:val="012F3B55"/>
    <w:rsid w:val="013A690F"/>
    <w:rsid w:val="015A1913"/>
    <w:rsid w:val="015A7948"/>
    <w:rsid w:val="015E2839"/>
    <w:rsid w:val="016B05BC"/>
    <w:rsid w:val="01755736"/>
    <w:rsid w:val="01777E30"/>
    <w:rsid w:val="01936020"/>
    <w:rsid w:val="01C15437"/>
    <w:rsid w:val="01C67396"/>
    <w:rsid w:val="01C90029"/>
    <w:rsid w:val="01E2611B"/>
    <w:rsid w:val="01E92329"/>
    <w:rsid w:val="01EE0EE9"/>
    <w:rsid w:val="01F125AA"/>
    <w:rsid w:val="01FA6612"/>
    <w:rsid w:val="01FE0052"/>
    <w:rsid w:val="02122AAF"/>
    <w:rsid w:val="021235EC"/>
    <w:rsid w:val="021671FC"/>
    <w:rsid w:val="02221DF9"/>
    <w:rsid w:val="023A109F"/>
    <w:rsid w:val="0242118E"/>
    <w:rsid w:val="024F2D27"/>
    <w:rsid w:val="025C69AC"/>
    <w:rsid w:val="02654FC5"/>
    <w:rsid w:val="02790E31"/>
    <w:rsid w:val="027D7A86"/>
    <w:rsid w:val="027F2E0D"/>
    <w:rsid w:val="029B2181"/>
    <w:rsid w:val="029F3EC4"/>
    <w:rsid w:val="02AD79EA"/>
    <w:rsid w:val="02AF1E27"/>
    <w:rsid w:val="02BE3F94"/>
    <w:rsid w:val="02BE5535"/>
    <w:rsid w:val="02C357E3"/>
    <w:rsid w:val="02DF6410"/>
    <w:rsid w:val="02F016DD"/>
    <w:rsid w:val="02F43A2B"/>
    <w:rsid w:val="03056DC8"/>
    <w:rsid w:val="03145467"/>
    <w:rsid w:val="031B7166"/>
    <w:rsid w:val="031C2553"/>
    <w:rsid w:val="031C76EC"/>
    <w:rsid w:val="032A5E87"/>
    <w:rsid w:val="03333AA1"/>
    <w:rsid w:val="03666F38"/>
    <w:rsid w:val="037D3E51"/>
    <w:rsid w:val="0395476E"/>
    <w:rsid w:val="039E3ADE"/>
    <w:rsid w:val="039E75C5"/>
    <w:rsid w:val="039F7B73"/>
    <w:rsid w:val="03B1695E"/>
    <w:rsid w:val="03D343EA"/>
    <w:rsid w:val="03DC2C52"/>
    <w:rsid w:val="03E156A2"/>
    <w:rsid w:val="03EE4033"/>
    <w:rsid w:val="03F21F57"/>
    <w:rsid w:val="04003EB2"/>
    <w:rsid w:val="04020541"/>
    <w:rsid w:val="04206073"/>
    <w:rsid w:val="04271AF0"/>
    <w:rsid w:val="042A7BB2"/>
    <w:rsid w:val="045460E0"/>
    <w:rsid w:val="045A31A4"/>
    <w:rsid w:val="04643AB8"/>
    <w:rsid w:val="046A6998"/>
    <w:rsid w:val="047E396A"/>
    <w:rsid w:val="0480087C"/>
    <w:rsid w:val="04873FF4"/>
    <w:rsid w:val="048C4BA2"/>
    <w:rsid w:val="04916503"/>
    <w:rsid w:val="04926F71"/>
    <w:rsid w:val="04990B69"/>
    <w:rsid w:val="04AB2DF4"/>
    <w:rsid w:val="04BF5FAF"/>
    <w:rsid w:val="04D043AD"/>
    <w:rsid w:val="04EC4753"/>
    <w:rsid w:val="04F17197"/>
    <w:rsid w:val="0511593E"/>
    <w:rsid w:val="051201D8"/>
    <w:rsid w:val="05132475"/>
    <w:rsid w:val="05141DF0"/>
    <w:rsid w:val="051D5FC6"/>
    <w:rsid w:val="05284395"/>
    <w:rsid w:val="05285B11"/>
    <w:rsid w:val="0531620D"/>
    <w:rsid w:val="053B3BE3"/>
    <w:rsid w:val="05415BBD"/>
    <w:rsid w:val="05481A3A"/>
    <w:rsid w:val="0549490C"/>
    <w:rsid w:val="055178E9"/>
    <w:rsid w:val="0554693F"/>
    <w:rsid w:val="05603190"/>
    <w:rsid w:val="057000C1"/>
    <w:rsid w:val="05713132"/>
    <w:rsid w:val="058D12A0"/>
    <w:rsid w:val="0598798D"/>
    <w:rsid w:val="05990C7D"/>
    <w:rsid w:val="05AE30F1"/>
    <w:rsid w:val="05B40ECA"/>
    <w:rsid w:val="05C100EB"/>
    <w:rsid w:val="05C20D1A"/>
    <w:rsid w:val="05DD77DA"/>
    <w:rsid w:val="05E570CC"/>
    <w:rsid w:val="05E60001"/>
    <w:rsid w:val="05E61160"/>
    <w:rsid w:val="05E64FBA"/>
    <w:rsid w:val="05EF52C8"/>
    <w:rsid w:val="05F11A75"/>
    <w:rsid w:val="062A44AF"/>
    <w:rsid w:val="063E340C"/>
    <w:rsid w:val="065F1453"/>
    <w:rsid w:val="06612458"/>
    <w:rsid w:val="06633218"/>
    <w:rsid w:val="066D5F43"/>
    <w:rsid w:val="066F5090"/>
    <w:rsid w:val="067A5870"/>
    <w:rsid w:val="067A6032"/>
    <w:rsid w:val="068805E7"/>
    <w:rsid w:val="06881577"/>
    <w:rsid w:val="06930D7E"/>
    <w:rsid w:val="06992382"/>
    <w:rsid w:val="069F394E"/>
    <w:rsid w:val="06A170F3"/>
    <w:rsid w:val="06C26FEB"/>
    <w:rsid w:val="06C620FA"/>
    <w:rsid w:val="06C75CB5"/>
    <w:rsid w:val="06D13A06"/>
    <w:rsid w:val="06D56611"/>
    <w:rsid w:val="06DA6F81"/>
    <w:rsid w:val="06DC3A32"/>
    <w:rsid w:val="06E45F93"/>
    <w:rsid w:val="06F37001"/>
    <w:rsid w:val="07005B38"/>
    <w:rsid w:val="0705457D"/>
    <w:rsid w:val="070D48CE"/>
    <w:rsid w:val="07364A4C"/>
    <w:rsid w:val="075B095F"/>
    <w:rsid w:val="07687B73"/>
    <w:rsid w:val="076D2C0D"/>
    <w:rsid w:val="078968F1"/>
    <w:rsid w:val="078C107C"/>
    <w:rsid w:val="078E4C5C"/>
    <w:rsid w:val="07974ADF"/>
    <w:rsid w:val="07A359AA"/>
    <w:rsid w:val="07B00F1D"/>
    <w:rsid w:val="07DF782C"/>
    <w:rsid w:val="07EF2444"/>
    <w:rsid w:val="07F3404A"/>
    <w:rsid w:val="07F51BAB"/>
    <w:rsid w:val="080647CE"/>
    <w:rsid w:val="081A2A1A"/>
    <w:rsid w:val="08276797"/>
    <w:rsid w:val="082A5356"/>
    <w:rsid w:val="082D6F32"/>
    <w:rsid w:val="083E11BD"/>
    <w:rsid w:val="08625011"/>
    <w:rsid w:val="08682F69"/>
    <w:rsid w:val="08767126"/>
    <w:rsid w:val="08805332"/>
    <w:rsid w:val="0884628E"/>
    <w:rsid w:val="088816B9"/>
    <w:rsid w:val="089E1642"/>
    <w:rsid w:val="08BA426F"/>
    <w:rsid w:val="08D84358"/>
    <w:rsid w:val="08E522B1"/>
    <w:rsid w:val="08EB7112"/>
    <w:rsid w:val="08EC2B41"/>
    <w:rsid w:val="08EE5F29"/>
    <w:rsid w:val="08F07C2D"/>
    <w:rsid w:val="08F4703A"/>
    <w:rsid w:val="08F66B32"/>
    <w:rsid w:val="08F75018"/>
    <w:rsid w:val="08FA146D"/>
    <w:rsid w:val="090030B6"/>
    <w:rsid w:val="090620B8"/>
    <w:rsid w:val="09075A53"/>
    <w:rsid w:val="09127C2A"/>
    <w:rsid w:val="091A2C9A"/>
    <w:rsid w:val="091A7D77"/>
    <w:rsid w:val="09281FD6"/>
    <w:rsid w:val="09292548"/>
    <w:rsid w:val="092A2DE7"/>
    <w:rsid w:val="092E6173"/>
    <w:rsid w:val="09353038"/>
    <w:rsid w:val="094314F2"/>
    <w:rsid w:val="09465B74"/>
    <w:rsid w:val="0946613C"/>
    <w:rsid w:val="094846AB"/>
    <w:rsid w:val="0948646A"/>
    <w:rsid w:val="09551119"/>
    <w:rsid w:val="09577B8B"/>
    <w:rsid w:val="09675EB5"/>
    <w:rsid w:val="096E6879"/>
    <w:rsid w:val="097B4EAF"/>
    <w:rsid w:val="0992244E"/>
    <w:rsid w:val="0998469B"/>
    <w:rsid w:val="099D1B9C"/>
    <w:rsid w:val="09A9515D"/>
    <w:rsid w:val="09AB6505"/>
    <w:rsid w:val="09AC384F"/>
    <w:rsid w:val="09B16020"/>
    <w:rsid w:val="09B76C6A"/>
    <w:rsid w:val="09BB62F2"/>
    <w:rsid w:val="09D26AB5"/>
    <w:rsid w:val="09D624DE"/>
    <w:rsid w:val="09EA7679"/>
    <w:rsid w:val="0A097FBA"/>
    <w:rsid w:val="0A1C2502"/>
    <w:rsid w:val="0A2B4270"/>
    <w:rsid w:val="0A314B36"/>
    <w:rsid w:val="0A381821"/>
    <w:rsid w:val="0A452777"/>
    <w:rsid w:val="0A4632D9"/>
    <w:rsid w:val="0A4E36C6"/>
    <w:rsid w:val="0A5C220E"/>
    <w:rsid w:val="0A8B7316"/>
    <w:rsid w:val="0A8C110E"/>
    <w:rsid w:val="0AA16F7A"/>
    <w:rsid w:val="0AAA7062"/>
    <w:rsid w:val="0AAD4EDD"/>
    <w:rsid w:val="0AB55D02"/>
    <w:rsid w:val="0ABF0BD3"/>
    <w:rsid w:val="0ACC08EE"/>
    <w:rsid w:val="0AD05264"/>
    <w:rsid w:val="0ADB3B99"/>
    <w:rsid w:val="0AE5691F"/>
    <w:rsid w:val="0AEC6CAF"/>
    <w:rsid w:val="0AF639B0"/>
    <w:rsid w:val="0AF65375"/>
    <w:rsid w:val="0AFB19E5"/>
    <w:rsid w:val="0B081D3B"/>
    <w:rsid w:val="0B0C32F3"/>
    <w:rsid w:val="0B0C4720"/>
    <w:rsid w:val="0B197E66"/>
    <w:rsid w:val="0B266A33"/>
    <w:rsid w:val="0B2D2AD7"/>
    <w:rsid w:val="0B2E01DA"/>
    <w:rsid w:val="0B2E5519"/>
    <w:rsid w:val="0B346A82"/>
    <w:rsid w:val="0B38067D"/>
    <w:rsid w:val="0B3C6044"/>
    <w:rsid w:val="0B535598"/>
    <w:rsid w:val="0B5B4093"/>
    <w:rsid w:val="0B6D1EA2"/>
    <w:rsid w:val="0B6E17CE"/>
    <w:rsid w:val="0B704E99"/>
    <w:rsid w:val="0B7371A6"/>
    <w:rsid w:val="0B7609EE"/>
    <w:rsid w:val="0B893A5C"/>
    <w:rsid w:val="0B8A79AF"/>
    <w:rsid w:val="0BA55BDE"/>
    <w:rsid w:val="0BB7E64E"/>
    <w:rsid w:val="0BBE65A8"/>
    <w:rsid w:val="0BC407FB"/>
    <w:rsid w:val="0BDC277F"/>
    <w:rsid w:val="0BEF6659"/>
    <w:rsid w:val="0BF81BBC"/>
    <w:rsid w:val="0C015150"/>
    <w:rsid w:val="0C121E0B"/>
    <w:rsid w:val="0C195DBC"/>
    <w:rsid w:val="0C27651D"/>
    <w:rsid w:val="0C342351"/>
    <w:rsid w:val="0C347EB6"/>
    <w:rsid w:val="0C36466D"/>
    <w:rsid w:val="0C4161CB"/>
    <w:rsid w:val="0C5114BF"/>
    <w:rsid w:val="0C5313A4"/>
    <w:rsid w:val="0C580538"/>
    <w:rsid w:val="0C5A588C"/>
    <w:rsid w:val="0C635FA4"/>
    <w:rsid w:val="0C682019"/>
    <w:rsid w:val="0C6A5F94"/>
    <w:rsid w:val="0C6B0C28"/>
    <w:rsid w:val="0C721CF1"/>
    <w:rsid w:val="0C751045"/>
    <w:rsid w:val="0C8E3C60"/>
    <w:rsid w:val="0C954B1D"/>
    <w:rsid w:val="0CAC493E"/>
    <w:rsid w:val="0CB260FC"/>
    <w:rsid w:val="0CB657C6"/>
    <w:rsid w:val="0CB85B3B"/>
    <w:rsid w:val="0CD10C70"/>
    <w:rsid w:val="0CDC30BC"/>
    <w:rsid w:val="0CE07323"/>
    <w:rsid w:val="0CE07C46"/>
    <w:rsid w:val="0CED4FEA"/>
    <w:rsid w:val="0CF5147B"/>
    <w:rsid w:val="0D025EA5"/>
    <w:rsid w:val="0D0B0957"/>
    <w:rsid w:val="0D142F14"/>
    <w:rsid w:val="0D2C0E94"/>
    <w:rsid w:val="0D2F35F9"/>
    <w:rsid w:val="0D66545C"/>
    <w:rsid w:val="0D6B717A"/>
    <w:rsid w:val="0D6F45C7"/>
    <w:rsid w:val="0D821992"/>
    <w:rsid w:val="0DA10224"/>
    <w:rsid w:val="0DA25357"/>
    <w:rsid w:val="0DAC1FF0"/>
    <w:rsid w:val="0DB1705C"/>
    <w:rsid w:val="0DB37D75"/>
    <w:rsid w:val="0DB811DB"/>
    <w:rsid w:val="0DBA2787"/>
    <w:rsid w:val="0DC12134"/>
    <w:rsid w:val="0DC31923"/>
    <w:rsid w:val="0DCA7B13"/>
    <w:rsid w:val="0DCE6B59"/>
    <w:rsid w:val="0DE44432"/>
    <w:rsid w:val="0DEF149A"/>
    <w:rsid w:val="0DF504D7"/>
    <w:rsid w:val="0E036A28"/>
    <w:rsid w:val="0E0552CC"/>
    <w:rsid w:val="0E2E0EBE"/>
    <w:rsid w:val="0E47447A"/>
    <w:rsid w:val="0E4C14FB"/>
    <w:rsid w:val="0E514EA5"/>
    <w:rsid w:val="0E611573"/>
    <w:rsid w:val="0E634B18"/>
    <w:rsid w:val="0E6401D1"/>
    <w:rsid w:val="0E651521"/>
    <w:rsid w:val="0E661FB6"/>
    <w:rsid w:val="0E663744"/>
    <w:rsid w:val="0E6F23C7"/>
    <w:rsid w:val="0E763E38"/>
    <w:rsid w:val="0E836419"/>
    <w:rsid w:val="0E8854FB"/>
    <w:rsid w:val="0E947A66"/>
    <w:rsid w:val="0E9833E6"/>
    <w:rsid w:val="0EA77ADD"/>
    <w:rsid w:val="0EC37076"/>
    <w:rsid w:val="0EC37A24"/>
    <w:rsid w:val="0ED41EEF"/>
    <w:rsid w:val="0EF034AB"/>
    <w:rsid w:val="0EF112B2"/>
    <w:rsid w:val="0F091448"/>
    <w:rsid w:val="0F154E41"/>
    <w:rsid w:val="0F1E70E7"/>
    <w:rsid w:val="0F293DB0"/>
    <w:rsid w:val="0F2E5D4C"/>
    <w:rsid w:val="0F355373"/>
    <w:rsid w:val="0F392121"/>
    <w:rsid w:val="0F500AAD"/>
    <w:rsid w:val="0F515C7A"/>
    <w:rsid w:val="0F5327DA"/>
    <w:rsid w:val="0F5838F2"/>
    <w:rsid w:val="0F7E7043"/>
    <w:rsid w:val="0F8B0ADD"/>
    <w:rsid w:val="0F9515C7"/>
    <w:rsid w:val="0FA04025"/>
    <w:rsid w:val="0FA43DBF"/>
    <w:rsid w:val="0FA92807"/>
    <w:rsid w:val="0FA96591"/>
    <w:rsid w:val="0FAA1800"/>
    <w:rsid w:val="0FAD455E"/>
    <w:rsid w:val="0FB94A66"/>
    <w:rsid w:val="0FBF12DE"/>
    <w:rsid w:val="0FC00FD2"/>
    <w:rsid w:val="0FCF6175"/>
    <w:rsid w:val="0FDE179C"/>
    <w:rsid w:val="0FE30618"/>
    <w:rsid w:val="0FE41FDE"/>
    <w:rsid w:val="0FE81C1D"/>
    <w:rsid w:val="0FF072C7"/>
    <w:rsid w:val="0FF87DD2"/>
    <w:rsid w:val="10077BBA"/>
    <w:rsid w:val="101629EB"/>
    <w:rsid w:val="102736D0"/>
    <w:rsid w:val="102C7D44"/>
    <w:rsid w:val="10350AA9"/>
    <w:rsid w:val="1044678B"/>
    <w:rsid w:val="106344F9"/>
    <w:rsid w:val="106E7C51"/>
    <w:rsid w:val="107B3173"/>
    <w:rsid w:val="10914F88"/>
    <w:rsid w:val="10A13E2A"/>
    <w:rsid w:val="10AF05A0"/>
    <w:rsid w:val="10B21301"/>
    <w:rsid w:val="10B75631"/>
    <w:rsid w:val="10C45CE4"/>
    <w:rsid w:val="110B2FB0"/>
    <w:rsid w:val="112963A5"/>
    <w:rsid w:val="11315402"/>
    <w:rsid w:val="11586E4C"/>
    <w:rsid w:val="115D46B1"/>
    <w:rsid w:val="116537E5"/>
    <w:rsid w:val="1169450A"/>
    <w:rsid w:val="116B772E"/>
    <w:rsid w:val="11762017"/>
    <w:rsid w:val="118F3035"/>
    <w:rsid w:val="11902D52"/>
    <w:rsid w:val="1193139F"/>
    <w:rsid w:val="119836EC"/>
    <w:rsid w:val="11A113D2"/>
    <w:rsid w:val="11A13E19"/>
    <w:rsid w:val="11A337C2"/>
    <w:rsid w:val="11B91225"/>
    <w:rsid w:val="11C52912"/>
    <w:rsid w:val="11D53A3D"/>
    <w:rsid w:val="11DE26F6"/>
    <w:rsid w:val="120F0E58"/>
    <w:rsid w:val="121635CE"/>
    <w:rsid w:val="12307B5E"/>
    <w:rsid w:val="1238707D"/>
    <w:rsid w:val="123F7018"/>
    <w:rsid w:val="125D54CB"/>
    <w:rsid w:val="12607A2D"/>
    <w:rsid w:val="126A535E"/>
    <w:rsid w:val="12822265"/>
    <w:rsid w:val="12940F2D"/>
    <w:rsid w:val="129B148F"/>
    <w:rsid w:val="12A204D0"/>
    <w:rsid w:val="12AF73DE"/>
    <w:rsid w:val="12B76B0D"/>
    <w:rsid w:val="12D746E8"/>
    <w:rsid w:val="12E332FA"/>
    <w:rsid w:val="12F01052"/>
    <w:rsid w:val="12F12F9E"/>
    <w:rsid w:val="12F75FF5"/>
    <w:rsid w:val="13004C3E"/>
    <w:rsid w:val="130F7CE7"/>
    <w:rsid w:val="13135703"/>
    <w:rsid w:val="131362DC"/>
    <w:rsid w:val="132D7A2F"/>
    <w:rsid w:val="133409BB"/>
    <w:rsid w:val="133F3392"/>
    <w:rsid w:val="13492B62"/>
    <w:rsid w:val="13684472"/>
    <w:rsid w:val="136E7CAF"/>
    <w:rsid w:val="138222B2"/>
    <w:rsid w:val="139522A0"/>
    <w:rsid w:val="13B72832"/>
    <w:rsid w:val="13BA0AF5"/>
    <w:rsid w:val="13BA0BEB"/>
    <w:rsid w:val="13BD18F7"/>
    <w:rsid w:val="13C35CD1"/>
    <w:rsid w:val="13C63A51"/>
    <w:rsid w:val="13C83BE4"/>
    <w:rsid w:val="13D1169E"/>
    <w:rsid w:val="13D56B53"/>
    <w:rsid w:val="13DD011A"/>
    <w:rsid w:val="13E30590"/>
    <w:rsid w:val="13E843A1"/>
    <w:rsid w:val="13FB3D98"/>
    <w:rsid w:val="1403644B"/>
    <w:rsid w:val="141731A4"/>
    <w:rsid w:val="143A501D"/>
    <w:rsid w:val="143C398A"/>
    <w:rsid w:val="14540FBC"/>
    <w:rsid w:val="14691F61"/>
    <w:rsid w:val="147036BF"/>
    <w:rsid w:val="1497147D"/>
    <w:rsid w:val="149D101A"/>
    <w:rsid w:val="14A27F30"/>
    <w:rsid w:val="14A763BF"/>
    <w:rsid w:val="14AA798D"/>
    <w:rsid w:val="14B045A3"/>
    <w:rsid w:val="14CE5904"/>
    <w:rsid w:val="14E94451"/>
    <w:rsid w:val="14ED01F3"/>
    <w:rsid w:val="14FD7E50"/>
    <w:rsid w:val="150F496E"/>
    <w:rsid w:val="15251BDA"/>
    <w:rsid w:val="152557F8"/>
    <w:rsid w:val="152E4435"/>
    <w:rsid w:val="15303EC3"/>
    <w:rsid w:val="153756DA"/>
    <w:rsid w:val="15421D14"/>
    <w:rsid w:val="154C1133"/>
    <w:rsid w:val="15500816"/>
    <w:rsid w:val="155E28B8"/>
    <w:rsid w:val="155E2E9F"/>
    <w:rsid w:val="15821B76"/>
    <w:rsid w:val="158E445F"/>
    <w:rsid w:val="159D64B9"/>
    <w:rsid w:val="159F4AC2"/>
    <w:rsid w:val="15B2020C"/>
    <w:rsid w:val="15B27B74"/>
    <w:rsid w:val="15C1538F"/>
    <w:rsid w:val="15D905AC"/>
    <w:rsid w:val="15DD5FFB"/>
    <w:rsid w:val="15F020C0"/>
    <w:rsid w:val="15F250DF"/>
    <w:rsid w:val="15F77F8C"/>
    <w:rsid w:val="16053AF1"/>
    <w:rsid w:val="160B5F4A"/>
    <w:rsid w:val="160D7966"/>
    <w:rsid w:val="161C0D90"/>
    <w:rsid w:val="16365169"/>
    <w:rsid w:val="163F67DF"/>
    <w:rsid w:val="16400D29"/>
    <w:rsid w:val="164A4609"/>
    <w:rsid w:val="164B037A"/>
    <w:rsid w:val="165916AA"/>
    <w:rsid w:val="16596D58"/>
    <w:rsid w:val="16755FAF"/>
    <w:rsid w:val="167A4B59"/>
    <w:rsid w:val="168228A2"/>
    <w:rsid w:val="16867800"/>
    <w:rsid w:val="16893C88"/>
    <w:rsid w:val="168B753F"/>
    <w:rsid w:val="168C09B3"/>
    <w:rsid w:val="169556B0"/>
    <w:rsid w:val="16A22220"/>
    <w:rsid w:val="16C96D7D"/>
    <w:rsid w:val="16D62CF8"/>
    <w:rsid w:val="16DC62F6"/>
    <w:rsid w:val="16F7709F"/>
    <w:rsid w:val="17032F48"/>
    <w:rsid w:val="170340F2"/>
    <w:rsid w:val="170412C1"/>
    <w:rsid w:val="170C5D38"/>
    <w:rsid w:val="170E56B0"/>
    <w:rsid w:val="171750B3"/>
    <w:rsid w:val="17326510"/>
    <w:rsid w:val="1733456F"/>
    <w:rsid w:val="173A21D2"/>
    <w:rsid w:val="17412155"/>
    <w:rsid w:val="17560404"/>
    <w:rsid w:val="17574A29"/>
    <w:rsid w:val="175936C3"/>
    <w:rsid w:val="175D31EA"/>
    <w:rsid w:val="177C3F5A"/>
    <w:rsid w:val="17B374D2"/>
    <w:rsid w:val="17BE61EF"/>
    <w:rsid w:val="17C07725"/>
    <w:rsid w:val="17C22731"/>
    <w:rsid w:val="17C2495F"/>
    <w:rsid w:val="17CD000B"/>
    <w:rsid w:val="17D2179B"/>
    <w:rsid w:val="17D81ED7"/>
    <w:rsid w:val="17E01A41"/>
    <w:rsid w:val="17ED2E4D"/>
    <w:rsid w:val="17F5409B"/>
    <w:rsid w:val="17F730B7"/>
    <w:rsid w:val="18046E47"/>
    <w:rsid w:val="181B199E"/>
    <w:rsid w:val="1823219C"/>
    <w:rsid w:val="18283386"/>
    <w:rsid w:val="182A420E"/>
    <w:rsid w:val="183C6202"/>
    <w:rsid w:val="185C0435"/>
    <w:rsid w:val="186D105B"/>
    <w:rsid w:val="186F6AE2"/>
    <w:rsid w:val="186F7706"/>
    <w:rsid w:val="18763CB0"/>
    <w:rsid w:val="18794169"/>
    <w:rsid w:val="188C54E8"/>
    <w:rsid w:val="189B4117"/>
    <w:rsid w:val="18A46D85"/>
    <w:rsid w:val="18A907DC"/>
    <w:rsid w:val="18AC32DE"/>
    <w:rsid w:val="18B12E63"/>
    <w:rsid w:val="18B57E8E"/>
    <w:rsid w:val="18DF39A8"/>
    <w:rsid w:val="18E6739D"/>
    <w:rsid w:val="18F32BB1"/>
    <w:rsid w:val="18F84666"/>
    <w:rsid w:val="19137858"/>
    <w:rsid w:val="192E43BC"/>
    <w:rsid w:val="19326E77"/>
    <w:rsid w:val="194016CC"/>
    <w:rsid w:val="19414540"/>
    <w:rsid w:val="194145A5"/>
    <w:rsid w:val="19424A38"/>
    <w:rsid w:val="195327C0"/>
    <w:rsid w:val="196C749E"/>
    <w:rsid w:val="1996146A"/>
    <w:rsid w:val="19AA3DA4"/>
    <w:rsid w:val="19AC5BAE"/>
    <w:rsid w:val="19BA3ADB"/>
    <w:rsid w:val="19C91205"/>
    <w:rsid w:val="19DB0F94"/>
    <w:rsid w:val="19F54655"/>
    <w:rsid w:val="19FA7004"/>
    <w:rsid w:val="19FF5EC7"/>
    <w:rsid w:val="1A0C0B39"/>
    <w:rsid w:val="1A1D0BAD"/>
    <w:rsid w:val="1A202464"/>
    <w:rsid w:val="1A3167A7"/>
    <w:rsid w:val="1A375A2D"/>
    <w:rsid w:val="1A377FC1"/>
    <w:rsid w:val="1A3E7639"/>
    <w:rsid w:val="1A4702CC"/>
    <w:rsid w:val="1A4B5AF4"/>
    <w:rsid w:val="1A6B15F9"/>
    <w:rsid w:val="1A7E3697"/>
    <w:rsid w:val="1A83598B"/>
    <w:rsid w:val="1A8B0436"/>
    <w:rsid w:val="1A9433BA"/>
    <w:rsid w:val="1A9E141F"/>
    <w:rsid w:val="1AA822FA"/>
    <w:rsid w:val="1AB2343B"/>
    <w:rsid w:val="1AB5371D"/>
    <w:rsid w:val="1AB556B6"/>
    <w:rsid w:val="1AB86BAD"/>
    <w:rsid w:val="1ABB4B98"/>
    <w:rsid w:val="1AD01DA7"/>
    <w:rsid w:val="1AD07A86"/>
    <w:rsid w:val="1AD70E60"/>
    <w:rsid w:val="1AD75236"/>
    <w:rsid w:val="1ADC4DC3"/>
    <w:rsid w:val="1ADD447F"/>
    <w:rsid w:val="1AE43435"/>
    <w:rsid w:val="1AF30AA9"/>
    <w:rsid w:val="1B052446"/>
    <w:rsid w:val="1B2D779D"/>
    <w:rsid w:val="1B39458C"/>
    <w:rsid w:val="1B490950"/>
    <w:rsid w:val="1B5B2232"/>
    <w:rsid w:val="1B5C578B"/>
    <w:rsid w:val="1B5D0D89"/>
    <w:rsid w:val="1B6A35DB"/>
    <w:rsid w:val="1B6E3B2A"/>
    <w:rsid w:val="1B782C3F"/>
    <w:rsid w:val="1B7D7C38"/>
    <w:rsid w:val="1B8A7FBC"/>
    <w:rsid w:val="1B9423A4"/>
    <w:rsid w:val="1B9C0FD3"/>
    <w:rsid w:val="1BA013E4"/>
    <w:rsid w:val="1BAF5230"/>
    <w:rsid w:val="1BAF77A5"/>
    <w:rsid w:val="1BB719B2"/>
    <w:rsid w:val="1BB72F3B"/>
    <w:rsid w:val="1BBA544D"/>
    <w:rsid w:val="1BBB2CBB"/>
    <w:rsid w:val="1BBC7041"/>
    <w:rsid w:val="1BC06BF9"/>
    <w:rsid w:val="1BC449CF"/>
    <w:rsid w:val="1BCA5234"/>
    <w:rsid w:val="1BDA7F06"/>
    <w:rsid w:val="1BEA1165"/>
    <w:rsid w:val="1BF520EC"/>
    <w:rsid w:val="1C071B9A"/>
    <w:rsid w:val="1C0C5C5F"/>
    <w:rsid w:val="1C167B0B"/>
    <w:rsid w:val="1C1A20C8"/>
    <w:rsid w:val="1C2771EF"/>
    <w:rsid w:val="1C295ACB"/>
    <w:rsid w:val="1C3D1800"/>
    <w:rsid w:val="1C401C28"/>
    <w:rsid w:val="1C4667B9"/>
    <w:rsid w:val="1C4A1A87"/>
    <w:rsid w:val="1C797C46"/>
    <w:rsid w:val="1C7E350E"/>
    <w:rsid w:val="1C821C46"/>
    <w:rsid w:val="1C8454F9"/>
    <w:rsid w:val="1C954279"/>
    <w:rsid w:val="1CB415D1"/>
    <w:rsid w:val="1CBC7FC0"/>
    <w:rsid w:val="1CBD2332"/>
    <w:rsid w:val="1CC7091E"/>
    <w:rsid w:val="1CCB392B"/>
    <w:rsid w:val="1CE14E51"/>
    <w:rsid w:val="1CE32E87"/>
    <w:rsid w:val="1CE50C39"/>
    <w:rsid w:val="1CF86CEC"/>
    <w:rsid w:val="1CFB5568"/>
    <w:rsid w:val="1CFD4736"/>
    <w:rsid w:val="1D004728"/>
    <w:rsid w:val="1D0E3204"/>
    <w:rsid w:val="1D1E1870"/>
    <w:rsid w:val="1D226B51"/>
    <w:rsid w:val="1D33733A"/>
    <w:rsid w:val="1D370DB7"/>
    <w:rsid w:val="1D3A6321"/>
    <w:rsid w:val="1D4E2A7B"/>
    <w:rsid w:val="1D5A5F8D"/>
    <w:rsid w:val="1D753D60"/>
    <w:rsid w:val="1D7E44AC"/>
    <w:rsid w:val="1D846243"/>
    <w:rsid w:val="1D95240A"/>
    <w:rsid w:val="1DA52FDB"/>
    <w:rsid w:val="1DB064E6"/>
    <w:rsid w:val="1DB90C13"/>
    <w:rsid w:val="1DBB7A07"/>
    <w:rsid w:val="1DE351BB"/>
    <w:rsid w:val="1DE5754E"/>
    <w:rsid w:val="1DF84BBF"/>
    <w:rsid w:val="1DFE7449"/>
    <w:rsid w:val="1E0C08E5"/>
    <w:rsid w:val="1E2F69CD"/>
    <w:rsid w:val="1E5B1377"/>
    <w:rsid w:val="1E5C0E57"/>
    <w:rsid w:val="1E725C5C"/>
    <w:rsid w:val="1E7E4039"/>
    <w:rsid w:val="1E901FEE"/>
    <w:rsid w:val="1E9442E7"/>
    <w:rsid w:val="1E994219"/>
    <w:rsid w:val="1EA078AE"/>
    <w:rsid w:val="1EA45EC1"/>
    <w:rsid w:val="1EA721E8"/>
    <w:rsid w:val="1EB40283"/>
    <w:rsid w:val="1EC630A4"/>
    <w:rsid w:val="1ED02528"/>
    <w:rsid w:val="1ED45CAE"/>
    <w:rsid w:val="1EDF295B"/>
    <w:rsid w:val="1F1C6EB6"/>
    <w:rsid w:val="1F210717"/>
    <w:rsid w:val="1F3C77CC"/>
    <w:rsid w:val="1F424DC2"/>
    <w:rsid w:val="1F5401CC"/>
    <w:rsid w:val="1F570644"/>
    <w:rsid w:val="1F59199D"/>
    <w:rsid w:val="1F5E65C5"/>
    <w:rsid w:val="1F684DF5"/>
    <w:rsid w:val="1F7E4383"/>
    <w:rsid w:val="1F8C6911"/>
    <w:rsid w:val="1F980B1B"/>
    <w:rsid w:val="1FA06616"/>
    <w:rsid w:val="1FAD03A2"/>
    <w:rsid w:val="1FB05B86"/>
    <w:rsid w:val="1FB267F7"/>
    <w:rsid w:val="1FB63256"/>
    <w:rsid w:val="1FC619C3"/>
    <w:rsid w:val="1FD323FE"/>
    <w:rsid w:val="1FD4042C"/>
    <w:rsid w:val="1FE1419D"/>
    <w:rsid w:val="1FE97CC1"/>
    <w:rsid w:val="1FF0410F"/>
    <w:rsid w:val="1FF11016"/>
    <w:rsid w:val="1FF34102"/>
    <w:rsid w:val="1FF82DDD"/>
    <w:rsid w:val="200C0EF0"/>
    <w:rsid w:val="200E2178"/>
    <w:rsid w:val="20102412"/>
    <w:rsid w:val="204228BF"/>
    <w:rsid w:val="20614265"/>
    <w:rsid w:val="207447E3"/>
    <w:rsid w:val="20A6660B"/>
    <w:rsid w:val="20A7119D"/>
    <w:rsid w:val="20B77808"/>
    <w:rsid w:val="20C26B79"/>
    <w:rsid w:val="20E52835"/>
    <w:rsid w:val="20FB711F"/>
    <w:rsid w:val="2130504F"/>
    <w:rsid w:val="21334678"/>
    <w:rsid w:val="21382F0C"/>
    <w:rsid w:val="214A05AE"/>
    <w:rsid w:val="214B28B3"/>
    <w:rsid w:val="21537630"/>
    <w:rsid w:val="216B68D1"/>
    <w:rsid w:val="217B3E84"/>
    <w:rsid w:val="217B6C76"/>
    <w:rsid w:val="218D4CC7"/>
    <w:rsid w:val="21934972"/>
    <w:rsid w:val="21A5137A"/>
    <w:rsid w:val="21AD7069"/>
    <w:rsid w:val="21AF090B"/>
    <w:rsid w:val="21CE76F6"/>
    <w:rsid w:val="21CF315A"/>
    <w:rsid w:val="21CF3C44"/>
    <w:rsid w:val="21DB4941"/>
    <w:rsid w:val="21DE7C36"/>
    <w:rsid w:val="21DF3A01"/>
    <w:rsid w:val="21E257BE"/>
    <w:rsid w:val="21F506E7"/>
    <w:rsid w:val="220A5EF5"/>
    <w:rsid w:val="22197D89"/>
    <w:rsid w:val="224D398A"/>
    <w:rsid w:val="224E2203"/>
    <w:rsid w:val="22585F0F"/>
    <w:rsid w:val="225F0503"/>
    <w:rsid w:val="22603DB2"/>
    <w:rsid w:val="226B5CC4"/>
    <w:rsid w:val="226D4721"/>
    <w:rsid w:val="226D7641"/>
    <w:rsid w:val="227A0DBF"/>
    <w:rsid w:val="228B0CE6"/>
    <w:rsid w:val="229159BD"/>
    <w:rsid w:val="229C5EDB"/>
    <w:rsid w:val="22AB3A42"/>
    <w:rsid w:val="22AF2482"/>
    <w:rsid w:val="22B44D35"/>
    <w:rsid w:val="22B8500B"/>
    <w:rsid w:val="22CB52CD"/>
    <w:rsid w:val="230F3C1C"/>
    <w:rsid w:val="231B258A"/>
    <w:rsid w:val="23243032"/>
    <w:rsid w:val="23287AA7"/>
    <w:rsid w:val="23305F0F"/>
    <w:rsid w:val="23357659"/>
    <w:rsid w:val="233905CD"/>
    <w:rsid w:val="23524AF1"/>
    <w:rsid w:val="235718E1"/>
    <w:rsid w:val="23694959"/>
    <w:rsid w:val="236C4F12"/>
    <w:rsid w:val="23841D23"/>
    <w:rsid w:val="23882286"/>
    <w:rsid w:val="23925F3C"/>
    <w:rsid w:val="239F4E03"/>
    <w:rsid w:val="23A4229C"/>
    <w:rsid w:val="23AE55A9"/>
    <w:rsid w:val="23B118CE"/>
    <w:rsid w:val="23B6003B"/>
    <w:rsid w:val="23B80D83"/>
    <w:rsid w:val="23E629DD"/>
    <w:rsid w:val="23E6337C"/>
    <w:rsid w:val="23F36F4D"/>
    <w:rsid w:val="23F46D82"/>
    <w:rsid w:val="24034D8D"/>
    <w:rsid w:val="240864B0"/>
    <w:rsid w:val="24105E6F"/>
    <w:rsid w:val="24296431"/>
    <w:rsid w:val="24316E6F"/>
    <w:rsid w:val="24340869"/>
    <w:rsid w:val="24420C3F"/>
    <w:rsid w:val="24487901"/>
    <w:rsid w:val="24547731"/>
    <w:rsid w:val="246758CC"/>
    <w:rsid w:val="24680378"/>
    <w:rsid w:val="246F2D0E"/>
    <w:rsid w:val="24734B0E"/>
    <w:rsid w:val="24741D97"/>
    <w:rsid w:val="24742464"/>
    <w:rsid w:val="248E11DE"/>
    <w:rsid w:val="24913210"/>
    <w:rsid w:val="24B81CD3"/>
    <w:rsid w:val="24C512AC"/>
    <w:rsid w:val="24C8071E"/>
    <w:rsid w:val="24C91FF8"/>
    <w:rsid w:val="24D01D21"/>
    <w:rsid w:val="24D22D5D"/>
    <w:rsid w:val="24E35931"/>
    <w:rsid w:val="24E45F8F"/>
    <w:rsid w:val="24EA59AA"/>
    <w:rsid w:val="24EE62D2"/>
    <w:rsid w:val="24F1107B"/>
    <w:rsid w:val="2501250A"/>
    <w:rsid w:val="251B6945"/>
    <w:rsid w:val="251F5695"/>
    <w:rsid w:val="252140E8"/>
    <w:rsid w:val="252C0FEC"/>
    <w:rsid w:val="25441B85"/>
    <w:rsid w:val="254870C0"/>
    <w:rsid w:val="254A4A2E"/>
    <w:rsid w:val="25551B8C"/>
    <w:rsid w:val="255A60CD"/>
    <w:rsid w:val="25661A5A"/>
    <w:rsid w:val="25843F8F"/>
    <w:rsid w:val="259B6168"/>
    <w:rsid w:val="259E0067"/>
    <w:rsid w:val="259F79AE"/>
    <w:rsid w:val="25A01A43"/>
    <w:rsid w:val="25A54413"/>
    <w:rsid w:val="25B41F0F"/>
    <w:rsid w:val="25C3197A"/>
    <w:rsid w:val="25C66622"/>
    <w:rsid w:val="25CB4857"/>
    <w:rsid w:val="25CC59DE"/>
    <w:rsid w:val="25D83187"/>
    <w:rsid w:val="25D907CC"/>
    <w:rsid w:val="25E655C8"/>
    <w:rsid w:val="26045771"/>
    <w:rsid w:val="26074F8F"/>
    <w:rsid w:val="26196CB2"/>
    <w:rsid w:val="261C13E3"/>
    <w:rsid w:val="262E643F"/>
    <w:rsid w:val="263C3E80"/>
    <w:rsid w:val="264708E7"/>
    <w:rsid w:val="2647207D"/>
    <w:rsid w:val="264F4266"/>
    <w:rsid w:val="26593999"/>
    <w:rsid w:val="26753D2C"/>
    <w:rsid w:val="267611D3"/>
    <w:rsid w:val="26835127"/>
    <w:rsid w:val="268E4BBA"/>
    <w:rsid w:val="2691415C"/>
    <w:rsid w:val="26941A92"/>
    <w:rsid w:val="26A06E73"/>
    <w:rsid w:val="26A257DB"/>
    <w:rsid w:val="26B90F8E"/>
    <w:rsid w:val="26C05A32"/>
    <w:rsid w:val="26C54E27"/>
    <w:rsid w:val="26CC3C07"/>
    <w:rsid w:val="26CD7346"/>
    <w:rsid w:val="26DE7854"/>
    <w:rsid w:val="26E70BC5"/>
    <w:rsid w:val="26F9459F"/>
    <w:rsid w:val="27074D3E"/>
    <w:rsid w:val="270B661D"/>
    <w:rsid w:val="271116DB"/>
    <w:rsid w:val="27113F6C"/>
    <w:rsid w:val="271169A4"/>
    <w:rsid w:val="271A51DA"/>
    <w:rsid w:val="27254946"/>
    <w:rsid w:val="272C72DE"/>
    <w:rsid w:val="274A08FC"/>
    <w:rsid w:val="274A6DDF"/>
    <w:rsid w:val="274C764E"/>
    <w:rsid w:val="27514612"/>
    <w:rsid w:val="2756302F"/>
    <w:rsid w:val="275F12B3"/>
    <w:rsid w:val="276026EB"/>
    <w:rsid w:val="2772471C"/>
    <w:rsid w:val="27820227"/>
    <w:rsid w:val="2789575F"/>
    <w:rsid w:val="27A74434"/>
    <w:rsid w:val="27AB06FA"/>
    <w:rsid w:val="27AE734E"/>
    <w:rsid w:val="27B23F45"/>
    <w:rsid w:val="27B85561"/>
    <w:rsid w:val="27BC3987"/>
    <w:rsid w:val="27BC5DA1"/>
    <w:rsid w:val="27BD611A"/>
    <w:rsid w:val="27BE3D53"/>
    <w:rsid w:val="27C66D4B"/>
    <w:rsid w:val="27C71330"/>
    <w:rsid w:val="27E269CB"/>
    <w:rsid w:val="27E91A8C"/>
    <w:rsid w:val="27EC7DE5"/>
    <w:rsid w:val="280005C1"/>
    <w:rsid w:val="28013A27"/>
    <w:rsid w:val="280D0EB8"/>
    <w:rsid w:val="28126C32"/>
    <w:rsid w:val="282D1E68"/>
    <w:rsid w:val="28325075"/>
    <w:rsid w:val="28476258"/>
    <w:rsid w:val="28573CEA"/>
    <w:rsid w:val="28574C9E"/>
    <w:rsid w:val="287439A8"/>
    <w:rsid w:val="287823EF"/>
    <w:rsid w:val="287A594C"/>
    <w:rsid w:val="288E24C6"/>
    <w:rsid w:val="289567A3"/>
    <w:rsid w:val="289B58EF"/>
    <w:rsid w:val="28A120BA"/>
    <w:rsid w:val="28A526C6"/>
    <w:rsid w:val="28A74DCB"/>
    <w:rsid w:val="28D27B61"/>
    <w:rsid w:val="28D53B72"/>
    <w:rsid w:val="28EF1B17"/>
    <w:rsid w:val="29030E83"/>
    <w:rsid w:val="290C626D"/>
    <w:rsid w:val="29175D2F"/>
    <w:rsid w:val="292110CC"/>
    <w:rsid w:val="29226060"/>
    <w:rsid w:val="294076BB"/>
    <w:rsid w:val="29415380"/>
    <w:rsid w:val="294A3E5A"/>
    <w:rsid w:val="294A537A"/>
    <w:rsid w:val="294C4D5F"/>
    <w:rsid w:val="29583A9F"/>
    <w:rsid w:val="29702606"/>
    <w:rsid w:val="298B3C64"/>
    <w:rsid w:val="29956E43"/>
    <w:rsid w:val="29982FE8"/>
    <w:rsid w:val="299B61C1"/>
    <w:rsid w:val="29AA7CF7"/>
    <w:rsid w:val="29B4253B"/>
    <w:rsid w:val="29B5574C"/>
    <w:rsid w:val="29B8457E"/>
    <w:rsid w:val="29BD744E"/>
    <w:rsid w:val="29D43999"/>
    <w:rsid w:val="29D65CF5"/>
    <w:rsid w:val="29E209F9"/>
    <w:rsid w:val="2A13132B"/>
    <w:rsid w:val="2A19034C"/>
    <w:rsid w:val="2A386EBD"/>
    <w:rsid w:val="2A4A4818"/>
    <w:rsid w:val="2A4C1250"/>
    <w:rsid w:val="2A58670E"/>
    <w:rsid w:val="2A6E0E4E"/>
    <w:rsid w:val="2A7108CA"/>
    <w:rsid w:val="2A766B21"/>
    <w:rsid w:val="2A7A6E34"/>
    <w:rsid w:val="2A7C3754"/>
    <w:rsid w:val="2A904695"/>
    <w:rsid w:val="2AA147F9"/>
    <w:rsid w:val="2AA50BDA"/>
    <w:rsid w:val="2AAD37BB"/>
    <w:rsid w:val="2ABA0D7B"/>
    <w:rsid w:val="2AC1385C"/>
    <w:rsid w:val="2AC564FC"/>
    <w:rsid w:val="2ACF0152"/>
    <w:rsid w:val="2ADA4DFF"/>
    <w:rsid w:val="2AE150F8"/>
    <w:rsid w:val="2AF46D91"/>
    <w:rsid w:val="2AF86B85"/>
    <w:rsid w:val="2AFC41F1"/>
    <w:rsid w:val="2B011FE4"/>
    <w:rsid w:val="2B0702E2"/>
    <w:rsid w:val="2B115E11"/>
    <w:rsid w:val="2B28410E"/>
    <w:rsid w:val="2B2C0F68"/>
    <w:rsid w:val="2B517956"/>
    <w:rsid w:val="2B525722"/>
    <w:rsid w:val="2B5D39BA"/>
    <w:rsid w:val="2B6D1A08"/>
    <w:rsid w:val="2B753C76"/>
    <w:rsid w:val="2B785630"/>
    <w:rsid w:val="2B793974"/>
    <w:rsid w:val="2B803C7B"/>
    <w:rsid w:val="2B86355C"/>
    <w:rsid w:val="2B8C6F33"/>
    <w:rsid w:val="2B8F1184"/>
    <w:rsid w:val="2B9065E0"/>
    <w:rsid w:val="2B9729CB"/>
    <w:rsid w:val="2BB7608B"/>
    <w:rsid w:val="2BC211D1"/>
    <w:rsid w:val="2BC41B44"/>
    <w:rsid w:val="2BDB72B4"/>
    <w:rsid w:val="2BDE14EC"/>
    <w:rsid w:val="2BF043F9"/>
    <w:rsid w:val="2BF62E76"/>
    <w:rsid w:val="2BF84D8E"/>
    <w:rsid w:val="2C033ABC"/>
    <w:rsid w:val="2C047B3A"/>
    <w:rsid w:val="2C1305B1"/>
    <w:rsid w:val="2C1758CF"/>
    <w:rsid w:val="2C1A354E"/>
    <w:rsid w:val="2C1F3B79"/>
    <w:rsid w:val="2C452B2D"/>
    <w:rsid w:val="2C492C36"/>
    <w:rsid w:val="2C60237D"/>
    <w:rsid w:val="2C6A57CD"/>
    <w:rsid w:val="2C6E6FCD"/>
    <w:rsid w:val="2C72135B"/>
    <w:rsid w:val="2C83572D"/>
    <w:rsid w:val="2C8C5A7E"/>
    <w:rsid w:val="2C8D55AD"/>
    <w:rsid w:val="2C9248BA"/>
    <w:rsid w:val="2CBE3246"/>
    <w:rsid w:val="2CC802D9"/>
    <w:rsid w:val="2CDC502F"/>
    <w:rsid w:val="2CDF4F09"/>
    <w:rsid w:val="2CE27524"/>
    <w:rsid w:val="2CEB0142"/>
    <w:rsid w:val="2CF320D2"/>
    <w:rsid w:val="2CF83F53"/>
    <w:rsid w:val="2D054E05"/>
    <w:rsid w:val="2D147B89"/>
    <w:rsid w:val="2D1E33D5"/>
    <w:rsid w:val="2D2A393B"/>
    <w:rsid w:val="2D336006"/>
    <w:rsid w:val="2D3D4E17"/>
    <w:rsid w:val="2D4935AD"/>
    <w:rsid w:val="2DA26D95"/>
    <w:rsid w:val="2DA413CA"/>
    <w:rsid w:val="2DC05192"/>
    <w:rsid w:val="2DE805FC"/>
    <w:rsid w:val="2DF0342C"/>
    <w:rsid w:val="2E0C6F3E"/>
    <w:rsid w:val="2E0F2B6F"/>
    <w:rsid w:val="2E1977B8"/>
    <w:rsid w:val="2E2200F6"/>
    <w:rsid w:val="2E235EAC"/>
    <w:rsid w:val="2E275878"/>
    <w:rsid w:val="2E306822"/>
    <w:rsid w:val="2E3A22AB"/>
    <w:rsid w:val="2E3C0D78"/>
    <w:rsid w:val="2E570AA3"/>
    <w:rsid w:val="2E6B2CE1"/>
    <w:rsid w:val="2E7B61FD"/>
    <w:rsid w:val="2E7F48C7"/>
    <w:rsid w:val="2E883F4F"/>
    <w:rsid w:val="2E995B75"/>
    <w:rsid w:val="2E9A38AB"/>
    <w:rsid w:val="2E9F7ACE"/>
    <w:rsid w:val="2EA035D3"/>
    <w:rsid w:val="2EB00084"/>
    <w:rsid w:val="2EB13533"/>
    <w:rsid w:val="2EBC0113"/>
    <w:rsid w:val="2EBC74B9"/>
    <w:rsid w:val="2EBF20B6"/>
    <w:rsid w:val="2EC15360"/>
    <w:rsid w:val="2ED56FD0"/>
    <w:rsid w:val="2ED7075B"/>
    <w:rsid w:val="2F0322BF"/>
    <w:rsid w:val="2F0401BB"/>
    <w:rsid w:val="2F137D96"/>
    <w:rsid w:val="2F1D4987"/>
    <w:rsid w:val="2F234FCB"/>
    <w:rsid w:val="2F2B0115"/>
    <w:rsid w:val="2F345D16"/>
    <w:rsid w:val="2F3A3BDD"/>
    <w:rsid w:val="2F540C31"/>
    <w:rsid w:val="2F574071"/>
    <w:rsid w:val="2F5E2555"/>
    <w:rsid w:val="2F633134"/>
    <w:rsid w:val="2F6B2E0E"/>
    <w:rsid w:val="2F6E14A3"/>
    <w:rsid w:val="2F7C06CC"/>
    <w:rsid w:val="2F9835CF"/>
    <w:rsid w:val="2FA166ED"/>
    <w:rsid w:val="2FA9058C"/>
    <w:rsid w:val="2FB151D3"/>
    <w:rsid w:val="2FB944E5"/>
    <w:rsid w:val="2FC17E5A"/>
    <w:rsid w:val="2FC871E6"/>
    <w:rsid w:val="2FCA4DC2"/>
    <w:rsid w:val="2FDE5F50"/>
    <w:rsid w:val="2FEC4EBA"/>
    <w:rsid w:val="2FEE3B1C"/>
    <w:rsid w:val="2FF7507B"/>
    <w:rsid w:val="300D33B1"/>
    <w:rsid w:val="300E7796"/>
    <w:rsid w:val="301E0F2A"/>
    <w:rsid w:val="301E5143"/>
    <w:rsid w:val="302C3DCE"/>
    <w:rsid w:val="303E1D0E"/>
    <w:rsid w:val="30403475"/>
    <w:rsid w:val="30424964"/>
    <w:rsid w:val="30576568"/>
    <w:rsid w:val="30695D27"/>
    <w:rsid w:val="307D6477"/>
    <w:rsid w:val="30827825"/>
    <w:rsid w:val="30867943"/>
    <w:rsid w:val="308F608C"/>
    <w:rsid w:val="309506C7"/>
    <w:rsid w:val="3097480E"/>
    <w:rsid w:val="309C57CB"/>
    <w:rsid w:val="309F63EE"/>
    <w:rsid w:val="30A309C3"/>
    <w:rsid w:val="30B059A2"/>
    <w:rsid w:val="30B67543"/>
    <w:rsid w:val="30B75DE0"/>
    <w:rsid w:val="30B77036"/>
    <w:rsid w:val="30BA3015"/>
    <w:rsid w:val="30EB518F"/>
    <w:rsid w:val="310137B1"/>
    <w:rsid w:val="3106476B"/>
    <w:rsid w:val="3107368E"/>
    <w:rsid w:val="31102DE7"/>
    <w:rsid w:val="311E642A"/>
    <w:rsid w:val="312F620E"/>
    <w:rsid w:val="31323F94"/>
    <w:rsid w:val="313E524F"/>
    <w:rsid w:val="315149DE"/>
    <w:rsid w:val="3154270A"/>
    <w:rsid w:val="31573DD5"/>
    <w:rsid w:val="315A64D4"/>
    <w:rsid w:val="31607574"/>
    <w:rsid w:val="31671616"/>
    <w:rsid w:val="3178186F"/>
    <w:rsid w:val="3189428A"/>
    <w:rsid w:val="318D37BB"/>
    <w:rsid w:val="319464D1"/>
    <w:rsid w:val="31973A57"/>
    <w:rsid w:val="31983637"/>
    <w:rsid w:val="31A04336"/>
    <w:rsid w:val="31AE341C"/>
    <w:rsid w:val="31B22405"/>
    <w:rsid w:val="31B30043"/>
    <w:rsid w:val="31B64C69"/>
    <w:rsid w:val="31B82294"/>
    <w:rsid w:val="31BF264E"/>
    <w:rsid w:val="31C20764"/>
    <w:rsid w:val="31C262F6"/>
    <w:rsid w:val="31C75D39"/>
    <w:rsid w:val="31DA0183"/>
    <w:rsid w:val="31E10BE3"/>
    <w:rsid w:val="31EA1749"/>
    <w:rsid w:val="31EB6F6F"/>
    <w:rsid w:val="31FD1227"/>
    <w:rsid w:val="32026C34"/>
    <w:rsid w:val="32031865"/>
    <w:rsid w:val="32054F90"/>
    <w:rsid w:val="320A243D"/>
    <w:rsid w:val="32190430"/>
    <w:rsid w:val="32191252"/>
    <w:rsid w:val="32213421"/>
    <w:rsid w:val="322828A8"/>
    <w:rsid w:val="323963CE"/>
    <w:rsid w:val="32495110"/>
    <w:rsid w:val="325311BF"/>
    <w:rsid w:val="325D07E4"/>
    <w:rsid w:val="326351F9"/>
    <w:rsid w:val="32682E98"/>
    <w:rsid w:val="327556FE"/>
    <w:rsid w:val="32884F63"/>
    <w:rsid w:val="32953F41"/>
    <w:rsid w:val="32A12652"/>
    <w:rsid w:val="32B73DE5"/>
    <w:rsid w:val="32BE200C"/>
    <w:rsid w:val="32C56718"/>
    <w:rsid w:val="32E15982"/>
    <w:rsid w:val="32E410C9"/>
    <w:rsid w:val="32E419E9"/>
    <w:rsid w:val="32EA5881"/>
    <w:rsid w:val="32ED0BAC"/>
    <w:rsid w:val="32F5691F"/>
    <w:rsid w:val="32F73699"/>
    <w:rsid w:val="32F75A72"/>
    <w:rsid w:val="33027260"/>
    <w:rsid w:val="330B21BF"/>
    <w:rsid w:val="330F1298"/>
    <w:rsid w:val="33105381"/>
    <w:rsid w:val="33160B51"/>
    <w:rsid w:val="33260492"/>
    <w:rsid w:val="332A12B8"/>
    <w:rsid w:val="333155AA"/>
    <w:rsid w:val="333F704E"/>
    <w:rsid w:val="33444067"/>
    <w:rsid w:val="334B5E88"/>
    <w:rsid w:val="334D06E6"/>
    <w:rsid w:val="334F1AED"/>
    <w:rsid w:val="33560AA5"/>
    <w:rsid w:val="338F7FCA"/>
    <w:rsid w:val="33971172"/>
    <w:rsid w:val="33A06995"/>
    <w:rsid w:val="33A2330C"/>
    <w:rsid w:val="33AA291B"/>
    <w:rsid w:val="33AA3D46"/>
    <w:rsid w:val="33AA7294"/>
    <w:rsid w:val="33AB4C42"/>
    <w:rsid w:val="33B34C59"/>
    <w:rsid w:val="33B52EAF"/>
    <w:rsid w:val="33B57D19"/>
    <w:rsid w:val="33C55A7A"/>
    <w:rsid w:val="33D11A5A"/>
    <w:rsid w:val="33D85A5E"/>
    <w:rsid w:val="33DB798F"/>
    <w:rsid w:val="33DE3E45"/>
    <w:rsid w:val="33DE5D97"/>
    <w:rsid w:val="33EA7F6D"/>
    <w:rsid w:val="33ED7016"/>
    <w:rsid w:val="33EF0E80"/>
    <w:rsid w:val="33F2465D"/>
    <w:rsid w:val="33F92E29"/>
    <w:rsid w:val="34056924"/>
    <w:rsid w:val="340F3249"/>
    <w:rsid w:val="341A5E32"/>
    <w:rsid w:val="341D0B48"/>
    <w:rsid w:val="341F6FAE"/>
    <w:rsid w:val="34385041"/>
    <w:rsid w:val="34442C19"/>
    <w:rsid w:val="344472CD"/>
    <w:rsid w:val="344C4197"/>
    <w:rsid w:val="344D1295"/>
    <w:rsid w:val="345327B1"/>
    <w:rsid w:val="346511A8"/>
    <w:rsid w:val="34784F8C"/>
    <w:rsid w:val="347A77AC"/>
    <w:rsid w:val="34825E5D"/>
    <w:rsid w:val="34863A98"/>
    <w:rsid w:val="34877CE8"/>
    <w:rsid w:val="348F6779"/>
    <w:rsid w:val="34A769E4"/>
    <w:rsid w:val="34A94D04"/>
    <w:rsid w:val="34B9357A"/>
    <w:rsid w:val="34CA38A2"/>
    <w:rsid w:val="34CD29A6"/>
    <w:rsid w:val="34CD7521"/>
    <w:rsid w:val="34D83195"/>
    <w:rsid w:val="34DA72F9"/>
    <w:rsid w:val="34EC124D"/>
    <w:rsid w:val="34F55E2F"/>
    <w:rsid w:val="35105594"/>
    <w:rsid w:val="35292FF1"/>
    <w:rsid w:val="35327B80"/>
    <w:rsid w:val="35394C91"/>
    <w:rsid w:val="35515F95"/>
    <w:rsid w:val="35543640"/>
    <w:rsid w:val="35574017"/>
    <w:rsid w:val="355F699B"/>
    <w:rsid w:val="3561044A"/>
    <w:rsid w:val="35623B07"/>
    <w:rsid w:val="356E580A"/>
    <w:rsid w:val="358D6E32"/>
    <w:rsid w:val="359F2ED6"/>
    <w:rsid w:val="35A235B9"/>
    <w:rsid w:val="35A564CA"/>
    <w:rsid w:val="35B00899"/>
    <w:rsid w:val="35B56676"/>
    <w:rsid w:val="35BB2261"/>
    <w:rsid w:val="35BF4704"/>
    <w:rsid w:val="35D43977"/>
    <w:rsid w:val="35DC325B"/>
    <w:rsid w:val="35DF6AB9"/>
    <w:rsid w:val="35E13599"/>
    <w:rsid w:val="360416D1"/>
    <w:rsid w:val="36043EF2"/>
    <w:rsid w:val="360945C3"/>
    <w:rsid w:val="361F1924"/>
    <w:rsid w:val="362F1EE3"/>
    <w:rsid w:val="363F5B8C"/>
    <w:rsid w:val="36411A34"/>
    <w:rsid w:val="36420F4B"/>
    <w:rsid w:val="3650452F"/>
    <w:rsid w:val="36552BC1"/>
    <w:rsid w:val="36565AF9"/>
    <w:rsid w:val="365A4F1F"/>
    <w:rsid w:val="365D7E36"/>
    <w:rsid w:val="366A6FEF"/>
    <w:rsid w:val="36760927"/>
    <w:rsid w:val="3682507D"/>
    <w:rsid w:val="368976A0"/>
    <w:rsid w:val="368C04FF"/>
    <w:rsid w:val="3692120B"/>
    <w:rsid w:val="36E032BC"/>
    <w:rsid w:val="36E8025C"/>
    <w:rsid w:val="36EB13E7"/>
    <w:rsid w:val="36ED061B"/>
    <w:rsid w:val="3701296E"/>
    <w:rsid w:val="37150E5D"/>
    <w:rsid w:val="371B2546"/>
    <w:rsid w:val="371D7C59"/>
    <w:rsid w:val="371F2C21"/>
    <w:rsid w:val="372E096F"/>
    <w:rsid w:val="3733539E"/>
    <w:rsid w:val="37386315"/>
    <w:rsid w:val="373966BF"/>
    <w:rsid w:val="37443715"/>
    <w:rsid w:val="376B6698"/>
    <w:rsid w:val="377B0086"/>
    <w:rsid w:val="3784033C"/>
    <w:rsid w:val="37873001"/>
    <w:rsid w:val="37881941"/>
    <w:rsid w:val="379C01BF"/>
    <w:rsid w:val="379C4FD9"/>
    <w:rsid w:val="37AB7B64"/>
    <w:rsid w:val="37AD19A5"/>
    <w:rsid w:val="37AD4051"/>
    <w:rsid w:val="37D77088"/>
    <w:rsid w:val="37E8799D"/>
    <w:rsid w:val="37EF21FA"/>
    <w:rsid w:val="380C307C"/>
    <w:rsid w:val="380D1DF8"/>
    <w:rsid w:val="38177104"/>
    <w:rsid w:val="38343CF8"/>
    <w:rsid w:val="383C1156"/>
    <w:rsid w:val="384560CE"/>
    <w:rsid w:val="384E7871"/>
    <w:rsid w:val="384F6612"/>
    <w:rsid w:val="38511657"/>
    <w:rsid w:val="38573E77"/>
    <w:rsid w:val="387B0893"/>
    <w:rsid w:val="38851852"/>
    <w:rsid w:val="389632B5"/>
    <w:rsid w:val="38971FD1"/>
    <w:rsid w:val="38A3384A"/>
    <w:rsid w:val="38A90CC2"/>
    <w:rsid w:val="38A92F35"/>
    <w:rsid w:val="38AD6712"/>
    <w:rsid w:val="38B251EF"/>
    <w:rsid w:val="38B94B3B"/>
    <w:rsid w:val="38C4306E"/>
    <w:rsid w:val="38CD6301"/>
    <w:rsid w:val="38EF420E"/>
    <w:rsid w:val="38F66432"/>
    <w:rsid w:val="38FA6045"/>
    <w:rsid w:val="38FB1D5E"/>
    <w:rsid w:val="390013A5"/>
    <w:rsid w:val="390C5C90"/>
    <w:rsid w:val="3915321F"/>
    <w:rsid w:val="39380364"/>
    <w:rsid w:val="39554615"/>
    <w:rsid w:val="39614166"/>
    <w:rsid w:val="39827A75"/>
    <w:rsid w:val="398D796F"/>
    <w:rsid w:val="399145CA"/>
    <w:rsid w:val="39970FB4"/>
    <w:rsid w:val="399A3A79"/>
    <w:rsid w:val="39A65D00"/>
    <w:rsid w:val="39B027BA"/>
    <w:rsid w:val="39B4592A"/>
    <w:rsid w:val="39B723E4"/>
    <w:rsid w:val="39BC2320"/>
    <w:rsid w:val="39C50DE6"/>
    <w:rsid w:val="39D55263"/>
    <w:rsid w:val="39FC7488"/>
    <w:rsid w:val="3A011023"/>
    <w:rsid w:val="3A022510"/>
    <w:rsid w:val="3A0B3E07"/>
    <w:rsid w:val="3A14138F"/>
    <w:rsid w:val="3A331870"/>
    <w:rsid w:val="3A527966"/>
    <w:rsid w:val="3A555F8C"/>
    <w:rsid w:val="3A581FA4"/>
    <w:rsid w:val="3A616393"/>
    <w:rsid w:val="3A6C67A5"/>
    <w:rsid w:val="3A79719B"/>
    <w:rsid w:val="3A805664"/>
    <w:rsid w:val="3A976E90"/>
    <w:rsid w:val="3AFA227D"/>
    <w:rsid w:val="3B074C1B"/>
    <w:rsid w:val="3B0C5A81"/>
    <w:rsid w:val="3B10564F"/>
    <w:rsid w:val="3B173BFD"/>
    <w:rsid w:val="3B1D03BA"/>
    <w:rsid w:val="3B387052"/>
    <w:rsid w:val="3B3924F6"/>
    <w:rsid w:val="3B3E4F61"/>
    <w:rsid w:val="3B457FCA"/>
    <w:rsid w:val="3B493D2A"/>
    <w:rsid w:val="3B781D15"/>
    <w:rsid w:val="3B9725CA"/>
    <w:rsid w:val="3BA672A9"/>
    <w:rsid w:val="3BB3668C"/>
    <w:rsid w:val="3BB36B1B"/>
    <w:rsid w:val="3BC51E5E"/>
    <w:rsid w:val="3BC81B99"/>
    <w:rsid w:val="3BD176FB"/>
    <w:rsid w:val="3BDD01B1"/>
    <w:rsid w:val="3BE24B60"/>
    <w:rsid w:val="3C0F3747"/>
    <w:rsid w:val="3C0F6E42"/>
    <w:rsid w:val="3C125DB2"/>
    <w:rsid w:val="3C13580F"/>
    <w:rsid w:val="3C177613"/>
    <w:rsid w:val="3C2900DB"/>
    <w:rsid w:val="3C2F42C7"/>
    <w:rsid w:val="3C3A59BA"/>
    <w:rsid w:val="3C434BD1"/>
    <w:rsid w:val="3C4A48CA"/>
    <w:rsid w:val="3C4A49AD"/>
    <w:rsid w:val="3C511290"/>
    <w:rsid w:val="3C734CC5"/>
    <w:rsid w:val="3C8D47B1"/>
    <w:rsid w:val="3C962E05"/>
    <w:rsid w:val="3CAE0A5F"/>
    <w:rsid w:val="3CB35B61"/>
    <w:rsid w:val="3CB61674"/>
    <w:rsid w:val="3CBA14E0"/>
    <w:rsid w:val="3CBA4266"/>
    <w:rsid w:val="3CD2281C"/>
    <w:rsid w:val="3CFF4D03"/>
    <w:rsid w:val="3D08650E"/>
    <w:rsid w:val="3D1D679D"/>
    <w:rsid w:val="3D24610D"/>
    <w:rsid w:val="3D2C36BB"/>
    <w:rsid w:val="3D323458"/>
    <w:rsid w:val="3D353732"/>
    <w:rsid w:val="3D482113"/>
    <w:rsid w:val="3D5237A1"/>
    <w:rsid w:val="3D695658"/>
    <w:rsid w:val="3D6C1CB7"/>
    <w:rsid w:val="3D74592B"/>
    <w:rsid w:val="3D760D32"/>
    <w:rsid w:val="3D8262BA"/>
    <w:rsid w:val="3D897263"/>
    <w:rsid w:val="3DB42DAD"/>
    <w:rsid w:val="3DD45235"/>
    <w:rsid w:val="3DE95026"/>
    <w:rsid w:val="3DF81119"/>
    <w:rsid w:val="3DF8538F"/>
    <w:rsid w:val="3DFB0B05"/>
    <w:rsid w:val="3E0006CE"/>
    <w:rsid w:val="3E014AD9"/>
    <w:rsid w:val="3E0223A7"/>
    <w:rsid w:val="3E117CD5"/>
    <w:rsid w:val="3E162874"/>
    <w:rsid w:val="3E212A7E"/>
    <w:rsid w:val="3E266E38"/>
    <w:rsid w:val="3E2823FC"/>
    <w:rsid w:val="3E334396"/>
    <w:rsid w:val="3E3667C6"/>
    <w:rsid w:val="3E4E515B"/>
    <w:rsid w:val="3E54703D"/>
    <w:rsid w:val="3E6BB673"/>
    <w:rsid w:val="3E750542"/>
    <w:rsid w:val="3E8F0CD4"/>
    <w:rsid w:val="3E952BDE"/>
    <w:rsid w:val="3EA052EA"/>
    <w:rsid w:val="3EA411C3"/>
    <w:rsid w:val="3EAB0654"/>
    <w:rsid w:val="3EB97976"/>
    <w:rsid w:val="3EC06511"/>
    <w:rsid w:val="3EC86A2B"/>
    <w:rsid w:val="3ECA3DB3"/>
    <w:rsid w:val="3ECD49ED"/>
    <w:rsid w:val="3ED02D59"/>
    <w:rsid w:val="3ED16010"/>
    <w:rsid w:val="3EDD48AC"/>
    <w:rsid w:val="3EDE6AE7"/>
    <w:rsid w:val="3EE63037"/>
    <w:rsid w:val="3EEA3466"/>
    <w:rsid w:val="3EEE270C"/>
    <w:rsid w:val="3EF577E2"/>
    <w:rsid w:val="3EFD5398"/>
    <w:rsid w:val="3F0A5CA1"/>
    <w:rsid w:val="3F1039ED"/>
    <w:rsid w:val="3F1228ED"/>
    <w:rsid w:val="3F1C01BA"/>
    <w:rsid w:val="3F1D78E0"/>
    <w:rsid w:val="3F3AC10B"/>
    <w:rsid w:val="3F417614"/>
    <w:rsid w:val="3F59568A"/>
    <w:rsid w:val="3F636B27"/>
    <w:rsid w:val="3F77070A"/>
    <w:rsid w:val="3F846153"/>
    <w:rsid w:val="3F877B3E"/>
    <w:rsid w:val="3F9B4B74"/>
    <w:rsid w:val="3FAB62E9"/>
    <w:rsid w:val="3FB97A7C"/>
    <w:rsid w:val="3FBE4111"/>
    <w:rsid w:val="3FC7C282"/>
    <w:rsid w:val="3FCE51D0"/>
    <w:rsid w:val="3FE54875"/>
    <w:rsid w:val="3FF43FBA"/>
    <w:rsid w:val="3FF80A31"/>
    <w:rsid w:val="3FF913F8"/>
    <w:rsid w:val="3FF951A1"/>
    <w:rsid w:val="3FFF6F51"/>
    <w:rsid w:val="400D3374"/>
    <w:rsid w:val="402079EC"/>
    <w:rsid w:val="402D1133"/>
    <w:rsid w:val="40380746"/>
    <w:rsid w:val="40465640"/>
    <w:rsid w:val="4061642F"/>
    <w:rsid w:val="406C5052"/>
    <w:rsid w:val="4071077E"/>
    <w:rsid w:val="4075728F"/>
    <w:rsid w:val="40857C93"/>
    <w:rsid w:val="409022B4"/>
    <w:rsid w:val="40986D02"/>
    <w:rsid w:val="40A23CC4"/>
    <w:rsid w:val="40BA5753"/>
    <w:rsid w:val="40D64733"/>
    <w:rsid w:val="40E0015D"/>
    <w:rsid w:val="40EA717A"/>
    <w:rsid w:val="40ED7524"/>
    <w:rsid w:val="40F305CF"/>
    <w:rsid w:val="41063807"/>
    <w:rsid w:val="410D5848"/>
    <w:rsid w:val="41211416"/>
    <w:rsid w:val="4121689F"/>
    <w:rsid w:val="412B6A56"/>
    <w:rsid w:val="412D60B1"/>
    <w:rsid w:val="41302438"/>
    <w:rsid w:val="4132477C"/>
    <w:rsid w:val="41336AA3"/>
    <w:rsid w:val="41347F62"/>
    <w:rsid w:val="41373AA9"/>
    <w:rsid w:val="415E01D3"/>
    <w:rsid w:val="41613418"/>
    <w:rsid w:val="41634A00"/>
    <w:rsid w:val="41672961"/>
    <w:rsid w:val="4167612A"/>
    <w:rsid w:val="41684A7A"/>
    <w:rsid w:val="416A48C8"/>
    <w:rsid w:val="41801923"/>
    <w:rsid w:val="41836E09"/>
    <w:rsid w:val="41915C07"/>
    <w:rsid w:val="419D25D7"/>
    <w:rsid w:val="419E0E65"/>
    <w:rsid w:val="41BD6B8D"/>
    <w:rsid w:val="41BD7E87"/>
    <w:rsid w:val="41CF16CA"/>
    <w:rsid w:val="41DF5A9C"/>
    <w:rsid w:val="41FA6B62"/>
    <w:rsid w:val="41FC26E4"/>
    <w:rsid w:val="4206132D"/>
    <w:rsid w:val="421E2360"/>
    <w:rsid w:val="42313CAB"/>
    <w:rsid w:val="4245676C"/>
    <w:rsid w:val="424C727A"/>
    <w:rsid w:val="425E5134"/>
    <w:rsid w:val="427916F6"/>
    <w:rsid w:val="428C3511"/>
    <w:rsid w:val="42936229"/>
    <w:rsid w:val="42947140"/>
    <w:rsid w:val="429E6289"/>
    <w:rsid w:val="42A7124B"/>
    <w:rsid w:val="42BB04D5"/>
    <w:rsid w:val="42BF1F59"/>
    <w:rsid w:val="42C11494"/>
    <w:rsid w:val="42CC18D7"/>
    <w:rsid w:val="42D431E7"/>
    <w:rsid w:val="42DD3C7C"/>
    <w:rsid w:val="42E06D3F"/>
    <w:rsid w:val="42E47497"/>
    <w:rsid w:val="42E47C90"/>
    <w:rsid w:val="42EB703C"/>
    <w:rsid w:val="42ED123B"/>
    <w:rsid w:val="42F44809"/>
    <w:rsid w:val="4311783D"/>
    <w:rsid w:val="43174839"/>
    <w:rsid w:val="431E0128"/>
    <w:rsid w:val="43540190"/>
    <w:rsid w:val="436A26B5"/>
    <w:rsid w:val="436F4138"/>
    <w:rsid w:val="4376192C"/>
    <w:rsid w:val="43826334"/>
    <w:rsid w:val="438274D6"/>
    <w:rsid w:val="43836937"/>
    <w:rsid w:val="438872F7"/>
    <w:rsid w:val="43AA1A3A"/>
    <w:rsid w:val="43CA7F97"/>
    <w:rsid w:val="43D527A2"/>
    <w:rsid w:val="43E5117C"/>
    <w:rsid w:val="43EF46DE"/>
    <w:rsid w:val="44115A7C"/>
    <w:rsid w:val="441F0428"/>
    <w:rsid w:val="442A23D0"/>
    <w:rsid w:val="442A5A37"/>
    <w:rsid w:val="44316DCA"/>
    <w:rsid w:val="4451500F"/>
    <w:rsid w:val="44567BE7"/>
    <w:rsid w:val="445A043F"/>
    <w:rsid w:val="445D1C18"/>
    <w:rsid w:val="44686728"/>
    <w:rsid w:val="44772570"/>
    <w:rsid w:val="4482527B"/>
    <w:rsid w:val="448B156B"/>
    <w:rsid w:val="44B16F3C"/>
    <w:rsid w:val="44B622C6"/>
    <w:rsid w:val="44C1122D"/>
    <w:rsid w:val="44DB3BAD"/>
    <w:rsid w:val="44E52CC8"/>
    <w:rsid w:val="44EF7556"/>
    <w:rsid w:val="45161D33"/>
    <w:rsid w:val="452269D1"/>
    <w:rsid w:val="452913B3"/>
    <w:rsid w:val="454C27BA"/>
    <w:rsid w:val="45521D98"/>
    <w:rsid w:val="455519C6"/>
    <w:rsid w:val="459021C4"/>
    <w:rsid w:val="45982CA1"/>
    <w:rsid w:val="45A54072"/>
    <w:rsid w:val="45A603D9"/>
    <w:rsid w:val="45C921B8"/>
    <w:rsid w:val="45CA658D"/>
    <w:rsid w:val="45D33AEA"/>
    <w:rsid w:val="45D945AF"/>
    <w:rsid w:val="45D9497A"/>
    <w:rsid w:val="45DC6E49"/>
    <w:rsid w:val="45E72D80"/>
    <w:rsid w:val="45E73807"/>
    <w:rsid w:val="461429FE"/>
    <w:rsid w:val="461B162C"/>
    <w:rsid w:val="46267B8D"/>
    <w:rsid w:val="46296CFD"/>
    <w:rsid w:val="46560EA5"/>
    <w:rsid w:val="466A0926"/>
    <w:rsid w:val="4672561E"/>
    <w:rsid w:val="46813229"/>
    <w:rsid w:val="46832CE2"/>
    <w:rsid w:val="46865B07"/>
    <w:rsid w:val="46886B3E"/>
    <w:rsid w:val="469B73FC"/>
    <w:rsid w:val="469F5BC1"/>
    <w:rsid w:val="46A42EB0"/>
    <w:rsid w:val="46A86972"/>
    <w:rsid w:val="46A97BC8"/>
    <w:rsid w:val="46B12A0C"/>
    <w:rsid w:val="46B22AFA"/>
    <w:rsid w:val="46B313F7"/>
    <w:rsid w:val="46B31897"/>
    <w:rsid w:val="46BF4928"/>
    <w:rsid w:val="46C16951"/>
    <w:rsid w:val="46C430AB"/>
    <w:rsid w:val="46CD5BB3"/>
    <w:rsid w:val="46D5626E"/>
    <w:rsid w:val="46F527EC"/>
    <w:rsid w:val="47095803"/>
    <w:rsid w:val="471367B5"/>
    <w:rsid w:val="47200D37"/>
    <w:rsid w:val="47215D02"/>
    <w:rsid w:val="47370ABA"/>
    <w:rsid w:val="47521947"/>
    <w:rsid w:val="475D552C"/>
    <w:rsid w:val="476129A2"/>
    <w:rsid w:val="47621DD1"/>
    <w:rsid w:val="47672A3E"/>
    <w:rsid w:val="4776763C"/>
    <w:rsid w:val="47790DB1"/>
    <w:rsid w:val="477B1305"/>
    <w:rsid w:val="477C200F"/>
    <w:rsid w:val="4790353E"/>
    <w:rsid w:val="4794500D"/>
    <w:rsid w:val="4797719D"/>
    <w:rsid w:val="47A002F6"/>
    <w:rsid w:val="47B90B7F"/>
    <w:rsid w:val="47E45A99"/>
    <w:rsid w:val="47E92EEE"/>
    <w:rsid w:val="47F52D8C"/>
    <w:rsid w:val="47F907C5"/>
    <w:rsid w:val="480B079C"/>
    <w:rsid w:val="480C0168"/>
    <w:rsid w:val="480D0453"/>
    <w:rsid w:val="48310949"/>
    <w:rsid w:val="48335AC8"/>
    <w:rsid w:val="483551AB"/>
    <w:rsid w:val="483D22CC"/>
    <w:rsid w:val="484963E0"/>
    <w:rsid w:val="486B00BB"/>
    <w:rsid w:val="486D2526"/>
    <w:rsid w:val="488127A7"/>
    <w:rsid w:val="4886557A"/>
    <w:rsid w:val="488B752C"/>
    <w:rsid w:val="489243B6"/>
    <w:rsid w:val="48991076"/>
    <w:rsid w:val="489B0AD4"/>
    <w:rsid w:val="489C0E7C"/>
    <w:rsid w:val="48AC735F"/>
    <w:rsid w:val="48C22C2E"/>
    <w:rsid w:val="48C5646E"/>
    <w:rsid w:val="48D96C7C"/>
    <w:rsid w:val="48FD7317"/>
    <w:rsid w:val="490F06E0"/>
    <w:rsid w:val="49112F05"/>
    <w:rsid w:val="492C2F96"/>
    <w:rsid w:val="492E3C4E"/>
    <w:rsid w:val="49366E7B"/>
    <w:rsid w:val="49447356"/>
    <w:rsid w:val="494576F1"/>
    <w:rsid w:val="494C493D"/>
    <w:rsid w:val="49570857"/>
    <w:rsid w:val="49602550"/>
    <w:rsid w:val="4964111E"/>
    <w:rsid w:val="496B42DA"/>
    <w:rsid w:val="49831760"/>
    <w:rsid w:val="49881965"/>
    <w:rsid w:val="498979C8"/>
    <w:rsid w:val="498F3A3D"/>
    <w:rsid w:val="49940662"/>
    <w:rsid w:val="499B4196"/>
    <w:rsid w:val="499C77BB"/>
    <w:rsid w:val="49A27191"/>
    <w:rsid w:val="49A642F4"/>
    <w:rsid w:val="49A935D9"/>
    <w:rsid w:val="49C314EF"/>
    <w:rsid w:val="49C33D08"/>
    <w:rsid w:val="49C97224"/>
    <w:rsid w:val="49DE092A"/>
    <w:rsid w:val="49E26DC6"/>
    <w:rsid w:val="49FC288D"/>
    <w:rsid w:val="4A021E4C"/>
    <w:rsid w:val="4A082DB9"/>
    <w:rsid w:val="4A11777F"/>
    <w:rsid w:val="4A317D5F"/>
    <w:rsid w:val="4A4B730C"/>
    <w:rsid w:val="4A50523D"/>
    <w:rsid w:val="4A566A89"/>
    <w:rsid w:val="4A5D7291"/>
    <w:rsid w:val="4A6B6A74"/>
    <w:rsid w:val="4A7E3750"/>
    <w:rsid w:val="4A806DBF"/>
    <w:rsid w:val="4A821296"/>
    <w:rsid w:val="4A8E50B1"/>
    <w:rsid w:val="4AA002B4"/>
    <w:rsid w:val="4AA065F5"/>
    <w:rsid w:val="4AB11ED4"/>
    <w:rsid w:val="4AB23C03"/>
    <w:rsid w:val="4ABD4294"/>
    <w:rsid w:val="4ACD23D6"/>
    <w:rsid w:val="4AD15731"/>
    <w:rsid w:val="4AD16930"/>
    <w:rsid w:val="4AD62DA1"/>
    <w:rsid w:val="4AE023DD"/>
    <w:rsid w:val="4AE276BC"/>
    <w:rsid w:val="4AE40385"/>
    <w:rsid w:val="4AF6508E"/>
    <w:rsid w:val="4B00283F"/>
    <w:rsid w:val="4B0870AC"/>
    <w:rsid w:val="4B0E4511"/>
    <w:rsid w:val="4B0F07D6"/>
    <w:rsid w:val="4B127154"/>
    <w:rsid w:val="4B1371CB"/>
    <w:rsid w:val="4B197687"/>
    <w:rsid w:val="4B1A6945"/>
    <w:rsid w:val="4B1C0B28"/>
    <w:rsid w:val="4B4E19A3"/>
    <w:rsid w:val="4B5A3F7D"/>
    <w:rsid w:val="4B5E121D"/>
    <w:rsid w:val="4B88462C"/>
    <w:rsid w:val="4B897671"/>
    <w:rsid w:val="4B8A5782"/>
    <w:rsid w:val="4B9B0EA7"/>
    <w:rsid w:val="4B9C58D4"/>
    <w:rsid w:val="4B9E042B"/>
    <w:rsid w:val="4BB15DD7"/>
    <w:rsid w:val="4BB673BE"/>
    <w:rsid w:val="4BD72A7F"/>
    <w:rsid w:val="4BDF06DB"/>
    <w:rsid w:val="4BE2319E"/>
    <w:rsid w:val="4BEB3A83"/>
    <w:rsid w:val="4BF43354"/>
    <w:rsid w:val="4BFF4460"/>
    <w:rsid w:val="4C070F38"/>
    <w:rsid w:val="4C1106C3"/>
    <w:rsid w:val="4C19280C"/>
    <w:rsid w:val="4C217FD6"/>
    <w:rsid w:val="4C2E7741"/>
    <w:rsid w:val="4C3E2CC4"/>
    <w:rsid w:val="4C4307E7"/>
    <w:rsid w:val="4C471FD7"/>
    <w:rsid w:val="4C4E499D"/>
    <w:rsid w:val="4C4E6B2B"/>
    <w:rsid w:val="4C6B25BB"/>
    <w:rsid w:val="4C870790"/>
    <w:rsid w:val="4C8F52A1"/>
    <w:rsid w:val="4C99297E"/>
    <w:rsid w:val="4C9F4318"/>
    <w:rsid w:val="4CA472A7"/>
    <w:rsid w:val="4CAE0DC6"/>
    <w:rsid w:val="4CB437F6"/>
    <w:rsid w:val="4CB52377"/>
    <w:rsid w:val="4CB678A7"/>
    <w:rsid w:val="4CC435DD"/>
    <w:rsid w:val="4CC46FA7"/>
    <w:rsid w:val="4CCF0B8F"/>
    <w:rsid w:val="4CD1167C"/>
    <w:rsid w:val="4CEB1D0A"/>
    <w:rsid w:val="4CF3744D"/>
    <w:rsid w:val="4CF91D35"/>
    <w:rsid w:val="4CFB17E6"/>
    <w:rsid w:val="4CFD2BF9"/>
    <w:rsid w:val="4D0261E9"/>
    <w:rsid w:val="4D034783"/>
    <w:rsid w:val="4D053F15"/>
    <w:rsid w:val="4D191AD4"/>
    <w:rsid w:val="4D2668B3"/>
    <w:rsid w:val="4D3219C4"/>
    <w:rsid w:val="4D595B24"/>
    <w:rsid w:val="4D622825"/>
    <w:rsid w:val="4D641BDB"/>
    <w:rsid w:val="4D786542"/>
    <w:rsid w:val="4D7D5612"/>
    <w:rsid w:val="4D852885"/>
    <w:rsid w:val="4D8860D7"/>
    <w:rsid w:val="4D906CA0"/>
    <w:rsid w:val="4DA17139"/>
    <w:rsid w:val="4DA24D1C"/>
    <w:rsid w:val="4DBB3186"/>
    <w:rsid w:val="4DC41DA7"/>
    <w:rsid w:val="4DC4528E"/>
    <w:rsid w:val="4DC746DC"/>
    <w:rsid w:val="4DD27265"/>
    <w:rsid w:val="4DD752A2"/>
    <w:rsid w:val="4DE86678"/>
    <w:rsid w:val="4DF2276D"/>
    <w:rsid w:val="4E0975E7"/>
    <w:rsid w:val="4E191EAF"/>
    <w:rsid w:val="4E1F6EB3"/>
    <w:rsid w:val="4E4F1AF9"/>
    <w:rsid w:val="4E726054"/>
    <w:rsid w:val="4E771F3E"/>
    <w:rsid w:val="4E803FA8"/>
    <w:rsid w:val="4E814E30"/>
    <w:rsid w:val="4E8B2588"/>
    <w:rsid w:val="4E9E3C23"/>
    <w:rsid w:val="4ED62ECF"/>
    <w:rsid w:val="4EEF578A"/>
    <w:rsid w:val="4EFA6DC1"/>
    <w:rsid w:val="4F0B2582"/>
    <w:rsid w:val="4F0F2B70"/>
    <w:rsid w:val="4F1D06F4"/>
    <w:rsid w:val="4F212A01"/>
    <w:rsid w:val="4F241B17"/>
    <w:rsid w:val="4F257073"/>
    <w:rsid w:val="4F301857"/>
    <w:rsid w:val="4F5C427B"/>
    <w:rsid w:val="4F681936"/>
    <w:rsid w:val="4F6B6C90"/>
    <w:rsid w:val="4F844786"/>
    <w:rsid w:val="4F8B3E56"/>
    <w:rsid w:val="4F8B78F2"/>
    <w:rsid w:val="4F910446"/>
    <w:rsid w:val="4FA87C71"/>
    <w:rsid w:val="4FAC0C0E"/>
    <w:rsid w:val="4FAD6B06"/>
    <w:rsid w:val="4FD5663B"/>
    <w:rsid w:val="4FD7031E"/>
    <w:rsid w:val="4FDA040A"/>
    <w:rsid w:val="4FDF28D3"/>
    <w:rsid w:val="4FFC5148"/>
    <w:rsid w:val="500E2189"/>
    <w:rsid w:val="501C5F4C"/>
    <w:rsid w:val="50242873"/>
    <w:rsid w:val="503B680E"/>
    <w:rsid w:val="50594100"/>
    <w:rsid w:val="505C7A00"/>
    <w:rsid w:val="5065405F"/>
    <w:rsid w:val="5067531C"/>
    <w:rsid w:val="50794F72"/>
    <w:rsid w:val="507D0CA9"/>
    <w:rsid w:val="509141B6"/>
    <w:rsid w:val="509938D9"/>
    <w:rsid w:val="50A0112A"/>
    <w:rsid w:val="50A06E91"/>
    <w:rsid w:val="50BF076D"/>
    <w:rsid w:val="50C11560"/>
    <w:rsid w:val="50EB753F"/>
    <w:rsid w:val="50F3057B"/>
    <w:rsid w:val="51033E28"/>
    <w:rsid w:val="51094825"/>
    <w:rsid w:val="51194A6B"/>
    <w:rsid w:val="512372CC"/>
    <w:rsid w:val="512460B3"/>
    <w:rsid w:val="512D7670"/>
    <w:rsid w:val="512E7C5E"/>
    <w:rsid w:val="513D5554"/>
    <w:rsid w:val="51433A26"/>
    <w:rsid w:val="51435AD8"/>
    <w:rsid w:val="514E026B"/>
    <w:rsid w:val="515606F2"/>
    <w:rsid w:val="515E027B"/>
    <w:rsid w:val="51917235"/>
    <w:rsid w:val="519D3E2C"/>
    <w:rsid w:val="51A14AB5"/>
    <w:rsid w:val="51B72D2A"/>
    <w:rsid w:val="51B76978"/>
    <w:rsid w:val="51BF35FD"/>
    <w:rsid w:val="51C8796C"/>
    <w:rsid w:val="51CA1D55"/>
    <w:rsid w:val="51D3518D"/>
    <w:rsid w:val="51D51773"/>
    <w:rsid w:val="51DD06A1"/>
    <w:rsid w:val="51E01241"/>
    <w:rsid w:val="51EC7E84"/>
    <w:rsid w:val="51F02ACF"/>
    <w:rsid w:val="51FA7F99"/>
    <w:rsid w:val="520720D4"/>
    <w:rsid w:val="520D307D"/>
    <w:rsid w:val="520E4894"/>
    <w:rsid w:val="52106F7E"/>
    <w:rsid w:val="521B5AC1"/>
    <w:rsid w:val="522A551E"/>
    <w:rsid w:val="522D1654"/>
    <w:rsid w:val="522F264F"/>
    <w:rsid w:val="523909B7"/>
    <w:rsid w:val="524C35A0"/>
    <w:rsid w:val="5259467E"/>
    <w:rsid w:val="525A6760"/>
    <w:rsid w:val="52644A8E"/>
    <w:rsid w:val="52657824"/>
    <w:rsid w:val="52693783"/>
    <w:rsid w:val="526B3F2A"/>
    <w:rsid w:val="526D567F"/>
    <w:rsid w:val="52765DE3"/>
    <w:rsid w:val="528909E8"/>
    <w:rsid w:val="528F0266"/>
    <w:rsid w:val="52960822"/>
    <w:rsid w:val="52A44B1D"/>
    <w:rsid w:val="52A606BB"/>
    <w:rsid w:val="52AE0C55"/>
    <w:rsid w:val="52BE70DE"/>
    <w:rsid w:val="52BF2AF6"/>
    <w:rsid w:val="52C673B2"/>
    <w:rsid w:val="52C67421"/>
    <w:rsid w:val="52DF6103"/>
    <w:rsid w:val="52EE408A"/>
    <w:rsid w:val="52F43DE1"/>
    <w:rsid w:val="52FA2967"/>
    <w:rsid w:val="52FC482C"/>
    <w:rsid w:val="53041292"/>
    <w:rsid w:val="53106487"/>
    <w:rsid w:val="531320FF"/>
    <w:rsid w:val="53220A8C"/>
    <w:rsid w:val="532A36C6"/>
    <w:rsid w:val="53385111"/>
    <w:rsid w:val="53395347"/>
    <w:rsid w:val="535455FA"/>
    <w:rsid w:val="535B00EA"/>
    <w:rsid w:val="535D08F2"/>
    <w:rsid w:val="536D0B73"/>
    <w:rsid w:val="536E77DF"/>
    <w:rsid w:val="538542B6"/>
    <w:rsid w:val="53A7310B"/>
    <w:rsid w:val="53AD61E2"/>
    <w:rsid w:val="53AE6E89"/>
    <w:rsid w:val="53BD55C2"/>
    <w:rsid w:val="53C548DC"/>
    <w:rsid w:val="53D73D1F"/>
    <w:rsid w:val="53EA12F8"/>
    <w:rsid w:val="53F82FA0"/>
    <w:rsid w:val="53FD3203"/>
    <w:rsid w:val="540F471F"/>
    <w:rsid w:val="540F7498"/>
    <w:rsid w:val="541B565F"/>
    <w:rsid w:val="541F2266"/>
    <w:rsid w:val="54511490"/>
    <w:rsid w:val="5452714F"/>
    <w:rsid w:val="54567CF8"/>
    <w:rsid w:val="546B1F56"/>
    <w:rsid w:val="54705FA3"/>
    <w:rsid w:val="54A9350D"/>
    <w:rsid w:val="54AE3555"/>
    <w:rsid w:val="54B44F3E"/>
    <w:rsid w:val="54C10E0B"/>
    <w:rsid w:val="54C6239B"/>
    <w:rsid w:val="54CB1720"/>
    <w:rsid w:val="54D21FF4"/>
    <w:rsid w:val="54D22C63"/>
    <w:rsid w:val="54D51D92"/>
    <w:rsid w:val="54DE3943"/>
    <w:rsid w:val="54E33E07"/>
    <w:rsid w:val="550020CC"/>
    <w:rsid w:val="55053FB1"/>
    <w:rsid w:val="550F738D"/>
    <w:rsid w:val="55105D67"/>
    <w:rsid w:val="551925EB"/>
    <w:rsid w:val="552E42B1"/>
    <w:rsid w:val="552F2073"/>
    <w:rsid w:val="5533296C"/>
    <w:rsid w:val="5539496E"/>
    <w:rsid w:val="553C0B0B"/>
    <w:rsid w:val="555B3708"/>
    <w:rsid w:val="555C1021"/>
    <w:rsid w:val="55650DD4"/>
    <w:rsid w:val="55881FEB"/>
    <w:rsid w:val="559544A1"/>
    <w:rsid w:val="559D1B18"/>
    <w:rsid w:val="559E0C79"/>
    <w:rsid w:val="55A0105D"/>
    <w:rsid w:val="55A86518"/>
    <w:rsid w:val="55B45E9B"/>
    <w:rsid w:val="55B5218C"/>
    <w:rsid w:val="55BA16AD"/>
    <w:rsid w:val="55BB2305"/>
    <w:rsid w:val="55C3004F"/>
    <w:rsid w:val="55C84E61"/>
    <w:rsid w:val="55CD530D"/>
    <w:rsid w:val="55CF199A"/>
    <w:rsid w:val="55CF2C93"/>
    <w:rsid w:val="55E768E8"/>
    <w:rsid w:val="55F35561"/>
    <w:rsid w:val="55FA7A9F"/>
    <w:rsid w:val="55FC21C4"/>
    <w:rsid w:val="560E1DBD"/>
    <w:rsid w:val="563323AC"/>
    <w:rsid w:val="563528B8"/>
    <w:rsid w:val="563E5808"/>
    <w:rsid w:val="56487C06"/>
    <w:rsid w:val="564F2FD6"/>
    <w:rsid w:val="564F4A1A"/>
    <w:rsid w:val="56520BF9"/>
    <w:rsid w:val="565F38EE"/>
    <w:rsid w:val="56604784"/>
    <w:rsid w:val="566E51D6"/>
    <w:rsid w:val="56775267"/>
    <w:rsid w:val="567A298E"/>
    <w:rsid w:val="568411BB"/>
    <w:rsid w:val="56931F37"/>
    <w:rsid w:val="569E3EE6"/>
    <w:rsid w:val="56CB403F"/>
    <w:rsid w:val="56D06A51"/>
    <w:rsid w:val="56D11496"/>
    <w:rsid w:val="56E270E9"/>
    <w:rsid w:val="56F72C39"/>
    <w:rsid w:val="56F94094"/>
    <w:rsid w:val="57071F4E"/>
    <w:rsid w:val="570E60BE"/>
    <w:rsid w:val="571921A6"/>
    <w:rsid w:val="571B01F2"/>
    <w:rsid w:val="57295EA1"/>
    <w:rsid w:val="5736730A"/>
    <w:rsid w:val="57437223"/>
    <w:rsid w:val="574E4E5E"/>
    <w:rsid w:val="576206B2"/>
    <w:rsid w:val="57710B44"/>
    <w:rsid w:val="57797801"/>
    <w:rsid w:val="577A1F44"/>
    <w:rsid w:val="57823EDB"/>
    <w:rsid w:val="57883229"/>
    <w:rsid w:val="57971AFC"/>
    <w:rsid w:val="57996E2C"/>
    <w:rsid w:val="579A046A"/>
    <w:rsid w:val="57B3566A"/>
    <w:rsid w:val="57B83882"/>
    <w:rsid w:val="57C72719"/>
    <w:rsid w:val="57CE1ADE"/>
    <w:rsid w:val="57E87254"/>
    <w:rsid w:val="57EC2FBD"/>
    <w:rsid w:val="57FD0454"/>
    <w:rsid w:val="58083745"/>
    <w:rsid w:val="580B1B5D"/>
    <w:rsid w:val="580F52DD"/>
    <w:rsid w:val="58115893"/>
    <w:rsid w:val="582F21FE"/>
    <w:rsid w:val="583A6AE1"/>
    <w:rsid w:val="583D1EC5"/>
    <w:rsid w:val="58430E04"/>
    <w:rsid w:val="58447EEA"/>
    <w:rsid w:val="585710E6"/>
    <w:rsid w:val="585B630B"/>
    <w:rsid w:val="58621F05"/>
    <w:rsid w:val="586356A5"/>
    <w:rsid w:val="586B4C84"/>
    <w:rsid w:val="58707502"/>
    <w:rsid w:val="58723FE4"/>
    <w:rsid w:val="5888199F"/>
    <w:rsid w:val="589E75EC"/>
    <w:rsid w:val="58A837E2"/>
    <w:rsid w:val="58AB7AD4"/>
    <w:rsid w:val="58BD7BC2"/>
    <w:rsid w:val="58C12364"/>
    <w:rsid w:val="58E862D4"/>
    <w:rsid w:val="58EB0BCA"/>
    <w:rsid w:val="58F070CC"/>
    <w:rsid w:val="58F51F77"/>
    <w:rsid w:val="59025B0D"/>
    <w:rsid w:val="59055CCE"/>
    <w:rsid w:val="590E22DB"/>
    <w:rsid w:val="590E638E"/>
    <w:rsid w:val="59170A87"/>
    <w:rsid w:val="59184160"/>
    <w:rsid w:val="59346784"/>
    <w:rsid w:val="59442859"/>
    <w:rsid w:val="594A6DE7"/>
    <w:rsid w:val="594E370F"/>
    <w:rsid w:val="59526FF3"/>
    <w:rsid w:val="5956265F"/>
    <w:rsid w:val="595A36C1"/>
    <w:rsid w:val="595B3C40"/>
    <w:rsid w:val="59610727"/>
    <w:rsid w:val="5970339B"/>
    <w:rsid w:val="598F4F95"/>
    <w:rsid w:val="5999739E"/>
    <w:rsid w:val="59A41164"/>
    <w:rsid w:val="59B569AB"/>
    <w:rsid w:val="59C254A5"/>
    <w:rsid w:val="59E06376"/>
    <w:rsid w:val="59E142DC"/>
    <w:rsid w:val="59ED46EB"/>
    <w:rsid w:val="59FF75BE"/>
    <w:rsid w:val="5A0111E2"/>
    <w:rsid w:val="5A0176D1"/>
    <w:rsid w:val="5A196B09"/>
    <w:rsid w:val="5A1D15B3"/>
    <w:rsid w:val="5A1D4EFE"/>
    <w:rsid w:val="5A394566"/>
    <w:rsid w:val="5A3A2204"/>
    <w:rsid w:val="5A3B6008"/>
    <w:rsid w:val="5A472CEC"/>
    <w:rsid w:val="5A4D0857"/>
    <w:rsid w:val="5A616BCF"/>
    <w:rsid w:val="5A666518"/>
    <w:rsid w:val="5A782AA3"/>
    <w:rsid w:val="5A8805AD"/>
    <w:rsid w:val="5A891532"/>
    <w:rsid w:val="5A982B0C"/>
    <w:rsid w:val="5A9E5948"/>
    <w:rsid w:val="5AA409B2"/>
    <w:rsid w:val="5AA669DF"/>
    <w:rsid w:val="5ABB7EBA"/>
    <w:rsid w:val="5ABD5EDB"/>
    <w:rsid w:val="5ACD4C19"/>
    <w:rsid w:val="5AD32AD3"/>
    <w:rsid w:val="5AD61301"/>
    <w:rsid w:val="5ADA0571"/>
    <w:rsid w:val="5AE26D53"/>
    <w:rsid w:val="5AEE2462"/>
    <w:rsid w:val="5AEF6BF7"/>
    <w:rsid w:val="5AFF59AA"/>
    <w:rsid w:val="5B0C1D95"/>
    <w:rsid w:val="5B0D1838"/>
    <w:rsid w:val="5B270F8B"/>
    <w:rsid w:val="5B3E7807"/>
    <w:rsid w:val="5B7200D7"/>
    <w:rsid w:val="5B7222F3"/>
    <w:rsid w:val="5B725324"/>
    <w:rsid w:val="5B78635A"/>
    <w:rsid w:val="5B7A74E3"/>
    <w:rsid w:val="5B7F07D5"/>
    <w:rsid w:val="5B8526E3"/>
    <w:rsid w:val="5B895676"/>
    <w:rsid w:val="5BB3092C"/>
    <w:rsid w:val="5BC540D1"/>
    <w:rsid w:val="5BCF7A15"/>
    <w:rsid w:val="5BD668B8"/>
    <w:rsid w:val="5BD74746"/>
    <w:rsid w:val="5BDC5587"/>
    <w:rsid w:val="5BED397C"/>
    <w:rsid w:val="5BF11664"/>
    <w:rsid w:val="5BF758DA"/>
    <w:rsid w:val="5BFA5443"/>
    <w:rsid w:val="5C0033F1"/>
    <w:rsid w:val="5C022EEB"/>
    <w:rsid w:val="5C0A3A05"/>
    <w:rsid w:val="5C0C22DA"/>
    <w:rsid w:val="5C0D0B16"/>
    <w:rsid w:val="5C3A050C"/>
    <w:rsid w:val="5C3C1A99"/>
    <w:rsid w:val="5C451D6A"/>
    <w:rsid w:val="5C531CB7"/>
    <w:rsid w:val="5C5B500F"/>
    <w:rsid w:val="5C647285"/>
    <w:rsid w:val="5C764D6B"/>
    <w:rsid w:val="5C7A19BD"/>
    <w:rsid w:val="5C9A394F"/>
    <w:rsid w:val="5CAC6FC5"/>
    <w:rsid w:val="5CB53A34"/>
    <w:rsid w:val="5CB77667"/>
    <w:rsid w:val="5CBB7530"/>
    <w:rsid w:val="5CC16D8D"/>
    <w:rsid w:val="5CC95D32"/>
    <w:rsid w:val="5CDC179B"/>
    <w:rsid w:val="5CDF7FD7"/>
    <w:rsid w:val="5CF073E9"/>
    <w:rsid w:val="5CFF6E54"/>
    <w:rsid w:val="5D0120B0"/>
    <w:rsid w:val="5D0803AB"/>
    <w:rsid w:val="5D0870B9"/>
    <w:rsid w:val="5D0F0B56"/>
    <w:rsid w:val="5D0F2892"/>
    <w:rsid w:val="5D1F7DEB"/>
    <w:rsid w:val="5D26311B"/>
    <w:rsid w:val="5D577A94"/>
    <w:rsid w:val="5D697D79"/>
    <w:rsid w:val="5D6F1CCC"/>
    <w:rsid w:val="5D7520B0"/>
    <w:rsid w:val="5D75491A"/>
    <w:rsid w:val="5D7824DF"/>
    <w:rsid w:val="5D7D2CD6"/>
    <w:rsid w:val="5D8C2F31"/>
    <w:rsid w:val="5D94650F"/>
    <w:rsid w:val="5DA05548"/>
    <w:rsid w:val="5DA46239"/>
    <w:rsid w:val="5DA4679E"/>
    <w:rsid w:val="5DC0337C"/>
    <w:rsid w:val="5DC2282B"/>
    <w:rsid w:val="5DD3264E"/>
    <w:rsid w:val="5E041265"/>
    <w:rsid w:val="5E260A66"/>
    <w:rsid w:val="5E2B7697"/>
    <w:rsid w:val="5E3B2A02"/>
    <w:rsid w:val="5E3B36FA"/>
    <w:rsid w:val="5E4D2A9C"/>
    <w:rsid w:val="5E521E1C"/>
    <w:rsid w:val="5E5571A4"/>
    <w:rsid w:val="5E5576F3"/>
    <w:rsid w:val="5E617C2B"/>
    <w:rsid w:val="5E723EB4"/>
    <w:rsid w:val="5EA23921"/>
    <w:rsid w:val="5EA305FA"/>
    <w:rsid w:val="5EB323C8"/>
    <w:rsid w:val="5EC46CBD"/>
    <w:rsid w:val="5EC54381"/>
    <w:rsid w:val="5EC9488F"/>
    <w:rsid w:val="5EDE5C89"/>
    <w:rsid w:val="5EE64AAF"/>
    <w:rsid w:val="5EEF1885"/>
    <w:rsid w:val="5EF47E31"/>
    <w:rsid w:val="5EFB4BF2"/>
    <w:rsid w:val="5F0132CA"/>
    <w:rsid w:val="5F076D88"/>
    <w:rsid w:val="5F0D0843"/>
    <w:rsid w:val="5F1E58A2"/>
    <w:rsid w:val="5F1F2B83"/>
    <w:rsid w:val="5F215050"/>
    <w:rsid w:val="5F28008C"/>
    <w:rsid w:val="5F2B5871"/>
    <w:rsid w:val="5F2E659A"/>
    <w:rsid w:val="5F4462D9"/>
    <w:rsid w:val="5F4B574C"/>
    <w:rsid w:val="5F526781"/>
    <w:rsid w:val="5F69AEF8"/>
    <w:rsid w:val="5F6C2068"/>
    <w:rsid w:val="5F6C31C7"/>
    <w:rsid w:val="5F6E316F"/>
    <w:rsid w:val="5F733EF1"/>
    <w:rsid w:val="5F743B13"/>
    <w:rsid w:val="5F786A3F"/>
    <w:rsid w:val="5F7F46FC"/>
    <w:rsid w:val="5F7FE304"/>
    <w:rsid w:val="5F832A75"/>
    <w:rsid w:val="5F9B0D23"/>
    <w:rsid w:val="5F9D4C85"/>
    <w:rsid w:val="5F9F8873"/>
    <w:rsid w:val="5FA66085"/>
    <w:rsid w:val="5FB51FCB"/>
    <w:rsid w:val="5FB666A9"/>
    <w:rsid w:val="5FC2688A"/>
    <w:rsid w:val="5FDC7CD6"/>
    <w:rsid w:val="5FEE3BCE"/>
    <w:rsid w:val="600153BE"/>
    <w:rsid w:val="60094F35"/>
    <w:rsid w:val="600D4CEE"/>
    <w:rsid w:val="60113E2C"/>
    <w:rsid w:val="601A3702"/>
    <w:rsid w:val="602C7C48"/>
    <w:rsid w:val="604343F0"/>
    <w:rsid w:val="60437DE9"/>
    <w:rsid w:val="6046318F"/>
    <w:rsid w:val="604B6CCB"/>
    <w:rsid w:val="604E1113"/>
    <w:rsid w:val="6070442A"/>
    <w:rsid w:val="60974590"/>
    <w:rsid w:val="60B9239F"/>
    <w:rsid w:val="60C645AB"/>
    <w:rsid w:val="60E20DAE"/>
    <w:rsid w:val="60E27E53"/>
    <w:rsid w:val="61077514"/>
    <w:rsid w:val="611C0CBB"/>
    <w:rsid w:val="61206F49"/>
    <w:rsid w:val="612D4771"/>
    <w:rsid w:val="612F4EBC"/>
    <w:rsid w:val="61321B4C"/>
    <w:rsid w:val="613D6BAA"/>
    <w:rsid w:val="61400A45"/>
    <w:rsid w:val="61410D80"/>
    <w:rsid w:val="6167427F"/>
    <w:rsid w:val="616A3192"/>
    <w:rsid w:val="616D37C2"/>
    <w:rsid w:val="61767A86"/>
    <w:rsid w:val="618755C4"/>
    <w:rsid w:val="61953350"/>
    <w:rsid w:val="619E139C"/>
    <w:rsid w:val="61AC2E6E"/>
    <w:rsid w:val="61BE5377"/>
    <w:rsid w:val="61DE71DE"/>
    <w:rsid w:val="61F05A3D"/>
    <w:rsid w:val="61FE27F3"/>
    <w:rsid w:val="620F48D2"/>
    <w:rsid w:val="62127C3C"/>
    <w:rsid w:val="6224730C"/>
    <w:rsid w:val="622567A5"/>
    <w:rsid w:val="622977EA"/>
    <w:rsid w:val="622B010A"/>
    <w:rsid w:val="622C73DE"/>
    <w:rsid w:val="62577D9F"/>
    <w:rsid w:val="626C7A15"/>
    <w:rsid w:val="626F3F92"/>
    <w:rsid w:val="6287216F"/>
    <w:rsid w:val="62892A53"/>
    <w:rsid w:val="629831F9"/>
    <w:rsid w:val="62A63F25"/>
    <w:rsid w:val="62BC5DE9"/>
    <w:rsid w:val="62C10FD0"/>
    <w:rsid w:val="62C119C0"/>
    <w:rsid w:val="62D62672"/>
    <w:rsid w:val="62DD422F"/>
    <w:rsid w:val="62E41E7C"/>
    <w:rsid w:val="62E65643"/>
    <w:rsid w:val="62E8190E"/>
    <w:rsid w:val="62F176A1"/>
    <w:rsid w:val="62FC541B"/>
    <w:rsid w:val="6300634C"/>
    <w:rsid w:val="63114765"/>
    <w:rsid w:val="63287B7B"/>
    <w:rsid w:val="63382085"/>
    <w:rsid w:val="63422B24"/>
    <w:rsid w:val="6345169A"/>
    <w:rsid w:val="63471E94"/>
    <w:rsid w:val="635A1B7D"/>
    <w:rsid w:val="635C1ED9"/>
    <w:rsid w:val="636607F7"/>
    <w:rsid w:val="636965D4"/>
    <w:rsid w:val="637029F7"/>
    <w:rsid w:val="63726B6C"/>
    <w:rsid w:val="637B7A06"/>
    <w:rsid w:val="637C0E46"/>
    <w:rsid w:val="63835232"/>
    <w:rsid w:val="63844E4C"/>
    <w:rsid w:val="63965A29"/>
    <w:rsid w:val="63A044C9"/>
    <w:rsid w:val="63A728E8"/>
    <w:rsid w:val="63AE2B07"/>
    <w:rsid w:val="63AE435F"/>
    <w:rsid w:val="63B14BC4"/>
    <w:rsid w:val="63BB7AF9"/>
    <w:rsid w:val="63BD1501"/>
    <w:rsid w:val="63CC0088"/>
    <w:rsid w:val="63DA4A6C"/>
    <w:rsid w:val="63E8694B"/>
    <w:rsid w:val="63E9720D"/>
    <w:rsid w:val="63F86267"/>
    <w:rsid w:val="640E3B92"/>
    <w:rsid w:val="64497304"/>
    <w:rsid w:val="646D6D6E"/>
    <w:rsid w:val="647A3430"/>
    <w:rsid w:val="648B159F"/>
    <w:rsid w:val="648D6976"/>
    <w:rsid w:val="64BB2F3B"/>
    <w:rsid w:val="64BF61CB"/>
    <w:rsid w:val="64C93DE9"/>
    <w:rsid w:val="64DA6181"/>
    <w:rsid w:val="64EB25D8"/>
    <w:rsid w:val="64F953C5"/>
    <w:rsid w:val="64FA5B55"/>
    <w:rsid w:val="64FE2126"/>
    <w:rsid w:val="65084544"/>
    <w:rsid w:val="651C0482"/>
    <w:rsid w:val="65461ECA"/>
    <w:rsid w:val="654A5961"/>
    <w:rsid w:val="655075F6"/>
    <w:rsid w:val="657E46FF"/>
    <w:rsid w:val="65803402"/>
    <w:rsid w:val="658E1E84"/>
    <w:rsid w:val="659A5AD1"/>
    <w:rsid w:val="65A4596F"/>
    <w:rsid w:val="65C437BF"/>
    <w:rsid w:val="65C72292"/>
    <w:rsid w:val="65D117B7"/>
    <w:rsid w:val="65F1617E"/>
    <w:rsid w:val="65F5223C"/>
    <w:rsid w:val="66022B47"/>
    <w:rsid w:val="660245B8"/>
    <w:rsid w:val="6603447B"/>
    <w:rsid w:val="661829F8"/>
    <w:rsid w:val="661A727C"/>
    <w:rsid w:val="661B4BCF"/>
    <w:rsid w:val="662E096C"/>
    <w:rsid w:val="66306DCE"/>
    <w:rsid w:val="665C4E79"/>
    <w:rsid w:val="665C69D8"/>
    <w:rsid w:val="666D0C7A"/>
    <w:rsid w:val="667B005C"/>
    <w:rsid w:val="66821FD7"/>
    <w:rsid w:val="668C6082"/>
    <w:rsid w:val="66935810"/>
    <w:rsid w:val="66975803"/>
    <w:rsid w:val="66B132A5"/>
    <w:rsid w:val="66B25B5D"/>
    <w:rsid w:val="66BF6827"/>
    <w:rsid w:val="66C306A0"/>
    <w:rsid w:val="66D52CAC"/>
    <w:rsid w:val="66E717C1"/>
    <w:rsid w:val="66E757AC"/>
    <w:rsid w:val="66F276B6"/>
    <w:rsid w:val="66FB2125"/>
    <w:rsid w:val="670E516D"/>
    <w:rsid w:val="672A5A8A"/>
    <w:rsid w:val="672B6BEF"/>
    <w:rsid w:val="672F287A"/>
    <w:rsid w:val="67340A23"/>
    <w:rsid w:val="674B2A2F"/>
    <w:rsid w:val="67574DE2"/>
    <w:rsid w:val="675F6FD0"/>
    <w:rsid w:val="67717EA6"/>
    <w:rsid w:val="67753D45"/>
    <w:rsid w:val="677E7AB0"/>
    <w:rsid w:val="678D7669"/>
    <w:rsid w:val="67BB780F"/>
    <w:rsid w:val="67C42E46"/>
    <w:rsid w:val="67CB129B"/>
    <w:rsid w:val="67D03E67"/>
    <w:rsid w:val="67D33548"/>
    <w:rsid w:val="67DB7004"/>
    <w:rsid w:val="67E633C8"/>
    <w:rsid w:val="67E86292"/>
    <w:rsid w:val="67EC221C"/>
    <w:rsid w:val="67F72C98"/>
    <w:rsid w:val="67FE1887"/>
    <w:rsid w:val="680B1B92"/>
    <w:rsid w:val="68174EC4"/>
    <w:rsid w:val="68384D32"/>
    <w:rsid w:val="68450B54"/>
    <w:rsid w:val="6853226F"/>
    <w:rsid w:val="68534AC8"/>
    <w:rsid w:val="68557724"/>
    <w:rsid w:val="687A2A90"/>
    <w:rsid w:val="687B4E25"/>
    <w:rsid w:val="68830BF5"/>
    <w:rsid w:val="68993BA5"/>
    <w:rsid w:val="689D7887"/>
    <w:rsid w:val="689F7918"/>
    <w:rsid w:val="68B411EB"/>
    <w:rsid w:val="68C53CF8"/>
    <w:rsid w:val="68CE059F"/>
    <w:rsid w:val="68CE3D48"/>
    <w:rsid w:val="68DE37E4"/>
    <w:rsid w:val="68DE3B49"/>
    <w:rsid w:val="68DF04D4"/>
    <w:rsid w:val="68E02C65"/>
    <w:rsid w:val="68FF3B24"/>
    <w:rsid w:val="69024E7D"/>
    <w:rsid w:val="69032A8F"/>
    <w:rsid w:val="690E397F"/>
    <w:rsid w:val="691471F2"/>
    <w:rsid w:val="691F3219"/>
    <w:rsid w:val="696C085C"/>
    <w:rsid w:val="696F20FA"/>
    <w:rsid w:val="69884761"/>
    <w:rsid w:val="699613C0"/>
    <w:rsid w:val="699F0AC7"/>
    <w:rsid w:val="69C1601A"/>
    <w:rsid w:val="69DE523F"/>
    <w:rsid w:val="69E20B1E"/>
    <w:rsid w:val="69E45415"/>
    <w:rsid w:val="69EF0BEC"/>
    <w:rsid w:val="69F878CA"/>
    <w:rsid w:val="69FD21F7"/>
    <w:rsid w:val="6A03117B"/>
    <w:rsid w:val="6A18692A"/>
    <w:rsid w:val="6A1B663F"/>
    <w:rsid w:val="6A354F27"/>
    <w:rsid w:val="6A5A4712"/>
    <w:rsid w:val="6A5D229E"/>
    <w:rsid w:val="6A6661F0"/>
    <w:rsid w:val="6A6C06A2"/>
    <w:rsid w:val="6A786D8C"/>
    <w:rsid w:val="6A7933E7"/>
    <w:rsid w:val="6A7D6314"/>
    <w:rsid w:val="6A8F06CC"/>
    <w:rsid w:val="6A9B4E64"/>
    <w:rsid w:val="6A9B7C73"/>
    <w:rsid w:val="6AB0509A"/>
    <w:rsid w:val="6ABB323D"/>
    <w:rsid w:val="6ABB571C"/>
    <w:rsid w:val="6ACB2456"/>
    <w:rsid w:val="6ACC4257"/>
    <w:rsid w:val="6ACD201A"/>
    <w:rsid w:val="6ACE1E05"/>
    <w:rsid w:val="6ACE6EC4"/>
    <w:rsid w:val="6ACF10A2"/>
    <w:rsid w:val="6AE32434"/>
    <w:rsid w:val="6AF4202E"/>
    <w:rsid w:val="6AF81E4E"/>
    <w:rsid w:val="6AFA30AC"/>
    <w:rsid w:val="6B0873F3"/>
    <w:rsid w:val="6B0D40E8"/>
    <w:rsid w:val="6B0E0FF6"/>
    <w:rsid w:val="6B185226"/>
    <w:rsid w:val="6B1A13F6"/>
    <w:rsid w:val="6B1A1DDB"/>
    <w:rsid w:val="6B2172B8"/>
    <w:rsid w:val="6B2B5C9F"/>
    <w:rsid w:val="6B33535D"/>
    <w:rsid w:val="6B337530"/>
    <w:rsid w:val="6B3727A3"/>
    <w:rsid w:val="6B372C9C"/>
    <w:rsid w:val="6B3753C8"/>
    <w:rsid w:val="6B3D63CA"/>
    <w:rsid w:val="6B425B21"/>
    <w:rsid w:val="6B62335B"/>
    <w:rsid w:val="6B712827"/>
    <w:rsid w:val="6B8C5E66"/>
    <w:rsid w:val="6B972271"/>
    <w:rsid w:val="6B9B6206"/>
    <w:rsid w:val="6BA12924"/>
    <w:rsid w:val="6BA31786"/>
    <w:rsid w:val="6BC1250C"/>
    <w:rsid w:val="6BC26365"/>
    <w:rsid w:val="6BC35E44"/>
    <w:rsid w:val="6BDD4CE3"/>
    <w:rsid w:val="6BE2471A"/>
    <w:rsid w:val="6BF27AD3"/>
    <w:rsid w:val="6C127E8F"/>
    <w:rsid w:val="6C2643D1"/>
    <w:rsid w:val="6C2A19E5"/>
    <w:rsid w:val="6C322330"/>
    <w:rsid w:val="6C3239D1"/>
    <w:rsid w:val="6C367D5D"/>
    <w:rsid w:val="6C371E8E"/>
    <w:rsid w:val="6C4707FB"/>
    <w:rsid w:val="6C474C68"/>
    <w:rsid w:val="6C4A583D"/>
    <w:rsid w:val="6C4C227F"/>
    <w:rsid w:val="6C5B3773"/>
    <w:rsid w:val="6C626635"/>
    <w:rsid w:val="6C6D191B"/>
    <w:rsid w:val="6C6D3F0B"/>
    <w:rsid w:val="6C7F7238"/>
    <w:rsid w:val="6C8573FF"/>
    <w:rsid w:val="6C8F5271"/>
    <w:rsid w:val="6CAA75A0"/>
    <w:rsid w:val="6CAD2B5D"/>
    <w:rsid w:val="6CB00BC8"/>
    <w:rsid w:val="6CB565B0"/>
    <w:rsid w:val="6CB7686A"/>
    <w:rsid w:val="6CE33616"/>
    <w:rsid w:val="6CFB0FDE"/>
    <w:rsid w:val="6CFD6535"/>
    <w:rsid w:val="6D0B3E55"/>
    <w:rsid w:val="6D0B3EE8"/>
    <w:rsid w:val="6D0E128B"/>
    <w:rsid w:val="6D1E1EB0"/>
    <w:rsid w:val="6D231B03"/>
    <w:rsid w:val="6D245DF6"/>
    <w:rsid w:val="6D2C0992"/>
    <w:rsid w:val="6D3C4065"/>
    <w:rsid w:val="6D4D6E7A"/>
    <w:rsid w:val="6D5A180E"/>
    <w:rsid w:val="6D6A62D7"/>
    <w:rsid w:val="6D714693"/>
    <w:rsid w:val="6D733879"/>
    <w:rsid w:val="6D857D9D"/>
    <w:rsid w:val="6D8F032A"/>
    <w:rsid w:val="6D8F30AA"/>
    <w:rsid w:val="6DBA4C07"/>
    <w:rsid w:val="6DD975D8"/>
    <w:rsid w:val="6DDF631C"/>
    <w:rsid w:val="6DF73529"/>
    <w:rsid w:val="6DFF1F2B"/>
    <w:rsid w:val="6E032FC2"/>
    <w:rsid w:val="6E090563"/>
    <w:rsid w:val="6E13574A"/>
    <w:rsid w:val="6E146DCC"/>
    <w:rsid w:val="6E18251B"/>
    <w:rsid w:val="6E220D75"/>
    <w:rsid w:val="6E285408"/>
    <w:rsid w:val="6E317E32"/>
    <w:rsid w:val="6E3877ED"/>
    <w:rsid w:val="6E3967BB"/>
    <w:rsid w:val="6E433EAF"/>
    <w:rsid w:val="6E496928"/>
    <w:rsid w:val="6E5340CB"/>
    <w:rsid w:val="6E56640B"/>
    <w:rsid w:val="6E851BF4"/>
    <w:rsid w:val="6E943958"/>
    <w:rsid w:val="6E953AA3"/>
    <w:rsid w:val="6E9B23D4"/>
    <w:rsid w:val="6E9F711B"/>
    <w:rsid w:val="6EA42846"/>
    <w:rsid w:val="6EA7555A"/>
    <w:rsid w:val="6EAF3A57"/>
    <w:rsid w:val="6EB72EE2"/>
    <w:rsid w:val="6EC03A0B"/>
    <w:rsid w:val="6EC95E08"/>
    <w:rsid w:val="6ECB1F5D"/>
    <w:rsid w:val="6ED011FC"/>
    <w:rsid w:val="6ED770CD"/>
    <w:rsid w:val="6EDF77F5"/>
    <w:rsid w:val="6F076F7D"/>
    <w:rsid w:val="6F0C4601"/>
    <w:rsid w:val="6F1144A4"/>
    <w:rsid w:val="6F2552EC"/>
    <w:rsid w:val="6F323167"/>
    <w:rsid w:val="6F33446A"/>
    <w:rsid w:val="6F3444B6"/>
    <w:rsid w:val="6F5A4CB2"/>
    <w:rsid w:val="6F5E1BD4"/>
    <w:rsid w:val="6F7A7103"/>
    <w:rsid w:val="6F7B6954"/>
    <w:rsid w:val="6F814C70"/>
    <w:rsid w:val="6F85563F"/>
    <w:rsid w:val="6F8C2487"/>
    <w:rsid w:val="6FA46580"/>
    <w:rsid w:val="6FB73240"/>
    <w:rsid w:val="6FB93B4D"/>
    <w:rsid w:val="6FBF0D34"/>
    <w:rsid w:val="6FC92DA9"/>
    <w:rsid w:val="6FD93B73"/>
    <w:rsid w:val="6FD96993"/>
    <w:rsid w:val="6FDFDB66"/>
    <w:rsid w:val="6FE90101"/>
    <w:rsid w:val="6FF22532"/>
    <w:rsid w:val="6FF31452"/>
    <w:rsid w:val="70027159"/>
    <w:rsid w:val="70185CDC"/>
    <w:rsid w:val="7019691C"/>
    <w:rsid w:val="702E686B"/>
    <w:rsid w:val="703A551C"/>
    <w:rsid w:val="703A5856"/>
    <w:rsid w:val="703C2781"/>
    <w:rsid w:val="70563559"/>
    <w:rsid w:val="706436BB"/>
    <w:rsid w:val="707C47D6"/>
    <w:rsid w:val="709D3B28"/>
    <w:rsid w:val="70A0799F"/>
    <w:rsid w:val="70A30D27"/>
    <w:rsid w:val="70AC3D7A"/>
    <w:rsid w:val="70AE7F6F"/>
    <w:rsid w:val="70B67ACF"/>
    <w:rsid w:val="70B84386"/>
    <w:rsid w:val="70C76C10"/>
    <w:rsid w:val="70CC36B5"/>
    <w:rsid w:val="70CC526B"/>
    <w:rsid w:val="70D0347E"/>
    <w:rsid w:val="70E277A8"/>
    <w:rsid w:val="70F244FE"/>
    <w:rsid w:val="70FE0A22"/>
    <w:rsid w:val="70FE78F0"/>
    <w:rsid w:val="710F4243"/>
    <w:rsid w:val="712269D3"/>
    <w:rsid w:val="713573F8"/>
    <w:rsid w:val="71550DEF"/>
    <w:rsid w:val="715B625B"/>
    <w:rsid w:val="71667BAE"/>
    <w:rsid w:val="71743D65"/>
    <w:rsid w:val="7175183E"/>
    <w:rsid w:val="718E2962"/>
    <w:rsid w:val="719152B5"/>
    <w:rsid w:val="719438CB"/>
    <w:rsid w:val="71997EB8"/>
    <w:rsid w:val="71A20DB3"/>
    <w:rsid w:val="71A42F48"/>
    <w:rsid w:val="71A517D9"/>
    <w:rsid w:val="71A61A92"/>
    <w:rsid w:val="71AA4E17"/>
    <w:rsid w:val="71AB0D1E"/>
    <w:rsid w:val="71AC106C"/>
    <w:rsid w:val="71C21F5C"/>
    <w:rsid w:val="71CC32AB"/>
    <w:rsid w:val="71D0293D"/>
    <w:rsid w:val="71DC5E53"/>
    <w:rsid w:val="71EE5087"/>
    <w:rsid w:val="71F06A5C"/>
    <w:rsid w:val="72057567"/>
    <w:rsid w:val="72077373"/>
    <w:rsid w:val="72104CF8"/>
    <w:rsid w:val="721D12AF"/>
    <w:rsid w:val="721D3A01"/>
    <w:rsid w:val="7226152F"/>
    <w:rsid w:val="722E2629"/>
    <w:rsid w:val="72376466"/>
    <w:rsid w:val="723830FF"/>
    <w:rsid w:val="723F518D"/>
    <w:rsid w:val="72581DED"/>
    <w:rsid w:val="725A4ECA"/>
    <w:rsid w:val="725D58A8"/>
    <w:rsid w:val="72663713"/>
    <w:rsid w:val="726A4575"/>
    <w:rsid w:val="727C3155"/>
    <w:rsid w:val="72865441"/>
    <w:rsid w:val="72931016"/>
    <w:rsid w:val="729E12ED"/>
    <w:rsid w:val="729F57FE"/>
    <w:rsid w:val="72AF7364"/>
    <w:rsid w:val="72B50674"/>
    <w:rsid w:val="72C216C0"/>
    <w:rsid w:val="72C7190D"/>
    <w:rsid w:val="72E07EB3"/>
    <w:rsid w:val="72EC7E3D"/>
    <w:rsid w:val="72F04094"/>
    <w:rsid w:val="72F07E08"/>
    <w:rsid w:val="72F21EB4"/>
    <w:rsid w:val="730E3420"/>
    <w:rsid w:val="731A52E5"/>
    <w:rsid w:val="731D71E7"/>
    <w:rsid w:val="73203209"/>
    <w:rsid w:val="732A6D4F"/>
    <w:rsid w:val="73342F94"/>
    <w:rsid w:val="73361B37"/>
    <w:rsid w:val="733A1A9C"/>
    <w:rsid w:val="733E66FD"/>
    <w:rsid w:val="734165F8"/>
    <w:rsid w:val="734F3909"/>
    <w:rsid w:val="734F6B4A"/>
    <w:rsid w:val="735341A2"/>
    <w:rsid w:val="7362374F"/>
    <w:rsid w:val="736C1B8C"/>
    <w:rsid w:val="736C5135"/>
    <w:rsid w:val="737E1D9A"/>
    <w:rsid w:val="738B0393"/>
    <w:rsid w:val="738F6CEA"/>
    <w:rsid w:val="739978C7"/>
    <w:rsid w:val="73A56453"/>
    <w:rsid w:val="73AB798B"/>
    <w:rsid w:val="73CD3AF9"/>
    <w:rsid w:val="73CF470B"/>
    <w:rsid w:val="74082529"/>
    <w:rsid w:val="741375D0"/>
    <w:rsid w:val="741D2018"/>
    <w:rsid w:val="741F35DB"/>
    <w:rsid w:val="742A7931"/>
    <w:rsid w:val="74302B4F"/>
    <w:rsid w:val="74330594"/>
    <w:rsid w:val="74363265"/>
    <w:rsid w:val="7439521B"/>
    <w:rsid w:val="743B15E2"/>
    <w:rsid w:val="743C03B7"/>
    <w:rsid w:val="74477EFB"/>
    <w:rsid w:val="744864FF"/>
    <w:rsid w:val="74487C11"/>
    <w:rsid w:val="745C1CA8"/>
    <w:rsid w:val="746304B0"/>
    <w:rsid w:val="748816E2"/>
    <w:rsid w:val="748C3F4B"/>
    <w:rsid w:val="7492141F"/>
    <w:rsid w:val="749A3DA3"/>
    <w:rsid w:val="74B02ADF"/>
    <w:rsid w:val="74D114D6"/>
    <w:rsid w:val="74D25EEE"/>
    <w:rsid w:val="74F93B59"/>
    <w:rsid w:val="750937B8"/>
    <w:rsid w:val="750B48FC"/>
    <w:rsid w:val="750B5B44"/>
    <w:rsid w:val="750D3415"/>
    <w:rsid w:val="751267A8"/>
    <w:rsid w:val="751A6619"/>
    <w:rsid w:val="75384563"/>
    <w:rsid w:val="754760B8"/>
    <w:rsid w:val="754C091C"/>
    <w:rsid w:val="754C13F7"/>
    <w:rsid w:val="754D342B"/>
    <w:rsid w:val="755F7F87"/>
    <w:rsid w:val="756B7229"/>
    <w:rsid w:val="756C070F"/>
    <w:rsid w:val="75721E89"/>
    <w:rsid w:val="757607D0"/>
    <w:rsid w:val="75774810"/>
    <w:rsid w:val="757822AE"/>
    <w:rsid w:val="757E66CB"/>
    <w:rsid w:val="758950A4"/>
    <w:rsid w:val="758F6AE1"/>
    <w:rsid w:val="7590208C"/>
    <w:rsid w:val="75923DAC"/>
    <w:rsid w:val="75945B8C"/>
    <w:rsid w:val="75A7573B"/>
    <w:rsid w:val="75AD4F0B"/>
    <w:rsid w:val="75BA5D24"/>
    <w:rsid w:val="75BA5FEB"/>
    <w:rsid w:val="75BD268A"/>
    <w:rsid w:val="75C55DCB"/>
    <w:rsid w:val="75D30E1D"/>
    <w:rsid w:val="75D31876"/>
    <w:rsid w:val="7603234A"/>
    <w:rsid w:val="76043502"/>
    <w:rsid w:val="76054613"/>
    <w:rsid w:val="760A5CDB"/>
    <w:rsid w:val="76202E19"/>
    <w:rsid w:val="7634632A"/>
    <w:rsid w:val="763738F1"/>
    <w:rsid w:val="76385E60"/>
    <w:rsid w:val="76402E54"/>
    <w:rsid w:val="76432EE4"/>
    <w:rsid w:val="764E068A"/>
    <w:rsid w:val="765A6B35"/>
    <w:rsid w:val="76790F36"/>
    <w:rsid w:val="767A6BDE"/>
    <w:rsid w:val="767B0CC7"/>
    <w:rsid w:val="76840F31"/>
    <w:rsid w:val="7694751B"/>
    <w:rsid w:val="76AE1308"/>
    <w:rsid w:val="76B714B3"/>
    <w:rsid w:val="76C73C9A"/>
    <w:rsid w:val="76D70271"/>
    <w:rsid w:val="76EA2DC0"/>
    <w:rsid w:val="76FB0B73"/>
    <w:rsid w:val="77017347"/>
    <w:rsid w:val="77041C61"/>
    <w:rsid w:val="771522A2"/>
    <w:rsid w:val="77377037"/>
    <w:rsid w:val="773B615A"/>
    <w:rsid w:val="77450149"/>
    <w:rsid w:val="774C54A1"/>
    <w:rsid w:val="77534D32"/>
    <w:rsid w:val="775929E7"/>
    <w:rsid w:val="775C4878"/>
    <w:rsid w:val="775F6F8F"/>
    <w:rsid w:val="77764D81"/>
    <w:rsid w:val="77793034"/>
    <w:rsid w:val="777C4360"/>
    <w:rsid w:val="777F5402"/>
    <w:rsid w:val="77983F25"/>
    <w:rsid w:val="77AD4728"/>
    <w:rsid w:val="77B40BB1"/>
    <w:rsid w:val="77B5746C"/>
    <w:rsid w:val="77BA131D"/>
    <w:rsid w:val="77BA3B1C"/>
    <w:rsid w:val="77BF57C7"/>
    <w:rsid w:val="77CA7A19"/>
    <w:rsid w:val="77DF3E51"/>
    <w:rsid w:val="77DF47F4"/>
    <w:rsid w:val="77E83F2A"/>
    <w:rsid w:val="77E91DF6"/>
    <w:rsid w:val="77EA5752"/>
    <w:rsid w:val="77F739E6"/>
    <w:rsid w:val="7803223D"/>
    <w:rsid w:val="780A45ED"/>
    <w:rsid w:val="780A4DFA"/>
    <w:rsid w:val="78157CF7"/>
    <w:rsid w:val="781E586E"/>
    <w:rsid w:val="78301DAE"/>
    <w:rsid w:val="783E4375"/>
    <w:rsid w:val="784F56DF"/>
    <w:rsid w:val="78520D00"/>
    <w:rsid w:val="78526FC2"/>
    <w:rsid w:val="7857629B"/>
    <w:rsid w:val="786613B1"/>
    <w:rsid w:val="78693808"/>
    <w:rsid w:val="786E0F9C"/>
    <w:rsid w:val="788437FF"/>
    <w:rsid w:val="78857C89"/>
    <w:rsid w:val="788D5D18"/>
    <w:rsid w:val="7890698E"/>
    <w:rsid w:val="78A97A27"/>
    <w:rsid w:val="78B95140"/>
    <w:rsid w:val="78BB2564"/>
    <w:rsid w:val="78BC323C"/>
    <w:rsid w:val="78CC0DC3"/>
    <w:rsid w:val="78D4689D"/>
    <w:rsid w:val="78DE3A85"/>
    <w:rsid w:val="78DF464D"/>
    <w:rsid w:val="78E440AD"/>
    <w:rsid w:val="78E56CA1"/>
    <w:rsid w:val="78F411E5"/>
    <w:rsid w:val="78F54C80"/>
    <w:rsid w:val="790740FD"/>
    <w:rsid w:val="791364D2"/>
    <w:rsid w:val="79156E0F"/>
    <w:rsid w:val="791902A3"/>
    <w:rsid w:val="793555E7"/>
    <w:rsid w:val="7944014D"/>
    <w:rsid w:val="79446284"/>
    <w:rsid w:val="79482F61"/>
    <w:rsid w:val="794C7D62"/>
    <w:rsid w:val="7956060E"/>
    <w:rsid w:val="795C09EE"/>
    <w:rsid w:val="79653DE6"/>
    <w:rsid w:val="79782A0A"/>
    <w:rsid w:val="79862237"/>
    <w:rsid w:val="7994314C"/>
    <w:rsid w:val="79952599"/>
    <w:rsid w:val="79A35F49"/>
    <w:rsid w:val="79B6605D"/>
    <w:rsid w:val="79BC168A"/>
    <w:rsid w:val="79BE0C60"/>
    <w:rsid w:val="79D85272"/>
    <w:rsid w:val="79E06189"/>
    <w:rsid w:val="79E06CEF"/>
    <w:rsid w:val="79EA62EB"/>
    <w:rsid w:val="79EB45A1"/>
    <w:rsid w:val="79ED12C9"/>
    <w:rsid w:val="79FD76E9"/>
    <w:rsid w:val="7A215C00"/>
    <w:rsid w:val="7A290DC0"/>
    <w:rsid w:val="7A296EFF"/>
    <w:rsid w:val="7A4B51FA"/>
    <w:rsid w:val="7A4C6089"/>
    <w:rsid w:val="7A5252C7"/>
    <w:rsid w:val="7A531C9F"/>
    <w:rsid w:val="7A5F6682"/>
    <w:rsid w:val="7A8A2F3D"/>
    <w:rsid w:val="7A921AE4"/>
    <w:rsid w:val="7A940832"/>
    <w:rsid w:val="7AA9530D"/>
    <w:rsid w:val="7AB20E79"/>
    <w:rsid w:val="7AB32860"/>
    <w:rsid w:val="7AE70572"/>
    <w:rsid w:val="7AE815FC"/>
    <w:rsid w:val="7AF05A27"/>
    <w:rsid w:val="7AF37A02"/>
    <w:rsid w:val="7AFE696E"/>
    <w:rsid w:val="7B0B455A"/>
    <w:rsid w:val="7B0E68E7"/>
    <w:rsid w:val="7B283017"/>
    <w:rsid w:val="7B311171"/>
    <w:rsid w:val="7B347486"/>
    <w:rsid w:val="7B3B008E"/>
    <w:rsid w:val="7B51212C"/>
    <w:rsid w:val="7B581841"/>
    <w:rsid w:val="7B5B428C"/>
    <w:rsid w:val="7B5C2D8B"/>
    <w:rsid w:val="7B5F5CEE"/>
    <w:rsid w:val="7B6C7089"/>
    <w:rsid w:val="7B7C4ED1"/>
    <w:rsid w:val="7B867733"/>
    <w:rsid w:val="7B922396"/>
    <w:rsid w:val="7BB13620"/>
    <w:rsid w:val="7BB87930"/>
    <w:rsid w:val="7BBA5E68"/>
    <w:rsid w:val="7BC7163F"/>
    <w:rsid w:val="7BC96C5E"/>
    <w:rsid w:val="7BCA02B2"/>
    <w:rsid w:val="7BCE0DF2"/>
    <w:rsid w:val="7BCF19A0"/>
    <w:rsid w:val="7BD01566"/>
    <w:rsid w:val="7BE307E7"/>
    <w:rsid w:val="7C30326B"/>
    <w:rsid w:val="7C33006F"/>
    <w:rsid w:val="7C411BDF"/>
    <w:rsid w:val="7C56302C"/>
    <w:rsid w:val="7C59178C"/>
    <w:rsid w:val="7C5E5C42"/>
    <w:rsid w:val="7C6F071E"/>
    <w:rsid w:val="7C7C6A3F"/>
    <w:rsid w:val="7C8D0E31"/>
    <w:rsid w:val="7C8E36D7"/>
    <w:rsid w:val="7C9567F4"/>
    <w:rsid w:val="7C961F7D"/>
    <w:rsid w:val="7C9E14D5"/>
    <w:rsid w:val="7CA13E1C"/>
    <w:rsid w:val="7CB56D7D"/>
    <w:rsid w:val="7CC916E8"/>
    <w:rsid w:val="7CC92BE4"/>
    <w:rsid w:val="7CEE536B"/>
    <w:rsid w:val="7CFF1283"/>
    <w:rsid w:val="7CFFEFA1"/>
    <w:rsid w:val="7D00284C"/>
    <w:rsid w:val="7D0A7401"/>
    <w:rsid w:val="7D0E042B"/>
    <w:rsid w:val="7D1740A3"/>
    <w:rsid w:val="7D1E3FBC"/>
    <w:rsid w:val="7D2021D2"/>
    <w:rsid w:val="7D2122C5"/>
    <w:rsid w:val="7D271428"/>
    <w:rsid w:val="7D342C2D"/>
    <w:rsid w:val="7D346302"/>
    <w:rsid w:val="7D3A7495"/>
    <w:rsid w:val="7D4C0E1E"/>
    <w:rsid w:val="7D5C2AB9"/>
    <w:rsid w:val="7D5E1AB7"/>
    <w:rsid w:val="7D65430E"/>
    <w:rsid w:val="7D7F7019"/>
    <w:rsid w:val="7D8852F8"/>
    <w:rsid w:val="7D94398B"/>
    <w:rsid w:val="7D971692"/>
    <w:rsid w:val="7D9865FF"/>
    <w:rsid w:val="7DA036B4"/>
    <w:rsid w:val="7DCD136B"/>
    <w:rsid w:val="7DD85480"/>
    <w:rsid w:val="7DDDCE29"/>
    <w:rsid w:val="7DF616D0"/>
    <w:rsid w:val="7E097B7D"/>
    <w:rsid w:val="7E0A3645"/>
    <w:rsid w:val="7E244E09"/>
    <w:rsid w:val="7E261F2C"/>
    <w:rsid w:val="7E3056E0"/>
    <w:rsid w:val="7E305AC4"/>
    <w:rsid w:val="7E327D9E"/>
    <w:rsid w:val="7E3F1D1F"/>
    <w:rsid w:val="7E6063D6"/>
    <w:rsid w:val="7E64706F"/>
    <w:rsid w:val="7E712CB7"/>
    <w:rsid w:val="7E7C0838"/>
    <w:rsid w:val="7E7C1973"/>
    <w:rsid w:val="7E7F2C24"/>
    <w:rsid w:val="7E843AFA"/>
    <w:rsid w:val="7E8D3214"/>
    <w:rsid w:val="7E8D6E52"/>
    <w:rsid w:val="7E915650"/>
    <w:rsid w:val="7E923BFA"/>
    <w:rsid w:val="7E9674C8"/>
    <w:rsid w:val="7E994982"/>
    <w:rsid w:val="7E997755"/>
    <w:rsid w:val="7EAB3212"/>
    <w:rsid w:val="7EB73BF1"/>
    <w:rsid w:val="7EB75F10"/>
    <w:rsid w:val="7EB80529"/>
    <w:rsid w:val="7EB92E8B"/>
    <w:rsid w:val="7EBD08BF"/>
    <w:rsid w:val="7EC52331"/>
    <w:rsid w:val="7ECF5F7A"/>
    <w:rsid w:val="7ED04D1C"/>
    <w:rsid w:val="7ED752CD"/>
    <w:rsid w:val="7ED95BF4"/>
    <w:rsid w:val="7EEA7E01"/>
    <w:rsid w:val="7EEC1096"/>
    <w:rsid w:val="7EFC0461"/>
    <w:rsid w:val="7F1B05FD"/>
    <w:rsid w:val="7F337199"/>
    <w:rsid w:val="7F40213C"/>
    <w:rsid w:val="7F4C0ED5"/>
    <w:rsid w:val="7F5C3BF7"/>
    <w:rsid w:val="7F695587"/>
    <w:rsid w:val="7F76D771"/>
    <w:rsid w:val="7F7F7BF0"/>
    <w:rsid w:val="7F8440CB"/>
    <w:rsid w:val="7F8C7D9C"/>
    <w:rsid w:val="7F943F09"/>
    <w:rsid w:val="7F9A1937"/>
    <w:rsid w:val="7F9E51A4"/>
    <w:rsid w:val="7FA00957"/>
    <w:rsid w:val="7FA072B5"/>
    <w:rsid w:val="7FA62219"/>
    <w:rsid w:val="7FAE0F58"/>
    <w:rsid w:val="7FB76872"/>
    <w:rsid w:val="7FBF9542"/>
    <w:rsid w:val="7FC718D6"/>
    <w:rsid w:val="7FC932D6"/>
    <w:rsid w:val="7FE22028"/>
    <w:rsid w:val="7FE93226"/>
    <w:rsid w:val="7FF35F6F"/>
    <w:rsid w:val="7FF739AB"/>
    <w:rsid w:val="7FF847B0"/>
    <w:rsid w:val="7FFB52FC"/>
    <w:rsid w:val="7FFE7C82"/>
    <w:rsid w:val="7FFF55D0"/>
    <w:rsid w:val="9ECF4E12"/>
    <w:rsid w:val="9F7F0CC7"/>
    <w:rsid w:val="A3FD840D"/>
    <w:rsid w:val="B5FCB43E"/>
    <w:rsid w:val="B6F56A9A"/>
    <w:rsid w:val="B7FDAA39"/>
    <w:rsid w:val="BB5BC08A"/>
    <w:rsid w:val="BBEF4418"/>
    <w:rsid w:val="BFCF897A"/>
    <w:rsid w:val="BFE6DD2C"/>
    <w:rsid w:val="C0F64476"/>
    <w:rsid w:val="CBEF6EF8"/>
    <w:rsid w:val="DE7D76AF"/>
    <w:rsid w:val="DFEFA6F6"/>
    <w:rsid w:val="E9D6DDAA"/>
    <w:rsid w:val="EEAF5766"/>
    <w:rsid w:val="EEFCB4F8"/>
    <w:rsid w:val="EFAEFBD7"/>
    <w:rsid w:val="EFFEADF8"/>
    <w:rsid w:val="EFFF1A8E"/>
    <w:rsid w:val="F1F3E90F"/>
    <w:rsid w:val="F8FAD7A1"/>
    <w:rsid w:val="FAEFD0B4"/>
    <w:rsid w:val="FB27EE18"/>
    <w:rsid w:val="FC7D4D40"/>
    <w:rsid w:val="FC7F8352"/>
    <w:rsid w:val="FDD34B8F"/>
    <w:rsid w:val="FE7DFF5C"/>
    <w:rsid w:val="FEFD66C9"/>
    <w:rsid w:val="FFDFC374"/>
    <w:rsid w:val="FFFE368D"/>
    <w:rsid w:val="FFFEF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82"/>
    <w:autoRedefine/>
    <w:qFormat/>
    <w:uiPriority w:val="0"/>
    <w:pPr>
      <w:keepNext/>
      <w:keepLines/>
      <w:spacing w:before="340" w:after="330" w:line="578" w:lineRule="auto"/>
      <w:outlineLvl w:val="0"/>
    </w:pPr>
    <w:rPr>
      <w:b/>
      <w:bCs/>
      <w:kern w:val="44"/>
      <w:sz w:val="44"/>
      <w:szCs w:val="44"/>
    </w:rPr>
  </w:style>
  <w:style w:type="paragraph" w:styleId="8">
    <w:name w:val="heading 2"/>
    <w:basedOn w:val="1"/>
    <w:next w:val="1"/>
    <w:link w:val="67"/>
    <w:autoRedefine/>
    <w:qFormat/>
    <w:uiPriority w:val="9"/>
    <w:pPr>
      <w:keepNext/>
      <w:keepLines/>
      <w:spacing w:before="260" w:after="260" w:line="416" w:lineRule="auto"/>
      <w:outlineLvl w:val="1"/>
    </w:pPr>
    <w:rPr>
      <w:rFonts w:ascii="Arial" w:hAnsi="Arial" w:eastAsia="黑体"/>
      <w:sz w:val="32"/>
      <w:szCs w:val="32"/>
    </w:rPr>
  </w:style>
  <w:style w:type="paragraph" w:styleId="9">
    <w:name w:val="heading 3"/>
    <w:basedOn w:val="1"/>
    <w:next w:val="1"/>
    <w:link w:val="60"/>
    <w:autoRedefine/>
    <w:qFormat/>
    <w:uiPriority w:val="0"/>
    <w:pPr>
      <w:keepNext/>
      <w:keepLines/>
      <w:spacing w:before="260" w:after="260" w:line="413" w:lineRule="auto"/>
      <w:outlineLvl w:val="2"/>
    </w:pPr>
    <w:rPr>
      <w:b/>
      <w:bCs/>
      <w:sz w:val="32"/>
      <w:szCs w:val="32"/>
    </w:rPr>
  </w:style>
  <w:style w:type="paragraph" w:styleId="10">
    <w:name w:val="heading 4"/>
    <w:basedOn w:val="1"/>
    <w:next w:val="1"/>
    <w:autoRedefine/>
    <w:qFormat/>
    <w:uiPriority w:val="0"/>
    <w:pPr>
      <w:keepNext/>
      <w:keepLines/>
      <w:spacing w:before="280" w:after="290" w:line="372" w:lineRule="auto"/>
      <w:outlineLvl w:val="3"/>
    </w:pPr>
    <w:rPr>
      <w:rFonts w:ascii="Arial" w:hAnsi="Arial" w:eastAsia="黑体"/>
      <w:b/>
      <w:sz w:val="28"/>
    </w:rPr>
  </w:style>
  <w:style w:type="paragraph" w:styleId="11">
    <w:name w:val="heading 6"/>
    <w:basedOn w:val="1"/>
    <w:next w:val="1"/>
    <w:link w:val="61"/>
    <w:autoRedefine/>
    <w:qFormat/>
    <w:uiPriority w:val="0"/>
    <w:pPr>
      <w:keepNext/>
      <w:keepLines/>
      <w:spacing w:before="240" w:after="64" w:line="320" w:lineRule="auto"/>
      <w:outlineLvl w:val="5"/>
    </w:pPr>
    <w:rPr>
      <w:rFonts w:ascii="Cambria" w:hAnsi="Cambria"/>
      <w:b/>
      <w:bCs/>
      <w:sz w:val="24"/>
    </w:rPr>
  </w:style>
  <w:style w:type="paragraph" w:styleId="12">
    <w:name w:val="heading 8"/>
    <w:basedOn w:val="1"/>
    <w:next w:val="1"/>
    <w:autoRedefine/>
    <w:qFormat/>
    <w:uiPriority w:val="1"/>
    <w:pPr>
      <w:ind w:left="220" w:hanging="223"/>
      <w:outlineLvl w:val="7"/>
    </w:pPr>
    <w:rPr>
      <w:rFonts w:ascii="宋体" w:hAnsi="宋体" w:cs="宋体"/>
      <w:sz w:val="22"/>
      <w:szCs w:val="22"/>
      <w:lang w:val="zh-CN" w:bidi="zh-CN"/>
    </w:rPr>
  </w:style>
  <w:style w:type="paragraph" w:styleId="13">
    <w:name w:val="heading 9"/>
    <w:basedOn w:val="1"/>
    <w:next w:val="1"/>
    <w:autoRedefine/>
    <w:qFormat/>
    <w:uiPriority w:val="1"/>
    <w:pPr>
      <w:ind w:left="640"/>
      <w:outlineLvl w:val="8"/>
    </w:pPr>
    <w:rPr>
      <w:rFonts w:ascii="宋体" w:hAnsi="宋体" w:cs="宋体"/>
      <w:b/>
      <w:bCs/>
      <w:szCs w:val="21"/>
      <w:lang w:val="zh-CN" w:bidi="zh-CN"/>
    </w:rPr>
  </w:style>
  <w:style w:type="character" w:default="1" w:styleId="40">
    <w:name w:val="Default Paragraph Font"/>
    <w:autoRedefine/>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3"/>
    <w:next w:val="4"/>
    <w:link w:val="81"/>
    <w:autoRedefine/>
    <w:qFormat/>
    <w:locked/>
    <w:uiPriority w:val="0"/>
    <w:pPr>
      <w:spacing w:beforeLines="25" w:afterLines="25"/>
      <w:jc w:val="center"/>
    </w:pPr>
    <w:rPr>
      <w:rFonts w:ascii="Times New Roman" w:hAnsi="Times New Roman" w:eastAsia="宋体" w:cs="Times New Roman"/>
      <w:kern w:val="2"/>
      <w:sz w:val="24"/>
      <w:szCs w:val="28"/>
      <w:lang w:val="en-US" w:eastAsia="zh-CN" w:bidi="ar-SA"/>
    </w:rPr>
  </w:style>
  <w:style w:type="paragraph" w:customStyle="1" w:styleId="3">
    <w:name w:val="表格文字（两侧对齐）"/>
    <w:basedOn w:val="1"/>
    <w:autoRedefine/>
    <w:qFormat/>
    <w:uiPriority w:val="0"/>
    <w:pPr>
      <w:snapToGrid w:val="0"/>
    </w:pPr>
    <w:rPr>
      <w:sz w:val="20"/>
      <w:szCs w:val="24"/>
    </w:rPr>
  </w:style>
  <w:style w:type="paragraph" w:styleId="4">
    <w:name w:val="Body Text"/>
    <w:basedOn w:val="1"/>
    <w:next w:val="5"/>
    <w:link w:val="58"/>
    <w:autoRedefine/>
    <w:qFormat/>
    <w:uiPriority w:val="0"/>
    <w:pPr>
      <w:spacing w:after="120"/>
    </w:pPr>
  </w:style>
  <w:style w:type="paragraph" w:styleId="5">
    <w:name w:val="Body Text First Indent"/>
    <w:basedOn w:val="4"/>
    <w:next w:val="6"/>
    <w:autoRedefine/>
    <w:unhideWhenUsed/>
    <w:qFormat/>
    <w:uiPriority w:val="99"/>
    <w:pPr>
      <w:spacing w:line="360" w:lineRule="auto"/>
      <w:ind w:firstLine="200" w:firstLineChars="200"/>
    </w:pPr>
    <w:rPr>
      <w:rFonts w:ascii="仿宋_GB2312" w:eastAsia="仿宋_GB2312"/>
      <w:bCs/>
      <w:sz w:val="30"/>
    </w:rPr>
  </w:style>
  <w:style w:type="paragraph" w:styleId="6">
    <w:name w:val="toc 6"/>
    <w:basedOn w:val="1"/>
    <w:next w:val="1"/>
    <w:autoRedefine/>
    <w:unhideWhenUsed/>
    <w:qFormat/>
    <w:uiPriority w:val="39"/>
    <w:pPr>
      <w:ind w:left="2100" w:leftChars="1000"/>
    </w:pPr>
  </w:style>
  <w:style w:type="paragraph" w:styleId="14">
    <w:name w:val="List Number"/>
    <w:basedOn w:val="1"/>
    <w:autoRedefine/>
    <w:qFormat/>
    <w:uiPriority w:val="0"/>
    <w:pPr>
      <w:widowControl/>
      <w:numPr>
        <w:ilvl w:val="0"/>
        <w:numId w:val="1"/>
      </w:numPr>
      <w:tabs>
        <w:tab w:val="left" w:pos="454"/>
        <w:tab w:val="left" w:pos="720"/>
      </w:tabs>
      <w:spacing w:after="156" w:afterLines="50"/>
      <w:jc w:val="left"/>
    </w:pPr>
    <w:rPr>
      <w:kern w:val="0"/>
      <w:sz w:val="24"/>
      <w:szCs w:val="20"/>
    </w:rPr>
  </w:style>
  <w:style w:type="paragraph" w:styleId="15">
    <w:name w:val="Normal Indent"/>
    <w:basedOn w:val="1"/>
    <w:next w:val="16"/>
    <w:link w:val="86"/>
    <w:autoRedefine/>
    <w:qFormat/>
    <w:uiPriority w:val="0"/>
    <w:pPr>
      <w:ind w:firstLine="420"/>
    </w:pPr>
    <w:rPr>
      <w:szCs w:val="20"/>
    </w:rPr>
  </w:style>
  <w:style w:type="paragraph" w:styleId="16">
    <w:name w:val="Body Text Indent"/>
    <w:basedOn w:val="1"/>
    <w:next w:val="15"/>
    <w:autoRedefine/>
    <w:qFormat/>
    <w:uiPriority w:val="0"/>
    <w:pPr>
      <w:spacing w:after="120"/>
      <w:ind w:left="420" w:leftChars="200"/>
    </w:pPr>
  </w:style>
  <w:style w:type="paragraph" w:styleId="17">
    <w:name w:val="caption"/>
    <w:basedOn w:val="1"/>
    <w:next w:val="1"/>
    <w:autoRedefine/>
    <w:qFormat/>
    <w:uiPriority w:val="0"/>
    <w:pPr>
      <w:spacing w:before="152" w:after="160"/>
    </w:pPr>
    <w:rPr>
      <w:rFonts w:ascii="Arial" w:hAnsi="Arial" w:eastAsia="黑体" w:cs="Arial"/>
      <w:sz w:val="20"/>
      <w:szCs w:val="20"/>
    </w:rPr>
  </w:style>
  <w:style w:type="paragraph" w:styleId="18">
    <w:name w:val="Document Map"/>
    <w:basedOn w:val="1"/>
    <w:link w:val="69"/>
    <w:autoRedefine/>
    <w:qFormat/>
    <w:uiPriority w:val="0"/>
    <w:rPr>
      <w:rFonts w:ascii="Helvetica" w:hAnsi="Helvetica"/>
      <w:sz w:val="24"/>
    </w:rPr>
  </w:style>
  <w:style w:type="paragraph" w:styleId="19">
    <w:name w:val="annotation text"/>
    <w:basedOn w:val="1"/>
    <w:link w:val="71"/>
    <w:autoRedefine/>
    <w:qFormat/>
    <w:uiPriority w:val="0"/>
    <w:pPr>
      <w:jc w:val="left"/>
    </w:pPr>
  </w:style>
  <w:style w:type="paragraph" w:styleId="20">
    <w:name w:val="Body Text 3"/>
    <w:basedOn w:val="1"/>
    <w:link w:val="56"/>
    <w:autoRedefine/>
    <w:qFormat/>
    <w:uiPriority w:val="0"/>
    <w:pPr>
      <w:spacing w:after="120"/>
    </w:pPr>
    <w:rPr>
      <w:sz w:val="16"/>
      <w:szCs w:val="16"/>
    </w:rPr>
  </w:style>
  <w:style w:type="paragraph" w:styleId="21">
    <w:name w:val="List 2"/>
    <w:basedOn w:val="1"/>
    <w:autoRedefine/>
    <w:qFormat/>
    <w:uiPriority w:val="0"/>
    <w:pPr>
      <w:ind w:left="100" w:leftChars="200" w:hanging="200" w:hangingChars="200"/>
    </w:pPr>
  </w:style>
  <w:style w:type="paragraph" w:styleId="22">
    <w:name w:val="Plain Text"/>
    <w:basedOn w:val="1"/>
    <w:next w:val="1"/>
    <w:link w:val="64"/>
    <w:autoRedefine/>
    <w:qFormat/>
    <w:uiPriority w:val="0"/>
    <w:rPr>
      <w:sz w:val="24"/>
      <w:szCs w:val="20"/>
    </w:rPr>
  </w:style>
  <w:style w:type="paragraph" w:styleId="23">
    <w:name w:val="Date"/>
    <w:basedOn w:val="1"/>
    <w:next w:val="1"/>
    <w:link w:val="74"/>
    <w:autoRedefine/>
    <w:qFormat/>
    <w:uiPriority w:val="0"/>
    <w:pPr>
      <w:ind w:left="2500" w:leftChars="2500"/>
    </w:pPr>
    <w:rPr>
      <w:rFonts w:eastAsia="楷体_GB2312"/>
      <w:sz w:val="32"/>
      <w:szCs w:val="20"/>
    </w:rPr>
  </w:style>
  <w:style w:type="paragraph" w:styleId="24">
    <w:name w:val="Body Text Indent 2"/>
    <w:basedOn w:val="1"/>
    <w:link w:val="68"/>
    <w:autoRedefine/>
    <w:qFormat/>
    <w:uiPriority w:val="0"/>
    <w:pPr>
      <w:spacing w:after="120" w:line="480" w:lineRule="auto"/>
      <w:ind w:left="420" w:leftChars="200"/>
    </w:pPr>
  </w:style>
  <w:style w:type="paragraph" w:styleId="25">
    <w:name w:val="endnote text"/>
    <w:basedOn w:val="1"/>
    <w:link w:val="57"/>
    <w:autoRedefine/>
    <w:qFormat/>
    <w:uiPriority w:val="0"/>
    <w:pPr>
      <w:snapToGrid w:val="0"/>
      <w:jc w:val="left"/>
    </w:pPr>
  </w:style>
  <w:style w:type="paragraph" w:styleId="26">
    <w:name w:val="Balloon Text"/>
    <w:basedOn w:val="1"/>
    <w:link w:val="77"/>
    <w:autoRedefine/>
    <w:qFormat/>
    <w:uiPriority w:val="0"/>
    <w:rPr>
      <w:sz w:val="18"/>
      <w:szCs w:val="18"/>
    </w:rPr>
  </w:style>
  <w:style w:type="paragraph" w:styleId="27">
    <w:name w:val="footer"/>
    <w:basedOn w:val="1"/>
    <w:next w:val="28"/>
    <w:link w:val="72"/>
    <w:autoRedefine/>
    <w:qFormat/>
    <w:uiPriority w:val="99"/>
    <w:pPr>
      <w:tabs>
        <w:tab w:val="center" w:pos="4153"/>
        <w:tab w:val="right" w:pos="8306"/>
      </w:tabs>
      <w:snapToGrid w:val="0"/>
      <w:jc w:val="left"/>
    </w:pPr>
    <w:rPr>
      <w:sz w:val="18"/>
      <w:szCs w:val="18"/>
    </w:rPr>
  </w:style>
  <w:style w:type="paragraph" w:styleId="28">
    <w:name w:val="toc 2"/>
    <w:basedOn w:val="1"/>
    <w:next w:val="1"/>
    <w:autoRedefine/>
    <w:qFormat/>
    <w:uiPriority w:val="39"/>
    <w:pPr>
      <w:ind w:left="420" w:leftChars="200"/>
    </w:pPr>
  </w:style>
  <w:style w:type="paragraph" w:styleId="29">
    <w:name w:val="header"/>
    <w:basedOn w:val="1"/>
    <w:link w:val="83"/>
    <w:autoRedefine/>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39"/>
  </w:style>
  <w:style w:type="paragraph" w:styleId="31">
    <w:name w:val="List"/>
    <w:basedOn w:val="1"/>
    <w:autoRedefine/>
    <w:qFormat/>
    <w:uiPriority w:val="0"/>
    <w:pPr>
      <w:ind w:left="200" w:hanging="200" w:hangingChars="200"/>
    </w:pPr>
  </w:style>
  <w:style w:type="paragraph" w:styleId="32">
    <w:name w:val="Body Text Indent 3"/>
    <w:basedOn w:val="1"/>
    <w:link w:val="62"/>
    <w:autoRedefine/>
    <w:qFormat/>
    <w:uiPriority w:val="0"/>
    <w:pPr>
      <w:ind w:firstLine="435"/>
    </w:pPr>
  </w:style>
  <w:style w:type="paragraph" w:styleId="33">
    <w:name w:val="Body Text 2"/>
    <w:basedOn w:val="1"/>
    <w:link w:val="63"/>
    <w:autoRedefine/>
    <w:qFormat/>
    <w:uiPriority w:val="0"/>
    <w:pPr>
      <w:spacing w:after="120" w:line="480" w:lineRule="auto"/>
    </w:pPr>
  </w:style>
  <w:style w:type="paragraph" w:styleId="34">
    <w:name w:val="Normal (Web)"/>
    <w:basedOn w:val="1"/>
    <w:autoRedefine/>
    <w:unhideWhenUsed/>
    <w:qFormat/>
    <w:uiPriority w:val="0"/>
    <w:pPr>
      <w:widowControl/>
      <w:spacing w:before="240" w:after="240"/>
      <w:jc w:val="left"/>
    </w:pPr>
    <w:rPr>
      <w:rFonts w:ascii="宋体" w:hAnsi="宋体" w:cs="宋体"/>
      <w:kern w:val="0"/>
      <w:sz w:val="24"/>
    </w:rPr>
  </w:style>
  <w:style w:type="paragraph" w:styleId="35">
    <w:name w:val="Title"/>
    <w:basedOn w:val="1"/>
    <w:next w:val="1"/>
    <w:link w:val="85"/>
    <w:autoRedefine/>
    <w:qFormat/>
    <w:uiPriority w:val="10"/>
    <w:pPr>
      <w:spacing w:before="240" w:after="60"/>
      <w:jc w:val="center"/>
      <w:outlineLvl w:val="0"/>
    </w:pPr>
    <w:rPr>
      <w:rFonts w:ascii="Cambria" w:hAnsi="Cambria"/>
      <w:b/>
      <w:bCs/>
      <w:sz w:val="32"/>
      <w:szCs w:val="32"/>
    </w:rPr>
  </w:style>
  <w:style w:type="paragraph" w:styleId="36">
    <w:name w:val="annotation subject"/>
    <w:basedOn w:val="19"/>
    <w:next w:val="19"/>
    <w:link w:val="76"/>
    <w:autoRedefine/>
    <w:qFormat/>
    <w:uiPriority w:val="0"/>
    <w:rPr>
      <w:b/>
      <w:bCs/>
    </w:rPr>
  </w:style>
  <w:style w:type="paragraph" w:styleId="37">
    <w:name w:val="Body Text First Indent 2"/>
    <w:basedOn w:val="16"/>
    <w:autoRedefine/>
    <w:qFormat/>
    <w:uiPriority w:val="0"/>
    <w:pPr>
      <w:autoSpaceDE w:val="0"/>
      <w:autoSpaceDN w:val="0"/>
      <w:adjustRightInd w:val="0"/>
      <w:ind w:firstLine="420" w:firstLineChars="200"/>
      <w:jc w:val="left"/>
    </w:pPr>
  </w:style>
  <w:style w:type="table" w:styleId="39">
    <w:name w:val="Table Grid"/>
    <w:basedOn w:val="3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autoRedefine/>
    <w:qFormat/>
    <w:uiPriority w:val="22"/>
    <w:rPr>
      <w:b/>
    </w:rPr>
  </w:style>
  <w:style w:type="character" w:styleId="42">
    <w:name w:val="endnote reference"/>
    <w:autoRedefine/>
    <w:qFormat/>
    <w:uiPriority w:val="0"/>
    <w:rPr>
      <w:vertAlign w:val="superscript"/>
    </w:rPr>
  </w:style>
  <w:style w:type="character" w:styleId="43">
    <w:name w:val="page number"/>
    <w:basedOn w:val="40"/>
    <w:autoRedefine/>
    <w:qFormat/>
    <w:uiPriority w:val="0"/>
  </w:style>
  <w:style w:type="character" w:styleId="44">
    <w:name w:val="FollowedHyperlink"/>
    <w:autoRedefine/>
    <w:qFormat/>
    <w:uiPriority w:val="0"/>
    <w:rPr>
      <w:color w:val="800080"/>
      <w:u w:val="single"/>
    </w:rPr>
  </w:style>
  <w:style w:type="character" w:styleId="45">
    <w:name w:val="Emphasis"/>
    <w:autoRedefine/>
    <w:qFormat/>
    <w:uiPriority w:val="0"/>
  </w:style>
  <w:style w:type="character" w:styleId="46">
    <w:name w:val="Hyperlink"/>
    <w:autoRedefine/>
    <w:qFormat/>
    <w:uiPriority w:val="99"/>
    <w:rPr>
      <w:color w:val="0000FF"/>
      <w:u w:val="single"/>
    </w:rPr>
  </w:style>
  <w:style w:type="character" w:styleId="47">
    <w:name w:val="annotation reference"/>
    <w:autoRedefine/>
    <w:qFormat/>
    <w:uiPriority w:val="0"/>
    <w:rPr>
      <w:sz w:val="21"/>
      <w:szCs w:val="21"/>
    </w:rPr>
  </w:style>
  <w:style w:type="paragraph" w:customStyle="1" w:styleId="48">
    <w:name w:val="BodyText1I"/>
    <w:basedOn w:val="49"/>
    <w:next w:val="1"/>
    <w:autoRedefine/>
    <w:qFormat/>
    <w:uiPriority w:val="0"/>
    <w:pPr>
      <w:ind w:firstLine="420" w:firstLineChars="100"/>
      <w:jc w:val="both"/>
      <w:textAlignment w:val="baseline"/>
    </w:pPr>
  </w:style>
  <w:style w:type="paragraph" w:customStyle="1" w:styleId="49">
    <w:name w:val="BodyText"/>
    <w:basedOn w:val="1"/>
    <w:next w:val="50"/>
    <w:autoRedefine/>
    <w:qFormat/>
    <w:uiPriority w:val="0"/>
    <w:pPr>
      <w:jc w:val="both"/>
      <w:textAlignment w:val="baseline"/>
    </w:pPr>
    <w:rPr>
      <w:rFonts w:ascii="宋体" w:hAnsi="宋体" w:eastAsia="宋体"/>
      <w:kern w:val="2"/>
      <w:sz w:val="21"/>
      <w:szCs w:val="21"/>
      <w:lang w:val="zh-CN" w:eastAsia="zh-CN" w:bidi="zh-CN"/>
    </w:rPr>
  </w:style>
  <w:style w:type="paragraph" w:customStyle="1" w:styleId="50">
    <w:name w:val="TOC2"/>
    <w:basedOn w:val="1"/>
    <w:next w:val="1"/>
    <w:autoRedefine/>
    <w:qFormat/>
    <w:uiPriority w:val="0"/>
    <w:pPr>
      <w:ind w:left="420" w:leftChars="200"/>
      <w:jc w:val="both"/>
      <w:textAlignment w:val="baseline"/>
    </w:pPr>
  </w:style>
  <w:style w:type="paragraph" w:customStyle="1" w:styleId="51">
    <w:name w:val="样式 表格正文 + 两端对齐"/>
    <w:basedOn w:val="1"/>
    <w:next w:val="52"/>
    <w:autoRedefine/>
    <w:qFormat/>
    <w:uiPriority w:val="0"/>
    <w:pPr>
      <w:spacing w:line="300" w:lineRule="auto"/>
    </w:pPr>
  </w:style>
  <w:style w:type="paragraph" w:customStyle="1" w:styleId="52">
    <w:name w:val="正文1"/>
    <w:basedOn w:val="18"/>
    <w:next w:val="1"/>
    <w:autoRedefine/>
    <w:qFormat/>
    <w:uiPriority w:val="99"/>
    <w:pPr>
      <w:widowControl/>
      <w:overflowPunct w:val="0"/>
      <w:autoSpaceDE w:val="0"/>
      <w:autoSpaceDN w:val="0"/>
      <w:adjustRightInd w:val="0"/>
      <w:spacing w:line="400" w:lineRule="exact"/>
      <w:textAlignment w:val="baseline"/>
    </w:pPr>
    <w:rPr>
      <w:kern w:val="0"/>
      <w:szCs w:val="20"/>
    </w:rPr>
  </w:style>
  <w:style w:type="character" w:customStyle="1" w:styleId="53">
    <w:name w:val="NormalCharacter"/>
    <w:autoRedefine/>
    <w:qFormat/>
    <w:uiPriority w:val="0"/>
    <w:rPr>
      <w:rFonts w:ascii="Times New Roman" w:hAnsi="Times New Roman" w:eastAsia="宋体" w:cs="Times New Roman"/>
    </w:rPr>
  </w:style>
  <w:style w:type="character" w:customStyle="1" w:styleId="54">
    <w:name w:val="标3 Char"/>
    <w:link w:val="55"/>
    <w:autoRedefine/>
    <w:qFormat/>
    <w:uiPriority w:val="0"/>
    <w:rPr>
      <w:rFonts w:ascii="Arial Narrow" w:hAnsi="Arial Narrow" w:eastAsia="仿宋_GB2312"/>
      <w:sz w:val="32"/>
      <w:szCs w:val="32"/>
    </w:rPr>
  </w:style>
  <w:style w:type="paragraph" w:customStyle="1" w:styleId="55">
    <w:name w:val="标3"/>
    <w:basedOn w:val="1"/>
    <w:link w:val="54"/>
    <w:autoRedefine/>
    <w:qFormat/>
    <w:uiPriority w:val="0"/>
    <w:pPr>
      <w:numPr>
        <w:ilvl w:val="2"/>
        <w:numId w:val="2"/>
      </w:numPr>
      <w:adjustRightInd w:val="0"/>
      <w:snapToGrid w:val="0"/>
      <w:spacing w:before="156" w:beforeLines="50"/>
      <w:outlineLvl w:val="2"/>
    </w:pPr>
    <w:rPr>
      <w:rFonts w:ascii="Arial Narrow" w:hAnsi="Arial Narrow" w:eastAsia="仿宋_GB2312"/>
      <w:kern w:val="0"/>
      <w:sz w:val="32"/>
      <w:szCs w:val="32"/>
    </w:rPr>
  </w:style>
  <w:style w:type="character" w:customStyle="1" w:styleId="56">
    <w:name w:val="正文文本 3 字符"/>
    <w:link w:val="20"/>
    <w:autoRedefine/>
    <w:qFormat/>
    <w:uiPriority w:val="0"/>
    <w:rPr>
      <w:kern w:val="2"/>
      <w:sz w:val="16"/>
      <w:szCs w:val="16"/>
    </w:rPr>
  </w:style>
  <w:style w:type="character" w:customStyle="1" w:styleId="57">
    <w:name w:val="尾注文本 字符"/>
    <w:link w:val="25"/>
    <w:autoRedefine/>
    <w:qFormat/>
    <w:uiPriority w:val="0"/>
    <w:rPr>
      <w:kern w:val="2"/>
      <w:sz w:val="21"/>
      <w:szCs w:val="24"/>
    </w:rPr>
  </w:style>
  <w:style w:type="character" w:customStyle="1" w:styleId="58">
    <w:name w:val="正文文本 字符"/>
    <w:link w:val="4"/>
    <w:autoRedefine/>
    <w:qFormat/>
    <w:uiPriority w:val="0"/>
    <w:rPr>
      <w:kern w:val="2"/>
      <w:sz w:val="21"/>
      <w:szCs w:val="24"/>
    </w:rPr>
  </w:style>
  <w:style w:type="character" w:customStyle="1" w:styleId="59">
    <w:name w:val="font31"/>
    <w:basedOn w:val="40"/>
    <w:autoRedefine/>
    <w:qFormat/>
    <w:uiPriority w:val="0"/>
    <w:rPr>
      <w:rFonts w:hint="eastAsia" w:ascii="宋体" w:hAnsi="宋体" w:eastAsia="宋体" w:cs="宋体"/>
      <w:color w:val="000000"/>
      <w:sz w:val="24"/>
      <w:szCs w:val="24"/>
      <w:u w:val="none"/>
    </w:rPr>
  </w:style>
  <w:style w:type="character" w:customStyle="1" w:styleId="60">
    <w:name w:val="标题 3 字符"/>
    <w:link w:val="9"/>
    <w:autoRedefine/>
    <w:qFormat/>
    <w:uiPriority w:val="0"/>
    <w:rPr>
      <w:b/>
      <w:bCs/>
      <w:kern w:val="2"/>
      <w:sz w:val="32"/>
      <w:szCs w:val="32"/>
    </w:rPr>
  </w:style>
  <w:style w:type="character" w:customStyle="1" w:styleId="61">
    <w:name w:val="标题 6 字符"/>
    <w:link w:val="11"/>
    <w:autoRedefine/>
    <w:semiHidden/>
    <w:qFormat/>
    <w:uiPriority w:val="0"/>
    <w:rPr>
      <w:rFonts w:ascii="Cambria" w:hAnsi="Cambria" w:eastAsia="宋体" w:cs="Times New Roman"/>
      <w:b/>
      <w:bCs/>
      <w:kern w:val="2"/>
      <w:sz w:val="24"/>
      <w:szCs w:val="24"/>
    </w:rPr>
  </w:style>
  <w:style w:type="character" w:customStyle="1" w:styleId="62">
    <w:name w:val="正文文本缩进 3 字符"/>
    <w:link w:val="32"/>
    <w:autoRedefine/>
    <w:qFormat/>
    <w:uiPriority w:val="0"/>
    <w:rPr>
      <w:kern w:val="2"/>
      <w:sz w:val="21"/>
      <w:szCs w:val="24"/>
    </w:rPr>
  </w:style>
  <w:style w:type="character" w:customStyle="1" w:styleId="63">
    <w:name w:val="正文文本 2 字符"/>
    <w:link w:val="33"/>
    <w:autoRedefine/>
    <w:qFormat/>
    <w:uiPriority w:val="0"/>
    <w:rPr>
      <w:kern w:val="2"/>
      <w:sz w:val="21"/>
      <w:szCs w:val="24"/>
    </w:rPr>
  </w:style>
  <w:style w:type="character" w:customStyle="1" w:styleId="64">
    <w:name w:val="纯文本 字符"/>
    <w:link w:val="22"/>
    <w:autoRedefine/>
    <w:qFormat/>
    <w:uiPriority w:val="0"/>
    <w:rPr>
      <w:rFonts w:eastAsia="宋体"/>
      <w:kern w:val="2"/>
      <w:sz w:val="24"/>
      <w:lang w:val="en-US" w:eastAsia="zh-CN" w:bidi="ar-SA"/>
    </w:rPr>
  </w:style>
  <w:style w:type="character" w:customStyle="1" w:styleId="65">
    <w:name w:val="标题 1字符"/>
    <w:autoRedefine/>
    <w:qFormat/>
    <w:uiPriority w:val="0"/>
    <w:rPr>
      <w:b/>
      <w:bCs/>
      <w:kern w:val="44"/>
      <w:sz w:val="44"/>
      <w:szCs w:val="44"/>
    </w:rPr>
  </w:style>
  <w:style w:type="character" w:customStyle="1" w:styleId="66">
    <w:name w:val="无"/>
    <w:autoRedefine/>
    <w:qFormat/>
    <w:uiPriority w:val="99"/>
  </w:style>
  <w:style w:type="character" w:customStyle="1" w:styleId="67">
    <w:name w:val="标题 2 字符"/>
    <w:link w:val="8"/>
    <w:autoRedefine/>
    <w:qFormat/>
    <w:uiPriority w:val="9"/>
    <w:rPr>
      <w:rFonts w:ascii="Arial" w:hAnsi="Arial" w:eastAsia="黑体"/>
      <w:b/>
      <w:bCs/>
      <w:kern w:val="2"/>
      <w:sz w:val="32"/>
      <w:szCs w:val="32"/>
    </w:rPr>
  </w:style>
  <w:style w:type="character" w:customStyle="1" w:styleId="68">
    <w:name w:val="正文文本缩进 2 字符"/>
    <w:link w:val="24"/>
    <w:autoRedefine/>
    <w:qFormat/>
    <w:uiPriority w:val="0"/>
    <w:rPr>
      <w:kern w:val="2"/>
      <w:sz w:val="21"/>
      <w:szCs w:val="24"/>
    </w:rPr>
  </w:style>
  <w:style w:type="character" w:customStyle="1" w:styleId="69">
    <w:name w:val="文档结构图 字符"/>
    <w:link w:val="18"/>
    <w:autoRedefine/>
    <w:qFormat/>
    <w:uiPriority w:val="0"/>
    <w:rPr>
      <w:rFonts w:ascii="Helvetica" w:hAnsi="Helvetica"/>
      <w:kern w:val="2"/>
      <w:sz w:val="24"/>
      <w:szCs w:val="24"/>
    </w:rPr>
  </w:style>
  <w:style w:type="character" w:customStyle="1" w:styleId="70">
    <w:name w:val="Char Char Char"/>
    <w:autoRedefine/>
    <w:qFormat/>
    <w:uiPriority w:val="0"/>
    <w:rPr>
      <w:rFonts w:ascii="宋体" w:hAnsi="Courier New" w:eastAsia="宋体"/>
      <w:kern w:val="2"/>
      <w:sz w:val="24"/>
      <w:szCs w:val="24"/>
      <w:lang w:val="en-US" w:eastAsia="zh-CN" w:bidi="ar-SA"/>
    </w:rPr>
  </w:style>
  <w:style w:type="character" w:customStyle="1" w:styleId="71">
    <w:name w:val="批注文字 字符"/>
    <w:link w:val="19"/>
    <w:autoRedefine/>
    <w:qFormat/>
    <w:uiPriority w:val="0"/>
    <w:rPr>
      <w:kern w:val="2"/>
      <w:sz w:val="21"/>
      <w:szCs w:val="24"/>
    </w:rPr>
  </w:style>
  <w:style w:type="character" w:customStyle="1" w:styleId="72">
    <w:name w:val="页脚 字符"/>
    <w:link w:val="27"/>
    <w:autoRedefine/>
    <w:qFormat/>
    <w:uiPriority w:val="99"/>
    <w:rPr>
      <w:kern w:val="2"/>
      <w:sz w:val="18"/>
      <w:szCs w:val="18"/>
    </w:rPr>
  </w:style>
  <w:style w:type="character" w:customStyle="1" w:styleId="73">
    <w:name w:val="纯文本 Char1"/>
    <w:autoRedefine/>
    <w:qFormat/>
    <w:locked/>
    <w:uiPriority w:val="0"/>
    <w:rPr>
      <w:rFonts w:ascii="宋体" w:hAnsi="Courier New" w:eastAsia="宋体" w:cs="Times New Roman"/>
      <w:szCs w:val="21"/>
    </w:rPr>
  </w:style>
  <w:style w:type="character" w:customStyle="1" w:styleId="74">
    <w:name w:val="日期 字符"/>
    <w:link w:val="23"/>
    <w:autoRedefine/>
    <w:qFormat/>
    <w:uiPriority w:val="0"/>
    <w:rPr>
      <w:rFonts w:eastAsia="楷体_GB2312"/>
      <w:kern w:val="2"/>
      <w:sz w:val="32"/>
    </w:rPr>
  </w:style>
  <w:style w:type="character" w:customStyle="1" w:styleId="75">
    <w:name w:val="Char Char"/>
    <w:autoRedefine/>
    <w:qFormat/>
    <w:uiPriority w:val="0"/>
    <w:rPr>
      <w:rFonts w:ascii="宋体" w:hAnsi="Courier New" w:eastAsia="宋体"/>
      <w:kern w:val="2"/>
      <w:sz w:val="24"/>
      <w:szCs w:val="24"/>
      <w:lang w:val="en-US" w:eastAsia="zh-CN" w:bidi="ar-SA"/>
    </w:rPr>
  </w:style>
  <w:style w:type="character" w:customStyle="1" w:styleId="76">
    <w:name w:val="批注主题 字符"/>
    <w:link w:val="36"/>
    <w:autoRedefine/>
    <w:qFormat/>
    <w:uiPriority w:val="0"/>
    <w:rPr>
      <w:b/>
      <w:bCs/>
      <w:kern w:val="2"/>
      <w:sz w:val="21"/>
      <w:szCs w:val="24"/>
    </w:rPr>
  </w:style>
  <w:style w:type="character" w:customStyle="1" w:styleId="77">
    <w:name w:val="批注框文本 字符"/>
    <w:link w:val="26"/>
    <w:autoRedefine/>
    <w:qFormat/>
    <w:uiPriority w:val="0"/>
    <w:rPr>
      <w:kern w:val="2"/>
      <w:sz w:val="18"/>
      <w:szCs w:val="18"/>
    </w:rPr>
  </w:style>
  <w:style w:type="character" w:customStyle="1" w:styleId="78">
    <w:name w:val="font01"/>
    <w:basedOn w:val="40"/>
    <w:autoRedefine/>
    <w:qFormat/>
    <w:uiPriority w:val="0"/>
    <w:rPr>
      <w:rFonts w:hint="default" w:ascii="Arial" w:hAnsi="Arial" w:cs="Arial"/>
      <w:color w:val="000000"/>
      <w:sz w:val="24"/>
      <w:szCs w:val="24"/>
      <w:u w:val="none"/>
    </w:rPr>
  </w:style>
  <w:style w:type="character" w:customStyle="1" w:styleId="79">
    <w:name w:val="font11"/>
    <w:autoRedefine/>
    <w:qFormat/>
    <w:uiPriority w:val="0"/>
    <w:rPr>
      <w:rFonts w:hint="eastAsia" w:ascii="宋体" w:hAnsi="宋体" w:eastAsia="宋体" w:cs="宋体"/>
      <w:b/>
      <w:color w:val="000000"/>
      <w:sz w:val="24"/>
      <w:szCs w:val="24"/>
      <w:u w:val="none"/>
    </w:rPr>
  </w:style>
  <w:style w:type="character" w:customStyle="1" w:styleId="80">
    <w:name w:val="apple-converted-space"/>
    <w:autoRedefine/>
    <w:qFormat/>
    <w:uiPriority w:val="0"/>
  </w:style>
  <w:style w:type="character" w:customStyle="1" w:styleId="81">
    <w:name w:val="表格文字 Char Char"/>
    <w:link w:val="2"/>
    <w:autoRedefine/>
    <w:qFormat/>
    <w:locked/>
    <w:uiPriority w:val="0"/>
    <w:rPr>
      <w:kern w:val="2"/>
      <w:sz w:val="24"/>
      <w:szCs w:val="28"/>
      <w:lang w:val="en-US" w:eastAsia="zh-CN" w:bidi="ar-SA"/>
    </w:rPr>
  </w:style>
  <w:style w:type="character" w:customStyle="1" w:styleId="82">
    <w:name w:val="标题 1 字符"/>
    <w:link w:val="7"/>
    <w:autoRedefine/>
    <w:qFormat/>
    <w:uiPriority w:val="0"/>
    <w:rPr>
      <w:rFonts w:ascii="Times New Roman" w:hAnsi="Times New Roman" w:eastAsia="宋体"/>
      <w:b/>
      <w:bCs/>
      <w:kern w:val="44"/>
      <w:sz w:val="44"/>
      <w:szCs w:val="44"/>
      <w:lang w:val="en-US" w:eastAsia="zh-CN" w:bidi="ar-SA"/>
    </w:rPr>
  </w:style>
  <w:style w:type="character" w:customStyle="1" w:styleId="83">
    <w:name w:val="页眉 字符"/>
    <w:link w:val="29"/>
    <w:autoRedefine/>
    <w:qFormat/>
    <w:uiPriority w:val="99"/>
    <w:rPr>
      <w:kern w:val="2"/>
      <w:sz w:val="18"/>
      <w:szCs w:val="18"/>
    </w:rPr>
  </w:style>
  <w:style w:type="character" w:customStyle="1" w:styleId="84">
    <w:name w:val="标题 1 Char1"/>
    <w:autoRedefine/>
    <w:qFormat/>
    <w:uiPriority w:val="0"/>
    <w:rPr>
      <w:rFonts w:ascii="Times New Roman" w:hAnsi="Times New Roman" w:eastAsia="宋体"/>
      <w:b/>
      <w:bCs/>
      <w:kern w:val="44"/>
      <w:sz w:val="44"/>
      <w:szCs w:val="44"/>
      <w:lang w:val="en-US" w:eastAsia="zh-CN" w:bidi="ar-SA"/>
    </w:rPr>
  </w:style>
  <w:style w:type="character" w:customStyle="1" w:styleId="85">
    <w:name w:val="标题 字符"/>
    <w:link w:val="35"/>
    <w:autoRedefine/>
    <w:qFormat/>
    <w:uiPriority w:val="10"/>
    <w:rPr>
      <w:rFonts w:ascii="Cambria" w:hAnsi="Cambria"/>
      <w:b/>
      <w:bCs/>
      <w:kern w:val="2"/>
      <w:sz w:val="32"/>
      <w:szCs w:val="32"/>
    </w:rPr>
  </w:style>
  <w:style w:type="character" w:customStyle="1" w:styleId="86">
    <w:name w:val="正文缩进 字符"/>
    <w:link w:val="15"/>
    <w:autoRedefine/>
    <w:qFormat/>
    <w:uiPriority w:val="0"/>
    <w:rPr>
      <w:kern w:val="2"/>
      <w:sz w:val="21"/>
    </w:rPr>
  </w:style>
  <w:style w:type="character" w:customStyle="1" w:styleId="87">
    <w:name w:val="font21"/>
    <w:basedOn w:val="40"/>
    <w:autoRedefine/>
    <w:qFormat/>
    <w:uiPriority w:val="0"/>
    <w:rPr>
      <w:rFonts w:ascii="幼圆" w:hAnsi="幼圆" w:eastAsia="幼圆" w:cs="幼圆"/>
      <w:color w:val="000000"/>
      <w:sz w:val="20"/>
      <w:szCs w:val="20"/>
      <w:u w:val="none"/>
    </w:rPr>
  </w:style>
  <w:style w:type="paragraph" w:customStyle="1" w:styleId="88">
    <w:name w:val="章正文"/>
    <w:basedOn w:val="1"/>
    <w:autoRedefine/>
    <w:qFormat/>
    <w:uiPriority w:val="99"/>
    <w:pPr>
      <w:spacing w:before="156" w:beforeLines="50" w:after="120" w:line="300" w:lineRule="auto"/>
      <w:ind w:firstLine="480"/>
    </w:pPr>
    <w:rPr>
      <w:rFonts w:ascii="Helvetica" w:hAnsi="Helvetica"/>
      <w:kern w:val="0"/>
      <w:sz w:val="24"/>
    </w:rPr>
  </w:style>
  <w:style w:type="paragraph" w:customStyle="1" w:styleId="89">
    <w:name w:val="Char Char3"/>
    <w:basedOn w:val="1"/>
    <w:autoRedefine/>
    <w:qFormat/>
    <w:uiPriority w:val="0"/>
  </w:style>
  <w:style w:type="paragraph" w:customStyle="1" w:styleId="90">
    <w:name w:val="彩色列表1"/>
    <w:basedOn w:val="1"/>
    <w:autoRedefine/>
    <w:qFormat/>
    <w:uiPriority w:val="34"/>
    <w:pPr>
      <w:ind w:firstLine="420" w:firstLineChars="200"/>
    </w:pPr>
    <w:rPr>
      <w:rFonts w:ascii="Verdana" w:hAnsi="Verdana" w:eastAsia="微软雅黑"/>
      <w:szCs w:val="22"/>
    </w:rPr>
  </w:style>
  <w:style w:type="paragraph" w:customStyle="1" w:styleId="91">
    <w:name w:val="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92">
    <w:name w:val="p0"/>
    <w:basedOn w:val="1"/>
    <w:autoRedefine/>
    <w:qFormat/>
    <w:uiPriority w:val="0"/>
    <w:pPr>
      <w:widowControl/>
    </w:pPr>
    <w:rPr>
      <w:rFonts w:ascii="Calibri" w:hAnsi="Calibri"/>
      <w:kern w:val="0"/>
      <w:szCs w:val="21"/>
    </w:rPr>
  </w:style>
  <w:style w:type="paragraph" w:customStyle="1" w:styleId="93">
    <w:name w:val="正文样式"/>
    <w:basedOn w:val="1"/>
    <w:autoRedefine/>
    <w:unhideWhenUsed/>
    <w:qFormat/>
    <w:uiPriority w:val="7"/>
    <w:pPr>
      <w:spacing w:line="360" w:lineRule="auto"/>
      <w:ind w:firstLine="480" w:firstLineChars="200"/>
    </w:pPr>
    <w:rPr>
      <w:rFonts w:hAnsi="Calibri"/>
      <w:sz w:val="24"/>
      <w:szCs w:val="20"/>
    </w:rPr>
  </w:style>
  <w:style w:type="paragraph" w:customStyle="1" w:styleId="94">
    <w:name w:val="样式 宋体 黑色 行距: 1.5 倍行距"/>
    <w:basedOn w:val="1"/>
    <w:autoRedefine/>
    <w:qFormat/>
    <w:uiPriority w:val="0"/>
    <w:pPr>
      <w:spacing w:line="360" w:lineRule="auto"/>
    </w:pPr>
    <w:rPr>
      <w:rFonts w:ascii="宋体" w:hAnsi="宋体" w:cs="宋体"/>
      <w:color w:val="000000"/>
      <w:sz w:val="24"/>
      <w:szCs w:val="20"/>
    </w:rPr>
  </w:style>
  <w:style w:type="paragraph" w:customStyle="1" w:styleId="95">
    <w:name w:val="_Style 3"/>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_Style 1"/>
    <w:autoRedefine/>
    <w:qFormat/>
    <w:uiPriority w:val="0"/>
    <w:rPr>
      <w:rFonts w:ascii="Times New Roman" w:hAnsi="Times New Roman" w:eastAsia="宋体" w:cs="Times New Roman"/>
      <w:kern w:val="2"/>
      <w:sz w:val="28"/>
      <w:szCs w:val="22"/>
      <w:lang w:val="en-US" w:eastAsia="zh-CN" w:bidi="ar-SA"/>
    </w:rPr>
  </w:style>
  <w:style w:type="paragraph" w:customStyle="1" w:styleId="97">
    <w:name w:val="_Style 40"/>
    <w:basedOn w:val="1"/>
    <w:autoRedefine/>
    <w:qFormat/>
    <w:uiPriority w:val="0"/>
  </w:style>
  <w:style w:type="paragraph" w:customStyle="1" w:styleId="98">
    <w:name w:val="Char Char5"/>
    <w:basedOn w:val="1"/>
    <w:autoRedefine/>
    <w:qFormat/>
    <w:uiPriority w:val="0"/>
  </w:style>
  <w:style w:type="paragraph" w:customStyle="1" w:styleId="99">
    <w:name w:val="Table Paragraph"/>
    <w:basedOn w:val="1"/>
    <w:autoRedefine/>
    <w:qFormat/>
    <w:uiPriority w:val="1"/>
  </w:style>
  <w:style w:type="paragraph" w:customStyle="1" w:styleId="100">
    <w:name w:val="xl49"/>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101">
    <w:name w:val="List Paragraph1"/>
    <w:basedOn w:val="1"/>
    <w:autoRedefine/>
    <w:qFormat/>
    <w:uiPriority w:val="99"/>
    <w:pPr>
      <w:widowControl/>
      <w:spacing w:after="200" w:line="276" w:lineRule="auto"/>
      <w:ind w:left="720"/>
      <w:jc w:val="left"/>
    </w:pPr>
    <w:rPr>
      <w:kern w:val="0"/>
      <w:sz w:val="22"/>
      <w:szCs w:val="22"/>
      <w:lang w:eastAsia="zh-TW"/>
    </w:rPr>
  </w:style>
  <w:style w:type="paragraph" w:customStyle="1" w:styleId="102">
    <w:name w:val="彩色列表 - 强调文字颜色 11"/>
    <w:basedOn w:val="1"/>
    <w:autoRedefine/>
    <w:qFormat/>
    <w:uiPriority w:val="34"/>
    <w:pPr>
      <w:ind w:firstLine="420" w:firstLineChars="200"/>
    </w:pPr>
    <w:rPr>
      <w:rFonts w:ascii="Calibri" w:hAnsi="Calibri"/>
      <w:szCs w:val="22"/>
    </w:rPr>
  </w:style>
  <w:style w:type="paragraph" w:customStyle="1" w:styleId="103">
    <w:name w:val="_Style 23"/>
    <w:basedOn w:val="1"/>
    <w:autoRedefine/>
    <w:qFormat/>
    <w:uiPriority w:val="0"/>
  </w:style>
  <w:style w:type="paragraph" w:customStyle="1" w:styleId="104">
    <w:name w:val="_Style 10"/>
    <w:basedOn w:val="1"/>
    <w:autoRedefine/>
    <w:qFormat/>
    <w:uiPriority w:val="0"/>
    <w:rPr>
      <w:rFonts w:ascii="仿宋_GB2312" w:eastAsia="仿宋_GB2312"/>
      <w:b/>
      <w:sz w:val="32"/>
      <w:szCs w:val="32"/>
    </w:rPr>
  </w:style>
  <w:style w:type="paragraph" w:customStyle="1" w:styleId="105">
    <w:name w:val="列表段落1"/>
    <w:basedOn w:val="1"/>
    <w:autoRedefine/>
    <w:qFormat/>
    <w:uiPriority w:val="0"/>
    <w:pPr>
      <w:ind w:firstLine="420" w:firstLineChars="200"/>
    </w:pPr>
    <w:rPr>
      <w:rFonts w:ascii="Calibri" w:hAnsi="Calibri"/>
      <w:szCs w:val="22"/>
    </w:rPr>
  </w:style>
  <w:style w:type="paragraph" w:customStyle="1" w:styleId="106">
    <w:name w:val="Char Char Char Char Char Char Char"/>
    <w:basedOn w:val="1"/>
    <w:autoRedefine/>
    <w:qFormat/>
    <w:uiPriority w:val="0"/>
  </w:style>
  <w:style w:type="paragraph" w:customStyle="1" w:styleId="107">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sz w:val="24"/>
      <w:szCs w:val="24"/>
      <w:u w:color="000000"/>
      <w:lang w:val="en-US" w:eastAsia="zh-CN" w:bidi="ar-SA"/>
    </w:rPr>
  </w:style>
  <w:style w:type="paragraph" w:customStyle="1" w:styleId="108">
    <w:name w:val="★章标题"/>
    <w:basedOn w:val="1"/>
    <w:autoRedefine/>
    <w:qFormat/>
    <w:uiPriority w:val="99"/>
    <w:pPr>
      <w:spacing w:before="120" w:after="120" w:line="360" w:lineRule="auto"/>
      <w:ind w:firstLine="200" w:firstLineChars="200"/>
      <w:jc w:val="center"/>
      <w:outlineLvl w:val="0"/>
    </w:pPr>
    <w:rPr>
      <w:rFonts w:eastAsia="黑体" w:cs="宋体"/>
      <w:b/>
      <w:bCs/>
      <w:color w:val="000000"/>
      <w:kern w:val="44"/>
      <w:sz w:val="44"/>
      <w:szCs w:val="20"/>
    </w:rPr>
  </w:style>
  <w:style w:type="paragraph" w:customStyle="1" w:styleId="109">
    <w:name w:val="正文2"/>
    <w:basedOn w:val="1"/>
    <w:autoRedefine/>
    <w:qFormat/>
    <w:uiPriority w:val="0"/>
    <w:pPr>
      <w:spacing w:before="156" w:line="360" w:lineRule="auto"/>
      <w:ind w:firstLine="510" w:firstLineChars="200"/>
    </w:pPr>
    <w:rPr>
      <w:sz w:val="24"/>
      <w:szCs w:val="20"/>
    </w:rPr>
  </w:style>
  <w:style w:type="paragraph" w:customStyle="1" w:styleId="110">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彩色列表2"/>
    <w:basedOn w:val="1"/>
    <w:autoRedefine/>
    <w:qFormat/>
    <w:uiPriority w:val="34"/>
    <w:pPr>
      <w:ind w:firstLine="420" w:firstLineChars="200"/>
    </w:pPr>
  </w:style>
  <w:style w:type="paragraph" w:customStyle="1" w:styleId="112">
    <w:name w:val="样式1"/>
    <w:autoRedefine/>
    <w:qFormat/>
    <w:uiPriority w:val="0"/>
    <w:pPr>
      <w:numPr>
        <w:ilvl w:val="2"/>
        <w:numId w:val="3"/>
      </w:numPr>
      <w:tabs>
        <w:tab w:val="left" w:pos="735"/>
      </w:tabs>
      <w:adjustRightInd w:val="0"/>
      <w:snapToGrid w:val="0"/>
      <w:spacing w:line="360" w:lineRule="auto"/>
      <w:jc w:val="both"/>
    </w:pPr>
    <w:rPr>
      <w:rFonts w:ascii="Times New Roman" w:hAnsi="Times New Roman" w:eastAsia="宋体" w:cs="Times New Roman"/>
      <w:bCs/>
      <w:kern w:val="2"/>
      <w:sz w:val="24"/>
      <w:szCs w:val="32"/>
      <w:lang w:val="en-US" w:eastAsia="zh-CN" w:bidi="ar-SA"/>
    </w:rPr>
  </w:style>
  <w:style w:type="paragraph" w:customStyle="1" w:styleId="113">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114">
    <w:name w:val="首行缩进"/>
    <w:basedOn w:val="1"/>
    <w:autoRedefine/>
    <w:qFormat/>
    <w:uiPriority w:val="0"/>
    <w:pPr>
      <w:spacing w:line="360" w:lineRule="auto"/>
      <w:ind w:firstLine="480" w:firstLineChars="200"/>
    </w:pPr>
    <w:rPr>
      <w:sz w:val="24"/>
      <w:szCs w:val="22"/>
      <w:lang w:val="zh-CN"/>
    </w:rPr>
  </w:style>
  <w:style w:type="paragraph" w:customStyle="1" w:styleId="115">
    <w:name w:val="默认段落字体 Para Char Char Char Char Char Char Char Char Char1 Char Char Char Char"/>
    <w:basedOn w:val="1"/>
    <w:autoRedefine/>
    <w:qFormat/>
    <w:uiPriority w:val="0"/>
    <w:rPr>
      <w:rFonts w:ascii="Tahoma" w:hAnsi="Tahoma"/>
      <w:sz w:val="24"/>
      <w:szCs w:val="20"/>
    </w:rPr>
  </w:style>
  <w:style w:type="paragraph" w:customStyle="1" w:styleId="116">
    <w:name w:val="彩色列表11"/>
    <w:basedOn w:val="1"/>
    <w:autoRedefine/>
    <w:qFormat/>
    <w:uiPriority w:val="34"/>
    <w:pPr>
      <w:ind w:firstLine="420" w:firstLineChars="200"/>
    </w:pPr>
  </w:style>
  <w:style w:type="paragraph" w:customStyle="1" w:styleId="117">
    <w:name w:val="AbsatzTableFormat"/>
    <w:basedOn w:val="1"/>
    <w:autoRedefine/>
    <w:qFormat/>
    <w:uiPriority w:val="0"/>
    <w:rPr>
      <w:rFonts w:hAnsi="宋体" w:cs="宋体"/>
      <w:bCs/>
      <w:kern w:val="0"/>
      <w:sz w:val="21"/>
      <w:szCs w:val="22"/>
      <w:u w:val="none"/>
      <w:lang w:val="de-DE"/>
    </w:rPr>
  </w:style>
  <w:style w:type="paragraph" w:customStyle="1" w:styleId="118">
    <w:name w:val="列出段落1"/>
    <w:basedOn w:val="1"/>
    <w:autoRedefine/>
    <w:qFormat/>
    <w:uiPriority w:val="34"/>
    <w:pPr>
      <w:ind w:firstLine="420" w:firstLineChars="200"/>
    </w:pPr>
  </w:style>
  <w:style w:type="paragraph" w:customStyle="1" w:styleId="119">
    <w:name w:val="纯文本1"/>
    <w:basedOn w:val="109"/>
    <w:autoRedefine/>
    <w:qFormat/>
    <w:uiPriority w:val="0"/>
    <w:rPr>
      <w:rFonts w:hint="default" w:ascii="宋体" w:hAnsi="Courier New"/>
      <w:kern w:val="0"/>
      <w:sz w:val="20"/>
      <w:szCs w:val="21"/>
    </w:rPr>
  </w:style>
  <w:style w:type="character" w:customStyle="1" w:styleId="120">
    <w:name w:val="font61"/>
    <w:basedOn w:val="40"/>
    <w:autoRedefine/>
    <w:qFormat/>
    <w:uiPriority w:val="0"/>
    <w:rPr>
      <w:rFonts w:hint="eastAsia" w:ascii="宋体" w:hAnsi="宋体" w:eastAsia="宋体" w:cs="宋体"/>
      <w:b/>
      <w:bCs/>
      <w:color w:val="000000"/>
      <w:sz w:val="22"/>
      <w:szCs w:val="22"/>
      <w:u w:val="none"/>
    </w:rPr>
  </w:style>
  <w:style w:type="character" w:customStyle="1" w:styleId="121">
    <w:name w:val="font112"/>
    <w:basedOn w:val="40"/>
    <w:autoRedefine/>
    <w:qFormat/>
    <w:uiPriority w:val="0"/>
    <w:rPr>
      <w:rFonts w:hint="eastAsia" w:ascii="宋体" w:hAnsi="宋体" w:eastAsia="宋体" w:cs="宋体"/>
      <w:b/>
      <w:bCs/>
      <w:color w:val="000000"/>
      <w:sz w:val="22"/>
      <w:szCs w:val="22"/>
      <w:u w:val="none"/>
    </w:rPr>
  </w:style>
  <w:style w:type="character" w:customStyle="1" w:styleId="122">
    <w:name w:val="font91"/>
    <w:basedOn w:val="40"/>
    <w:autoRedefine/>
    <w:qFormat/>
    <w:uiPriority w:val="0"/>
    <w:rPr>
      <w:rFonts w:hint="default" w:ascii="Times New Roman" w:hAnsi="Times New Roman" w:cs="Times New Roman"/>
      <w:color w:val="000000"/>
      <w:sz w:val="22"/>
      <w:szCs w:val="22"/>
      <w:u w:val="none"/>
    </w:rPr>
  </w:style>
  <w:style w:type="character" w:customStyle="1" w:styleId="123">
    <w:name w:val="font121"/>
    <w:basedOn w:val="40"/>
    <w:autoRedefine/>
    <w:qFormat/>
    <w:uiPriority w:val="0"/>
    <w:rPr>
      <w:rFonts w:hint="eastAsia" w:ascii="宋体" w:hAnsi="宋体" w:eastAsia="宋体" w:cs="宋体"/>
      <w:color w:val="000000"/>
      <w:sz w:val="22"/>
      <w:szCs w:val="22"/>
      <w:u w:val="none"/>
    </w:rPr>
  </w:style>
  <w:style w:type="character" w:customStyle="1" w:styleId="124">
    <w:name w:val="font81"/>
    <w:basedOn w:val="40"/>
    <w:autoRedefine/>
    <w:qFormat/>
    <w:uiPriority w:val="0"/>
    <w:rPr>
      <w:rFonts w:hint="default" w:ascii="Times New Roman" w:hAnsi="Times New Roman" w:cs="Times New Roman"/>
      <w:color w:val="000000"/>
      <w:sz w:val="22"/>
      <w:szCs w:val="22"/>
      <w:u w:val="none"/>
    </w:rPr>
  </w:style>
  <w:style w:type="character" w:customStyle="1" w:styleId="125">
    <w:name w:val="font41"/>
    <w:basedOn w:val="40"/>
    <w:autoRedefine/>
    <w:qFormat/>
    <w:uiPriority w:val="0"/>
    <w:rPr>
      <w:rFonts w:hint="default" w:ascii="Times New Roman" w:hAnsi="Times New Roman" w:cs="Times New Roman"/>
      <w:b/>
      <w:bCs/>
      <w:color w:val="000000"/>
      <w:sz w:val="22"/>
      <w:szCs w:val="22"/>
      <w:u w:val="none"/>
    </w:rPr>
  </w:style>
  <w:style w:type="character" w:customStyle="1" w:styleId="126">
    <w:name w:val="font181"/>
    <w:basedOn w:val="40"/>
    <w:autoRedefine/>
    <w:qFormat/>
    <w:uiPriority w:val="0"/>
    <w:rPr>
      <w:rFonts w:hint="eastAsia" w:ascii="宋体" w:hAnsi="宋体" w:eastAsia="宋体" w:cs="宋体"/>
      <w:b/>
      <w:bCs/>
      <w:color w:val="FF0000"/>
      <w:sz w:val="22"/>
      <w:szCs w:val="22"/>
      <w:u w:val="none"/>
    </w:rPr>
  </w:style>
  <w:style w:type="character" w:customStyle="1" w:styleId="127">
    <w:name w:val="font51"/>
    <w:basedOn w:val="40"/>
    <w:autoRedefine/>
    <w:qFormat/>
    <w:uiPriority w:val="0"/>
    <w:rPr>
      <w:rFonts w:hint="default" w:ascii="Times New Roman" w:hAnsi="Times New Roman" w:cs="Times New Roman"/>
      <w:b/>
      <w:bCs/>
      <w:color w:val="000000"/>
      <w:sz w:val="22"/>
      <w:szCs w:val="22"/>
      <w:u w:val="none"/>
    </w:rPr>
  </w:style>
  <w:style w:type="character" w:customStyle="1" w:styleId="128">
    <w:name w:val="font141"/>
    <w:basedOn w:val="40"/>
    <w:autoRedefine/>
    <w:qFormat/>
    <w:uiPriority w:val="0"/>
    <w:rPr>
      <w:rFonts w:hint="eastAsia" w:ascii="宋体" w:hAnsi="宋体" w:eastAsia="宋体" w:cs="宋体"/>
      <w:b/>
      <w:bCs/>
      <w:color w:val="000000"/>
      <w:sz w:val="22"/>
      <w:szCs w:val="22"/>
      <w:u w:val="none"/>
    </w:rPr>
  </w:style>
  <w:style w:type="character" w:customStyle="1" w:styleId="129">
    <w:name w:val="font71"/>
    <w:basedOn w:val="40"/>
    <w:autoRedefine/>
    <w:qFormat/>
    <w:uiPriority w:val="0"/>
    <w:rPr>
      <w:rFonts w:hint="default" w:ascii="Times New Roman" w:hAnsi="Times New Roman" w:cs="Times New Roman"/>
      <w:color w:val="000000"/>
      <w:sz w:val="22"/>
      <w:szCs w:val="22"/>
      <w:u w:val="none"/>
    </w:rPr>
  </w:style>
  <w:style w:type="character" w:customStyle="1" w:styleId="130">
    <w:name w:val="font101"/>
    <w:basedOn w:val="40"/>
    <w:autoRedefine/>
    <w:qFormat/>
    <w:uiPriority w:val="0"/>
    <w:rPr>
      <w:rFonts w:hint="eastAsia" w:ascii="宋体" w:hAnsi="宋体" w:eastAsia="宋体" w:cs="宋体"/>
      <w:b/>
      <w:bCs/>
      <w:color w:val="000000"/>
      <w:sz w:val="22"/>
      <w:szCs w:val="22"/>
      <w:u w:val="none"/>
    </w:rPr>
  </w:style>
  <w:style w:type="paragraph" w:customStyle="1" w:styleId="131">
    <w:name w:val="Style1"/>
    <w:next w:val="132"/>
    <w:autoRedefine/>
    <w:qFormat/>
    <w:uiPriority w:val="0"/>
    <w:pPr>
      <w:numPr>
        <w:ilvl w:val="0"/>
        <w:numId w:val="4"/>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Calibri" w:hAnsi="Calibri" w:eastAsia="宋体" w:cs="宋体"/>
      <w:b/>
      <w:kern w:val="24"/>
      <w:sz w:val="24"/>
      <w:lang w:val="en-GB" w:eastAsia="zh-CN" w:bidi="ar-SA"/>
    </w:rPr>
  </w:style>
  <w:style w:type="paragraph" w:customStyle="1" w:styleId="132">
    <w:name w:val="*正文"/>
    <w:basedOn w:val="1"/>
    <w:autoRedefine/>
    <w:qFormat/>
    <w:uiPriority w:val="0"/>
    <w:pPr>
      <w:ind w:firstLine="200" w:firstLineChars="200"/>
    </w:pPr>
    <w:rPr>
      <w:rFonts w:ascii="宋体"/>
      <w:szCs w:val="22"/>
    </w:rPr>
  </w:style>
  <w:style w:type="paragraph" w:customStyle="1" w:styleId="133">
    <w:name w:val="UserStyle_0"/>
    <w:basedOn w:val="1"/>
    <w:autoRedefine/>
    <w:qFormat/>
    <w:uiPriority w:val="0"/>
    <w:pPr>
      <w:spacing w:before="156" w:line="360" w:lineRule="auto"/>
      <w:ind w:firstLine="510" w:firstLineChars="200"/>
      <w:jc w:val="both"/>
      <w:textAlignment w:val="baseline"/>
    </w:pPr>
    <w:rPr>
      <w:rFonts w:ascii="Calibri" w:hAnsi="Calibri" w:eastAsia="宋体"/>
      <w:kern w:val="2"/>
      <w:sz w:val="24"/>
      <w:szCs w:val="22"/>
      <w:lang w:val="en-US" w:eastAsia="zh-CN" w:bidi="ar-SA"/>
    </w:rPr>
  </w:style>
  <w:style w:type="character" w:customStyle="1" w:styleId="134">
    <w:name w:val="font191"/>
    <w:basedOn w:val="40"/>
    <w:qFormat/>
    <w:uiPriority w:val="0"/>
    <w:rPr>
      <w:rFonts w:hint="eastAsia" w:ascii="宋体" w:hAnsi="宋体" w:eastAsia="宋体" w:cs="宋体"/>
      <w:b/>
      <w:bCs/>
      <w:color w:val="000000"/>
      <w:sz w:val="22"/>
      <w:szCs w:val="22"/>
      <w:u w:val="none"/>
    </w:rPr>
  </w:style>
  <w:style w:type="character" w:customStyle="1" w:styleId="135">
    <w:name w:val="font201"/>
    <w:basedOn w:val="40"/>
    <w:qFormat/>
    <w:uiPriority w:val="0"/>
    <w:rPr>
      <w:rFonts w:hint="eastAsia" w:ascii="宋体" w:hAnsi="宋体" w:eastAsia="宋体" w:cs="宋体"/>
      <w:b/>
      <w:bCs/>
      <w:color w:val="FF0000"/>
      <w:sz w:val="22"/>
      <w:szCs w:val="22"/>
      <w:u w:val="none"/>
    </w:rPr>
  </w:style>
  <w:style w:type="character" w:customStyle="1" w:styleId="136">
    <w:name w:val="font212"/>
    <w:basedOn w:val="40"/>
    <w:qFormat/>
    <w:uiPriority w:val="0"/>
    <w:rPr>
      <w:rFonts w:hint="eastAsia" w:ascii="宋体" w:hAnsi="宋体" w:eastAsia="宋体" w:cs="宋体"/>
      <w:b/>
      <w:bCs/>
      <w:color w:val="FF0000"/>
      <w:sz w:val="18"/>
      <w:szCs w:val="18"/>
      <w:u w:val="none"/>
    </w:rPr>
  </w:style>
  <w:style w:type="character" w:customStyle="1" w:styleId="137">
    <w:name w:val="font221"/>
    <w:basedOn w:val="40"/>
    <w:qFormat/>
    <w:uiPriority w:val="0"/>
    <w:rPr>
      <w:rFonts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3.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9" Type="http://schemas.openxmlformats.org/officeDocument/2006/relationships/fontTable" Target="fontTable.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5.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20287</Words>
  <Characters>28681</Characters>
  <Lines>87</Lines>
  <Paragraphs>73</Paragraphs>
  <TotalTime>40</TotalTime>
  <ScaleCrop>false</ScaleCrop>
  <LinksUpToDate>false</LinksUpToDate>
  <CharactersWithSpaces>36588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2021-07-09T10:15:00Z</dcterms:created>
  <dc:creator>Administrator</dc:creator>
  <cp:lastModifiedBy>韦亮</cp:lastModifiedBy>
  <cp:lastPrinted>2024-11-20T07:40:10Z</cp:lastPrinted>
  <dcterms:modified xsi:type="dcterms:W3CDTF">2024-11-20T07:50:30Z</dcterms:modified>
  <dc:title>东阳市鑫盛工程咨询有限公司关于东阳市广福路以南、望江路以西地块-上王公寓</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2E809379EC73446B82A1CF156AEDCDFF_13</vt:lpwstr>
  </property>
</Properties>
</file>